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-810895</wp:posOffset>
            </wp:positionH>
            <wp:positionV relativeFrom="paragraph">
              <wp:posOffset>-957580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106680</wp:posOffset>
                </wp:positionV>
                <wp:extent cx="3255010" cy="81915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255010" cy="81915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wps:txbx>
                      <wps:bodyPr upright="1"/>
                    </wps:wsp>
                  </a:graphicData>
                </a:graphic>
              </wp:anchor>
            </w:drawing>
          </mc:Choice>
          <mc:Fallback>
            <w:pict>
              <v:shape id="文本框 60" o:spid="_x0000_s1026" o:spt="202" type="#_x0000_t202" style="position:absolute;left:0pt;margin-left:119.25pt;margin-top:8.4pt;height:64.5pt;width:256.3pt;z-index:251660288;mso-width-relative:page;mso-height-relative:page;" filled="f" stroked="f" coordsize="21600,21600" o:gfxdata="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1Z2SfXAAAA&#10;CgEAAA8AAAAAAAAAAQAgAAAAIgAAAGRycy9kb3ducmV2LnhtbFBLAQIUABQAAAAIAIdO4kBWcsdd&#10;rAEAAE8DAAAOAAAAAAAAAAEAIAAAACYBAABkcnMvZTJvRG9jLnhtbFBLBQYAAAAABgAGAFkBAABE&#10;BQ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v:textbox>
              </v:shape>
            </w:pict>
          </mc:Fallback>
        </mc:AlternateContent>
      </w:r>
    </w:p>
    <w:p>
      <w:pPr>
        <w:rPr>
          <w:rFonts w:ascii="宋体" w:hAnsi="宋体"/>
          <w:color w:val="auto"/>
        </w:rPr>
      </w:pPr>
    </w:p>
    <w:p>
      <w:pPr>
        <w:rPr>
          <w:rFonts w:ascii="宋体" w:hAnsi="宋体"/>
          <w:color w:val="auto"/>
        </w:rPr>
      </w:pPr>
    </w:p>
    <w:p>
      <w:pPr>
        <w:jc w:val="center"/>
        <w:rPr>
          <w:rFonts w:hint="eastAsia" w:ascii="宋体" w:hAnsi="宋体"/>
          <w:b/>
          <w:color w:val="auto"/>
          <w:sz w:val="36"/>
          <w:szCs w:val="36"/>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22</w:t>
      </w:r>
      <w:r>
        <w:rPr>
          <w:rFonts w:hint="eastAsia" w:ascii="宋体" w:hAnsi="宋体"/>
          <w:b/>
          <w:color w:val="auto"/>
          <w:sz w:val="36"/>
          <w:szCs w:val="36"/>
        </w:rPr>
        <w:t>.</w:t>
      </w:r>
      <w:r>
        <w:rPr>
          <w:rFonts w:hint="eastAsia" w:ascii="宋体" w:hAnsi="宋体"/>
          <w:b/>
          <w:color w:val="auto"/>
          <w:sz w:val="36"/>
          <w:szCs w:val="36"/>
          <w:lang w:val="en-US" w:eastAsia="zh-CN"/>
        </w:rPr>
        <w:t>2.24</w:t>
      </w: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53975</wp:posOffset>
                </wp:positionV>
                <wp:extent cx="5322570" cy="1289685"/>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289685"/>
                        </a:xfrm>
                        <a:prstGeom prst="rect">
                          <a:avLst/>
                        </a:prstGeom>
                        <a:noFill/>
                        <a:ln>
                          <a:noFill/>
                        </a:ln>
                      </wps:spPr>
                      <wps:txb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wps:txbx>
                      <wps:bodyPr upright="1"/>
                    </wps:wsp>
                  </a:graphicData>
                </a:graphic>
              </wp:anchor>
            </w:drawing>
          </mc:Choice>
          <mc:Fallback>
            <w:pict>
              <v:shape id="文本框 51" o:spid="_x0000_s1026" o:spt="202" type="#_x0000_t202" style="position:absolute;left:0pt;margin-left:-9pt;margin-top:4.25pt;height:101.55pt;width:419.1pt;z-index:251660288;mso-width-relative:page;mso-height-relative:page;" filled="f" stroked="f" coordsize="21600,21600" o:gfxdata="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GxdYA&#10;AAAJAQAADwAAAAAAAAABACAAAAAiAAAAZHJzL2Rvd25yZXYueG1sUEsBAhQAFAAAAAgAh07iQD+A&#10;y8CvAQAAUAMAAA4AAAAAAAAAAQAgAAAAJQEAAGRycy9lMm9Eb2MueG1sUEsFBgAAAAAGAAYAWQEA&#10;AEYFAAAAAA==&#10;">
                <v:fill on="f" focussize="0,0"/>
                <v:stroke on="f"/>
                <v:imagedata o:title=""/>
                <o:lock v:ext="edit" aspectratio="f"/>
                <v:textbo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28"/>
          <w:szCs w:val="28"/>
        </w:rPr>
      </w:pPr>
      <w:r>
        <w:rPr>
          <w:rFonts w:hint="eastAsia" w:ascii="宋体" w:hAnsi="宋体"/>
          <w:b/>
          <w:color w:val="auto"/>
          <w:sz w:val="28"/>
          <w:szCs w:val="28"/>
          <w:lang w:eastAsia="zh-CN"/>
        </w:rPr>
        <w:t>成品油市场周报目</w:t>
      </w:r>
      <w:r>
        <w:rPr>
          <w:rFonts w:hint="eastAsia" w:ascii="宋体" w:hAnsi="宋体"/>
          <w:b/>
          <w:color w:val="auto"/>
          <w:sz w:val="28"/>
          <w:szCs w:val="28"/>
        </w:rPr>
        <w:t>录</w:t>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_Toc16949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 xml:space="preserve">一、 </w:t>
      </w:r>
      <w:r>
        <w:rPr>
          <w:rFonts w:hint="eastAsia" w:ascii="宋体" w:hAnsi="宋体" w:eastAsia="宋体" w:cs="宋体"/>
          <w:bCs/>
          <w:color w:val="auto"/>
          <w:kern w:val="2"/>
          <w:sz w:val="24"/>
          <w:szCs w:val="24"/>
          <w:highlight w:val="none"/>
          <w:lang w:val="en-US" w:eastAsia="zh-CN" w:bidi="ar-SA"/>
        </w:rPr>
        <w:t>国际原油市场回顾 </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_Toc16949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1.1国际原油收盘价涨跌情况（单位：美元/桶）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1.2.202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年国际原油价格走势图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_Toc9112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二、 </w:t>
      </w:r>
      <w:r>
        <w:rPr>
          <w:rFonts w:hint="eastAsia" w:ascii="宋体" w:hAnsi="宋体" w:eastAsia="宋体" w:cs="宋体"/>
          <w:bCs/>
          <w:color w:val="auto"/>
          <w:kern w:val="2"/>
          <w:sz w:val="24"/>
          <w:szCs w:val="24"/>
          <w:highlight w:val="none"/>
          <w:lang w:val="en-US" w:eastAsia="zh-CN" w:bidi="ar-SA"/>
        </w:rPr>
        <w:t>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_Toc9112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_Toc22116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2.1近期影响国际原油市场的主要因素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_Toc22116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_Toc12072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1.美国原油库存情况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2.美国经济形势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3.世界经济形势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_Toc11654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4后市预测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_Toc13390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2.2国际市场MTBE价格</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_Toc3996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本周国内市场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_Toc3996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_Toc25301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3.1 国内炼厂装置运行情况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_Toc25301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3.2本周成品油市场行情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 国内汽油价格周报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3.4国内柴油价格周报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_Toc28195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_Toc20471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3.5 山东地炼汽油出厂价格周报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_Toc22494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3.6 山东地炼柴油出厂价格周报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_Toc22494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四、2021年</w:t>
      </w:r>
      <w:r>
        <w:rPr>
          <w:rFonts w:hint="eastAsia" w:cs="宋体"/>
          <w:color w:val="auto"/>
          <w:sz w:val="24"/>
          <w:szCs w:val="24"/>
          <w:lang w:val="en-US" w:eastAsia="zh-CN"/>
        </w:rPr>
        <w:t>12</w:t>
      </w:r>
      <w:r>
        <w:rPr>
          <w:rFonts w:hint="eastAsia" w:ascii="宋体" w:hAnsi="宋体" w:eastAsia="宋体" w:cs="宋体"/>
          <w:color w:val="auto"/>
          <w:sz w:val="24"/>
          <w:szCs w:val="24"/>
          <w:lang w:val="en-US" w:eastAsia="zh-CN"/>
        </w:rPr>
        <w:t>月份进出口统计数据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份全国车用汽油和航空汽油出口统计数据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月份全国柴油出口统计数据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月份全国原油进出口统计数据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月份航空煤油进出口统计数据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rPr>
          <w:rFonts w:hint="eastAsia" w:ascii="宋体" w:hAnsi="宋体" w:eastAsia="宋体" w:cs="宋体"/>
          <w:color w:val="auto"/>
          <w:sz w:val="24"/>
          <w:szCs w:val="24"/>
        </w:rPr>
      </w:pPr>
      <w:r>
        <w:rPr>
          <w:rFonts w:hint="eastAsia" w:ascii="宋体" w:hAnsi="宋体" w:eastAsia="宋体" w:cs="宋体"/>
          <w:color w:val="auto"/>
          <w:szCs w:val="24"/>
        </w:rPr>
        <w:fldChar w:fldCharType="end"/>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16949"/>
      <w:r>
        <w:rPr>
          <w:rFonts w:hint="eastAsia" w:ascii="宋体" w:hAnsi="宋体" w:eastAsia="宋体" w:cs="宋体"/>
          <w:b/>
          <w:bCs/>
          <w:color w:val="auto"/>
          <w:kern w:val="2"/>
          <w:sz w:val="36"/>
          <w:szCs w:val="36"/>
          <w:highlight w:val="none"/>
          <w:lang w:val="en-US" w:eastAsia="zh-CN" w:bidi="ar-SA"/>
        </w:rPr>
        <w:t>国际原油市场回顾 </w:t>
      </w:r>
      <w:bookmarkEnd w:id="0"/>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1" w:name="_Toc27031"/>
      <w:bookmarkStart w:id="2" w:name="_Toc67556952"/>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lang w:val="en-US" w:eastAsia="zh-CN"/>
        </w:rPr>
        <w:t>国际原油收盘价涨跌情况（单位：美元/桶）</w:t>
      </w:r>
      <w:bookmarkEnd w:id="1"/>
      <w:bookmarkEnd w:id="2"/>
    </w:p>
    <w:tbl>
      <w:tblPr>
        <w:tblStyle w:val="24"/>
        <w:tblW w:w="4882" w:type="pct"/>
        <w:tblInd w:w="0" w:type="dxa"/>
        <w:tblLayout w:type="autofit"/>
        <w:tblCellMar>
          <w:top w:w="15" w:type="dxa"/>
          <w:left w:w="15" w:type="dxa"/>
          <w:bottom w:w="15" w:type="dxa"/>
          <w:right w:w="15" w:type="dxa"/>
        </w:tblCellMar>
      </w:tblPr>
      <w:tblGrid>
        <w:gridCol w:w="1451"/>
        <w:gridCol w:w="793"/>
        <w:gridCol w:w="793"/>
        <w:gridCol w:w="6514"/>
      </w:tblGrid>
      <w:tr>
        <w:tblPrEx>
          <w:tblCellMar>
            <w:top w:w="15" w:type="dxa"/>
            <w:left w:w="15" w:type="dxa"/>
            <w:bottom w:w="15" w:type="dxa"/>
            <w:right w:w="15" w:type="dxa"/>
          </w:tblCellMar>
        </w:tblPrEx>
        <w:trPr>
          <w:trHeight w:val="283" w:hRule="atLeast"/>
          <w:tblHeader/>
        </w:trPr>
        <w:tc>
          <w:tcPr>
            <w:tcW w:w="75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日期</w:t>
            </w:r>
          </w:p>
        </w:tc>
        <w:tc>
          <w:tcPr>
            <w:tcW w:w="41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1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408"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251"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2022/2/17</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91.76</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92.97</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伊朗核协议谈判可能取得进展， 石油市场供应可能会大幅增长，抵消了对乌克兰危机可能导致供应中断的担忧，欧美 原油期货下跌。</w:t>
            </w:r>
          </w:p>
        </w:tc>
      </w:tr>
      <w:tr>
        <w:tblPrEx>
          <w:tblCellMar>
            <w:top w:w="15" w:type="dxa"/>
            <w:left w:w="15" w:type="dxa"/>
            <w:bottom w:w="15" w:type="dxa"/>
            <w:right w:w="15" w:type="dxa"/>
          </w:tblCellMar>
        </w:tblPrEx>
        <w:trPr>
          <w:trHeight w:val="283"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2022/2/18</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91.07</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93.54</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恢复伊朗核协议的前景与俄罗斯/乌克兰可能出现的危机交织，欧美 原油期货涨跌交错。</w:t>
            </w:r>
          </w:p>
        </w:tc>
      </w:tr>
      <w:tr>
        <w:tblPrEx>
          <w:tblCellMar>
            <w:top w:w="15" w:type="dxa"/>
            <w:left w:w="15" w:type="dxa"/>
            <w:bottom w:w="15" w:type="dxa"/>
            <w:right w:w="15" w:type="dxa"/>
          </w:tblCellMar>
        </w:tblPrEx>
        <w:trPr>
          <w:trHeight w:val="283"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2022/2/21</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default" w:eastAsia="宋体"/>
                <w:sz w:val="18"/>
                <w:szCs w:val="18"/>
                <w:lang w:val="en-US" w:eastAsia="zh-CN"/>
              </w:rPr>
            </w:pPr>
            <w:r>
              <w:rPr>
                <w:rFonts w:hint="eastAsia" w:eastAsia="宋体"/>
                <w:sz w:val="18"/>
                <w:szCs w:val="18"/>
                <w:lang w:val="en-US" w:eastAsia="zh-CN"/>
              </w:rPr>
              <w:t>-</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95.39</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传言美国总统拜登和俄罗斯总统普京将在一两周内就乌克兰危机和伊朗与世界大国达成核协议的前景举行峰会，盘初 国际油价下跌。然而，乌克兰危机将 布伦特 原油期货盘后推高至每桶97美元以上。</w:t>
            </w:r>
          </w:p>
        </w:tc>
      </w:tr>
      <w:tr>
        <w:tblPrEx>
          <w:tblCellMar>
            <w:top w:w="15" w:type="dxa"/>
            <w:left w:w="15" w:type="dxa"/>
            <w:bottom w:w="15" w:type="dxa"/>
            <w:right w:w="15" w:type="dxa"/>
          </w:tblCellMar>
        </w:tblPrEx>
        <w:trPr>
          <w:trHeight w:val="283"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2022/2/22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92.35</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96.84</w:t>
            </w:r>
          </w:p>
        </w:tc>
        <w:tc>
          <w:tcPr>
            <w:tcW w:w="3408"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乌克兰危机进一步恶化， 国际油价早盘急剧上涨，然而随后缩窄涨幅。</w:t>
            </w:r>
          </w:p>
        </w:tc>
      </w:tr>
      <w:tr>
        <w:tblPrEx>
          <w:tblCellMar>
            <w:top w:w="15" w:type="dxa"/>
            <w:left w:w="15" w:type="dxa"/>
            <w:bottom w:w="15" w:type="dxa"/>
            <w:right w:w="15" w:type="dxa"/>
          </w:tblCellMar>
        </w:tblPrEx>
        <w:trPr>
          <w:trHeight w:val="283"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2022/2/23</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92.1</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96.84</w:t>
            </w:r>
          </w:p>
        </w:tc>
        <w:tc>
          <w:tcPr>
            <w:tcW w:w="3408"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交易商权衡乌克兰危机和伊核协议谈判对 石油市场的影响， 国际油价在振荡后趋于稳定。</w:t>
            </w:r>
          </w:p>
        </w:tc>
      </w:tr>
    </w:tbl>
    <w:p>
      <w:pPr>
        <w:rPr>
          <w:rFonts w:hint="eastAsia"/>
          <w:lang w:val="en-US" w:eastAsia="zh-CN"/>
        </w:rPr>
      </w:pPr>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3" w:name="_Toc67556953"/>
      <w:bookmarkStart w:id="4" w:name="_Toc19234"/>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lang w:val="en-US" w:eastAsia="zh-CN"/>
        </w:rPr>
        <w:t>2.202</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lang w:val="en-US" w:eastAsia="zh-CN"/>
        </w:rPr>
        <w:t>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drawing>
          <wp:inline distT="0" distB="0" distL="114300" distR="114300">
            <wp:extent cx="5267325" cy="3886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7325" cy="3886200"/>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2"/>
        <w:numPr>
          <w:ilvl w:val="0"/>
          <w:numId w:val="1"/>
        </w:numPr>
        <w:spacing w:before="120" w:after="0" w:line="240" w:lineRule="auto"/>
        <w:rPr>
          <w:rFonts w:hint="eastAsia" w:ascii="宋体" w:hAnsi="宋体" w:eastAsia="宋体" w:cs="宋体"/>
          <w:b/>
          <w:bCs/>
          <w:color w:val="auto"/>
          <w:kern w:val="2"/>
          <w:sz w:val="36"/>
          <w:szCs w:val="36"/>
          <w:highlight w:val="none"/>
          <w:lang w:val="en-US" w:eastAsia="zh-CN" w:bidi="ar-SA"/>
        </w:rPr>
      </w:pPr>
      <w:bookmarkStart w:id="5" w:name="_Toc9112"/>
      <w:bookmarkStart w:id="6" w:name="_Toc67556954"/>
      <w:r>
        <w:rPr>
          <w:rFonts w:hint="eastAsia" w:ascii="宋体" w:hAnsi="宋体" w:eastAsia="宋体" w:cs="宋体"/>
          <w:b/>
          <w:bCs/>
          <w:color w:val="auto"/>
          <w:kern w:val="2"/>
          <w:sz w:val="36"/>
          <w:szCs w:val="36"/>
          <w:highlight w:val="none"/>
          <w:lang w:val="en-US" w:eastAsia="zh-CN" w:bidi="ar-SA"/>
        </w:rPr>
        <w:t>近期影响国际原油市场的主要因素</w:t>
      </w:r>
      <w:bookmarkEnd w:id="5"/>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7" w:name="_Toc22116"/>
      <w:r>
        <w:rPr>
          <w:rFonts w:hint="eastAsia" w:ascii="宋体" w:hAnsi="宋体" w:eastAsia="宋体" w:cs="宋体"/>
          <w:b/>
          <w:color w:val="auto"/>
          <w:sz w:val="32"/>
          <w:szCs w:val="32"/>
          <w:highlight w:val="none"/>
          <w:lang w:val="en-US" w:eastAsia="zh-CN"/>
        </w:rPr>
        <w:t>2.1近期影响国际原油市场的主要因素</w:t>
      </w:r>
      <w:bookmarkEnd w:id="6"/>
      <w:bookmarkEnd w:id="7"/>
    </w:p>
    <w:p>
      <w:pPr>
        <w:pStyle w:val="3"/>
        <w:spacing w:before="120" w:after="120" w:line="240" w:lineRule="auto"/>
        <w:rPr>
          <w:rFonts w:hint="eastAsia" w:ascii="宋体" w:hAnsi="宋体" w:eastAsia="宋体" w:cs="宋体"/>
          <w:b/>
          <w:color w:val="auto"/>
          <w:sz w:val="30"/>
          <w:szCs w:val="30"/>
          <w:highlight w:val="none"/>
          <w:lang w:val="en-US" w:eastAsia="zh-CN"/>
        </w:rPr>
      </w:pPr>
      <w:bookmarkStart w:id="8" w:name="_Toc67556955"/>
      <w:bookmarkStart w:id="9" w:name="_Toc12072"/>
      <w:r>
        <w:rPr>
          <w:rFonts w:hint="eastAsia" w:ascii="宋体" w:hAnsi="宋体" w:eastAsia="宋体" w:cs="宋体"/>
          <w:b/>
          <w:color w:val="auto"/>
          <w:sz w:val="30"/>
          <w:szCs w:val="30"/>
          <w:highlight w:val="none"/>
          <w:lang w:val="en-US" w:eastAsia="zh-CN"/>
        </w:rPr>
        <w:t>1.美国原油库存情况</w:t>
      </w:r>
      <w:bookmarkEnd w:id="8"/>
      <w:bookmarkEnd w:id="9"/>
      <w:r>
        <w:rPr>
          <w:rFonts w:hint="eastAsia" w:ascii="宋体" w:hAnsi="宋体" w:eastAsia="宋体" w:cs="宋体"/>
          <w:b/>
          <w:color w:val="auto"/>
          <w:sz w:val="30"/>
          <w:szCs w:val="30"/>
          <w:highlight w:val="none"/>
          <w:lang w:val="en-US" w:eastAsia="zh-CN"/>
        </w:rPr>
        <w:t xml:space="preserve"> </w:t>
      </w:r>
    </w:p>
    <w:p>
      <w:pPr>
        <w:pStyle w:val="23"/>
        <w:keepNext w:val="0"/>
        <w:keepLines w:val="0"/>
        <w:widowControl/>
        <w:suppressLineNumbers w:val="0"/>
        <w:ind w:firstLine="360" w:firstLineChars="200"/>
        <w:rPr>
          <w:rFonts w:hint="eastAsia" w:eastAsia="宋体"/>
          <w:sz w:val="18"/>
          <w:szCs w:val="18"/>
        </w:rPr>
      </w:pPr>
      <w:bookmarkStart w:id="10" w:name="_Toc69977252"/>
      <w:bookmarkStart w:id="11" w:name="_Toc8280"/>
      <w:r>
        <w:rPr>
          <w:rFonts w:hint="eastAsia" w:eastAsia="宋体"/>
          <w:sz w:val="18"/>
          <w:szCs w:val="18"/>
        </w:rPr>
        <w:t>本周，美国EIA公布的数据显示，截至2月11日当周美国除却战略储备的商业原油库存增幅超预期，精炼油库存基本符合预期，汽油库存降幅超预期。具体数据显示，美国截至2月11日当周EIA原油库存变动实际公布增加112.1万桶，预期减少217.4万桶，前值减少475.6万桶。此外，美国截至2月11日当周EIA汽油库存实际公布减少133.2万桶，预期增加50万桶，前值减少164.4万桶;美国截至2月11日当周EIA精炼油库存实际公布减少155.2万桶，预期减少150万桶，前值减少93万桶。美国上周战略石油储备(SPR)库存减少268.7万桶至5.848亿桶，降幅0.46%。EIA报告显示，美国至2月11日当周EIA战略石油储备库存降幅录得2021年11月12日当周以来最大，为连续第23周录得下降。美国至2月11日当周EIA战略石油储备库存为2002年9月20日当周以来最低。美国至2月11日当周EIA俄克拉荷马州库欣原油库存下降190万桶，为2018年9月来新低。美国石油协会(API)周二公布数据显示，上周美国原油、汽油和馏分油库存均下降。API报告显示，截至2月11日当周，美国原油库存减少107.6万桶。汽油库存减少92.3万桶，馏分油库存减少54.6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10"/>
      <w:bookmarkEnd w:id="11"/>
    </w:p>
    <w:p>
      <w:pPr>
        <w:pStyle w:val="23"/>
        <w:keepNext w:val="0"/>
        <w:keepLines w:val="0"/>
        <w:widowControl/>
        <w:suppressLineNumbers w:val="0"/>
        <w:ind w:firstLine="360" w:firstLineChars="200"/>
        <w:rPr>
          <w:rFonts w:hint="eastAsia" w:eastAsia="宋体"/>
          <w:sz w:val="18"/>
          <w:szCs w:val="18"/>
        </w:rPr>
      </w:pPr>
      <w:bookmarkStart w:id="12" w:name="_Toc11654"/>
      <w:bookmarkStart w:id="13" w:name="_Toc76629721"/>
      <w:bookmarkStart w:id="14" w:name="_Toc69977253"/>
      <w:r>
        <w:rPr>
          <w:rFonts w:hint="eastAsia" w:eastAsia="宋体"/>
          <w:sz w:val="18"/>
          <w:szCs w:val="18"/>
        </w:rPr>
        <w:t>当前美国经济整体已经恢复至疫情前水平，且仍在较快扩张。但美国经济的复苏是不均衡的。存在比较明显的结构性失衡问题，可能已经处于或者即将处于过热状态。</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究其原因，还是疫情反复与供应链问题制约了美国潜在产出的修复，使得政策刺激超过了实际需求，进而导致了美国经济的扩张速度明显快于潜在产出的修复进程。后续美国经济走向何方，一方面取决于经济能否持续扩张，另一方面也要看潜在产出的修复情况。</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当然，今年美国经济的复苏还存在一系列不确定性因素，未必一帆风顺，包括后续财政刺激推出的时间点与规模，以及疫情与供应链问题都还存在变数。</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节奏上看，在经济增速方面，我们预计今年美国全年实际GDP同比增4.0%左右，全年节奏先上后下，高点出现在二季度，仍将维持较高增速。</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如何看待当前美国经济?</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从GDP不变价观察，2021年二季度起，美国经济整体就已经恢复至疫情前水平，并且在三、四季度持续扩张。但从结构上观察，美国经济的复苏是不均衡的。</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按照支出法分类，不考虑净出口与库存调整，疫情前美国国内经济占比最高的三项分别是个人服务消费、非耐用品消费和非住宅投资，上述三项占比分别为42%、15%和14%。</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然而截止2021年四季度，上述三项中，个人消费服务与非住宅投资中的建筑分项，都还没有恢复至疫情前水平。消费是美国经济可持续发展的最主要驱动力，地产投资也是美国重要的支柱产业之一。从这一角度观察，美国经济在结构上仍然有改善空间。</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进一步观察可以发现，相较于个人消费中商品消费(包括耐用品和非耐用品)的复苏，服务消费的复苏仍明显滞后，这体现了疫情反复对美国经济复苏的制约。</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观察美国全部工业部门产能利用率的恢复情况，我们可以得到类似结论。</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我们将当前美国制造业各部门、各阶段产能利用率与疫情前(2019年12月)的差距定义为各部门、各阶段产能利用率的缺口，以此来衡量美国制造业的恢复情况。</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截止2021年12月，美国全部工业部门的综合产能利用率已经基本回到疫情前水平，但分部门、分阶段产能利用率的缺口分化较大。</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分部门观察，当前制造业的产能利用率已经明显高于疫情前水平，但采掘业和公用事业的产能利用率仍明显低于疫情前水平。即使在制造业部门中，受制于芯片短缺，汽车及其零部件部门的产能利用率也明显低于疫情前水平。</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分阶段观察，当前产成品生产阶段的产能利用率已经明显高于疫情前水平，初级和半成品生产阶段的产能利用率基本恢复至疫情前水平，但是未加工生产阶段的产能利用率仍明显低于疫情前水平，且恢复进度持续滞后于其他阶段。</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美国工业各部门、各阶段疫情后产能利用率恢复的差异，一方面需要归咎于疫情后美国产业政策的调整，例如拜登政府上台后推行的清洁能源计划;另一方面则受制于全球供应链瓶颈的约束，芯片短缺与石油等资源的紧张，制约了美国工业生产的恢复。</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综合来看，美国经济整体已经恢复至疫情前水平，并且仍在持续较快扩张中。但受制于疫情反复与供应链瓶颈，美国经济的复苏存在明显的结构性问题，在国内经济的某些重要部门，例如消费服务、以及建筑和汽车生产环节，仍有待进一步改善空间。</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一系列迹象表明，疫情反复与供应链问题的缓解虽然是大势所趋，但其发展过程存在高度不确定性，其最终改善可能仍需较长时间。美国经济已经实现了“量”的较快复苏，但“质”的恢复可能仍需时日。换成经济学语言，也就是说，当前美国经济整体虽然已经恢复至疫情前水平，但潜在产出要恢复至疫情前水平可能仍需时日。</w:t>
      </w: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2"/>
      <w:bookmarkEnd w:id="13"/>
    </w:p>
    <w:bookmarkEnd w:id="14"/>
    <w:p>
      <w:pPr>
        <w:pStyle w:val="23"/>
        <w:ind w:firstLine="360" w:firstLineChars="200"/>
        <w:rPr>
          <w:rFonts w:eastAsia="宋体"/>
          <w:sz w:val="18"/>
          <w:szCs w:val="18"/>
        </w:rPr>
      </w:pPr>
      <w:bookmarkStart w:id="15" w:name="_Toc10797"/>
      <w:r>
        <w:rPr>
          <w:rFonts w:eastAsia="宋体"/>
          <w:sz w:val="18"/>
          <w:szCs w:val="18"/>
        </w:rPr>
        <w:t>近日，二十国集团(G20)财长和央行行长会议在印度尼西亚首都雅加达落下帷幕。此次会议以线上线下(46.150, 0.00, 0.00%)(300959)相结合的方式召开，主题为“共同复苏，更强劲复苏”。会上，各国政策制定者们就全球经济和卫生形势展开深入讨论。</w:t>
      </w:r>
    </w:p>
    <w:p>
      <w:pPr>
        <w:pStyle w:val="23"/>
        <w:ind w:firstLine="360" w:firstLineChars="200"/>
        <w:rPr>
          <w:rFonts w:eastAsia="宋体"/>
          <w:sz w:val="18"/>
          <w:szCs w:val="18"/>
        </w:rPr>
      </w:pPr>
      <w:r>
        <w:rPr>
          <w:rFonts w:eastAsia="宋体"/>
          <w:sz w:val="18"/>
          <w:szCs w:val="18"/>
        </w:rPr>
        <w:t>当前，全球经济复苏出现“温差”，各国货币政策步伐不一，在美联储货币政策加速转向的同时，不少国家仍维持宽松货币政策，这让宏观经济形势更趋复杂。如何提高各国经济恢复政策的协同性，成为与会者重点讨论的内容。现任轮值主席国印度尼西亚在会上表示，美国等经济体承诺采取谨慎方式退出在新冠疫情防控期间推出的支持措施。在会后发布的公报中，G20各成员承诺维护金融稳定和长期可持续性，并在制定支持经济恢复政策时，根据具体情况，做到计划周详、充分沟通，避免经济下行风险和负面溢出效应。</w:t>
      </w:r>
    </w:p>
    <w:p>
      <w:pPr>
        <w:pStyle w:val="23"/>
        <w:ind w:firstLine="360" w:firstLineChars="200"/>
        <w:rPr>
          <w:rFonts w:eastAsia="宋体"/>
          <w:sz w:val="18"/>
          <w:szCs w:val="18"/>
        </w:rPr>
      </w:pPr>
      <w:r>
        <w:rPr>
          <w:rFonts w:eastAsia="宋体"/>
          <w:sz w:val="18"/>
          <w:szCs w:val="18"/>
        </w:rPr>
        <w:t>复苏步调不一 全球经济下行风险有所上升</w:t>
      </w:r>
    </w:p>
    <w:p>
      <w:pPr>
        <w:pStyle w:val="23"/>
        <w:ind w:firstLine="360" w:firstLineChars="200"/>
        <w:rPr>
          <w:rFonts w:eastAsia="宋体"/>
          <w:sz w:val="18"/>
          <w:szCs w:val="18"/>
        </w:rPr>
      </w:pPr>
      <w:r>
        <w:rPr>
          <w:rFonts w:eastAsia="宋体"/>
          <w:sz w:val="18"/>
          <w:szCs w:val="18"/>
        </w:rPr>
        <w:t>随着时间步入新冠肺炎疫情暴发的第三年，全球经济也在逐步走向复苏，但各国复苏的速度并不相同。G20会后发布的公报指出，由于各国获取新冠疫苗进度与治疗水平的不均衡，宏观调控政策有所差异，导致各国经济复苏步调不一致。国际货币基金组织(IMF)数据显示，发达经济体中有超过60%的人口已经完成疫苗接种，并且一些人正在接种加强针。然而，低收入国家中仍有约90%的人口没有接种疫苗。总体而言，疫情的持续使得发展中国家的经济发展前景变得较为黯淡，发达经济体近期的经济复苏势头也有所放缓。</w:t>
      </w:r>
    </w:p>
    <w:p>
      <w:pPr>
        <w:pStyle w:val="23"/>
        <w:ind w:firstLine="360" w:firstLineChars="200"/>
        <w:rPr>
          <w:rFonts w:eastAsia="宋体"/>
          <w:sz w:val="18"/>
          <w:szCs w:val="18"/>
        </w:rPr>
      </w:pPr>
      <w:r>
        <w:rPr>
          <w:rFonts w:eastAsia="宋体"/>
          <w:sz w:val="18"/>
          <w:szCs w:val="18"/>
        </w:rPr>
        <w:t>与此同时，公报称，供应链中断、供需不匹配以及大宗商品和能源价格上涨，让部分国家和地区的通胀压力加大，对全球经济前景构成潜在威胁。自疫情发生以来，全球供应链出现瓶颈甚至阻塞、劳动力结构性短缺引发“工资―通胀”螺旋式上升、大宗商品价格上涨并向下游传导、部分发达经济体货币政策极度宽松等多方面因素，共同推动美国等国家通胀水平明显走高。目前，全球通胀压力已处在多年来鲜见的高位，而市场对通胀的预期仍较强烈。</w:t>
      </w:r>
    </w:p>
    <w:p>
      <w:pPr>
        <w:pStyle w:val="23"/>
        <w:ind w:firstLine="360" w:firstLineChars="200"/>
        <w:rPr>
          <w:rFonts w:eastAsia="宋体"/>
          <w:sz w:val="18"/>
          <w:szCs w:val="18"/>
        </w:rPr>
      </w:pPr>
      <w:r>
        <w:rPr>
          <w:rFonts w:eastAsia="宋体"/>
          <w:sz w:val="18"/>
          <w:szCs w:val="18"/>
        </w:rPr>
        <w:t>总体而言，全球经济的下行风险正在加大。IMF在1月末发布的《世界经济展望报告》更新内容预计，2022年全球经济将增长4.4%，较去年10月份预测值下调0.5个百分点。IMF认为，2022年全球经济状况与此前预期相比更加脆弱，原因包括奥密克戎变异毒株传播，导致全球各经济体重新出台限制人员流动措施，能源价格不断上涨和供应链中断引发通货膨胀水平超出预期且波及范围更广等。</w:t>
      </w:r>
    </w:p>
    <w:p>
      <w:pPr>
        <w:pStyle w:val="23"/>
        <w:ind w:firstLine="360" w:firstLineChars="200"/>
        <w:rPr>
          <w:rFonts w:eastAsia="宋体"/>
          <w:sz w:val="18"/>
          <w:szCs w:val="18"/>
        </w:rPr>
      </w:pPr>
      <w:r>
        <w:rPr>
          <w:rFonts w:eastAsia="宋体"/>
          <w:sz w:val="18"/>
          <w:szCs w:val="18"/>
        </w:rPr>
        <w:t>美联储货币政策转向 各国加强政策协同与沟通至关重要</w:t>
      </w:r>
    </w:p>
    <w:p>
      <w:pPr>
        <w:pStyle w:val="23"/>
        <w:ind w:firstLine="360" w:firstLineChars="200"/>
        <w:rPr>
          <w:rFonts w:eastAsia="宋体"/>
          <w:sz w:val="18"/>
          <w:szCs w:val="18"/>
        </w:rPr>
      </w:pPr>
      <w:r>
        <w:rPr>
          <w:rFonts w:eastAsia="宋体"/>
          <w:sz w:val="18"/>
          <w:szCs w:val="18"/>
        </w:rPr>
        <w:t>各国由于疫情防控水平、经济短期环境、通胀压力存在差别，货币政策立场也呈现明显差异。眼下，部分发达经济体受高通胀影响，货币政策正在加快转向。其中，英国已连续两次加息，欧洲央行已宣布放缓购债速度，而美联储也在逼近疫情发生后的首次加息时间点。市场对美联储加息次数的预期有所增加，3月份首次加息25个基点还是50个基点仍在讨论中。而发达经济体货币政策转向带来的不确定性，或将引发国际金融市场震荡。</w:t>
      </w:r>
    </w:p>
    <w:p>
      <w:pPr>
        <w:pStyle w:val="23"/>
        <w:ind w:firstLine="360" w:firstLineChars="200"/>
        <w:rPr>
          <w:rFonts w:eastAsia="宋体"/>
          <w:color w:val="auto"/>
          <w:sz w:val="18"/>
          <w:szCs w:val="18"/>
        </w:rPr>
      </w:pPr>
      <w:r>
        <w:rPr>
          <w:rFonts w:eastAsia="宋体"/>
          <w:color w:val="auto"/>
          <w:sz w:val="18"/>
          <w:szCs w:val="18"/>
        </w:rPr>
        <w:t>西南财经大学全球金融战略实验室主任方明表示，货币政策转向包含两个内容：一是退出量化宽松货币政策;二是加息。美联储退出量化宽松货币政策对新兴市场产生的影响是间接的，但新兴市场会以此为依据更大力度地应对通胀压力。期间最大的风险是新兴市场经济体面临的金融市场泡沫破裂和资金外逃以及相应的货币贬值风险。而美联储加息对新兴市场的影响是直接的，考虑到美元具有世界货币地位，美联储加息可能触发美元货币市场和债券市场价格重估，进而带动全球借贷与债券的价格重估，有可能导致部分新兴经济体货币错配风险。</w:t>
      </w:r>
    </w:p>
    <w:p>
      <w:pPr>
        <w:pStyle w:val="23"/>
        <w:ind w:firstLine="360" w:firstLineChars="200"/>
        <w:rPr>
          <w:rFonts w:eastAsia="宋体"/>
          <w:color w:val="auto"/>
          <w:sz w:val="18"/>
          <w:szCs w:val="18"/>
        </w:rPr>
      </w:pPr>
      <w:r>
        <w:rPr>
          <w:rFonts w:eastAsia="宋体"/>
          <w:color w:val="auto"/>
          <w:sz w:val="18"/>
          <w:szCs w:val="18"/>
        </w:rPr>
        <w:t>在美联储货币政策存在溢出风险的背景下，各国间加强政策协同与沟通显得尤为重要。印尼央行行长佩里 瓦吉约在会议上说：“G20国家承诺实施精准、规划周密、沟通顺畅的正常化政策，这很重要。如此一来，这些政策对全球金融市场和发展中国家的溢出效应就会产生最低限度的影响。”IMF总裁格奥尔基耶娃也表示，强有力的国际合作和政策灵活性是全球经济2022年穿越复杂的“越野障碍场地”的关键。</w:t>
      </w:r>
    </w:p>
    <w:p>
      <w:pPr>
        <w:pStyle w:val="23"/>
        <w:ind w:firstLine="360" w:firstLineChars="200"/>
        <w:rPr>
          <w:rFonts w:eastAsia="宋体"/>
          <w:color w:val="auto"/>
          <w:sz w:val="18"/>
          <w:szCs w:val="18"/>
        </w:rPr>
      </w:pPr>
      <w:r>
        <w:rPr>
          <w:rFonts w:eastAsia="宋体"/>
          <w:color w:val="auto"/>
          <w:sz w:val="18"/>
          <w:szCs w:val="18"/>
        </w:rPr>
        <w:t>中国财政部部长刘昆在会上的发言中提出三点主张：一是团结合作战胜疫情。中方愿同各方在世卫组织框架下推进卫生治理体系改革，共同构建更强劲的全球卫生治理架构。二是加强宏观政策协调。主要发达国家要采取负责任的宏观经济政策，把控好政策外溢效应。三是壮大全球发展事业。中方愿同各方加强政策协调与务实合作，促进共同发展，不让任何一个国家掉队。</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5"/>
    </w:p>
    <w:p>
      <w:pPr>
        <w:pStyle w:val="23"/>
        <w:ind w:firstLine="360" w:firstLineChars="200"/>
        <w:rPr>
          <w:rFonts w:hint="eastAsia" w:eastAsia="宋体"/>
          <w:color w:val="auto"/>
          <w:sz w:val="18"/>
          <w:szCs w:val="18"/>
        </w:rPr>
      </w:pPr>
      <w:bookmarkStart w:id="16" w:name="_Toc13390"/>
      <w:r>
        <w:rPr>
          <w:rFonts w:hint="eastAsia" w:eastAsia="宋体"/>
          <w:color w:val="auto"/>
          <w:sz w:val="18"/>
          <w:szCs w:val="18"/>
        </w:rPr>
        <w:t>本周</w:t>
      </w:r>
      <w:r>
        <w:rPr>
          <w:rFonts w:hint="eastAsia" w:eastAsia="宋体"/>
          <w:color w:val="auto"/>
          <w:sz w:val="18"/>
          <w:szCs w:val="18"/>
          <w:lang w:eastAsia="zh-CN"/>
        </w:rPr>
        <w:t>，</w:t>
      </w:r>
      <w:r>
        <w:rPr>
          <w:rFonts w:hint="eastAsia" w:eastAsia="宋体"/>
          <w:color w:val="auto"/>
          <w:sz w:val="18"/>
          <w:szCs w:val="18"/>
        </w:rPr>
        <w:t>美国WTI原油价格在</w:t>
      </w:r>
      <w:r>
        <w:rPr>
          <w:rFonts w:hint="eastAsia" w:eastAsia="宋体"/>
          <w:color w:val="auto"/>
          <w:sz w:val="18"/>
          <w:szCs w:val="18"/>
          <w:lang w:val="en-US" w:eastAsia="zh-CN"/>
        </w:rPr>
        <w:t>91.07</w:t>
      </w:r>
      <w:r>
        <w:rPr>
          <w:rFonts w:hint="eastAsia" w:eastAsia="宋体"/>
          <w:color w:val="auto"/>
          <w:sz w:val="18"/>
          <w:szCs w:val="18"/>
        </w:rPr>
        <w:t>-</w:t>
      </w:r>
      <w:r>
        <w:rPr>
          <w:rFonts w:hint="eastAsia" w:eastAsia="宋体"/>
          <w:color w:val="auto"/>
          <w:sz w:val="18"/>
          <w:szCs w:val="18"/>
          <w:lang w:val="en-US" w:eastAsia="zh-CN"/>
        </w:rPr>
        <w:t>92.35</w:t>
      </w:r>
      <w:r>
        <w:rPr>
          <w:rFonts w:hint="eastAsia" w:eastAsia="宋体"/>
          <w:color w:val="auto"/>
          <w:sz w:val="18"/>
          <w:szCs w:val="18"/>
        </w:rPr>
        <w:t>美元/桶。布伦特原油价格在</w:t>
      </w:r>
      <w:r>
        <w:rPr>
          <w:rFonts w:hint="eastAsia" w:eastAsia="宋体"/>
          <w:color w:val="auto"/>
          <w:sz w:val="18"/>
          <w:szCs w:val="18"/>
          <w:lang w:val="en-US" w:eastAsia="zh-CN"/>
        </w:rPr>
        <w:t>92.97</w:t>
      </w:r>
      <w:r>
        <w:rPr>
          <w:rFonts w:hint="eastAsia" w:eastAsia="宋体"/>
          <w:color w:val="auto"/>
          <w:sz w:val="18"/>
          <w:szCs w:val="18"/>
        </w:rPr>
        <w:t>-</w:t>
      </w:r>
      <w:r>
        <w:rPr>
          <w:rFonts w:hint="eastAsia" w:eastAsia="宋体"/>
          <w:color w:val="auto"/>
          <w:sz w:val="18"/>
          <w:szCs w:val="18"/>
          <w:lang w:val="en-US" w:eastAsia="zh-CN"/>
        </w:rPr>
        <w:t>96.84</w:t>
      </w:r>
      <w:r>
        <w:rPr>
          <w:rFonts w:hint="eastAsia" w:eastAsia="宋体"/>
          <w:color w:val="auto"/>
          <w:sz w:val="18"/>
          <w:szCs w:val="18"/>
        </w:rPr>
        <w:t>美元/桶震荡。周内国际油价</w:t>
      </w:r>
      <w:r>
        <w:rPr>
          <w:rFonts w:hint="eastAsia" w:eastAsia="宋体"/>
          <w:color w:val="auto"/>
          <w:sz w:val="18"/>
          <w:szCs w:val="18"/>
          <w:lang w:eastAsia="zh-CN"/>
        </w:rPr>
        <w:t>小幅上涨</w:t>
      </w:r>
      <w:r>
        <w:rPr>
          <w:rFonts w:hint="eastAsia" w:eastAsia="宋体"/>
          <w:color w:val="auto"/>
          <w:sz w:val="18"/>
          <w:szCs w:val="18"/>
        </w:rPr>
        <w:t>。对俄制裁或许不会扰乱原油供给，2月23日指标原油收盘趋向平稳。4月WTI：92.10涨0.19;4月布伦特：96.84收平。美国和英国宣布了针对俄罗斯银行的制裁，欧盟将更多政界人士列入黑名单，德国叫停了110亿美元的北溪二号天然气管道项目。“市场显然注入了额外的风险溢价，因俄罗斯进入乌克兰分裂势力的势力范围，而这种担忧溢价逐渐消失，”Ritterbusch and Associates总裁Jim Ritterbusch表示。美国总统拜登宣布了对俄罗斯的第一波制裁，目标是俄罗斯的银行和主权债务，并誓言如果俄罗斯继续侵略，将采取更严厉的惩罚措施。制裁未包括能源供应。尼日利亚石油部长坚持OPEC+的观点，认为不需要更多的供应，称如果伊朗恢复与世界大国的核协议，伊朗可能会增加产量。一名俄罗斯特使表示，有关恢复限制伊朗核计划和放松制裁的谈判即将结束，这可能最终使伊朗每天的石油出口增加100多万桶。</w:t>
      </w:r>
    </w:p>
    <w:p>
      <w:pPr>
        <w:pStyle w:val="23"/>
        <w:ind w:firstLine="360" w:firstLineChars="200"/>
        <w:rPr>
          <w:rFonts w:hint="eastAsia" w:eastAsia="宋体"/>
          <w:sz w:val="18"/>
          <w:szCs w:val="18"/>
        </w:rPr>
      </w:pPr>
      <w:r>
        <w:rPr>
          <w:rFonts w:hint="eastAsia" w:eastAsia="宋体"/>
          <w:sz w:val="18"/>
          <w:szCs w:val="18"/>
        </w:rPr>
        <w:t>预测下周WTI油价将触及</w:t>
      </w:r>
      <w:r>
        <w:rPr>
          <w:rFonts w:hint="eastAsia" w:eastAsia="宋体"/>
          <w:sz w:val="18"/>
          <w:szCs w:val="18"/>
          <w:lang w:val="en-US" w:eastAsia="zh-CN"/>
        </w:rPr>
        <w:t>90</w:t>
      </w:r>
      <w:r>
        <w:rPr>
          <w:rFonts w:hint="eastAsia" w:eastAsia="宋体"/>
          <w:sz w:val="18"/>
          <w:szCs w:val="18"/>
        </w:rPr>
        <w:t>-</w:t>
      </w:r>
      <w:r>
        <w:rPr>
          <w:rFonts w:hint="eastAsia" w:eastAsia="宋体"/>
          <w:sz w:val="18"/>
          <w:szCs w:val="18"/>
          <w:lang w:val="en-US" w:eastAsia="zh-CN"/>
        </w:rPr>
        <w:t>93</w:t>
      </w:r>
      <w:r>
        <w:rPr>
          <w:rFonts w:hint="eastAsia" w:eastAsia="宋体"/>
          <w:sz w:val="18"/>
          <w:szCs w:val="18"/>
        </w:rPr>
        <w:t>美元/桶，布油在之后几个月触及</w:t>
      </w:r>
      <w:r>
        <w:rPr>
          <w:rFonts w:hint="eastAsia" w:eastAsia="宋体"/>
          <w:sz w:val="18"/>
          <w:szCs w:val="18"/>
          <w:lang w:val="en-US" w:eastAsia="zh-CN"/>
        </w:rPr>
        <w:t>93</w:t>
      </w:r>
      <w:r>
        <w:rPr>
          <w:rFonts w:hint="eastAsia" w:eastAsia="宋体"/>
          <w:sz w:val="18"/>
          <w:szCs w:val="18"/>
        </w:rPr>
        <w:t>-</w:t>
      </w:r>
      <w:r>
        <w:rPr>
          <w:rFonts w:hint="eastAsia" w:eastAsia="宋体"/>
          <w:sz w:val="18"/>
          <w:szCs w:val="18"/>
          <w:lang w:val="en-US" w:eastAsia="zh-CN"/>
        </w:rPr>
        <w:t>97</w:t>
      </w:r>
      <w:r>
        <w:rPr>
          <w:rFonts w:hint="eastAsia" w:eastAsia="宋体"/>
          <w:sz w:val="18"/>
          <w:szCs w:val="18"/>
        </w:rPr>
        <w:t>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6"/>
      <w:r>
        <w:rPr>
          <w:rFonts w:hint="eastAsia" w:ascii="宋体" w:hAnsi="宋体"/>
          <w:b/>
          <w:color w:val="auto"/>
          <w:sz w:val="30"/>
          <w:szCs w:val="30"/>
          <w:highlight w:val="none"/>
          <w:lang w:val="en-US" w:eastAsia="zh-CN"/>
        </w:rPr>
        <w:t xml:space="preserve"> </w:t>
      </w:r>
    </w:p>
    <w:p>
      <w:pPr>
        <w:rPr>
          <w:rFonts w:hint="eastAsia"/>
          <w:lang w:val="en-US" w:eastAsia="zh-CN"/>
        </w:rPr>
      </w:pP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2月23日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990.00</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303.87</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1057.25</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2月22日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1012.00</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301.70</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1056.25</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2月21日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968.00</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1044.50</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2月18日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958.00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297.62</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1030.50</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2月17日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972.00</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295.52</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1025.25</w:t>
            </w:r>
          </w:p>
        </w:tc>
      </w:tr>
    </w:tbl>
    <w:p>
      <w:pPr>
        <w:rPr>
          <w:rFonts w:hint="eastAsia"/>
          <w:color w:val="auto"/>
          <w:lang w:eastAsia="zh-CN"/>
        </w:rPr>
      </w:pPr>
    </w:p>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7" w:name="_Toc3996"/>
      <w:r>
        <w:rPr>
          <w:rFonts w:hint="eastAsia"/>
          <w:b/>
          <w:color w:val="auto"/>
          <w:sz w:val="36"/>
          <w:szCs w:val="36"/>
          <w:lang w:eastAsia="zh-CN"/>
        </w:rPr>
        <w:t>三、</w:t>
      </w:r>
      <w:r>
        <w:rPr>
          <w:rFonts w:hint="eastAsia"/>
          <w:b/>
          <w:color w:val="auto"/>
          <w:sz w:val="36"/>
          <w:szCs w:val="36"/>
        </w:rPr>
        <w:t>本周国内市场</w:t>
      </w:r>
      <w:bookmarkEnd w:id="17"/>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8" w:name="_Toc25301"/>
      <w:r>
        <w:rPr>
          <w:rFonts w:hint="eastAsia" w:ascii="宋体" w:hAnsi="宋体"/>
          <w:b/>
          <w:color w:val="auto"/>
          <w:sz w:val="32"/>
          <w:szCs w:val="32"/>
          <w:highlight w:val="none"/>
        </w:rPr>
        <w:t>3.1 国内炼厂装置运行情况</w:t>
      </w:r>
      <w:bookmarkEnd w:id="18"/>
    </w:p>
    <w:p>
      <w:pPr>
        <w:rPr>
          <w:rFonts w:hint="eastAsia" w:ascii="宋体" w:hAnsi="宋体"/>
          <w:color w:val="auto"/>
          <w:sz w:val="30"/>
          <w:szCs w:val="30"/>
          <w:highlight w:val="none"/>
        </w:rPr>
      </w:pPr>
      <w:r>
        <w:rPr>
          <w:rFonts w:hint="eastAsia" w:ascii="宋体" w:hAnsi="宋体"/>
          <w:color w:val="auto"/>
          <w:sz w:val="30"/>
          <w:szCs w:val="30"/>
          <w:highlight w:val="none"/>
        </w:rPr>
        <w:t>（1）国内主营炼厂装置检修情况</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9"/>
        <w:gridCol w:w="915"/>
        <w:gridCol w:w="960"/>
        <w:gridCol w:w="1260"/>
        <w:gridCol w:w="2175"/>
        <w:gridCol w:w="1560"/>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962" w:type="dxa"/>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炼厂名称</w:t>
            </w:r>
          </w:p>
        </w:tc>
        <w:tc>
          <w:tcPr>
            <w:tcW w:w="91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所在地</w:t>
            </w:r>
          </w:p>
        </w:tc>
        <w:tc>
          <w:tcPr>
            <w:tcW w:w="9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加工能力</w:t>
            </w:r>
          </w:p>
        </w:tc>
        <w:tc>
          <w:tcPr>
            <w:tcW w:w="12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检修装置</w:t>
            </w:r>
          </w:p>
        </w:tc>
        <w:tc>
          <w:tcPr>
            <w:tcW w:w="217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检修产能（单位：万吨）</w:t>
            </w:r>
          </w:p>
        </w:tc>
        <w:tc>
          <w:tcPr>
            <w:tcW w:w="15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起始时间</w:t>
            </w:r>
          </w:p>
        </w:tc>
        <w:tc>
          <w:tcPr>
            <w:tcW w:w="1703"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金陵石化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江苏</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3#柴油加氢</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2021/12/6</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高桥石化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上海</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2021/10/11</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广州石化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广东</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1370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常减压</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2021/10/20</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茂名石化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广东</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1#常减压</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2021/11/25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联合石化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福建</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常减压</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2021/11/15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海南石化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海南</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950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2022/3月初</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扬子石化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江苏</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1450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2022/3月</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塔河石化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bottom"/>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ottom"/>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新疆</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2022/3月中下旬</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91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9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12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217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15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1703"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辽河石化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辽宁</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克拉玛依石化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新疆</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2022/5/20</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庆阳石化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甘肃</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2022/5/20</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玉门炼厂</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甘肃</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2022/6/1</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呼和浩特炼化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内蒙</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2022/7/15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华北石化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河北</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2022/8月</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中海油/中化旗下炼厂检修计划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91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9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12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217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15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1703"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中化泉州</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福建</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2022/1月中旬</w:t>
            </w:r>
          </w:p>
        </w:tc>
      </w:tr>
    </w:tbl>
    <w:p>
      <w:pPr>
        <w:numPr>
          <w:ilvl w:val="0"/>
          <w:numId w:val="0"/>
        </w:numPr>
        <w:rPr>
          <w:rFonts w:hint="eastAsia" w:ascii="宋体" w:hAnsi="宋体"/>
          <w:color w:val="auto"/>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82"/>
        <w:gridCol w:w="1275"/>
        <w:gridCol w:w="1707"/>
        <w:gridCol w:w="1176"/>
        <w:gridCol w:w="1295"/>
        <w:gridCol w:w="165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962" w:type="dxa"/>
            <w:gridSpan w:val="7"/>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地方炼厂装置检修计划表(单位：万吨)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区域</w:t>
            </w:r>
          </w:p>
        </w:tc>
        <w:tc>
          <w:tcPr>
            <w:tcW w:w="1275"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省市</w:t>
            </w:r>
          </w:p>
        </w:tc>
        <w:tc>
          <w:tcPr>
            <w:tcW w:w="1707"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炼厂名称</w:t>
            </w:r>
          </w:p>
        </w:tc>
        <w:tc>
          <w:tcPr>
            <w:tcW w:w="1176"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检修装置</w:t>
            </w:r>
          </w:p>
        </w:tc>
        <w:tc>
          <w:tcPr>
            <w:tcW w:w="1295"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检修产能</w:t>
            </w:r>
          </w:p>
        </w:tc>
        <w:tc>
          <w:tcPr>
            <w:tcW w:w="1656"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起始时间</w:t>
            </w:r>
          </w:p>
        </w:tc>
        <w:tc>
          <w:tcPr>
            <w:tcW w:w="1671"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山东</w:t>
            </w: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东方华龙</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轮检</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2022/2月初</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神驰化工</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260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2022/2/18</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齐润石化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华星石化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潍坊</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昌邑石化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万达天弘</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500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shd w:val="clear" w:fill="FFFFFF"/>
              </w:rPr>
              <w:t>2022/4月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万通石化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650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2022/1/24</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350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2022/1/25</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东辰石化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2022/1/25</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聊城</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莘县华祥</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2022/1/30</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华星石化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催化裂化</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240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2022/1/23</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华联石化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400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2022/1/10</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潍坊</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弘润石化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催化</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220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2022/1/4</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淄博</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金诚石化（新厂）</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常减压</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350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2021/11/24</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西南</w:t>
            </w:r>
          </w:p>
        </w:tc>
        <w:tc>
          <w:tcPr>
            <w:tcW w:w="0" w:type="auto"/>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重庆</w:t>
            </w:r>
          </w:p>
        </w:tc>
        <w:tc>
          <w:tcPr>
            <w:tcW w:w="1707" w:type="dxa"/>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龙海石化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150</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2021/7月底</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0" w:type="auto"/>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707"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常减压</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150</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2021/12/1</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东北</w:t>
            </w: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辽宁</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沈阳蜡化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70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2021/11/12</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辽宁</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辽宁缘泰</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2021/2/22</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黑龙江</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大庆中蓝</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220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2021/7/25</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9" w:name="_Toc816"/>
      <w:r>
        <w:rPr>
          <w:rFonts w:hint="eastAsia" w:ascii="宋体" w:hAnsi="宋体"/>
          <w:b/>
          <w:color w:val="auto"/>
          <w:sz w:val="30"/>
          <w:szCs w:val="30"/>
          <w:highlight w:val="none"/>
        </w:rPr>
        <w:t>3.2本周成品油市场行情</w:t>
      </w:r>
      <w:bookmarkEnd w:id="19"/>
    </w:p>
    <w:p>
      <w:pPr>
        <w:pStyle w:val="23"/>
        <w:keepNext w:val="0"/>
        <w:keepLines w:val="0"/>
        <w:widowControl/>
        <w:suppressLineNumbers w:val="0"/>
        <w:ind w:firstLine="360" w:firstLineChars="200"/>
        <w:rPr>
          <w:rFonts w:hint="eastAsia" w:eastAsia="宋体"/>
          <w:sz w:val="18"/>
          <w:szCs w:val="18"/>
        </w:rPr>
      </w:pPr>
      <w:bookmarkStart w:id="20" w:name="_Toc14270"/>
      <w:r>
        <w:rPr>
          <w:rFonts w:hint="eastAsia" w:eastAsia="宋体"/>
          <w:sz w:val="18"/>
          <w:szCs w:val="18"/>
        </w:rPr>
        <w:t>本周(2月18日-2月24日)，华中地区主营汽油价格小幅上涨，柴油价格窄幅回落。具体来看：随着春节假期利好结束，各大高校返校陆续完成，且国内局部地区疫情反弹，居民私家车出行半径再度收窄，汽油需求量相对减少，周内主营单位多有放价促量操作，出货阶段性较好，汽油价格整体弱势下跌;冬奥会结束，气温不断回升，户外工矿、基建等终端用油单位相继复工生产，柴油需求缓慢复苏，目前主营单位销售压力较大，多积极促销，柴油行情窄幅让利。受原油价格攀高影响，国内零售价格迎来“四连阳”，临近月末主营单位侧重走量，成品油价格弱势下滑，低价资源出货较好，但持续性较短，下游需求低迷，买气不佳，市场观望情绪仍存。</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(2月18日-2月24日)，国际油价继续利好释放，对于成品油市场仍有支撑;然另一方面，当前华东地区主营汽柴行情已涨至阶段性高位，在前期低价囤货之后，中下游贸易商入市愈加谨慎，多小单进购为主，故本周区内各单位窄幅调整涨跌，实际成交具体商谈优惠。具体分析：据了解由于近期山东地炼柴油车单价偏低冲击，导致华东主营单位高价柴油出货不畅，而且进入月下旬，销售压力增加，周内各销售单位积极开展促销活动，然效果有限。终端需求来看，汽油市场下游需求平淡，业者大多消库观望，且近期部分地区疫情反弹，民众出行较为谨慎，汽油需求相对减少。柴油方面，工程基建等企业逐步复工，但柴油整体需求提升缓慢。</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(2月18日-2月24日)，华南地区主营汽柴油价格涨跌不一，消息面对市场利好指引。汽油方面，汽油市场下游需求表现不佳，加上油价攀涨幅度较大，下游业者对高位油价采买心态谨慎，大多都是消库观望，接货积极性偏低，各主营单位购销氛围偏淡;柴油方面，本周广东地区受阴雨天气影响，市场需求不是很大，导致单位出货表现一般，其他地区柴油需求相对平稳，但市场对高价位资源接受程度不高，业者多小单购进，降价促销的方式也很难刺激当前市场。</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(2月18日-2月24日)，华北地区主营汽柴油价格续涨，原油受地缘政治影响，价格飘红，且成品油限价上调兑现，虽然区内部分城市疫情反弹，但消息面整体利好，推动区内成品油价格不断上探。高校返校陆续结束，私家车出行半径有所缩减，汽油需求表现平平。节日氛围逐渐消散，气温缓慢升高，对户外基建工程形成利好，促进终端柴油需求。但由于目前区内成品油价格升至高位且前期备货相对充足，现阶段终端谨慎待市，入市采购有限。</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(2月18日-2月24日)，西北地区主营汽柴油稳中上涨。周前期，上调零售限价兑现，西北各主营上调汽柴油批发价格，延长汽油价格表现坚挺，整体汽柴需求预期一般。周中期，受整体原油价格上涨影响，西北主营单位整体稳中上涨，呼市地区两主营价格上调累计次数2次，累计上调幅度达300元/吨。周末期，整体汽柴油需求趋稳，加之最近雨雪天气频繁，西北地区整体市场成交多刚需为主，乌鲁木齐主营价格优惠幅度较大，汽油优惠400元/吨，柴油优惠200-300元/吨。</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(2月18日-2月24日)，原油收盘高位运行，零售限价上调一次，西南地区主营汽柴油价格涨跌互现。汽油方面，随着春节结束，高校陆续开学，汽油需求相对有所支撑;柴油方面，随着气温回升，工程基建陆续开工，柴油需求逐渐恢复，工农业生产活动增加刺激物流运输需求进一步反弹。具体来说，周期前，零售限价上调笼罩市场，但主营单位价格趋稳运行，观望周边市场从而理性调价。同时云南主营也进行了限时优惠活动，但市场氛围仍未改善，难有明显利好提振。周期后，随着原油高位运行，突破新高，但市场并未因此大涨。主营单位价格涨跌互现，各单位根据自家库存以及市场行情进行调价，整体来说，受高油价以及终端采购成本限制，终端零售商需求情绪较低，对后期油价走势持看空心态下游需求平淡，业者大多消库观望，市场交投气氛清淡。</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(2月18日-2月24日)，原油价格升高，但对东北的影响有限，东北地区内主营汽柴油价格小幅调整为主。目前区内疫情多得到控制，但终端需求表现情况一般。寒假收尾，各高校逐渐发布返校规定，私家车出行半径有所增加，终端对汽油需求表现缓慢提升。柴油方面，近期区内气温暂无明显回升，对户外开工造成限制，柴油需求表现平平。中下游商户入市采购意愿偏弱，多消耗已有库存为主。</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后市预测：原油价格近期高位运行，且本轮成品油限价仍存上调预期，市场多存利好消息。下周气温逐渐回暖，对户外开工存推动作用，虽然疫情得到控制，但私家车出行提升有限，汽油方面需求则以平稳为主，故预计下周成品油</w:t>
      </w:r>
      <w:r>
        <w:rPr>
          <w:rFonts w:hint="eastAsia"/>
          <w:sz w:val="18"/>
          <w:szCs w:val="18"/>
          <w:lang w:eastAsia="zh-CN"/>
        </w:rPr>
        <w:t>市场</w:t>
      </w:r>
      <w:r>
        <w:rPr>
          <w:rFonts w:hint="eastAsia" w:eastAsia="宋体"/>
          <w:sz w:val="18"/>
          <w:szCs w:val="18"/>
        </w:rPr>
        <w:t>价格坚稳。</w:t>
      </w:r>
      <w:bookmarkStart w:id="35" w:name="_GoBack"/>
      <w:bookmarkEnd w:id="35"/>
    </w:p>
    <w:p>
      <w:pPr>
        <w:pStyle w:val="23"/>
        <w:keepNext w:val="0"/>
        <w:keepLines w:val="0"/>
        <w:widowControl/>
        <w:suppressLineNumbers w:val="0"/>
        <w:ind w:firstLine="360" w:firstLineChars="200"/>
        <w:rPr>
          <w:rFonts w:hint="eastAsia" w:eastAsia="宋体"/>
          <w:sz w:val="18"/>
          <w:szCs w:val="18"/>
        </w:rPr>
      </w:pPr>
    </w:p>
    <w:p>
      <w:pPr>
        <w:pStyle w:val="3"/>
        <w:spacing w:before="120" w:after="120" w:line="240" w:lineRule="auto"/>
        <w:rPr>
          <w:rFonts w:ascii="宋体" w:hAnsi="宋体"/>
          <w:b/>
          <w:color w:val="auto"/>
          <w:sz w:val="30"/>
          <w:szCs w:val="30"/>
        </w:rPr>
      </w:pPr>
      <w:r>
        <w:rPr>
          <w:rFonts w:hint="eastAsia" w:ascii="宋体" w:hAnsi="宋体"/>
          <w:b/>
          <w:color w:val="auto"/>
          <w:sz w:val="30"/>
          <w:szCs w:val="30"/>
        </w:rPr>
        <w:t>3.3 国内汽油价格周报</w:t>
      </w:r>
      <w:bookmarkEnd w:id="20"/>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blHeader/>
          <w:jc w:val="center"/>
        </w:trPr>
        <w:tc>
          <w:tcPr>
            <w:tcW w:w="8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地区</w:t>
            </w:r>
          </w:p>
        </w:tc>
        <w:tc>
          <w:tcPr>
            <w:tcW w:w="9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城市</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企业性质</w:t>
            </w:r>
          </w:p>
        </w:tc>
        <w:tc>
          <w:tcPr>
            <w:tcW w:w="10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2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价格类型</w:t>
            </w:r>
          </w:p>
        </w:tc>
        <w:tc>
          <w:tcPr>
            <w:tcW w:w="79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2022/2/24</w:t>
            </w:r>
          </w:p>
        </w:tc>
        <w:tc>
          <w:tcPr>
            <w:tcW w:w="114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89#</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8995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9567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9368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任丘市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9395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9595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开封市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9395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郑州市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9510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9710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9510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9710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9510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九江市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9731</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bl>
    <w:p>
      <w:pPr>
        <w:pStyle w:val="3"/>
        <w:spacing w:before="120" w:after="120" w:line="240" w:lineRule="auto"/>
        <w:rPr>
          <w:rFonts w:hint="eastAsia" w:ascii="宋体" w:hAnsi="宋体"/>
          <w:b/>
          <w:color w:val="auto"/>
          <w:sz w:val="30"/>
          <w:szCs w:val="30"/>
          <w:lang w:val="en-US" w:eastAsia="zh-CN"/>
        </w:rPr>
      </w:pPr>
      <w:bookmarkStart w:id="21" w:name="_Toc28195"/>
      <w:r>
        <w:rPr>
          <w:rFonts w:hint="eastAsia" w:ascii="宋体" w:hAnsi="宋体"/>
          <w:b/>
          <w:color w:val="auto"/>
          <w:sz w:val="30"/>
          <w:szCs w:val="30"/>
          <w:lang w:val="en-US" w:eastAsia="zh-CN"/>
        </w:rPr>
        <w:t>3.4 国内柴油价格周报</w:t>
      </w:r>
      <w:bookmarkEnd w:id="21"/>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blHeader/>
          <w:jc w:val="center"/>
        </w:trPr>
        <w:tc>
          <w:tcPr>
            <w:tcW w:w="88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地区</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城市</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企业性质</w:t>
            </w:r>
          </w:p>
        </w:tc>
        <w:tc>
          <w:tcPr>
            <w:tcW w:w="10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11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价格类型</w:t>
            </w:r>
          </w:p>
        </w:tc>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涨跌</w:t>
            </w:r>
          </w:p>
        </w:tc>
        <w:tc>
          <w:tcPr>
            <w:tcW w:w="115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2022/2/24</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吉林中油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0.18</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7.51</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bl>
    <w:p>
      <w:pPr>
        <w:rPr>
          <w:rFonts w:hint="eastAsia" w:eastAsia="宋体"/>
          <w:color w:val="auto"/>
          <w:lang w:val="en-US" w:eastAsia="zh-CN"/>
        </w:rPr>
      </w:pPr>
    </w:p>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2" w:name="_Toc20471"/>
      <w:r>
        <w:rPr>
          <w:rFonts w:hint="eastAsia" w:ascii="宋体" w:hAnsi="宋体"/>
          <w:b/>
          <w:color w:val="auto"/>
          <w:sz w:val="30"/>
          <w:szCs w:val="30"/>
          <w:lang w:val="en-US" w:eastAsia="zh-CN"/>
        </w:rPr>
        <w:t>3.5 山东地炼汽油出厂价格周报</w:t>
      </w:r>
      <w:bookmarkEnd w:id="22"/>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2" w:hRule="atLeast"/>
          <w:tblHeader/>
          <w:jc w:val="center"/>
        </w:trPr>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2022/2/24</w:t>
            </w:r>
          </w:p>
        </w:tc>
        <w:tc>
          <w:tcPr>
            <w:tcW w:w="121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9463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9613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9448</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9757</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9485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9745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9393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9543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9530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3" w:name="_Toc22494"/>
      <w:r>
        <w:rPr>
          <w:rFonts w:hint="eastAsia" w:ascii="宋体" w:hAnsi="宋体"/>
          <w:b/>
          <w:color w:val="auto"/>
          <w:sz w:val="30"/>
          <w:szCs w:val="30"/>
          <w:lang w:val="en-US" w:eastAsia="zh-CN"/>
        </w:rPr>
        <w:t>3.6 山东地炼柴油出厂价格周报</w:t>
      </w:r>
      <w:bookmarkEnd w:id="23"/>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blHeader/>
          <w:jc w:val="center"/>
        </w:trPr>
        <w:tc>
          <w:tcPr>
            <w:tcW w:w="81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4" w:name="_Toc711"/>
            <w:bookmarkStart w:id="25" w:name="_Toc23056"/>
            <w:bookmarkStart w:id="26" w:name="_Toc533771879"/>
            <w:r>
              <w:rPr>
                <w:rFonts w:hint="eastAsia" w:ascii="宋体" w:hAnsi="宋体" w:eastAsia="宋体" w:cs="宋体"/>
                <w:b/>
                <w:i w:val="0"/>
                <w:color w:val="auto"/>
                <w:kern w:val="0"/>
                <w:sz w:val="18"/>
                <w:szCs w:val="18"/>
                <w:u w:val="none"/>
                <w:lang w:val="en-US" w:eastAsia="zh-CN" w:bidi="ar"/>
              </w:rPr>
              <w:t>省份</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7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2022/2/24</w:t>
            </w:r>
          </w:p>
        </w:tc>
        <w:tc>
          <w:tcPr>
            <w:tcW w:w="12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7810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7683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7520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7756</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7804</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7904</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7610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7470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7685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7685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7590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7880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bl>
    <w:p>
      <w:pPr>
        <w:pStyle w:val="2"/>
        <w:numPr>
          <w:ilvl w:val="0"/>
          <w:numId w:val="0"/>
        </w:numPr>
        <w:spacing w:before="120" w:after="0" w:line="240" w:lineRule="auto"/>
        <w:rPr>
          <w:rFonts w:hint="eastAsia"/>
          <w:b/>
          <w:color w:val="auto"/>
          <w:sz w:val="36"/>
          <w:szCs w:val="36"/>
          <w:lang w:val="en-US" w:eastAsia="zh-CN"/>
        </w:rPr>
      </w:pPr>
      <w:bookmarkStart w:id="27" w:name="_Toc17074"/>
      <w:r>
        <w:rPr>
          <w:rFonts w:hint="eastAsia"/>
          <w:b/>
          <w:color w:val="auto"/>
          <w:sz w:val="36"/>
          <w:szCs w:val="36"/>
          <w:lang w:val="en-US" w:eastAsia="zh-CN"/>
        </w:rPr>
        <w:t>四、2021年12月份进出口统计数据</w:t>
      </w:r>
      <w:bookmarkEnd w:id="24"/>
      <w:bookmarkEnd w:id="27"/>
    </w:p>
    <w:p>
      <w:pPr>
        <w:pStyle w:val="3"/>
        <w:spacing w:before="120" w:after="120" w:line="240" w:lineRule="auto"/>
        <w:rPr>
          <w:rFonts w:hint="eastAsia" w:ascii="宋体" w:hAnsi="宋体"/>
          <w:b/>
          <w:color w:val="auto"/>
          <w:sz w:val="32"/>
          <w:szCs w:val="32"/>
        </w:rPr>
      </w:pPr>
      <w:bookmarkStart w:id="28" w:name="_Toc31314"/>
      <w:bookmarkStart w:id="29" w:name="_Toc6798"/>
      <w:r>
        <w:rPr>
          <w:rFonts w:hint="eastAsia" w:ascii="宋体" w:hAnsi="宋体"/>
          <w:b/>
          <w:color w:val="auto"/>
          <w:sz w:val="32"/>
          <w:szCs w:val="32"/>
        </w:rPr>
        <w:t>4.</w:t>
      </w:r>
      <w:bookmarkEnd w:id="28"/>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份全国车用汽油和航空汽油出口统计数据</w:t>
      </w:r>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9779" w:type="dxa"/>
        <w:jc w:val="center"/>
        <w:shd w:val="clear" w:color="auto" w:fill="auto"/>
        <w:tblLayout w:type="autofit"/>
        <w:tblCellMar>
          <w:top w:w="0" w:type="dxa"/>
          <w:left w:w="0" w:type="dxa"/>
          <w:bottom w:w="0" w:type="dxa"/>
          <w:right w:w="0" w:type="dxa"/>
        </w:tblCellMar>
      </w:tblPr>
      <w:tblGrid>
        <w:gridCol w:w="3443"/>
        <w:gridCol w:w="1485"/>
        <w:gridCol w:w="1590"/>
        <w:gridCol w:w="1550"/>
        <w:gridCol w:w="1711"/>
      </w:tblGrid>
      <w:tr>
        <w:tblPrEx>
          <w:shd w:val="clear" w:color="auto" w:fill="auto"/>
          <w:tblCellMar>
            <w:top w:w="0" w:type="dxa"/>
            <w:left w:w="0" w:type="dxa"/>
            <w:bottom w:w="0" w:type="dxa"/>
            <w:right w:w="0" w:type="dxa"/>
          </w:tblCellMar>
        </w:tblPrEx>
        <w:trPr>
          <w:trHeight w:val="480"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bookmarkStart w:id="30" w:name="_Toc31064"/>
            <w:r>
              <w:rPr>
                <w:rFonts w:hint="eastAsia" w:ascii="宋体" w:hAnsi="宋体" w:eastAsia="宋体" w:cs="宋体"/>
                <w:b/>
                <w:bCs/>
                <w:i w:val="0"/>
                <w:iCs w:val="0"/>
                <w:caps w:val="0"/>
                <w:color w:val="auto"/>
                <w:spacing w:val="0"/>
                <w:kern w:val="0"/>
                <w:sz w:val="18"/>
                <w:szCs w:val="18"/>
                <w:lang w:val="en-US" w:eastAsia="zh-CN" w:bidi="ar"/>
              </w:rPr>
              <w:t>商品名称</w:t>
            </w:r>
          </w:p>
        </w:tc>
        <w:tc>
          <w:tcPr>
            <w:tcW w:w="14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贸易伙伴名称</w:t>
            </w:r>
          </w:p>
        </w:tc>
        <w:tc>
          <w:tcPr>
            <w:tcW w:w="15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出口数量（吨）</w:t>
            </w:r>
          </w:p>
        </w:tc>
        <w:tc>
          <w:tcPr>
            <w:tcW w:w="15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出口金额（元）</w:t>
            </w:r>
          </w:p>
        </w:tc>
        <w:tc>
          <w:tcPr>
            <w:tcW w:w="171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lang w:val="en-US" w:eastAsia="zh-CN"/>
              </w:rPr>
            </w:pPr>
            <w:r>
              <w:rPr>
                <w:rFonts w:hint="eastAsia" w:ascii="宋体" w:hAnsi="宋体" w:eastAsia="宋体" w:cs="宋体"/>
                <w:b/>
                <w:bCs/>
                <w:i w:val="0"/>
                <w:iCs w:val="0"/>
                <w:caps w:val="0"/>
                <w:color w:val="auto"/>
                <w:spacing w:val="0"/>
                <w:kern w:val="0"/>
                <w:sz w:val="18"/>
                <w:szCs w:val="18"/>
                <w:lang w:val="en-US" w:eastAsia="zh-CN" w:bidi="ar"/>
              </w:rPr>
              <w:t>出口单价（元/吨）</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巴基斯坦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398486.253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1970971489</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4946.15</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马来西亚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35047.358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112883171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3220.88</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蒙古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4802.91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25570093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5323.88</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缅甸</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3242.004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14597432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4502.60</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文莱</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36000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115865564</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3218.49</w:t>
            </w:r>
          </w:p>
        </w:tc>
      </w:tr>
      <w:tr>
        <w:tblPrEx>
          <w:shd w:val="clear" w:color="auto" w:fill="auto"/>
          <w:tblCellMar>
            <w:top w:w="0" w:type="dxa"/>
            <w:left w:w="0" w:type="dxa"/>
            <w:bottom w:w="0" w:type="dxa"/>
            <w:right w:w="0" w:type="dxa"/>
          </w:tblCellMar>
        </w:tblPrEx>
        <w:trPr>
          <w:trHeight w:val="90"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新加坡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312284.616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1408311215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4509.70</w:t>
            </w:r>
          </w:p>
        </w:tc>
      </w:tr>
      <w:tr>
        <w:tblPrEx>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伊拉克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35952.654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158197936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4400.17</w:t>
            </w:r>
          </w:p>
        </w:tc>
      </w:tr>
      <w:tr>
        <w:tblPrEx>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印度尼西亚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103610.445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541868156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5229.86</w:t>
            </w:r>
          </w:p>
        </w:tc>
      </w:tr>
      <w:tr>
        <w:tblPrEx>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越南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5995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31238161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5210.70</w:t>
            </w:r>
          </w:p>
        </w:tc>
      </w:tr>
      <w:tr>
        <w:tblPrEx>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中国澳门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3569.664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14005365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3923.44</w:t>
            </w:r>
          </w:p>
        </w:tc>
      </w:tr>
    </w:tbl>
    <w:p>
      <w:pPr>
        <w:pStyle w:val="3"/>
        <w:spacing w:before="120" w:after="120" w:line="240" w:lineRule="auto"/>
        <w:rPr>
          <w:rFonts w:hint="eastAsia" w:ascii="宋体" w:hAnsi="宋体"/>
          <w:b/>
          <w:color w:val="auto"/>
          <w:sz w:val="32"/>
          <w:szCs w:val="32"/>
        </w:rPr>
      </w:pPr>
      <w:bookmarkStart w:id="31" w:name="_Toc10780"/>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月份全国柴油出口统计数据</w:t>
      </w:r>
      <w:bookmarkEnd w:id="30"/>
      <w:bookmarkEnd w:id="31"/>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阿根廷</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487184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4871.84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安提瓜和巴布达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354.78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1682227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澳大利亚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39577.11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178820684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巴哈马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366.10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1703851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4654.06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巴拿马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16886.08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68545734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伯利兹</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69.57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341696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丹麦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564.40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2694711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俄罗斯联邦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29.40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139389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法国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648.40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2664429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4109.24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菲律宾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119222.80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501412084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4205.67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韩国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258.30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1234792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荷兰</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1195699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吉布提</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8.65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40198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4645.02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喀麦隆</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192444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4475.44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利比里亚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5150.81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23667850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卢森堡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331877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马耳他</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1808.97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6958059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马来西亚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40242.46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188149696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马绍尔群岛</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2523.69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11828966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美国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305.00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1425486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4673.72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蒙古</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4003.07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21204186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5296.99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孟加拉国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40299.22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185646231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缅甸</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6208.87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26441634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挪威</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598.68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2840249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葡萄牙</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466.70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2276403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4877.66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塞拉利昂</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84.61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441689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塞浦路斯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692607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沙特阿拉伯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394152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圣文森特和格林纳丁斯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249869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4997.38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泰国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113.87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535430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图瓦卢</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193340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希腊</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146.10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715674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4898.52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新加坡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21948.72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99257697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伊拉克</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880.00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4933313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5606.04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印度尼西亚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68.51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319429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4662.52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英国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713.50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3369146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越南</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141.93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746985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中国澳门</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3974.95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13224872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中国台湾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217835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中国香港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16698.37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67312023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合计</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325199.82</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100%</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1424529820.00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4380.48</w:t>
            </w:r>
          </w:p>
        </w:tc>
      </w:tr>
    </w:tbl>
    <w:p>
      <w:pPr>
        <w:rPr>
          <w:rFonts w:hint="eastAsia"/>
        </w:rPr>
      </w:pPr>
      <w:bookmarkStart w:id="32" w:name="_Toc21887"/>
    </w:p>
    <w:p>
      <w:pPr>
        <w:rPr>
          <w:rFonts w:hint="eastAsia"/>
        </w:rPr>
      </w:pPr>
    </w:p>
    <w:p>
      <w:pPr>
        <w:rPr>
          <w:rFonts w:hint="eastAsia"/>
        </w:rPr>
      </w:pPr>
    </w:p>
    <w:p>
      <w:pPr>
        <w:jc w:val="left"/>
        <w:outlineLvl w:val="0"/>
        <w:rPr>
          <w:rFonts w:hint="eastAsia" w:ascii="宋体" w:hAnsi="宋体" w:cs="Arial"/>
          <w:b/>
          <w:bCs/>
          <w:kern w:val="0"/>
          <w:sz w:val="36"/>
          <w:szCs w:val="36"/>
        </w:rPr>
      </w:pPr>
      <w:r>
        <w:rPr>
          <w:rFonts w:hint="eastAsia" w:ascii="宋体" w:hAnsi="宋体"/>
          <w:b/>
          <w:color w:val="auto"/>
          <w:sz w:val="30"/>
          <w:szCs w:val="30"/>
        </w:rPr>
        <w:t xml:space="preserve">4.3 </w:t>
      </w:r>
      <w:bookmarkEnd w:id="25"/>
      <w:bookmarkEnd w:id="32"/>
      <w:bookmarkStart w:id="33" w:name="_Toc9952"/>
      <w:bookmarkStart w:id="34" w:name="_Toc20776"/>
      <w:r>
        <w:rPr>
          <w:rFonts w:hint="eastAsia" w:ascii="宋体" w:hAnsi="宋体" w:cs="Arial"/>
          <w:b/>
          <w:bCs/>
          <w:kern w:val="0"/>
          <w:sz w:val="36"/>
          <w:szCs w:val="36"/>
        </w:rPr>
        <w:t>2021年1</w:t>
      </w:r>
      <w:r>
        <w:rPr>
          <w:rFonts w:hint="eastAsia" w:ascii="宋体" w:hAnsi="宋体" w:cs="Arial"/>
          <w:b/>
          <w:bCs/>
          <w:kern w:val="0"/>
          <w:sz w:val="36"/>
          <w:szCs w:val="36"/>
          <w:lang w:val="en-US" w:eastAsia="zh-CN"/>
        </w:rPr>
        <w:t>2</w:t>
      </w:r>
      <w:r>
        <w:rPr>
          <w:rFonts w:hint="eastAsia" w:ascii="宋体" w:hAnsi="宋体" w:cs="Arial"/>
          <w:b/>
          <w:bCs/>
          <w:kern w:val="0"/>
          <w:sz w:val="36"/>
          <w:szCs w:val="36"/>
        </w:rPr>
        <w:t>月份全国原油进出口统计数据</w:t>
      </w:r>
    </w:p>
    <w:p>
      <w:pPr>
        <w:jc w:val="right"/>
        <w:rPr>
          <w:rFonts w:hint="eastAsia" w:ascii="宋体" w:hAnsi="宋体"/>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1614"/>
        <w:gridCol w:w="273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8"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进口来源国</w:t>
            </w:r>
          </w:p>
        </w:tc>
        <w:tc>
          <w:tcPr>
            <w:tcW w:w="809"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万吨</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万美元</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进口均价（美元/吨）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俄罗斯联邦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723.65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423668.27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沙特阿拉伯</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662.35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392847.18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伊拉克</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501.16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291026.44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安哥拉</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403.61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230985.06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阿联酋</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372.62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222298.37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阿曼</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362.22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215538.44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马来西亚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305.16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140517.31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巴西</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213.55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124755.17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科威特</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193.44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114907.23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哥伦比亚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130.1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69327.62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挪威</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126.97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69148.67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卡塔尔</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75.99</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44697.12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英国</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65.67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42053.25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美国</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57.36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36082.65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利比亚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55.06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34927.74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加拿大</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42.96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22220.74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刚果(布)</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38.4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22636.04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哈萨克斯坦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33.35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21050.34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圭亚那</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27.64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15915.92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喀麦隆</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26.31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15562.11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进口来源国</w:t>
            </w:r>
          </w:p>
        </w:tc>
        <w:tc>
          <w:tcPr>
            <w:tcW w:w="809"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万吨</w:t>
            </w:r>
          </w:p>
        </w:tc>
        <w:tc>
          <w:tcPr>
            <w:tcW w:w="1370"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万美元</w:t>
            </w:r>
          </w:p>
        </w:tc>
        <w:tc>
          <w:tcPr>
            <w:tcW w:w="1370"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进口均价（美元/吨）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伊朗</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26.03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14774.93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567.59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加蓬</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15817.2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厄瓜多尔</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25.26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13940.74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加纳</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25.15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15765.93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尼日利亚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18.33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11728.42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科特迪瓦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14.58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8477.98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赤道几内亚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13.51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8218.41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608.34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也门</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13.29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7173.76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印度尼西亚</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10.24</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5431.66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东帝汶</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7.81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5872.51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澳大利亚</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7.59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5369.39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泰国</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4.11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2454.52</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越南</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3.91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2464.16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蒙古</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0.98</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431.1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合计</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4164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2668086.38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8"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出口国家</w:t>
            </w:r>
          </w:p>
        </w:tc>
        <w:tc>
          <w:tcPr>
            <w:tcW w:w="809"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万吨</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万美元</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出口均价（美元/吨）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马来西亚</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25.66</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12012.24</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468.05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新加坡</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22.71</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11751.62</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韩国</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4.17</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2317.23</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555.77</w:t>
            </w:r>
          </w:p>
        </w:tc>
      </w:tr>
    </w:tbl>
    <w:p>
      <w:pPr>
        <w:widowControl/>
        <w:jc w:val="both"/>
        <w:rPr>
          <w:rFonts w:hint="eastAsia" w:ascii="宋体" w:hAnsi="宋体" w:cs="宋体"/>
          <w:color w:val="000000"/>
          <w:kern w:val="0"/>
          <w:szCs w:val="21"/>
        </w:rPr>
      </w:pPr>
    </w:p>
    <w:tbl>
      <w:tblPr>
        <w:tblStyle w:val="24"/>
        <w:tblpPr w:leftFromText="180" w:rightFromText="180" w:vertAnchor="text" w:horzAnchor="page" w:tblpX="1110" w:tblpY="298"/>
        <w:tblOverlap w:val="never"/>
        <w:tblW w:w="5000" w:type="pct"/>
        <w:tblInd w:w="0" w:type="dxa"/>
        <w:tblLayout w:type="autofit"/>
        <w:tblCellMar>
          <w:top w:w="0" w:type="dxa"/>
          <w:left w:w="108" w:type="dxa"/>
          <w:bottom w:w="0" w:type="dxa"/>
          <w:right w:w="108" w:type="dxa"/>
        </w:tblCellMar>
      </w:tblPr>
      <w:tblGrid>
        <w:gridCol w:w="2888"/>
        <w:gridCol w:w="1614"/>
        <w:gridCol w:w="2733"/>
        <w:gridCol w:w="2733"/>
      </w:tblGrid>
      <w:tr>
        <w:tblPrEx>
          <w:tblCellMar>
            <w:top w:w="0" w:type="dxa"/>
            <w:left w:w="108" w:type="dxa"/>
            <w:bottom w:w="0" w:type="dxa"/>
            <w:right w:w="108" w:type="dxa"/>
          </w:tblCellMar>
        </w:tblPrEx>
        <w:trPr>
          <w:trHeight w:val="330" w:hRule="atLeast"/>
        </w:trPr>
        <w:tc>
          <w:tcPr>
            <w:tcW w:w="1448"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80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万吨</w:t>
            </w:r>
          </w:p>
        </w:tc>
        <w:tc>
          <w:tcPr>
            <w:tcW w:w="1370"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70"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进口均价（美元/吨）</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一般贸易</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3499.82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2043465.79</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583.88</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来料加工贸易</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138.37</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82443.34</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595.81</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保税监管场所进出境货物</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929.52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515576.22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554.67</w:t>
            </w:r>
          </w:p>
        </w:tc>
      </w:tr>
      <w:tr>
        <w:tblPrEx>
          <w:tblCellMar>
            <w:top w:w="0" w:type="dxa"/>
            <w:left w:w="108" w:type="dxa"/>
            <w:bottom w:w="0" w:type="dxa"/>
            <w:right w:w="108" w:type="dxa"/>
          </w:tblCellMar>
        </w:tblPrEx>
        <w:trPr>
          <w:trHeight w:val="211"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海关特殊监管区域物流货物</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46.24</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26601.06</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575.28</w:t>
            </w:r>
          </w:p>
        </w:tc>
      </w:tr>
      <w:tr>
        <w:tblPrEx>
          <w:tblCellMar>
            <w:top w:w="0" w:type="dxa"/>
            <w:left w:w="108" w:type="dxa"/>
            <w:bottom w:w="0" w:type="dxa"/>
            <w:right w:w="108" w:type="dxa"/>
          </w:tblCellMar>
        </w:tblPrEx>
        <w:trPr>
          <w:trHeight w:val="33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合计</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4613.96</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2668086.42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578.26</w:t>
            </w:r>
          </w:p>
        </w:tc>
      </w:tr>
      <w:tr>
        <w:tblPrEx>
          <w:tblCellMar>
            <w:top w:w="0" w:type="dxa"/>
            <w:left w:w="108" w:type="dxa"/>
            <w:bottom w:w="0" w:type="dxa"/>
            <w:right w:w="108" w:type="dxa"/>
          </w:tblCellMar>
        </w:tblPrEx>
        <w:trPr>
          <w:trHeight w:val="330" w:hRule="atLeast"/>
        </w:trPr>
        <w:tc>
          <w:tcPr>
            <w:tcW w:w="1448"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809"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万吨</w:t>
            </w:r>
          </w:p>
        </w:tc>
        <w:tc>
          <w:tcPr>
            <w:tcW w:w="1370"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70"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出口均价（美元/吨）</w:t>
            </w:r>
          </w:p>
        </w:tc>
      </w:tr>
      <w:tr>
        <w:tblPrEx>
          <w:tblCellMar>
            <w:top w:w="0" w:type="dxa"/>
            <w:left w:w="108" w:type="dxa"/>
            <w:bottom w:w="0" w:type="dxa"/>
            <w:right w:w="108" w:type="dxa"/>
          </w:tblCellMar>
        </w:tblPrEx>
        <w:trPr>
          <w:trHeight w:val="270" w:hRule="atLeast"/>
        </w:trPr>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一般贸易</w:t>
            </w: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38.68</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18325</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473.78</w:t>
            </w:r>
          </w:p>
        </w:tc>
      </w:tr>
      <w:tr>
        <w:tblPrEx>
          <w:tblCellMar>
            <w:top w:w="0" w:type="dxa"/>
            <w:left w:w="108" w:type="dxa"/>
            <w:bottom w:w="0" w:type="dxa"/>
            <w:right w:w="108" w:type="dxa"/>
          </w:tblCellMar>
        </w:tblPrEx>
        <w:trPr>
          <w:trHeight w:val="270" w:hRule="atLeast"/>
        </w:trPr>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保税监管场所进出境货物</w:t>
            </w: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13.86</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7756.1</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559.41</w:t>
            </w:r>
          </w:p>
        </w:tc>
      </w:tr>
    </w:tbl>
    <w:p>
      <w:pPr>
        <w:widowControl/>
        <w:jc w:val="center"/>
        <w:rPr>
          <w:rFonts w:hint="eastAsia" w:ascii="宋体" w:hAnsi="宋体" w:cs="宋体"/>
          <w:color w:val="000000"/>
          <w:kern w:val="0"/>
          <w:szCs w:val="21"/>
        </w:rPr>
      </w:pPr>
    </w:p>
    <w:p>
      <w:pPr>
        <w:pStyle w:val="23"/>
        <w:ind w:firstLine="360" w:firstLineChars="200"/>
        <w:rPr>
          <w:rFonts w:hint="eastAsia" w:eastAsia="宋体"/>
          <w:sz w:val="18"/>
          <w:szCs w:val="18"/>
        </w:rPr>
      </w:pPr>
      <w:r>
        <w:rPr>
          <w:rFonts w:hint="eastAsia" w:eastAsia="宋体"/>
          <w:sz w:val="18"/>
          <w:szCs w:val="18"/>
        </w:rPr>
        <w:t>2021年12月份我国原油进口量在4614万吨，环比增加10.4%，进口均价578.3美元/吨，环比降低2%。其中俄罗斯进口量最大为723.65万吨，进口均价585.46美元/吨。</w:t>
      </w:r>
    </w:p>
    <w:p>
      <w:pPr>
        <w:pStyle w:val="23"/>
        <w:ind w:firstLine="360" w:firstLineChars="200"/>
        <w:rPr>
          <w:rFonts w:hint="eastAsia"/>
          <w:sz w:val="18"/>
          <w:szCs w:val="18"/>
        </w:rPr>
      </w:pPr>
      <w:r>
        <w:rPr>
          <w:rFonts w:hint="eastAsia" w:eastAsia="宋体"/>
          <w:sz w:val="18"/>
          <w:szCs w:val="18"/>
        </w:rPr>
        <w:t>2021年12月份我国原油出口量在52.5万吨，环比下降28%，出口均价496.4美元/吨，环比增长77.15%。</w:t>
      </w: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月份航空煤油进出口统计数据</w:t>
      </w:r>
      <w:bookmarkEnd w:id="33"/>
      <w:bookmarkEnd w:id="34"/>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6"/>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出口</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12月进口量:140132.26（吨）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12月出口量:591460.19（吨）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累计进口量:1373585.31吨）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累计出口量:8557380.46（吨）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当月进口均价:4418.12（元/吨）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当月出口均价:4384.22（元/吨）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累计进口均价：46224.40（元/吨）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累计出口均价:42706.25（元/吨）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进口量环比:134.45%</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出口量环比：-37.23%</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进口量同比：-41.57%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出口量同比：36.47%</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aps w:val="0"/>
                <w:color w:val="000000"/>
                <w:spacing w:val="0"/>
                <w:sz w:val="18"/>
                <w:szCs w:val="18"/>
                <w:lang w:val="en-US" w:eastAsia="zh-CN"/>
              </w:rPr>
            </w:pPr>
            <w:r>
              <w:rPr>
                <w:rFonts w:hint="eastAsia" w:ascii="宋体" w:hAnsi="宋体" w:eastAsia="宋体" w:cs="宋体"/>
                <w:caps w:val="0"/>
                <w:color w:val="000000"/>
                <w:spacing w:val="0"/>
                <w:sz w:val="18"/>
                <w:szCs w:val="18"/>
              </w:rPr>
              <w:t>累计进口量比去年同期：-46.67%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aps w:val="0"/>
                <w:color w:val="000000"/>
                <w:spacing w:val="0"/>
                <w:sz w:val="18"/>
                <w:szCs w:val="18"/>
                <w:lang w:val="en-US" w:eastAsia="zh-CN"/>
              </w:rPr>
            </w:pPr>
            <w:r>
              <w:rPr>
                <w:rFonts w:hint="eastAsia" w:ascii="宋体" w:hAnsi="宋体" w:eastAsia="宋体" w:cs="宋体"/>
                <w:caps w:val="0"/>
                <w:color w:val="000000"/>
                <w:spacing w:val="0"/>
                <w:sz w:val="18"/>
                <w:szCs w:val="18"/>
              </w:rPr>
              <w:t>累计出口量比去年同期：-16.53</w:t>
            </w:r>
          </w:p>
        </w:tc>
      </w:tr>
    </w:tbl>
    <w:p>
      <w:pPr>
        <w:rPr>
          <w:color w:val="auto"/>
        </w:rPr>
      </w:pPr>
    </w:p>
    <w:sectPr>
      <w:headerReference r:id="rId5" w:type="first"/>
      <w:headerReference r:id="rId3" w:type="default"/>
      <w:headerReference r:id="rId4" w:type="even"/>
      <w:pgSz w:w="11906" w:h="16838"/>
      <w:pgMar w:top="1440" w:right="1077" w:bottom="1440" w:left="1077"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0D7CAE"/>
    <w:rsid w:val="0118675A"/>
    <w:rsid w:val="011E5399"/>
    <w:rsid w:val="01533173"/>
    <w:rsid w:val="0174199B"/>
    <w:rsid w:val="0182210D"/>
    <w:rsid w:val="018C042F"/>
    <w:rsid w:val="019139BB"/>
    <w:rsid w:val="01A95B6A"/>
    <w:rsid w:val="01BD1D63"/>
    <w:rsid w:val="01ED4894"/>
    <w:rsid w:val="01F27845"/>
    <w:rsid w:val="01FE2CFE"/>
    <w:rsid w:val="02353D60"/>
    <w:rsid w:val="023C6B28"/>
    <w:rsid w:val="02526173"/>
    <w:rsid w:val="025D5BCE"/>
    <w:rsid w:val="0261223F"/>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6617C"/>
    <w:rsid w:val="04684ED7"/>
    <w:rsid w:val="047A62BA"/>
    <w:rsid w:val="048101D3"/>
    <w:rsid w:val="048A2C1B"/>
    <w:rsid w:val="048C7CAA"/>
    <w:rsid w:val="04987F00"/>
    <w:rsid w:val="04A45D71"/>
    <w:rsid w:val="04A8214A"/>
    <w:rsid w:val="04AC23D2"/>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57380"/>
    <w:rsid w:val="06F93008"/>
    <w:rsid w:val="070339A1"/>
    <w:rsid w:val="0718687A"/>
    <w:rsid w:val="071A60E7"/>
    <w:rsid w:val="071A7C26"/>
    <w:rsid w:val="071C4EDC"/>
    <w:rsid w:val="071D082B"/>
    <w:rsid w:val="07243E5A"/>
    <w:rsid w:val="07252677"/>
    <w:rsid w:val="07272AF3"/>
    <w:rsid w:val="07526E8D"/>
    <w:rsid w:val="0759111C"/>
    <w:rsid w:val="07594F06"/>
    <w:rsid w:val="076C6634"/>
    <w:rsid w:val="07743510"/>
    <w:rsid w:val="077F7AFC"/>
    <w:rsid w:val="07805403"/>
    <w:rsid w:val="07820AB4"/>
    <w:rsid w:val="07836EEE"/>
    <w:rsid w:val="07906BB7"/>
    <w:rsid w:val="079B346A"/>
    <w:rsid w:val="079D7717"/>
    <w:rsid w:val="07B872E0"/>
    <w:rsid w:val="07B939E0"/>
    <w:rsid w:val="07C16D91"/>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C0F41"/>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5746"/>
    <w:rsid w:val="0918731F"/>
    <w:rsid w:val="091D1431"/>
    <w:rsid w:val="09223CDC"/>
    <w:rsid w:val="09371EEF"/>
    <w:rsid w:val="093F6B95"/>
    <w:rsid w:val="09524755"/>
    <w:rsid w:val="095821A2"/>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86F91"/>
    <w:rsid w:val="09CB3165"/>
    <w:rsid w:val="09DE3A34"/>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C5771"/>
    <w:rsid w:val="0A2D68BE"/>
    <w:rsid w:val="0A3C22BA"/>
    <w:rsid w:val="0A3D34F3"/>
    <w:rsid w:val="0A3E36F7"/>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642C9E"/>
    <w:rsid w:val="0B721C38"/>
    <w:rsid w:val="0B860805"/>
    <w:rsid w:val="0B8B649E"/>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5B1499"/>
    <w:rsid w:val="0C7B6AED"/>
    <w:rsid w:val="0C7F402D"/>
    <w:rsid w:val="0C822A19"/>
    <w:rsid w:val="0C930A24"/>
    <w:rsid w:val="0C9F5640"/>
    <w:rsid w:val="0C9F66CF"/>
    <w:rsid w:val="0CAA3B04"/>
    <w:rsid w:val="0CB81916"/>
    <w:rsid w:val="0CD123E3"/>
    <w:rsid w:val="0CD35464"/>
    <w:rsid w:val="0CD752CF"/>
    <w:rsid w:val="0CE32FB8"/>
    <w:rsid w:val="0CE44838"/>
    <w:rsid w:val="0CEA48B8"/>
    <w:rsid w:val="0D004586"/>
    <w:rsid w:val="0D206C21"/>
    <w:rsid w:val="0D4A442D"/>
    <w:rsid w:val="0D731CA1"/>
    <w:rsid w:val="0D735A75"/>
    <w:rsid w:val="0D775B07"/>
    <w:rsid w:val="0D782A7C"/>
    <w:rsid w:val="0D79688B"/>
    <w:rsid w:val="0D8323A4"/>
    <w:rsid w:val="0D893BAC"/>
    <w:rsid w:val="0D952410"/>
    <w:rsid w:val="0D9F3354"/>
    <w:rsid w:val="0DA370DA"/>
    <w:rsid w:val="0DA7099A"/>
    <w:rsid w:val="0DB01CE1"/>
    <w:rsid w:val="0DB5277B"/>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4B1576"/>
    <w:rsid w:val="0E5C0982"/>
    <w:rsid w:val="0E730195"/>
    <w:rsid w:val="0E7675E6"/>
    <w:rsid w:val="0E803657"/>
    <w:rsid w:val="0E8B35C9"/>
    <w:rsid w:val="0E96527F"/>
    <w:rsid w:val="0E9742FB"/>
    <w:rsid w:val="0E9E354A"/>
    <w:rsid w:val="0EAF107B"/>
    <w:rsid w:val="0EB4347F"/>
    <w:rsid w:val="0EBE27AA"/>
    <w:rsid w:val="0EBF19BF"/>
    <w:rsid w:val="0EC1627E"/>
    <w:rsid w:val="0ED10429"/>
    <w:rsid w:val="0ED36950"/>
    <w:rsid w:val="0EDE0257"/>
    <w:rsid w:val="0EE30B65"/>
    <w:rsid w:val="0EED0FC5"/>
    <w:rsid w:val="0EF07619"/>
    <w:rsid w:val="0EF240C1"/>
    <w:rsid w:val="0EF248CA"/>
    <w:rsid w:val="0EFB4176"/>
    <w:rsid w:val="0F034AA6"/>
    <w:rsid w:val="0F08360E"/>
    <w:rsid w:val="0F125E7D"/>
    <w:rsid w:val="0F1F0D30"/>
    <w:rsid w:val="0F206065"/>
    <w:rsid w:val="0F26373F"/>
    <w:rsid w:val="0F2C6224"/>
    <w:rsid w:val="0F3E4D2D"/>
    <w:rsid w:val="0F446A41"/>
    <w:rsid w:val="0F4A18F4"/>
    <w:rsid w:val="0F4E7072"/>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C0A48"/>
    <w:rsid w:val="105F3A71"/>
    <w:rsid w:val="106D475B"/>
    <w:rsid w:val="1072399C"/>
    <w:rsid w:val="108362B8"/>
    <w:rsid w:val="1087261B"/>
    <w:rsid w:val="108C4660"/>
    <w:rsid w:val="10957382"/>
    <w:rsid w:val="109865FB"/>
    <w:rsid w:val="10A277F2"/>
    <w:rsid w:val="10BA0A0E"/>
    <w:rsid w:val="10CE39DE"/>
    <w:rsid w:val="10D36AEF"/>
    <w:rsid w:val="10FA6B68"/>
    <w:rsid w:val="10FF5E5F"/>
    <w:rsid w:val="11027028"/>
    <w:rsid w:val="110D636E"/>
    <w:rsid w:val="11153BAA"/>
    <w:rsid w:val="11190B98"/>
    <w:rsid w:val="11230D2F"/>
    <w:rsid w:val="11247901"/>
    <w:rsid w:val="11365062"/>
    <w:rsid w:val="11422692"/>
    <w:rsid w:val="11590029"/>
    <w:rsid w:val="115A59A8"/>
    <w:rsid w:val="115F1C27"/>
    <w:rsid w:val="11672A0E"/>
    <w:rsid w:val="116E3E23"/>
    <w:rsid w:val="117F7F48"/>
    <w:rsid w:val="11880464"/>
    <w:rsid w:val="118C3C84"/>
    <w:rsid w:val="11BC3D8A"/>
    <w:rsid w:val="11CA3B0B"/>
    <w:rsid w:val="11F843DE"/>
    <w:rsid w:val="12004F80"/>
    <w:rsid w:val="121446A8"/>
    <w:rsid w:val="12162BBD"/>
    <w:rsid w:val="122D7A8C"/>
    <w:rsid w:val="12320E5B"/>
    <w:rsid w:val="124E5846"/>
    <w:rsid w:val="1265739D"/>
    <w:rsid w:val="12662947"/>
    <w:rsid w:val="126A28BA"/>
    <w:rsid w:val="127E2138"/>
    <w:rsid w:val="128771AE"/>
    <w:rsid w:val="12936B1B"/>
    <w:rsid w:val="12A4558C"/>
    <w:rsid w:val="12A84E60"/>
    <w:rsid w:val="12B66FEE"/>
    <w:rsid w:val="12BE2ADE"/>
    <w:rsid w:val="12D52D83"/>
    <w:rsid w:val="12D61BB4"/>
    <w:rsid w:val="12D8263D"/>
    <w:rsid w:val="12E533B9"/>
    <w:rsid w:val="12F30EC8"/>
    <w:rsid w:val="12F6517F"/>
    <w:rsid w:val="13086577"/>
    <w:rsid w:val="130B0E2B"/>
    <w:rsid w:val="130B16E4"/>
    <w:rsid w:val="13267B35"/>
    <w:rsid w:val="133E41B0"/>
    <w:rsid w:val="134A6D86"/>
    <w:rsid w:val="13502762"/>
    <w:rsid w:val="13594CF7"/>
    <w:rsid w:val="135A728A"/>
    <w:rsid w:val="1367698A"/>
    <w:rsid w:val="13772D89"/>
    <w:rsid w:val="138744BB"/>
    <w:rsid w:val="13985227"/>
    <w:rsid w:val="13A21C4C"/>
    <w:rsid w:val="13AA18EC"/>
    <w:rsid w:val="13B45FC3"/>
    <w:rsid w:val="13BE3B38"/>
    <w:rsid w:val="13BF46FA"/>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8F78DF"/>
    <w:rsid w:val="14997CF1"/>
    <w:rsid w:val="149A6A37"/>
    <w:rsid w:val="149C7CF0"/>
    <w:rsid w:val="149F165C"/>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84DA1"/>
    <w:rsid w:val="153A274D"/>
    <w:rsid w:val="154B5C10"/>
    <w:rsid w:val="154F205D"/>
    <w:rsid w:val="155800EE"/>
    <w:rsid w:val="155B6178"/>
    <w:rsid w:val="15615E0F"/>
    <w:rsid w:val="156D2843"/>
    <w:rsid w:val="15701AB8"/>
    <w:rsid w:val="15786279"/>
    <w:rsid w:val="158449F0"/>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84DFC"/>
    <w:rsid w:val="161D05B7"/>
    <w:rsid w:val="162721F5"/>
    <w:rsid w:val="162E280E"/>
    <w:rsid w:val="16357D2B"/>
    <w:rsid w:val="164206BE"/>
    <w:rsid w:val="16446BD7"/>
    <w:rsid w:val="16600954"/>
    <w:rsid w:val="16666123"/>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871B8"/>
    <w:rsid w:val="17194D7A"/>
    <w:rsid w:val="171D2CA9"/>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30E90"/>
    <w:rsid w:val="187F1331"/>
    <w:rsid w:val="18AD026B"/>
    <w:rsid w:val="18B70A2B"/>
    <w:rsid w:val="18CA2202"/>
    <w:rsid w:val="18CA4E8D"/>
    <w:rsid w:val="18D203E7"/>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6F5600"/>
    <w:rsid w:val="197004D5"/>
    <w:rsid w:val="198154A5"/>
    <w:rsid w:val="19850C75"/>
    <w:rsid w:val="19856830"/>
    <w:rsid w:val="198A3D94"/>
    <w:rsid w:val="198F27F8"/>
    <w:rsid w:val="199C5ECD"/>
    <w:rsid w:val="19B1121F"/>
    <w:rsid w:val="19C039AF"/>
    <w:rsid w:val="19DC7361"/>
    <w:rsid w:val="19E14ABD"/>
    <w:rsid w:val="19EA4D01"/>
    <w:rsid w:val="19F07148"/>
    <w:rsid w:val="19FC20AE"/>
    <w:rsid w:val="1A031971"/>
    <w:rsid w:val="1A051BC1"/>
    <w:rsid w:val="1A055302"/>
    <w:rsid w:val="1A11011E"/>
    <w:rsid w:val="1A110D84"/>
    <w:rsid w:val="1A165FBA"/>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EE5B49"/>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9493B"/>
    <w:rsid w:val="1C2E2C8D"/>
    <w:rsid w:val="1C2E3B22"/>
    <w:rsid w:val="1C3B30F7"/>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310AAB"/>
    <w:rsid w:val="1E3C6958"/>
    <w:rsid w:val="1E4062B7"/>
    <w:rsid w:val="1E417BB3"/>
    <w:rsid w:val="1E450B99"/>
    <w:rsid w:val="1E4D2825"/>
    <w:rsid w:val="1E5542CC"/>
    <w:rsid w:val="1E64791C"/>
    <w:rsid w:val="1E676F14"/>
    <w:rsid w:val="1E6D6ABE"/>
    <w:rsid w:val="1E755624"/>
    <w:rsid w:val="1E764D52"/>
    <w:rsid w:val="1E8C73FA"/>
    <w:rsid w:val="1E9E3D33"/>
    <w:rsid w:val="1EA00084"/>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53BC1"/>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20E97"/>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BB5830"/>
    <w:rsid w:val="21C30EF9"/>
    <w:rsid w:val="21CB7C2D"/>
    <w:rsid w:val="21D956E3"/>
    <w:rsid w:val="21E74352"/>
    <w:rsid w:val="21EB64F4"/>
    <w:rsid w:val="21EF7C0A"/>
    <w:rsid w:val="22146206"/>
    <w:rsid w:val="221551D8"/>
    <w:rsid w:val="224441F7"/>
    <w:rsid w:val="224E7428"/>
    <w:rsid w:val="224F414D"/>
    <w:rsid w:val="2261560B"/>
    <w:rsid w:val="227918A6"/>
    <w:rsid w:val="227F4849"/>
    <w:rsid w:val="2291582E"/>
    <w:rsid w:val="22944164"/>
    <w:rsid w:val="229674ED"/>
    <w:rsid w:val="22AC485D"/>
    <w:rsid w:val="22BB509A"/>
    <w:rsid w:val="22D174A6"/>
    <w:rsid w:val="22D2551D"/>
    <w:rsid w:val="22E67532"/>
    <w:rsid w:val="22F015DA"/>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0D11"/>
    <w:rsid w:val="23F7720B"/>
    <w:rsid w:val="24086432"/>
    <w:rsid w:val="240F1052"/>
    <w:rsid w:val="241751AE"/>
    <w:rsid w:val="242A187D"/>
    <w:rsid w:val="24310987"/>
    <w:rsid w:val="24322A62"/>
    <w:rsid w:val="244A14DB"/>
    <w:rsid w:val="24554136"/>
    <w:rsid w:val="245C2B3F"/>
    <w:rsid w:val="2460475C"/>
    <w:rsid w:val="24692AC4"/>
    <w:rsid w:val="24817139"/>
    <w:rsid w:val="24836E94"/>
    <w:rsid w:val="24867974"/>
    <w:rsid w:val="248945E2"/>
    <w:rsid w:val="24974A9D"/>
    <w:rsid w:val="24990AB6"/>
    <w:rsid w:val="24A21A55"/>
    <w:rsid w:val="24B369D8"/>
    <w:rsid w:val="24B92458"/>
    <w:rsid w:val="24BC4C03"/>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852576"/>
    <w:rsid w:val="25922FF3"/>
    <w:rsid w:val="25955E96"/>
    <w:rsid w:val="25956469"/>
    <w:rsid w:val="259B6E31"/>
    <w:rsid w:val="259E33E1"/>
    <w:rsid w:val="25A05607"/>
    <w:rsid w:val="25A07C39"/>
    <w:rsid w:val="25AF1FA5"/>
    <w:rsid w:val="25B677AD"/>
    <w:rsid w:val="25B904A8"/>
    <w:rsid w:val="25D93662"/>
    <w:rsid w:val="25DA3A68"/>
    <w:rsid w:val="25E06259"/>
    <w:rsid w:val="25E778B8"/>
    <w:rsid w:val="25EC6EE0"/>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60E1B"/>
    <w:rsid w:val="26FD7030"/>
    <w:rsid w:val="26FE0C7F"/>
    <w:rsid w:val="27007370"/>
    <w:rsid w:val="27080E2E"/>
    <w:rsid w:val="270D21C6"/>
    <w:rsid w:val="270D2595"/>
    <w:rsid w:val="27251F41"/>
    <w:rsid w:val="27276FBB"/>
    <w:rsid w:val="27296336"/>
    <w:rsid w:val="273301A4"/>
    <w:rsid w:val="2743251A"/>
    <w:rsid w:val="277E59D2"/>
    <w:rsid w:val="277F5A23"/>
    <w:rsid w:val="279E36DD"/>
    <w:rsid w:val="27A7464B"/>
    <w:rsid w:val="27C37DE6"/>
    <w:rsid w:val="27EA2797"/>
    <w:rsid w:val="27F60C46"/>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D91F7D"/>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AD96DF8"/>
    <w:rsid w:val="2AEA4EAD"/>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AA3280"/>
    <w:rsid w:val="2BB3259C"/>
    <w:rsid w:val="2BBF0DDA"/>
    <w:rsid w:val="2BC674EF"/>
    <w:rsid w:val="2BE5055C"/>
    <w:rsid w:val="2BED5A7C"/>
    <w:rsid w:val="2BF50481"/>
    <w:rsid w:val="2BF858F4"/>
    <w:rsid w:val="2BFC3C2B"/>
    <w:rsid w:val="2BFC6315"/>
    <w:rsid w:val="2BFD5564"/>
    <w:rsid w:val="2C054251"/>
    <w:rsid w:val="2C2E0403"/>
    <w:rsid w:val="2C4C1107"/>
    <w:rsid w:val="2C785C6A"/>
    <w:rsid w:val="2C7C5CC5"/>
    <w:rsid w:val="2C7F4E3D"/>
    <w:rsid w:val="2C811341"/>
    <w:rsid w:val="2C823F4E"/>
    <w:rsid w:val="2C9D3080"/>
    <w:rsid w:val="2CA44349"/>
    <w:rsid w:val="2CAA70F0"/>
    <w:rsid w:val="2CAD067B"/>
    <w:rsid w:val="2CBD69A8"/>
    <w:rsid w:val="2CEC0EBC"/>
    <w:rsid w:val="2CF30447"/>
    <w:rsid w:val="2CFC1060"/>
    <w:rsid w:val="2CFD0FC0"/>
    <w:rsid w:val="2D050EBF"/>
    <w:rsid w:val="2D2009C3"/>
    <w:rsid w:val="2D2A25A1"/>
    <w:rsid w:val="2D2A51E4"/>
    <w:rsid w:val="2D3059BC"/>
    <w:rsid w:val="2D4D17E5"/>
    <w:rsid w:val="2D5A2817"/>
    <w:rsid w:val="2D6F58D8"/>
    <w:rsid w:val="2D892B5C"/>
    <w:rsid w:val="2D957091"/>
    <w:rsid w:val="2DAF27D1"/>
    <w:rsid w:val="2DB328B9"/>
    <w:rsid w:val="2DBD5E3A"/>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684F7D"/>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40320"/>
    <w:rsid w:val="30365256"/>
    <w:rsid w:val="30427218"/>
    <w:rsid w:val="304D2D36"/>
    <w:rsid w:val="304D5CB2"/>
    <w:rsid w:val="305001C5"/>
    <w:rsid w:val="3055125A"/>
    <w:rsid w:val="30664FDE"/>
    <w:rsid w:val="308A4247"/>
    <w:rsid w:val="309D4A0F"/>
    <w:rsid w:val="309E4811"/>
    <w:rsid w:val="30A00CB5"/>
    <w:rsid w:val="30AF5F22"/>
    <w:rsid w:val="30C14186"/>
    <w:rsid w:val="30C635C3"/>
    <w:rsid w:val="30D71496"/>
    <w:rsid w:val="30DC0703"/>
    <w:rsid w:val="30E73B0D"/>
    <w:rsid w:val="30F42A4E"/>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6D261F"/>
    <w:rsid w:val="316F14FD"/>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E928BF"/>
    <w:rsid w:val="31F938DC"/>
    <w:rsid w:val="31FC35FB"/>
    <w:rsid w:val="32010D04"/>
    <w:rsid w:val="3202665F"/>
    <w:rsid w:val="320A7836"/>
    <w:rsid w:val="32186725"/>
    <w:rsid w:val="323C3FDE"/>
    <w:rsid w:val="324163CA"/>
    <w:rsid w:val="32427A9A"/>
    <w:rsid w:val="32574FD8"/>
    <w:rsid w:val="325C547C"/>
    <w:rsid w:val="32646DB1"/>
    <w:rsid w:val="326C29F6"/>
    <w:rsid w:val="326E3F3C"/>
    <w:rsid w:val="327B3D21"/>
    <w:rsid w:val="327C3888"/>
    <w:rsid w:val="327E1445"/>
    <w:rsid w:val="3286221A"/>
    <w:rsid w:val="329338D7"/>
    <w:rsid w:val="32945DAC"/>
    <w:rsid w:val="329B3155"/>
    <w:rsid w:val="329C631F"/>
    <w:rsid w:val="32A24DE0"/>
    <w:rsid w:val="32AB0897"/>
    <w:rsid w:val="32AE266E"/>
    <w:rsid w:val="32B638BE"/>
    <w:rsid w:val="32B821ED"/>
    <w:rsid w:val="32CB3A84"/>
    <w:rsid w:val="32CD7010"/>
    <w:rsid w:val="32CE45BC"/>
    <w:rsid w:val="32D9201A"/>
    <w:rsid w:val="32DD3543"/>
    <w:rsid w:val="32E42D0F"/>
    <w:rsid w:val="32E779A4"/>
    <w:rsid w:val="330D4D94"/>
    <w:rsid w:val="33354DD5"/>
    <w:rsid w:val="33435E16"/>
    <w:rsid w:val="335F11B3"/>
    <w:rsid w:val="337B12FB"/>
    <w:rsid w:val="33846435"/>
    <w:rsid w:val="338D077F"/>
    <w:rsid w:val="33992851"/>
    <w:rsid w:val="339C5454"/>
    <w:rsid w:val="33A258FF"/>
    <w:rsid w:val="33AE7DAC"/>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B376C"/>
    <w:rsid w:val="34DC79C0"/>
    <w:rsid w:val="34E32E56"/>
    <w:rsid w:val="34EC4B86"/>
    <w:rsid w:val="351321CB"/>
    <w:rsid w:val="351B4997"/>
    <w:rsid w:val="35316542"/>
    <w:rsid w:val="35367A72"/>
    <w:rsid w:val="355171EC"/>
    <w:rsid w:val="3558034A"/>
    <w:rsid w:val="355E299F"/>
    <w:rsid w:val="355E6D49"/>
    <w:rsid w:val="35671EE7"/>
    <w:rsid w:val="3572663B"/>
    <w:rsid w:val="357D4C50"/>
    <w:rsid w:val="35870510"/>
    <w:rsid w:val="3591419B"/>
    <w:rsid w:val="35925B04"/>
    <w:rsid w:val="35963717"/>
    <w:rsid w:val="35AB2A03"/>
    <w:rsid w:val="35AF3549"/>
    <w:rsid w:val="35BC70FA"/>
    <w:rsid w:val="35C76B42"/>
    <w:rsid w:val="35CA49CB"/>
    <w:rsid w:val="35DA5213"/>
    <w:rsid w:val="35E542AE"/>
    <w:rsid w:val="35E55944"/>
    <w:rsid w:val="35EE7B1B"/>
    <w:rsid w:val="35F65FAD"/>
    <w:rsid w:val="36202050"/>
    <w:rsid w:val="364A7C84"/>
    <w:rsid w:val="36605016"/>
    <w:rsid w:val="366B7A53"/>
    <w:rsid w:val="366D649A"/>
    <w:rsid w:val="368259EE"/>
    <w:rsid w:val="3689301E"/>
    <w:rsid w:val="369C7E5C"/>
    <w:rsid w:val="36A22949"/>
    <w:rsid w:val="36B523AB"/>
    <w:rsid w:val="36BD5820"/>
    <w:rsid w:val="36C76D40"/>
    <w:rsid w:val="36D75131"/>
    <w:rsid w:val="36F44E23"/>
    <w:rsid w:val="371D2966"/>
    <w:rsid w:val="373062E8"/>
    <w:rsid w:val="375C1AC9"/>
    <w:rsid w:val="3769734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004D17"/>
    <w:rsid w:val="381B681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52E0C"/>
    <w:rsid w:val="38E80213"/>
    <w:rsid w:val="38E95212"/>
    <w:rsid w:val="38F3691D"/>
    <w:rsid w:val="3909408E"/>
    <w:rsid w:val="391C1C7A"/>
    <w:rsid w:val="39465968"/>
    <w:rsid w:val="394D1A3B"/>
    <w:rsid w:val="394F4D33"/>
    <w:rsid w:val="39514262"/>
    <w:rsid w:val="395F496C"/>
    <w:rsid w:val="39600E80"/>
    <w:rsid w:val="39803383"/>
    <w:rsid w:val="399A429F"/>
    <w:rsid w:val="399B72BC"/>
    <w:rsid w:val="39A73391"/>
    <w:rsid w:val="39A95A0D"/>
    <w:rsid w:val="39C70EC1"/>
    <w:rsid w:val="39D80C94"/>
    <w:rsid w:val="39E779C9"/>
    <w:rsid w:val="3A01261A"/>
    <w:rsid w:val="3A190439"/>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B243A2"/>
    <w:rsid w:val="3AD9763C"/>
    <w:rsid w:val="3AEA7C0F"/>
    <w:rsid w:val="3AEC01AD"/>
    <w:rsid w:val="3B002E8F"/>
    <w:rsid w:val="3B0A7991"/>
    <w:rsid w:val="3B100A85"/>
    <w:rsid w:val="3B107BEE"/>
    <w:rsid w:val="3B18283A"/>
    <w:rsid w:val="3B336F2F"/>
    <w:rsid w:val="3B567019"/>
    <w:rsid w:val="3B5C777B"/>
    <w:rsid w:val="3B691338"/>
    <w:rsid w:val="3B6B36CF"/>
    <w:rsid w:val="3B7076AC"/>
    <w:rsid w:val="3B7579C8"/>
    <w:rsid w:val="3B96787F"/>
    <w:rsid w:val="3BA60160"/>
    <w:rsid w:val="3BB46CD1"/>
    <w:rsid w:val="3BB6128D"/>
    <w:rsid w:val="3BD11411"/>
    <w:rsid w:val="3BD837A5"/>
    <w:rsid w:val="3BE05196"/>
    <w:rsid w:val="3BED4242"/>
    <w:rsid w:val="3BFC12CF"/>
    <w:rsid w:val="3C0000A6"/>
    <w:rsid w:val="3C173EBE"/>
    <w:rsid w:val="3C211702"/>
    <w:rsid w:val="3C2E7AA2"/>
    <w:rsid w:val="3C302F03"/>
    <w:rsid w:val="3C317DDD"/>
    <w:rsid w:val="3C336F35"/>
    <w:rsid w:val="3C3D3F09"/>
    <w:rsid w:val="3C457CDF"/>
    <w:rsid w:val="3C60369F"/>
    <w:rsid w:val="3C61573F"/>
    <w:rsid w:val="3C6A27AC"/>
    <w:rsid w:val="3C6E3E60"/>
    <w:rsid w:val="3C742BEB"/>
    <w:rsid w:val="3C744F7F"/>
    <w:rsid w:val="3C857740"/>
    <w:rsid w:val="3C8E02B7"/>
    <w:rsid w:val="3CA732CA"/>
    <w:rsid w:val="3CB004C5"/>
    <w:rsid w:val="3CB35047"/>
    <w:rsid w:val="3CB47F7E"/>
    <w:rsid w:val="3CB55DDB"/>
    <w:rsid w:val="3CB603EF"/>
    <w:rsid w:val="3CD00E00"/>
    <w:rsid w:val="3CD82621"/>
    <w:rsid w:val="3CDA00CF"/>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B064A"/>
    <w:rsid w:val="3D7C1281"/>
    <w:rsid w:val="3D821B83"/>
    <w:rsid w:val="3D8D1DDC"/>
    <w:rsid w:val="3D8E6A74"/>
    <w:rsid w:val="3D995C7E"/>
    <w:rsid w:val="3DA61EAB"/>
    <w:rsid w:val="3DB60CC1"/>
    <w:rsid w:val="3DBA29C6"/>
    <w:rsid w:val="3DCE2E82"/>
    <w:rsid w:val="3DD2333F"/>
    <w:rsid w:val="3DEC316F"/>
    <w:rsid w:val="3E000E38"/>
    <w:rsid w:val="3E037731"/>
    <w:rsid w:val="3E0B7563"/>
    <w:rsid w:val="3E0F09D9"/>
    <w:rsid w:val="3E1646C1"/>
    <w:rsid w:val="3E247488"/>
    <w:rsid w:val="3E305EE4"/>
    <w:rsid w:val="3E3248D0"/>
    <w:rsid w:val="3E360DF6"/>
    <w:rsid w:val="3E3D25F5"/>
    <w:rsid w:val="3E4E6762"/>
    <w:rsid w:val="3E536D63"/>
    <w:rsid w:val="3E5F5CBB"/>
    <w:rsid w:val="3E616BAF"/>
    <w:rsid w:val="3E6D2C21"/>
    <w:rsid w:val="3E70166E"/>
    <w:rsid w:val="3E752011"/>
    <w:rsid w:val="3E777661"/>
    <w:rsid w:val="3E8270FA"/>
    <w:rsid w:val="3E8D543F"/>
    <w:rsid w:val="3E8E2505"/>
    <w:rsid w:val="3E8F0C9A"/>
    <w:rsid w:val="3E9953AC"/>
    <w:rsid w:val="3E9D3F84"/>
    <w:rsid w:val="3E9F3605"/>
    <w:rsid w:val="3EA80B63"/>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A0030"/>
    <w:rsid w:val="3F8B7DD4"/>
    <w:rsid w:val="3F901403"/>
    <w:rsid w:val="3FA21405"/>
    <w:rsid w:val="3FA67914"/>
    <w:rsid w:val="3FA96E5D"/>
    <w:rsid w:val="3FAD1589"/>
    <w:rsid w:val="3FC04528"/>
    <w:rsid w:val="3FC379D7"/>
    <w:rsid w:val="3FCB012B"/>
    <w:rsid w:val="3FCB2D5B"/>
    <w:rsid w:val="3FD00447"/>
    <w:rsid w:val="3FD201AD"/>
    <w:rsid w:val="3FD27B2E"/>
    <w:rsid w:val="3FE71238"/>
    <w:rsid w:val="3FEE1DE8"/>
    <w:rsid w:val="3FFE5EFF"/>
    <w:rsid w:val="40171145"/>
    <w:rsid w:val="402104DC"/>
    <w:rsid w:val="402D3537"/>
    <w:rsid w:val="403075F2"/>
    <w:rsid w:val="40395203"/>
    <w:rsid w:val="40480E8F"/>
    <w:rsid w:val="404D32CE"/>
    <w:rsid w:val="40505868"/>
    <w:rsid w:val="40662C29"/>
    <w:rsid w:val="40742438"/>
    <w:rsid w:val="40791098"/>
    <w:rsid w:val="40932E75"/>
    <w:rsid w:val="409865C2"/>
    <w:rsid w:val="409F0717"/>
    <w:rsid w:val="40A70377"/>
    <w:rsid w:val="40A97C8F"/>
    <w:rsid w:val="40BC5D67"/>
    <w:rsid w:val="40CA2A6E"/>
    <w:rsid w:val="40CC7CA3"/>
    <w:rsid w:val="40D775A2"/>
    <w:rsid w:val="40DC23A0"/>
    <w:rsid w:val="40E165AE"/>
    <w:rsid w:val="40EE33BE"/>
    <w:rsid w:val="40F436BC"/>
    <w:rsid w:val="40F61783"/>
    <w:rsid w:val="4100601D"/>
    <w:rsid w:val="410C664B"/>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032ED"/>
    <w:rsid w:val="41925E9B"/>
    <w:rsid w:val="419B0F19"/>
    <w:rsid w:val="419B1BC4"/>
    <w:rsid w:val="419D5169"/>
    <w:rsid w:val="419D7C05"/>
    <w:rsid w:val="41A33A51"/>
    <w:rsid w:val="41A46863"/>
    <w:rsid w:val="41A739EA"/>
    <w:rsid w:val="41B3371C"/>
    <w:rsid w:val="41B4302C"/>
    <w:rsid w:val="41CC67E1"/>
    <w:rsid w:val="41D202C1"/>
    <w:rsid w:val="41DA3C01"/>
    <w:rsid w:val="41E3266D"/>
    <w:rsid w:val="41E5665C"/>
    <w:rsid w:val="41E70FD1"/>
    <w:rsid w:val="41F604FA"/>
    <w:rsid w:val="41FE6085"/>
    <w:rsid w:val="420068F9"/>
    <w:rsid w:val="42013C9E"/>
    <w:rsid w:val="420F24CA"/>
    <w:rsid w:val="421671F5"/>
    <w:rsid w:val="421C0994"/>
    <w:rsid w:val="42475B19"/>
    <w:rsid w:val="424F02B6"/>
    <w:rsid w:val="42523372"/>
    <w:rsid w:val="42672C44"/>
    <w:rsid w:val="42683145"/>
    <w:rsid w:val="427133C0"/>
    <w:rsid w:val="42715180"/>
    <w:rsid w:val="4277762F"/>
    <w:rsid w:val="428E0BFE"/>
    <w:rsid w:val="429D7D7D"/>
    <w:rsid w:val="42A861D3"/>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B25889"/>
    <w:rsid w:val="43C54950"/>
    <w:rsid w:val="43CC31B4"/>
    <w:rsid w:val="43CC79E5"/>
    <w:rsid w:val="43D44FF8"/>
    <w:rsid w:val="441557E3"/>
    <w:rsid w:val="44226F3F"/>
    <w:rsid w:val="4425659D"/>
    <w:rsid w:val="44286453"/>
    <w:rsid w:val="44371554"/>
    <w:rsid w:val="444B4817"/>
    <w:rsid w:val="444C54FC"/>
    <w:rsid w:val="444F2685"/>
    <w:rsid w:val="445451D4"/>
    <w:rsid w:val="44615639"/>
    <w:rsid w:val="44762FC6"/>
    <w:rsid w:val="44807EEA"/>
    <w:rsid w:val="4488431A"/>
    <w:rsid w:val="448F5706"/>
    <w:rsid w:val="44944331"/>
    <w:rsid w:val="449A539D"/>
    <w:rsid w:val="44A538D4"/>
    <w:rsid w:val="44B05905"/>
    <w:rsid w:val="44B52F8D"/>
    <w:rsid w:val="44B67F0B"/>
    <w:rsid w:val="44BB1103"/>
    <w:rsid w:val="44E81308"/>
    <w:rsid w:val="451317C4"/>
    <w:rsid w:val="45146D13"/>
    <w:rsid w:val="45252A65"/>
    <w:rsid w:val="45575AD5"/>
    <w:rsid w:val="455907EE"/>
    <w:rsid w:val="456B0823"/>
    <w:rsid w:val="457E0115"/>
    <w:rsid w:val="459B774E"/>
    <w:rsid w:val="45B62EC6"/>
    <w:rsid w:val="45B72AB1"/>
    <w:rsid w:val="45BA079F"/>
    <w:rsid w:val="45C13698"/>
    <w:rsid w:val="45C93D8C"/>
    <w:rsid w:val="45CC0EF3"/>
    <w:rsid w:val="45CC763D"/>
    <w:rsid w:val="45CF5AD4"/>
    <w:rsid w:val="45D61E17"/>
    <w:rsid w:val="45DD06D9"/>
    <w:rsid w:val="460D21F2"/>
    <w:rsid w:val="460E0469"/>
    <w:rsid w:val="460E0A15"/>
    <w:rsid w:val="4611445F"/>
    <w:rsid w:val="46146FE1"/>
    <w:rsid w:val="461909E8"/>
    <w:rsid w:val="462E79C9"/>
    <w:rsid w:val="4635298E"/>
    <w:rsid w:val="46355D58"/>
    <w:rsid w:val="463C04FA"/>
    <w:rsid w:val="464050BB"/>
    <w:rsid w:val="46405C21"/>
    <w:rsid w:val="46561BD8"/>
    <w:rsid w:val="465C4E3B"/>
    <w:rsid w:val="466B6702"/>
    <w:rsid w:val="466F037A"/>
    <w:rsid w:val="46725A79"/>
    <w:rsid w:val="467737E1"/>
    <w:rsid w:val="467C180C"/>
    <w:rsid w:val="468B577B"/>
    <w:rsid w:val="46A075FA"/>
    <w:rsid w:val="46A359DC"/>
    <w:rsid w:val="46A54FB3"/>
    <w:rsid w:val="46C826C3"/>
    <w:rsid w:val="46D040D1"/>
    <w:rsid w:val="46D47B0B"/>
    <w:rsid w:val="46D7121E"/>
    <w:rsid w:val="46DF2798"/>
    <w:rsid w:val="46E07671"/>
    <w:rsid w:val="46F84FBA"/>
    <w:rsid w:val="46FF57CE"/>
    <w:rsid w:val="47154F60"/>
    <w:rsid w:val="47162E3C"/>
    <w:rsid w:val="47476572"/>
    <w:rsid w:val="47700BCB"/>
    <w:rsid w:val="47727F60"/>
    <w:rsid w:val="47732DB6"/>
    <w:rsid w:val="47763121"/>
    <w:rsid w:val="478601BF"/>
    <w:rsid w:val="47B41393"/>
    <w:rsid w:val="47B94CE5"/>
    <w:rsid w:val="47C254B8"/>
    <w:rsid w:val="47DF082A"/>
    <w:rsid w:val="47EB5003"/>
    <w:rsid w:val="47F72214"/>
    <w:rsid w:val="48081128"/>
    <w:rsid w:val="480D3EC3"/>
    <w:rsid w:val="48144FED"/>
    <w:rsid w:val="481E0B19"/>
    <w:rsid w:val="482B26B0"/>
    <w:rsid w:val="483A31DC"/>
    <w:rsid w:val="483B02D3"/>
    <w:rsid w:val="48440530"/>
    <w:rsid w:val="484715CC"/>
    <w:rsid w:val="484F6870"/>
    <w:rsid w:val="485D476D"/>
    <w:rsid w:val="485D616F"/>
    <w:rsid w:val="4873370F"/>
    <w:rsid w:val="487C4980"/>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4C3B"/>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4487E"/>
    <w:rsid w:val="4C6B0365"/>
    <w:rsid w:val="4C7C64A4"/>
    <w:rsid w:val="4C9953D8"/>
    <w:rsid w:val="4C9C0858"/>
    <w:rsid w:val="4C9E0D0B"/>
    <w:rsid w:val="4CBF4AE9"/>
    <w:rsid w:val="4CCA7CF8"/>
    <w:rsid w:val="4CCC299D"/>
    <w:rsid w:val="4CCE1B7D"/>
    <w:rsid w:val="4D0A349B"/>
    <w:rsid w:val="4D0D2E78"/>
    <w:rsid w:val="4D0F04ED"/>
    <w:rsid w:val="4D164C7E"/>
    <w:rsid w:val="4D1749B6"/>
    <w:rsid w:val="4D283FC5"/>
    <w:rsid w:val="4D384A7C"/>
    <w:rsid w:val="4D3A0411"/>
    <w:rsid w:val="4D413BC0"/>
    <w:rsid w:val="4D427C91"/>
    <w:rsid w:val="4D561F8F"/>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106C4"/>
    <w:rsid w:val="50B11AF9"/>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573C7"/>
    <w:rsid w:val="51B661F2"/>
    <w:rsid w:val="51BB2EED"/>
    <w:rsid w:val="51BE3600"/>
    <w:rsid w:val="51D620B0"/>
    <w:rsid w:val="51E51BA8"/>
    <w:rsid w:val="51EE27E3"/>
    <w:rsid w:val="52040DD8"/>
    <w:rsid w:val="52101F45"/>
    <w:rsid w:val="52125E5B"/>
    <w:rsid w:val="5213342A"/>
    <w:rsid w:val="52163344"/>
    <w:rsid w:val="5216472B"/>
    <w:rsid w:val="52217FFE"/>
    <w:rsid w:val="5224307A"/>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3FA0EED"/>
    <w:rsid w:val="54010C17"/>
    <w:rsid w:val="540366C1"/>
    <w:rsid w:val="540459D3"/>
    <w:rsid w:val="540522B5"/>
    <w:rsid w:val="542406F9"/>
    <w:rsid w:val="54283548"/>
    <w:rsid w:val="542C2C82"/>
    <w:rsid w:val="543F012A"/>
    <w:rsid w:val="545F1D05"/>
    <w:rsid w:val="546136C7"/>
    <w:rsid w:val="54635F00"/>
    <w:rsid w:val="54661F54"/>
    <w:rsid w:val="546C3F2D"/>
    <w:rsid w:val="547F46DA"/>
    <w:rsid w:val="54944893"/>
    <w:rsid w:val="549F75FE"/>
    <w:rsid w:val="54A51CC5"/>
    <w:rsid w:val="54AF6C60"/>
    <w:rsid w:val="54B52F94"/>
    <w:rsid w:val="54BD36E4"/>
    <w:rsid w:val="54C547A5"/>
    <w:rsid w:val="54D05C30"/>
    <w:rsid w:val="54DD78BD"/>
    <w:rsid w:val="54E06144"/>
    <w:rsid w:val="54E5258C"/>
    <w:rsid w:val="54F41FB5"/>
    <w:rsid w:val="54F52367"/>
    <w:rsid w:val="550A393D"/>
    <w:rsid w:val="5525121F"/>
    <w:rsid w:val="555900AE"/>
    <w:rsid w:val="555B6E77"/>
    <w:rsid w:val="555E09D9"/>
    <w:rsid w:val="555E54FB"/>
    <w:rsid w:val="556848E1"/>
    <w:rsid w:val="556B7B91"/>
    <w:rsid w:val="556D2811"/>
    <w:rsid w:val="55767F46"/>
    <w:rsid w:val="557821AC"/>
    <w:rsid w:val="55B10A36"/>
    <w:rsid w:val="55BF5B90"/>
    <w:rsid w:val="55CE1AD5"/>
    <w:rsid w:val="55E206FC"/>
    <w:rsid w:val="55ED37B8"/>
    <w:rsid w:val="55F04C52"/>
    <w:rsid w:val="55F35D23"/>
    <w:rsid w:val="560E1061"/>
    <w:rsid w:val="56281CBC"/>
    <w:rsid w:val="562878FA"/>
    <w:rsid w:val="56333685"/>
    <w:rsid w:val="56540424"/>
    <w:rsid w:val="56674A08"/>
    <w:rsid w:val="567466BA"/>
    <w:rsid w:val="567B7B50"/>
    <w:rsid w:val="568F0DF7"/>
    <w:rsid w:val="56A332D5"/>
    <w:rsid w:val="56AD59C6"/>
    <w:rsid w:val="56B85F25"/>
    <w:rsid w:val="56C325A5"/>
    <w:rsid w:val="56C4174F"/>
    <w:rsid w:val="56C918DC"/>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9E5E58"/>
    <w:rsid w:val="57A21363"/>
    <w:rsid w:val="57A54C20"/>
    <w:rsid w:val="57A71406"/>
    <w:rsid w:val="57AC21FD"/>
    <w:rsid w:val="57B06D46"/>
    <w:rsid w:val="57B937A9"/>
    <w:rsid w:val="57BB4E50"/>
    <w:rsid w:val="57C34B39"/>
    <w:rsid w:val="57C94F80"/>
    <w:rsid w:val="57DE1F69"/>
    <w:rsid w:val="57E116B4"/>
    <w:rsid w:val="58097EA5"/>
    <w:rsid w:val="580C0140"/>
    <w:rsid w:val="580F431F"/>
    <w:rsid w:val="58100035"/>
    <w:rsid w:val="58275C28"/>
    <w:rsid w:val="583D2821"/>
    <w:rsid w:val="5846168C"/>
    <w:rsid w:val="587B6F7C"/>
    <w:rsid w:val="588D5412"/>
    <w:rsid w:val="58A22BE9"/>
    <w:rsid w:val="58BD6FD7"/>
    <w:rsid w:val="58C72E10"/>
    <w:rsid w:val="58CD3249"/>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41A62"/>
    <w:rsid w:val="59BC5C03"/>
    <w:rsid w:val="59BE115B"/>
    <w:rsid w:val="59CE313C"/>
    <w:rsid w:val="59D82CDA"/>
    <w:rsid w:val="59E474BD"/>
    <w:rsid w:val="59E869EC"/>
    <w:rsid w:val="59FC6B89"/>
    <w:rsid w:val="5A057FD1"/>
    <w:rsid w:val="5A143012"/>
    <w:rsid w:val="5A1530F9"/>
    <w:rsid w:val="5A261D0E"/>
    <w:rsid w:val="5A2907FC"/>
    <w:rsid w:val="5A2E6A84"/>
    <w:rsid w:val="5A3B0F06"/>
    <w:rsid w:val="5A412A61"/>
    <w:rsid w:val="5A4752E2"/>
    <w:rsid w:val="5A527BDD"/>
    <w:rsid w:val="5A6D3A47"/>
    <w:rsid w:val="5A7A7F4C"/>
    <w:rsid w:val="5A7D1253"/>
    <w:rsid w:val="5A850E4C"/>
    <w:rsid w:val="5A905E59"/>
    <w:rsid w:val="5A9311E7"/>
    <w:rsid w:val="5A95316F"/>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396C88"/>
    <w:rsid w:val="5D4F34F7"/>
    <w:rsid w:val="5D521435"/>
    <w:rsid w:val="5D6031C3"/>
    <w:rsid w:val="5D623C65"/>
    <w:rsid w:val="5D653EC8"/>
    <w:rsid w:val="5D68352E"/>
    <w:rsid w:val="5D7636FE"/>
    <w:rsid w:val="5D7F7A77"/>
    <w:rsid w:val="5D810CA8"/>
    <w:rsid w:val="5D864B2F"/>
    <w:rsid w:val="5D8C1819"/>
    <w:rsid w:val="5DC12889"/>
    <w:rsid w:val="5DC477E0"/>
    <w:rsid w:val="5DCA3061"/>
    <w:rsid w:val="5DD05318"/>
    <w:rsid w:val="5DD161BA"/>
    <w:rsid w:val="5DD50E72"/>
    <w:rsid w:val="5DE97207"/>
    <w:rsid w:val="5DEF6C2B"/>
    <w:rsid w:val="5DF22741"/>
    <w:rsid w:val="5DFB28F8"/>
    <w:rsid w:val="5DFE50F6"/>
    <w:rsid w:val="5E026A9A"/>
    <w:rsid w:val="5E050796"/>
    <w:rsid w:val="5E123553"/>
    <w:rsid w:val="5E186B89"/>
    <w:rsid w:val="5E202832"/>
    <w:rsid w:val="5E2D7C7A"/>
    <w:rsid w:val="5E4E3F80"/>
    <w:rsid w:val="5E5F4BD4"/>
    <w:rsid w:val="5E6B35BB"/>
    <w:rsid w:val="5E852B0D"/>
    <w:rsid w:val="5E8A7777"/>
    <w:rsid w:val="5E932264"/>
    <w:rsid w:val="5EA1268E"/>
    <w:rsid w:val="5EB029CD"/>
    <w:rsid w:val="5ED20F44"/>
    <w:rsid w:val="5ED656F0"/>
    <w:rsid w:val="5EDF3DC8"/>
    <w:rsid w:val="5EE7073E"/>
    <w:rsid w:val="5EEC61AE"/>
    <w:rsid w:val="5EF641A0"/>
    <w:rsid w:val="5EF67A22"/>
    <w:rsid w:val="5EFB4ED5"/>
    <w:rsid w:val="5F0501F2"/>
    <w:rsid w:val="5F123BC6"/>
    <w:rsid w:val="5F184877"/>
    <w:rsid w:val="5F1A7A37"/>
    <w:rsid w:val="5F2E2567"/>
    <w:rsid w:val="5F2E3F46"/>
    <w:rsid w:val="5F406402"/>
    <w:rsid w:val="5F474C09"/>
    <w:rsid w:val="5F475D4B"/>
    <w:rsid w:val="5F4B022D"/>
    <w:rsid w:val="5F63419E"/>
    <w:rsid w:val="5F6B086B"/>
    <w:rsid w:val="5F736746"/>
    <w:rsid w:val="5F7B52AA"/>
    <w:rsid w:val="5F880842"/>
    <w:rsid w:val="5F8B3911"/>
    <w:rsid w:val="5F950838"/>
    <w:rsid w:val="5FC1728F"/>
    <w:rsid w:val="5FD27659"/>
    <w:rsid w:val="5FD95A66"/>
    <w:rsid w:val="5FDF2255"/>
    <w:rsid w:val="5FDF7A00"/>
    <w:rsid w:val="5FE12AC5"/>
    <w:rsid w:val="5FF309C7"/>
    <w:rsid w:val="5FF67529"/>
    <w:rsid w:val="5FFC4765"/>
    <w:rsid w:val="5FFF6DC4"/>
    <w:rsid w:val="60046C0F"/>
    <w:rsid w:val="600E4F7F"/>
    <w:rsid w:val="601230C0"/>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916138"/>
    <w:rsid w:val="61A26760"/>
    <w:rsid w:val="61AF5CD6"/>
    <w:rsid w:val="61BC217C"/>
    <w:rsid w:val="61D9772A"/>
    <w:rsid w:val="61DA1B5D"/>
    <w:rsid w:val="61DB33CF"/>
    <w:rsid w:val="61EB4962"/>
    <w:rsid w:val="61EF0933"/>
    <w:rsid w:val="61F02594"/>
    <w:rsid w:val="61F2327B"/>
    <w:rsid w:val="61F64176"/>
    <w:rsid w:val="61F6471A"/>
    <w:rsid w:val="61F97578"/>
    <w:rsid w:val="61FA7AC8"/>
    <w:rsid w:val="623942AC"/>
    <w:rsid w:val="62413765"/>
    <w:rsid w:val="625A4915"/>
    <w:rsid w:val="625E2011"/>
    <w:rsid w:val="626E5BD1"/>
    <w:rsid w:val="627803DA"/>
    <w:rsid w:val="627966B2"/>
    <w:rsid w:val="62921FA4"/>
    <w:rsid w:val="62A06349"/>
    <w:rsid w:val="62BF1D8B"/>
    <w:rsid w:val="62C83DFB"/>
    <w:rsid w:val="62CB6DF0"/>
    <w:rsid w:val="62D03FE1"/>
    <w:rsid w:val="62D33B5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9A2640"/>
    <w:rsid w:val="64AA7760"/>
    <w:rsid w:val="64AF5C1A"/>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41E21"/>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32238"/>
    <w:rsid w:val="66087C36"/>
    <w:rsid w:val="660A413F"/>
    <w:rsid w:val="661A0E12"/>
    <w:rsid w:val="66214D7C"/>
    <w:rsid w:val="6624580B"/>
    <w:rsid w:val="6625001A"/>
    <w:rsid w:val="662A15EB"/>
    <w:rsid w:val="66356B67"/>
    <w:rsid w:val="665078F8"/>
    <w:rsid w:val="66707FEA"/>
    <w:rsid w:val="66760042"/>
    <w:rsid w:val="667B6C3F"/>
    <w:rsid w:val="66823E25"/>
    <w:rsid w:val="66933BD2"/>
    <w:rsid w:val="6696380F"/>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5A13EB"/>
    <w:rsid w:val="67622FB4"/>
    <w:rsid w:val="676E6425"/>
    <w:rsid w:val="677214A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AB4C28"/>
    <w:rsid w:val="68B71B00"/>
    <w:rsid w:val="68B87F12"/>
    <w:rsid w:val="68C25CFA"/>
    <w:rsid w:val="68C731B8"/>
    <w:rsid w:val="68D536DE"/>
    <w:rsid w:val="68D979E8"/>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197179"/>
    <w:rsid w:val="6A22015C"/>
    <w:rsid w:val="6A265076"/>
    <w:rsid w:val="6A3A6E53"/>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844"/>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173DD"/>
    <w:rsid w:val="6C524744"/>
    <w:rsid w:val="6C531367"/>
    <w:rsid w:val="6C5973BD"/>
    <w:rsid w:val="6C5F452A"/>
    <w:rsid w:val="6C762792"/>
    <w:rsid w:val="6C7D1213"/>
    <w:rsid w:val="6C801375"/>
    <w:rsid w:val="6C822E35"/>
    <w:rsid w:val="6CA31B9D"/>
    <w:rsid w:val="6CA714E6"/>
    <w:rsid w:val="6CBF7E9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B526C"/>
    <w:rsid w:val="6D9F05AA"/>
    <w:rsid w:val="6DBE0F5A"/>
    <w:rsid w:val="6DBF3CF2"/>
    <w:rsid w:val="6DCD4F84"/>
    <w:rsid w:val="6DCE3EDB"/>
    <w:rsid w:val="6DD23F1E"/>
    <w:rsid w:val="6DD4500A"/>
    <w:rsid w:val="6DDB4275"/>
    <w:rsid w:val="6DEE2081"/>
    <w:rsid w:val="6E0135EB"/>
    <w:rsid w:val="6E0A26D3"/>
    <w:rsid w:val="6E1B7D7D"/>
    <w:rsid w:val="6E210E7D"/>
    <w:rsid w:val="6E272FA3"/>
    <w:rsid w:val="6E336938"/>
    <w:rsid w:val="6E360304"/>
    <w:rsid w:val="6E4C0EF4"/>
    <w:rsid w:val="6E4E028C"/>
    <w:rsid w:val="6E4E2CC7"/>
    <w:rsid w:val="6E565A56"/>
    <w:rsid w:val="6E5C1E9E"/>
    <w:rsid w:val="6E5D68D3"/>
    <w:rsid w:val="6E6611F0"/>
    <w:rsid w:val="6E682450"/>
    <w:rsid w:val="6E6A511F"/>
    <w:rsid w:val="6E7004A6"/>
    <w:rsid w:val="6E720DA7"/>
    <w:rsid w:val="6E7251F0"/>
    <w:rsid w:val="6E757524"/>
    <w:rsid w:val="6E7934F3"/>
    <w:rsid w:val="6E9C5623"/>
    <w:rsid w:val="6E9E05A5"/>
    <w:rsid w:val="6EA77E4F"/>
    <w:rsid w:val="6EAD6286"/>
    <w:rsid w:val="6EB147D3"/>
    <w:rsid w:val="6EB24C59"/>
    <w:rsid w:val="6EBD3CCD"/>
    <w:rsid w:val="6EC9468F"/>
    <w:rsid w:val="6ECD60E1"/>
    <w:rsid w:val="6EDB6C60"/>
    <w:rsid w:val="6EE64158"/>
    <w:rsid w:val="6F0F28B8"/>
    <w:rsid w:val="6F2428C0"/>
    <w:rsid w:val="6F350CF1"/>
    <w:rsid w:val="6F3A17D7"/>
    <w:rsid w:val="6F433285"/>
    <w:rsid w:val="6F4F3F90"/>
    <w:rsid w:val="6F5437E3"/>
    <w:rsid w:val="6F5879C5"/>
    <w:rsid w:val="6F591B5D"/>
    <w:rsid w:val="6F6127DE"/>
    <w:rsid w:val="6F737553"/>
    <w:rsid w:val="6F746E24"/>
    <w:rsid w:val="6F7E65DB"/>
    <w:rsid w:val="6F7F6D3A"/>
    <w:rsid w:val="6F8D476D"/>
    <w:rsid w:val="6F9016E6"/>
    <w:rsid w:val="6F981073"/>
    <w:rsid w:val="6FA172A4"/>
    <w:rsid w:val="6FAE5CE6"/>
    <w:rsid w:val="6FE07DD0"/>
    <w:rsid w:val="6FEC6F26"/>
    <w:rsid w:val="6FF72D78"/>
    <w:rsid w:val="6FFF65EB"/>
    <w:rsid w:val="701A3FE1"/>
    <w:rsid w:val="701A7D3E"/>
    <w:rsid w:val="702C34C5"/>
    <w:rsid w:val="702D3A00"/>
    <w:rsid w:val="70341230"/>
    <w:rsid w:val="70342FAD"/>
    <w:rsid w:val="7034472B"/>
    <w:rsid w:val="703721C4"/>
    <w:rsid w:val="704310F0"/>
    <w:rsid w:val="7048073F"/>
    <w:rsid w:val="705A14E5"/>
    <w:rsid w:val="705A4D1B"/>
    <w:rsid w:val="705F37D3"/>
    <w:rsid w:val="707A4F0F"/>
    <w:rsid w:val="7084369E"/>
    <w:rsid w:val="708B108A"/>
    <w:rsid w:val="709143C4"/>
    <w:rsid w:val="70930271"/>
    <w:rsid w:val="70A94390"/>
    <w:rsid w:val="70CB3DC2"/>
    <w:rsid w:val="70DB5146"/>
    <w:rsid w:val="70E51B6F"/>
    <w:rsid w:val="70E561EA"/>
    <w:rsid w:val="70F40322"/>
    <w:rsid w:val="70F9595A"/>
    <w:rsid w:val="70FA4092"/>
    <w:rsid w:val="70FC3C7A"/>
    <w:rsid w:val="7104159B"/>
    <w:rsid w:val="71075B1A"/>
    <w:rsid w:val="710E7F44"/>
    <w:rsid w:val="71193089"/>
    <w:rsid w:val="71211292"/>
    <w:rsid w:val="71243B68"/>
    <w:rsid w:val="712776C4"/>
    <w:rsid w:val="712A41BD"/>
    <w:rsid w:val="7131135C"/>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31235"/>
    <w:rsid w:val="71C90ED8"/>
    <w:rsid w:val="71D72430"/>
    <w:rsid w:val="71E12038"/>
    <w:rsid w:val="71FC2D88"/>
    <w:rsid w:val="720A6753"/>
    <w:rsid w:val="720F4AFB"/>
    <w:rsid w:val="72112B83"/>
    <w:rsid w:val="72143F3C"/>
    <w:rsid w:val="721F61D9"/>
    <w:rsid w:val="722333A8"/>
    <w:rsid w:val="722A1999"/>
    <w:rsid w:val="72356373"/>
    <w:rsid w:val="723637B5"/>
    <w:rsid w:val="723D42BE"/>
    <w:rsid w:val="72412901"/>
    <w:rsid w:val="72553DBC"/>
    <w:rsid w:val="72777556"/>
    <w:rsid w:val="72887B37"/>
    <w:rsid w:val="72910320"/>
    <w:rsid w:val="72A53302"/>
    <w:rsid w:val="72B3410C"/>
    <w:rsid w:val="72BD6DA9"/>
    <w:rsid w:val="72C374FB"/>
    <w:rsid w:val="72CB01B8"/>
    <w:rsid w:val="72CB5E1F"/>
    <w:rsid w:val="72D95B00"/>
    <w:rsid w:val="72F66709"/>
    <w:rsid w:val="72F9343E"/>
    <w:rsid w:val="730554B3"/>
    <w:rsid w:val="73092FAA"/>
    <w:rsid w:val="73272012"/>
    <w:rsid w:val="732C3102"/>
    <w:rsid w:val="73413694"/>
    <w:rsid w:val="734608F5"/>
    <w:rsid w:val="7365663A"/>
    <w:rsid w:val="736D4BAC"/>
    <w:rsid w:val="736F1AFC"/>
    <w:rsid w:val="73726A6F"/>
    <w:rsid w:val="738D1AFA"/>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420232"/>
    <w:rsid w:val="746075B0"/>
    <w:rsid w:val="746B6757"/>
    <w:rsid w:val="747228EA"/>
    <w:rsid w:val="74780C44"/>
    <w:rsid w:val="7479294A"/>
    <w:rsid w:val="74794607"/>
    <w:rsid w:val="747B5C9D"/>
    <w:rsid w:val="747F1177"/>
    <w:rsid w:val="748028C0"/>
    <w:rsid w:val="748431AE"/>
    <w:rsid w:val="7499003B"/>
    <w:rsid w:val="74A471EE"/>
    <w:rsid w:val="74A536E0"/>
    <w:rsid w:val="74AB58BC"/>
    <w:rsid w:val="74AF159B"/>
    <w:rsid w:val="74C01A5C"/>
    <w:rsid w:val="74C111AB"/>
    <w:rsid w:val="74C768EE"/>
    <w:rsid w:val="74CA493F"/>
    <w:rsid w:val="74E97F38"/>
    <w:rsid w:val="74ED6920"/>
    <w:rsid w:val="74F13E40"/>
    <w:rsid w:val="75065956"/>
    <w:rsid w:val="750B1697"/>
    <w:rsid w:val="751509C7"/>
    <w:rsid w:val="7525120A"/>
    <w:rsid w:val="752902C5"/>
    <w:rsid w:val="752A3F7B"/>
    <w:rsid w:val="7533655A"/>
    <w:rsid w:val="753A3853"/>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756AB"/>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877462"/>
    <w:rsid w:val="76936F16"/>
    <w:rsid w:val="769909A0"/>
    <w:rsid w:val="76993FC0"/>
    <w:rsid w:val="76A10D28"/>
    <w:rsid w:val="76A64EB2"/>
    <w:rsid w:val="76BC1014"/>
    <w:rsid w:val="76D7331B"/>
    <w:rsid w:val="76D95E1E"/>
    <w:rsid w:val="76FD5EA3"/>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5284D"/>
    <w:rsid w:val="783719D4"/>
    <w:rsid w:val="78386307"/>
    <w:rsid w:val="783A63BE"/>
    <w:rsid w:val="78493B6B"/>
    <w:rsid w:val="7850391E"/>
    <w:rsid w:val="78586B5B"/>
    <w:rsid w:val="78597E32"/>
    <w:rsid w:val="78703EBE"/>
    <w:rsid w:val="78805A36"/>
    <w:rsid w:val="78830880"/>
    <w:rsid w:val="789456D9"/>
    <w:rsid w:val="78970F49"/>
    <w:rsid w:val="78A51D8F"/>
    <w:rsid w:val="78AE0946"/>
    <w:rsid w:val="78BE4153"/>
    <w:rsid w:val="78C10296"/>
    <w:rsid w:val="78D02D1A"/>
    <w:rsid w:val="78D1727E"/>
    <w:rsid w:val="78D17516"/>
    <w:rsid w:val="78D96E40"/>
    <w:rsid w:val="78DB3B1D"/>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4A00C1"/>
    <w:rsid w:val="7B55415F"/>
    <w:rsid w:val="7B69789C"/>
    <w:rsid w:val="7B6F1B2C"/>
    <w:rsid w:val="7B875C60"/>
    <w:rsid w:val="7BA1117B"/>
    <w:rsid w:val="7BA76397"/>
    <w:rsid w:val="7BB151FD"/>
    <w:rsid w:val="7BB43296"/>
    <w:rsid w:val="7BBE12F2"/>
    <w:rsid w:val="7BC94EE7"/>
    <w:rsid w:val="7BCA2EE2"/>
    <w:rsid w:val="7BD075CC"/>
    <w:rsid w:val="7BDE6C84"/>
    <w:rsid w:val="7BE07A81"/>
    <w:rsid w:val="7BE81B8B"/>
    <w:rsid w:val="7BE97D38"/>
    <w:rsid w:val="7BED162A"/>
    <w:rsid w:val="7BF01170"/>
    <w:rsid w:val="7C2230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4F7E21"/>
    <w:rsid w:val="7D5607A5"/>
    <w:rsid w:val="7D5C29E8"/>
    <w:rsid w:val="7D6C69AF"/>
    <w:rsid w:val="7D7A7BC6"/>
    <w:rsid w:val="7D823D52"/>
    <w:rsid w:val="7D995EB0"/>
    <w:rsid w:val="7DA26A7F"/>
    <w:rsid w:val="7DA90065"/>
    <w:rsid w:val="7DBB08B6"/>
    <w:rsid w:val="7DBC7173"/>
    <w:rsid w:val="7DC815C9"/>
    <w:rsid w:val="7DD90B59"/>
    <w:rsid w:val="7DEF15A6"/>
    <w:rsid w:val="7DF103B9"/>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8C2C66"/>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34</TotalTime>
  <ScaleCrop>false</ScaleCrop>
  <LinksUpToDate>false</LinksUpToDate>
  <CharactersWithSpaces>26786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2022-02-24T07:36:21Z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2052-11.1.0.11365</vt:lpwstr>
  </property>
  <property fmtid="{D5CDD505-2E9C-101B-9397-08002B2CF9AE}" pid="4" name="ICV">
    <vt:lpwstr>D366F8CEF0B34B9A839F473A36DCA92E</vt:lpwstr>
  </property>
</Properties>
</file>