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-810895</wp:posOffset>
            </wp:positionH>
            <wp:positionV relativeFrom="paragraph">
              <wp:posOffset>-957580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1.20</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11</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bookmarkStart w:id="35" w:name="_GoBack"/>
      <w:bookmarkEnd w:id="35"/>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tbl>
      <w:tblPr>
        <w:tblStyle w:val="24"/>
        <w:tblW w:w="5000" w:type="pct"/>
        <w:tblInd w:w="0" w:type="dxa"/>
        <w:tblLayout w:type="autofit"/>
        <w:tblCellMar>
          <w:top w:w="15" w:type="dxa"/>
          <w:left w:w="15" w:type="dxa"/>
          <w:bottom w:w="15" w:type="dxa"/>
          <w:right w:w="15" w:type="dxa"/>
        </w:tblCellMar>
      </w:tblPr>
      <w:tblGrid>
        <w:gridCol w:w="1456"/>
        <w:gridCol w:w="800"/>
        <w:gridCol w:w="800"/>
        <w:gridCol w:w="6726"/>
      </w:tblGrid>
      <w:tr>
        <w:tblPrEx>
          <w:tblCellMar>
            <w:top w:w="15" w:type="dxa"/>
            <w:left w:w="15" w:type="dxa"/>
            <w:bottom w:w="15" w:type="dxa"/>
            <w:right w:w="15" w:type="dxa"/>
          </w:tblCellMar>
        </w:tblPrEx>
        <w:trPr>
          <w:trHeight w:val="283" w:hRule="atLeast"/>
          <w:tblHeader/>
        </w:trPr>
        <w:tc>
          <w:tcPr>
            <w:tcW w:w="744"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1" w:name="_Toc67556952"/>
            <w:bookmarkStart w:id="2" w:name="_Toc27031"/>
            <w:r>
              <w:rPr>
                <w:rFonts w:hint="eastAsia" w:ascii="宋体" w:hAnsi="宋体" w:cs="华文仿宋"/>
                <w:b/>
                <w:color w:val="000000"/>
                <w:kern w:val="0"/>
                <w:sz w:val="18"/>
                <w:szCs w:val="18"/>
                <w:lang w:bidi="ar"/>
              </w:rPr>
              <w:t>日期</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37"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744"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2022/1/13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82.12</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84.47</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受奥密克戎变异株影响美国汽油需求下降，上周美国初请失业金人数增加，交易商获利回吐， 国际油价小幅下跌。</w:t>
            </w:r>
          </w:p>
        </w:tc>
      </w:tr>
      <w:tr>
        <w:tblPrEx>
          <w:tblCellMar>
            <w:top w:w="15" w:type="dxa"/>
            <w:left w:w="15" w:type="dxa"/>
            <w:bottom w:w="15" w:type="dxa"/>
            <w:right w:w="15" w:type="dxa"/>
          </w:tblCellMar>
        </w:tblPrEx>
        <w:trPr>
          <w:trHeight w:val="283" w:hRule="atLeast"/>
        </w:trPr>
        <w:tc>
          <w:tcPr>
            <w:tcW w:w="744"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2022/1/14</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83.82</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86.06</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受供应紧张和地缘政治影响， 国际油价强劲反弹至两个半月以来最高，美元汇率下跌也支撑 石油市场气氛。</w:t>
            </w:r>
          </w:p>
        </w:tc>
      </w:tr>
      <w:tr>
        <w:tblPrEx>
          <w:tblCellMar>
            <w:top w:w="15" w:type="dxa"/>
            <w:left w:w="15" w:type="dxa"/>
            <w:bottom w:w="15" w:type="dxa"/>
            <w:right w:w="15" w:type="dxa"/>
          </w:tblCellMar>
        </w:tblPrEx>
        <w:trPr>
          <w:trHeight w:val="283" w:hRule="atLeast"/>
        </w:trPr>
        <w:tc>
          <w:tcPr>
            <w:tcW w:w="744"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2022/1/17</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default" w:eastAsia="宋体"/>
                <w:sz w:val="18"/>
                <w:szCs w:val="18"/>
                <w:lang w:val="en-US" w:eastAsia="zh-CN"/>
              </w:rPr>
            </w:pPr>
            <w:r>
              <w:rPr>
                <w:rFonts w:hint="eastAsia" w:eastAsia="宋体"/>
                <w:sz w:val="18"/>
                <w:szCs w:val="18"/>
                <w:lang w:val="en-US" w:eastAsia="zh-CN"/>
              </w:rPr>
              <w:t>-</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86.48</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投资者押注主要产油国限产，全球需求未受奥密克戎变异株干扰的情况，供应将保持紧张， 布伦特 原油期货继续上涨。</w:t>
            </w:r>
          </w:p>
        </w:tc>
      </w:tr>
      <w:tr>
        <w:tblPrEx>
          <w:tblCellMar>
            <w:top w:w="15" w:type="dxa"/>
            <w:left w:w="15" w:type="dxa"/>
            <w:bottom w:w="15" w:type="dxa"/>
            <w:right w:w="15" w:type="dxa"/>
          </w:tblCellMar>
        </w:tblPrEx>
        <w:trPr>
          <w:trHeight w:val="283" w:hRule="atLeast"/>
        </w:trPr>
        <w:tc>
          <w:tcPr>
            <w:tcW w:w="744"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2022/1/18</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85.43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87.51</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sz w:val="18"/>
                <w:szCs w:val="18"/>
              </w:rPr>
            </w:pPr>
            <w:r>
              <w:rPr>
                <w:sz w:val="18"/>
                <w:szCs w:val="18"/>
              </w:rPr>
              <w:t>中东产油国阿联酋遭袭，担心石油供应中断， 国际油价急涨，欧美 原油期货涨至七年来最高价位。</w:t>
            </w:r>
          </w:p>
        </w:tc>
      </w:tr>
      <w:tr>
        <w:tblPrEx>
          <w:tblCellMar>
            <w:top w:w="15" w:type="dxa"/>
            <w:left w:w="15" w:type="dxa"/>
            <w:bottom w:w="15" w:type="dxa"/>
            <w:right w:w="15" w:type="dxa"/>
          </w:tblCellMar>
        </w:tblPrEx>
        <w:trPr>
          <w:trHeight w:val="283" w:hRule="atLeast"/>
        </w:trPr>
        <w:tc>
          <w:tcPr>
            <w:tcW w:w="744"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2022/1/19</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86.96</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eastAsia="宋体"/>
                <w:sz w:val="18"/>
                <w:szCs w:val="18"/>
                <w:lang w:val="en-US" w:eastAsia="zh-CN"/>
              </w:rPr>
            </w:pPr>
            <w:r>
              <w:rPr>
                <w:rFonts w:hint="eastAsia" w:eastAsia="宋体"/>
                <w:sz w:val="18"/>
                <w:szCs w:val="18"/>
                <w:lang w:val="en-US" w:eastAsia="zh-CN"/>
              </w:rPr>
              <w:t>88.44</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sz w:val="18"/>
                <w:szCs w:val="18"/>
              </w:rPr>
            </w:pPr>
            <w:r>
              <w:rPr>
                <w:sz w:val="18"/>
                <w:szCs w:val="18"/>
              </w:rPr>
              <w:t>伊拉克到土耳其石油管道因火灾暂时中断，供应担忧持续存在，加之国际能源署上调石油需求预测， 国际油价继续收于七年多来的最高水平， 布伦特 原油期货盘中突破每桶89美。</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19234"/>
      <w:bookmarkStart w:id="4" w:name="_Toc67556953"/>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eastAsia="宋体" w:cs="Arial"/>
          <w:b/>
          <w:kern w:val="0"/>
          <w:sz w:val="30"/>
          <w:szCs w:val="30"/>
          <w:lang w:eastAsia="zh-CN"/>
        </w:rPr>
        <w:drawing>
          <wp:inline distT="0" distB="0" distL="114300" distR="114300">
            <wp:extent cx="5952490" cy="4522470"/>
            <wp:effectExtent l="0" t="0" r="10160" b="11430"/>
            <wp:docPr id="8" name="图片 3"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19"/>
                    <pic:cNvPicPr>
                      <a:picLocks noChangeAspect="1"/>
                    </pic:cNvPicPr>
                  </pic:nvPicPr>
                  <pic:blipFill>
                    <a:blip r:embed="rId8"/>
                    <a:stretch>
                      <a:fillRect/>
                    </a:stretch>
                  </pic:blipFill>
                  <pic:spPr>
                    <a:xfrm>
                      <a:off x="0" y="0"/>
                      <a:ext cx="5952490" cy="452247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67556955"/>
      <w:bookmarkStart w:id="9" w:name="_Toc12072"/>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keepNext w:val="0"/>
        <w:keepLines w:val="0"/>
        <w:widowControl/>
        <w:suppressLineNumbers w:val="0"/>
        <w:ind w:firstLine="360" w:firstLineChars="200"/>
        <w:rPr>
          <w:rFonts w:hint="eastAsia" w:eastAsia="宋体"/>
          <w:sz w:val="18"/>
          <w:szCs w:val="18"/>
        </w:rPr>
      </w:pPr>
      <w:bookmarkStart w:id="10" w:name="_Toc69977252"/>
      <w:bookmarkStart w:id="11" w:name="_Toc8280"/>
      <w:r>
        <w:rPr>
          <w:rFonts w:hint="eastAsia" w:eastAsia="宋体"/>
          <w:sz w:val="18"/>
          <w:szCs w:val="18"/>
        </w:rPr>
        <w:t>本周，美国EIA公布的数据显示，截至1月7日当周美国除却战略储备的商业原油库存降幅超预期，但精炼油库存和汽油库存增幅超预期。具体数据显示，美国截至1月7日当周EIA原油库存变动实际公布减少455.3万桶，预期减少185万桶，前值减少214.4万桶。此外，美国截至1月7日当周EIA汽油库存实际公布增加796.1万桶，预期增加170万桶，前值增加441.8万桶;美国截至1月7日当周EIA精炼油库存实际公布增加253.7 万桶，预期增加275万桶，前值增加1012.8万桶。EIA报告显示，美国1月7日当周海湾沿岸原油库存跌至2020年1月以来的最低水平。美国1月7日当周EIA原油库存降至2018年10月以来最低。美国石油协会API发布的数据显示，截至1月7日当周API原油库存减少107.7万桶，预期减少195万桶，前值减少643.2万桶。API库欣原油库存减少365.9万桶，前值增加226.8万桶;API汽油库存增加1086万桶，前值增加706.1万桶;API馏分油库存增加303.5万桶，前值增加438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ind w:firstLine="360" w:firstLineChars="200"/>
        <w:rPr>
          <w:rFonts w:eastAsia="宋体"/>
          <w:sz w:val="18"/>
          <w:szCs w:val="18"/>
        </w:rPr>
      </w:pPr>
      <w:bookmarkStart w:id="12" w:name="_Toc11654"/>
      <w:bookmarkStart w:id="13" w:name="_Toc76629721"/>
      <w:bookmarkStart w:id="14" w:name="_Toc69977253"/>
      <w:r>
        <w:rPr>
          <w:rFonts w:eastAsia="宋体"/>
          <w:sz w:val="18"/>
          <w:szCs w:val="18"/>
        </w:rPr>
        <w:t>美国近日公布一系列官方数据，凸显当前美国通货膨胀、供应链及劳动力等因素对该国经济增长构成的多重制约。国际观察人士认为，面对经济挑战加剧，美国计划通过加快收紧货币政策等手段为高通胀“降温”，但这一做法副作用明显，或将让全球特别是新兴经济体付出沉重代价。</w:t>
      </w:r>
    </w:p>
    <w:p>
      <w:pPr>
        <w:pStyle w:val="23"/>
        <w:ind w:firstLine="360" w:firstLineChars="200"/>
        <w:rPr>
          <w:rFonts w:eastAsia="宋体"/>
          <w:sz w:val="18"/>
          <w:szCs w:val="18"/>
        </w:rPr>
      </w:pPr>
      <w:r>
        <w:rPr>
          <w:rFonts w:eastAsia="宋体"/>
          <w:sz w:val="18"/>
          <w:szCs w:val="18"/>
        </w:rPr>
        <w:t>增长“堵”在哪里?</w:t>
      </w:r>
    </w:p>
    <w:p>
      <w:pPr>
        <w:pStyle w:val="23"/>
        <w:ind w:firstLine="360" w:firstLineChars="200"/>
        <w:rPr>
          <w:rFonts w:eastAsia="宋体"/>
          <w:sz w:val="18"/>
          <w:szCs w:val="18"/>
        </w:rPr>
      </w:pPr>
      <w:r>
        <w:rPr>
          <w:rFonts w:eastAsia="宋体"/>
          <w:sz w:val="18"/>
          <w:szCs w:val="18"/>
        </w:rPr>
        <w:t>美国联邦储备委员会12日发布全国经济形势调查报告显示，美国经济活动温和扩张，但很多地区经济增长继续受到供应链中断和劳动力短缺限制。</w:t>
      </w:r>
    </w:p>
    <w:p>
      <w:pPr>
        <w:pStyle w:val="23"/>
        <w:ind w:firstLine="360" w:firstLineChars="200"/>
        <w:rPr>
          <w:rFonts w:eastAsia="宋体"/>
          <w:sz w:val="18"/>
          <w:szCs w:val="18"/>
        </w:rPr>
      </w:pPr>
      <w:r>
        <w:rPr>
          <w:rFonts w:eastAsia="宋体"/>
          <w:sz w:val="18"/>
          <w:szCs w:val="18"/>
        </w:rPr>
        <w:t>美国约翰斯·霍普金斯大学统计数据显示，美国10日新增新冠确诊病例近150万例，再创疫情暴发以来新高。</w:t>
      </w:r>
    </w:p>
    <w:p>
      <w:pPr>
        <w:pStyle w:val="23"/>
        <w:ind w:firstLine="360" w:firstLineChars="200"/>
        <w:rPr>
          <w:rFonts w:eastAsia="宋体"/>
          <w:sz w:val="18"/>
          <w:szCs w:val="18"/>
        </w:rPr>
      </w:pPr>
      <w:r>
        <w:rPr>
          <w:rFonts w:eastAsia="宋体"/>
          <w:sz w:val="18"/>
          <w:szCs w:val="18"/>
        </w:rPr>
        <w:t>受变异新冠病毒奥密克戎毒株快速蔓延影响，多数地区休闲旅游、酒店住宿以及餐厅用餐活动骤降。就业市场空缺职位有所增加，即便薪资上涨也难改劳动力短缺情况。</w:t>
      </w:r>
    </w:p>
    <w:p>
      <w:pPr>
        <w:pStyle w:val="23"/>
        <w:ind w:firstLine="360" w:firstLineChars="200"/>
        <w:rPr>
          <w:rFonts w:eastAsia="宋体"/>
          <w:sz w:val="18"/>
          <w:szCs w:val="18"/>
        </w:rPr>
      </w:pPr>
      <w:r>
        <w:rPr>
          <w:rFonts w:eastAsia="宋体"/>
          <w:sz w:val="18"/>
          <w:szCs w:val="18"/>
        </w:rPr>
        <w:t>供应链瓶颈、薪资上涨和货币政策过度宽松等因素正导致通胀“高烧”。美国劳工部最新数据显示，去年12月美国消费者价格指数(CPI)同比上涨7%，是自1982年6月以来同比涨幅首次“破七”。</w:t>
      </w:r>
    </w:p>
    <w:p>
      <w:pPr>
        <w:pStyle w:val="23"/>
        <w:ind w:firstLine="360" w:firstLineChars="200"/>
        <w:rPr>
          <w:rFonts w:eastAsia="宋体"/>
          <w:sz w:val="18"/>
          <w:szCs w:val="18"/>
        </w:rPr>
      </w:pPr>
      <w:r>
        <w:rPr>
          <w:rFonts w:eastAsia="宋体"/>
          <w:sz w:val="18"/>
          <w:szCs w:val="18"/>
        </w:rPr>
        <w:t>美国总统拜登日前表示，将继续致力于控制通胀、保持经济强劲增长。但不少经济学家认为，美国通胀攀升惯性已难以打破，预计未来几个月CPI同比增幅仍将保持在7%左右。</w:t>
      </w:r>
    </w:p>
    <w:p>
      <w:pPr>
        <w:pStyle w:val="23"/>
        <w:ind w:firstLine="360" w:firstLineChars="200"/>
        <w:rPr>
          <w:rFonts w:eastAsia="宋体"/>
          <w:sz w:val="18"/>
          <w:szCs w:val="18"/>
        </w:rPr>
      </w:pPr>
      <w:r>
        <w:rPr>
          <w:rFonts w:eastAsia="宋体"/>
          <w:sz w:val="18"/>
          <w:szCs w:val="18"/>
        </w:rPr>
        <w:t>美国全国商业经济协会近期发布的调查结果显示，多数经济学家认为美国高通胀将至少持续到2023年。</w:t>
      </w:r>
    </w:p>
    <w:p>
      <w:pPr>
        <w:pStyle w:val="23"/>
        <w:ind w:firstLine="360" w:firstLineChars="200"/>
        <w:rPr>
          <w:rFonts w:eastAsia="宋体"/>
          <w:sz w:val="18"/>
          <w:szCs w:val="18"/>
        </w:rPr>
      </w:pPr>
      <w:r>
        <w:rPr>
          <w:rFonts w:eastAsia="宋体"/>
          <w:sz w:val="18"/>
          <w:szCs w:val="18"/>
        </w:rPr>
        <w:t>通胀“痛”在哪里?</w:t>
      </w:r>
    </w:p>
    <w:p>
      <w:pPr>
        <w:pStyle w:val="23"/>
        <w:ind w:firstLine="360" w:firstLineChars="200"/>
        <w:rPr>
          <w:rFonts w:eastAsia="宋体"/>
          <w:sz w:val="18"/>
          <w:szCs w:val="18"/>
        </w:rPr>
      </w:pPr>
      <w:r>
        <w:rPr>
          <w:rFonts w:eastAsia="宋体"/>
          <w:sz w:val="18"/>
          <w:szCs w:val="18"/>
        </w:rPr>
        <w:t>美国劳工部数据显示，2021年全年美国通胀高企主要体现在汽车、成品油、家庭装饰、房屋租赁、食品、外出就餐和旅游业七大方面。</w:t>
      </w:r>
    </w:p>
    <w:p>
      <w:pPr>
        <w:pStyle w:val="23"/>
        <w:ind w:firstLine="360" w:firstLineChars="200"/>
        <w:rPr>
          <w:rFonts w:eastAsia="宋体"/>
          <w:sz w:val="18"/>
          <w:szCs w:val="18"/>
        </w:rPr>
      </w:pPr>
      <w:r>
        <w:rPr>
          <w:rFonts w:eastAsia="宋体"/>
          <w:sz w:val="18"/>
          <w:szCs w:val="18"/>
        </w:rPr>
        <w:t>数据显示，由于受到疫情导致的生产中断、芯片短缺和劳动力紧张等多重冲击，美国汽车业产量受限，汽车价格显著走高。去年12月，美国新车价格同比增幅达11.8%，为1975年以来最高增速;二手车价格同比增幅由去年6月高点的45.2%微降至37.3%。</w:t>
      </w:r>
    </w:p>
    <w:p>
      <w:pPr>
        <w:pStyle w:val="23"/>
        <w:ind w:firstLine="360" w:firstLineChars="200"/>
        <w:rPr>
          <w:rFonts w:eastAsia="宋体"/>
          <w:sz w:val="18"/>
          <w:szCs w:val="18"/>
        </w:rPr>
      </w:pPr>
      <w:r>
        <w:rPr>
          <w:rFonts w:eastAsia="宋体"/>
          <w:sz w:val="18"/>
          <w:szCs w:val="18"/>
        </w:rPr>
        <w:t>据美国《华尔街日报》报道，在去年夏季的最极端行情中，少数二手车成交价已超过缺货新车的市场标价。</w:t>
      </w:r>
    </w:p>
    <w:p>
      <w:pPr>
        <w:pStyle w:val="23"/>
        <w:ind w:firstLine="360" w:firstLineChars="200"/>
        <w:rPr>
          <w:rFonts w:eastAsia="宋体"/>
          <w:sz w:val="18"/>
          <w:szCs w:val="18"/>
        </w:rPr>
      </w:pPr>
      <w:r>
        <w:rPr>
          <w:rFonts w:eastAsia="宋体"/>
          <w:sz w:val="18"/>
          <w:szCs w:val="18"/>
        </w:rPr>
        <w:t>能源价格方面，美国去年11月汽油价格同比增长58.1%，创1980年以来最大同比增幅。</w:t>
      </w:r>
    </w:p>
    <w:p>
      <w:pPr>
        <w:pStyle w:val="23"/>
        <w:ind w:firstLine="360" w:firstLineChars="200"/>
        <w:rPr>
          <w:rFonts w:eastAsia="宋体"/>
          <w:sz w:val="18"/>
          <w:szCs w:val="18"/>
        </w:rPr>
      </w:pPr>
      <w:r>
        <w:rPr>
          <w:rFonts w:eastAsia="宋体"/>
          <w:sz w:val="18"/>
          <w:szCs w:val="18"/>
        </w:rPr>
        <w:t>数据还显示，美国超市食品价格同比增幅创下2008年以来最高纪录，其中牛肉、猪肉价格同比增幅甚至还要高出一至二倍。</w:t>
      </w:r>
    </w:p>
    <w:p>
      <w:pPr>
        <w:pStyle w:val="23"/>
        <w:ind w:firstLine="360" w:firstLineChars="200"/>
        <w:rPr>
          <w:rFonts w:eastAsia="宋体"/>
          <w:sz w:val="18"/>
          <w:szCs w:val="18"/>
        </w:rPr>
      </w:pPr>
      <w:r>
        <w:rPr>
          <w:rFonts w:eastAsia="宋体"/>
          <w:sz w:val="18"/>
          <w:szCs w:val="18"/>
        </w:rPr>
        <w:t>即使在遭受疫情严重冲击的酒店餐饮行业，去年7月美国酒店价格已远高于疫情前水平。此外，去年年底美国外出就餐价格同比增速创下1982年以来纪录。</w:t>
      </w:r>
    </w:p>
    <w:p>
      <w:pPr>
        <w:pStyle w:val="23"/>
        <w:ind w:firstLine="360" w:firstLineChars="200"/>
        <w:rPr>
          <w:rFonts w:eastAsia="宋体"/>
          <w:sz w:val="18"/>
          <w:szCs w:val="18"/>
        </w:rPr>
      </w:pPr>
      <w:r>
        <w:rPr>
          <w:rFonts w:eastAsia="宋体"/>
          <w:sz w:val="18"/>
          <w:szCs w:val="18"/>
        </w:rPr>
        <w:t>降温“险”在哪里?</w:t>
      </w:r>
    </w:p>
    <w:p>
      <w:pPr>
        <w:pStyle w:val="23"/>
        <w:ind w:firstLine="360" w:firstLineChars="200"/>
        <w:rPr>
          <w:rFonts w:eastAsia="宋体"/>
          <w:sz w:val="18"/>
          <w:szCs w:val="18"/>
        </w:rPr>
      </w:pPr>
      <w:r>
        <w:rPr>
          <w:rFonts w:eastAsia="宋体"/>
          <w:sz w:val="18"/>
          <w:szCs w:val="18"/>
        </w:rPr>
        <w:t>市场人士普遍认为，高通胀等挑战正使得美联储处于被动境地，收紧货币政策预期不断强化。近日，包括美联储副主席提名人布雷纳德在内的多位美联储官员对通胀表示担忧，更公开表达3月开始加息的看法。当前，“鹰派”色彩日渐浓厚，也令外界愈发警惕其市场冲击。</w:t>
      </w:r>
    </w:p>
    <w:p>
      <w:pPr>
        <w:pStyle w:val="23"/>
        <w:ind w:firstLine="360" w:firstLineChars="200"/>
        <w:rPr>
          <w:rFonts w:eastAsia="宋体"/>
          <w:sz w:val="18"/>
          <w:szCs w:val="18"/>
        </w:rPr>
      </w:pPr>
      <w:r>
        <w:rPr>
          <w:rFonts w:eastAsia="宋体"/>
          <w:sz w:val="18"/>
          <w:szCs w:val="18"/>
        </w:rPr>
        <w:t>对美国自身而言，美联储收紧货币政策的节奏把握存在风险。加息过早过急，或将造成不必要的经济衰退;反之，加息过晚过慢，可能导致通胀进一步失控，届时倒逼美联储加大力度“收水”，同样不可避免冲击经济。此前，拜登政府和美联储多次被指责误判通胀形势，因此后续政策应对将受到更密切关注和审视。</w:t>
      </w:r>
    </w:p>
    <w:p>
      <w:pPr>
        <w:pStyle w:val="23"/>
        <w:ind w:firstLine="360" w:firstLineChars="200"/>
        <w:rPr>
          <w:rFonts w:eastAsia="宋体"/>
          <w:sz w:val="18"/>
          <w:szCs w:val="18"/>
        </w:rPr>
      </w:pPr>
      <w:r>
        <w:rPr>
          <w:rFonts w:eastAsia="宋体"/>
          <w:sz w:val="18"/>
          <w:szCs w:val="18"/>
        </w:rPr>
        <w:t>对世界而言，美联储进入紧缩周期将冲击国际金融市场，显著影响全球跨境资本流动、资产定价和汇率稳定。美国财政和货币政策“放水”推动物价飞涨，并通过美元的国际储备货币地位向世界输出通胀，而后通过“收水”促使资本回流到逐渐恢复健康的美国市场，最终令不少国家蒙受恶性通胀和资本外流的双重打击。</w:t>
      </w:r>
    </w:p>
    <w:p>
      <w:pPr>
        <w:pStyle w:val="23"/>
        <w:ind w:firstLine="360" w:firstLineChars="200"/>
        <w:rPr>
          <w:rFonts w:eastAsia="宋体"/>
          <w:sz w:val="18"/>
          <w:szCs w:val="18"/>
        </w:rPr>
      </w:pPr>
      <w:r>
        <w:rPr>
          <w:rFonts w:eastAsia="宋体"/>
          <w:sz w:val="18"/>
          <w:szCs w:val="18"/>
        </w:rPr>
        <w:t>美国最近一次通胀率同比增速超过7%发生于1982年。当时时任美联储主席保罗·沃克尔通过持续加息，不惜以美国经济衰退为代价，将美国通胀水平从1980年初的两位数降了下来。美国收紧货币政策给外债杠杆率过高的邻国墨西哥带来麻烦，墨西哥出现债务违约，拉美地区爆发债务危机。</w:t>
      </w:r>
    </w:p>
    <w:p>
      <w:pPr>
        <w:pStyle w:val="23"/>
        <w:ind w:firstLine="360" w:firstLineChars="200"/>
        <w:rPr>
          <w:rFonts w:eastAsia="宋体"/>
          <w:sz w:val="18"/>
          <w:szCs w:val="18"/>
        </w:rPr>
      </w:pPr>
      <w:r>
        <w:rPr>
          <w:rFonts w:eastAsia="宋体"/>
          <w:sz w:val="18"/>
          <w:szCs w:val="18"/>
        </w:rPr>
        <w:t>国际货币基金组织(IMF)10日警告，美联储更快收紧货币政策，可能造成新兴经济体资本外流和货币贬值，经济增长前景更加不确定，新兴经济体应提前做好政策准备。</w:t>
      </w:r>
    </w:p>
    <w:p>
      <w:pPr>
        <w:pStyle w:val="23"/>
        <w:ind w:firstLine="360" w:firstLineChars="200"/>
        <w:rPr>
          <w:rFonts w:eastAsia="宋体"/>
          <w:sz w:val="18"/>
          <w:szCs w:val="18"/>
        </w:rPr>
      </w:pPr>
      <w:r>
        <w:rPr>
          <w:rFonts w:eastAsia="宋体"/>
          <w:sz w:val="18"/>
          <w:szCs w:val="18"/>
        </w:rPr>
        <w:t>面对应对通胀不力的质疑，拜登12日将通胀称作“全球性挑战”，认为通胀属于全球普遍现象。</w:t>
      </w:r>
    </w:p>
    <w:p>
      <w:pPr>
        <w:pStyle w:val="23"/>
        <w:ind w:firstLine="360" w:firstLineChars="200"/>
        <w:rPr>
          <w:rFonts w:eastAsia="宋体"/>
          <w:sz w:val="18"/>
          <w:szCs w:val="18"/>
        </w:rPr>
      </w:pPr>
      <w:r>
        <w:rPr>
          <w:rFonts w:eastAsia="宋体"/>
          <w:sz w:val="18"/>
          <w:szCs w:val="18"/>
        </w:rPr>
        <w:t>不过，IMF总裁格奥尔基耶娃12日表示，通胀并非普遍现象，而是存在于部分国家，尤其是美国的问题。美联储旨在应对通胀的加息行为，可能加剧发达经济体和发展中经济体在经济发展方面的“危险”失衡。</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rFonts w:eastAsia="宋体"/>
          <w:sz w:val="18"/>
          <w:szCs w:val="18"/>
        </w:rPr>
      </w:pPr>
      <w:bookmarkStart w:id="15" w:name="_Toc10797"/>
      <w:r>
        <w:rPr>
          <w:rFonts w:eastAsia="宋体"/>
          <w:sz w:val="18"/>
          <w:szCs w:val="18"/>
        </w:rPr>
        <w:t>1月19日，全球化智库(CCG)与世界银行联合举办《全球经济展望》报告发布会。世界银行预测局局长高斯(Ayhan Kose)在会上表示，通货膨胀已经变成了全球性的问题。“一般来说，只要这些通胀的动态水平低于中央银行的通胀目标，那就是可控的。但是，在超过一半的采用通胀目标制的发展经济体和新兴市场中，通胀高于央行的目标范围。”他说，“在我们的基线情景中，没有预测滞胀的发生。然而，我们认为一些经济体的增速有可能会出现非常陡峭的下滑，我们称之为‘硬着陆’，这可能是由大于我们预期的通货膨胀压力驱动的。”</w:t>
      </w:r>
    </w:p>
    <w:p>
      <w:pPr>
        <w:pStyle w:val="23"/>
        <w:ind w:firstLine="360" w:firstLineChars="200"/>
        <w:rPr>
          <w:rFonts w:eastAsia="宋体"/>
          <w:sz w:val="18"/>
          <w:szCs w:val="18"/>
        </w:rPr>
      </w:pPr>
      <w:r>
        <w:rPr>
          <w:rFonts w:eastAsia="宋体"/>
          <w:sz w:val="18"/>
          <w:szCs w:val="18"/>
        </w:rPr>
        <w:t>根据世界银行，2021年，全球经济活动反弹，叠加供应中断以及食品、能源价格上涨等因素，推高了很多国家的总体通胀。共识经济(Consensus Economics)预计2022年全球通胀中值将继续保持高位。</w:t>
      </w:r>
    </w:p>
    <w:p>
      <w:pPr>
        <w:pStyle w:val="23"/>
        <w:ind w:firstLine="360" w:firstLineChars="200"/>
        <w:rPr>
          <w:rFonts w:eastAsia="宋体"/>
          <w:sz w:val="18"/>
          <w:szCs w:val="18"/>
        </w:rPr>
      </w:pPr>
      <w:r>
        <w:rPr>
          <w:rFonts w:eastAsia="宋体"/>
          <w:sz w:val="18"/>
          <w:szCs w:val="18"/>
        </w:rPr>
        <w:t>报告指出，最近几个月，全球通胀率连续出人意料地上扬，按12个月计算，2021年10月的总体消费价格通胀率中位数达到4.6%，高于2020年5月与大流行有关的1.2%的低谷。自2020年中期以来，全球需求和活动的反弹，加上供应中断以及食品和能源价格的上涨，许多国家的总体通胀率被推至十年高点。核心商品价格通胀在全球范围内也有所上扬。在一些经济体中，这部分反映了住房价格通胀的上升。通胀的增加导致许多央行部分解除了其宽松的货币政策。</w:t>
      </w:r>
    </w:p>
    <w:p>
      <w:pPr>
        <w:pStyle w:val="23"/>
        <w:ind w:firstLine="360" w:firstLineChars="200"/>
        <w:rPr>
          <w:rFonts w:eastAsia="宋体"/>
          <w:sz w:val="18"/>
          <w:szCs w:val="18"/>
        </w:rPr>
      </w:pPr>
      <w:r>
        <w:rPr>
          <w:rFonts w:eastAsia="宋体"/>
          <w:sz w:val="18"/>
          <w:szCs w:val="18"/>
        </w:rPr>
        <w:t>高斯表示，通货膨胀上升对低收入工人的打击尤其严重。食品价格也受到较大影响，一些低收入国家甚至出现了粮食危机，去年很多新兴市场经历了两位数的食品通胀。所以，这不仅仅是一般性的价格压力。</w:t>
      </w:r>
    </w:p>
    <w:p>
      <w:pPr>
        <w:pStyle w:val="23"/>
        <w:ind w:firstLine="360" w:firstLineChars="200"/>
        <w:rPr>
          <w:rFonts w:eastAsia="宋体"/>
          <w:sz w:val="18"/>
          <w:szCs w:val="18"/>
        </w:rPr>
      </w:pPr>
      <w:r>
        <w:rPr>
          <w:rFonts w:eastAsia="宋体"/>
          <w:sz w:val="18"/>
          <w:szCs w:val="18"/>
        </w:rPr>
        <w:t>与发达经济体一样，新兴市场和发展中经济体自2020年中期以来经历了基础广泛的整体和核心通胀的增长。新兴市场和发展中经济体的政府债券收益率也在上升。尽管国际债券的发行仍然强劲，但流向新兴市场和发展中经济体的投资组合已经下降，反映了对增长前景和大流行病风险的担忧。</w:t>
      </w:r>
    </w:p>
    <w:p>
      <w:pPr>
        <w:pStyle w:val="23"/>
        <w:ind w:firstLine="360" w:firstLineChars="200"/>
        <w:rPr>
          <w:rFonts w:eastAsia="宋体"/>
          <w:sz w:val="18"/>
          <w:szCs w:val="18"/>
        </w:rPr>
      </w:pPr>
      <w:r>
        <w:rPr>
          <w:rFonts w:eastAsia="宋体"/>
          <w:sz w:val="18"/>
          <w:szCs w:val="18"/>
        </w:rPr>
        <w:t>“在发展中经济体中，我们观察到价格压力造成的重大挑战。一方面，增长开始放缓;另一方面，许多新兴市场和发展中经济体正在撤回政策支持，部分原因是为了遏制当前的通胀压力。由于隐藏的赤字和不断上升的融资成本，他们中的大多数正在减少财政支持措施，同时撤回货币政策支持。而由于缺乏政策空间，很多经济体在复苏发生之前就采取了这些紧缩性政策措施。”高斯说。</w:t>
      </w:r>
    </w:p>
    <w:p>
      <w:pPr>
        <w:pStyle w:val="23"/>
        <w:ind w:firstLine="360" w:firstLineChars="200"/>
        <w:rPr>
          <w:rFonts w:eastAsia="宋体"/>
          <w:sz w:val="18"/>
          <w:szCs w:val="18"/>
        </w:rPr>
      </w:pPr>
      <w:r>
        <w:rPr>
          <w:rFonts w:eastAsia="宋体"/>
          <w:sz w:val="18"/>
          <w:szCs w:val="18"/>
        </w:rPr>
        <w:t>高斯认为，通胀压力将带来一个更快的紧缩周期，对新兴市场和发展中经济体产生严重影响。而发达经济体受到的压力也将传导给新兴市场和发展中经济体。他称：“因为通胀读数远高于预期，美联储收缩资产购买并准备提高利率。全球金融感觉到了这个倾向，而这将会加重新兴市场和发展中经济体的债务负担。我认为这些通货膨胀的压力，我们将要经历一个正常化周期(normalization cycle)，这可能是过去20年中第一个真正的正常化周期。”</w:t>
      </w:r>
    </w:p>
    <w:p>
      <w:pPr>
        <w:pStyle w:val="23"/>
        <w:ind w:firstLine="360" w:firstLineChars="200"/>
        <w:rPr>
          <w:rFonts w:eastAsia="宋体"/>
          <w:sz w:val="18"/>
          <w:szCs w:val="18"/>
        </w:rPr>
      </w:pPr>
      <w:r>
        <w:rPr>
          <w:rFonts w:eastAsia="宋体"/>
          <w:sz w:val="18"/>
          <w:szCs w:val="18"/>
        </w:rPr>
        <w:t>高斯警告说：“我们应该为意外的发生和道路上的‘炸弹’做好准备。政策制定者需要考虑校准他们的政策，确保政策是可靠的，并最终确保他们能够灵活地对待发达经济体政策的变化，将国内措施落实到位。这首先意味着建构强有力的宏观政策框架。”</w:t>
      </w:r>
    </w:p>
    <w:p>
      <w:pPr>
        <w:pStyle w:val="23"/>
        <w:ind w:firstLine="360" w:firstLineChars="200"/>
        <w:rPr>
          <w:rFonts w:eastAsia="宋体"/>
          <w:sz w:val="18"/>
          <w:szCs w:val="18"/>
        </w:rPr>
      </w:pPr>
      <w:r>
        <w:rPr>
          <w:rFonts w:eastAsia="宋体"/>
          <w:sz w:val="18"/>
          <w:szCs w:val="18"/>
        </w:rPr>
        <w:t>过去一年中，全球贸易与全球经济活动同步回升。货物贸易的复苏是迅速的，服务贸易开始稳定，但复苏仍然滞后，旅游服务尤其低迷。低迷的旅游流量对依赖旅游业的经济体，尤其是许多小岛屿发展中国家造成了重创。</w:t>
      </w:r>
    </w:p>
    <w:p>
      <w:pPr>
        <w:pStyle w:val="23"/>
        <w:ind w:firstLine="360" w:firstLineChars="200"/>
        <w:rPr>
          <w:rFonts w:eastAsia="宋体"/>
          <w:sz w:val="18"/>
          <w:szCs w:val="18"/>
        </w:rPr>
      </w:pPr>
      <w:r>
        <w:rPr>
          <w:rFonts w:eastAsia="宋体"/>
          <w:sz w:val="18"/>
          <w:szCs w:val="18"/>
        </w:rPr>
        <w:t>新兴市场和发展中经济体大多高度依赖大宗商品出口，因此会受到大宗商品价格“繁荣-萧条”周期的影响。报告发现，过去两年这种周期波动尤为剧烈，大宗商品价格先是在疫情暴发后暴跌，此后又大幅飙升，某些商品甚至在去年达到历史新高。全球宏观经济形势和大宗商品供给因素可能会导致这种周期持续出现。对许多大宗商品而言，这种周期还可能被气候变化和能源转型放大。</w:t>
      </w:r>
    </w:p>
    <w:p>
      <w:pPr>
        <w:pStyle w:val="23"/>
        <w:ind w:firstLine="360" w:firstLineChars="200"/>
        <w:rPr>
          <w:rFonts w:eastAsia="宋体"/>
          <w:sz w:val="18"/>
          <w:szCs w:val="18"/>
        </w:rPr>
      </w:pPr>
      <w:r>
        <w:rPr>
          <w:rFonts w:eastAsia="宋体"/>
          <w:sz w:val="18"/>
          <w:szCs w:val="18"/>
        </w:rPr>
        <w:t>分析还显示，自1970年代以来，大宗商品价格的上涨幅度往往大于下滑，这为大宗商品出口国实现更加强劲和可持续的增长创造了重要机会。但前提是，它们能在繁荣期采取有条理的政策来充分利用高价格带来的收益。</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rFonts w:hint="eastAsia"/>
          <w:sz w:val="18"/>
          <w:szCs w:val="18"/>
        </w:rPr>
      </w:pPr>
      <w:bookmarkStart w:id="16" w:name="_Toc13390"/>
      <w:r>
        <w:rPr>
          <w:rFonts w:hint="eastAsia" w:eastAsia="宋体"/>
          <w:sz w:val="18"/>
          <w:szCs w:val="18"/>
        </w:rPr>
        <w:t>本周</w:t>
      </w:r>
      <w:r>
        <w:rPr>
          <w:rFonts w:hint="eastAsia" w:eastAsia="宋体"/>
          <w:sz w:val="18"/>
          <w:szCs w:val="18"/>
          <w:lang w:eastAsia="zh-CN"/>
        </w:rPr>
        <w:t>，</w:t>
      </w:r>
      <w:r>
        <w:rPr>
          <w:rFonts w:hint="eastAsia" w:eastAsia="宋体"/>
          <w:sz w:val="18"/>
          <w:szCs w:val="18"/>
        </w:rPr>
        <w:t>美国WTI原油价格在</w:t>
      </w:r>
      <w:r>
        <w:rPr>
          <w:rFonts w:hint="eastAsia" w:eastAsia="宋体"/>
          <w:sz w:val="18"/>
          <w:szCs w:val="18"/>
          <w:lang w:val="en-US" w:eastAsia="zh-CN"/>
        </w:rPr>
        <w:t>82.12</w:t>
      </w:r>
      <w:r>
        <w:rPr>
          <w:rFonts w:hint="eastAsia" w:eastAsia="宋体"/>
          <w:sz w:val="18"/>
          <w:szCs w:val="18"/>
        </w:rPr>
        <w:t>-8</w:t>
      </w:r>
      <w:r>
        <w:rPr>
          <w:rFonts w:hint="eastAsia" w:eastAsia="宋体"/>
          <w:sz w:val="18"/>
          <w:szCs w:val="18"/>
          <w:lang w:val="en-US" w:eastAsia="zh-CN"/>
        </w:rPr>
        <w:t>6.96</w:t>
      </w:r>
      <w:r>
        <w:rPr>
          <w:rFonts w:hint="eastAsia" w:eastAsia="宋体"/>
          <w:sz w:val="18"/>
          <w:szCs w:val="18"/>
        </w:rPr>
        <w:t>美元/桶。布伦特原油价格在8</w:t>
      </w:r>
      <w:r>
        <w:rPr>
          <w:rFonts w:hint="eastAsia" w:eastAsia="宋体"/>
          <w:sz w:val="18"/>
          <w:szCs w:val="18"/>
          <w:lang w:val="en-US" w:eastAsia="zh-CN"/>
        </w:rPr>
        <w:t>4.4</w:t>
      </w:r>
      <w:r>
        <w:rPr>
          <w:rFonts w:hint="eastAsia" w:eastAsia="宋体"/>
          <w:sz w:val="18"/>
          <w:szCs w:val="18"/>
        </w:rPr>
        <w:t>7-8</w:t>
      </w:r>
      <w:r>
        <w:rPr>
          <w:rFonts w:hint="eastAsia" w:eastAsia="宋体"/>
          <w:sz w:val="18"/>
          <w:szCs w:val="18"/>
          <w:lang w:val="en-US" w:eastAsia="zh-CN"/>
        </w:rPr>
        <w:t>8.44</w:t>
      </w:r>
      <w:r>
        <w:rPr>
          <w:rFonts w:hint="eastAsia" w:eastAsia="宋体"/>
          <w:sz w:val="18"/>
          <w:szCs w:val="18"/>
        </w:rPr>
        <w:t>美元/桶震荡。周内国际油价</w:t>
      </w:r>
      <w:r>
        <w:rPr>
          <w:rFonts w:hint="eastAsia" w:eastAsia="宋体"/>
          <w:sz w:val="18"/>
          <w:szCs w:val="18"/>
          <w:lang w:eastAsia="zh-CN"/>
        </w:rPr>
        <w:t>呈上涨</w:t>
      </w:r>
      <w:r>
        <w:rPr>
          <w:rFonts w:hint="eastAsia" w:eastAsia="宋体"/>
          <w:sz w:val="18"/>
          <w:szCs w:val="18"/>
        </w:rPr>
        <w:t>走势。伊拉克-土耳其输油管道因爆炸停输加剧供应风险，美元走软支撑原油资产，外盘时间1月19日欧美原油期货涨逾1%续刷逾七年高点。2月WTI：86.96涨1.53;3月布伦特：88.44涨0.93。原油触及2014年10月以来最高水平，国际能源署(IEA)表示，市场供应看起来比之前认为的更紧张，需求被证明在omicron疫情下仍具有韧性。纽约市场原油期货上涨1.8%，IEA发布报告称，全球石油需求可能回到疫情爆发前水平，库存正在快速减少，需求依然坚挺，OPEC+在恢复更多产能方面遇到困难，这些因素进一步表明产量可能低于预期，而消费或高于市场预期。CIBC Private Wealth Management的高级能源交易员Rebecca Babin表示，市场已经消化了2022年供应收紧的可能性，IEA和其他机构只是追上了市场的预期而已。油价可能还会继续走高，在供应紧张的市场中，事件风险会导致价格大幅上行。从伊拉克到土耳其的一条关键管道因爆炸而暂停输送，原油一度升至87美元上方;对omicron的担忧有所缓解，全球库存下滑，中东局势再度受到关注，此前获伊朗支持的也门武装分子对阿联酋发动了无人机袭击;新年伊始原油市场的火爆表现促使高盛上调了对布伦特原油的预测，目前预计第三季度油价将达到每桶100美元。</w:t>
      </w:r>
    </w:p>
    <w:p>
      <w:pPr>
        <w:pStyle w:val="23"/>
        <w:ind w:firstLine="360" w:firstLineChars="200"/>
        <w:rPr>
          <w:rFonts w:hint="eastAsia" w:eastAsia="宋体"/>
          <w:sz w:val="18"/>
          <w:szCs w:val="18"/>
        </w:rPr>
      </w:pPr>
      <w:r>
        <w:rPr>
          <w:rFonts w:hint="eastAsia" w:eastAsia="宋体"/>
          <w:sz w:val="18"/>
          <w:szCs w:val="18"/>
        </w:rPr>
        <w:t>预测下周WTI油价将触及</w:t>
      </w:r>
      <w:r>
        <w:rPr>
          <w:rFonts w:hint="eastAsia" w:eastAsia="宋体"/>
          <w:sz w:val="18"/>
          <w:szCs w:val="18"/>
          <w:lang w:val="en-US" w:eastAsia="zh-CN"/>
        </w:rPr>
        <w:t>81</w:t>
      </w:r>
      <w:r>
        <w:rPr>
          <w:rFonts w:hint="eastAsia" w:eastAsia="宋体"/>
          <w:sz w:val="18"/>
          <w:szCs w:val="18"/>
        </w:rPr>
        <w:t>-</w:t>
      </w:r>
      <w:r>
        <w:rPr>
          <w:rFonts w:hint="eastAsia" w:eastAsia="宋体"/>
          <w:sz w:val="18"/>
          <w:szCs w:val="18"/>
          <w:lang w:val="en-US" w:eastAsia="zh-CN"/>
        </w:rPr>
        <w:t>87</w:t>
      </w:r>
      <w:r>
        <w:rPr>
          <w:rFonts w:hint="eastAsia" w:eastAsia="宋体"/>
          <w:sz w:val="18"/>
          <w:szCs w:val="18"/>
        </w:rPr>
        <w:t>美元/桶，布油在之后几个月触及</w:t>
      </w:r>
      <w:r>
        <w:rPr>
          <w:rFonts w:hint="eastAsia" w:eastAsia="宋体"/>
          <w:sz w:val="18"/>
          <w:szCs w:val="18"/>
          <w:lang w:val="en-US" w:eastAsia="zh-CN"/>
        </w:rPr>
        <w:t>83</w:t>
      </w:r>
      <w:r>
        <w:rPr>
          <w:rFonts w:hint="eastAsia" w:eastAsia="宋体"/>
          <w:sz w:val="18"/>
          <w:szCs w:val="18"/>
        </w:rPr>
        <w:t>-8</w:t>
      </w:r>
      <w:r>
        <w:rPr>
          <w:rFonts w:hint="eastAsia" w:eastAsia="宋体"/>
          <w:sz w:val="18"/>
          <w:szCs w:val="18"/>
          <w:lang w:val="en-US" w:eastAsia="zh-CN"/>
        </w:rPr>
        <w:t>9</w:t>
      </w:r>
      <w:r>
        <w:rPr>
          <w:rFonts w:hint="eastAsia" w:eastAsia="宋体"/>
          <w:sz w:val="18"/>
          <w:szCs w:val="18"/>
        </w:rPr>
        <w:t>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1月19日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856.77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262.53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957.75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1月18日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856.54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946.25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1月17日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840.00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942.00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1月14日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831.00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258.79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936.00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1月13日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844.00 </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255.30 </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925.25 </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47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8"/>
        <w:gridCol w:w="828"/>
        <w:gridCol w:w="1082"/>
        <w:gridCol w:w="1164"/>
        <w:gridCol w:w="1998"/>
        <w:gridCol w:w="1497"/>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济南炼化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2021/2/19</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金陵石化</w:t>
            </w:r>
          </w:p>
        </w:tc>
        <w:tc>
          <w:tcPr>
            <w:tcW w:w="435" w:type="pct"/>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1800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2021/3/20</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b w:val="0"/>
                <w:bCs w:val="0"/>
                <w:caps w:val="0"/>
                <w:color w:val="auto"/>
                <w:spacing w:val="0"/>
                <w:sz w:val="18"/>
                <w:szCs w:val="18"/>
              </w:rPr>
            </w:pPr>
          </w:p>
        </w:tc>
        <w:tc>
          <w:tcPr>
            <w:tcW w:w="435" w:type="pct"/>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hint="eastAsia" w:ascii="宋体" w:hAnsi="宋体" w:eastAsia="宋体" w:cs="宋体"/>
                <w:b w:val="0"/>
                <w:bCs w:val="0"/>
                <w:caps w:val="0"/>
                <w:color w:val="auto"/>
                <w:spacing w:val="0"/>
                <w:sz w:val="18"/>
                <w:szCs w:val="18"/>
              </w:rPr>
            </w:pP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1800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3#柴油加氢</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2021/12/6</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燕山石化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北京</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4#常减压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2020/3/29</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长岭石化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湖南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2021/2/20</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塔河石化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新疆</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1600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1600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2021/4/14</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九江石化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江西</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2021/4/8</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沧州炼厂</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河北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2021/5/10</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扬子石化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1450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焦化装置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茂名石化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2021/6/1</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石家庄炼厂</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河北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2021/8/28</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齐鲁石化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400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2021/8/8</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胜利油田</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山东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2021/9/15</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高桥石化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上海</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2021/10/11</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广州石化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1370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800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2021/10/20</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茂名石化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2021/11/25</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联合石化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福建</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1200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常减压</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400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2021/11/15</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北海炼化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ottom"/>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广西</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640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连续重整</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2022/2月</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海南石化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海南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950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950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2022/3月初</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扬子石化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江苏</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1450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1450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2022/3月</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塔河石化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ottom"/>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新疆</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500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500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2022/3月中下旬</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云南石化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云南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1300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2020/12/5</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抚顺石化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辽宁</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1150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2021/4/10</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吉林石化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吉林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大港石化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天津</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500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2021/4/12</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格尔木炼厂</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青海</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150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150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2021/7/15</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61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4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东方石化</w:t>
            </w:r>
          </w:p>
        </w:tc>
        <w:tc>
          <w:tcPr>
            <w:tcW w:w="43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海南</w:t>
            </w:r>
          </w:p>
        </w:tc>
        <w:tc>
          <w:tcPr>
            <w:tcW w:w="56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w:t>
            </w:r>
          </w:p>
        </w:tc>
        <w:tc>
          <w:tcPr>
            <w:tcW w:w="61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200</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2021/3/4</w:t>
            </w:r>
          </w:p>
        </w:tc>
        <w:tc>
          <w:tcPr>
            <w:tcW w:w="80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惠州炼化</w:t>
            </w:r>
          </w:p>
        </w:tc>
        <w:tc>
          <w:tcPr>
            <w:tcW w:w="435"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广东</w:t>
            </w:r>
          </w:p>
        </w:tc>
        <w:tc>
          <w:tcPr>
            <w:tcW w:w="568"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2200</w:t>
            </w:r>
          </w:p>
        </w:tc>
        <w:tc>
          <w:tcPr>
            <w:tcW w:w="611"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二期</w:t>
            </w:r>
          </w:p>
        </w:tc>
        <w:tc>
          <w:tcPr>
            <w:tcW w:w="1049"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1000</w:t>
            </w:r>
          </w:p>
        </w:tc>
        <w:tc>
          <w:tcPr>
            <w:tcW w:w="786"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2021/3/4</w:t>
            </w:r>
          </w:p>
        </w:tc>
        <w:tc>
          <w:tcPr>
            <w:tcW w:w="803" w:type="pct"/>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spacing w:val="0"/>
                <w:sz w:val="18"/>
                <w:szCs w:val="18"/>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4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宁波大榭</w:t>
            </w:r>
          </w:p>
        </w:tc>
        <w:tc>
          <w:tcPr>
            <w:tcW w:w="43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浙江</w:t>
            </w:r>
          </w:p>
        </w:tc>
        <w:tc>
          <w:tcPr>
            <w:tcW w:w="56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800</w:t>
            </w:r>
          </w:p>
        </w:tc>
        <w:tc>
          <w:tcPr>
            <w:tcW w:w="61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800</w:t>
            </w:r>
          </w:p>
        </w:tc>
        <w:tc>
          <w:tcPr>
            <w:tcW w:w="78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2021/4</w:t>
            </w:r>
          </w:p>
        </w:tc>
        <w:tc>
          <w:tcPr>
            <w:tcW w:w="803"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4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中化泉州</w:t>
            </w:r>
          </w:p>
        </w:tc>
        <w:tc>
          <w:tcPr>
            <w:tcW w:w="43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福建</w:t>
            </w:r>
          </w:p>
        </w:tc>
        <w:tc>
          <w:tcPr>
            <w:tcW w:w="56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1500</w:t>
            </w:r>
          </w:p>
        </w:tc>
        <w:tc>
          <w:tcPr>
            <w:tcW w:w="61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全厂检修</w:t>
            </w:r>
          </w:p>
        </w:tc>
        <w:tc>
          <w:tcPr>
            <w:tcW w:w="104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1500</w:t>
            </w:r>
          </w:p>
        </w:tc>
        <w:tc>
          <w:tcPr>
            <w:tcW w:w="78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2021/12/5</w:t>
            </w:r>
          </w:p>
        </w:tc>
        <w:tc>
          <w:tcPr>
            <w:tcW w:w="803"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0"/>
        <w:gridCol w:w="1201"/>
        <w:gridCol w:w="1246"/>
        <w:gridCol w:w="1348"/>
        <w:gridCol w:w="1016"/>
        <w:gridCol w:w="161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9209" w:type="dxa"/>
            <w:gridSpan w:val="7"/>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区域</w:t>
            </w:r>
          </w:p>
        </w:tc>
        <w:tc>
          <w:tcPr>
            <w:tcW w:w="1201"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省市</w:t>
            </w:r>
          </w:p>
        </w:tc>
        <w:tc>
          <w:tcPr>
            <w:tcW w:w="124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炼厂名称</w:t>
            </w:r>
          </w:p>
        </w:tc>
        <w:tc>
          <w:tcPr>
            <w:tcW w:w="1348"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检修装置</w:t>
            </w:r>
          </w:p>
        </w:tc>
        <w:tc>
          <w:tcPr>
            <w:tcW w:w="101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产能</w:t>
            </w:r>
          </w:p>
        </w:tc>
        <w:tc>
          <w:tcPr>
            <w:tcW w:w="161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起始时间</w:t>
            </w:r>
          </w:p>
        </w:tc>
        <w:tc>
          <w:tcPr>
            <w:tcW w:w="145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山东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京博石化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2021/10/20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淄博</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金诚石化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轮检</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山东海化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日照</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日照岚桥</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2121/7</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垦利石化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400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临沂</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清沂山石化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无棣鑫岳</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2021/9/7</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德州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恒源石化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富宇石化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联盟石化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西南</w:t>
            </w:r>
          </w:p>
        </w:tc>
        <w:tc>
          <w:tcPr>
            <w:tcW w:w="1201"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重庆</w:t>
            </w:r>
          </w:p>
        </w:tc>
        <w:tc>
          <w:tcPr>
            <w:tcW w:w="1246"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龙海石化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rPr>
            </w:pPr>
            <w:r>
              <w:rPr>
                <w:rFonts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01"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46"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辽宁缘泰</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常减压装置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2021/2/22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盘锦浩业</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2021/3</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大连锦源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2021/5/6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黑龙江</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大庆中蓝</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辽宁华锦</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2021/7/15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沈阳蜡化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70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2021/11/12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西</w:t>
            </w:r>
            <w:r>
              <w:rPr>
                <w:rFonts w:hint="eastAsia" w:ascii="宋体" w:hAnsi="宋体" w:eastAsia="宋体" w:cs="宋体"/>
                <w:i w:val="0"/>
                <w:iCs w:val="0"/>
                <w:color w:val="auto"/>
                <w:sz w:val="18"/>
                <w:szCs w:val="18"/>
                <w:u w:val="none"/>
                <w:lang w:eastAsia="zh-CN"/>
              </w:rPr>
              <w:t>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ascii="宋体" w:hAnsi="宋体" w:eastAsia="宋体" w:cs="宋体"/>
                <w:caps w:val="0"/>
                <w:spacing w:val="0"/>
                <w:sz w:val="18"/>
                <w:szCs w:val="18"/>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宝利新能源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宁鲁石化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2021/8/18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陕西</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永坪炼油厂</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催化、常减压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2021/11/1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aps w:val="0"/>
                <w:spacing w:val="0"/>
                <w:sz w:val="18"/>
                <w:szCs w:val="18"/>
              </w:rPr>
              <w:t>2021/11/17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江苏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新海石化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2021/3/25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华北</w:t>
            </w:r>
          </w:p>
        </w:tc>
        <w:tc>
          <w:tcPr>
            <w:tcW w:w="1201"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河南</w:t>
            </w:r>
          </w:p>
        </w:tc>
        <w:tc>
          <w:tcPr>
            <w:tcW w:w="1246"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丰利石化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2021/6/11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46"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2021/11/4</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河北</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河北鑫海</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2021/7/5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国际原油续涨提振市场，华中地区主营汽柴油价格持续拉涨。具体来看：区内汽油资源供应充足，随着春节假期临近，场内部分地区疫情蔓延，防控形势严峻，居民出行谨慎，多驾驶私家车出行，汽油刚需支撑，加之本次零售价上调幅度较大，下游业者备货增加，部分主营单位汽油出货好转，区内汽油批发价格持续上行。目前各地户外大型工矿项目及用油企业多已停工，加之物流行业即将停运，需求面支撑减弱，与此同时，区内柴油资源供应紧张局面缓解，基本面利空市场，当前主营柴油价格多已涨至高位。本轮零售限价上调幅度较大，车用成本增加，此前业者积极备货，江西、湖南地区出货成交较好。临近春节，汽柴油需求差异逐渐明显，目前业者备货后多退市观望，市场购销气氛逐渐转淡。</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消息面政策面双重利好支撑之下，华东地区主营汽柴油行情震荡上涨，其中汽油涨幅明显，柴油涨幅百元左右。目前消息政策面有望继续支撑市场，但下游采购意愿并不强，且随着传统春节假期即将来临，中下游贸易商陆续退市，成交表现平淡制约市场氛围。柴油方面，随着气温不断降低，户外基建、工矿等开工率不断回落，而贸易商避险观望情绪强烈，各地区柴油需求缓慢回落;汽油方面，私家车出行率保持平稳，加油站阶段性补货心态好转，不过受外采成本不断提升影响，部分地区价格涨幅较大，业者适量补货之后再度退市观望，市场成交氛围较前期有所转淡。</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华南地区主营汽油价格持续上涨，柴油价格随零售限价上调窗口开启跟涨。国际原油收盘价格继续上涨，市场消息面持续利好。汽油市场需求逐步提升，部分主营单位实际成交价格在零售限价调整前就持续上探，不过，随着零售限价上调，价格波动较大，下游业者对市场观望情绪加重，对个别单位出货有一定影响;柴油方面，当前市场消息面对其仍有支撑，柴油市场需求虽逐步下降，但主营单位出货尚可，销售压力较小，柴油价格坚挺运行。</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华北地区，原油需求强劲但供应紧张，国际价格推涨，消息面利好油市，本周区内汽柴油价格汽涨柴调。具体来看，本轮成品油限价上调利好油市，同时春节临近，私家车出行率有所提高，汽油需求受到支撑，但受区内疫情影响，提振有限;而柴油方面，冬奥会影响，户外基建等工程单位开工率低迷，柴油需求萎靡，商户多在场外观望，接货心态偏弱。目前节前大单备货氛围平淡，价格高位，业者入市相对谨慎，成交仍侧重于刚需小单为主。疫情导致资源在区内流动受到限制，主营单位出货情况一般，受多方利好因素影响，价格推涨，但实盘成交优惠可谈。</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西北区域主营油价涨幅明显。周前期，零售限价上调气氛笼罩市场，各主营单位都坐等调价落实，西安，内蒙地区主营批发受陕西大型地方炼厂上调影响，批发价格上调，市场成交有所转好，终端客户市场操作有增。周中期，上调限价落实，区内主营批发价格全面上调，零售批发限价上调后，中下游观望情绪较强，主营出货稍显一般。周末期，消息面持续利好指引，随着区内主营价格涨至高位，出货情况较为一般，且优惠较为缩紧，区内地炼价格普遍上涨，出货较好，调价后，终端业者采购性不强，普遍以消化库存为主。</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零售限价实现开年后第一次上调，西南地区汽柴油价格稳中走涨。随着春节到来，成品油市场呈现“汽强柴弱”格局。汽油方面，临近传统春节，随着国际原油延续上行，中下游有提前启动年前备货的现象。柴油方面，目前各地户外大型工矿项目多已停工，加之政府提倡就地过年，人口流动性减弱，交通运输缺乏利好支撑，需求面支撑减弱。具体来说，周期前，原油收盘持续上涨提振成品油市场，区内主营价格纷纷走涨，虽疫情仍存，但汽油市场购销向好，柴油仍以刚性需求为主，周期后，零售限价上调落实，区内主营价格大幅上涨，柴油价格大多已至限价附近，户外基建也进入收工阶段，柴油需求跌入冰点，汽油方面因春节到来，市场需求仍有支撑，交投较好。</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14日-1月20日)，东北地区内汽柴油价格稳中有涨。汽油方面，受春节假期的提振，私家车出行频率有所增加，汽油终端需求持续利好，业者采购热情升温，各炼厂出货情况尚可，场内成交氛围转好。柴油方面，户外工程基建的陆续停工，其需求逐步放缓，中下游多刚需进购。周内后期，零售限价大幅上调兑现，消息面利好指引，区内汽柴油价格随之上涨，且中下游用户年前备货或提前启动，各销售单位销售压力不大，汽油市场购销氛围较好，但柴油终端需求乏实质性利好刺激，加之价格涨至高位，业者观望心态渐起，整体交投一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 预计原油价格或高位震荡运行，新一轮原油变化率正向开端，消息面利好提振。临近春节需求转淡，国内局部地区疫情防控严峻，居民出行谨慎，私家车出行频率将增加，汽油需求仍有一定支撑，户外工地、用油企业放假，加上物流行业即将停运，柴油需求逐渐萎靡，故预计下周汽柴油价格或以弱势盘整为主。</w:t>
      </w:r>
    </w:p>
    <w:p>
      <w:pPr>
        <w:pStyle w:val="3"/>
        <w:spacing w:before="120" w:after="120" w:line="240" w:lineRule="auto"/>
        <w:rPr>
          <w:rFonts w:ascii="宋体" w:hAnsi="宋体"/>
          <w:b/>
          <w:color w:val="auto"/>
          <w:sz w:val="30"/>
          <w:szCs w:val="30"/>
        </w:rPr>
      </w:pPr>
      <w:bookmarkStart w:id="20" w:name="_Toc14270"/>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2022/1/20</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8588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 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2022/1/20</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7.08</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2022/1/20</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8336</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8492</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8115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8195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8063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8213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8110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8160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2022/1/20</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7221</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7265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7463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7135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7135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7040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7135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7133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7320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7320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7120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四、2021年11月份进出口统计数据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bookmarkStart w:id="30" w:name="_Toc31064"/>
            <w:r>
              <w:rPr>
                <w:rStyle w:val="28"/>
                <w:rFonts w:hint="eastAsia" w:ascii="宋体" w:hAnsi="宋体" w:eastAsia="宋体" w:cs="宋体"/>
                <w:b/>
                <w:i w:val="0"/>
                <w:caps w:val="0"/>
                <w:color w:val="auto"/>
                <w:spacing w:val="0"/>
                <w:sz w:val="18"/>
                <w:szCs w:val="18"/>
                <w:lang w:val="en-US" w:eastAsia="zh-CN"/>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单位</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134586.2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韩国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19957.52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12458.72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2161.106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9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墨西哥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35457.63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297060.9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印度尼西亚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35809.39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8830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5747.604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bookmarkStart w:id="31" w:name="_Toc10780"/>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134586.2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bl>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702.60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2831537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000000"/>
                <w:spacing w:val="0"/>
                <w:sz w:val="18"/>
                <w:szCs w:val="18"/>
              </w:rPr>
              <w:t>4030.08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77588.78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294156653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1031.50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4537676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巴基斯坦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39957.65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183425430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15979.02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66881893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4185.61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131.89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525478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3984.21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49.30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190768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241.80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1078245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多米尼加共和国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84485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64.20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308069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4798.58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488.00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1991150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193842.55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782963912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277.08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1128627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4073.36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97.80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350893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187.55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874338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4661.99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科威特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112761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5125.50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8179.64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35270458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2857.92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12793276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4476.44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5122.28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22245445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595.41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2245637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3771.58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111209.55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442320754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3807.35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16848397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56.38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278140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4933.31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帕劳</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176650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892.40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3882551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4350.68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日本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1181.96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4562654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88.73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403660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4549.26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508.91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2356535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圣其茨和尼维斯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60.52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269474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39906.15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184160090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219.51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979306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346.00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1487771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4279.53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18241276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4262.44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牙买加</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102488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2032.18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9093846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4474.92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548.17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2561169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4672.25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直布罗陀</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29.70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111860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3766.33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1987.03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5346892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2690.90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540.60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2568212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4750.67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83857.08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14%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322487144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000000"/>
                <w:spacing w:val="0"/>
                <w:sz w:val="18"/>
                <w:szCs w:val="18"/>
              </w:rPr>
              <w:t>3845.68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599050.81</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2432235600.00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000000"/>
                <w:spacing w:val="0"/>
                <w:sz w:val="18"/>
                <w:szCs w:val="18"/>
              </w:rPr>
              <w:t>4060.15</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20776"/>
      <w:bookmarkStart w:id="34" w:name="_Toc9952"/>
      <w:r>
        <w:rPr>
          <w:rFonts w:hint="eastAsia" w:ascii="宋体" w:hAnsi="宋体" w:cs="Arial"/>
          <w:b/>
          <w:bCs/>
          <w:kern w:val="0"/>
          <w:sz w:val="36"/>
          <w:szCs w:val="36"/>
        </w:rPr>
        <w:t>2021年11月份全国原油进出口统计数据</w:t>
      </w:r>
    </w:p>
    <w:p>
      <w:pPr>
        <w:jc w:val="right"/>
        <w:rPr>
          <w:rFonts w:hint="eastAsia" w:ascii="宋体" w:hAnsi="宋体"/>
        </w:rPr>
      </w:pPr>
    </w:p>
    <w:tbl>
      <w:tblPr>
        <w:tblStyle w:val="24"/>
        <w:tblW w:w="5000" w:type="pct"/>
        <w:tblInd w:w="0" w:type="dxa"/>
        <w:tblLayout w:type="autofit"/>
        <w:tblCellMar>
          <w:top w:w="0" w:type="dxa"/>
          <w:left w:w="108" w:type="dxa"/>
          <w:bottom w:w="0" w:type="dxa"/>
          <w:right w:w="108" w:type="dxa"/>
        </w:tblCellMar>
      </w:tblPr>
      <w:tblGrid>
        <w:gridCol w:w="2889"/>
        <w:gridCol w:w="1613"/>
        <w:gridCol w:w="2733"/>
        <w:gridCol w:w="2733"/>
      </w:tblGrid>
      <w:tr>
        <w:tblPrEx>
          <w:tblCellMar>
            <w:top w:w="0" w:type="dxa"/>
            <w:left w:w="108" w:type="dxa"/>
            <w:bottom w:w="0" w:type="dxa"/>
            <w:right w:w="108" w:type="dxa"/>
          </w:tblCellMar>
        </w:tblPrEx>
        <w:trPr>
          <w:trHeight w:val="345" w:hRule="atLeast"/>
        </w:trPr>
        <w:tc>
          <w:tcPr>
            <w:tcW w:w="1449"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进口来源国</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沙特阿拉伯</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740.16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440095.01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594.6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俄罗斯联邦</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670.3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400466.26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597.45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阿联酋</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446.71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257805.75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577.12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阿曼</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366.11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220820.55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603.15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伊拉克</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344.16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198417.37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576.52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安哥拉</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281.21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166870.99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593.4</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科威特</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259.68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157615.41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606.96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巴西</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226.59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132330.42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584.02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马来西亚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169.81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92478.52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544.59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英国</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101.36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53525.35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528.07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挪威</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81.74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50086.91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612.78</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刚果(布)</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77.66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46649.54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600.72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哥伦比亚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69.3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35573.5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513.35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卡塔尔</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44244.83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644.54</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利比亚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35569.18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649.03</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哈萨克斯坦</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38.65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23608.78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610.82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厄瓜多尔</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35.42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20089.1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567.19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加蓬</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29.73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17722.99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596.18</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澳大利亚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18163.77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738.21</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加拿大</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22.15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11983.52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541.06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尼日利亚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17.63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12121.76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687.69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美国</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14.12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7471.57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529.1</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喀麦隆</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8101.73</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604.17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刚果(金)</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12.44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7668.18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616.39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蒙古</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2106.1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454.37</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加纳</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4.42</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2004.1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453.26</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越南</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2590.31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680.45</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合计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4179.24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2466181.5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590.1</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出口国家</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马来西亚</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46.5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13630.84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293.13</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新加坡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26.78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6903.74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257.75</w:t>
            </w:r>
          </w:p>
        </w:tc>
      </w:tr>
    </w:tbl>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tbl>
      <w:tblPr>
        <w:tblStyle w:val="24"/>
        <w:tblW w:w="5000" w:type="pct"/>
        <w:tblInd w:w="0" w:type="dxa"/>
        <w:tblLayout w:type="autofit"/>
        <w:tblCellMar>
          <w:top w:w="0" w:type="dxa"/>
          <w:left w:w="108" w:type="dxa"/>
          <w:bottom w:w="0" w:type="dxa"/>
          <w:right w:w="108" w:type="dxa"/>
        </w:tblCellMar>
      </w:tblPr>
      <w:tblGrid>
        <w:gridCol w:w="2889"/>
        <w:gridCol w:w="1613"/>
        <w:gridCol w:w="2733"/>
        <w:gridCol w:w="2733"/>
      </w:tblGrid>
      <w:tr>
        <w:tblPrEx>
          <w:tblCellMar>
            <w:top w:w="0" w:type="dxa"/>
            <w:left w:w="108" w:type="dxa"/>
            <w:bottom w:w="0" w:type="dxa"/>
            <w:right w:w="108" w:type="dxa"/>
          </w:tblCellMar>
        </w:tblPrEx>
        <w:trPr>
          <w:trHeight w:val="330" w:hRule="atLeast"/>
        </w:trPr>
        <w:tc>
          <w:tcPr>
            <w:tcW w:w="1449"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进口均价（美元/吨）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一般贸易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3259.57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1938521.85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594.72</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来料加工贸易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183.46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108409.58</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590.9</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保税监管场所进出境货物</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731.4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416354.9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569.26</w:t>
            </w:r>
          </w:p>
        </w:tc>
      </w:tr>
      <w:tr>
        <w:tblPrEx>
          <w:tblCellMar>
            <w:top w:w="0" w:type="dxa"/>
            <w:left w:w="108" w:type="dxa"/>
            <w:bottom w:w="0" w:type="dxa"/>
            <w:right w:w="108" w:type="dxa"/>
          </w:tblCellMar>
        </w:tblPrEx>
        <w:trPr>
          <w:trHeight w:val="211"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海关特殊监管区域物流货物</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4.81</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2895.17</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601.6</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合计</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4179.24</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2466181.5</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590.1</w:t>
            </w:r>
          </w:p>
        </w:tc>
      </w:tr>
      <w:tr>
        <w:tblPrEx>
          <w:tblCellMar>
            <w:top w:w="0" w:type="dxa"/>
            <w:left w:w="108" w:type="dxa"/>
            <w:bottom w:w="0" w:type="dxa"/>
            <w:right w:w="108" w:type="dxa"/>
          </w:tblCellMar>
        </w:tblPrEx>
        <w:trPr>
          <w:trHeight w:val="330" w:hRule="atLeast"/>
        </w:trPr>
        <w:tc>
          <w:tcPr>
            <w:tcW w:w="1449"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万吨</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万美元</w:t>
            </w:r>
          </w:p>
        </w:tc>
        <w:tc>
          <w:tcPr>
            <w:tcW w:w="137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191919"/>
                <w:kern w:val="0"/>
                <w:sz w:val="18"/>
                <w:szCs w:val="18"/>
              </w:rPr>
            </w:pPr>
            <w:r>
              <w:rPr>
                <w:rFonts w:hint="eastAsia" w:ascii="宋体" w:hAnsi="宋体" w:cs="宋体"/>
                <w:b/>
                <w:bCs/>
                <w:color w:val="191919"/>
                <w:kern w:val="0"/>
                <w:sz w:val="18"/>
                <w:szCs w:val="18"/>
              </w:rPr>
              <w:t>出口均价（美元/吨）</w:t>
            </w:r>
          </w:p>
        </w:tc>
      </w:tr>
      <w:tr>
        <w:tblPrEx>
          <w:tblCellMar>
            <w:top w:w="0" w:type="dxa"/>
            <w:left w:w="108" w:type="dxa"/>
            <w:bottom w:w="0" w:type="dxa"/>
            <w:right w:w="108" w:type="dxa"/>
          </w:tblCellMar>
        </w:tblPrEx>
        <w:trPr>
          <w:trHeight w:val="270" w:hRule="atLeast"/>
        </w:trPr>
        <w:tc>
          <w:tcPr>
            <w:tcW w:w="144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一般贸易</w:t>
            </w:r>
          </w:p>
        </w:tc>
        <w:tc>
          <w:tcPr>
            <w:tcW w:w="80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73.29</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20534.6</w:t>
            </w:r>
          </w:p>
        </w:tc>
        <w:tc>
          <w:tcPr>
            <w:tcW w:w="137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191919"/>
                <w:kern w:val="0"/>
                <w:sz w:val="18"/>
                <w:szCs w:val="18"/>
              </w:rPr>
            </w:pPr>
            <w:r>
              <w:rPr>
                <w:rFonts w:hint="eastAsia" w:ascii="宋体" w:hAnsi="宋体" w:cs="宋体"/>
                <w:color w:val="191919"/>
                <w:kern w:val="0"/>
                <w:sz w:val="18"/>
                <w:szCs w:val="18"/>
              </w:rPr>
              <w:t>280.2</w:t>
            </w:r>
          </w:p>
        </w:tc>
      </w:tr>
    </w:tbl>
    <w:p>
      <w:pPr>
        <w:widowControl/>
        <w:jc w:val="center"/>
        <w:rPr>
          <w:rFonts w:hint="eastAsia" w:ascii="宋体" w:hAnsi="宋体" w:cs="宋体"/>
          <w:color w:val="000000"/>
          <w:kern w:val="0"/>
          <w:szCs w:val="21"/>
        </w:rPr>
      </w:pPr>
    </w:p>
    <w:p>
      <w:pPr>
        <w:pStyle w:val="23"/>
        <w:ind w:firstLine="360" w:firstLineChars="200"/>
        <w:rPr>
          <w:sz w:val="18"/>
          <w:szCs w:val="18"/>
        </w:rPr>
      </w:pPr>
      <w:r>
        <w:rPr>
          <w:sz w:val="18"/>
          <w:szCs w:val="18"/>
        </w:rPr>
        <w:t>2021年11月份我国原油进口量在4179.24万吨，环比增长10.57%，进口均价590.1美元/吨，环比增加7.49%。其中沙特进口量最大为740.16 万吨，进口均价594.6美元/吨。</w:t>
      </w:r>
    </w:p>
    <w:p>
      <w:pPr>
        <w:pStyle w:val="23"/>
        <w:ind w:firstLine="360" w:firstLineChars="200"/>
        <w:rPr>
          <w:rFonts w:hint="eastAsia"/>
          <w:sz w:val="18"/>
          <w:szCs w:val="18"/>
        </w:rPr>
      </w:pPr>
      <w:r>
        <w:rPr>
          <w:sz w:val="18"/>
          <w:szCs w:val="18"/>
        </w:rPr>
        <w:t>2021年11月份我国原油出口量在73.28万吨，进口均价280.2美元/吨</w:t>
      </w:r>
      <w:r>
        <w:rPr>
          <w:rFonts w:hint="eastAsia"/>
          <w:sz w:val="18"/>
          <w:szCs w:val="18"/>
        </w:rPr>
        <w:t>。</w:t>
      </w:r>
    </w:p>
    <w:p>
      <w:pPr>
        <w:pStyle w:val="23"/>
        <w:ind w:firstLine="360" w:firstLineChars="200"/>
        <w:rPr>
          <w:rFonts w:hint="eastAsia"/>
          <w:sz w:val="18"/>
          <w:szCs w:val="18"/>
        </w:rPr>
      </w:pP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11</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11月进口量:59770.75（吨）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11月出口量:942275.81（吨）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累计进口量:1233453.05吨）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累计出口量:7965920.27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当月进口均价:4830.65（元/吨）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当月出口均价:4142.14（元/吨）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累计进口均价：41806.28（元/吨）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累计出口均价:38322.03（元/吨）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进口量环比:-52.91%</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出口量环比：13.52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进口量同比：-38.44%</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出口量同比：103.92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仿宋" w:hAnsi="仿宋" w:eastAsia="仿宋" w:cs="仿宋"/>
                <w:caps w:val="0"/>
                <w:color w:val="000000"/>
                <w:spacing w:val="0"/>
                <w:sz w:val="18"/>
                <w:szCs w:val="18"/>
              </w:rPr>
              <w:t>累计出口量比去年同期：-16.53</w:t>
            </w:r>
          </w:p>
        </w:tc>
      </w:tr>
    </w:tbl>
    <w:p>
      <w:pPr>
        <w:rPr>
          <w:color w:val="auto"/>
        </w:rPr>
      </w:pPr>
    </w:p>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C5771"/>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5B1499"/>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F78DF"/>
    <w:rsid w:val="14997CF1"/>
    <w:rsid w:val="149A6A37"/>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EA4D01"/>
    <w:rsid w:val="19F07148"/>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4062B7"/>
    <w:rsid w:val="1E417BB3"/>
    <w:rsid w:val="1E450B99"/>
    <w:rsid w:val="1E4D2825"/>
    <w:rsid w:val="1E5542CC"/>
    <w:rsid w:val="1E64791C"/>
    <w:rsid w:val="1E676F14"/>
    <w:rsid w:val="1E6D6ABE"/>
    <w:rsid w:val="1E755624"/>
    <w:rsid w:val="1E764D52"/>
    <w:rsid w:val="1E8C73FA"/>
    <w:rsid w:val="1E9E3D33"/>
    <w:rsid w:val="1EA00084"/>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AEA4EAD"/>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811341"/>
    <w:rsid w:val="2C823F4E"/>
    <w:rsid w:val="2C9D3080"/>
    <w:rsid w:val="2CA44349"/>
    <w:rsid w:val="2CAA70F0"/>
    <w:rsid w:val="2CAD067B"/>
    <w:rsid w:val="2CBD69A8"/>
    <w:rsid w:val="2CEC0EBC"/>
    <w:rsid w:val="2CF30447"/>
    <w:rsid w:val="2CFC1060"/>
    <w:rsid w:val="2CFD0FC0"/>
    <w:rsid w:val="2D050EBF"/>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42A4E"/>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186725"/>
    <w:rsid w:val="323C3FDE"/>
    <w:rsid w:val="324163CA"/>
    <w:rsid w:val="32427A9A"/>
    <w:rsid w:val="32574FD8"/>
    <w:rsid w:val="325C547C"/>
    <w:rsid w:val="32646DB1"/>
    <w:rsid w:val="326C29F6"/>
    <w:rsid w:val="327B3D21"/>
    <w:rsid w:val="327C3888"/>
    <w:rsid w:val="327E1445"/>
    <w:rsid w:val="3286221A"/>
    <w:rsid w:val="329338D7"/>
    <w:rsid w:val="32945DAC"/>
    <w:rsid w:val="329B3155"/>
    <w:rsid w:val="329C631F"/>
    <w:rsid w:val="32A24DE0"/>
    <w:rsid w:val="32AB0897"/>
    <w:rsid w:val="32AE266E"/>
    <w:rsid w:val="32B638BE"/>
    <w:rsid w:val="32B821ED"/>
    <w:rsid w:val="32CB3A84"/>
    <w:rsid w:val="32CD7010"/>
    <w:rsid w:val="32CE45BC"/>
    <w:rsid w:val="32D9201A"/>
    <w:rsid w:val="32DD3543"/>
    <w:rsid w:val="32E42D0F"/>
    <w:rsid w:val="32E779A4"/>
    <w:rsid w:val="330D4D94"/>
    <w:rsid w:val="33354DD5"/>
    <w:rsid w:val="33435E16"/>
    <w:rsid w:val="335F11B3"/>
    <w:rsid w:val="337B12FB"/>
    <w:rsid w:val="33846435"/>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8034A"/>
    <w:rsid w:val="355E299F"/>
    <w:rsid w:val="355E6D49"/>
    <w:rsid w:val="35671EE7"/>
    <w:rsid w:val="3572663B"/>
    <w:rsid w:val="357D4C50"/>
    <w:rsid w:val="3591419B"/>
    <w:rsid w:val="35925B04"/>
    <w:rsid w:val="35963717"/>
    <w:rsid w:val="35AB2A03"/>
    <w:rsid w:val="35AF3549"/>
    <w:rsid w:val="35BC70FA"/>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671F5"/>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B577B"/>
    <w:rsid w:val="46A075FA"/>
    <w:rsid w:val="46A359DC"/>
    <w:rsid w:val="46A54FB3"/>
    <w:rsid w:val="46C826C3"/>
    <w:rsid w:val="46D040D1"/>
    <w:rsid w:val="46D47B0B"/>
    <w:rsid w:val="46D7121E"/>
    <w:rsid w:val="46DF2798"/>
    <w:rsid w:val="46E07671"/>
    <w:rsid w:val="46F84FBA"/>
    <w:rsid w:val="46FF57CE"/>
    <w:rsid w:val="47154F60"/>
    <w:rsid w:val="47162E3C"/>
    <w:rsid w:val="47476572"/>
    <w:rsid w:val="47700BCB"/>
    <w:rsid w:val="47727F60"/>
    <w:rsid w:val="47732DB6"/>
    <w:rsid w:val="47763121"/>
    <w:rsid w:val="478601BF"/>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561F8F"/>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BF5B90"/>
    <w:rsid w:val="55CE1AD5"/>
    <w:rsid w:val="55E206FC"/>
    <w:rsid w:val="55ED37B8"/>
    <w:rsid w:val="55F04C52"/>
    <w:rsid w:val="55F35D23"/>
    <w:rsid w:val="560E1061"/>
    <w:rsid w:val="56281CBC"/>
    <w:rsid w:val="562878FA"/>
    <w:rsid w:val="56333685"/>
    <w:rsid w:val="56540424"/>
    <w:rsid w:val="567466BA"/>
    <w:rsid w:val="567B7B50"/>
    <w:rsid w:val="568F0DF7"/>
    <w:rsid w:val="56A332D5"/>
    <w:rsid w:val="56AD59C6"/>
    <w:rsid w:val="56B85F25"/>
    <w:rsid w:val="56C325A5"/>
    <w:rsid w:val="56C4174F"/>
    <w:rsid w:val="56C918DC"/>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67529"/>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32238"/>
    <w:rsid w:val="66087C36"/>
    <w:rsid w:val="660A413F"/>
    <w:rsid w:val="661A0E12"/>
    <w:rsid w:val="66214D7C"/>
    <w:rsid w:val="6624580B"/>
    <w:rsid w:val="6625001A"/>
    <w:rsid w:val="662A15EB"/>
    <w:rsid w:val="66356B67"/>
    <w:rsid w:val="665078F8"/>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1FC2D88"/>
    <w:rsid w:val="720A6753"/>
    <w:rsid w:val="720F4AFB"/>
    <w:rsid w:val="72112B83"/>
    <w:rsid w:val="72143F3C"/>
    <w:rsid w:val="721F61D9"/>
    <w:rsid w:val="722333A8"/>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111AB"/>
    <w:rsid w:val="74C768EE"/>
    <w:rsid w:val="74CA493F"/>
    <w:rsid w:val="74E97F38"/>
    <w:rsid w:val="74ED6920"/>
    <w:rsid w:val="74F13E40"/>
    <w:rsid w:val="75065956"/>
    <w:rsid w:val="750B1697"/>
    <w:rsid w:val="751509C7"/>
    <w:rsid w:val="7525120A"/>
    <w:rsid w:val="752902C5"/>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756AB"/>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4F7E21"/>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31</TotalTime>
  <ScaleCrop>false</ScaleCrop>
  <LinksUpToDate>false</LinksUpToDate>
  <CharactersWithSpaces>26786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2022-01-20T07:28:32Z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2052-11.1.0.11294</vt:lpwstr>
  </property>
  <property fmtid="{D5CDD505-2E9C-101B-9397-08002B2CF9AE}" pid="4" name="ICV">
    <vt:lpwstr>D366F8CEF0B34B9A839F473A36DCA92E</vt:lpwstr>
  </property>
</Properties>
</file>