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rPr>
      </w:pPr>
      <w:r>
        <w:rPr>
          <w:rFonts w:ascii="宋体" w:hAnsi="宋体"/>
          <w:color w:val="auto"/>
          <w:sz w:val="72"/>
          <w:szCs w:val="72"/>
        </w:rPr>
        <w:drawing>
          <wp:anchor distT="0" distB="0" distL="114300" distR="114300" simplePos="0" relativeHeight="251659264" behindDoc="1" locked="0" layoutInCell="1" allowOverlap="1">
            <wp:simplePos x="0" y="0"/>
            <wp:positionH relativeFrom="column">
              <wp:posOffset>-810895</wp:posOffset>
            </wp:positionH>
            <wp:positionV relativeFrom="paragraph">
              <wp:posOffset>-957580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106680</wp:posOffset>
                </wp:positionV>
                <wp:extent cx="3255010" cy="81915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3255010" cy="819150"/>
                        </a:xfrm>
                        <a:prstGeom prst="rect">
                          <a:avLst/>
                        </a:prstGeom>
                        <a:noFill/>
                        <a:ln>
                          <a:noFill/>
                        </a:ln>
                      </wps:spPr>
                      <wps:txbx>
                        <w:txbxContent>
                          <w:p>
                            <w:pPr>
                              <w:pStyle w:val="2"/>
                              <w:jc w:val="center"/>
                              <w:rPr>
                                <w:b/>
                                <w:kern w:val="2"/>
                                <w:sz w:val="36"/>
                                <w:szCs w:val="36"/>
                              </w:rPr>
                            </w:pPr>
                            <w:r>
                              <w:rPr>
                                <w:rFonts w:hint="eastAsia"/>
                                <w:b/>
                                <w:kern w:val="2"/>
                                <w:sz w:val="36"/>
                                <w:szCs w:val="36"/>
                                <w:lang w:eastAsia="zh-CN"/>
                              </w:rPr>
                              <w:t>中商网</w:t>
                            </w:r>
                            <w:r>
                              <w:rPr>
                                <w:rFonts w:hint="eastAsia"/>
                                <w:b/>
                                <w:kern w:val="2"/>
                                <w:sz w:val="36"/>
                                <w:szCs w:val="36"/>
                                <w:lang w:val="en-US" w:eastAsia="zh-CN"/>
                              </w:rPr>
                              <w:t>成品油</w:t>
                            </w:r>
                            <w:r>
                              <w:rPr>
                                <w:rFonts w:hint="eastAsia"/>
                                <w:b/>
                                <w:kern w:val="2"/>
                                <w:sz w:val="36"/>
                                <w:szCs w:val="36"/>
                              </w:rPr>
                              <w:t>周</w:t>
                            </w:r>
                            <w:r>
                              <w:rPr>
                                <w:rFonts w:hint="eastAsia"/>
                                <w:b/>
                                <w:kern w:val="2"/>
                                <w:sz w:val="36"/>
                                <w:szCs w:val="36"/>
                                <w:lang w:eastAsia="zh-CN"/>
                              </w:rPr>
                              <w:t>报</w:t>
                            </w:r>
                          </w:p>
                          <w:p>
                            <w:pPr>
                              <w:rPr>
                                <w:sz w:val="36"/>
                                <w:szCs w:val="36"/>
                              </w:rPr>
                            </w:pPr>
                          </w:p>
                          <w:p>
                            <w:pPr>
                              <w:rPr>
                                <w:sz w:val="36"/>
                                <w:szCs w:val="36"/>
                              </w:rPr>
                            </w:pPr>
                          </w:p>
                        </w:txbxContent>
                      </wps:txbx>
                      <wps:bodyPr upright="1"/>
                    </wps:wsp>
                  </a:graphicData>
                </a:graphic>
              </wp:anchor>
            </w:drawing>
          </mc:Choice>
          <mc:Fallback>
            <w:pict>
              <v:shape id="文本框 60" o:spid="_x0000_s1026" o:spt="202" type="#_x0000_t202" style="position:absolute;left:0pt;margin-left:119.25pt;margin-top:8.4pt;height:64.5pt;width:256.3pt;z-index:251660288;mso-width-relative:page;mso-height-relative:page;" filled="f" stroked="f" coordsize="21600,21600" o:gfxdata="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1Z2SfXAAAA&#10;CgEAAA8AAAAAAAAAAQAgAAAAIgAAAGRycy9kb3ducmV2LnhtbFBLAQIUABQAAAAIAIdO4kBWcsdd&#10;rAEAAE8DAAAOAAAAAAAAAAEAIAAAACYBAABkcnMvZTJvRG9jLnhtbFBLBQYAAAAABgAGAFkBAABE&#10;BQAAAAA=&#10;">
                <v:fill on="f" focussize="0,0"/>
                <v:stroke on="f"/>
                <v:imagedata o:title=""/>
                <o:lock v:ext="edit" aspectratio="f"/>
                <v:textbox>
                  <w:txbxContent>
                    <w:p>
                      <w:pPr>
                        <w:pStyle w:val="2"/>
                        <w:jc w:val="center"/>
                        <w:rPr>
                          <w:b/>
                          <w:kern w:val="2"/>
                          <w:sz w:val="36"/>
                          <w:szCs w:val="36"/>
                        </w:rPr>
                      </w:pPr>
                      <w:r>
                        <w:rPr>
                          <w:rFonts w:hint="eastAsia"/>
                          <w:b/>
                          <w:kern w:val="2"/>
                          <w:sz w:val="36"/>
                          <w:szCs w:val="36"/>
                          <w:lang w:eastAsia="zh-CN"/>
                        </w:rPr>
                        <w:t>中商网</w:t>
                      </w:r>
                      <w:r>
                        <w:rPr>
                          <w:rFonts w:hint="eastAsia"/>
                          <w:b/>
                          <w:kern w:val="2"/>
                          <w:sz w:val="36"/>
                          <w:szCs w:val="36"/>
                          <w:lang w:val="en-US" w:eastAsia="zh-CN"/>
                        </w:rPr>
                        <w:t>成品油</w:t>
                      </w:r>
                      <w:r>
                        <w:rPr>
                          <w:rFonts w:hint="eastAsia"/>
                          <w:b/>
                          <w:kern w:val="2"/>
                          <w:sz w:val="36"/>
                          <w:szCs w:val="36"/>
                        </w:rPr>
                        <w:t>周</w:t>
                      </w:r>
                      <w:r>
                        <w:rPr>
                          <w:rFonts w:hint="eastAsia"/>
                          <w:b/>
                          <w:kern w:val="2"/>
                          <w:sz w:val="36"/>
                          <w:szCs w:val="36"/>
                          <w:lang w:eastAsia="zh-CN"/>
                        </w:rPr>
                        <w:t>报</w:t>
                      </w:r>
                    </w:p>
                    <w:p>
                      <w:pPr>
                        <w:rPr>
                          <w:sz w:val="36"/>
                          <w:szCs w:val="36"/>
                        </w:rPr>
                      </w:pPr>
                    </w:p>
                    <w:p>
                      <w:pPr>
                        <w:rPr>
                          <w:sz w:val="36"/>
                          <w:szCs w:val="36"/>
                        </w:rPr>
                      </w:pPr>
                    </w:p>
                  </w:txbxContent>
                </v:textbox>
              </v:shape>
            </w:pict>
          </mc:Fallback>
        </mc:AlternateContent>
      </w:r>
    </w:p>
    <w:p>
      <w:pPr>
        <w:rPr>
          <w:rFonts w:ascii="宋体" w:hAnsi="宋体"/>
          <w:color w:val="auto"/>
        </w:rPr>
      </w:pPr>
    </w:p>
    <w:p>
      <w:pPr>
        <w:rPr>
          <w:rFonts w:ascii="宋体" w:hAnsi="宋体"/>
          <w:color w:val="auto"/>
        </w:rPr>
      </w:pPr>
    </w:p>
    <w:p>
      <w:pPr>
        <w:jc w:val="center"/>
        <w:rPr>
          <w:rFonts w:hint="eastAsia" w:ascii="宋体" w:hAnsi="宋体"/>
          <w:b/>
          <w:color w:val="auto"/>
          <w:sz w:val="36"/>
          <w:szCs w:val="36"/>
        </w:rPr>
      </w:pPr>
    </w:p>
    <w:p>
      <w:pPr>
        <w:jc w:val="center"/>
        <w:rPr>
          <w:rFonts w:hint="default" w:ascii="宋体" w:hAnsi="宋体" w:eastAsia="宋体"/>
          <w:color w:val="auto"/>
          <w:lang w:val="en-US" w:eastAsia="zh-CN"/>
        </w:rPr>
      </w:pPr>
      <w:r>
        <w:rPr>
          <w:rFonts w:hint="eastAsia" w:ascii="宋体" w:hAnsi="宋体"/>
          <w:b/>
          <w:color w:val="auto"/>
          <w:sz w:val="36"/>
          <w:szCs w:val="36"/>
        </w:rPr>
        <w:t>20</w:t>
      </w:r>
      <w:r>
        <w:rPr>
          <w:rFonts w:hint="eastAsia" w:ascii="宋体" w:hAnsi="宋体"/>
          <w:b/>
          <w:color w:val="auto"/>
          <w:sz w:val="36"/>
          <w:szCs w:val="36"/>
          <w:lang w:val="en-US" w:eastAsia="zh-CN"/>
        </w:rPr>
        <w:t>21</w:t>
      </w:r>
      <w:r>
        <w:rPr>
          <w:rFonts w:hint="eastAsia" w:ascii="宋体" w:hAnsi="宋体"/>
          <w:b/>
          <w:color w:val="auto"/>
          <w:sz w:val="36"/>
          <w:szCs w:val="36"/>
        </w:rPr>
        <w:t>.</w:t>
      </w:r>
      <w:r>
        <w:rPr>
          <w:rFonts w:hint="eastAsia" w:ascii="宋体" w:hAnsi="宋体"/>
          <w:b/>
          <w:color w:val="auto"/>
          <w:sz w:val="36"/>
          <w:szCs w:val="36"/>
          <w:lang w:val="en-US" w:eastAsia="zh-CN"/>
        </w:rPr>
        <w:t>12.30</w:t>
      </w: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53975</wp:posOffset>
                </wp:positionV>
                <wp:extent cx="5322570" cy="1289685"/>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289685"/>
                        </a:xfrm>
                        <a:prstGeom prst="rect">
                          <a:avLst/>
                        </a:prstGeom>
                        <a:noFill/>
                        <a:ln>
                          <a:noFill/>
                        </a:ln>
                      </wps:spPr>
                      <wps:txbx>
                        <w:txbxContent>
                          <w:p>
                            <w:pPr>
                              <w:pStyle w:val="159"/>
                              <w:rPr>
                                <w:rFonts w:hint="eastAsia" w:ascii="宋体" w:hAnsi="宋体"/>
                                <w:kern w:val="2"/>
                                <w:sz w:val="18"/>
                                <w:szCs w:val="18"/>
                                <w:lang w:eastAsia="zh-CN"/>
                              </w:rPr>
                            </w:pPr>
                            <w:r>
                              <w:rPr>
                                <w:rFonts w:hint="eastAsia" w:ascii="宋体" w:hAnsi="宋体"/>
                                <w:kern w:val="2"/>
                                <w:sz w:val="18"/>
                                <w:szCs w:val="18"/>
                                <w:lang w:eastAsia="zh-CN"/>
                              </w:rPr>
                              <w:t>责任编辑：孙文娟</w:t>
                            </w:r>
                          </w:p>
                          <w:p>
                            <w:pPr>
                              <w:pStyle w:val="159"/>
                              <w:rPr>
                                <w:rFonts w:hint="eastAsia" w:ascii="宋体" w:hAnsi="宋体"/>
                                <w:kern w:val="2"/>
                                <w:sz w:val="18"/>
                                <w:szCs w:val="18"/>
                                <w:lang w:eastAsia="zh-CN"/>
                              </w:rPr>
                            </w:pPr>
                            <w:r>
                              <w:rPr>
                                <w:rFonts w:hint="eastAsia" w:ascii="宋体" w:hAnsi="宋体"/>
                                <w:kern w:val="2"/>
                                <w:sz w:val="18"/>
                                <w:szCs w:val="18"/>
                                <w:lang w:eastAsia="zh-CN"/>
                              </w:rPr>
                              <w:t>电  话：86-18513790712</w:t>
                            </w:r>
                          </w:p>
                          <w:p>
                            <w:pPr>
                              <w:pStyle w:val="159"/>
                              <w:rPr>
                                <w:rFonts w:hint="eastAsia" w:ascii="宋体" w:hAnsi="宋体"/>
                                <w:kern w:val="2"/>
                                <w:sz w:val="18"/>
                                <w:szCs w:val="18"/>
                                <w:lang w:eastAsia="zh-CN"/>
                              </w:rPr>
                            </w:pPr>
                            <w:r>
                              <w:rPr>
                                <w:rFonts w:hint="eastAsia" w:ascii="宋体" w:hAnsi="宋体"/>
                                <w:kern w:val="2"/>
                                <w:sz w:val="18"/>
                                <w:szCs w:val="18"/>
                                <w:lang w:eastAsia="zh-CN"/>
                              </w:rPr>
                              <w:t>传  真：86-010-85725399</w:t>
                            </w:r>
                          </w:p>
                          <w:p>
                            <w:pPr>
                              <w:pStyle w:val="159"/>
                              <w:rPr>
                                <w:rFonts w:hint="eastAsia" w:ascii="宋体" w:hAnsi="宋体"/>
                                <w:kern w:val="2"/>
                                <w:sz w:val="18"/>
                                <w:szCs w:val="18"/>
                                <w:lang w:eastAsia="zh-CN"/>
                              </w:rPr>
                            </w:pPr>
                            <w:r>
                              <w:rPr>
                                <w:rFonts w:hint="eastAsia" w:ascii="宋体" w:hAnsi="宋体"/>
                                <w:kern w:val="2"/>
                                <w:sz w:val="18"/>
                                <w:szCs w:val="18"/>
                                <w:lang w:eastAsia="zh-CN"/>
                              </w:rPr>
                              <w:t>编辑邮箱：sunwj@chinaccm.com</w:t>
                            </w:r>
                          </w:p>
                          <w:p>
                            <w:pPr>
                              <w:pStyle w:val="159"/>
                              <w:rPr>
                                <w:rFonts w:ascii="宋体" w:hAnsi="宋体"/>
                                <w:bCs/>
                                <w:kern w:val="2"/>
                                <w:sz w:val="18"/>
                                <w:szCs w:val="18"/>
                                <w:lang w:eastAsia="zh-CN"/>
                              </w:rPr>
                            </w:pPr>
                            <w:r>
                              <w:rPr>
                                <w:rFonts w:hint="eastAsia" w:ascii="宋体" w:hAnsi="宋体"/>
                                <w:bCs/>
                                <w:kern w:val="2"/>
                                <w:sz w:val="18"/>
                                <w:szCs w:val="18"/>
                                <w:lang w:eastAsia="zh-CN"/>
                              </w:rPr>
                              <w:t>地址：</w:t>
                            </w:r>
                            <w:r>
                              <w:rPr>
                                <w:rFonts w:hint="eastAsia" w:ascii="宋体" w:hAnsi="宋体"/>
                                <w:kern w:val="2"/>
                                <w:sz w:val="18"/>
                                <w:szCs w:val="18"/>
                                <w:lang w:eastAsia="zh-CN"/>
                              </w:rPr>
                              <w:t>北京市朝阳区高碑店古家具一条街1616号（邮编：</w:t>
                            </w:r>
                            <w:r>
                              <w:rPr>
                                <w:rFonts w:ascii="宋体" w:hAnsi="宋体"/>
                                <w:kern w:val="2"/>
                                <w:sz w:val="18"/>
                                <w:szCs w:val="18"/>
                                <w:lang w:eastAsia="zh-CN"/>
                              </w:rPr>
                              <w:t>100124</w:t>
                            </w:r>
                            <w:r>
                              <w:rPr>
                                <w:rFonts w:hint="eastAsia" w:ascii="宋体" w:hAnsi="宋体"/>
                                <w:kern w:val="2"/>
                                <w:sz w:val="18"/>
                                <w:szCs w:val="18"/>
                                <w:lang w:eastAsia="zh-CN"/>
                              </w:rPr>
                              <w:t>）</w:t>
                            </w:r>
                          </w:p>
                          <w:p>
                            <w:pPr>
                              <w:jc w:val="left"/>
                              <w:rPr>
                                <w:rFonts w:ascii="黑体" w:hAnsi="宋体" w:eastAsia="黑体"/>
                                <w:bCs/>
                                <w:sz w:val="24"/>
                              </w:rPr>
                            </w:pPr>
                          </w:p>
                        </w:txbxContent>
                      </wps:txbx>
                      <wps:bodyPr upright="1"/>
                    </wps:wsp>
                  </a:graphicData>
                </a:graphic>
              </wp:anchor>
            </w:drawing>
          </mc:Choice>
          <mc:Fallback>
            <w:pict>
              <v:shape id="文本框 51" o:spid="_x0000_s1026" o:spt="202" type="#_x0000_t202" style="position:absolute;left:0pt;margin-left:-9pt;margin-top:4.25pt;height:101.55pt;width:419.1pt;z-index:251660288;mso-width-relative:page;mso-height-relative:page;" filled="f" stroked="f" coordsize="21600,21600" o:gfxdata="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VXGxdYA&#10;AAAJAQAADwAAAAAAAAABACAAAAAiAAAAZHJzL2Rvd25yZXYueG1sUEsBAhQAFAAAAAgAh07iQD+A&#10;y8CvAQAAUAMAAA4AAAAAAAAAAQAgAAAAJQEAAGRycy9lMm9Eb2MueG1sUEsFBgAAAAAGAAYAWQEA&#10;AEYFAAAAAA==&#10;">
                <v:fill on="f" focussize="0,0"/>
                <v:stroke on="f"/>
                <v:imagedata o:title=""/>
                <o:lock v:ext="edit" aspectratio="f"/>
                <v:textbox>
                  <w:txbxContent>
                    <w:p>
                      <w:pPr>
                        <w:pStyle w:val="159"/>
                        <w:rPr>
                          <w:rFonts w:hint="eastAsia" w:ascii="宋体" w:hAnsi="宋体"/>
                          <w:kern w:val="2"/>
                          <w:sz w:val="18"/>
                          <w:szCs w:val="18"/>
                          <w:lang w:eastAsia="zh-CN"/>
                        </w:rPr>
                      </w:pPr>
                      <w:r>
                        <w:rPr>
                          <w:rFonts w:hint="eastAsia" w:ascii="宋体" w:hAnsi="宋体"/>
                          <w:kern w:val="2"/>
                          <w:sz w:val="18"/>
                          <w:szCs w:val="18"/>
                          <w:lang w:eastAsia="zh-CN"/>
                        </w:rPr>
                        <w:t>责任编辑：孙文娟</w:t>
                      </w:r>
                    </w:p>
                    <w:p>
                      <w:pPr>
                        <w:pStyle w:val="159"/>
                        <w:rPr>
                          <w:rFonts w:hint="eastAsia" w:ascii="宋体" w:hAnsi="宋体"/>
                          <w:kern w:val="2"/>
                          <w:sz w:val="18"/>
                          <w:szCs w:val="18"/>
                          <w:lang w:eastAsia="zh-CN"/>
                        </w:rPr>
                      </w:pPr>
                      <w:r>
                        <w:rPr>
                          <w:rFonts w:hint="eastAsia" w:ascii="宋体" w:hAnsi="宋体"/>
                          <w:kern w:val="2"/>
                          <w:sz w:val="18"/>
                          <w:szCs w:val="18"/>
                          <w:lang w:eastAsia="zh-CN"/>
                        </w:rPr>
                        <w:t>电  话：86-18513790712</w:t>
                      </w:r>
                    </w:p>
                    <w:p>
                      <w:pPr>
                        <w:pStyle w:val="159"/>
                        <w:rPr>
                          <w:rFonts w:hint="eastAsia" w:ascii="宋体" w:hAnsi="宋体"/>
                          <w:kern w:val="2"/>
                          <w:sz w:val="18"/>
                          <w:szCs w:val="18"/>
                          <w:lang w:eastAsia="zh-CN"/>
                        </w:rPr>
                      </w:pPr>
                      <w:r>
                        <w:rPr>
                          <w:rFonts w:hint="eastAsia" w:ascii="宋体" w:hAnsi="宋体"/>
                          <w:kern w:val="2"/>
                          <w:sz w:val="18"/>
                          <w:szCs w:val="18"/>
                          <w:lang w:eastAsia="zh-CN"/>
                        </w:rPr>
                        <w:t>传  真：86-010-85725399</w:t>
                      </w:r>
                    </w:p>
                    <w:p>
                      <w:pPr>
                        <w:pStyle w:val="159"/>
                        <w:rPr>
                          <w:rFonts w:hint="eastAsia" w:ascii="宋体" w:hAnsi="宋体"/>
                          <w:kern w:val="2"/>
                          <w:sz w:val="18"/>
                          <w:szCs w:val="18"/>
                          <w:lang w:eastAsia="zh-CN"/>
                        </w:rPr>
                      </w:pPr>
                      <w:r>
                        <w:rPr>
                          <w:rFonts w:hint="eastAsia" w:ascii="宋体" w:hAnsi="宋体"/>
                          <w:kern w:val="2"/>
                          <w:sz w:val="18"/>
                          <w:szCs w:val="18"/>
                          <w:lang w:eastAsia="zh-CN"/>
                        </w:rPr>
                        <w:t>编辑邮箱：sunwj@chinaccm.com</w:t>
                      </w:r>
                    </w:p>
                    <w:p>
                      <w:pPr>
                        <w:pStyle w:val="159"/>
                        <w:rPr>
                          <w:rFonts w:ascii="宋体" w:hAnsi="宋体"/>
                          <w:bCs/>
                          <w:kern w:val="2"/>
                          <w:sz w:val="18"/>
                          <w:szCs w:val="18"/>
                          <w:lang w:eastAsia="zh-CN"/>
                        </w:rPr>
                      </w:pPr>
                      <w:r>
                        <w:rPr>
                          <w:rFonts w:hint="eastAsia" w:ascii="宋体" w:hAnsi="宋体"/>
                          <w:bCs/>
                          <w:kern w:val="2"/>
                          <w:sz w:val="18"/>
                          <w:szCs w:val="18"/>
                          <w:lang w:eastAsia="zh-CN"/>
                        </w:rPr>
                        <w:t>地址：</w:t>
                      </w:r>
                      <w:r>
                        <w:rPr>
                          <w:rFonts w:hint="eastAsia" w:ascii="宋体" w:hAnsi="宋体"/>
                          <w:kern w:val="2"/>
                          <w:sz w:val="18"/>
                          <w:szCs w:val="18"/>
                          <w:lang w:eastAsia="zh-CN"/>
                        </w:rPr>
                        <w:t>北京市朝阳区高碑店古家具一条街1616号（邮编：</w:t>
                      </w:r>
                      <w:r>
                        <w:rPr>
                          <w:rFonts w:ascii="宋体" w:hAnsi="宋体"/>
                          <w:kern w:val="2"/>
                          <w:sz w:val="18"/>
                          <w:szCs w:val="18"/>
                          <w:lang w:eastAsia="zh-CN"/>
                        </w:rPr>
                        <w:t>100124</w:t>
                      </w:r>
                      <w:r>
                        <w:rPr>
                          <w:rFonts w:hint="eastAsia" w:ascii="宋体" w:hAnsi="宋体"/>
                          <w:kern w:val="2"/>
                          <w:sz w:val="18"/>
                          <w:szCs w:val="18"/>
                          <w:lang w:eastAsia="zh-CN"/>
                        </w:rPr>
                        <w:t>）</w:t>
                      </w:r>
                    </w:p>
                    <w:p>
                      <w:pPr>
                        <w:jc w:val="left"/>
                        <w:rPr>
                          <w:rFonts w:ascii="黑体" w:hAnsi="宋体" w:eastAsia="黑体"/>
                          <w:bCs/>
                          <w:sz w:val="24"/>
                        </w:rPr>
                      </w:pPr>
                    </w:p>
                  </w:txbxContent>
                </v:textbox>
              </v:shape>
            </w:pict>
          </mc:Fallback>
        </mc:AlternateConten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jc w:val="center"/>
        <w:rPr>
          <w:rFonts w:hint="eastAsia" w:ascii="宋体" w:hAnsi="宋体"/>
          <w:b/>
          <w:color w:val="auto"/>
          <w:sz w:val="32"/>
          <w:szCs w:val="32"/>
        </w:rPr>
      </w:pPr>
    </w:p>
    <w:p>
      <w:pPr>
        <w:jc w:val="center"/>
        <w:rPr>
          <w:rFonts w:ascii="宋体" w:hAnsi="宋体"/>
          <w:b/>
          <w:color w:val="auto"/>
          <w:sz w:val="28"/>
          <w:szCs w:val="28"/>
        </w:rPr>
      </w:pPr>
      <w:r>
        <w:rPr>
          <w:rFonts w:hint="eastAsia" w:ascii="宋体" w:hAnsi="宋体"/>
          <w:b/>
          <w:color w:val="auto"/>
          <w:sz w:val="28"/>
          <w:szCs w:val="28"/>
          <w:lang w:eastAsia="zh-CN"/>
        </w:rPr>
        <w:t>成品油市场周报目</w:t>
      </w:r>
      <w:r>
        <w:rPr>
          <w:rFonts w:hint="eastAsia" w:ascii="宋体" w:hAnsi="宋体"/>
          <w:b/>
          <w:color w:val="auto"/>
          <w:sz w:val="28"/>
          <w:szCs w:val="28"/>
        </w:rPr>
        <w:t>录</w:t>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_Toc16949 </w:instrText>
      </w:r>
      <w:r>
        <w:rPr>
          <w:rFonts w:hint="eastAsia" w:ascii="宋体" w:hAnsi="宋体" w:eastAsia="宋体" w:cs="宋体"/>
          <w:color w:val="auto"/>
          <w:sz w:val="24"/>
          <w:szCs w:val="24"/>
        </w:rPr>
        <w:fldChar w:fldCharType="separate"/>
      </w:r>
      <w:r>
        <w:rPr>
          <w:rFonts w:hint="eastAsia" w:ascii="宋体" w:hAnsi="宋体" w:eastAsia="宋体" w:cs="宋体"/>
          <w:bCs/>
          <w:color w:val="auto"/>
          <w:kern w:val="0"/>
          <w:sz w:val="24"/>
          <w:szCs w:val="24"/>
        </w:rPr>
        <w:t xml:space="preserve">一、 </w:t>
      </w:r>
      <w:r>
        <w:rPr>
          <w:rFonts w:hint="eastAsia" w:ascii="宋体" w:hAnsi="宋体" w:eastAsia="宋体" w:cs="宋体"/>
          <w:bCs/>
          <w:color w:val="auto"/>
          <w:kern w:val="2"/>
          <w:sz w:val="24"/>
          <w:szCs w:val="24"/>
          <w:highlight w:val="none"/>
          <w:lang w:val="en-US" w:eastAsia="zh-CN" w:bidi="ar-SA"/>
        </w:rPr>
        <w:t>国际原油市场回顾 </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_Toc16949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_Toc27031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1.1国际原油收盘价涨跌情况（单位：美元/桶）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_Toc27031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_Toc19234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1.2.2021年国际原油价格走势图</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_Toc19234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_Toc9112 </w:instrText>
      </w:r>
      <w:r>
        <w:rPr>
          <w:rFonts w:hint="eastAsia" w:ascii="宋体" w:hAnsi="宋体" w:eastAsia="宋体" w:cs="宋体"/>
          <w:color w:val="auto"/>
          <w:sz w:val="24"/>
          <w:szCs w:val="24"/>
        </w:rPr>
        <w:fldChar w:fldCharType="separate"/>
      </w:r>
      <w:r>
        <w:rPr>
          <w:rFonts w:hint="eastAsia" w:ascii="宋体" w:hAnsi="宋体" w:eastAsia="宋体" w:cs="宋体"/>
          <w:bCs/>
          <w:color w:val="auto"/>
          <w:kern w:val="2"/>
          <w:sz w:val="24"/>
          <w:szCs w:val="24"/>
          <w:lang w:val="en-US" w:eastAsia="zh-CN" w:bidi="ar-SA"/>
        </w:rPr>
        <w:t xml:space="preserve">二、 </w:t>
      </w:r>
      <w:r>
        <w:rPr>
          <w:rFonts w:hint="eastAsia" w:ascii="宋体" w:hAnsi="宋体" w:eastAsia="宋体" w:cs="宋体"/>
          <w:bCs/>
          <w:color w:val="auto"/>
          <w:kern w:val="2"/>
          <w:sz w:val="24"/>
          <w:szCs w:val="24"/>
          <w:highlight w:val="none"/>
          <w:lang w:val="en-US" w:eastAsia="zh-CN" w:bidi="ar-SA"/>
        </w:rPr>
        <w:t>近期影响国际原油市场的主要因素</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_Toc9112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_Toc22116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2.1近期影响国际原油市场的主要因素</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_Toc22116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_Toc12072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1.美国原油库存情况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_Toc12072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_Toc8280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2.美国经济形势</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_Toc8280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_Toc11654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3.世界经济形势</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_Toc11654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_Toc10797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4后市预测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_Toc10797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_Toc13390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2.2国际市场MTBE价格</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_Toc13390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_Toc3996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本周国内市场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_Toc3996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_Toc25301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3.1 国内炼厂装置运行情况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_Toc25301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3.2本周成品油市场行情</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_Toc14270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3.3 国内汽油价格周报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_Toc14270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_Toc28195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3.4国内柴油价格周报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_Toc28195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_Toc20471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3.5 山东地炼汽油出厂价格周报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_Toc20471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_Toc22494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3.6 山东地炼柴油出厂价格周报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_Toc22494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_Toc17074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四、2021年</w:t>
      </w:r>
      <w:r>
        <w:rPr>
          <w:rFonts w:hint="eastAsia" w:cs="宋体"/>
          <w:color w:val="auto"/>
          <w:sz w:val="24"/>
          <w:szCs w:val="24"/>
          <w:lang w:val="en-US" w:eastAsia="zh-CN"/>
        </w:rPr>
        <w:t>11</w:t>
      </w:r>
      <w:r>
        <w:rPr>
          <w:rFonts w:hint="eastAsia" w:ascii="宋体" w:hAnsi="宋体" w:eastAsia="宋体" w:cs="宋体"/>
          <w:color w:val="auto"/>
          <w:sz w:val="24"/>
          <w:szCs w:val="24"/>
          <w:lang w:val="en-US" w:eastAsia="zh-CN"/>
        </w:rPr>
        <w:t>月份进出口统计数据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_Toc17074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_Toc6798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1 </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份全国车用汽油和航空汽油出口统计数据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_Toc6798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_Toc10780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月份全国柴油出口统计数据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_Toc10780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_Toc21887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月份全国原油进出口统计数据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_Toc21887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color w:val="auto"/>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4.4 20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月份航空煤油进出口统计数据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_Toc9952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rPr>
          <w:rFonts w:hint="eastAsia" w:ascii="宋体" w:hAnsi="宋体" w:eastAsia="宋体" w:cs="宋体"/>
          <w:color w:val="auto"/>
          <w:sz w:val="24"/>
          <w:szCs w:val="24"/>
        </w:rPr>
      </w:pPr>
      <w:r>
        <w:rPr>
          <w:rFonts w:hint="eastAsia" w:ascii="宋体" w:hAnsi="宋体" w:eastAsia="宋体" w:cs="宋体"/>
          <w:color w:val="auto"/>
          <w:szCs w:val="24"/>
        </w:rPr>
        <w:fldChar w:fldCharType="end"/>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numPr>
          <w:ilvl w:val="0"/>
          <w:numId w:val="1"/>
        </w:numPr>
        <w:spacing w:before="120" w:after="0" w:line="240" w:lineRule="auto"/>
        <w:rPr>
          <w:rFonts w:hint="eastAsia" w:asciiTheme="minorEastAsia" w:hAnsiTheme="minorEastAsia" w:eastAsiaTheme="minorEastAsia" w:cstheme="minorEastAsia"/>
          <w:b/>
          <w:bCs/>
          <w:color w:val="auto"/>
          <w:kern w:val="0"/>
          <w:sz w:val="30"/>
          <w:szCs w:val="30"/>
        </w:rPr>
      </w:pPr>
      <w:bookmarkStart w:id="0" w:name="_Toc16949"/>
      <w:r>
        <w:rPr>
          <w:rFonts w:hint="eastAsia" w:ascii="宋体" w:hAnsi="宋体" w:eastAsia="宋体" w:cs="宋体"/>
          <w:b/>
          <w:bCs/>
          <w:color w:val="auto"/>
          <w:kern w:val="2"/>
          <w:sz w:val="36"/>
          <w:szCs w:val="36"/>
          <w:highlight w:val="none"/>
          <w:lang w:val="en-US" w:eastAsia="zh-CN" w:bidi="ar-SA"/>
        </w:rPr>
        <w:t>国际原油市场回顾 </w:t>
      </w:r>
      <w:bookmarkEnd w:id="0"/>
    </w:p>
    <w:tbl>
      <w:tblPr>
        <w:tblStyle w:val="24"/>
        <w:tblW w:w="5000" w:type="pct"/>
        <w:tblInd w:w="0" w:type="dxa"/>
        <w:tblLayout w:type="autofit"/>
        <w:tblCellMar>
          <w:top w:w="15" w:type="dxa"/>
          <w:left w:w="15" w:type="dxa"/>
          <w:bottom w:w="15" w:type="dxa"/>
          <w:right w:w="15" w:type="dxa"/>
        </w:tblCellMar>
      </w:tblPr>
      <w:tblGrid>
        <w:gridCol w:w="1458"/>
        <w:gridCol w:w="800"/>
        <w:gridCol w:w="800"/>
        <w:gridCol w:w="6724"/>
      </w:tblGrid>
      <w:tr>
        <w:tblPrEx>
          <w:tblCellMar>
            <w:top w:w="15" w:type="dxa"/>
            <w:left w:w="15" w:type="dxa"/>
            <w:bottom w:w="15" w:type="dxa"/>
            <w:right w:w="15" w:type="dxa"/>
          </w:tblCellMar>
        </w:tblPrEx>
        <w:trPr>
          <w:trHeight w:val="283" w:hRule="atLeast"/>
          <w:tblHeader/>
        </w:trPr>
        <w:tc>
          <w:tcPr>
            <w:tcW w:w="745"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bookmarkStart w:id="1" w:name="_Toc27031"/>
            <w:bookmarkStart w:id="2" w:name="_Toc67556952"/>
            <w:r>
              <w:rPr>
                <w:rFonts w:hint="eastAsia" w:ascii="宋体" w:hAnsi="宋体" w:cs="华文仿宋"/>
                <w:b/>
                <w:color w:val="000000"/>
                <w:kern w:val="0"/>
                <w:sz w:val="18"/>
                <w:szCs w:val="18"/>
                <w:lang w:bidi="ar"/>
              </w:rPr>
              <w:t>日期</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纽交所</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伦交所</w:t>
            </w:r>
          </w:p>
        </w:tc>
        <w:tc>
          <w:tcPr>
            <w:tcW w:w="3437"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影响因素</w:t>
            </w:r>
          </w:p>
        </w:tc>
      </w:tr>
      <w:tr>
        <w:tblPrEx>
          <w:tblCellMar>
            <w:top w:w="15" w:type="dxa"/>
            <w:left w:w="15" w:type="dxa"/>
            <w:bottom w:w="15" w:type="dxa"/>
            <w:right w:w="15" w:type="dxa"/>
          </w:tblCellMar>
        </w:tblPrEx>
        <w:trPr>
          <w:trHeight w:val="251"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2021/12/23</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73.79</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76.85</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sz w:val="18"/>
                <w:szCs w:val="18"/>
              </w:rPr>
            </w:pPr>
            <w:r>
              <w:rPr>
                <w:sz w:val="18"/>
                <w:szCs w:val="18"/>
              </w:rPr>
              <w:t>奥密克戎变异株对经济和需求影响减弱，国际油价连续三个交易日上涨至一个月来最高点，布伦特原油期货重返每桶76美元</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2021/12/24</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休市</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76.14</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sz w:val="18"/>
                <w:szCs w:val="18"/>
              </w:rPr>
            </w:pPr>
            <w:r>
              <w:rPr>
                <w:sz w:val="18"/>
                <w:szCs w:val="18"/>
              </w:rPr>
              <w:t>投资者权衡奥密克戎变异株对需求的影响，连续三天上涨后， 布伦特原油期货在清淡的假日交易中收低</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2021/12/27</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75.57</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78.6</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sz w:val="18"/>
                <w:szCs w:val="18"/>
              </w:rPr>
            </w:pPr>
            <w:r>
              <w:rPr>
                <w:sz w:val="18"/>
                <w:szCs w:val="18"/>
              </w:rPr>
              <w:t>奥密克戎变异株严重扩散，国际油价早盘下跌，然而随后投资者摆脱了早盘时候的担忧，沙特认为石油供应将严重短缺，欧美原油期货强劲反弹，美股上涨也支撑了石油期货市场气氛。</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2021/12/28</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75.98</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78.94</w:t>
            </w:r>
          </w:p>
        </w:tc>
        <w:tc>
          <w:tcPr>
            <w:tcW w:w="3437" w:type="pct"/>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sz w:val="18"/>
                <w:szCs w:val="18"/>
              </w:rPr>
            </w:pPr>
            <w:r>
              <w:rPr>
                <w:sz w:val="18"/>
                <w:szCs w:val="18"/>
              </w:rPr>
              <w:t>受到一些产油国供应减少的影响，国际油价继续上涨，WTI五个交易日连涨，布伦特原油期货过去六个交易日中有五个交易日上涨，然而对奥密克戎扩散的担忧，国际油价脱离盘中高点，涨幅受限。</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2021/12/29</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76.56</w:t>
            </w:r>
          </w:p>
        </w:tc>
        <w:tc>
          <w:tcPr>
            <w:tcW w:w="409"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sz w:val="18"/>
                <w:szCs w:val="18"/>
              </w:rPr>
            </w:pPr>
            <w:r>
              <w:rPr>
                <w:rFonts w:hint="eastAsia"/>
                <w:sz w:val="18"/>
                <w:szCs w:val="18"/>
              </w:rPr>
              <w:t>79.23</w:t>
            </w:r>
          </w:p>
        </w:tc>
        <w:tc>
          <w:tcPr>
            <w:tcW w:w="3437" w:type="pct"/>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sz w:val="18"/>
                <w:szCs w:val="18"/>
              </w:rPr>
            </w:pPr>
            <w:r>
              <w:rPr>
                <w:sz w:val="18"/>
                <w:szCs w:val="18"/>
              </w:rPr>
              <w:t>美国原油和成品油库存全面下降，国际油价继续上涨，然而对新冠病例激增可能减少需求的担忧抑制油价涨幅</w:t>
            </w:r>
            <w:r>
              <w:rPr>
                <w:rFonts w:hint="eastAsia"/>
                <w:sz w:val="18"/>
                <w:szCs w:val="18"/>
              </w:rPr>
              <w:t>。</w:t>
            </w:r>
          </w:p>
        </w:tc>
      </w:tr>
    </w:tbl>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1.1</w:t>
      </w:r>
      <w:r>
        <w:rPr>
          <w:rFonts w:hint="eastAsia" w:ascii="宋体" w:hAnsi="宋体" w:eastAsia="宋体" w:cs="宋体"/>
          <w:b/>
          <w:color w:val="auto"/>
          <w:sz w:val="32"/>
          <w:szCs w:val="32"/>
          <w:highlight w:val="none"/>
          <w:lang w:val="en-US" w:eastAsia="zh-CN"/>
        </w:rPr>
        <w:t>国际原油收盘价涨跌情况（单位：美元/桶）</w:t>
      </w:r>
      <w:bookmarkEnd w:id="1"/>
      <w:bookmarkEnd w:id="2"/>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3" w:name="_Toc19234"/>
      <w:bookmarkStart w:id="4" w:name="_Toc67556953"/>
      <w:r>
        <w:rPr>
          <w:rFonts w:hint="eastAsia" w:ascii="宋体" w:hAnsi="宋体" w:cs="宋体"/>
          <w:b/>
          <w:color w:val="auto"/>
          <w:sz w:val="32"/>
          <w:szCs w:val="32"/>
          <w:highlight w:val="none"/>
          <w:lang w:val="en-US" w:eastAsia="zh-CN"/>
        </w:rPr>
        <w:t>1.</w:t>
      </w:r>
      <w:r>
        <w:rPr>
          <w:rFonts w:hint="eastAsia" w:ascii="宋体" w:hAnsi="宋体" w:eastAsia="宋体" w:cs="宋体"/>
          <w:b/>
          <w:color w:val="auto"/>
          <w:sz w:val="32"/>
          <w:szCs w:val="32"/>
          <w:highlight w:val="none"/>
          <w:lang w:val="en-US" w:eastAsia="zh-CN"/>
        </w:rPr>
        <w:t>2.2021年国际原油价格走势图</w:t>
      </w:r>
      <w:bookmarkEnd w:id="3"/>
      <w:bookmarkEnd w:id="4"/>
    </w:p>
    <w:p>
      <w:pPr>
        <w:widowControl/>
        <w:wordWrap w:val="0"/>
        <w:spacing w:after="90" w:line="288" w:lineRule="auto"/>
        <w:jc w:val="center"/>
        <w:rPr>
          <w:rFonts w:hint="eastAsia" w:asciiTheme="minorEastAsia" w:hAnsiTheme="minorEastAsia" w:eastAsiaTheme="minorEastAsia" w:cstheme="minorEastAsia"/>
          <w:b/>
          <w:color w:val="auto"/>
          <w:kern w:val="0"/>
          <w:sz w:val="30"/>
          <w:szCs w:val="30"/>
        </w:rPr>
      </w:pPr>
      <w:r>
        <w:rPr>
          <w:rFonts w:hint="eastAsia" w:ascii="宋体" w:hAnsi="宋体" w:cs="Arial"/>
          <w:b/>
          <w:kern w:val="0"/>
          <w:sz w:val="30"/>
          <w:szCs w:val="30"/>
        </w:rPr>
        <w:drawing>
          <wp:inline distT="0" distB="0" distL="114300" distR="114300">
            <wp:extent cx="4428490" cy="3895090"/>
            <wp:effectExtent l="0" t="0" r="10160" b="1016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4428490" cy="3895090"/>
                    </a:xfrm>
                    <a:prstGeom prst="rect">
                      <a:avLst/>
                    </a:prstGeom>
                    <a:noFill/>
                    <a:ln>
                      <a:noFill/>
                    </a:ln>
                  </pic:spPr>
                </pic:pic>
              </a:graphicData>
            </a:graphic>
          </wp:inline>
        </w:drawing>
      </w:r>
    </w:p>
    <w:p>
      <w:pPr>
        <w:rPr>
          <w:rFonts w:hint="eastAsia" w:asciiTheme="minorEastAsia" w:hAnsiTheme="minorEastAsia" w:eastAsiaTheme="minorEastAsia" w:cstheme="minorEastAsia"/>
          <w:color w:val="auto"/>
        </w:rPr>
      </w:pPr>
    </w:p>
    <w:p>
      <w:pPr>
        <w:pStyle w:val="2"/>
        <w:numPr>
          <w:ilvl w:val="0"/>
          <w:numId w:val="1"/>
        </w:numPr>
        <w:spacing w:before="120" w:after="0" w:line="240" w:lineRule="auto"/>
        <w:rPr>
          <w:rFonts w:hint="eastAsia" w:ascii="宋体" w:hAnsi="宋体" w:eastAsia="宋体" w:cs="宋体"/>
          <w:b/>
          <w:bCs/>
          <w:color w:val="auto"/>
          <w:kern w:val="2"/>
          <w:sz w:val="36"/>
          <w:szCs w:val="36"/>
          <w:highlight w:val="none"/>
          <w:lang w:val="en-US" w:eastAsia="zh-CN" w:bidi="ar-SA"/>
        </w:rPr>
      </w:pPr>
      <w:bookmarkStart w:id="5" w:name="_Toc9112"/>
      <w:bookmarkStart w:id="6" w:name="_Toc67556954"/>
      <w:r>
        <w:rPr>
          <w:rFonts w:hint="eastAsia" w:ascii="宋体" w:hAnsi="宋体" w:eastAsia="宋体" w:cs="宋体"/>
          <w:b/>
          <w:bCs/>
          <w:color w:val="auto"/>
          <w:kern w:val="2"/>
          <w:sz w:val="36"/>
          <w:szCs w:val="36"/>
          <w:highlight w:val="none"/>
          <w:lang w:val="en-US" w:eastAsia="zh-CN" w:bidi="ar-SA"/>
        </w:rPr>
        <w:t>近期影响国际原油市场的主要因素</w:t>
      </w:r>
      <w:bookmarkEnd w:id="5"/>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7" w:name="_Toc22116"/>
      <w:r>
        <w:rPr>
          <w:rFonts w:hint="eastAsia" w:ascii="宋体" w:hAnsi="宋体" w:eastAsia="宋体" w:cs="宋体"/>
          <w:b/>
          <w:color w:val="auto"/>
          <w:sz w:val="32"/>
          <w:szCs w:val="32"/>
          <w:highlight w:val="none"/>
          <w:lang w:val="en-US" w:eastAsia="zh-CN"/>
        </w:rPr>
        <w:t>2.1近期影响国际原油市场的主要因素</w:t>
      </w:r>
      <w:bookmarkEnd w:id="6"/>
      <w:bookmarkEnd w:id="7"/>
    </w:p>
    <w:p>
      <w:pPr>
        <w:pStyle w:val="3"/>
        <w:spacing w:before="120" w:after="120" w:line="240" w:lineRule="auto"/>
        <w:rPr>
          <w:rFonts w:hint="eastAsia" w:ascii="宋体" w:hAnsi="宋体" w:eastAsia="宋体" w:cs="宋体"/>
          <w:b/>
          <w:color w:val="auto"/>
          <w:sz w:val="30"/>
          <w:szCs w:val="30"/>
          <w:highlight w:val="none"/>
          <w:lang w:val="en-US" w:eastAsia="zh-CN"/>
        </w:rPr>
      </w:pPr>
      <w:bookmarkStart w:id="8" w:name="_Toc12072"/>
      <w:bookmarkStart w:id="9" w:name="_Toc67556955"/>
      <w:r>
        <w:rPr>
          <w:rFonts w:hint="eastAsia" w:ascii="宋体" w:hAnsi="宋体" w:eastAsia="宋体" w:cs="宋体"/>
          <w:b/>
          <w:color w:val="auto"/>
          <w:sz w:val="30"/>
          <w:szCs w:val="30"/>
          <w:highlight w:val="none"/>
          <w:lang w:val="en-US" w:eastAsia="zh-CN"/>
        </w:rPr>
        <w:t>1.美国原油库存情况</w:t>
      </w:r>
      <w:bookmarkEnd w:id="8"/>
      <w:bookmarkEnd w:id="9"/>
      <w:r>
        <w:rPr>
          <w:rFonts w:hint="eastAsia" w:ascii="宋体" w:hAnsi="宋体" w:eastAsia="宋体" w:cs="宋体"/>
          <w:b/>
          <w:color w:val="auto"/>
          <w:sz w:val="30"/>
          <w:szCs w:val="30"/>
          <w:highlight w:val="none"/>
          <w:lang w:val="en-US" w:eastAsia="zh-CN"/>
        </w:rPr>
        <w:t xml:space="preserve"> </w:t>
      </w:r>
    </w:p>
    <w:p>
      <w:pPr>
        <w:pStyle w:val="23"/>
        <w:ind w:firstLine="360" w:firstLineChars="200"/>
        <w:rPr>
          <w:sz w:val="18"/>
          <w:szCs w:val="18"/>
        </w:rPr>
      </w:pPr>
      <w:bookmarkStart w:id="10" w:name="_Toc8280"/>
      <w:bookmarkStart w:id="11" w:name="_Toc69977252"/>
      <w:r>
        <w:rPr>
          <w:rFonts w:hint="eastAsia"/>
          <w:sz w:val="18"/>
          <w:szCs w:val="18"/>
        </w:rPr>
        <w:t>本周，</w:t>
      </w:r>
      <w:r>
        <w:rPr>
          <w:sz w:val="18"/>
          <w:szCs w:val="18"/>
        </w:rPr>
        <w:t>美国EIA公布的数据显示，截至12月17日当周美国除却战略储备的商业原油库存降幅超预期，精炼油库存增幅小幅超预期，汽油库存增幅大超预期。具体数据显示，美国截至12月17日当周EIA原油库存变动实际公布减少471.5万桶，预期减少230万桶，前值减少458.4万桶。此外，美国截至12月17日当周EIA汽油库存实际公布增加553.3万桶，预期增加65万桶，前值减少71.9万桶;美国截至12月17日当周EIA精炼油库存实际公布增加39.6万桶，预期减少25万桶，前值减少285.2万桶。EIA报告显示，美国至12月17日当周EIA汽油库存增幅录得2021年6月4日当周以来最大。美国至12月17日当周除却战略储备的商业原油库存为2021年10月1日当周以来最低。美国至12月17日当周EIA原油库存录得减少471.5万桶，为9月10日当周以来最大库存降幅。美国上周战略石油储备(SPR)库存跌至2002年11月以来的最低水平。美国石油协会(API)发布的行业版库存周报显示，美国12月17日当周API原油库存减少367.0万桶，预期增加230.0万桶，前值减少81.5万桶。美国12月17日当周API库欣原油库存增加127.2万桶，前值增加225.7万桶。美国12月17日当周API汽油库存增加370.1万桶，前值增加42.6万桶。美国12月17日当周API馏分油库存减少84.9万桶，前值减少101.6万桶。</w:t>
      </w:r>
    </w:p>
    <w:p>
      <w:pPr>
        <w:pStyle w:val="3"/>
        <w:spacing w:before="120" w:after="120" w:line="240" w:lineRule="auto"/>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2.美国经济形势</w:t>
      </w:r>
      <w:bookmarkEnd w:id="10"/>
      <w:bookmarkEnd w:id="11"/>
    </w:p>
    <w:p>
      <w:pPr>
        <w:pStyle w:val="23"/>
        <w:ind w:firstLine="360" w:firstLineChars="200"/>
        <w:rPr>
          <w:sz w:val="18"/>
          <w:szCs w:val="18"/>
        </w:rPr>
      </w:pPr>
      <w:bookmarkStart w:id="12" w:name="_Toc76629721"/>
      <w:bookmarkStart w:id="13" w:name="_Toc11654"/>
      <w:bookmarkStart w:id="14" w:name="_Toc69977253"/>
      <w:r>
        <w:rPr>
          <w:sz w:val="18"/>
          <w:szCs w:val="18"/>
        </w:rPr>
        <w:t>纵观今年的全球金融市场，风险类资产即全球股票市场成为了最受青睐的投资标的，其中，美国股市表现尤为突出。虽然时有回调，但美股整体走势仍在波动中屡创新高。截至周一收盘，美股标准普尔500指数收涨1.4%，收于4791.19，为年内第69次刷新历史收盘纪录，同时也再创盘中新高。指数中的11个板块无一例外，全部上涨，其中能源、科技股涨幅居前。</w:t>
      </w:r>
    </w:p>
    <w:p>
      <w:pPr>
        <w:pStyle w:val="23"/>
        <w:ind w:firstLine="360" w:firstLineChars="200"/>
        <w:rPr>
          <w:sz w:val="18"/>
          <w:szCs w:val="18"/>
        </w:rPr>
      </w:pPr>
      <w:r>
        <w:rPr>
          <w:sz w:val="18"/>
          <w:szCs w:val="18"/>
        </w:rPr>
        <w:t>然而，烈火烹油下美股风险暗藏。从经济学角度而言，美股走势主要受两方面影响，一是美国经济基本面;二是美国的货币政策。在美国经济复苏前景不确定性上升的背景下，分析人士普遍认为，美联储宽松货币政策是驱动美股在疫情中逆势上涨的最主要因素。展望新的一年，随着美联储逐步转“鹰”，市场流动性收紧，加之疫情下供应链危机持续、通胀高企挤压企业利润，长达12年的美股“牛市”能否持续?值得关注。</w:t>
      </w:r>
    </w:p>
    <w:p>
      <w:pPr>
        <w:pStyle w:val="23"/>
        <w:ind w:firstLine="360" w:firstLineChars="200"/>
        <w:rPr>
          <w:sz w:val="18"/>
          <w:szCs w:val="18"/>
        </w:rPr>
      </w:pPr>
      <w:r>
        <w:rPr>
          <w:sz w:val="18"/>
          <w:szCs w:val="18"/>
        </w:rPr>
        <w:t>美股市场格局重塑价值股与周期股崛起</w:t>
      </w:r>
    </w:p>
    <w:p>
      <w:pPr>
        <w:pStyle w:val="23"/>
        <w:ind w:firstLine="360" w:firstLineChars="200"/>
        <w:rPr>
          <w:sz w:val="18"/>
          <w:szCs w:val="18"/>
        </w:rPr>
      </w:pPr>
      <w:r>
        <w:rPr>
          <w:sz w:val="18"/>
          <w:szCs w:val="18"/>
        </w:rPr>
        <w:t>近几年，以科技股为代表的成长型股票始终领跑美股大盘，但这一趋势在今年有所转变。今年上半年，在经济复苏的背景下，传统价值股与周期股快速上涨，而科技股出现走势疲软迹象。特别在大宗商品价格上涨、能源需求快速升温下，美股涨幅居前的股票主要被油气、海运、钢铁等板块占据。而苹果、特斯拉等成长股则因为高估值受到压制。虽然进入下半年后，科技股走势有所反弹，但以全年来看，价值股尤其是能源板块仍是美股今年的最大赢家。根据标普各行业指数表现，截至12月，能源板块涨幅在各大主要板块中居首，今年迄今累涨46.21%。房地产板块涨36.8%排名第二，科技板块涨32.73%紧随其后。此外，金融、医疗保健、非必须消费品、工业等涨幅也十分靠前。</w:t>
      </w:r>
    </w:p>
    <w:p>
      <w:pPr>
        <w:pStyle w:val="23"/>
        <w:ind w:firstLine="360" w:firstLineChars="200"/>
        <w:rPr>
          <w:sz w:val="18"/>
          <w:szCs w:val="18"/>
        </w:rPr>
      </w:pPr>
      <w:r>
        <w:rPr>
          <w:sz w:val="18"/>
          <w:szCs w:val="18"/>
        </w:rPr>
        <w:t>渣打银行中国财富管理部投资策略总监王昕杰在接受采访时表示，今年全球股市是“估值适当收缩+企业盈利修复”的组合。从类别来看，价值股取代成长股成为新的市场“领头羊”。从历史来看，目前的行情类似2018年，生产者物价指数(PPI)向上，流动性边际收紧，在这样的情况下，周期板块相对有比较好的表现。此外，新冠肺炎疫情对金融市场带来的深刻变化，未来将给医疗科技、物联网和电动车技术突破带来改变，有望推动下一波创新浪潮。此外，碳中和、碳达峰下的绿色投资概念也将为全球股市带来新机遇。</w:t>
      </w:r>
    </w:p>
    <w:p>
      <w:pPr>
        <w:pStyle w:val="23"/>
        <w:ind w:firstLine="360" w:firstLineChars="200"/>
        <w:rPr>
          <w:sz w:val="18"/>
          <w:szCs w:val="18"/>
        </w:rPr>
      </w:pPr>
      <w:r>
        <w:rPr>
          <w:sz w:val="18"/>
          <w:szCs w:val="18"/>
        </w:rPr>
        <w:t>王昕杰表示，考虑到海内外库存周期共振，加上经济增长预期确定性增强，未来PPI有望继续向下突破，这使得周期板块体现出估值的性价比。叠加全球经济复苏，中上游周期性企业以及与出口供应链相关的出口值得关注。此外，如果未来美国国债收益率进一步上升，可能对成长股如高估值科技股继续施加压力。事实上，美债收益率对于成长股的压制已经有所显现，即美联储在本月议息会议上宣布加速缩减购债进程，以及点阵图对于2022年加息次数和节奏指引的“鹰”派转向。而当利率预期及实际利率上升时，折现率的上调导致高估值、长久期的成长股受到压制。</w:t>
      </w:r>
    </w:p>
    <w:p>
      <w:pPr>
        <w:pStyle w:val="23"/>
        <w:ind w:firstLine="360" w:firstLineChars="200"/>
        <w:rPr>
          <w:sz w:val="18"/>
          <w:szCs w:val="18"/>
        </w:rPr>
      </w:pPr>
      <w:r>
        <w:rPr>
          <w:sz w:val="18"/>
          <w:szCs w:val="18"/>
        </w:rPr>
        <w:t>超宽松货币政策成就美股牛市长红</w:t>
      </w:r>
    </w:p>
    <w:p>
      <w:pPr>
        <w:pStyle w:val="23"/>
        <w:ind w:firstLine="360" w:firstLineChars="200"/>
        <w:rPr>
          <w:sz w:val="18"/>
          <w:szCs w:val="18"/>
        </w:rPr>
      </w:pPr>
      <w:r>
        <w:rPr>
          <w:sz w:val="18"/>
          <w:szCs w:val="18"/>
        </w:rPr>
        <w:t>就经济基本面来看，今年的美国经济复苏之路并不是一帆风顺。受到进入下半年后德尔塔变异毒株以及通胀持续走高的影响，三季度美国国内生产总值(GDP)增速大幅下滑。根据美国商务部上周发布的数据，全美今年三季度GDP环比增长2.3%，大幅低于前值6.7%和一季度的6.4%。这是自2020年二季度暴跌了31.2%以来最慢的一次增长。其中，住宅固定投资和联邦政府开支抑制了增长，同时美国贸易赤字激增。而在占GDP69%的消费者开支方面，仅在三季度增长了1.6%，而在二季度一度增长了12%。</w:t>
      </w:r>
    </w:p>
    <w:p>
      <w:pPr>
        <w:pStyle w:val="23"/>
        <w:ind w:firstLine="360" w:firstLineChars="200"/>
        <w:rPr>
          <w:sz w:val="18"/>
          <w:szCs w:val="18"/>
        </w:rPr>
      </w:pPr>
      <w:r>
        <w:rPr>
          <w:sz w:val="18"/>
          <w:szCs w:val="18"/>
        </w:rPr>
        <w:t>然而，在经济基本面萎靡下，美股却依然逆势上涨屡屡创下新高，这与美联储宽松货币政策和美国政府经济刺激措施有很大关系。其中最为关键的是宽松货币政策，在美国的金融市场中，美联储扮演着重要的角色。经济下滑中，美股仍能长期上涨，离不开美联储的背后“操盘”。美联储通过“无上限”定量宽松货币政策缓解了金融市场的恐慌，同时通过零利率的融资成本，促进金融机构和投资者在股市投资获益，这推动了美国股市的上涨。此外，政府经济刺激措施提振了市场对经济前景的乐观预期。中国银行首席研究员宗良在接受采访时表示，美国总统拜登推出多轮经济刺激计划，除抗疫短期措施外，还包括长期的大规模基建计划，以帮助美国实现经济复苏。因此，市场对美国经济复苏前景预期较为乐观，部分消解了经济衰退带来的负面影响。</w:t>
      </w:r>
    </w:p>
    <w:p>
      <w:pPr>
        <w:pStyle w:val="23"/>
        <w:ind w:firstLine="360" w:firstLineChars="200"/>
        <w:rPr>
          <w:sz w:val="18"/>
          <w:szCs w:val="18"/>
        </w:rPr>
      </w:pPr>
      <w:r>
        <w:rPr>
          <w:sz w:val="18"/>
          <w:szCs w:val="18"/>
        </w:rPr>
        <w:t>但眼下，美联储政策正在转向。12月的美联储货币政策声明显示，美联储将进一步加快缩减购债(Taper)步伐，即从2022年1月开始，每月减少资产购买的金额由150亿美元提高至300亿美元，并于2022年3月完成Taper。与不改变节奏相比，美联储将总共减少购买资产1350亿美元。此外，同时公布的点阵图显示，美联储官员们预计2022年美联储将加息3次，2023年加息3次。由此来看，美联储逐步拧紧货币阀门已成定局，这将为美股带来更多的不确定性。</w:t>
      </w:r>
    </w:p>
    <w:p>
      <w:pPr>
        <w:pStyle w:val="23"/>
        <w:ind w:firstLine="360" w:firstLineChars="200"/>
        <w:rPr>
          <w:sz w:val="18"/>
          <w:szCs w:val="18"/>
        </w:rPr>
      </w:pPr>
      <w:r>
        <w:rPr>
          <w:sz w:val="18"/>
          <w:szCs w:val="18"/>
        </w:rPr>
        <w:t>美联储政策转向增添美股走势波动性</w:t>
      </w:r>
    </w:p>
    <w:p>
      <w:pPr>
        <w:pStyle w:val="23"/>
        <w:ind w:firstLine="360" w:firstLineChars="200"/>
        <w:rPr>
          <w:sz w:val="18"/>
          <w:szCs w:val="18"/>
        </w:rPr>
      </w:pPr>
      <w:r>
        <w:rPr>
          <w:sz w:val="18"/>
          <w:szCs w:val="18"/>
        </w:rPr>
        <w:t>美联储政策转向下，华尔街对美股走势的未来预期出现分化。其中以高盛和摩根大通最为乐观。高盛发表报告认为，标普500指数明年有望达到5100点。摩根大通则预计，标普500指数将在2022年达到5000点，较目前水平可能再上涨6%。但即使在看多下，各大机构也预计明年的美股涨势有所放缓。同时，市场中也不乏看空的声音，摩根士丹利就认为，美联储紧缩和经济增长放缓给美股带来的影响可能比预期的更加糟糕。</w:t>
      </w:r>
    </w:p>
    <w:p>
      <w:pPr>
        <w:pStyle w:val="23"/>
        <w:ind w:firstLine="360" w:firstLineChars="200"/>
        <w:rPr>
          <w:sz w:val="18"/>
          <w:szCs w:val="18"/>
        </w:rPr>
      </w:pPr>
      <w:r>
        <w:rPr>
          <w:sz w:val="18"/>
          <w:szCs w:val="18"/>
        </w:rPr>
        <w:t>总体而言，无论涨跌，华尔街机构都一致认为美股的波动将加剧。随着财政刺激措施逐渐退出，美联储加速退出资产购买，将为应对高通胀启动加息周期，估值处于高位的股市无疑将面临考验。信达证券首席宏观分析师解运亮在接受采访时也表示，预计明年下半年美联储将会加息两次，这对美股也意味着后续的风险正在上升。“后续的美股走势仍存在不确定性。如果美国没有新一轮刺激政策落地，那么美国经济将面临‘类滞胀’的局面，即高通胀下，经济增长迟缓。在这种情况下，叠加美联储货币政策有所收紧，美股将面临较大风险。如果美国在年末推出下一轮财政刺激，那么美股也可能有不一样的表现。但这也会让美国经济面临另一个问题，那就是后续财政刺激可能进一步推升通胀，因此，美国政府推出新一轮财政刺激的可能性较小，美股面临的后续风险较大。”解运亮说，但回调是有限的，美股因此跌入“熊市”的可能性极低。</w:t>
      </w:r>
    </w:p>
    <w:p>
      <w:pPr>
        <w:pStyle w:val="23"/>
        <w:ind w:firstLine="360" w:firstLineChars="200"/>
        <w:rPr>
          <w:sz w:val="18"/>
          <w:szCs w:val="18"/>
        </w:rPr>
      </w:pPr>
      <w:r>
        <w:rPr>
          <w:sz w:val="18"/>
          <w:szCs w:val="18"/>
        </w:rPr>
        <w:t>宗良认为，由于美股已经不再是简单的“经济晴雨表”，而是反映了美国的重大经济利益，因此，波动是可以预期的，但任何回调都将是有限的。在美国，包括养老金、保险金在内的多类机构和基金都深度参与到美股市场。从这个角度看，股市的涨跌将直接影响美国的经济民生和政府的支持率。时至今日，美国股市已经“绑架”了美国经济，呈现“大而不能倒”之势。同时，美股市场中的散户较少，大型机构掌握主要话语权。机构投资者较为理性，风险承受能力较强，且投资规模大，即使股市下跌也不太可能发生全面抛售的情况。美股指数的选择机制也会自动剔除部分垃圾股，这一特点也决定了指数不会持续下跌。但受疫情以及美联储政策不确定性的影响，美股将呈持续波动态势。</w:t>
      </w:r>
    </w:p>
    <w:p>
      <w:pPr>
        <w:pStyle w:val="3"/>
        <w:spacing w:before="120" w:after="120" w:line="240" w:lineRule="auto"/>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3.世界经济形势</w:t>
      </w:r>
      <w:bookmarkEnd w:id="12"/>
      <w:bookmarkEnd w:id="13"/>
    </w:p>
    <w:bookmarkEnd w:id="14"/>
    <w:p>
      <w:pPr>
        <w:pStyle w:val="23"/>
        <w:ind w:firstLine="360" w:firstLineChars="200"/>
        <w:rPr>
          <w:sz w:val="18"/>
          <w:szCs w:val="18"/>
        </w:rPr>
      </w:pPr>
      <w:bookmarkStart w:id="15" w:name="_Toc10797"/>
      <w:r>
        <w:rPr>
          <w:sz w:val="18"/>
          <w:szCs w:val="18"/>
        </w:rPr>
        <w:t>2021年下半年以来，全球多个市场通胀持续走高的趋势正在迫使美联储和英国央行等在收紧货币政策问题上采取更加鹰派的立场，但欧洲央行和日本央行迫于经济表现不佳而立场仍然十分谨慎，发达经济体央行政策呈现分化趋势。同时，为应对高通胀形势和发达国家开始收紧货币政策带来的资本外流等潜在风险，不少新兴经济体央行开始加息。</w:t>
      </w:r>
    </w:p>
    <w:p>
      <w:pPr>
        <w:pStyle w:val="23"/>
        <w:ind w:firstLine="360" w:firstLineChars="200"/>
        <w:rPr>
          <w:sz w:val="18"/>
          <w:szCs w:val="18"/>
        </w:rPr>
      </w:pPr>
      <w:r>
        <w:rPr>
          <w:sz w:val="18"/>
          <w:szCs w:val="18"/>
        </w:rPr>
        <w:t>分析人士认为，除非新冠变异病毒令疫情形势急剧恶化或出现其他“黑天鹅”事件，2022年美联储和英国央行等或迎来政策收紧之年，新兴经济体也可能进一步加息。</w:t>
      </w:r>
    </w:p>
    <w:p>
      <w:pPr>
        <w:pStyle w:val="23"/>
        <w:ind w:firstLine="360" w:firstLineChars="200"/>
        <w:rPr>
          <w:sz w:val="18"/>
          <w:szCs w:val="18"/>
        </w:rPr>
      </w:pPr>
      <w:r>
        <w:rPr>
          <w:sz w:val="18"/>
          <w:szCs w:val="18"/>
        </w:rPr>
        <w:t>发达经济体立场分化</w:t>
      </w:r>
    </w:p>
    <w:p>
      <w:pPr>
        <w:pStyle w:val="23"/>
        <w:ind w:firstLine="360" w:firstLineChars="200"/>
        <w:rPr>
          <w:sz w:val="18"/>
          <w:szCs w:val="18"/>
        </w:rPr>
      </w:pPr>
      <w:r>
        <w:rPr>
          <w:sz w:val="18"/>
          <w:szCs w:val="18"/>
        </w:rPr>
        <w:t>为应对疫情冲击，帮助提振经济，全球主要央行普遍在2020年年初疫情发生后采取了超宽松的货币政策立场。2021年以来，随着全球经济逐步复苏，加上全球供应链中断的干扰，通胀风险逐步上升，美联储和英国央行等在收紧货币政策方面的立场更趋鹰派，与欧洲央行和日本央行维持宽松立场的态度相比，分化趋势日益明显。</w:t>
      </w:r>
    </w:p>
    <w:p>
      <w:pPr>
        <w:pStyle w:val="23"/>
        <w:ind w:firstLine="360" w:firstLineChars="200"/>
        <w:rPr>
          <w:sz w:val="18"/>
          <w:szCs w:val="18"/>
        </w:rPr>
      </w:pPr>
      <w:r>
        <w:rPr>
          <w:sz w:val="18"/>
          <w:szCs w:val="18"/>
        </w:rPr>
        <w:t>为帮助稳固经济复苏形势，尽管2021年上半年通胀压力开始聚集，美联储始终在调整货币政策方面保持耐心，直到9月才宣布将从11月或者12月开始缩减购债规模。随着美国通胀水平达到近40年来高点，美联储主席鲍威尔在11月30日宣布放弃“暂时性”通胀说法并支持提前结束资产购买，随后在12月中旬的会议上宣布将加速缩小资产购买规模，并暗示在2022年有可能加息三次，货币政策快速转向鹰派。</w:t>
      </w:r>
    </w:p>
    <w:p>
      <w:pPr>
        <w:pStyle w:val="23"/>
        <w:ind w:firstLine="360" w:firstLineChars="200"/>
        <w:rPr>
          <w:sz w:val="18"/>
          <w:szCs w:val="18"/>
        </w:rPr>
      </w:pPr>
      <w:r>
        <w:rPr>
          <w:sz w:val="18"/>
          <w:szCs w:val="18"/>
        </w:rPr>
        <w:t>英国央行2021年计划中的疫情后首次加息也因为新冠变异病毒德尔塔和奥密克戎毒株的出现而不断受到干扰。为应对通胀上升压力，英国央行12月16日意外宣布，将基准利率从0.1%的历史低位上调至0.25%，成为疫情后启动加息的首个主要发达经济体央行。</w:t>
      </w:r>
    </w:p>
    <w:p>
      <w:pPr>
        <w:pStyle w:val="23"/>
        <w:ind w:firstLine="360" w:firstLineChars="200"/>
        <w:rPr>
          <w:sz w:val="18"/>
          <w:szCs w:val="18"/>
        </w:rPr>
      </w:pPr>
      <w:r>
        <w:rPr>
          <w:sz w:val="18"/>
          <w:szCs w:val="18"/>
        </w:rPr>
        <w:t>此外，2021年8月底，韩国央行宣布将基准利率上调至0.75%，为疫情期间首度加息，11月底再次将利率上调至1%。韩国央行行长李柱烈表示，启动加息主要是考虑到经济复苏持续、物价上涨压力和金融失衡风险这三个因素。</w:t>
      </w:r>
    </w:p>
    <w:p>
      <w:pPr>
        <w:pStyle w:val="23"/>
        <w:ind w:firstLine="360" w:firstLineChars="200"/>
        <w:rPr>
          <w:sz w:val="18"/>
          <w:szCs w:val="18"/>
        </w:rPr>
      </w:pPr>
      <w:r>
        <w:rPr>
          <w:sz w:val="18"/>
          <w:szCs w:val="18"/>
        </w:rPr>
        <w:t>由于欧元区经济仍低于疫情前水平，经济增速呈现出放缓趋势，欧洲央行目前在货币政策方面仍然延续了一贯的谨慎态度。在通胀预期大幅上升的压力下，欧洲央行12月16日宣布将如期结束疫情期间实施的紧急资产购买计划(PEPP)，不过同时出台诸多“缓冲”措施。</w:t>
      </w:r>
    </w:p>
    <w:p>
      <w:pPr>
        <w:pStyle w:val="23"/>
        <w:ind w:firstLine="360" w:firstLineChars="200"/>
        <w:rPr>
          <w:sz w:val="18"/>
          <w:szCs w:val="18"/>
        </w:rPr>
      </w:pPr>
      <w:r>
        <w:rPr>
          <w:sz w:val="18"/>
          <w:szCs w:val="18"/>
        </w:rPr>
        <w:t>日本央行12月17日仍决定维持超宽松货币政策不变，继续将短期利率维持在负0.1%的水平，并通过购买长期国债，使长期利率维持在零左右，只部分退出了到期的为应对疫情而推出的企业融资政策。</w:t>
      </w:r>
    </w:p>
    <w:p>
      <w:pPr>
        <w:pStyle w:val="23"/>
        <w:ind w:firstLine="360" w:firstLineChars="200"/>
        <w:rPr>
          <w:sz w:val="18"/>
          <w:szCs w:val="18"/>
        </w:rPr>
      </w:pPr>
      <w:r>
        <w:rPr>
          <w:sz w:val="18"/>
          <w:szCs w:val="18"/>
        </w:rPr>
        <w:t>新兴经济体频繁加息</w:t>
      </w:r>
    </w:p>
    <w:p>
      <w:pPr>
        <w:pStyle w:val="23"/>
        <w:ind w:firstLine="360" w:firstLineChars="200"/>
        <w:rPr>
          <w:sz w:val="18"/>
          <w:szCs w:val="18"/>
        </w:rPr>
      </w:pPr>
      <w:r>
        <w:rPr>
          <w:sz w:val="18"/>
          <w:szCs w:val="18"/>
        </w:rPr>
        <w:t>随着美联储货币政策未来呈现出加速收紧的迹象，不少原本流向新兴经济体的资金开始转向，新兴市场资本外流风险上升。2021年以来，新兴经济体在外债较高和通胀较为严重的形势下，持续面临着是通过加息遏制通胀并维护本币汇率稳定、缓解资本外流，还是保持宽松政策来支持脆弱经济复苏的两难选择。目前，已有巴西、俄罗斯、波兰、匈牙利、智利、墨西哥、哥伦比亚等多个经济体加息。</w:t>
      </w:r>
    </w:p>
    <w:p>
      <w:pPr>
        <w:pStyle w:val="23"/>
        <w:ind w:firstLine="360" w:firstLineChars="200"/>
        <w:rPr>
          <w:sz w:val="18"/>
          <w:szCs w:val="18"/>
        </w:rPr>
      </w:pPr>
      <w:r>
        <w:rPr>
          <w:sz w:val="18"/>
          <w:szCs w:val="18"/>
        </w:rPr>
        <w:t>在2021年连续七次加息后，目前巴西基准利率已达9.25%，为2017年年中以来最高水平。巴西经济已陷入技术性衰退，但通胀水平已升至18年高点，10月巴西年化通胀率达10.67%，远超巴西央行设定的通胀率目标中值3.75%。巴西央行预期在2022年2月的货币政策会议上还将继续加息。</w:t>
      </w:r>
    </w:p>
    <w:p>
      <w:pPr>
        <w:pStyle w:val="23"/>
        <w:ind w:firstLine="360" w:firstLineChars="200"/>
        <w:rPr>
          <w:sz w:val="18"/>
          <w:szCs w:val="18"/>
        </w:rPr>
      </w:pPr>
      <w:r>
        <w:rPr>
          <w:sz w:val="18"/>
          <w:szCs w:val="18"/>
        </w:rPr>
        <w:t>为抑制通胀上升，俄罗斯央行2021年已将基准利率从4.25%的历史低点上调七次至8.5%。俄罗斯2021年通胀水平预计将达到8%，远远超过央行设定的4%的目标。</w:t>
      </w:r>
    </w:p>
    <w:p>
      <w:pPr>
        <w:pStyle w:val="23"/>
        <w:ind w:firstLine="360" w:firstLineChars="200"/>
        <w:rPr>
          <w:sz w:val="18"/>
          <w:szCs w:val="18"/>
        </w:rPr>
      </w:pPr>
      <w:r>
        <w:rPr>
          <w:sz w:val="18"/>
          <w:szCs w:val="18"/>
        </w:rPr>
        <w:t>不过，印度央行12月仍然决定维持利率不变。印度央行发布的最新会议纪要指出，世界和印度经济仍存在诸多的不确定性，印度经济虽有所复苏，但要实现持续复苏，仍需要政策支持。</w:t>
      </w:r>
    </w:p>
    <w:p>
      <w:pPr>
        <w:pStyle w:val="23"/>
        <w:ind w:firstLine="360" w:firstLineChars="200"/>
        <w:rPr>
          <w:sz w:val="18"/>
          <w:szCs w:val="18"/>
        </w:rPr>
      </w:pPr>
      <w:r>
        <w:rPr>
          <w:sz w:val="18"/>
          <w:szCs w:val="18"/>
        </w:rPr>
        <w:t>土耳其从2021年9月起逆势四次降息，尽管该国11月通胀水平已达21.31%。土耳其总统埃尔多安长期推行“非传统”经济政策，反对高利率。目前，土耳其已深陷以本币暴跌、物价暴涨为特征的经济危机中。</w:t>
      </w:r>
    </w:p>
    <w:p>
      <w:pPr>
        <w:pStyle w:val="23"/>
        <w:ind w:firstLine="360" w:firstLineChars="200"/>
        <w:rPr>
          <w:sz w:val="18"/>
          <w:szCs w:val="18"/>
        </w:rPr>
      </w:pPr>
      <w:r>
        <w:rPr>
          <w:sz w:val="18"/>
          <w:szCs w:val="18"/>
        </w:rPr>
        <w:t>收紧趋势料将延续</w:t>
      </w:r>
    </w:p>
    <w:p>
      <w:pPr>
        <w:pStyle w:val="23"/>
        <w:ind w:firstLine="360" w:firstLineChars="200"/>
        <w:rPr>
          <w:sz w:val="18"/>
          <w:szCs w:val="18"/>
        </w:rPr>
      </w:pPr>
      <w:r>
        <w:rPr>
          <w:sz w:val="18"/>
          <w:szCs w:val="18"/>
        </w:rPr>
        <w:t>目前，全球市场普遍认为2022年高通胀局面仍会持续。非常规的财政支持措施、能源价格上涨、劳动力成本上升、半导体短缺和产能下降等因素都意味着通胀问题需要时间才能解决。这也凸显出2022年全球央行将面临继续收紧货币政策的压力。同时由于经济表现存在差异，分化趋势也将延续。</w:t>
      </w:r>
    </w:p>
    <w:p>
      <w:pPr>
        <w:pStyle w:val="23"/>
        <w:ind w:firstLine="360" w:firstLineChars="200"/>
        <w:rPr>
          <w:sz w:val="18"/>
          <w:szCs w:val="18"/>
        </w:rPr>
      </w:pPr>
      <w:r>
        <w:rPr>
          <w:sz w:val="18"/>
          <w:szCs w:val="18"/>
        </w:rPr>
        <w:t>外界预期，工资和房租等黏性通胀因素预计仍将使美国通胀水平在2022年持续高于美联储的舒适区间。美联储将于2022年3月中旬结束资产购买计划，这为尽早启动加息打下了基础。</w:t>
      </w:r>
    </w:p>
    <w:p>
      <w:pPr>
        <w:pStyle w:val="23"/>
        <w:ind w:firstLine="360" w:firstLineChars="200"/>
        <w:rPr>
          <w:sz w:val="18"/>
          <w:szCs w:val="18"/>
        </w:rPr>
      </w:pPr>
      <w:r>
        <w:rPr>
          <w:sz w:val="18"/>
          <w:szCs w:val="18"/>
        </w:rPr>
        <w:t>芝加哥期货交易所公布的联邦基金利率期货数据显示，目前交易员预期美联储2022年5月启动加息的概率约为65%，2022年6月启动加息的概率约为85%。</w:t>
      </w:r>
    </w:p>
    <w:p>
      <w:pPr>
        <w:pStyle w:val="23"/>
        <w:ind w:firstLine="360" w:firstLineChars="200"/>
        <w:rPr>
          <w:sz w:val="18"/>
          <w:szCs w:val="18"/>
        </w:rPr>
      </w:pPr>
      <w:r>
        <w:rPr>
          <w:sz w:val="18"/>
          <w:szCs w:val="18"/>
        </w:rPr>
        <w:t>美国银行全球研究部认为，在高通胀令其日益不安的情况下，美联储通过急刹车为经济过热降温的可能性增大，预计将在2022年3月启动加息，联邦基金利率将在2024年初达到2.5%。</w:t>
      </w:r>
    </w:p>
    <w:p>
      <w:pPr>
        <w:pStyle w:val="23"/>
        <w:ind w:firstLine="360" w:firstLineChars="200"/>
        <w:rPr>
          <w:sz w:val="18"/>
          <w:szCs w:val="18"/>
        </w:rPr>
      </w:pPr>
      <w:r>
        <w:rPr>
          <w:sz w:val="18"/>
          <w:szCs w:val="18"/>
        </w:rPr>
        <w:t>美国国际集团首席经济学家莫恒勇表示，如果美国国会通过规模约为1.5万亿美元的“建设更好未来法案”，2022年美国经济增长和通胀预期还会再上调，预计到2022年年底美联储会加息两到三次。</w:t>
      </w:r>
    </w:p>
    <w:p>
      <w:pPr>
        <w:pStyle w:val="23"/>
        <w:ind w:firstLine="360" w:firstLineChars="200"/>
        <w:rPr>
          <w:sz w:val="18"/>
          <w:szCs w:val="18"/>
        </w:rPr>
      </w:pPr>
      <w:r>
        <w:rPr>
          <w:sz w:val="18"/>
          <w:szCs w:val="18"/>
        </w:rPr>
        <w:t>英国央行在不清楚新冠变异病毒奥密克戎毒株传播会对经济造成多大破坏之前就启动加息，凸显其对通胀前景的担忧。此外，英国还需要面临脱离欧盟带来的压力。“脱欧”不仅让英欧贸易面临障碍，也令劳动力短缺的问题更加凸显，加剧了英国的经济和通胀压力。</w:t>
      </w:r>
    </w:p>
    <w:p>
      <w:pPr>
        <w:pStyle w:val="23"/>
        <w:ind w:firstLine="360" w:firstLineChars="200"/>
        <w:rPr>
          <w:sz w:val="18"/>
          <w:szCs w:val="18"/>
        </w:rPr>
      </w:pPr>
      <w:r>
        <w:rPr>
          <w:sz w:val="18"/>
          <w:szCs w:val="18"/>
        </w:rPr>
        <w:t>德国贝伦贝格银行首席经济学家霍尔格·施密丁预计，英国央行在2022年2月份将把利率进一步提高25个基点至0.5%。到2022年年底英国利率预计将会稳定在0.75%。</w:t>
      </w:r>
    </w:p>
    <w:p>
      <w:pPr>
        <w:pStyle w:val="23"/>
        <w:ind w:firstLine="360" w:firstLineChars="200"/>
        <w:rPr>
          <w:sz w:val="18"/>
          <w:szCs w:val="18"/>
        </w:rPr>
      </w:pPr>
      <w:r>
        <w:rPr>
          <w:sz w:val="18"/>
          <w:szCs w:val="18"/>
        </w:rPr>
        <w:t>韩国央行行长李柱烈表示，目前的货币政策仍然宽松，未来数月可能继续加息。分析人士指出，尽管经济仍然面临下行风险，但是由于通胀和负债水平高企，韩国央行在2022年上半年仍将至少加息一次。</w:t>
      </w:r>
    </w:p>
    <w:p>
      <w:pPr>
        <w:pStyle w:val="23"/>
        <w:ind w:firstLine="360" w:firstLineChars="200"/>
        <w:rPr>
          <w:sz w:val="18"/>
          <w:szCs w:val="18"/>
        </w:rPr>
      </w:pPr>
      <w:r>
        <w:rPr>
          <w:sz w:val="18"/>
          <w:szCs w:val="18"/>
        </w:rPr>
        <w:t>值得警惕的是，美联储收紧货币政策将推动美元走强和全球融资成本上升，给新兴市场，尤其是拥有较高债务水平、经济复苏落后和疫苗接种率低的新兴经济体继续带来严峻挑战。不少分析预计，2022年新兴经济体央行很可能会继续收紧货币政策以应对高通胀水平，巴西、墨西哥、智力等央行很可能进一步加息。</w:t>
      </w:r>
    </w:p>
    <w:p>
      <w:pPr>
        <w:pStyle w:val="23"/>
        <w:ind w:firstLine="360" w:firstLineChars="200"/>
        <w:rPr>
          <w:sz w:val="18"/>
          <w:szCs w:val="18"/>
        </w:rPr>
      </w:pPr>
      <w:r>
        <w:rPr>
          <w:sz w:val="18"/>
          <w:szCs w:val="18"/>
        </w:rPr>
        <w:t>不过，央行收紧货币政策也面临一系列不确定因素，首要风险就是疫情形势的变化，比如出现现有疫苗无法预防的新冠变异病毒。此外，通胀水平较预期更高、持续时间更长，也将拖累经济复苏，令收紧货币政策的行动承压。</w:t>
      </w:r>
    </w:p>
    <w:p>
      <w:pPr>
        <w:pStyle w:val="23"/>
        <w:ind w:firstLine="360" w:firstLineChars="200"/>
        <w:rPr>
          <w:sz w:val="18"/>
          <w:szCs w:val="18"/>
        </w:rPr>
      </w:pPr>
      <w:r>
        <w:rPr>
          <w:sz w:val="18"/>
          <w:szCs w:val="18"/>
        </w:rPr>
        <w:t>2022年欧元区货币政策预计仍将宽松。欧洲央行行长拉加德强调，欧元区目前没有出现像美国那样推动长期通胀上升的因素，中期通胀水平仍未达到目标，2022年加息的可能性很小。</w:t>
      </w:r>
    </w:p>
    <w:p>
      <w:pPr>
        <w:pStyle w:val="23"/>
        <w:ind w:firstLine="360" w:firstLineChars="200"/>
        <w:rPr>
          <w:sz w:val="18"/>
          <w:szCs w:val="18"/>
        </w:rPr>
      </w:pPr>
      <w:r>
        <w:rPr>
          <w:sz w:val="18"/>
          <w:szCs w:val="18"/>
        </w:rPr>
        <w:t>专家认为，欧洲央行向退出超宽松货币政策迈出了一步，但只要欧洲央行关于通胀上升主要由疫情相关暂时性因素推动的判断不改变，全面结束净资产购买及加息就仍无时间表。</w:t>
      </w:r>
    </w:p>
    <w:p>
      <w:pPr>
        <w:pStyle w:val="23"/>
        <w:ind w:firstLine="360" w:firstLineChars="200"/>
        <w:rPr>
          <w:sz w:val="18"/>
          <w:szCs w:val="18"/>
        </w:rPr>
      </w:pPr>
      <w:r>
        <w:rPr>
          <w:sz w:val="18"/>
          <w:szCs w:val="18"/>
        </w:rPr>
        <w:t>由于通胀水平仍然远低于2%的通胀目标，日本央行可能在很长一段时间内都将维持宽松政策。日本央行行长黑田东彦表示，日本央行的政策立场不会马上作出调整，如有必要还将毫不犹豫地推出进一步的宽松措施。</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lang w:val="en-US" w:eastAsia="zh-CN"/>
        </w:rPr>
        <w:t>4后市预测</w:t>
      </w:r>
      <w:bookmarkEnd w:id="15"/>
    </w:p>
    <w:p>
      <w:pPr>
        <w:pStyle w:val="23"/>
        <w:ind w:firstLine="360" w:firstLineChars="200"/>
        <w:rPr>
          <w:sz w:val="18"/>
          <w:szCs w:val="18"/>
        </w:rPr>
      </w:pPr>
      <w:bookmarkStart w:id="16" w:name="_Toc13390"/>
      <w:r>
        <w:rPr>
          <w:rFonts w:hint="eastAsia"/>
          <w:sz w:val="18"/>
          <w:szCs w:val="18"/>
        </w:rPr>
        <w:t>本周美国WTI原油价格在73.79-76.56美元/桶。布伦特原油价格在76.14-79.23美元/桶震荡。周内国际油价上涨走势。</w:t>
      </w:r>
      <w:r>
        <w:rPr>
          <w:sz w:val="18"/>
          <w:szCs w:val="18"/>
        </w:rPr>
        <w:t>EIA原油及成品油库存均出现下降，12月29日外盘期货触及新高。2月WTI：76.56涨0.58;2月布伦特：79.23涨0.29。盘中稍早，在美国政府数据显示石油库存下降后，两大合约均触及一个月最高。美国能源信息署(EIA)称，上周原油库存减少360万桶，至4.2亿桶，路透调查中分析师预估为减少310万桶。汽油库存减少150万桶，至2.2266亿桶，路透调查中分析师预估为增加50万桶。馏分油库存减少170万桶，至1.2243亿桶，预估为增加20万桶。“库存全线下降，起到了支撑作用，”Again Capital LLC合伙人John Kilduff表示，“国内产量继续提高，这是积极的。”厄瓜多尔、利比亚和尼日利亚本月宣布部分石油生产遭遇不可抗力，因维护问题和油田关闭，这支撑了油价。</w:t>
      </w:r>
    </w:p>
    <w:p>
      <w:pPr>
        <w:pStyle w:val="23"/>
        <w:ind w:firstLine="360" w:firstLineChars="200"/>
        <w:rPr>
          <w:rFonts w:hint="eastAsia"/>
          <w:sz w:val="18"/>
          <w:szCs w:val="18"/>
        </w:rPr>
      </w:pPr>
      <w:r>
        <w:rPr>
          <w:rFonts w:hint="eastAsia"/>
          <w:sz w:val="18"/>
          <w:szCs w:val="18"/>
        </w:rPr>
        <w:t>预测下周WTI油价将触及72-77美元/桶，布油在之后几个月触及75-80美元/桶。</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rPr>
        <w:t>2.2国际市场MTBE价格</w:t>
      </w:r>
      <w:bookmarkEnd w:id="16"/>
      <w:r>
        <w:rPr>
          <w:rFonts w:hint="eastAsia" w:ascii="宋体" w:hAnsi="宋体"/>
          <w:b/>
          <w:color w:val="auto"/>
          <w:sz w:val="30"/>
          <w:szCs w:val="30"/>
          <w:highlight w:val="none"/>
          <w:lang w:val="en-US" w:eastAsia="zh-CN"/>
        </w:rPr>
        <w:t xml:space="preserve"> </w:t>
      </w:r>
    </w:p>
    <w:p>
      <w:pPr>
        <w:rPr>
          <w:rFonts w:hint="eastAsia"/>
          <w:lang w:val="en-US" w:eastAsia="zh-CN"/>
        </w:rPr>
      </w:pPr>
    </w:p>
    <w:p>
      <w:pPr>
        <w:rPr>
          <w:rFonts w:hint="eastAsia"/>
          <w:color w:val="auto"/>
        </w:rPr>
      </w:pPr>
    </w:p>
    <w:tbl>
      <w:tblPr>
        <w:tblStyle w:val="24"/>
        <w:tblW w:w="7230" w:type="dxa"/>
        <w:jc w:val="center"/>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3" w:hRule="atLeast"/>
          <w:tblHeader/>
          <w:jc w:val="center"/>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12月29日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827.50</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262.95</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884.00</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12月28日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820.00</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260.96</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12月27日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259.64</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12月24日</w:t>
            </w:r>
          </w:p>
        </w:tc>
        <w:tc>
          <w:tcPr>
            <w:tcW w:w="20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810.00</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w:t>
            </w:r>
          </w:p>
        </w:tc>
        <w:tc>
          <w:tcPr>
            <w:tcW w:w="1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858.25</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12月23日</w:t>
            </w:r>
          </w:p>
        </w:tc>
        <w:tc>
          <w:tcPr>
            <w:tcW w:w="20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kern w:val="0"/>
                <w:sz w:val="18"/>
                <w:szCs w:val="18"/>
                <w:lang w:val="en-US" w:eastAsia="zh-CN" w:bidi="ar"/>
              </w:rPr>
              <w:t>802.00</w:t>
            </w:r>
          </w:p>
        </w:tc>
        <w:tc>
          <w:tcPr>
            <w:tcW w:w="19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kern w:val="0"/>
                <w:sz w:val="18"/>
                <w:szCs w:val="18"/>
                <w:lang w:val="en-US" w:eastAsia="zh-CN" w:bidi="ar"/>
              </w:rPr>
              <w:t>256.86</w:t>
            </w:r>
          </w:p>
        </w:tc>
        <w:tc>
          <w:tcPr>
            <w:tcW w:w="183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kern w:val="0"/>
                <w:sz w:val="18"/>
                <w:szCs w:val="18"/>
                <w:lang w:val="en-US" w:eastAsia="zh-CN" w:bidi="ar"/>
              </w:rPr>
              <w:t>853.25</w:t>
            </w:r>
          </w:p>
        </w:tc>
      </w:tr>
    </w:tbl>
    <w:p>
      <w:pPr>
        <w:rPr>
          <w:rFonts w:hint="eastAsia"/>
          <w:color w:val="auto"/>
          <w:lang w:eastAsia="zh-CN"/>
        </w:rPr>
      </w:pPr>
    </w:p>
    <w:p>
      <w:pPr>
        <w:rPr>
          <w:rFonts w:hint="eastAsia"/>
          <w:color w:val="auto"/>
          <w:lang w:eastAsia="zh-CN"/>
        </w:rPr>
      </w:pPr>
    </w:p>
    <w:p>
      <w:pPr>
        <w:pStyle w:val="2"/>
        <w:numPr>
          <w:ilvl w:val="0"/>
          <w:numId w:val="0"/>
        </w:numPr>
        <w:spacing w:before="120" w:after="0" w:line="240" w:lineRule="auto"/>
        <w:rPr>
          <w:rFonts w:hint="eastAsia"/>
          <w:b/>
          <w:color w:val="auto"/>
          <w:sz w:val="36"/>
          <w:szCs w:val="36"/>
        </w:rPr>
      </w:pPr>
      <w:bookmarkStart w:id="17" w:name="_Toc3996"/>
      <w:r>
        <w:rPr>
          <w:rFonts w:hint="eastAsia"/>
          <w:b/>
          <w:color w:val="auto"/>
          <w:sz w:val="36"/>
          <w:szCs w:val="36"/>
          <w:lang w:eastAsia="zh-CN"/>
        </w:rPr>
        <w:t>三、</w:t>
      </w:r>
      <w:r>
        <w:rPr>
          <w:rFonts w:hint="eastAsia"/>
          <w:b/>
          <w:color w:val="auto"/>
          <w:sz w:val="36"/>
          <w:szCs w:val="36"/>
        </w:rPr>
        <w:t>本周国内市场</w:t>
      </w:r>
      <w:bookmarkEnd w:id="17"/>
    </w:p>
    <w:p>
      <w:pPr>
        <w:numPr>
          <w:ilvl w:val="0"/>
          <w:numId w:val="0"/>
        </w:numPr>
        <w:rPr>
          <w:color w:val="auto"/>
        </w:rPr>
      </w:pPr>
    </w:p>
    <w:p>
      <w:pPr>
        <w:pStyle w:val="3"/>
        <w:spacing w:before="120" w:after="120" w:line="240" w:lineRule="auto"/>
        <w:rPr>
          <w:rFonts w:hint="eastAsia" w:ascii="宋体" w:hAnsi="宋体"/>
          <w:b/>
          <w:color w:val="auto"/>
          <w:sz w:val="32"/>
          <w:szCs w:val="32"/>
          <w:highlight w:val="none"/>
        </w:rPr>
      </w:pPr>
      <w:bookmarkStart w:id="18" w:name="_Toc25301"/>
      <w:r>
        <w:rPr>
          <w:rFonts w:hint="eastAsia" w:ascii="宋体" w:hAnsi="宋体"/>
          <w:b/>
          <w:color w:val="auto"/>
          <w:sz w:val="32"/>
          <w:szCs w:val="32"/>
          <w:highlight w:val="none"/>
        </w:rPr>
        <w:t>3.1 国内炼厂装置运行情况</w:t>
      </w:r>
      <w:bookmarkEnd w:id="18"/>
    </w:p>
    <w:p>
      <w:pPr>
        <w:rPr>
          <w:rFonts w:hint="eastAsia" w:ascii="宋体" w:hAnsi="宋体"/>
          <w:color w:val="auto"/>
          <w:sz w:val="30"/>
          <w:szCs w:val="30"/>
          <w:highlight w:val="none"/>
        </w:rPr>
      </w:pPr>
      <w:r>
        <w:rPr>
          <w:rFonts w:hint="eastAsia" w:ascii="宋体" w:hAnsi="宋体"/>
          <w:color w:val="auto"/>
          <w:sz w:val="30"/>
          <w:szCs w:val="30"/>
          <w:highlight w:val="none"/>
        </w:rPr>
        <w:t>（1）国内主营炼厂装置检修情况</w:t>
      </w:r>
    </w:p>
    <w:tbl>
      <w:tblPr>
        <w:tblStyle w:val="24"/>
        <w:tblW w:w="47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19"/>
        <w:gridCol w:w="832"/>
        <w:gridCol w:w="1082"/>
        <w:gridCol w:w="1078"/>
        <w:gridCol w:w="2087"/>
        <w:gridCol w:w="1497"/>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single" w:color="000000" w:sz="6" w:space="0"/>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中石化旗下炼厂检修计划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45"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炼厂名称</w:t>
            </w:r>
          </w:p>
        </w:tc>
        <w:tc>
          <w:tcPr>
            <w:tcW w:w="437"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所在地</w:t>
            </w:r>
          </w:p>
        </w:tc>
        <w:tc>
          <w:tcPr>
            <w:tcW w:w="56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加工能力</w:t>
            </w:r>
          </w:p>
        </w:tc>
        <w:tc>
          <w:tcPr>
            <w:tcW w:w="56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检修装置</w:t>
            </w:r>
          </w:p>
        </w:tc>
        <w:tc>
          <w:tcPr>
            <w:tcW w:w="109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检修产能（单位：万吨）</w:t>
            </w:r>
          </w:p>
        </w:tc>
        <w:tc>
          <w:tcPr>
            <w:tcW w:w="78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起始时间</w:t>
            </w:r>
          </w:p>
        </w:tc>
        <w:tc>
          <w:tcPr>
            <w:tcW w:w="80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济南炼化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山东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800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800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2021/2/19</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金陵石化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江苏</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1800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2021/3/20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燕山石化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北京</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4#常减压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2020/3/29</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长岭石化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湖南</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2021/2/20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塔河石化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新疆</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350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上海石化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上海</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1600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1600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2021/4/14</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九江石化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江西</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2021/4/8</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沧州炼厂</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河北</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350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2021/5/10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扬子石化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江苏</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1450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焦化装置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茂名石化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2021/6/1</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石家庄炼厂</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河北</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2021/8/28</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齐鲁石化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山东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400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2021/8/8</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胜利油田</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山东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300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2021/9/15</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高桥石化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上海</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2021/10/11</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2021/12月初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广州石化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广东</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1370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800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2021/10/20</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2021/12月初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19"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联合石化</w:t>
            </w:r>
          </w:p>
        </w:tc>
        <w:tc>
          <w:tcPr>
            <w:tcW w:w="8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福建</w:t>
            </w:r>
          </w:p>
        </w:tc>
        <w:tc>
          <w:tcPr>
            <w:tcW w:w="108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1200</w:t>
            </w:r>
          </w:p>
        </w:tc>
        <w:tc>
          <w:tcPr>
            <w:tcW w:w="107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常减压</w:t>
            </w:r>
          </w:p>
        </w:tc>
        <w:tc>
          <w:tcPr>
            <w:tcW w:w="20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400</w:t>
            </w:r>
          </w:p>
        </w:tc>
        <w:tc>
          <w:tcPr>
            <w:tcW w:w="149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2021/11/15</w:t>
            </w:r>
          </w:p>
        </w:tc>
        <w:tc>
          <w:tcPr>
            <w:tcW w:w="152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中石油旗下炼厂检修计划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45"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炼厂名称</w:t>
            </w:r>
          </w:p>
        </w:tc>
        <w:tc>
          <w:tcPr>
            <w:tcW w:w="437"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所在地</w:t>
            </w:r>
          </w:p>
        </w:tc>
        <w:tc>
          <w:tcPr>
            <w:tcW w:w="56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加工能力</w:t>
            </w:r>
          </w:p>
        </w:tc>
        <w:tc>
          <w:tcPr>
            <w:tcW w:w="56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检修装置</w:t>
            </w:r>
          </w:p>
        </w:tc>
        <w:tc>
          <w:tcPr>
            <w:tcW w:w="109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检修产能（单位：万吨）</w:t>
            </w:r>
          </w:p>
        </w:tc>
        <w:tc>
          <w:tcPr>
            <w:tcW w:w="78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起始时间</w:t>
            </w:r>
          </w:p>
        </w:tc>
        <w:tc>
          <w:tcPr>
            <w:tcW w:w="80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云南石化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云南</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1300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2020/12/5</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抚顺石化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辽宁</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1150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2021/4/10</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2021/5月底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吉林石化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吉林</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大港石化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天津</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500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2021/4/12</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格尔木炼厂</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青海</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150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150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2021/7/15</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中海油旗下炼厂检修计划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45"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炼厂名称</w:t>
            </w:r>
          </w:p>
        </w:tc>
        <w:tc>
          <w:tcPr>
            <w:tcW w:w="437"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所在地</w:t>
            </w:r>
          </w:p>
        </w:tc>
        <w:tc>
          <w:tcPr>
            <w:tcW w:w="56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加工能力</w:t>
            </w:r>
          </w:p>
        </w:tc>
        <w:tc>
          <w:tcPr>
            <w:tcW w:w="56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检修装置</w:t>
            </w:r>
          </w:p>
        </w:tc>
        <w:tc>
          <w:tcPr>
            <w:tcW w:w="109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检修产能（单位：万吨）</w:t>
            </w:r>
          </w:p>
        </w:tc>
        <w:tc>
          <w:tcPr>
            <w:tcW w:w="78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起始时间</w:t>
            </w:r>
          </w:p>
        </w:tc>
        <w:tc>
          <w:tcPr>
            <w:tcW w:w="80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color w:val="auto"/>
                <w:spacing w:val="0"/>
                <w:sz w:val="18"/>
                <w:szCs w:val="18"/>
              </w:rPr>
            </w:pPr>
            <w:r>
              <w:rPr>
                <w:rFonts w:hint="eastAsia" w:ascii="宋体" w:hAnsi="宋体" w:eastAsia="宋体" w:cs="宋体"/>
                <w:b/>
                <w:bCs/>
                <w:caps w:val="0"/>
                <w:color w:val="auto"/>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东方石化</w:t>
            </w:r>
          </w:p>
        </w:tc>
        <w:tc>
          <w:tcPr>
            <w:tcW w:w="82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海南</w:t>
            </w:r>
          </w:p>
        </w:tc>
        <w:tc>
          <w:tcPr>
            <w:tcW w:w="10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200</w:t>
            </w:r>
          </w:p>
        </w:tc>
        <w:tc>
          <w:tcPr>
            <w:tcW w:w="106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200</w:t>
            </w:r>
          </w:p>
        </w:tc>
        <w:tc>
          <w:tcPr>
            <w:tcW w:w="14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2021/3/4</w:t>
            </w:r>
          </w:p>
        </w:tc>
        <w:tc>
          <w:tcPr>
            <w:tcW w:w="15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402" w:type="dxa"/>
            <w:tcBorders>
              <w:top w:val="nil"/>
              <w:left w:val="single" w:color="000000" w:sz="6" w:space="0"/>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惠州炼化</w:t>
            </w:r>
          </w:p>
        </w:tc>
        <w:tc>
          <w:tcPr>
            <w:tcW w:w="823"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广东</w:t>
            </w:r>
          </w:p>
        </w:tc>
        <w:tc>
          <w:tcPr>
            <w:tcW w:w="1069"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2200</w:t>
            </w:r>
          </w:p>
        </w:tc>
        <w:tc>
          <w:tcPr>
            <w:tcW w:w="1066"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二期</w:t>
            </w:r>
          </w:p>
        </w:tc>
        <w:tc>
          <w:tcPr>
            <w:tcW w:w="2063"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1000</w:t>
            </w:r>
          </w:p>
        </w:tc>
        <w:tc>
          <w:tcPr>
            <w:tcW w:w="1480"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2021/3/4</w:t>
            </w:r>
          </w:p>
        </w:tc>
        <w:tc>
          <w:tcPr>
            <w:tcW w:w="1510"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color w:val="auto"/>
                <w:spacing w:val="0"/>
                <w:sz w:val="18"/>
                <w:szCs w:val="18"/>
              </w:rPr>
            </w:pPr>
            <w:r>
              <w:rPr>
                <w:rFonts w:hint="eastAsia" w:ascii="宋体" w:hAnsi="宋体" w:eastAsia="宋体" w:cs="宋体"/>
                <w:caps w:val="0"/>
                <w:color w:val="auto"/>
                <w:spacing w:val="0"/>
                <w:sz w:val="18"/>
                <w:szCs w:val="18"/>
              </w:rPr>
              <w:t>2021/4月中旬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40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宁波大榭</w:t>
            </w:r>
          </w:p>
        </w:tc>
        <w:tc>
          <w:tcPr>
            <w:tcW w:w="82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浙江</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800</w:t>
            </w:r>
          </w:p>
        </w:tc>
        <w:tc>
          <w:tcPr>
            <w:tcW w:w="10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800</w:t>
            </w:r>
          </w:p>
        </w:tc>
        <w:tc>
          <w:tcPr>
            <w:tcW w:w="14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2021/4</w:t>
            </w:r>
          </w:p>
        </w:tc>
        <w:tc>
          <w:tcPr>
            <w:tcW w:w="151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40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中化泉州</w:t>
            </w:r>
          </w:p>
        </w:tc>
        <w:tc>
          <w:tcPr>
            <w:tcW w:w="82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福建</w:t>
            </w:r>
          </w:p>
        </w:tc>
        <w:tc>
          <w:tcPr>
            <w:tcW w:w="1069"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1500</w:t>
            </w:r>
          </w:p>
        </w:tc>
        <w:tc>
          <w:tcPr>
            <w:tcW w:w="10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全厂检修</w:t>
            </w:r>
          </w:p>
        </w:tc>
        <w:tc>
          <w:tcPr>
            <w:tcW w:w="2063"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1500</w:t>
            </w:r>
          </w:p>
        </w:tc>
        <w:tc>
          <w:tcPr>
            <w:tcW w:w="14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2021/12/5</w:t>
            </w:r>
          </w:p>
        </w:tc>
        <w:tc>
          <w:tcPr>
            <w:tcW w:w="151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2022/1月中旬</w:t>
            </w:r>
          </w:p>
        </w:tc>
      </w:tr>
    </w:tbl>
    <w:p>
      <w:pPr>
        <w:numPr>
          <w:ilvl w:val="0"/>
          <w:numId w:val="0"/>
        </w:numPr>
        <w:rPr>
          <w:rFonts w:hint="eastAsia" w:ascii="宋体" w:hAnsi="宋体"/>
          <w:color w:val="auto"/>
          <w:sz w:val="28"/>
          <w:szCs w:val="28"/>
          <w:highlight w:val="none"/>
        </w:rPr>
      </w:pPr>
    </w:p>
    <w:p>
      <w:pPr>
        <w:numPr>
          <w:ilvl w:val="0"/>
          <w:numId w:val="2"/>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20"/>
        <w:gridCol w:w="1201"/>
        <w:gridCol w:w="1246"/>
        <w:gridCol w:w="1348"/>
        <w:gridCol w:w="1016"/>
        <w:gridCol w:w="161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9209" w:type="dxa"/>
            <w:gridSpan w:val="7"/>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地方炼厂装置检修计划表(单位：万吨)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区域</w:t>
            </w:r>
          </w:p>
        </w:tc>
        <w:tc>
          <w:tcPr>
            <w:tcW w:w="1201"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省市</w:t>
            </w:r>
          </w:p>
        </w:tc>
        <w:tc>
          <w:tcPr>
            <w:tcW w:w="1246"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炼厂名称</w:t>
            </w:r>
          </w:p>
        </w:tc>
        <w:tc>
          <w:tcPr>
            <w:tcW w:w="1348"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检修装置</w:t>
            </w:r>
          </w:p>
        </w:tc>
        <w:tc>
          <w:tcPr>
            <w:tcW w:w="1016"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产能</w:t>
            </w:r>
          </w:p>
        </w:tc>
        <w:tc>
          <w:tcPr>
            <w:tcW w:w="1619"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起始时间</w:t>
            </w:r>
          </w:p>
        </w:tc>
        <w:tc>
          <w:tcPr>
            <w:tcW w:w="1459" w:type="dxa"/>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60" w:hRule="atLeast"/>
          <w:jc w:val="center"/>
        </w:trPr>
        <w:tc>
          <w:tcPr>
            <w:tcW w:w="1320" w:type="dxa"/>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淄博</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金诚石化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蜡油加氢裂化</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2021/11/24</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潍坊</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山东海化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240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2021年6月底</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山东</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日照</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日照岚桥</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2021/7/1</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滨州</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京博石化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2021/10/20</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东营</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垦利石化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400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临沂</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清沂山石化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2021/7/18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滨州</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无棣鑫岳</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催化</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80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2021/9/7</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德州</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恒源石化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350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2021/6/18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东营</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富宇石化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220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2021/9/6</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1320" w:type="dxa"/>
            <w:vMerge w:val="continue"/>
            <w:shd w:val="clear" w:color="auto" w:fill="auto"/>
            <w:vAlign w:val="center"/>
          </w:tcPr>
          <w:p>
            <w:pP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潍坊</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联盟石化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全厂</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220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2021/9/20</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color w:val="auto"/>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重庆</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龙海石化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150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2021/7月底</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rPr>
            </w:pPr>
            <w:r>
              <w:rPr>
                <w:rFonts w:hint="eastAsia" w:ascii="宋体" w:hAnsi="宋体" w:eastAsia="宋体" w:cs="宋体"/>
                <w:i w:val="0"/>
                <w:iCs w:val="0"/>
                <w:color w:val="auto"/>
                <w:sz w:val="18"/>
                <w:szCs w:val="18"/>
                <w:u w:val="none"/>
              </w:rPr>
              <w:t>2021/10/12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辽宁缘泰</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常减压装置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300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2021/2/22</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盘锦浩业</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催化</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140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caps w:val="0"/>
                <w:spacing w:val="0"/>
                <w:sz w:val="18"/>
                <w:szCs w:val="18"/>
              </w:rPr>
              <w:t>2021/3</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caps w:val="0"/>
                <w:spacing w:val="0"/>
                <w:sz w:val="18"/>
                <w:szCs w:val="18"/>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大连锦源</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2021/5/6</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黑龙江</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大庆中蓝</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220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2021/7/25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辽宁华锦</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600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2021/7/15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辽宁</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沈阳蜡化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70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2021/11/12</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eastAsia="zh-CN"/>
              </w:rPr>
            </w:pPr>
            <w:r>
              <w:rPr>
                <w:rFonts w:hint="eastAsia" w:ascii="宋体" w:hAnsi="宋体" w:eastAsia="宋体" w:cs="宋体"/>
                <w:i w:val="0"/>
                <w:iCs w:val="0"/>
                <w:color w:val="auto"/>
                <w:sz w:val="18"/>
                <w:szCs w:val="18"/>
                <w:u w:val="none"/>
              </w:rPr>
              <w:t>西</w:t>
            </w:r>
            <w:r>
              <w:rPr>
                <w:rFonts w:hint="eastAsia" w:ascii="宋体" w:hAnsi="宋体" w:eastAsia="宋体" w:cs="宋体"/>
                <w:i w:val="0"/>
                <w:iCs w:val="0"/>
                <w:color w:val="auto"/>
                <w:sz w:val="18"/>
                <w:szCs w:val="18"/>
                <w:u w:val="none"/>
                <w:lang w:eastAsia="zh-CN"/>
              </w:rPr>
              <w:t>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宁夏</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宝利新能源</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80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2021/8/5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宁夏</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宁鲁石化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60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2021/8/18</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陕西</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永坪炼油厂</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催化、常减压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250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2021/11/1</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华东</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江苏</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新海石化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300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2021/3/25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华北</w:t>
            </w: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河南</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丰利石化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260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2021/6/11</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河南</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丰利石化</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常减压</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260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2021/11/4</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20" w:type="dxa"/>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1201"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河北</w:t>
            </w:r>
          </w:p>
        </w:tc>
        <w:tc>
          <w:tcPr>
            <w:tcW w:w="124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河北鑫海</w:t>
            </w:r>
          </w:p>
        </w:tc>
        <w:tc>
          <w:tcPr>
            <w:tcW w:w="1348"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全厂检修</w:t>
            </w:r>
          </w:p>
        </w:tc>
        <w:tc>
          <w:tcPr>
            <w:tcW w:w="1016"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600</w:t>
            </w:r>
          </w:p>
        </w:tc>
        <w:tc>
          <w:tcPr>
            <w:tcW w:w="161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2021/7/5</w:t>
            </w:r>
          </w:p>
        </w:tc>
        <w:tc>
          <w:tcPr>
            <w:tcW w:w="1459" w:type="dxa"/>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2021/8/15</w:t>
            </w:r>
          </w:p>
        </w:tc>
      </w:tr>
    </w:tbl>
    <w:p>
      <w:pPr>
        <w:rPr>
          <w:rFonts w:hint="eastAsia"/>
          <w:color w:val="auto"/>
        </w:rPr>
      </w:pPr>
    </w:p>
    <w:p>
      <w:pPr>
        <w:pStyle w:val="3"/>
        <w:spacing w:before="120" w:after="120" w:line="240" w:lineRule="auto"/>
        <w:rPr>
          <w:rFonts w:hint="eastAsia" w:ascii="宋体" w:hAnsi="宋体"/>
          <w:b/>
          <w:color w:val="auto"/>
          <w:sz w:val="30"/>
          <w:szCs w:val="30"/>
          <w:highlight w:val="none"/>
        </w:rPr>
      </w:pPr>
      <w:bookmarkStart w:id="19" w:name="_Toc816"/>
      <w:r>
        <w:rPr>
          <w:rFonts w:hint="eastAsia" w:ascii="宋体" w:hAnsi="宋体"/>
          <w:b/>
          <w:color w:val="auto"/>
          <w:sz w:val="30"/>
          <w:szCs w:val="30"/>
          <w:highlight w:val="none"/>
        </w:rPr>
        <w:t>3.2本周成品油市场行情</w:t>
      </w:r>
      <w:bookmarkEnd w:id="19"/>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24日-12月30日)，国际油价连续五个工作日上涨，华中地区主营汽柴油价格窄幅回涨。具体来看：元旦假期临近，下游业者阶段性补货需求增加，但国内疫情反复，区内疫情管控加强，居民出行谨慎，汽油终端需求整体一般，目前主营销售任务基本完成，销售政策挺价保利为主，且临近年底主营单位调价操作欲望减少，汽油价格多小幅调整。柴油因元旦前夕户外工程积极赶工用油支撑需求，但随天气转冷，国内工矿、基建、建筑等的开工率有所回落，柴油终端需求逐渐转淡，柴油批发价格维持在新的限价水平。受上调预期影响，加之元旦假期临近，下游节前补货心态渐起，市场活跃度提升，购销气氛小幅回暖，主营销售政策侧重保利，挂价普遍虚高，实际成交保持优惠。</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24日-12月30日)，受国际油价连续五个工作日上涨的影响，国内参考的原油变化率也由负值转为正值，本轮零售限价大概率兑现上调，对于华东地区成品油市场形成一定支撑。另外，随着本年度进入尾声，各销售单位挺价保利政策优先，调价意愿不高，皆窄幅波动为主。需求面来看，汽油一直处于消费淡季，天气渐冷和部分地区疫情频发，导致公民外出减少，区内汽油消费量有所受限，进而影响加油站补货兴趣，汽油整体购销氛围持续清淡。因部分地区柴油现货资源偏紧，提振华东区内柴油价格坚挺，整体市场跌幅相对有限。不过中下游客户对后市信心不足，刚需补货为主，主营单位整体出货表现欠佳。</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24日-12月30日)，华南地区主营汽油价格呈下行走势，柴油价格抗跌性较强，整体来看汽油跌幅大于柴油。受国际油价提振，成本面利好支撑，汽油市场行情有所上行，但是利好因素缺乏持续性，元旦之前销售政策多以保利为主，虽有假期到来，但资源需求量没有很大程度增加，整体市场交投氛围难有较强改善。柴油方面，随本年度销售结束，各单位销售压力减小，户外基建工程年底赶工，资源需求尚有一定支撑，中下游客户刚需补货为主，目前个别地区柴油资源仍然偏紧，商家惜售心态较重，持续控量销售，中间商避险情绪仍存。</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24日-12月30日)，EIA库存超预期下降，原油收盘价格攀升，同时成品油限价上调预期笼罩市场，但消息面对市场利好支撑。华北地区内汽油价格小幅走跌，柴油价格窄幅上涨。具体来看，由于国内部分地区出现疫情，私家车出行以及出行半径受到影响，中下游库存充足导致目前采购心态较为低迷，而柴油方面，气温逐渐走低，户外开工率不断下降，且近期市场缺乏利好。但受区内资源偏紧影响，柴油终端消耗能力尚可，商户观望心态不减，节前场内补货氛围平平。年末，主营单位侧重保利销售，目前出货意愿一般，多为盘中整理为主，大部分单位价格横盘企稳，部分单位价格小幅调整刺激消费，实盘成交优惠可谈。</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24日-12月30日)，西北地区主营汽柴油价保持下行走势，但跌幅放缓。周前期，原油收盘连涨的消息面利好市场，地炼价格试探性上涨，原油变化率逐渐向0靠拢，部分地区主营出货不佳，批发价格有所下调。周中期，市场预期不及期望效果，天气寒冷和疫情影响汽柴油出货不佳，其中陕西地区封闭管制，出货量有限，市场暂无利好消息，下行压力较大。周末期，市场在成品油上调预期笼罩下，及元旦佳节来临，补货需求提振行情，市场成交气氛向好，主营和地炼普遍稳价销售，目前主营单位年度销售任务多已完成，趋向挺价保利。</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24日-12月30日)，西南地区内营汽柴油价格整体小幅下跌，市场出现“汽弱柴强”现象。本周原油震荡运行，零售限价在搁浅与上下调之间波动。本周进入年度最后的销售周期，主营单位年度销售任务大多已完成，价格都较为坚挺，主营保利出售，追求更多获利。市场整体需求来看，汽柴油处于需求淡季，且无明显利好刺激，市场观望氛围不减。具体来说，周期前，汽柴油价格零星走跌，部分主营单位也开展优惠促销活动，但市场成交仍显一般;临近年末，主营单位价格大多坚挺运行。且主营单位销售任务大多已完成，暂无销售压力，价格大多维持在理性阶段，市场仍以刚需为主。周期后，随着原油收盘连续上涨，西南地区内部分主营价格尝试小涨。进入年末最后收尾阶段，柴油资源仍有偏紧情况，主营单位柴油挂牌价格多维持到位价，市场“汽弱柴强”现象明显，商家惜售心态较重。</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(12月24日-12月30日)，东北地区内汽柴油价格弱稳运行。受区内冰雪天气及降温的影响，汽柴油终端需求缺乏利好因素提振，中下游补货积极性受限，各销售单位出货压力较大，成交情况清淡难改。随后，受原料供应偏紧、环保检查以及冬奥会限产等因素影响，柴油供应偏紧，加之部分工程基建积极赶工，需求方面稍有支撑，价格小幅上涨。周后期，大多主营单位进入结算阶段，销售任务陆续完成，调价操作减少，汽柴油价格弱稳运行。整体来看，当前市场行情淡稳。</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后市预测：后期国际原油或呈震荡走势，消息面指引不明。元旦假期即将到来，终端加油站或有阶段补仓，后期汽油需求或有一定支撑，但当前市场氛围偏弱，业者拿货谨慎，整体交投表现或难</w:t>
      </w:r>
      <w:r>
        <w:rPr>
          <w:rFonts w:hint="default" w:ascii="宋体" w:hAnsi="宋体" w:eastAsia="宋体" w:cs="宋体"/>
          <w:color w:val="auto"/>
          <w:kern w:val="2"/>
          <w:sz w:val="18"/>
          <w:szCs w:val="18"/>
          <w:shd w:val="clear" w:color="auto" w:fill="FFFFFF"/>
          <w:lang w:eastAsia="zh-CN"/>
        </w:rPr>
        <w:t>有明显改善，故预计下一个工作日市场气氛平稳，厂家出货一般，汽柴油批发价格或区间盘整为主。</w:t>
      </w:r>
      <w:bookmarkStart w:id="20" w:name="_Toc14270"/>
      <w:bookmarkStart w:id="35" w:name="_GoBack"/>
      <w:bookmarkEnd w:id="35"/>
    </w:p>
    <w:p>
      <w:pPr>
        <w:pStyle w:val="3"/>
        <w:spacing w:before="120" w:after="120" w:line="240" w:lineRule="auto"/>
        <w:rPr>
          <w:rFonts w:ascii="宋体" w:hAnsi="宋体"/>
          <w:b/>
          <w:color w:val="auto"/>
          <w:sz w:val="30"/>
          <w:szCs w:val="30"/>
        </w:rPr>
      </w:pPr>
      <w:r>
        <w:rPr>
          <w:rFonts w:hint="eastAsia" w:ascii="宋体" w:hAnsi="宋体"/>
          <w:b/>
          <w:color w:val="auto"/>
          <w:sz w:val="30"/>
          <w:szCs w:val="30"/>
        </w:rPr>
        <w:t>3.3 国内汽油价格周报</w:t>
      </w:r>
      <w:bookmarkEnd w:id="20"/>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p>
      <w:pPr>
        <w:rPr>
          <w:rFonts w:hint="eastAsia"/>
          <w:color w:val="auto"/>
        </w:rPr>
      </w:pPr>
    </w:p>
    <w:p>
      <w:pPr>
        <w:rPr>
          <w:rFonts w:hint="eastAsia"/>
          <w:color w:val="auto"/>
        </w:rPr>
      </w:pPr>
    </w:p>
    <w:tbl>
      <w:tblPr>
        <w:tblStyle w:val="24"/>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0"/>
        <w:gridCol w:w="945"/>
        <w:gridCol w:w="1065"/>
        <w:gridCol w:w="1020"/>
        <w:gridCol w:w="1080"/>
        <w:gridCol w:w="1290"/>
        <w:gridCol w:w="792"/>
        <w:gridCol w:w="120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blHeader/>
          <w:jc w:val="center"/>
        </w:trPr>
        <w:tc>
          <w:tcPr>
            <w:tcW w:w="8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地区</w:t>
            </w:r>
          </w:p>
        </w:tc>
        <w:tc>
          <w:tcPr>
            <w:tcW w:w="9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城市</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企业性质</w:t>
            </w:r>
          </w:p>
        </w:tc>
        <w:tc>
          <w:tcPr>
            <w:tcW w:w="10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产品名称</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型号</w:t>
            </w:r>
          </w:p>
        </w:tc>
        <w:tc>
          <w:tcPr>
            <w:tcW w:w="12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价格类型</w:t>
            </w:r>
          </w:p>
        </w:tc>
        <w:tc>
          <w:tcPr>
            <w:tcW w:w="79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2021/12/30</w:t>
            </w:r>
          </w:p>
        </w:tc>
        <w:tc>
          <w:tcPr>
            <w:tcW w:w="114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89#</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7988</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8188</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任丘市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7830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开封市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8030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郑州市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九江市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bl>
    <w:p>
      <w:pPr>
        <w:pStyle w:val="3"/>
        <w:spacing w:before="120" w:after="120" w:line="240" w:lineRule="auto"/>
        <w:rPr>
          <w:rFonts w:hint="eastAsia" w:ascii="宋体" w:hAnsi="宋体"/>
          <w:b/>
          <w:color w:val="auto"/>
          <w:sz w:val="30"/>
          <w:szCs w:val="30"/>
          <w:lang w:val="en-US" w:eastAsia="zh-CN"/>
        </w:rPr>
      </w:pPr>
      <w:bookmarkStart w:id="21" w:name="_Toc28195"/>
      <w:r>
        <w:rPr>
          <w:rFonts w:hint="eastAsia" w:ascii="宋体" w:hAnsi="宋体"/>
          <w:b/>
          <w:color w:val="auto"/>
          <w:sz w:val="30"/>
          <w:szCs w:val="30"/>
          <w:lang w:val="en-US" w:eastAsia="zh-CN"/>
        </w:rPr>
        <w:t>3.4国内柴油价格周报</w:t>
      </w:r>
      <w:bookmarkEnd w:id="21"/>
    </w:p>
    <w:p>
      <w:pPr>
        <w:jc w:val="right"/>
        <w:rPr>
          <w:rFonts w:hint="eastAsia"/>
          <w:color w:val="auto"/>
          <w:lang w:val="en-US" w:eastAsia="zh-CN"/>
        </w:rPr>
      </w:pPr>
      <w:r>
        <w:rPr>
          <w:rFonts w:hint="eastAsia" w:ascii="宋体" w:hAnsi="宋体" w:eastAsia="宋体" w:cs="宋体"/>
          <w:color w:val="auto"/>
          <w:sz w:val="18"/>
          <w:szCs w:val="18"/>
          <w:lang w:val="en-US" w:eastAsia="zh-CN"/>
        </w:rPr>
        <w:t>单位：元/吨</w:t>
      </w:r>
    </w:p>
    <w:tbl>
      <w:tblPr>
        <w:tblStyle w:val="24"/>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85"/>
        <w:gridCol w:w="1080"/>
        <w:gridCol w:w="990"/>
        <w:gridCol w:w="1095"/>
        <w:gridCol w:w="990"/>
        <w:gridCol w:w="1170"/>
        <w:gridCol w:w="765"/>
        <w:gridCol w:w="115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 w:hRule="atLeast"/>
          <w:tblHeader/>
          <w:jc w:val="center"/>
        </w:trPr>
        <w:tc>
          <w:tcPr>
            <w:tcW w:w="88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地区</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城市</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企业性质</w:t>
            </w:r>
          </w:p>
        </w:tc>
        <w:tc>
          <w:tcPr>
            <w:tcW w:w="10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产品名称</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型号</w:t>
            </w:r>
          </w:p>
        </w:tc>
        <w:tc>
          <w:tcPr>
            <w:tcW w:w="11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价格类型</w:t>
            </w:r>
          </w:p>
        </w:tc>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涨跌</w:t>
            </w:r>
          </w:p>
        </w:tc>
        <w:tc>
          <w:tcPr>
            <w:tcW w:w="115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2021/12/30</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2021/12/23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吉林中油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-35#</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-35#</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6.68</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-10#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-10#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7440</w:t>
            </w:r>
          </w:p>
        </w:tc>
      </w:tr>
    </w:tbl>
    <w:p>
      <w:pPr>
        <w:rPr>
          <w:rFonts w:hint="eastAsia" w:eastAsia="宋体"/>
          <w:color w:val="auto"/>
          <w:lang w:val="en-US" w:eastAsia="zh-CN"/>
        </w:rPr>
      </w:pPr>
    </w:p>
    <w:p>
      <w:pPr>
        <w:rPr>
          <w:rFonts w:hint="eastAsia" w:eastAsia="宋体"/>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2" w:name="_Toc20471"/>
      <w:r>
        <w:rPr>
          <w:rFonts w:hint="eastAsia" w:ascii="宋体" w:hAnsi="宋体"/>
          <w:b/>
          <w:color w:val="auto"/>
          <w:sz w:val="30"/>
          <w:szCs w:val="30"/>
          <w:lang w:val="en-US" w:eastAsia="zh-CN"/>
        </w:rPr>
        <w:t>3.5 山东地炼汽油出厂价格周报</w:t>
      </w:r>
      <w:bookmarkEnd w:id="22"/>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tbl>
      <w:tblPr>
        <w:tblStyle w:val="2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65"/>
        <w:gridCol w:w="855"/>
        <w:gridCol w:w="1845"/>
        <w:gridCol w:w="1334"/>
        <w:gridCol w:w="975"/>
        <w:gridCol w:w="735"/>
        <w:gridCol w:w="12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2" w:hRule="atLeast"/>
          <w:tblHeader/>
          <w:jc w:val="center"/>
        </w:trPr>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省份</w:t>
            </w:r>
          </w:p>
        </w:tc>
        <w:tc>
          <w:tcPr>
            <w:tcW w:w="85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8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34"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3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2021/12/30</w:t>
            </w:r>
          </w:p>
        </w:tc>
        <w:tc>
          <w:tcPr>
            <w:tcW w:w="121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7690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7713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7863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8113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7765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7922</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8075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7220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华星石化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7570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7685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7815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7815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高标国VI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8190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7575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7995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8445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7520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7633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7720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bl>
    <w:p>
      <w:pPr>
        <w:jc w:val="center"/>
        <w:rPr>
          <w:rFonts w:hint="eastAsia"/>
          <w:color w:val="auto"/>
          <w:lang w:val="en-US" w:eastAsia="zh-CN"/>
        </w:rPr>
      </w:pPr>
    </w:p>
    <w:p>
      <w:pPr>
        <w:jc w:val="center"/>
        <w:rPr>
          <w:rFonts w:hint="eastAsia"/>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3" w:name="_Toc22494"/>
      <w:r>
        <w:rPr>
          <w:rFonts w:hint="eastAsia" w:ascii="宋体" w:hAnsi="宋体"/>
          <w:b/>
          <w:color w:val="auto"/>
          <w:sz w:val="30"/>
          <w:szCs w:val="30"/>
          <w:lang w:val="en-US" w:eastAsia="zh-CN"/>
        </w:rPr>
        <w:t>3.6 山东地炼柴油出厂价格周报</w:t>
      </w:r>
      <w:bookmarkEnd w:id="23"/>
    </w:p>
    <w:p>
      <w:pPr>
        <w:jc w:val="right"/>
        <w:rPr>
          <w:rFonts w:hint="eastAsia" w:ascii="宋体" w:hAnsi="宋体" w:eastAsia="宋体" w:cs="宋体"/>
          <w:b/>
          <w:color w:val="auto"/>
          <w:sz w:val="18"/>
          <w:szCs w:val="18"/>
          <w:lang w:val="en-US" w:eastAsia="zh-CN"/>
        </w:rPr>
      </w:pPr>
      <w:r>
        <w:rPr>
          <w:rFonts w:hint="eastAsia" w:ascii="宋体" w:hAnsi="宋体" w:eastAsia="宋体" w:cs="宋体"/>
          <w:bCs/>
          <w:color w:val="auto"/>
          <w:sz w:val="18"/>
          <w:szCs w:val="18"/>
          <w:lang w:val="en-US" w:eastAsia="zh-CN"/>
        </w:rPr>
        <w:t>单位：元/吨</w:t>
      </w:r>
    </w:p>
    <w:p>
      <w:pPr>
        <w:rPr>
          <w:rFonts w:hint="eastAsia"/>
          <w:b/>
          <w:bCs/>
          <w:color w:val="auto"/>
          <w:lang w:val="en-US" w:eastAsia="zh-CN"/>
        </w:rPr>
      </w:pPr>
    </w:p>
    <w:tbl>
      <w:tblPr>
        <w:tblStyle w:val="24"/>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10"/>
        <w:gridCol w:w="1065"/>
        <w:gridCol w:w="1545"/>
        <w:gridCol w:w="1395"/>
        <w:gridCol w:w="900"/>
        <w:gridCol w:w="720"/>
        <w:gridCol w:w="127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3" w:hRule="atLeast"/>
          <w:tblHeader/>
          <w:jc w:val="center"/>
        </w:trPr>
        <w:tc>
          <w:tcPr>
            <w:tcW w:w="81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24" w:name="_Toc711"/>
            <w:bookmarkStart w:id="25" w:name="_Toc23056"/>
            <w:bookmarkStart w:id="26" w:name="_Toc533771879"/>
            <w:r>
              <w:rPr>
                <w:rFonts w:hint="eastAsia" w:ascii="宋体" w:hAnsi="宋体" w:eastAsia="宋体" w:cs="宋体"/>
                <w:b/>
                <w:i w:val="0"/>
                <w:color w:val="auto"/>
                <w:kern w:val="0"/>
                <w:sz w:val="18"/>
                <w:szCs w:val="18"/>
                <w:u w:val="none"/>
                <w:lang w:val="en-US" w:eastAsia="zh-CN" w:bidi="ar"/>
              </w:rPr>
              <w:t>省份</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5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7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2021/12/30</w:t>
            </w:r>
          </w:p>
        </w:tc>
        <w:tc>
          <w:tcPr>
            <w:tcW w:w="12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7210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7013</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7113</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7166</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7362</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柴油</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华星石化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7140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7025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7025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国六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7025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海化石化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7003</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铁路运输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7290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7290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7290</w:t>
            </w:r>
          </w:p>
        </w:tc>
      </w:tr>
    </w:tbl>
    <w:p>
      <w:pPr>
        <w:pStyle w:val="2"/>
        <w:numPr>
          <w:ilvl w:val="0"/>
          <w:numId w:val="0"/>
        </w:numPr>
        <w:spacing w:before="120" w:after="0" w:line="240" w:lineRule="auto"/>
        <w:rPr>
          <w:rFonts w:hint="eastAsia"/>
          <w:b/>
          <w:color w:val="auto"/>
          <w:sz w:val="36"/>
          <w:szCs w:val="36"/>
          <w:lang w:val="en-US" w:eastAsia="zh-CN"/>
        </w:rPr>
      </w:pPr>
      <w:bookmarkStart w:id="27" w:name="_Toc17074"/>
      <w:r>
        <w:rPr>
          <w:rFonts w:hint="eastAsia"/>
          <w:b/>
          <w:color w:val="auto"/>
          <w:sz w:val="36"/>
          <w:szCs w:val="36"/>
          <w:lang w:val="en-US" w:eastAsia="zh-CN"/>
        </w:rPr>
        <w:t>四、2021年11月份进出口统计数据</w:t>
      </w:r>
      <w:bookmarkEnd w:id="24"/>
      <w:bookmarkEnd w:id="27"/>
    </w:p>
    <w:p>
      <w:pPr>
        <w:pStyle w:val="3"/>
        <w:spacing w:before="120" w:after="120" w:line="240" w:lineRule="auto"/>
        <w:rPr>
          <w:rFonts w:hint="eastAsia" w:ascii="宋体" w:hAnsi="宋体"/>
          <w:b/>
          <w:color w:val="auto"/>
          <w:sz w:val="32"/>
          <w:szCs w:val="32"/>
        </w:rPr>
      </w:pPr>
      <w:bookmarkStart w:id="28" w:name="_Toc31314"/>
      <w:bookmarkStart w:id="29" w:name="_Toc6798"/>
      <w:r>
        <w:rPr>
          <w:rFonts w:hint="eastAsia" w:ascii="宋体" w:hAnsi="宋体"/>
          <w:b/>
          <w:color w:val="auto"/>
          <w:sz w:val="32"/>
          <w:szCs w:val="32"/>
        </w:rPr>
        <w:t>4.</w:t>
      </w:r>
      <w:bookmarkEnd w:id="28"/>
      <w:r>
        <w:rPr>
          <w:rFonts w:hint="eastAsia" w:ascii="宋体" w:hAnsi="宋体"/>
          <w:b/>
          <w:color w:val="auto"/>
          <w:sz w:val="32"/>
          <w:szCs w:val="32"/>
          <w:lang w:val="en-US" w:eastAsia="zh-CN"/>
        </w:rPr>
        <w:t xml:space="preserve">1 </w:t>
      </w:r>
      <w:r>
        <w:rPr>
          <w:rFonts w:hint="eastAsia" w:ascii="宋体" w:hAnsi="宋体"/>
          <w:b/>
          <w:color w:val="auto"/>
          <w:sz w:val="32"/>
          <w:szCs w:val="32"/>
        </w:rPr>
        <w:t>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11</w:t>
      </w:r>
      <w:r>
        <w:rPr>
          <w:rFonts w:hint="eastAsia" w:ascii="宋体" w:hAnsi="宋体"/>
          <w:b/>
          <w:color w:val="auto"/>
          <w:sz w:val="32"/>
          <w:szCs w:val="32"/>
        </w:rPr>
        <w:t>份全国车用汽油和航空汽油出口统计数据</w:t>
      </w:r>
      <w:bookmarkEnd w:id="29"/>
    </w:p>
    <w:p>
      <w:pPr>
        <w:rPr>
          <w:rFonts w:hint="eastAsia"/>
          <w:bCs/>
          <w:color w:val="auto"/>
          <w:szCs w:val="21"/>
        </w:rPr>
      </w:pPr>
      <w:r>
        <w:rPr>
          <w:rFonts w:hint="eastAsia"/>
          <w:bCs/>
          <w:color w:val="auto"/>
          <w:szCs w:val="21"/>
        </w:rPr>
        <w:t>单位：</w:t>
      </w:r>
      <w:r>
        <w:rPr>
          <w:rFonts w:hint="eastAsia"/>
          <w:bCs/>
          <w:color w:val="auto"/>
          <w:szCs w:val="21"/>
          <w:lang w:eastAsia="zh-CN"/>
        </w:rPr>
        <w:t>吨</w:t>
      </w:r>
      <w:r>
        <w:rPr>
          <w:rFonts w:hint="eastAsia"/>
          <w:bCs/>
          <w:color w:val="auto"/>
          <w:szCs w:val="21"/>
        </w:rPr>
        <w:t>，美元</w:t>
      </w:r>
    </w:p>
    <w:p>
      <w:pPr>
        <w:rPr>
          <w:rFonts w:hint="eastAsia"/>
          <w:color w:val="auto"/>
        </w:rPr>
      </w:pPr>
    </w:p>
    <w:p>
      <w:pPr>
        <w:rPr>
          <w:rFonts w:hint="eastAsia"/>
          <w:color w:val="auto"/>
        </w:rPr>
      </w:pPr>
    </w:p>
    <w:tbl>
      <w:tblPr>
        <w:tblStyle w:val="24"/>
        <w:tblW w:w="8700" w:type="dxa"/>
        <w:jc w:val="center"/>
        <w:shd w:val="clear" w:color="auto" w:fill="auto"/>
        <w:tblLayout w:type="autofit"/>
        <w:tblCellMar>
          <w:top w:w="0" w:type="dxa"/>
          <w:left w:w="0" w:type="dxa"/>
          <w:bottom w:w="0" w:type="dxa"/>
          <w:right w:w="0" w:type="dxa"/>
        </w:tblCellMar>
      </w:tblPr>
      <w:tblGrid>
        <w:gridCol w:w="3405"/>
        <w:gridCol w:w="1665"/>
        <w:gridCol w:w="1785"/>
        <w:gridCol w:w="1845"/>
      </w:tblGrid>
      <w:tr>
        <w:tblPrEx>
          <w:shd w:val="clear" w:color="auto" w:fill="auto"/>
        </w:tblPrEx>
        <w:trPr>
          <w:trHeight w:val="480"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bookmarkStart w:id="30" w:name="_Toc31064"/>
            <w:r>
              <w:rPr>
                <w:rStyle w:val="28"/>
                <w:rFonts w:hint="eastAsia" w:ascii="宋体" w:hAnsi="宋体" w:eastAsia="宋体" w:cs="宋体"/>
                <w:b/>
                <w:i w:val="0"/>
                <w:caps w:val="0"/>
                <w:color w:val="auto"/>
                <w:spacing w:val="0"/>
                <w:sz w:val="18"/>
                <w:szCs w:val="18"/>
                <w:lang w:val="en-US" w:eastAsia="zh-CN"/>
              </w:rPr>
              <w:t>商品名称</w:t>
            </w:r>
          </w:p>
        </w:tc>
        <w:tc>
          <w:tcPr>
            <w:tcW w:w="16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r>
              <w:rPr>
                <w:rStyle w:val="28"/>
                <w:rFonts w:hint="eastAsia" w:ascii="宋体" w:hAnsi="宋体" w:eastAsia="宋体" w:cs="宋体"/>
                <w:b/>
                <w:i w:val="0"/>
                <w:caps w:val="0"/>
                <w:color w:val="auto"/>
                <w:spacing w:val="0"/>
                <w:sz w:val="18"/>
                <w:szCs w:val="18"/>
                <w:lang w:val="en-US" w:eastAsia="zh-CN"/>
              </w:rPr>
              <w:t>出口目的地</w:t>
            </w:r>
          </w:p>
        </w:tc>
        <w:tc>
          <w:tcPr>
            <w:tcW w:w="17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r>
              <w:rPr>
                <w:rStyle w:val="28"/>
                <w:rFonts w:hint="eastAsia" w:ascii="宋体" w:hAnsi="宋体" w:eastAsia="宋体" w:cs="宋体"/>
                <w:b/>
                <w:i w:val="0"/>
                <w:caps w:val="0"/>
                <w:color w:val="auto"/>
                <w:spacing w:val="0"/>
                <w:sz w:val="18"/>
                <w:szCs w:val="18"/>
                <w:lang w:val="en-US" w:eastAsia="zh-CN"/>
              </w:rPr>
              <w:t>数量</w:t>
            </w:r>
          </w:p>
        </w:tc>
        <w:tc>
          <w:tcPr>
            <w:tcW w:w="18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Style w:val="28"/>
                <w:rFonts w:hint="eastAsia" w:ascii="宋体" w:hAnsi="宋体" w:eastAsia="宋体" w:cs="宋体"/>
                <w:b/>
                <w:i w:val="0"/>
                <w:caps w:val="0"/>
                <w:color w:val="auto"/>
                <w:spacing w:val="0"/>
                <w:sz w:val="18"/>
                <w:szCs w:val="18"/>
              </w:rPr>
            </w:pPr>
            <w:r>
              <w:rPr>
                <w:rStyle w:val="28"/>
                <w:rFonts w:hint="eastAsia" w:ascii="宋体" w:hAnsi="宋体" w:eastAsia="宋体" w:cs="宋体"/>
                <w:b/>
                <w:i w:val="0"/>
                <w:caps w:val="0"/>
                <w:color w:val="auto"/>
                <w:spacing w:val="0"/>
                <w:sz w:val="18"/>
                <w:szCs w:val="18"/>
                <w:lang w:val="en-US" w:eastAsia="zh-CN"/>
              </w:rPr>
              <w:t>单位</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菲律宾</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134586.2</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韩国</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19957.52</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马来西亚</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蒙古</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12458.72</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缅甸</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2161.106</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90"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墨西哥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35457.63</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新加坡</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297060.9</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印度尼西亚</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35809.39</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越南</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8830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中国澳门</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5747.604</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bookmarkStart w:id="31" w:name="_Toc10780"/>
            <w:r>
              <w:rPr>
                <w:rFonts w:hint="eastAsia" w:ascii="宋体" w:hAnsi="宋体" w:eastAsia="宋体" w:cs="宋体"/>
                <w:i w:val="0"/>
                <w:iCs w:val="0"/>
                <w:color w:val="auto"/>
                <w:kern w:val="0"/>
                <w:sz w:val="18"/>
                <w:szCs w:val="18"/>
                <w:u w:val="none"/>
                <w:lang w:val="en-US" w:eastAsia="zh-CN" w:bidi="ar"/>
              </w:rPr>
              <w:t>车用汽油和航空汽油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菲律宾</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134586.2</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吨</w:t>
            </w:r>
          </w:p>
        </w:tc>
      </w:tr>
    </w:tbl>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4.2 20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11</w:t>
      </w:r>
      <w:r>
        <w:rPr>
          <w:rFonts w:hint="eastAsia" w:ascii="宋体" w:hAnsi="宋体"/>
          <w:b/>
          <w:color w:val="auto"/>
          <w:sz w:val="32"/>
          <w:szCs w:val="32"/>
        </w:rPr>
        <w:t>月份全国柴油出口统计数据</w:t>
      </w:r>
      <w:bookmarkEnd w:id="30"/>
      <w:bookmarkEnd w:id="31"/>
    </w:p>
    <w:p>
      <w:pPr>
        <w:jc w:val="right"/>
        <w:rPr>
          <w:rFonts w:hint="eastAsia" w:ascii="宋体" w:hAnsi="宋体" w:eastAsia="宋体" w:cs="宋体"/>
          <w:bCs/>
          <w:color w:val="auto"/>
          <w:sz w:val="18"/>
          <w:szCs w:val="18"/>
        </w:rPr>
      </w:pPr>
      <w:r>
        <w:rPr>
          <w:rFonts w:hint="eastAsia" w:ascii="宋体" w:hAnsi="宋体" w:eastAsia="宋体" w:cs="宋体"/>
          <w:bCs/>
          <w:color w:val="auto"/>
          <w:sz w:val="18"/>
          <w:szCs w:val="18"/>
        </w:rPr>
        <w:t>单位：</w:t>
      </w:r>
      <w:r>
        <w:rPr>
          <w:rFonts w:hint="eastAsia" w:ascii="宋体" w:hAnsi="宋体" w:eastAsia="宋体" w:cs="宋体"/>
          <w:bCs/>
          <w:color w:val="auto"/>
          <w:sz w:val="18"/>
          <w:szCs w:val="18"/>
          <w:lang w:eastAsia="zh-CN"/>
        </w:rPr>
        <w:t>吨</w:t>
      </w:r>
      <w:r>
        <w:rPr>
          <w:rFonts w:hint="eastAsia" w:ascii="宋体" w:hAnsi="宋体" w:eastAsia="宋体" w:cs="宋体"/>
          <w:bCs/>
          <w:color w:val="auto"/>
          <w:sz w:val="18"/>
          <w:szCs w:val="18"/>
        </w:rPr>
        <w:t>，美元</w:t>
      </w:r>
    </w:p>
    <w:tbl>
      <w:tblPr>
        <w:tblStyle w:val="24"/>
        <w:tblW w:w="8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16"/>
        <w:gridCol w:w="1410"/>
        <w:gridCol w:w="1050"/>
        <w:gridCol w:w="1688"/>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blHeader/>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贸易伙伴名称</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数量（吨）</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所占比率</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当月金额（元）</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当月均价（元/吨）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000000"/>
                <w:spacing w:val="0"/>
                <w:sz w:val="18"/>
                <w:szCs w:val="18"/>
              </w:rPr>
              <w:t>提瓜和巴布达</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000000"/>
                <w:spacing w:val="0"/>
                <w:sz w:val="18"/>
                <w:szCs w:val="18"/>
              </w:rPr>
              <w:t>702.60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000000"/>
                <w:spacing w:val="0"/>
                <w:sz w:val="18"/>
                <w:szCs w:val="18"/>
              </w:rPr>
              <w:t>2831537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000000"/>
                <w:spacing w:val="0"/>
                <w:sz w:val="18"/>
                <w:szCs w:val="18"/>
              </w:rPr>
              <w:t>4030.08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澳大利亚</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77588.78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13%</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294156653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3791.23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巴哈马</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1031.50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4537676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4399.10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巴基斯坦</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39957.65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183425430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4590.50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巴拿马</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15979.02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66881893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4185.61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伯利兹</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131.89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525478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3984.21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伯利兹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49.30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190768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3869.53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丹麦</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241.80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1078245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4459.24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多米尼加共和国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84485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4224.25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俄罗斯联邦</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64.20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308069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4798.58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法国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488.00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1991150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4080.23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菲律宾</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193842.55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782963912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4039.17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韩国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277.08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1128627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4073.36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荷兰</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97.80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350893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3587.86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吉布提</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187.55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874338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4661.99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科威特</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22.00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112761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5125.50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利比里亚</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8179.64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35270458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4311.98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马耳他</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2857.92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12793276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4476.44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马绍尔群岛</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5122.28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22245445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4342.88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美国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595.41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2245637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3771.58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孟加拉国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111209.55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19%</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442320754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3977.36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缅甸</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3807.35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16848397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挪威</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56.38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278140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4933.31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帕劳</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39.11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176650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4516.86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葡萄牙</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892.40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3882551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4350.68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日本</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1181.96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4562654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3860.23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塞拉利昂</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88.73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403660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4549.26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塞浦路斯</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508.91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2356535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4630.54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圣其茨和尼维斯</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60.52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269474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4452.79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泰国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39906.15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184160090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4614.83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图瓦卢</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219.51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979306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4461.41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希腊</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346.00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1487771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4299.92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新加坡</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4279.53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18241276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4262.44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牙买加</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23.00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102488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英国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2032.18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9093846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4474.92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越南</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548.17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2561169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4672.25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直布罗陀</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29.70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111860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3766.33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中国澳门</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1987.03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5346892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2690.90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中国台湾</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540.60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2568212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4750.67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中国香港</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83857.08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14%</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322487144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000000"/>
                <w:spacing w:val="0"/>
                <w:sz w:val="18"/>
                <w:szCs w:val="18"/>
              </w:rPr>
              <w:t>3845.68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000000"/>
                <w:spacing w:val="0"/>
                <w:sz w:val="18"/>
                <w:szCs w:val="18"/>
              </w:rPr>
              <w:t>合计</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000000"/>
                <w:spacing w:val="0"/>
                <w:sz w:val="18"/>
                <w:szCs w:val="18"/>
              </w:rPr>
              <w:t>599050.81</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000000"/>
                <w:spacing w:val="0"/>
                <w:sz w:val="18"/>
                <w:szCs w:val="18"/>
              </w:rPr>
              <w:t>100%</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000000"/>
                <w:spacing w:val="0"/>
                <w:sz w:val="18"/>
                <w:szCs w:val="18"/>
              </w:rPr>
              <w:t>2432235600.00</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000000"/>
                <w:spacing w:val="0"/>
                <w:sz w:val="18"/>
                <w:szCs w:val="18"/>
              </w:rPr>
              <w:t>4060.15</w:t>
            </w:r>
          </w:p>
        </w:tc>
      </w:tr>
    </w:tbl>
    <w:p>
      <w:pPr>
        <w:rPr>
          <w:rFonts w:hint="eastAsia"/>
        </w:rPr>
      </w:pPr>
      <w:bookmarkStart w:id="32" w:name="_Toc21887"/>
    </w:p>
    <w:p>
      <w:pPr>
        <w:rPr>
          <w:rFonts w:hint="eastAsia"/>
        </w:rPr>
      </w:pPr>
    </w:p>
    <w:p>
      <w:pPr>
        <w:rPr>
          <w:rFonts w:hint="eastAsia"/>
        </w:rPr>
      </w:pPr>
    </w:p>
    <w:p>
      <w:pPr>
        <w:jc w:val="left"/>
        <w:outlineLvl w:val="0"/>
        <w:rPr>
          <w:rFonts w:hint="eastAsia" w:ascii="宋体" w:hAnsi="宋体" w:cs="Arial"/>
          <w:b/>
          <w:bCs/>
          <w:kern w:val="0"/>
          <w:sz w:val="36"/>
          <w:szCs w:val="36"/>
        </w:rPr>
      </w:pPr>
      <w:r>
        <w:rPr>
          <w:rFonts w:hint="eastAsia" w:ascii="宋体" w:hAnsi="宋体"/>
          <w:b/>
          <w:color w:val="auto"/>
          <w:sz w:val="30"/>
          <w:szCs w:val="30"/>
        </w:rPr>
        <w:t xml:space="preserve">4.3 </w:t>
      </w:r>
      <w:bookmarkEnd w:id="25"/>
      <w:bookmarkEnd w:id="32"/>
      <w:bookmarkStart w:id="33" w:name="_Toc9952"/>
      <w:bookmarkStart w:id="34" w:name="_Toc20776"/>
      <w:r>
        <w:rPr>
          <w:rFonts w:hint="eastAsia" w:ascii="宋体" w:hAnsi="宋体" w:cs="Arial"/>
          <w:b/>
          <w:bCs/>
          <w:kern w:val="0"/>
          <w:sz w:val="36"/>
          <w:szCs w:val="36"/>
        </w:rPr>
        <w:t>2021年11月份全国原油进出口统计数据</w:t>
      </w:r>
    </w:p>
    <w:p>
      <w:pPr>
        <w:jc w:val="right"/>
        <w:rPr>
          <w:rFonts w:hint="eastAsia" w:ascii="宋体" w:hAnsi="宋体"/>
        </w:rPr>
      </w:pPr>
    </w:p>
    <w:tbl>
      <w:tblPr>
        <w:tblStyle w:val="24"/>
        <w:tblW w:w="5000" w:type="pct"/>
        <w:tblInd w:w="0" w:type="dxa"/>
        <w:tblLayout w:type="autofit"/>
        <w:tblCellMar>
          <w:top w:w="0" w:type="dxa"/>
          <w:left w:w="108" w:type="dxa"/>
          <w:bottom w:w="0" w:type="dxa"/>
          <w:right w:w="108" w:type="dxa"/>
        </w:tblCellMar>
      </w:tblPr>
      <w:tblGrid>
        <w:gridCol w:w="2889"/>
        <w:gridCol w:w="1613"/>
        <w:gridCol w:w="2733"/>
        <w:gridCol w:w="2733"/>
      </w:tblGrid>
      <w:tr>
        <w:tblPrEx>
          <w:tblCellMar>
            <w:top w:w="0" w:type="dxa"/>
            <w:left w:w="108" w:type="dxa"/>
            <w:bottom w:w="0" w:type="dxa"/>
            <w:right w:w="108" w:type="dxa"/>
          </w:tblCellMar>
        </w:tblPrEx>
        <w:trPr>
          <w:trHeight w:val="345" w:hRule="atLeast"/>
        </w:trPr>
        <w:tc>
          <w:tcPr>
            <w:tcW w:w="1449"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进口来源国</w:t>
            </w:r>
          </w:p>
        </w:tc>
        <w:tc>
          <w:tcPr>
            <w:tcW w:w="809"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万吨</w:t>
            </w:r>
          </w:p>
        </w:tc>
        <w:tc>
          <w:tcPr>
            <w:tcW w:w="1371"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万美元</w:t>
            </w:r>
          </w:p>
        </w:tc>
        <w:tc>
          <w:tcPr>
            <w:tcW w:w="1371"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进口均价（美元/吨）</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沙特阿拉伯</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740.16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440095.01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594.6</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俄罗斯联邦</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670.3</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400466.26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597.45</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阿联酋</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446.71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257805.75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577.12</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阿曼</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366.11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220820.55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603.15</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伊拉克</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344.16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198417.37</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576.52</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安哥拉</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281.21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166870.99</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593.4</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科威特</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259.68</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157615.41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606.96</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巴西</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226.59</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132330.42</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584.02</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马来西亚</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169.81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92478.52</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544.59</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英国</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101.36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53525.35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528.07</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挪威</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81.74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50086.91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612.78</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刚果(布)</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77.66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46649.54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600.72</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哥伦比亚</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69.3</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35573.5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513.35</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卡塔尔</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68.65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44244.83</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644.54</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利比亚</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54.8</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35569.18</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649.03</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哈萨克斯坦</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38.65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23608.78</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610.82</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厄瓜多尔</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35.42</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20089.1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567.19</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加蓬</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29.73</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17722.99</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596.18</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澳大利亚</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24.61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18163.77</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738.21</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加拿大</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22.15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11983.52</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541.06</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尼日利亚</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17.63</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12121.76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687.69</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美国</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14.12</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7471.57</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529.1</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喀麦隆</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13.41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8101.73</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604.17</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刚果(金)</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12.44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7668.18</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616.39</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蒙古</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4.64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2106.1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454.37</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加纳</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4.42</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2004.1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453.26</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越南</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3.81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2590.31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680.45</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合计</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4179.24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2466181.5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590.1</w:t>
            </w:r>
          </w:p>
        </w:tc>
      </w:tr>
      <w:tr>
        <w:tblPrEx>
          <w:tblCellMar>
            <w:top w:w="0" w:type="dxa"/>
            <w:left w:w="108" w:type="dxa"/>
            <w:bottom w:w="0" w:type="dxa"/>
            <w:right w:w="108" w:type="dxa"/>
          </w:tblCellMar>
        </w:tblPrEx>
        <w:trPr>
          <w:trHeight w:val="330" w:hRule="atLeast"/>
        </w:trPr>
        <w:tc>
          <w:tcPr>
            <w:tcW w:w="1449" w:type="pct"/>
            <w:tcBorders>
              <w:top w:val="nil"/>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出口国家</w:t>
            </w:r>
          </w:p>
        </w:tc>
        <w:tc>
          <w:tcPr>
            <w:tcW w:w="809"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万吨</w:t>
            </w:r>
          </w:p>
        </w:tc>
        <w:tc>
          <w:tcPr>
            <w:tcW w:w="1371"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万美元</w:t>
            </w:r>
          </w:p>
        </w:tc>
        <w:tc>
          <w:tcPr>
            <w:tcW w:w="1371"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出口均价（美元/吨）</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马来西亚</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46.5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13630.84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293.13</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新加坡</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26.78</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6903.74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257.75</w:t>
            </w:r>
          </w:p>
        </w:tc>
      </w:tr>
    </w:tbl>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tbl>
      <w:tblPr>
        <w:tblStyle w:val="24"/>
        <w:tblW w:w="5000" w:type="pct"/>
        <w:tblInd w:w="0" w:type="dxa"/>
        <w:tblLayout w:type="autofit"/>
        <w:tblCellMar>
          <w:top w:w="0" w:type="dxa"/>
          <w:left w:w="108" w:type="dxa"/>
          <w:bottom w:w="0" w:type="dxa"/>
          <w:right w:w="108" w:type="dxa"/>
        </w:tblCellMar>
      </w:tblPr>
      <w:tblGrid>
        <w:gridCol w:w="2889"/>
        <w:gridCol w:w="1613"/>
        <w:gridCol w:w="2733"/>
        <w:gridCol w:w="2733"/>
      </w:tblGrid>
      <w:tr>
        <w:tblPrEx>
          <w:tblCellMar>
            <w:top w:w="0" w:type="dxa"/>
            <w:left w:w="108" w:type="dxa"/>
            <w:bottom w:w="0" w:type="dxa"/>
            <w:right w:w="108" w:type="dxa"/>
          </w:tblCellMar>
        </w:tblPrEx>
        <w:trPr>
          <w:trHeight w:val="330" w:hRule="atLeast"/>
        </w:trPr>
        <w:tc>
          <w:tcPr>
            <w:tcW w:w="1449"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贸易方式</w:t>
            </w:r>
          </w:p>
        </w:tc>
        <w:tc>
          <w:tcPr>
            <w:tcW w:w="809"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万吨</w:t>
            </w:r>
          </w:p>
        </w:tc>
        <w:tc>
          <w:tcPr>
            <w:tcW w:w="1371"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万美元</w:t>
            </w:r>
          </w:p>
        </w:tc>
        <w:tc>
          <w:tcPr>
            <w:tcW w:w="1371"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进口均价（美元/吨）</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一般贸易</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3259.57</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1938521.85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594.72</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来料加工贸易</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183.46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108409.58</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590.9</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保税监管场所进出境货物</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731.4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416354.9</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569.26</w:t>
            </w:r>
          </w:p>
        </w:tc>
      </w:tr>
      <w:tr>
        <w:tblPrEx>
          <w:tblCellMar>
            <w:top w:w="0" w:type="dxa"/>
            <w:left w:w="108" w:type="dxa"/>
            <w:bottom w:w="0" w:type="dxa"/>
            <w:right w:w="108" w:type="dxa"/>
          </w:tblCellMar>
        </w:tblPrEx>
        <w:trPr>
          <w:trHeight w:val="211"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海关特殊监管区域物流货物</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4.81</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2895.17</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601.6</w:t>
            </w:r>
          </w:p>
        </w:tc>
      </w:tr>
      <w:tr>
        <w:tblPrEx>
          <w:tblCellMar>
            <w:top w:w="0" w:type="dxa"/>
            <w:left w:w="108" w:type="dxa"/>
            <w:bottom w:w="0" w:type="dxa"/>
            <w:right w:w="108" w:type="dxa"/>
          </w:tblCellMar>
        </w:tblPrEx>
        <w:trPr>
          <w:trHeight w:val="33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合计</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4179.24</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2466181.5</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590.1</w:t>
            </w:r>
          </w:p>
        </w:tc>
      </w:tr>
      <w:tr>
        <w:tblPrEx>
          <w:tblCellMar>
            <w:top w:w="0" w:type="dxa"/>
            <w:left w:w="108" w:type="dxa"/>
            <w:bottom w:w="0" w:type="dxa"/>
            <w:right w:w="108" w:type="dxa"/>
          </w:tblCellMar>
        </w:tblPrEx>
        <w:trPr>
          <w:trHeight w:val="330" w:hRule="atLeast"/>
        </w:trPr>
        <w:tc>
          <w:tcPr>
            <w:tcW w:w="1449" w:type="pct"/>
            <w:tcBorders>
              <w:top w:val="nil"/>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贸易方式</w:t>
            </w:r>
          </w:p>
        </w:tc>
        <w:tc>
          <w:tcPr>
            <w:tcW w:w="809"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万吨</w:t>
            </w:r>
          </w:p>
        </w:tc>
        <w:tc>
          <w:tcPr>
            <w:tcW w:w="1371"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万美元</w:t>
            </w:r>
          </w:p>
        </w:tc>
        <w:tc>
          <w:tcPr>
            <w:tcW w:w="1371" w:type="pct"/>
            <w:tcBorders>
              <w:top w:val="nil"/>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191919"/>
                <w:kern w:val="0"/>
                <w:sz w:val="18"/>
                <w:szCs w:val="18"/>
              </w:rPr>
            </w:pPr>
            <w:r>
              <w:rPr>
                <w:rFonts w:hint="eastAsia" w:ascii="宋体" w:hAnsi="宋体" w:cs="宋体"/>
                <w:b/>
                <w:bCs/>
                <w:color w:val="191919"/>
                <w:kern w:val="0"/>
                <w:sz w:val="18"/>
                <w:szCs w:val="18"/>
              </w:rPr>
              <w:t>出口均价（美元/吨）</w:t>
            </w:r>
          </w:p>
        </w:tc>
      </w:tr>
      <w:tr>
        <w:tblPrEx>
          <w:tblCellMar>
            <w:top w:w="0" w:type="dxa"/>
            <w:left w:w="108" w:type="dxa"/>
            <w:bottom w:w="0" w:type="dxa"/>
            <w:right w:w="108" w:type="dxa"/>
          </w:tblCellMar>
        </w:tblPrEx>
        <w:trPr>
          <w:trHeight w:val="270" w:hRule="atLeast"/>
        </w:trPr>
        <w:tc>
          <w:tcPr>
            <w:tcW w:w="1449"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一般贸易</w:t>
            </w:r>
          </w:p>
        </w:tc>
        <w:tc>
          <w:tcPr>
            <w:tcW w:w="8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73.29</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20534.6</w:t>
            </w:r>
          </w:p>
        </w:tc>
        <w:tc>
          <w:tcPr>
            <w:tcW w:w="137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191919"/>
                <w:kern w:val="0"/>
                <w:sz w:val="18"/>
                <w:szCs w:val="18"/>
              </w:rPr>
            </w:pPr>
            <w:r>
              <w:rPr>
                <w:rFonts w:hint="eastAsia" w:ascii="宋体" w:hAnsi="宋体" w:cs="宋体"/>
                <w:color w:val="191919"/>
                <w:kern w:val="0"/>
                <w:sz w:val="18"/>
                <w:szCs w:val="18"/>
              </w:rPr>
              <w:t>280.2</w:t>
            </w:r>
          </w:p>
        </w:tc>
      </w:tr>
    </w:tbl>
    <w:p>
      <w:pPr>
        <w:widowControl/>
        <w:jc w:val="center"/>
        <w:rPr>
          <w:rFonts w:hint="eastAsia" w:ascii="宋体" w:hAnsi="宋体" w:cs="宋体"/>
          <w:color w:val="000000"/>
          <w:kern w:val="0"/>
          <w:szCs w:val="21"/>
        </w:rPr>
      </w:pPr>
    </w:p>
    <w:p>
      <w:pPr>
        <w:pStyle w:val="23"/>
        <w:ind w:firstLine="360" w:firstLineChars="200"/>
        <w:rPr>
          <w:sz w:val="18"/>
          <w:szCs w:val="18"/>
        </w:rPr>
      </w:pPr>
      <w:r>
        <w:rPr>
          <w:sz w:val="18"/>
          <w:szCs w:val="18"/>
        </w:rPr>
        <w:t>2021年11月份我国原油进口量在4179.24万吨，环比增长10.57%，进口均价590.1美元/吨，环比增加7.49%。其中沙特进口量最大为740.16 万吨，进口均价594.6美元/吨。</w:t>
      </w:r>
    </w:p>
    <w:p>
      <w:pPr>
        <w:pStyle w:val="23"/>
        <w:ind w:firstLine="360" w:firstLineChars="200"/>
        <w:rPr>
          <w:rFonts w:hint="eastAsia"/>
          <w:sz w:val="18"/>
          <w:szCs w:val="18"/>
        </w:rPr>
      </w:pPr>
      <w:r>
        <w:rPr>
          <w:sz w:val="18"/>
          <w:szCs w:val="18"/>
        </w:rPr>
        <w:t>2021年11月份我国原油出口量在73.28万吨，进口均价280.2美元/吨</w:t>
      </w:r>
      <w:r>
        <w:rPr>
          <w:rFonts w:hint="eastAsia"/>
          <w:sz w:val="18"/>
          <w:szCs w:val="18"/>
        </w:rPr>
        <w:t>。</w:t>
      </w:r>
    </w:p>
    <w:p>
      <w:pPr>
        <w:pStyle w:val="23"/>
        <w:ind w:firstLine="360" w:firstLineChars="200"/>
        <w:rPr>
          <w:rFonts w:hint="eastAsia"/>
          <w:sz w:val="18"/>
          <w:szCs w:val="18"/>
        </w:rPr>
      </w:pPr>
    </w:p>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4.4 20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11</w:t>
      </w:r>
      <w:r>
        <w:rPr>
          <w:rFonts w:hint="eastAsia" w:ascii="宋体" w:hAnsi="宋体"/>
          <w:b/>
          <w:color w:val="auto"/>
          <w:sz w:val="32"/>
          <w:szCs w:val="32"/>
        </w:rPr>
        <w:t>月份航空煤油进出口统计数据</w:t>
      </w:r>
      <w:bookmarkEnd w:id="33"/>
      <w:bookmarkEnd w:id="34"/>
    </w:p>
    <w:p>
      <w:pPr>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w:t>
      </w:r>
      <w:r>
        <w:rPr>
          <w:rFonts w:hint="eastAsia" w:ascii="宋体" w:hAnsi="宋体" w:eastAsia="宋体" w:cs="宋体"/>
          <w:color w:val="auto"/>
          <w:sz w:val="18"/>
          <w:szCs w:val="18"/>
          <w:lang w:eastAsia="zh-CN"/>
        </w:rPr>
        <w:t>吨</w:t>
      </w:r>
      <w:r>
        <w:rPr>
          <w:rFonts w:hint="eastAsia" w:ascii="宋体" w:hAnsi="宋体" w:eastAsia="宋体" w:cs="宋体"/>
          <w:color w:val="auto"/>
          <w:sz w:val="18"/>
          <w:szCs w:val="18"/>
        </w:rPr>
        <w:t>，美元</w:t>
      </w:r>
    </w:p>
    <w:p>
      <w:pPr>
        <w:ind w:firstLine="420" w:firstLineChars="200"/>
        <w:jc w:val="left"/>
        <w:rPr>
          <w:rFonts w:hint="eastAsia" w:ascii="宋体" w:hAnsi="宋体"/>
          <w:color w:val="auto"/>
        </w:rPr>
      </w:pPr>
    </w:p>
    <w:bookmarkEnd w:id="26"/>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color w:val="auto"/>
                <w:spacing w:val="0"/>
                <w:sz w:val="18"/>
                <w:szCs w:val="18"/>
              </w:rPr>
              <w:t>进口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color w:val="auto"/>
                <w:spacing w:val="0"/>
                <w:sz w:val="18"/>
                <w:szCs w:val="18"/>
              </w:rPr>
              <w:t>出口</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11月进口量:59770.75（吨）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11月出口量:942275.81（吨）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累计进口量:1233453.05吨）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累计出口量:7965920.27</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当月进口均价:4830.65（元/吨）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当月出口均价:4142.14（元/吨）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累计进口均价：41806.28（元/吨）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累计出口均价:38322.03（元/吨）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进口量环比:-52.91%</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出口量环比：13.52</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进口量同比：-38.44%</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出口量同比：103.92</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累计进口量比去年同期：-46.67%</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仿宋" w:hAnsi="仿宋" w:eastAsia="仿宋" w:cs="仿宋"/>
                <w:caps w:val="0"/>
                <w:color w:val="000000"/>
                <w:spacing w:val="0"/>
                <w:sz w:val="18"/>
                <w:szCs w:val="18"/>
              </w:rPr>
              <w:t>累计出口量比去年同期：-16.53</w:t>
            </w:r>
          </w:p>
        </w:tc>
      </w:tr>
    </w:tbl>
    <w:p>
      <w:pPr>
        <w:rPr>
          <w:color w:val="auto"/>
        </w:rPr>
      </w:pPr>
    </w:p>
    <w:p>
      <w:pPr>
        <w:rPr>
          <w:color w:val="auto"/>
        </w:rPr>
      </w:pPr>
    </w:p>
    <w:sectPr>
      <w:headerReference r:id="rId5" w:type="first"/>
      <w:headerReference r:id="rId3" w:type="default"/>
      <w:headerReference r:id="rId4" w:type="even"/>
      <w:pgSz w:w="11906" w:h="16838"/>
      <w:pgMar w:top="1440" w:right="1077" w:bottom="1440" w:left="1077"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06709E88"/>
    <w:multiLevelType w:val="singleLevel"/>
    <w:tmpl w:val="06709E8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C42"/>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337"/>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0E64"/>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E5399"/>
    <w:rsid w:val="01533173"/>
    <w:rsid w:val="0174199B"/>
    <w:rsid w:val="0182210D"/>
    <w:rsid w:val="018C042F"/>
    <w:rsid w:val="019139BB"/>
    <w:rsid w:val="01A95B6A"/>
    <w:rsid w:val="01BD1D63"/>
    <w:rsid w:val="01ED4894"/>
    <w:rsid w:val="01F27845"/>
    <w:rsid w:val="01FE2CFE"/>
    <w:rsid w:val="02353D60"/>
    <w:rsid w:val="023C6B28"/>
    <w:rsid w:val="02526173"/>
    <w:rsid w:val="025D5BCE"/>
    <w:rsid w:val="0261223F"/>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3264B"/>
    <w:rsid w:val="03562125"/>
    <w:rsid w:val="035F2635"/>
    <w:rsid w:val="036D5E24"/>
    <w:rsid w:val="037413B6"/>
    <w:rsid w:val="03A57F11"/>
    <w:rsid w:val="03A93E53"/>
    <w:rsid w:val="03C71B14"/>
    <w:rsid w:val="03C968EE"/>
    <w:rsid w:val="03DA6AF5"/>
    <w:rsid w:val="03EC30D3"/>
    <w:rsid w:val="03FD7568"/>
    <w:rsid w:val="04063827"/>
    <w:rsid w:val="040707FC"/>
    <w:rsid w:val="0418413B"/>
    <w:rsid w:val="04242AEB"/>
    <w:rsid w:val="042972F1"/>
    <w:rsid w:val="042B4FB5"/>
    <w:rsid w:val="04331F6D"/>
    <w:rsid w:val="044B7718"/>
    <w:rsid w:val="044D6C9D"/>
    <w:rsid w:val="044E5434"/>
    <w:rsid w:val="045E1E00"/>
    <w:rsid w:val="0466617C"/>
    <w:rsid w:val="04684ED7"/>
    <w:rsid w:val="047A62BA"/>
    <w:rsid w:val="048101D3"/>
    <w:rsid w:val="048A2C1B"/>
    <w:rsid w:val="048C7CAA"/>
    <w:rsid w:val="04987F00"/>
    <w:rsid w:val="04A45D71"/>
    <w:rsid w:val="04A8214A"/>
    <w:rsid w:val="04B04E89"/>
    <w:rsid w:val="04BC587D"/>
    <w:rsid w:val="04BF7371"/>
    <w:rsid w:val="04C829A7"/>
    <w:rsid w:val="04E22C17"/>
    <w:rsid w:val="04E47651"/>
    <w:rsid w:val="04EE66C3"/>
    <w:rsid w:val="04F36106"/>
    <w:rsid w:val="04F4133B"/>
    <w:rsid w:val="05021B01"/>
    <w:rsid w:val="051E18E1"/>
    <w:rsid w:val="05292B71"/>
    <w:rsid w:val="052B7720"/>
    <w:rsid w:val="052C0D66"/>
    <w:rsid w:val="052F18F0"/>
    <w:rsid w:val="05314FD7"/>
    <w:rsid w:val="0538191C"/>
    <w:rsid w:val="053B1A3D"/>
    <w:rsid w:val="05500555"/>
    <w:rsid w:val="0558720E"/>
    <w:rsid w:val="057F2A2A"/>
    <w:rsid w:val="05894C8A"/>
    <w:rsid w:val="05920A6B"/>
    <w:rsid w:val="05925B7F"/>
    <w:rsid w:val="05993019"/>
    <w:rsid w:val="05A5238A"/>
    <w:rsid w:val="05A63D05"/>
    <w:rsid w:val="05AA3E69"/>
    <w:rsid w:val="05B377E7"/>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93008"/>
    <w:rsid w:val="070339A1"/>
    <w:rsid w:val="0718687A"/>
    <w:rsid w:val="071A60E7"/>
    <w:rsid w:val="071A7C26"/>
    <w:rsid w:val="071C4EDC"/>
    <w:rsid w:val="071D082B"/>
    <w:rsid w:val="07243E5A"/>
    <w:rsid w:val="07252677"/>
    <w:rsid w:val="07272AF3"/>
    <w:rsid w:val="07526E8D"/>
    <w:rsid w:val="0759111C"/>
    <w:rsid w:val="07594F06"/>
    <w:rsid w:val="076C6634"/>
    <w:rsid w:val="07743510"/>
    <w:rsid w:val="07805403"/>
    <w:rsid w:val="07820AB4"/>
    <w:rsid w:val="07836EEE"/>
    <w:rsid w:val="07906BB7"/>
    <w:rsid w:val="079B346A"/>
    <w:rsid w:val="079D7717"/>
    <w:rsid w:val="07B872E0"/>
    <w:rsid w:val="07B939E0"/>
    <w:rsid w:val="07CB2E31"/>
    <w:rsid w:val="07CC2D78"/>
    <w:rsid w:val="07CC4016"/>
    <w:rsid w:val="07D15C8A"/>
    <w:rsid w:val="07E05AA3"/>
    <w:rsid w:val="07E76A1F"/>
    <w:rsid w:val="07F17792"/>
    <w:rsid w:val="080158C0"/>
    <w:rsid w:val="0809715C"/>
    <w:rsid w:val="080A4814"/>
    <w:rsid w:val="0817293A"/>
    <w:rsid w:val="0820276D"/>
    <w:rsid w:val="082B36EF"/>
    <w:rsid w:val="082F1BCD"/>
    <w:rsid w:val="084C0F41"/>
    <w:rsid w:val="084E29A7"/>
    <w:rsid w:val="08573B5A"/>
    <w:rsid w:val="086F6B65"/>
    <w:rsid w:val="08962616"/>
    <w:rsid w:val="08A4401C"/>
    <w:rsid w:val="08A55AD2"/>
    <w:rsid w:val="08B65C23"/>
    <w:rsid w:val="08CA207E"/>
    <w:rsid w:val="08CD17C0"/>
    <w:rsid w:val="08DE60ED"/>
    <w:rsid w:val="08E13914"/>
    <w:rsid w:val="08E21688"/>
    <w:rsid w:val="08E35E15"/>
    <w:rsid w:val="08EE777D"/>
    <w:rsid w:val="0918731F"/>
    <w:rsid w:val="091D1431"/>
    <w:rsid w:val="09223CDC"/>
    <w:rsid w:val="09371EEF"/>
    <w:rsid w:val="093F6B95"/>
    <w:rsid w:val="09524755"/>
    <w:rsid w:val="095B63CA"/>
    <w:rsid w:val="09701692"/>
    <w:rsid w:val="09717916"/>
    <w:rsid w:val="09812CD8"/>
    <w:rsid w:val="09816B1A"/>
    <w:rsid w:val="098251C0"/>
    <w:rsid w:val="0984738F"/>
    <w:rsid w:val="09853CE2"/>
    <w:rsid w:val="098C4592"/>
    <w:rsid w:val="098C467A"/>
    <w:rsid w:val="09915D75"/>
    <w:rsid w:val="0996332C"/>
    <w:rsid w:val="09BE1AF4"/>
    <w:rsid w:val="09C26D2C"/>
    <w:rsid w:val="09C57689"/>
    <w:rsid w:val="09CB3165"/>
    <w:rsid w:val="09DE3A34"/>
    <w:rsid w:val="09E0028A"/>
    <w:rsid w:val="09E31010"/>
    <w:rsid w:val="09E83CA1"/>
    <w:rsid w:val="09ED009F"/>
    <w:rsid w:val="09F11ACB"/>
    <w:rsid w:val="09F94B23"/>
    <w:rsid w:val="09FB6243"/>
    <w:rsid w:val="0A047BEC"/>
    <w:rsid w:val="0A06506B"/>
    <w:rsid w:val="0A0A6618"/>
    <w:rsid w:val="0A1527C8"/>
    <w:rsid w:val="0A207C84"/>
    <w:rsid w:val="0A29795D"/>
    <w:rsid w:val="0A2A7E86"/>
    <w:rsid w:val="0A2D68BE"/>
    <w:rsid w:val="0A3C22BA"/>
    <w:rsid w:val="0A3D34F3"/>
    <w:rsid w:val="0A3E36F7"/>
    <w:rsid w:val="0A3F54A5"/>
    <w:rsid w:val="0A557C07"/>
    <w:rsid w:val="0A5B4AF5"/>
    <w:rsid w:val="0A75433E"/>
    <w:rsid w:val="0A796F7C"/>
    <w:rsid w:val="0A7B7455"/>
    <w:rsid w:val="0A8A7BC2"/>
    <w:rsid w:val="0A906675"/>
    <w:rsid w:val="0A951C4F"/>
    <w:rsid w:val="0A9E4597"/>
    <w:rsid w:val="0AA33DAF"/>
    <w:rsid w:val="0AB608CB"/>
    <w:rsid w:val="0AC60296"/>
    <w:rsid w:val="0AD32487"/>
    <w:rsid w:val="0AD50553"/>
    <w:rsid w:val="0ADB26A0"/>
    <w:rsid w:val="0AE31AD5"/>
    <w:rsid w:val="0B017D09"/>
    <w:rsid w:val="0B0715B1"/>
    <w:rsid w:val="0B0F0B26"/>
    <w:rsid w:val="0B2647B0"/>
    <w:rsid w:val="0B291A84"/>
    <w:rsid w:val="0B2C39A7"/>
    <w:rsid w:val="0B400CB2"/>
    <w:rsid w:val="0B421176"/>
    <w:rsid w:val="0B45016D"/>
    <w:rsid w:val="0B4B49C1"/>
    <w:rsid w:val="0B5D43F5"/>
    <w:rsid w:val="0B721C38"/>
    <w:rsid w:val="0B860805"/>
    <w:rsid w:val="0B8B649E"/>
    <w:rsid w:val="0B945C54"/>
    <w:rsid w:val="0BA91AA1"/>
    <w:rsid w:val="0BB16187"/>
    <w:rsid w:val="0BCB6AF2"/>
    <w:rsid w:val="0BCE6861"/>
    <w:rsid w:val="0BDC4FBC"/>
    <w:rsid w:val="0BDF0A5F"/>
    <w:rsid w:val="0BEB43D6"/>
    <w:rsid w:val="0C08318F"/>
    <w:rsid w:val="0C1C163D"/>
    <w:rsid w:val="0C1E7ABD"/>
    <w:rsid w:val="0C206584"/>
    <w:rsid w:val="0C212EC8"/>
    <w:rsid w:val="0C2444B3"/>
    <w:rsid w:val="0C270CC3"/>
    <w:rsid w:val="0C2A79E8"/>
    <w:rsid w:val="0C3071F1"/>
    <w:rsid w:val="0C3E0441"/>
    <w:rsid w:val="0C586B50"/>
    <w:rsid w:val="0C586E44"/>
    <w:rsid w:val="0C7B6AED"/>
    <w:rsid w:val="0C7F402D"/>
    <w:rsid w:val="0C822A19"/>
    <w:rsid w:val="0C930A24"/>
    <w:rsid w:val="0C9F5640"/>
    <w:rsid w:val="0C9F66CF"/>
    <w:rsid w:val="0CAA3B04"/>
    <w:rsid w:val="0CB81916"/>
    <w:rsid w:val="0CD123E3"/>
    <w:rsid w:val="0CD35464"/>
    <w:rsid w:val="0CD752CF"/>
    <w:rsid w:val="0CE32FB8"/>
    <w:rsid w:val="0CE44838"/>
    <w:rsid w:val="0CEA48B8"/>
    <w:rsid w:val="0D004586"/>
    <w:rsid w:val="0D206C21"/>
    <w:rsid w:val="0D4A442D"/>
    <w:rsid w:val="0D731CA1"/>
    <w:rsid w:val="0D735A75"/>
    <w:rsid w:val="0D775B07"/>
    <w:rsid w:val="0D79688B"/>
    <w:rsid w:val="0D8323A4"/>
    <w:rsid w:val="0D893BAC"/>
    <w:rsid w:val="0D952410"/>
    <w:rsid w:val="0D9F3354"/>
    <w:rsid w:val="0DA370DA"/>
    <w:rsid w:val="0DA7099A"/>
    <w:rsid w:val="0DB01CE1"/>
    <w:rsid w:val="0DB5277B"/>
    <w:rsid w:val="0DBA1705"/>
    <w:rsid w:val="0DBC2C9E"/>
    <w:rsid w:val="0DC46B30"/>
    <w:rsid w:val="0DC9706D"/>
    <w:rsid w:val="0DD115AA"/>
    <w:rsid w:val="0DD27705"/>
    <w:rsid w:val="0DEA06F6"/>
    <w:rsid w:val="0DEA1ECA"/>
    <w:rsid w:val="0E01030B"/>
    <w:rsid w:val="0E04318C"/>
    <w:rsid w:val="0E222066"/>
    <w:rsid w:val="0E274301"/>
    <w:rsid w:val="0E31785B"/>
    <w:rsid w:val="0E357D47"/>
    <w:rsid w:val="0E467EFB"/>
    <w:rsid w:val="0E4B1576"/>
    <w:rsid w:val="0E5C0982"/>
    <w:rsid w:val="0E730195"/>
    <w:rsid w:val="0E7675E6"/>
    <w:rsid w:val="0E803657"/>
    <w:rsid w:val="0E8B35C9"/>
    <w:rsid w:val="0E96527F"/>
    <w:rsid w:val="0E9742FB"/>
    <w:rsid w:val="0E9E354A"/>
    <w:rsid w:val="0EAF107B"/>
    <w:rsid w:val="0EB4347F"/>
    <w:rsid w:val="0EBE27AA"/>
    <w:rsid w:val="0EBF19BF"/>
    <w:rsid w:val="0EC1627E"/>
    <w:rsid w:val="0ED10429"/>
    <w:rsid w:val="0ED36950"/>
    <w:rsid w:val="0EDE0257"/>
    <w:rsid w:val="0EE30B65"/>
    <w:rsid w:val="0EED0FC5"/>
    <w:rsid w:val="0EF07619"/>
    <w:rsid w:val="0EF248CA"/>
    <w:rsid w:val="0EFB4176"/>
    <w:rsid w:val="0F034AA6"/>
    <w:rsid w:val="0F08360E"/>
    <w:rsid w:val="0F125E7D"/>
    <w:rsid w:val="0F1F0D30"/>
    <w:rsid w:val="0F26373F"/>
    <w:rsid w:val="0F2C6224"/>
    <w:rsid w:val="0F3E4D2D"/>
    <w:rsid w:val="0F446A41"/>
    <w:rsid w:val="0F4A18F4"/>
    <w:rsid w:val="0F4E7072"/>
    <w:rsid w:val="0F5808CC"/>
    <w:rsid w:val="0F666559"/>
    <w:rsid w:val="0F6B3E79"/>
    <w:rsid w:val="0F790BDF"/>
    <w:rsid w:val="0F7D42FE"/>
    <w:rsid w:val="0F820E85"/>
    <w:rsid w:val="0F895A00"/>
    <w:rsid w:val="0F8A41FA"/>
    <w:rsid w:val="0F962DED"/>
    <w:rsid w:val="0F9B4E2A"/>
    <w:rsid w:val="0FA45D17"/>
    <w:rsid w:val="0FAA2C5D"/>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C0A48"/>
    <w:rsid w:val="105F3A71"/>
    <w:rsid w:val="106D475B"/>
    <w:rsid w:val="1072399C"/>
    <w:rsid w:val="108362B8"/>
    <w:rsid w:val="1087261B"/>
    <w:rsid w:val="108C4660"/>
    <w:rsid w:val="10957382"/>
    <w:rsid w:val="109865FB"/>
    <w:rsid w:val="10A277F2"/>
    <w:rsid w:val="10BA0A0E"/>
    <w:rsid w:val="10CE39DE"/>
    <w:rsid w:val="10D36AEF"/>
    <w:rsid w:val="10FA6B68"/>
    <w:rsid w:val="10FF5E5F"/>
    <w:rsid w:val="11027028"/>
    <w:rsid w:val="110D636E"/>
    <w:rsid w:val="11153BAA"/>
    <w:rsid w:val="11190B98"/>
    <w:rsid w:val="11230D2F"/>
    <w:rsid w:val="11247901"/>
    <w:rsid w:val="11365062"/>
    <w:rsid w:val="11422692"/>
    <w:rsid w:val="11590029"/>
    <w:rsid w:val="115A59A8"/>
    <w:rsid w:val="115F1C27"/>
    <w:rsid w:val="11672A0E"/>
    <w:rsid w:val="116E3E23"/>
    <w:rsid w:val="117F7F48"/>
    <w:rsid w:val="118C3C84"/>
    <w:rsid w:val="11BC3D8A"/>
    <w:rsid w:val="11CA3B0B"/>
    <w:rsid w:val="11F843DE"/>
    <w:rsid w:val="121446A8"/>
    <w:rsid w:val="12162BBD"/>
    <w:rsid w:val="122D7A8C"/>
    <w:rsid w:val="12320E5B"/>
    <w:rsid w:val="124E5846"/>
    <w:rsid w:val="1265739D"/>
    <w:rsid w:val="12662947"/>
    <w:rsid w:val="126A28BA"/>
    <w:rsid w:val="127E2138"/>
    <w:rsid w:val="128771AE"/>
    <w:rsid w:val="12936B1B"/>
    <w:rsid w:val="12A4558C"/>
    <w:rsid w:val="12A84E60"/>
    <w:rsid w:val="12B66FEE"/>
    <w:rsid w:val="12BE2ADE"/>
    <w:rsid w:val="12D52D83"/>
    <w:rsid w:val="12D61BB4"/>
    <w:rsid w:val="12D8263D"/>
    <w:rsid w:val="12E533B9"/>
    <w:rsid w:val="12F30EC8"/>
    <w:rsid w:val="12F6517F"/>
    <w:rsid w:val="13086577"/>
    <w:rsid w:val="130B0E2B"/>
    <w:rsid w:val="130B16E4"/>
    <w:rsid w:val="13267B35"/>
    <w:rsid w:val="133E41B0"/>
    <w:rsid w:val="134A6D86"/>
    <w:rsid w:val="13502762"/>
    <w:rsid w:val="13594CF7"/>
    <w:rsid w:val="135A728A"/>
    <w:rsid w:val="1367698A"/>
    <w:rsid w:val="13772D89"/>
    <w:rsid w:val="138744BB"/>
    <w:rsid w:val="13985227"/>
    <w:rsid w:val="13A21C4C"/>
    <w:rsid w:val="13AA18EC"/>
    <w:rsid w:val="13B45FC3"/>
    <w:rsid w:val="13BF46FA"/>
    <w:rsid w:val="13C924DB"/>
    <w:rsid w:val="13D07AB0"/>
    <w:rsid w:val="13D72D76"/>
    <w:rsid w:val="13DB164D"/>
    <w:rsid w:val="13E7373B"/>
    <w:rsid w:val="13EC16FF"/>
    <w:rsid w:val="13F712B9"/>
    <w:rsid w:val="13FE142E"/>
    <w:rsid w:val="1402032F"/>
    <w:rsid w:val="14176463"/>
    <w:rsid w:val="141828DA"/>
    <w:rsid w:val="141B3D98"/>
    <w:rsid w:val="144967F9"/>
    <w:rsid w:val="144B6D3F"/>
    <w:rsid w:val="14522844"/>
    <w:rsid w:val="14546EAA"/>
    <w:rsid w:val="147759A4"/>
    <w:rsid w:val="147A75E5"/>
    <w:rsid w:val="148F78DF"/>
    <w:rsid w:val="14997CF1"/>
    <w:rsid w:val="149A6A37"/>
    <w:rsid w:val="149C7CF0"/>
    <w:rsid w:val="14AE50EE"/>
    <w:rsid w:val="14BC21CE"/>
    <w:rsid w:val="14BE2339"/>
    <w:rsid w:val="14BF4DCE"/>
    <w:rsid w:val="14CA7D93"/>
    <w:rsid w:val="14CD3607"/>
    <w:rsid w:val="14D0508B"/>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84DA1"/>
    <w:rsid w:val="153A274D"/>
    <w:rsid w:val="154B5C10"/>
    <w:rsid w:val="154F205D"/>
    <w:rsid w:val="155800EE"/>
    <w:rsid w:val="155B6178"/>
    <w:rsid w:val="15615E0F"/>
    <w:rsid w:val="156D2843"/>
    <w:rsid w:val="15701AB8"/>
    <w:rsid w:val="15786279"/>
    <w:rsid w:val="158449F0"/>
    <w:rsid w:val="15892652"/>
    <w:rsid w:val="159001BC"/>
    <w:rsid w:val="15965FE2"/>
    <w:rsid w:val="15AA23F1"/>
    <w:rsid w:val="15B1437C"/>
    <w:rsid w:val="15B939D5"/>
    <w:rsid w:val="15C14BE8"/>
    <w:rsid w:val="15D11875"/>
    <w:rsid w:val="15D83B2E"/>
    <w:rsid w:val="15DD70EA"/>
    <w:rsid w:val="15E11AB3"/>
    <w:rsid w:val="15E25134"/>
    <w:rsid w:val="15E8785D"/>
    <w:rsid w:val="15F904C3"/>
    <w:rsid w:val="160025BB"/>
    <w:rsid w:val="16113EF1"/>
    <w:rsid w:val="16116F4B"/>
    <w:rsid w:val="161D05B7"/>
    <w:rsid w:val="162721F5"/>
    <w:rsid w:val="162E280E"/>
    <w:rsid w:val="16357D2B"/>
    <w:rsid w:val="164206BE"/>
    <w:rsid w:val="16446BD7"/>
    <w:rsid w:val="16600954"/>
    <w:rsid w:val="16666123"/>
    <w:rsid w:val="166969D8"/>
    <w:rsid w:val="166A7CB7"/>
    <w:rsid w:val="16734EEE"/>
    <w:rsid w:val="168D7B9A"/>
    <w:rsid w:val="1691331C"/>
    <w:rsid w:val="169572E4"/>
    <w:rsid w:val="16AD5D1C"/>
    <w:rsid w:val="16B0271F"/>
    <w:rsid w:val="16C71296"/>
    <w:rsid w:val="16CB2046"/>
    <w:rsid w:val="16D82413"/>
    <w:rsid w:val="16DC7206"/>
    <w:rsid w:val="16E22B33"/>
    <w:rsid w:val="16EB067A"/>
    <w:rsid w:val="16EE237B"/>
    <w:rsid w:val="16EF1899"/>
    <w:rsid w:val="16F85570"/>
    <w:rsid w:val="16FA58EE"/>
    <w:rsid w:val="17116BE2"/>
    <w:rsid w:val="171311C9"/>
    <w:rsid w:val="171871B8"/>
    <w:rsid w:val="17194D7A"/>
    <w:rsid w:val="171D2CA9"/>
    <w:rsid w:val="171E22DF"/>
    <w:rsid w:val="172078E9"/>
    <w:rsid w:val="172D12A6"/>
    <w:rsid w:val="17315AA4"/>
    <w:rsid w:val="17350283"/>
    <w:rsid w:val="173C1948"/>
    <w:rsid w:val="173F54B5"/>
    <w:rsid w:val="17464B66"/>
    <w:rsid w:val="175B5D81"/>
    <w:rsid w:val="17652D76"/>
    <w:rsid w:val="177742FF"/>
    <w:rsid w:val="177778D5"/>
    <w:rsid w:val="177C4324"/>
    <w:rsid w:val="17875DDC"/>
    <w:rsid w:val="17994872"/>
    <w:rsid w:val="179E41EC"/>
    <w:rsid w:val="17A21D4F"/>
    <w:rsid w:val="17BD7A6D"/>
    <w:rsid w:val="17BF13B3"/>
    <w:rsid w:val="17FE3268"/>
    <w:rsid w:val="18282C45"/>
    <w:rsid w:val="18296936"/>
    <w:rsid w:val="182A5943"/>
    <w:rsid w:val="182C041C"/>
    <w:rsid w:val="183728F3"/>
    <w:rsid w:val="1842704C"/>
    <w:rsid w:val="18504F2D"/>
    <w:rsid w:val="186022DC"/>
    <w:rsid w:val="186453BA"/>
    <w:rsid w:val="18704C74"/>
    <w:rsid w:val="18730E90"/>
    <w:rsid w:val="187F1331"/>
    <w:rsid w:val="18AD026B"/>
    <w:rsid w:val="18B70A2B"/>
    <w:rsid w:val="18CA2202"/>
    <w:rsid w:val="18CA4E8D"/>
    <w:rsid w:val="18D203E7"/>
    <w:rsid w:val="18F33297"/>
    <w:rsid w:val="18FC46F8"/>
    <w:rsid w:val="190E26FF"/>
    <w:rsid w:val="191B1724"/>
    <w:rsid w:val="19254E9B"/>
    <w:rsid w:val="19383C89"/>
    <w:rsid w:val="193E2598"/>
    <w:rsid w:val="19435347"/>
    <w:rsid w:val="194573ED"/>
    <w:rsid w:val="19550543"/>
    <w:rsid w:val="195D29F2"/>
    <w:rsid w:val="196272D4"/>
    <w:rsid w:val="196465FF"/>
    <w:rsid w:val="19682464"/>
    <w:rsid w:val="196B6E10"/>
    <w:rsid w:val="196F5600"/>
    <w:rsid w:val="197004D5"/>
    <w:rsid w:val="198154A5"/>
    <w:rsid w:val="19850C75"/>
    <w:rsid w:val="19856830"/>
    <w:rsid w:val="198A3D94"/>
    <w:rsid w:val="198F27F8"/>
    <w:rsid w:val="199C5ECD"/>
    <w:rsid w:val="19B1121F"/>
    <w:rsid w:val="19C039AF"/>
    <w:rsid w:val="19DC7361"/>
    <w:rsid w:val="19E14ABD"/>
    <w:rsid w:val="19F07148"/>
    <w:rsid w:val="1A031971"/>
    <w:rsid w:val="1A051BC1"/>
    <w:rsid w:val="1A055302"/>
    <w:rsid w:val="1A11011E"/>
    <w:rsid w:val="1A110D84"/>
    <w:rsid w:val="1A2B0F11"/>
    <w:rsid w:val="1A2C43DF"/>
    <w:rsid w:val="1A372CD4"/>
    <w:rsid w:val="1A555BDB"/>
    <w:rsid w:val="1A660755"/>
    <w:rsid w:val="1A703BC4"/>
    <w:rsid w:val="1A7262E8"/>
    <w:rsid w:val="1A7D3881"/>
    <w:rsid w:val="1A882B3D"/>
    <w:rsid w:val="1A896854"/>
    <w:rsid w:val="1A964171"/>
    <w:rsid w:val="1AB162F9"/>
    <w:rsid w:val="1ABE2D20"/>
    <w:rsid w:val="1ACC4B7F"/>
    <w:rsid w:val="1AD34CD1"/>
    <w:rsid w:val="1AD417D6"/>
    <w:rsid w:val="1AE72378"/>
    <w:rsid w:val="1AE7665A"/>
    <w:rsid w:val="1AEB2E88"/>
    <w:rsid w:val="1AEE5B49"/>
    <w:rsid w:val="1AF74A59"/>
    <w:rsid w:val="1B111CB0"/>
    <w:rsid w:val="1B1519B4"/>
    <w:rsid w:val="1B393D9E"/>
    <w:rsid w:val="1B3F0566"/>
    <w:rsid w:val="1B5A0EC6"/>
    <w:rsid w:val="1B5C3BD7"/>
    <w:rsid w:val="1B5F0C8F"/>
    <w:rsid w:val="1B743284"/>
    <w:rsid w:val="1B816F9A"/>
    <w:rsid w:val="1B8175D6"/>
    <w:rsid w:val="1B9467E7"/>
    <w:rsid w:val="1B9C1B61"/>
    <w:rsid w:val="1BA36CEF"/>
    <w:rsid w:val="1BB46A20"/>
    <w:rsid w:val="1BB93222"/>
    <w:rsid w:val="1BBC6239"/>
    <w:rsid w:val="1BBD6973"/>
    <w:rsid w:val="1BC65495"/>
    <w:rsid w:val="1BE24098"/>
    <w:rsid w:val="1BE81B85"/>
    <w:rsid w:val="1BF24814"/>
    <w:rsid w:val="1BF27AE1"/>
    <w:rsid w:val="1BFE2971"/>
    <w:rsid w:val="1C01336C"/>
    <w:rsid w:val="1C021382"/>
    <w:rsid w:val="1C081DD0"/>
    <w:rsid w:val="1C082446"/>
    <w:rsid w:val="1C1669BA"/>
    <w:rsid w:val="1C1C3102"/>
    <w:rsid w:val="1C2230E8"/>
    <w:rsid w:val="1C251540"/>
    <w:rsid w:val="1C2E2C8D"/>
    <w:rsid w:val="1C2E3B22"/>
    <w:rsid w:val="1C3B30F7"/>
    <w:rsid w:val="1C6973CC"/>
    <w:rsid w:val="1C6C7614"/>
    <w:rsid w:val="1C703F20"/>
    <w:rsid w:val="1C795B0B"/>
    <w:rsid w:val="1CB31F52"/>
    <w:rsid w:val="1CC609D9"/>
    <w:rsid w:val="1CDA4CCE"/>
    <w:rsid w:val="1CDC7753"/>
    <w:rsid w:val="1CE6684D"/>
    <w:rsid w:val="1CEC4A0D"/>
    <w:rsid w:val="1D1712A0"/>
    <w:rsid w:val="1D2B7B9F"/>
    <w:rsid w:val="1D305274"/>
    <w:rsid w:val="1D346A87"/>
    <w:rsid w:val="1D3F5714"/>
    <w:rsid w:val="1D433C2D"/>
    <w:rsid w:val="1D466011"/>
    <w:rsid w:val="1D487015"/>
    <w:rsid w:val="1D5133E5"/>
    <w:rsid w:val="1D547E28"/>
    <w:rsid w:val="1D5B57EE"/>
    <w:rsid w:val="1D606070"/>
    <w:rsid w:val="1D655DB6"/>
    <w:rsid w:val="1D980258"/>
    <w:rsid w:val="1D9C1F14"/>
    <w:rsid w:val="1DB113DA"/>
    <w:rsid w:val="1DD637E3"/>
    <w:rsid w:val="1DD918D5"/>
    <w:rsid w:val="1DFB4E0B"/>
    <w:rsid w:val="1E196DA1"/>
    <w:rsid w:val="1E2278F4"/>
    <w:rsid w:val="1E310AAB"/>
    <w:rsid w:val="1E4062B7"/>
    <w:rsid w:val="1E417BB3"/>
    <w:rsid w:val="1E450B99"/>
    <w:rsid w:val="1E4D2825"/>
    <w:rsid w:val="1E5542CC"/>
    <w:rsid w:val="1E64791C"/>
    <w:rsid w:val="1E676F14"/>
    <w:rsid w:val="1E6D6ABE"/>
    <w:rsid w:val="1E755624"/>
    <w:rsid w:val="1E764D52"/>
    <w:rsid w:val="1E8C73FA"/>
    <w:rsid w:val="1E9E3D33"/>
    <w:rsid w:val="1EAA616E"/>
    <w:rsid w:val="1EB15364"/>
    <w:rsid w:val="1EB20356"/>
    <w:rsid w:val="1EBE2AB5"/>
    <w:rsid w:val="1EC13441"/>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AB4045"/>
    <w:rsid w:val="1FBD1356"/>
    <w:rsid w:val="1FBF488C"/>
    <w:rsid w:val="1FC55B54"/>
    <w:rsid w:val="1FCD7450"/>
    <w:rsid w:val="1FCD7675"/>
    <w:rsid w:val="1FD377B1"/>
    <w:rsid w:val="1FDC18BC"/>
    <w:rsid w:val="1FEB4C55"/>
    <w:rsid w:val="1FED7184"/>
    <w:rsid w:val="1FEF77E1"/>
    <w:rsid w:val="1FFC155B"/>
    <w:rsid w:val="20010BD0"/>
    <w:rsid w:val="20053BC1"/>
    <w:rsid w:val="200B266C"/>
    <w:rsid w:val="20137C9A"/>
    <w:rsid w:val="20261774"/>
    <w:rsid w:val="202A3AEF"/>
    <w:rsid w:val="202E6386"/>
    <w:rsid w:val="203A3657"/>
    <w:rsid w:val="203A4D2E"/>
    <w:rsid w:val="204030A0"/>
    <w:rsid w:val="205147DC"/>
    <w:rsid w:val="20534ACB"/>
    <w:rsid w:val="205B78B2"/>
    <w:rsid w:val="205C4184"/>
    <w:rsid w:val="206558CE"/>
    <w:rsid w:val="206901B1"/>
    <w:rsid w:val="206B1575"/>
    <w:rsid w:val="20720E97"/>
    <w:rsid w:val="2078018B"/>
    <w:rsid w:val="209323D8"/>
    <w:rsid w:val="209327AA"/>
    <w:rsid w:val="20990A3E"/>
    <w:rsid w:val="20AD55FF"/>
    <w:rsid w:val="20C12FDC"/>
    <w:rsid w:val="20C55A62"/>
    <w:rsid w:val="20D06ACE"/>
    <w:rsid w:val="20D80D12"/>
    <w:rsid w:val="20EA7590"/>
    <w:rsid w:val="20F502DE"/>
    <w:rsid w:val="210C5D7F"/>
    <w:rsid w:val="211001E9"/>
    <w:rsid w:val="21147D43"/>
    <w:rsid w:val="2119067D"/>
    <w:rsid w:val="211F5020"/>
    <w:rsid w:val="21216F1B"/>
    <w:rsid w:val="2123407B"/>
    <w:rsid w:val="21320B64"/>
    <w:rsid w:val="21370E12"/>
    <w:rsid w:val="21432F9F"/>
    <w:rsid w:val="214F55E4"/>
    <w:rsid w:val="215329E9"/>
    <w:rsid w:val="215A4604"/>
    <w:rsid w:val="217C7ED4"/>
    <w:rsid w:val="21862B07"/>
    <w:rsid w:val="218757BE"/>
    <w:rsid w:val="218A1EF5"/>
    <w:rsid w:val="21973788"/>
    <w:rsid w:val="219A3406"/>
    <w:rsid w:val="21A70D61"/>
    <w:rsid w:val="21B2244C"/>
    <w:rsid w:val="21BB5830"/>
    <w:rsid w:val="21C30EF9"/>
    <w:rsid w:val="21CB7C2D"/>
    <w:rsid w:val="21D956E3"/>
    <w:rsid w:val="21E74352"/>
    <w:rsid w:val="21EB64F4"/>
    <w:rsid w:val="21EF7C0A"/>
    <w:rsid w:val="22146206"/>
    <w:rsid w:val="221551D8"/>
    <w:rsid w:val="224441F7"/>
    <w:rsid w:val="224E7428"/>
    <w:rsid w:val="224F414D"/>
    <w:rsid w:val="2261560B"/>
    <w:rsid w:val="227918A6"/>
    <w:rsid w:val="227F4849"/>
    <w:rsid w:val="2291582E"/>
    <w:rsid w:val="22944164"/>
    <w:rsid w:val="229674ED"/>
    <w:rsid w:val="22AC485D"/>
    <w:rsid w:val="22BB509A"/>
    <w:rsid w:val="22D174A6"/>
    <w:rsid w:val="22D2551D"/>
    <w:rsid w:val="22E67532"/>
    <w:rsid w:val="22F015DA"/>
    <w:rsid w:val="22F80176"/>
    <w:rsid w:val="22FB7188"/>
    <w:rsid w:val="230F16FC"/>
    <w:rsid w:val="231C2E7E"/>
    <w:rsid w:val="232A4048"/>
    <w:rsid w:val="233344E4"/>
    <w:rsid w:val="2337735C"/>
    <w:rsid w:val="23384D61"/>
    <w:rsid w:val="23392A7A"/>
    <w:rsid w:val="23417FB3"/>
    <w:rsid w:val="235336A2"/>
    <w:rsid w:val="23631B13"/>
    <w:rsid w:val="236765E1"/>
    <w:rsid w:val="236905BD"/>
    <w:rsid w:val="23694E38"/>
    <w:rsid w:val="23817C48"/>
    <w:rsid w:val="23850BE5"/>
    <w:rsid w:val="238C513B"/>
    <w:rsid w:val="238E2690"/>
    <w:rsid w:val="239015CD"/>
    <w:rsid w:val="23B946BE"/>
    <w:rsid w:val="23C01773"/>
    <w:rsid w:val="23E71D4D"/>
    <w:rsid w:val="23EF13A7"/>
    <w:rsid w:val="23F70D11"/>
    <w:rsid w:val="23F7720B"/>
    <w:rsid w:val="24086432"/>
    <w:rsid w:val="240F1052"/>
    <w:rsid w:val="241751AE"/>
    <w:rsid w:val="242A187D"/>
    <w:rsid w:val="24310987"/>
    <w:rsid w:val="24322A62"/>
    <w:rsid w:val="244A14DB"/>
    <w:rsid w:val="24554136"/>
    <w:rsid w:val="245C2B3F"/>
    <w:rsid w:val="2460475C"/>
    <w:rsid w:val="24692AC4"/>
    <w:rsid w:val="24817139"/>
    <w:rsid w:val="24836E94"/>
    <w:rsid w:val="24867974"/>
    <w:rsid w:val="248945E2"/>
    <w:rsid w:val="24974A9D"/>
    <w:rsid w:val="24990AB6"/>
    <w:rsid w:val="24A21A55"/>
    <w:rsid w:val="24B369D8"/>
    <w:rsid w:val="24B92458"/>
    <w:rsid w:val="24BC4C03"/>
    <w:rsid w:val="24BC74B9"/>
    <w:rsid w:val="24BE33B8"/>
    <w:rsid w:val="24CA200A"/>
    <w:rsid w:val="24E234FE"/>
    <w:rsid w:val="24E56E32"/>
    <w:rsid w:val="24F86BA3"/>
    <w:rsid w:val="250D3E66"/>
    <w:rsid w:val="252754C5"/>
    <w:rsid w:val="252D0E2C"/>
    <w:rsid w:val="252D3F69"/>
    <w:rsid w:val="253C0FBD"/>
    <w:rsid w:val="2547370A"/>
    <w:rsid w:val="25585795"/>
    <w:rsid w:val="25740BBD"/>
    <w:rsid w:val="25821561"/>
    <w:rsid w:val="25852576"/>
    <w:rsid w:val="25922FF3"/>
    <w:rsid w:val="25955E96"/>
    <w:rsid w:val="25956469"/>
    <w:rsid w:val="259B6E31"/>
    <w:rsid w:val="259E33E1"/>
    <w:rsid w:val="25A05607"/>
    <w:rsid w:val="25A07C39"/>
    <w:rsid w:val="25AF1FA5"/>
    <w:rsid w:val="25B677AD"/>
    <w:rsid w:val="25B904A8"/>
    <w:rsid w:val="25D93662"/>
    <w:rsid w:val="25DA3A68"/>
    <w:rsid w:val="25E06259"/>
    <w:rsid w:val="25E778B8"/>
    <w:rsid w:val="25EC6EE0"/>
    <w:rsid w:val="25FD0304"/>
    <w:rsid w:val="260517C6"/>
    <w:rsid w:val="2606044C"/>
    <w:rsid w:val="26090E12"/>
    <w:rsid w:val="260D6565"/>
    <w:rsid w:val="261447E7"/>
    <w:rsid w:val="26162D47"/>
    <w:rsid w:val="26313BB1"/>
    <w:rsid w:val="26417898"/>
    <w:rsid w:val="26442276"/>
    <w:rsid w:val="26444B63"/>
    <w:rsid w:val="264D7096"/>
    <w:rsid w:val="26552532"/>
    <w:rsid w:val="26564DF2"/>
    <w:rsid w:val="26671EE8"/>
    <w:rsid w:val="2692422E"/>
    <w:rsid w:val="269F41F0"/>
    <w:rsid w:val="269F6889"/>
    <w:rsid w:val="26AD0D8B"/>
    <w:rsid w:val="26BE4AAC"/>
    <w:rsid w:val="26C17431"/>
    <w:rsid w:val="26C27EC9"/>
    <w:rsid w:val="26C545A4"/>
    <w:rsid w:val="26C94300"/>
    <w:rsid w:val="26CD1AFB"/>
    <w:rsid w:val="26DF7D7C"/>
    <w:rsid w:val="26EE1723"/>
    <w:rsid w:val="26F154C7"/>
    <w:rsid w:val="26F60E1B"/>
    <w:rsid w:val="26FD7030"/>
    <w:rsid w:val="26FE0C7F"/>
    <w:rsid w:val="27007370"/>
    <w:rsid w:val="27080E2E"/>
    <w:rsid w:val="270D21C6"/>
    <w:rsid w:val="270D2595"/>
    <w:rsid w:val="27251F41"/>
    <w:rsid w:val="27276FBB"/>
    <w:rsid w:val="27296336"/>
    <w:rsid w:val="273301A4"/>
    <w:rsid w:val="2743251A"/>
    <w:rsid w:val="277E59D2"/>
    <w:rsid w:val="277F5A23"/>
    <w:rsid w:val="279E36DD"/>
    <w:rsid w:val="27A7464B"/>
    <w:rsid w:val="27C37DE6"/>
    <w:rsid w:val="27EA2797"/>
    <w:rsid w:val="28011EB5"/>
    <w:rsid w:val="28092464"/>
    <w:rsid w:val="2810409B"/>
    <w:rsid w:val="281725D1"/>
    <w:rsid w:val="281C2044"/>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D91F7D"/>
    <w:rsid w:val="28EF11D1"/>
    <w:rsid w:val="290566C3"/>
    <w:rsid w:val="292774FE"/>
    <w:rsid w:val="292B6715"/>
    <w:rsid w:val="29493462"/>
    <w:rsid w:val="295C2D51"/>
    <w:rsid w:val="29A81CD2"/>
    <w:rsid w:val="29A90232"/>
    <w:rsid w:val="29A92B3A"/>
    <w:rsid w:val="29C804D1"/>
    <w:rsid w:val="29CB1410"/>
    <w:rsid w:val="29D0617D"/>
    <w:rsid w:val="29D617AC"/>
    <w:rsid w:val="29D84ABC"/>
    <w:rsid w:val="29F5410D"/>
    <w:rsid w:val="29FD23A5"/>
    <w:rsid w:val="2A091D0A"/>
    <w:rsid w:val="2A0D39C3"/>
    <w:rsid w:val="2A1503FE"/>
    <w:rsid w:val="2A194990"/>
    <w:rsid w:val="2A215E5E"/>
    <w:rsid w:val="2A252C4C"/>
    <w:rsid w:val="2A305C24"/>
    <w:rsid w:val="2A3E7B5A"/>
    <w:rsid w:val="2A516BAC"/>
    <w:rsid w:val="2A6B006B"/>
    <w:rsid w:val="2A6B55C6"/>
    <w:rsid w:val="2A7E61F0"/>
    <w:rsid w:val="2A8475EE"/>
    <w:rsid w:val="2A951C8C"/>
    <w:rsid w:val="2A953E86"/>
    <w:rsid w:val="2A9B26F1"/>
    <w:rsid w:val="2AA81E53"/>
    <w:rsid w:val="2AA82B74"/>
    <w:rsid w:val="2AAB3B9C"/>
    <w:rsid w:val="2AB25451"/>
    <w:rsid w:val="2AB8454A"/>
    <w:rsid w:val="2AC063B7"/>
    <w:rsid w:val="2ACB5B48"/>
    <w:rsid w:val="2ACD0874"/>
    <w:rsid w:val="2AD267B8"/>
    <w:rsid w:val="2AD8059C"/>
    <w:rsid w:val="2AD96DF8"/>
    <w:rsid w:val="2B0A5818"/>
    <w:rsid w:val="2B0D737C"/>
    <w:rsid w:val="2B0F004D"/>
    <w:rsid w:val="2B154A20"/>
    <w:rsid w:val="2B1B5BFD"/>
    <w:rsid w:val="2B20017E"/>
    <w:rsid w:val="2B300E60"/>
    <w:rsid w:val="2B380E7B"/>
    <w:rsid w:val="2B574357"/>
    <w:rsid w:val="2B5F5BE1"/>
    <w:rsid w:val="2B6638DE"/>
    <w:rsid w:val="2B691061"/>
    <w:rsid w:val="2B7B4586"/>
    <w:rsid w:val="2B843D59"/>
    <w:rsid w:val="2B84406F"/>
    <w:rsid w:val="2B853CDF"/>
    <w:rsid w:val="2B8B518F"/>
    <w:rsid w:val="2B8F58E2"/>
    <w:rsid w:val="2BA07FAD"/>
    <w:rsid w:val="2BAA3280"/>
    <w:rsid w:val="2BB3259C"/>
    <w:rsid w:val="2BBF0DDA"/>
    <w:rsid w:val="2BC674EF"/>
    <w:rsid w:val="2BE5055C"/>
    <w:rsid w:val="2BED5A7C"/>
    <w:rsid w:val="2BF50481"/>
    <w:rsid w:val="2BF858F4"/>
    <w:rsid w:val="2BFC3C2B"/>
    <w:rsid w:val="2BFC6315"/>
    <w:rsid w:val="2BFD5564"/>
    <w:rsid w:val="2C054251"/>
    <w:rsid w:val="2C2E0403"/>
    <w:rsid w:val="2C4C1107"/>
    <w:rsid w:val="2C785C6A"/>
    <w:rsid w:val="2C7C5CC5"/>
    <w:rsid w:val="2C811341"/>
    <w:rsid w:val="2C823F4E"/>
    <w:rsid w:val="2C9D3080"/>
    <w:rsid w:val="2CA44349"/>
    <w:rsid w:val="2CAA70F0"/>
    <w:rsid w:val="2CAD067B"/>
    <w:rsid w:val="2CBD69A8"/>
    <w:rsid w:val="2CEC0EBC"/>
    <w:rsid w:val="2CF30447"/>
    <w:rsid w:val="2CFC1060"/>
    <w:rsid w:val="2CFD0FC0"/>
    <w:rsid w:val="2D050EBF"/>
    <w:rsid w:val="2D2009C3"/>
    <w:rsid w:val="2D2A25A1"/>
    <w:rsid w:val="2D2A51E4"/>
    <w:rsid w:val="2D3059BC"/>
    <w:rsid w:val="2D4D17E5"/>
    <w:rsid w:val="2D5A2817"/>
    <w:rsid w:val="2D6F58D8"/>
    <w:rsid w:val="2D892B5C"/>
    <w:rsid w:val="2D957091"/>
    <w:rsid w:val="2DAF27D1"/>
    <w:rsid w:val="2DB328B9"/>
    <w:rsid w:val="2DBD5E3A"/>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BF1E9B"/>
    <w:rsid w:val="2EC0096E"/>
    <w:rsid w:val="2ECA710C"/>
    <w:rsid w:val="2ED4404D"/>
    <w:rsid w:val="2ED50475"/>
    <w:rsid w:val="2ED729FB"/>
    <w:rsid w:val="2EE365C8"/>
    <w:rsid w:val="2EED6D43"/>
    <w:rsid w:val="2EF1758E"/>
    <w:rsid w:val="2F090AB4"/>
    <w:rsid w:val="2F13732E"/>
    <w:rsid w:val="2F2F2D16"/>
    <w:rsid w:val="2F336BA3"/>
    <w:rsid w:val="2F5621A6"/>
    <w:rsid w:val="2F66411F"/>
    <w:rsid w:val="2F684F7D"/>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365256"/>
    <w:rsid w:val="30427218"/>
    <w:rsid w:val="304D2D36"/>
    <w:rsid w:val="304D5CB2"/>
    <w:rsid w:val="305001C5"/>
    <w:rsid w:val="3055125A"/>
    <w:rsid w:val="30664FDE"/>
    <w:rsid w:val="308A4247"/>
    <w:rsid w:val="309D4A0F"/>
    <w:rsid w:val="309E4811"/>
    <w:rsid w:val="30A00CB5"/>
    <w:rsid w:val="30AF5F22"/>
    <w:rsid w:val="30C14186"/>
    <w:rsid w:val="30C635C3"/>
    <w:rsid w:val="30D71496"/>
    <w:rsid w:val="30DC0703"/>
    <w:rsid w:val="30E73B0D"/>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6D261F"/>
    <w:rsid w:val="316F14FD"/>
    <w:rsid w:val="3177458F"/>
    <w:rsid w:val="3189708E"/>
    <w:rsid w:val="318B1F3D"/>
    <w:rsid w:val="3193741E"/>
    <w:rsid w:val="3194005A"/>
    <w:rsid w:val="319434F7"/>
    <w:rsid w:val="3194510B"/>
    <w:rsid w:val="31994D00"/>
    <w:rsid w:val="31A65E57"/>
    <w:rsid w:val="31AD16EF"/>
    <w:rsid w:val="31AE660C"/>
    <w:rsid w:val="31B05A1F"/>
    <w:rsid w:val="31B17EF2"/>
    <w:rsid w:val="31D54984"/>
    <w:rsid w:val="31E155AC"/>
    <w:rsid w:val="31E361FB"/>
    <w:rsid w:val="31FC35FB"/>
    <w:rsid w:val="32010D04"/>
    <w:rsid w:val="3202665F"/>
    <w:rsid w:val="320A7836"/>
    <w:rsid w:val="32186725"/>
    <w:rsid w:val="323C3FDE"/>
    <w:rsid w:val="324163CA"/>
    <w:rsid w:val="32427A9A"/>
    <w:rsid w:val="32574FD8"/>
    <w:rsid w:val="325C547C"/>
    <w:rsid w:val="32646DB1"/>
    <w:rsid w:val="326C29F6"/>
    <w:rsid w:val="327B3D21"/>
    <w:rsid w:val="327C3888"/>
    <w:rsid w:val="327E1445"/>
    <w:rsid w:val="3286221A"/>
    <w:rsid w:val="329338D7"/>
    <w:rsid w:val="32945DAC"/>
    <w:rsid w:val="329B3155"/>
    <w:rsid w:val="329C631F"/>
    <w:rsid w:val="32A24DE0"/>
    <w:rsid w:val="32AB0897"/>
    <w:rsid w:val="32AE266E"/>
    <w:rsid w:val="32B638BE"/>
    <w:rsid w:val="32CB3A84"/>
    <w:rsid w:val="32CD7010"/>
    <w:rsid w:val="32CE45BC"/>
    <w:rsid w:val="32D9201A"/>
    <w:rsid w:val="32DD3543"/>
    <w:rsid w:val="32E42D0F"/>
    <w:rsid w:val="32E779A4"/>
    <w:rsid w:val="330D4D94"/>
    <w:rsid w:val="33354DD5"/>
    <w:rsid w:val="33435E16"/>
    <w:rsid w:val="335F11B3"/>
    <w:rsid w:val="337B12FB"/>
    <w:rsid w:val="33846435"/>
    <w:rsid w:val="33992851"/>
    <w:rsid w:val="339C5454"/>
    <w:rsid w:val="33A258FF"/>
    <w:rsid w:val="33AE7DAC"/>
    <w:rsid w:val="33AE7FB3"/>
    <w:rsid w:val="33B1053F"/>
    <w:rsid w:val="33BA507F"/>
    <w:rsid w:val="33D354DF"/>
    <w:rsid w:val="33DD1D83"/>
    <w:rsid w:val="33DF6F7A"/>
    <w:rsid w:val="33E42EF1"/>
    <w:rsid w:val="33F614AE"/>
    <w:rsid w:val="33FC5F9C"/>
    <w:rsid w:val="34005D95"/>
    <w:rsid w:val="340370F4"/>
    <w:rsid w:val="34173060"/>
    <w:rsid w:val="342451AA"/>
    <w:rsid w:val="3425323C"/>
    <w:rsid w:val="34262A2B"/>
    <w:rsid w:val="342E5EA7"/>
    <w:rsid w:val="343E0BAC"/>
    <w:rsid w:val="34474FF1"/>
    <w:rsid w:val="344961AE"/>
    <w:rsid w:val="344B3651"/>
    <w:rsid w:val="34555269"/>
    <w:rsid w:val="346B6657"/>
    <w:rsid w:val="34797C3D"/>
    <w:rsid w:val="34827541"/>
    <w:rsid w:val="348D5209"/>
    <w:rsid w:val="34953EB2"/>
    <w:rsid w:val="34B63281"/>
    <w:rsid w:val="34C105B0"/>
    <w:rsid w:val="34CA39B2"/>
    <w:rsid w:val="34D564C3"/>
    <w:rsid w:val="34DC79C0"/>
    <w:rsid w:val="34E32E56"/>
    <w:rsid w:val="34EC4B86"/>
    <w:rsid w:val="351321CB"/>
    <w:rsid w:val="351B4997"/>
    <w:rsid w:val="35316542"/>
    <w:rsid w:val="35367A72"/>
    <w:rsid w:val="355171EC"/>
    <w:rsid w:val="3558034A"/>
    <w:rsid w:val="355E299F"/>
    <w:rsid w:val="355E6D49"/>
    <w:rsid w:val="35671EE7"/>
    <w:rsid w:val="3572663B"/>
    <w:rsid w:val="357D4C50"/>
    <w:rsid w:val="3591419B"/>
    <w:rsid w:val="35925B04"/>
    <w:rsid w:val="35963717"/>
    <w:rsid w:val="35AB2A03"/>
    <w:rsid w:val="35AF3549"/>
    <w:rsid w:val="35C76B42"/>
    <w:rsid w:val="35CA49CB"/>
    <w:rsid w:val="35DA5213"/>
    <w:rsid w:val="35E542AE"/>
    <w:rsid w:val="35EE7B1B"/>
    <w:rsid w:val="35F65FAD"/>
    <w:rsid w:val="36202050"/>
    <w:rsid w:val="364A7C84"/>
    <w:rsid w:val="36605016"/>
    <w:rsid w:val="366B7A53"/>
    <w:rsid w:val="366D649A"/>
    <w:rsid w:val="368259EE"/>
    <w:rsid w:val="3689301E"/>
    <w:rsid w:val="369C7E5C"/>
    <w:rsid w:val="36A22949"/>
    <w:rsid w:val="36B523AB"/>
    <w:rsid w:val="36BD5820"/>
    <w:rsid w:val="36C76D40"/>
    <w:rsid w:val="36D75131"/>
    <w:rsid w:val="36F44E23"/>
    <w:rsid w:val="371D2966"/>
    <w:rsid w:val="373062E8"/>
    <w:rsid w:val="375C1AC9"/>
    <w:rsid w:val="37697349"/>
    <w:rsid w:val="37770231"/>
    <w:rsid w:val="37785098"/>
    <w:rsid w:val="377A2F51"/>
    <w:rsid w:val="377E7331"/>
    <w:rsid w:val="379038C8"/>
    <w:rsid w:val="379B1E6C"/>
    <w:rsid w:val="379D002A"/>
    <w:rsid w:val="37A6234C"/>
    <w:rsid w:val="37A907BA"/>
    <w:rsid w:val="37AF1535"/>
    <w:rsid w:val="37B13885"/>
    <w:rsid w:val="37CA63F2"/>
    <w:rsid w:val="37CB57CA"/>
    <w:rsid w:val="37D008E0"/>
    <w:rsid w:val="37D337D1"/>
    <w:rsid w:val="37DD56C2"/>
    <w:rsid w:val="37DE20F8"/>
    <w:rsid w:val="37E731EB"/>
    <w:rsid w:val="37F16302"/>
    <w:rsid w:val="38004D17"/>
    <w:rsid w:val="381B6812"/>
    <w:rsid w:val="38253136"/>
    <w:rsid w:val="38372548"/>
    <w:rsid w:val="384570A4"/>
    <w:rsid w:val="38467A04"/>
    <w:rsid w:val="386B3F4B"/>
    <w:rsid w:val="38747E42"/>
    <w:rsid w:val="38781C56"/>
    <w:rsid w:val="38931748"/>
    <w:rsid w:val="38A140CE"/>
    <w:rsid w:val="38B54C1A"/>
    <w:rsid w:val="38BB4753"/>
    <w:rsid w:val="38C30240"/>
    <w:rsid w:val="38C8796D"/>
    <w:rsid w:val="38CF65F7"/>
    <w:rsid w:val="38D113BF"/>
    <w:rsid w:val="38D30895"/>
    <w:rsid w:val="38D5511D"/>
    <w:rsid w:val="38DB4DD5"/>
    <w:rsid w:val="38E52E0C"/>
    <w:rsid w:val="38E80213"/>
    <w:rsid w:val="38E95212"/>
    <w:rsid w:val="38F3691D"/>
    <w:rsid w:val="3909408E"/>
    <w:rsid w:val="391C1C7A"/>
    <w:rsid w:val="39465968"/>
    <w:rsid w:val="394D1A3B"/>
    <w:rsid w:val="394F4D33"/>
    <w:rsid w:val="39514262"/>
    <w:rsid w:val="395F496C"/>
    <w:rsid w:val="39600E80"/>
    <w:rsid w:val="39803383"/>
    <w:rsid w:val="399A429F"/>
    <w:rsid w:val="399B72BC"/>
    <w:rsid w:val="39A73391"/>
    <w:rsid w:val="39A95A0D"/>
    <w:rsid w:val="39C70EC1"/>
    <w:rsid w:val="39D80C94"/>
    <w:rsid w:val="39E779C9"/>
    <w:rsid w:val="3A01261A"/>
    <w:rsid w:val="3A190439"/>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71752"/>
    <w:rsid w:val="3AAE56BF"/>
    <w:rsid w:val="3AB243A2"/>
    <w:rsid w:val="3AD9763C"/>
    <w:rsid w:val="3AEA7C0F"/>
    <w:rsid w:val="3AEC01AD"/>
    <w:rsid w:val="3B002E8F"/>
    <w:rsid w:val="3B0A7991"/>
    <w:rsid w:val="3B100A85"/>
    <w:rsid w:val="3B107BEE"/>
    <w:rsid w:val="3B18283A"/>
    <w:rsid w:val="3B336F2F"/>
    <w:rsid w:val="3B567019"/>
    <w:rsid w:val="3B5C777B"/>
    <w:rsid w:val="3B691338"/>
    <w:rsid w:val="3B6B36CF"/>
    <w:rsid w:val="3B7076AC"/>
    <w:rsid w:val="3B7579C8"/>
    <w:rsid w:val="3B96787F"/>
    <w:rsid w:val="3BA60160"/>
    <w:rsid w:val="3BB46CD1"/>
    <w:rsid w:val="3BB6128D"/>
    <w:rsid w:val="3BD11411"/>
    <w:rsid w:val="3BD837A5"/>
    <w:rsid w:val="3BE05196"/>
    <w:rsid w:val="3BED4242"/>
    <w:rsid w:val="3BFC12CF"/>
    <w:rsid w:val="3C0000A6"/>
    <w:rsid w:val="3C173EBE"/>
    <w:rsid w:val="3C211702"/>
    <w:rsid w:val="3C2E7AA2"/>
    <w:rsid w:val="3C302F03"/>
    <w:rsid w:val="3C317DDD"/>
    <w:rsid w:val="3C336F35"/>
    <w:rsid w:val="3C3D3F09"/>
    <w:rsid w:val="3C457CDF"/>
    <w:rsid w:val="3C60369F"/>
    <w:rsid w:val="3C61573F"/>
    <w:rsid w:val="3C6E3E60"/>
    <w:rsid w:val="3C742BEB"/>
    <w:rsid w:val="3C744F7F"/>
    <w:rsid w:val="3C857740"/>
    <w:rsid w:val="3C8E02B7"/>
    <w:rsid w:val="3CA732CA"/>
    <w:rsid w:val="3CB004C5"/>
    <w:rsid w:val="3CB35047"/>
    <w:rsid w:val="3CB47F7E"/>
    <w:rsid w:val="3CB603EF"/>
    <w:rsid w:val="3CD00E00"/>
    <w:rsid w:val="3CD82621"/>
    <w:rsid w:val="3CDD69B2"/>
    <w:rsid w:val="3CEA693F"/>
    <w:rsid w:val="3CEF1648"/>
    <w:rsid w:val="3D015E10"/>
    <w:rsid w:val="3D0D0F5F"/>
    <w:rsid w:val="3D0D55A5"/>
    <w:rsid w:val="3D187CD8"/>
    <w:rsid w:val="3D324998"/>
    <w:rsid w:val="3D354C10"/>
    <w:rsid w:val="3D475AFB"/>
    <w:rsid w:val="3D4A4707"/>
    <w:rsid w:val="3D4C43AF"/>
    <w:rsid w:val="3D502422"/>
    <w:rsid w:val="3D5275CE"/>
    <w:rsid w:val="3D5404DD"/>
    <w:rsid w:val="3D5941EB"/>
    <w:rsid w:val="3D5C2503"/>
    <w:rsid w:val="3D6341E4"/>
    <w:rsid w:val="3D6A48AA"/>
    <w:rsid w:val="3D6D23E3"/>
    <w:rsid w:val="3D7B064A"/>
    <w:rsid w:val="3D7C1281"/>
    <w:rsid w:val="3D821B83"/>
    <w:rsid w:val="3D8D1DDC"/>
    <w:rsid w:val="3D8E6A74"/>
    <w:rsid w:val="3D995C7E"/>
    <w:rsid w:val="3DA61EAB"/>
    <w:rsid w:val="3DB60CC1"/>
    <w:rsid w:val="3DBA29C6"/>
    <w:rsid w:val="3DCE2E82"/>
    <w:rsid w:val="3DD2333F"/>
    <w:rsid w:val="3DEC316F"/>
    <w:rsid w:val="3E000E38"/>
    <w:rsid w:val="3E037731"/>
    <w:rsid w:val="3E0B7563"/>
    <w:rsid w:val="3E0F09D9"/>
    <w:rsid w:val="3E1646C1"/>
    <w:rsid w:val="3E247488"/>
    <w:rsid w:val="3E305EE4"/>
    <w:rsid w:val="3E3248D0"/>
    <w:rsid w:val="3E360DF6"/>
    <w:rsid w:val="3E3D25F5"/>
    <w:rsid w:val="3E4E6762"/>
    <w:rsid w:val="3E536D63"/>
    <w:rsid w:val="3E5F5CBB"/>
    <w:rsid w:val="3E616BAF"/>
    <w:rsid w:val="3E6D2C21"/>
    <w:rsid w:val="3E70166E"/>
    <w:rsid w:val="3E752011"/>
    <w:rsid w:val="3E777661"/>
    <w:rsid w:val="3E8270FA"/>
    <w:rsid w:val="3E8D543F"/>
    <w:rsid w:val="3E8E2505"/>
    <w:rsid w:val="3E8F0C9A"/>
    <w:rsid w:val="3E9953AC"/>
    <w:rsid w:val="3E9D3F84"/>
    <w:rsid w:val="3E9F3605"/>
    <w:rsid w:val="3EA80B63"/>
    <w:rsid w:val="3EAF142E"/>
    <w:rsid w:val="3EB41061"/>
    <w:rsid w:val="3ECE3724"/>
    <w:rsid w:val="3ED14F5F"/>
    <w:rsid w:val="3EEC1C8D"/>
    <w:rsid w:val="3EF15A07"/>
    <w:rsid w:val="3EFC4AE4"/>
    <w:rsid w:val="3F0C0C5D"/>
    <w:rsid w:val="3F152EE5"/>
    <w:rsid w:val="3F1C492B"/>
    <w:rsid w:val="3F2940A4"/>
    <w:rsid w:val="3F310E2B"/>
    <w:rsid w:val="3F3E5B85"/>
    <w:rsid w:val="3F4D19AF"/>
    <w:rsid w:val="3F691A99"/>
    <w:rsid w:val="3F814700"/>
    <w:rsid w:val="3F837DDF"/>
    <w:rsid w:val="3F8B7DD4"/>
    <w:rsid w:val="3F901403"/>
    <w:rsid w:val="3FA21405"/>
    <w:rsid w:val="3FA67914"/>
    <w:rsid w:val="3FA96E5D"/>
    <w:rsid w:val="3FC04528"/>
    <w:rsid w:val="3FC379D7"/>
    <w:rsid w:val="3FCB012B"/>
    <w:rsid w:val="3FCB2D5B"/>
    <w:rsid w:val="3FD00447"/>
    <w:rsid w:val="3FD201AD"/>
    <w:rsid w:val="3FD27B2E"/>
    <w:rsid w:val="3FE71238"/>
    <w:rsid w:val="3FEE1DE8"/>
    <w:rsid w:val="3FFE5EFF"/>
    <w:rsid w:val="40171145"/>
    <w:rsid w:val="402104DC"/>
    <w:rsid w:val="402D3537"/>
    <w:rsid w:val="403075F2"/>
    <w:rsid w:val="40395203"/>
    <w:rsid w:val="40480E8F"/>
    <w:rsid w:val="404D32CE"/>
    <w:rsid w:val="40505868"/>
    <w:rsid w:val="40662C29"/>
    <w:rsid w:val="40742438"/>
    <w:rsid w:val="40791098"/>
    <w:rsid w:val="40932E75"/>
    <w:rsid w:val="409865C2"/>
    <w:rsid w:val="409F0717"/>
    <w:rsid w:val="40A70377"/>
    <w:rsid w:val="40A97C8F"/>
    <w:rsid w:val="40BC5D67"/>
    <w:rsid w:val="40CA2A6E"/>
    <w:rsid w:val="40CC7CA3"/>
    <w:rsid w:val="40D775A2"/>
    <w:rsid w:val="40DC23A0"/>
    <w:rsid w:val="40EE33BE"/>
    <w:rsid w:val="40F436BC"/>
    <w:rsid w:val="40F61783"/>
    <w:rsid w:val="4100601D"/>
    <w:rsid w:val="410D75D5"/>
    <w:rsid w:val="411A76EB"/>
    <w:rsid w:val="411E3000"/>
    <w:rsid w:val="41402C24"/>
    <w:rsid w:val="414E7345"/>
    <w:rsid w:val="41546D3E"/>
    <w:rsid w:val="41591FEE"/>
    <w:rsid w:val="41696F7F"/>
    <w:rsid w:val="416A086A"/>
    <w:rsid w:val="416C21F9"/>
    <w:rsid w:val="417240B9"/>
    <w:rsid w:val="417C0D06"/>
    <w:rsid w:val="417C577C"/>
    <w:rsid w:val="418455DA"/>
    <w:rsid w:val="418B25AA"/>
    <w:rsid w:val="418D33B3"/>
    <w:rsid w:val="418E56CE"/>
    <w:rsid w:val="419032ED"/>
    <w:rsid w:val="41925E9B"/>
    <w:rsid w:val="419B0F19"/>
    <w:rsid w:val="419B1BC4"/>
    <w:rsid w:val="419D5169"/>
    <w:rsid w:val="419D7C05"/>
    <w:rsid w:val="41A33A51"/>
    <w:rsid w:val="41A46863"/>
    <w:rsid w:val="41A739EA"/>
    <w:rsid w:val="41B3371C"/>
    <w:rsid w:val="41B4302C"/>
    <w:rsid w:val="41CC67E1"/>
    <w:rsid w:val="41DA3C01"/>
    <w:rsid w:val="41E3266D"/>
    <w:rsid w:val="41E5665C"/>
    <w:rsid w:val="41E70FD1"/>
    <w:rsid w:val="41F604FA"/>
    <w:rsid w:val="41FE6085"/>
    <w:rsid w:val="420068F9"/>
    <w:rsid w:val="42013C9E"/>
    <w:rsid w:val="420F24CA"/>
    <w:rsid w:val="421C0994"/>
    <w:rsid w:val="42475B19"/>
    <w:rsid w:val="424F02B6"/>
    <w:rsid w:val="42523372"/>
    <w:rsid w:val="42672C44"/>
    <w:rsid w:val="42683145"/>
    <w:rsid w:val="427133C0"/>
    <w:rsid w:val="42715180"/>
    <w:rsid w:val="4277762F"/>
    <w:rsid w:val="428E0BFE"/>
    <w:rsid w:val="429D7D7D"/>
    <w:rsid w:val="42A861D3"/>
    <w:rsid w:val="42B06FDD"/>
    <w:rsid w:val="42B23DF0"/>
    <w:rsid w:val="42B45768"/>
    <w:rsid w:val="42D60862"/>
    <w:rsid w:val="42DD46A8"/>
    <w:rsid w:val="42DD7341"/>
    <w:rsid w:val="42E637C3"/>
    <w:rsid w:val="42E90AC3"/>
    <w:rsid w:val="42FD1410"/>
    <w:rsid w:val="430C488E"/>
    <w:rsid w:val="43184FA0"/>
    <w:rsid w:val="431F563A"/>
    <w:rsid w:val="432151DF"/>
    <w:rsid w:val="43277346"/>
    <w:rsid w:val="432A3E0D"/>
    <w:rsid w:val="432D0CD2"/>
    <w:rsid w:val="4338356A"/>
    <w:rsid w:val="433E24EE"/>
    <w:rsid w:val="43412F21"/>
    <w:rsid w:val="4348259E"/>
    <w:rsid w:val="434C0977"/>
    <w:rsid w:val="434D5EB2"/>
    <w:rsid w:val="43604502"/>
    <w:rsid w:val="436D2D59"/>
    <w:rsid w:val="43705840"/>
    <w:rsid w:val="437E6752"/>
    <w:rsid w:val="43803823"/>
    <w:rsid w:val="438369F4"/>
    <w:rsid w:val="43885FA8"/>
    <w:rsid w:val="438D2FF7"/>
    <w:rsid w:val="43972914"/>
    <w:rsid w:val="43AF6845"/>
    <w:rsid w:val="43C54950"/>
    <w:rsid w:val="43CC31B4"/>
    <w:rsid w:val="43CC79E5"/>
    <w:rsid w:val="43D44FF8"/>
    <w:rsid w:val="441557E3"/>
    <w:rsid w:val="44226F3F"/>
    <w:rsid w:val="4425659D"/>
    <w:rsid w:val="44286453"/>
    <w:rsid w:val="44371554"/>
    <w:rsid w:val="444B4817"/>
    <w:rsid w:val="444C54FC"/>
    <w:rsid w:val="444F2685"/>
    <w:rsid w:val="445451D4"/>
    <w:rsid w:val="44615639"/>
    <w:rsid w:val="44762FC6"/>
    <w:rsid w:val="44807EEA"/>
    <w:rsid w:val="4488431A"/>
    <w:rsid w:val="448F5706"/>
    <w:rsid w:val="44944331"/>
    <w:rsid w:val="449A539D"/>
    <w:rsid w:val="44A538D4"/>
    <w:rsid w:val="44B05905"/>
    <w:rsid w:val="44B52F8D"/>
    <w:rsid w:val="44B67F0B"/>
    <w:rsid w:val="44BB1103"/>
    <w:rsid w:val="44E81308"/>
    <w:rsid w:val="451317C4"/>
    <w:rsid w:val="45146D13"/>
    <w:rsid w:val="45252A65"/>
    <w:rsid w:val="45575AD5"/>
    <w:rsid w:val="455907EE"/>
    <w:rsid w:val="456B0823"/>
    <w:rsid w:val="457E0115"/>
    <w:rsid w:val="459B774E"/>
    <w:rsid w:val="45B62EC6"/>
    <w:rsid w:val="45B72AB1"/>
    <w:rsid w:val="45BA079F"/>
    <w:rsid w:val="45C13698"/>
    <w:rsid w:val="45C93D8C"/>
    <w:rsid w:val="45CC0EF3"/>
    <w:rsid w:val="45CC763D"/>
    <w:rsid w:val="45CF5AD4"/>
    <w:rsid w:val="45D61E17"/>
    <w:rsid w:val="45DD06D9"/>
    <w:rsid w:val="460D21F2"/>
    <w:rsid w:val="460E0469"/>
    <w:rsid w:val="460E0A15"/>
    <w:rsid w:val="4611445F"/>
    <w:rsid w:val="46146FE1"/>
    <w:rsid w:val="461909E8"/>
    <w:rsid w:val="462E79C9"/>
    <w:rsid w:val="4635298E"/>
    <w:rsid w:val="46355D58"/>
    <w:rsid w:val="463C04FA"/>
    <w:rsid w:val="464050BB"/>
    <w:rsid w:val="46405C21"/>
    <w:rsid w:val="46561BD8"/>
    <w:rsid w:val="465C4E3B"/>
    <w:rsid w:val="466B6702"/>
    <w:rsid w:val="466F037A"/>
    <w:rsid w:val="46725A79"/>
    <w:rsid w:val="467737E1"/>
    <w:rsid w:val="467C180C"/>
    <w:rsid w:val="468B577B"/>
    <w:rsid w:val="46A075FA"/>
    <w:rsid w:val="46A359DC"/>
    <w:rsid w:val="46A54FB3"/>
    <w:rsid w:val="46C826C3"/>
    <w:rsid w:val="46D040D1"/>
    <w:rsid w:val="46D47B0B"/>
    <w:rsid w:val="46D7121E"/>
    <w:rsid w:val="46E07671"/>
    <w:rsid w:val="46F84FBA"/>
    <w:rsid w:val="46FF57CE"/>
    <w:rsid w:val="47154F60"/>
    <w:rsid w:val="47162E3C"/>
    <w:rsid w:val="47476572"/>
    <w:rsid w:val="47700BCB"/>
    <w:rsid w:val="47727F60"/>
    <w:rsid w:val="47732DB6"/>
    <w:rsid w:val="47763121"/>
    <w:rsid w:val="478601BF"/>
    <w:rsid w:val="47B41393"/>
    <w:rsid w:val="47B94CE5"/>
    <w:rsid w:val="47C254B8"/>
    <w:rsid w:val="47DF082A"/>
    <w:rsid w:val="47EB5003"/>
    <w:rsid w:val="48081128"/>
    <w:rsid w:val="480D3EC3"/>
    <w:rsid w:val="48144FED"/>
    <w:rsid w:val="481E0B19"/>
    <w:rsid w:val="482B26B0"/>
    <w:rsid w:val="483A31DC"/>
    <w:rsid w:val="483B02D3"/>
    <w:rsid w:val="48440530"/>
    <w:rsid w:val="484715CC"/>
    <w:rsid w:val="484F6870"/>
    <w:rsid w:val="485D476D"/>
    <w:rsid w:val="485D616F"/>
    <w:rsid w:val="4873370F"/>
    <w:rsid w:val="487C4980"/>
    <w:rsid w:val="48942C25"/>
    <w:rsid w:val="4898666C"/>
    <w:rsid w:val="489B75DE"/>
    <w:rsid w:val="489C2DFD"/>
    <w:rsid w:val="489F44D2"/>
    <w:rsid w:val="48A82C22"/>
    <w:rsid w:val="48A85054"/>
    <w:rsid w:val="48AB4379"/>
    <w:rsid w:val="48B5305A"/>
    <w:rsid w:val="48B63FE7"/>
    <w:rsid w:val="48C71061"/>
    <w:rsid w:val="48CC7D6E"/>
    <w:rsid w:val="48DD5408"/>
    <w:rsid w:val="48EB5A5C"/>
    <w:rsid w:val="4903538A"/>
    <w:rsid w:val="490B579F"/>
    <w:rsid w:val="491F0291"/>
    <w:rsid w:val="4920208E"/>
    <w:rsid w:val="492A1C6E"/>
    <w:rsid w:val="492B563D"/>
    <w:rsid w:val="492C7D33"/>
    <w:rsid w:val="4938162F"/>
    <w:rsid w:val="493A79B5"/>
    <w:rsid w:val="495061AF"/>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220874"/>
    <w:rsid w:val="4A3546EB"/>
    <w:rsid w:val="4A443774"/>
    <w:rsid w:val="4A4A48A6"/>
    <w:rsid w:val="4A506B41"/>
    <w:rsid w:val="4A524812"/>
    <w:rsid w:val="4A526073"/>
    <w:rsid w:val="4A56215E"/>
    <w:rsid w:val="4A5D4A40"/>
    <w:rsid w:val="4A63534F"/>
    <w:rsid w:val="4A650700"/>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3E3461"/>
    <w:rsid w:val="4B411E5A"/>
    <w:rsid w:val="4B413D26"/>
    <w:rsid w:val="4B6B6050"/>
    <w:rsid w:val="4B6F51B5"/>
    <w:rsid w:val="4B8B446D"/>
    <w:rsid w:val="4B8F6756"/>
    <w:rsid w:val="4BA324C2"/>
    <w:rsid w:val="4BB317A2"/>
    <w:rsid w:val="4BB560B3"/>
    <w:rsid w:val="4BC27F8D"/>
    <w:rsid w:val="4BC94C3B"/>
    <w:rsid w:val="4BC97047"/>
    <w:rsid w:val="4BCC6CCE"/>
    <w:rsid w:val="4BE44E6C"/>
    <w:rsid w:val="4BF446B8"/>
    <w:rsid w:val="4C003E2A"/>
    <w:rsid w:val="4C061338"/>
    <w:rsid w:val="4C061EF7"/>
    <w:rsid w:val="4C0B535F"/>
    <w:rsid w:val="4C0E0CF8"/>
    <w:rsid w:val="4C323172"/>
    <w:rsid w:val="4C497215"/>
    <w:rsid w:val="4C4F5F99"/>
    <w:rsid w:val="4C5474C5"/>
    <w:rsid w:val="4C5D0817"/>
    <w:rsid w:val="4C5E08E0"/>
    <w:rsid w:val="4C64487E"/>
    <w:rsid w:val="4C6B0365"/>
    <w:rsid w:val="4C7C64A4"/>
    <w:rsid w:val="4C9953D8"/>
    <w:rsid w:val="4C9C0858"/>
    <w:rsid w:val="4C9E0D0B"/>
    <w:rsid w:val="4CBF4AE9"/>
    <w:rsid w:val="4CCA7CF8"/>
    <w:rsid w:val="4CCC299D"/>
    <w:rsid w:val="4CCE1B7D"/>
    <w:rsid w:val="4D0A349B"/>
    <w:rsid w:val="4D0D2E78"/>
    <w:rsid w:val="4D0F04ED"/>
    <w:rsid w:val="4D164C7E"/>
    <w:rsid w:val="4D1749B6"/>
    <w:rsid w:val="4D283FC5"/>
    <w:rsid w:val="4D384A7C"/>
    <w:rsid w:val="4D3A0411"/>
    <w:rsid w:val="4D413BC0"/>
    <w:rsid w:val="4D427C91"/>
    <w:rsid w:val="4D7706F2"/>
    <w:rsid w:val="4D845711"/>
    <w:rsid w:val="4D8A02B7"/>
    <w:rsid w:val="4D8E4163"/>
    <w:rsid w:val="4D951C4E"/>
    <w:rsid w:val="4DB66082"/>
    <w:rsid w:val="4DBE12C2"/>
    <w:rsid w:val="4DCE6ED3"/>
    <w:rsid w:val="4DD41DFF"/>
    <w:rsid w:val="4DEF3575"/>
    <w:rsid w:val="4DF46CF3"/>
    <w:rsid w:val="4E095444"/>
    <w:rsid w:val="4E0E40E2"/>
    <w:rsid w:val="4E333BBB"/>
    <w:rsid w:val="4E346342"/>
    <w:rsid w:val="4E4E04E5"/>
    <w:rsid w:val="4E665F7B"/>
    <w:rsid w:val="4E6A06E9"/>
    <w:rsid w:val="4E707407"/>
    <w:rsid w:val="4E715DB2"/>
    <w:rsid w:val="4E776B87"/>
    <w:rsid w:val="4E795FFF"/>
    <w:rsid w:val="4E8E5857"/>
    <w:rsid w:val="4EC206BE"/>
    <w:rsid w:val="4EC31543"/>
    <w:rsid w:val="4EC46EFB"/>
    <w:rsid w:val="4EC7194E"/>
    <w:rsid w:val="4EC951FF"/>
    <w:rsid w:val="4ED04B02"/>
    <w:rsid w:val="4ED346CC"/>
    <w:rsid w:val="4EDD6EFA"/>
    <w:rsid w:val="4EE96853"/>
    <w:rsid w:val="4EEF4121"/>
    <w:rsid w:val="4F105F02"/>
    <w:rsid w:val="4F121BEA"/>
    <w:rsid w:val="4F172396"/>
    <w:rsid w:val="4F1D4181"/>
    <w:rsid w:val="4F3F03C1"/>
    <w:rsid w:val="4F4C2971"/>
    <w:rsid w:val="4F566ACF"/>
    <w:rsid w:val="4F6C2ECB"/>
    <w:rsid w:val="4F704BBC"/>
    <w:rsid w:val="4F8028EE"/>
    <w:rsid w:val="4F8435B4"/>
    <w:rsid w:val="4F854761"/>
    <w:rsid w:val="4F8C7DDC"/>
    <w:rsid w:val="4FAD0DF7"/>
    <w:rsid w:val="4FBC1F04"/>
    <w:rsid w:val="4FBD361C"/>
    <w:rsid w:val="4FBE1CEA"/>
    <w:rsid w:val="4FC15F00"/>
    <w:rsid w:val="4FF17370"/>
    <w:rsid w:val="4FF77C61"/>
    <w:rsid w:val="5003418D"/>
    <w:rsid w:val="50037C0C"/>
    <w:rsid w:val="500F51F9"/>
    <w:rsid w:val="50200CEA"/>
    <w:rsid w:val="502A7546"/>
    <w:rsid w:val="502E1CFA"/>
    <w:rsid w:val="50344D97"/>
    <w:rsid w:val="50371519"/>
    <w:rsid w:val="503D6ACE"/>
    <w:rsid w:val="50447CE3"/>
    <w:rsid w:val="504570EB"/>
    <w:rsid w:val="505A0A75"/>
    <w:rsid w:val="505B05E7"/>
    <w:rsid w:val="507521C1"/>
    <w:rsid w:val="50753DB9"/>
    <w:rsid w:val="509E2BD3"/>
    <w:rsid w:val="50B106C4"/>
    <w:rsid w:val="50BC2B88"/>
    <w:rsid w:val="50C04426"/>
    <w:rsid w:val="50C7518D"/>
    <w:rsid w:val="50C95413"/>
    <w:rsid w:val="50CA4969"/>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661F2"/>
    <w:rsid w:val="51BB2EED"/>
    <w:rsid w:val="51D620B0"/>
    <w:rsid w:val="51E51BA8"/>
    <w:rsid w:val="51EE27E3"/>
    <w:rsid w:val="52040DD8"/>
    <w:rsid w:val="52101F45"/>
    <w:rsid w:val="52125E5B"/>
    <w:rsid w:val="5213342A"/>
    <w:rsid w:val="52163344"/>
    <w:rsid w:val="5216472B"/>
    <w:rsid w:val="52217FFE"/>
    <w:rsid w:val="5224307A"/>
    <w:rsid w:val="5234477C"/>
    <w:rsid w:val="523449CA"/>
    <w:rsid w:val="52475C9F"/>
    <w:rsid w:val="52515077"/>
    <w:rsid w:val="525A327C"/>
    <w:rsid w:val="526C3669"/>
    <w:rsid w:val="52806E8B"/>
    <w:rsid w:val="528F3F78"/>
    <w:rsid w:val="52A84489"/>
    <w:rsid w:val="52B118DE"/>
    <w:rsid w:val="52B80D5E"/>
    <w:rsid w:val="52BF77E0"/>
    <w:rsid w:val="52C52078"/>
    <w:rsid w:val="52CB6EC0"/>
    <w:rsid w:val="52D061DA"/>
    <w:rsid w:val="52D211F8"/>
    <w:rsid w:val="52E6495A"/>
    <w:rsid w:val="52F26F28"/>
    <w:rsid w:val="52F6796A"/>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C05E4"/>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459D3"/>
    <w:rsid w:val="540522B5"/>
    <w:rsid w:val="542406F9"/>
    <w:rsid w:val="54283548"/>
    <w:rsid w:val="542C2C82"/>
    <w:rsid w:val="543F012A"/>
    <w:rsid w:val="545F1D05"/>
    <w:rsid w:val="546136C7"/>
    <w:rsid w:val="54635F00"/>
    <w:rsid w:val="54661F54"/>
    <w:rsid w:val="546C3F2D"/>
    <w:rsid w:val="547F46DA"/>
    <w:rsid w:val="54944893"/>
    <w:rsid w:val="549F75FE"/>
    <w:rsid w:val="54A51CC5"/>
    <w:rsid w:val="54AF6C60"/>
    <w:rsid w:val="54B52F94"/>
    <w:rsid w:val="54BD36E4"/>
    <w:rsid w:val="54C547A5"/>
    <w:rsid w:val="54D05C30"/>
    <w:rsid w:val="54DD78BD"/>
    <w:rsid w:val="54E06144"/>
    <w:rsid w:val="54E5258C"/>
    <w:rsid w:val="54F52367"/>
    <w:rsid w:val="550A393D"/>
    <w:rsid w:val="5525121F"/>
    <w:rsid w:val="555900AE"/>
    <w:rsid w:val="555B6E77"/>
    <w:rsid w:val="555E09D9"/>
    <w:rsid w:val="555E54FB"/>
    <w:rsid w:val="556848E1"/>
    <w:rsid w:val="556B7B91"/>
    <w:rsid w:val="556D2811"/>
    <w:rsid w:val="55767F46"/>
    <w:rsid w:val="557821AC"/>
    <w:rsid w:val="55BF5B90"/>
    <w:rsid w:val="55CE1AD5"/>
    <w:rsid w:val="55E206FC"/>
    <w:rsid w:val="55ED37B8"/>
    <w:rsid w:val="55F04C52"/>
    <w:rsid w:val="55F35D23"/>
    <w:rsid w:val="560E1061"/>
    <w:rsid w:val="56281CBC"/>
    <w:rsid w:val="562878FA"/>
    <w:rsid w:val="56333685"/>
    <w:rsid w:val="56540424"/>
    <w:rsid w:val="567466BA"/>
    <w:rsid w:val="567B7B50"/>
    <w:rsid w:val="568F0DF7"/>
    <w:rsid w:val="56A332D5"/>
    <w:rsid w:val="56AD59C6"/>
    <w:rsid w:val="56B85F25"/>
    <w:rsid w:val="56C325A5"/>
    <w:rsid w:val="56C4174F"/>
    <w:rsid w:val="56E326CF"/>
    <w:rsid w:val="56E709F8"/>
    <w:rsid w:val="56EC573B"/>
    <w:rsid w:val="56F10A56"/>
    <w:rsid w:val="56FB32FA"/>
    <w:rsid w:val="570703AF"/>
    <w:rsid w:val="572D602C"/>
    <w:rsid w:val="573221A2"/>
    <w:rsid w:val="57364D30"/>
    <w:rsid w:val="573D71D1"/>
    <w:rsid w:val="574878D2"/>
    <w:rsid w:val="57574216"/>
    <w:rsid w:val="57611DCD"/>
    <w:rsid w:val="57636B03"/>
    <w:rsid w:val="57722EB4"/>
    <w:rsid w:val="5792740A"/>
    <w:rsid w:val="57A21363"/>
    <w:rsid w:val="57A54C20"/>
    <w:rsid w:val="57A71406"/>
    <w:rsid w:val="57AC21FD"/>
    <w:rsid w:val="57B06D46"/>
    <w:rsid w:val="57B937A9"/>
    <w:rsid w:val="57BB4E50"/>
    <w:rsid w:val="57C34B39"/>
    <w:rsid w:val="57C94F80"/>
    <w:rsid w:val="57DE1F69"/>
    <w:rsid w:val="57E116B4"/>
    <w:rsid w:val="58097EA5"/>
    <w:rsid w:val="580C0140"/>
    <w:rsid w:val="580F431F"/>
    <w:rsid w:val="58100035"/>
    <w:rsid w:val="58275C28"/>
    <w:rsid w:val="5846168C"/>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170C2"/>
    <w:rsid w:val="594B0A62"/>
    <w:rsid w:val="594E1B0E"/>
    <w:rsid w:val="594F32F2"/>
    <w:rsid w:val="595461B1"/>
    <w:rsid w:val="59591BB8"/>
    <w:rsid w:val="595C743E"/>
    <w:rsid w:val="595E1551"/>
    <w:rsid w:val="59760077"/>
    <w:rsid w:val="59820786"/>
    <w:rsid w:val="59A774F2"/>
    <w:rsid w:val="59AD15AB"/>
    <w:rsid w:val="59B2781D"/>
    <w:rsid w:val="59B41A62"/>
    <w:rsid w:val="59BC5C03"/>
    <w:rsid w:val="59BE115B"/>
    <w:rsid w:val="59CE313C"/>
    <w:rsid w:val="59E474BD"/>
    <w:rsid w:val="59E869EC"/>
    <w:rsid w:val="59FC6B89"/>
    <w:rsid w:val="5A057FD1"/>
    <w:rsid w:val="5A143012"/>
    <w:rsid w:val="5A1530F9"/>
    <w:rsid w:val="5A261D0E"/>
    <w:rsid w:val="5A2907FC"/>
    <w:rsid w:val="5A2E6A84"/>
    <w:rsid w:val="5A3B0F06"/>
    <w:rsid w:val="5A412A61"/>
    <w:rsid w:val="5A4752E2"/>
    <w:rsid w:val="5A527BDD"/>
    <w:rsid w:val="5A6D3A47"/>
    <w:rsid w:val="5A7A7F4C"/>
    <w:rsid w:val="5A7D1253"/>
    <w:rsid w:val="5A850E4C"/>
    <w:rsid w:val="5A905E59"/>
    <w:rsid w:val="5A9311E7"/>
    <w:rsid w:val="5A95316F"/>
    <w:rsid w:val="5AA72593"/>
    <w:rsid w:val="5AA9358C"/>
    <w:rsid w:val="5AD0373D"/>
    <w:rsid w:val="5AF46A20"/>
    <w:rsid w:val="5AF502E2"/>
    <w:rsid w:val="5AF81B7B"/>
    <w:rsid w:val="5AF86253"/>
    <w:rsid w:val="5AF91E46"/>
    <w:rsid w:val="5AFB1569"/>
    <w:rsid w:val="5B047A73"/>
    <w:rsid w:val="5B081862"/>
    <w:rsid w:val="5B0836C5"/>
    <w:rsid w:val="5B0A0B9B"/>
    <w:rsid w:val="5B1140FC"/>
    <w:rsid w:val="5B1C3DCA"/>
    <w:rsid w:val="5B1F176B"/>
    <w:rsid w:val="5B24355B"/>
    <w:rsid w:val="5B2D01BB"/>
    <w:rsid w:val="5B340596"/>
    <w:rsid w:val="5B3F26B3"/>
    <w:rsid w:val="5B467F94"/>
    <w:rsid w:val="5B491028"/>
    <w:rsid w:val="5B4B70AC"/>
    <w:rsid w:val="5B683606"/>
    <w:rsid w:val="5B7D4C61"/>
    <w:rsid w:val="5B7E3A81"/>
    <w:rsid w:val="5B850F8B"/>
    <w:rsid w:val="5B8A7522"/>
    <w:rsid w:val="5B946B5D"/>
    <w:rsid w:val="5B966752"/>
    <w:rsid w:val="5BA53E1C"/>
    <w:rsid w:val="5BA92AAB"/>
    <w:rsid w:val="5BAB0B2E"/>
    <w:rsid w:val="5BB41290"/>
    <w:rsid w:val="5BC22B58"/>
    <w:rsid w:val="5BC50503"/>
    <w:rsid w:val="5BCC4827"/>
    <w:rsid w:val="5BCD464A"/>
    <w:rsid w:val="5BF50EB6"/>
    <w:rsid w:val="5BF92128"/>
    <w:rsid w:val="5BFA7DB5"/>
    <w:rsid w:val="5BFB1F01"/>
    <w:rsid w:val="5C075DA6"/>
    <w:rsid w:val="5C162620"/>
    <w:rsid w:val="5C1D7D30"/>
    <w:rsid w:val="5C275BD4"/>
    <w:rsid w:val="5C491EC9"/>
    <w:rsid w:val="5C4B16FD"/>
    <w:rsid w:val="5C4F2E18"/>
    <w:rsid w:val="5C5028D7"/>
    <w:rsid w:val="5C6D1904"/>
    <w:rsid w:val="5C703E21"/>
    <w:rsid w:val="5C7370A0"/>
    <w:rsid w:val="5C790A6A"/>
    <w:rsid w:val="5C81109C"/>
    <w:rsid w:val="5C922FEE"/>
    <w:rsid w:val="5C9E10E9"/>
    <w:rsid w:val="5C9E40DE"/>
    <w:rsid w:val="5CA11D7F"/>
    <w:rsid w:val="5CAF4CE5"/>
    <w:rsid w:val="5CB22033"/>
    <w:rsid w:val="5CC61088"/>
    <w:rsid w:val="5CC927D0"/>
    <w:rsid w:val="5CD04E1E"/>
    <w:rsid w:val="5CDA6371"/>
    <w:rsid w:val="5CEC54C0"/>
    <w:rsid w:val="5CF30224"/>
    <w:rsid w:val="5CFC64A7"/>
    <w:rsid w:val="5D0014E0"/>
    <w:rsid w:val="5D033124"/>
    <w:rsid w:val="5D1516BF"/>
    <w:rsid w:val="5D1569ED"/>
    <w:rsid w:val="5D1A5C10"/>
    <w:rsid w:val="5D1B2A4F"/>
    <w:rsid w:val="5D1B50AE"/>
    <w:rsid w:val="5D1C7440"/>
    <w:rsid w:val="5D2E6665"/>
    <w:rsid w:val="5D396C88"/>
    <w:rsid w:val="5D4F34F7"/>
    <w:rsid w:val="5D521435"/>
    <w:rsid w:val="5D6031C3"/>
    <w:rsid w:val="5D623C65"/>
    <w:rsid w:val="5D653EC8"/>
    <w:rsid w:val="5D68352E"/>
    <w:rsid w:val="5D7636FE"/>
    <w:rsid w:val="5D7F7A77"/>
    <w:rsid w:val="5D810CA8"/>
    <w:rsid w:val="5D864B2F"/>
    <w:rsid w:val="5D8C1819"/>
    <w:rsid w:val="5DC12889"/>
    <w:rsid w:val="5DC477E0"/>
    <w:rsid w:val="5DCA3061"/>
    <w:rsid w:val="5DD05318"/>
    <w:rsid w:val="5DD161BA"/>
    <w:rsid w:val="5DE97207"/>
    <w:rsid w:val="5DEF6C2B"/>
    <w:rsid w:val="5DF22741"/>
    <w:rsid w:val="5DFB28F8"/>
    <w:rsid w:val="5DFE50F6"/>
    <w:rsid w:val="5E026A9A"/>
    <w:rsid w:val="5E050796"/>
    <w:rsid w:val="5E123553"/>
    <w:rsid w:val="5E186B89"/>
    <w:rsid w:val="5E202832"/>
    <w:rsid w:val="5E2D7C7A"/>
    <w:rsid w:val="5E4E3F80"/>
    <w:rsid w:val="5E5F4BD4"/>
    <w:rsid w:val="5E6B35BB"/>
    <w:rsid w:val="5E852B0D"/>
    <w:rsid w:val="5E8A7777"/>
    <w:rsid w:val="5E932264"/>
    <w:rsid w:val="5EA1268E"/>
    <w:rsid w:val="5EB029CD"/>
    <w:rsid w:val="5ED20F44"/>
    <w:rsid w:val="5ED656F0"/>
    <w:rsid w:val="5EDF3DC8"/>
    <w:rsid w:val="5EE7073E"/>
    <w:rsid w:val="5EEC61AE"/>
    <w:rsid w:val="5EF641A0"/>
    <w:rsid w:val="5EF67A22"/>
    <w:rsid w:val="5EFB4ED5"/>
    <w:rsid w:val="5F0501F2"/>
    <w:rsid w:val="5F123BC6"/>
    <w:rsid w:val="5F184877"/>
    <w:rsid w:val="5F1A7A37"/>
    <w:rsid w:val="5F2E2567"/>
    <w:rsid w:val="5F2E3F46"/>
    <w:rsid w:val="5F406402"/>
    <w:rsid w:val="5F474C09"/>
    <w:rsid w:val="5F475D4B"/>
    <w:rsid w:val="5F63419E"/>
    <w:rsid w:val="5F6B086B"/>
    <w:rsid w:val="5F736746"/>
    <w:rsid w:val="5F7B52AA"/>
    <w:rsid w:val="5F880842"/>
    <w:rsid w:val="5F8B3911"/>
    <w:rsid w:val="5FC1728F"/>
    <w:rsid w:val="5FD27659"/>
    <w:rsid w:val="5FD95A66"/>
    <w:rsid w:val="5FDF2255"/>
    <w:rsid w:val="5FDF7A00"/>
    <w:rsid w:val="5FE12AC5"/>
    <w:rsid w:val="5FF309C7"/>
    <w:rsid w:val="5FF67529"/>
    <w:rsid w:val="5FFC4765"/>
    <w:rsid w:val="5FFF6DC4"/>
    <w:rsid w:val="60046C0F"/>
    <w:rsid w:val="600E4F7F"/>
    <w:rsid w:val="60131685"/>
    <w:rsid w:val="601327BB"/>
    <w:rsid w:val="60245068"/>
    <w:rsid w:val="60255BE3"/>
    <w:rsid w:val="602717FC"/>
    <w:rsid w:val="602A62F8"/>
    <w:rsid w:val="602C01A9"/>
    <w:rsid w:val="60351EE3"/>
    <w:rsid w:val="603B1B21"/>
    <w:rsid w:val="603F2752"/>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52A50"/>
    <w:rsid w:val="612E0294"/>
    <w:rsid w:val="61375BEC"/>
    <w:rsid w:val="614A2305"/>
    <w:rsid w:val="614E4437"/>
    <w:rsid w:val="615F1F60"/>
    <w:rsid w:val="6182631E"/>
    <w:rsid w:val="61916138"/>
    <w:rsid w:val="61A26760"/>
    <w:rsid w:val="61AF5CD6"/>
    <w:rsid w:val="61BC217C"/>
    <w:rsid w:val="61D9772A"/>
    <w:rsid w:val="61DA1B5D"/>
    <w:rsid w:val="61DB33CF"/>
    <w:rsid w:val="61EB4962"/>
    <w:rsid w:val="61EF0933"/>
    <w:rsid w:val="61F02594"/>
    <w:rsid w:val="61F2327B"/>
    <w:rsid w:val="61F64176"/>
    <w:rsid w:val="61F6471A"/>
    <w:rsid w:val="61F97578"/>
    <w:rsid w:val="61FA7AC8"/>
    <w:rsid w:val="623942AC"/>
    <w:rsid w:val="62413765"/>
    <w:rsid w:val="625A4915"/>
    <w:rsid w:val="625E2011"/>
    <w:rsid w:val="626E5BD1"/>
    <w:rsid w:val="627803DA"/>
    <w:rsid w:val="627966B2"/>
    <w:rsid w:val="62921FA4"/>
    <w:rsid w:val="62A06349"/>
    <w:rsid w:val="62BF1D8B"/>
    <w:rsid w:val="62C83DFB"/>
    <w:rsid w:val="62CB6DF0"/>
    <w:rsid w:val="62D03FE1"/>
    <w:rsid w:val="62D33B51"/>
    <w:rsid w:val="62DC2379"/>
    <w:rsid w:val="62DD3EBB"/>
    <w:rsid w:val="62EF16C5"/>
    <w:rsid w:val="62FA52C3"/>
    <w:rsid w:val="62FD5E6F"/>
    <w:rsid w:val="63077DCD"/>
    <w:rsid w:val="630C3818"/>
    <w:rsid w:val="630F08E7"/>
    <w:rsid w:val="63196725"/>
    <w:rsid w:val="631F3FB6"/>
    <w:rsid w:val="63307428"/>
    <w:rsid w:val="63356B20"/>
    <w:rsid w:val="633B4FC0"/>
    <w:rsid w:val="63446C38"/>
    <w:rsid w:val="6349142A"/>
    <w:rsid w:val="634B7547"/>
    <w:rsid w:val="63647D08"/>
    <w:rsid w:val="637B37CB"/>
    <w:rsid w:val="637E69F6"/>
    <w:rsid w:val="63AF3FD8"/>
    <w:rsid w:val="63B47AD6"/>
    <w:rsid w:val="63B55E70"/>
    <w:rsid w:val="63BD1F88"/>
    <w:rsid w:val="63D07482"/>
    <w:rsid w:val="63DE3AA9"/>
    <w:rsid w:val="63E85719"/>
    <w:rsid w:val="63F34E27"/>
    <w:rsid w:val="63FD53D7"/>
    <w:rsid w:val="640D3774"/>
    <w:rsid w:val="64186651"/>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9A2640"/>
    <w:rsid w:val="64AA7760"/>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41E21"/>
    <w:rsid w:val="65687D20"/>
    <w:rsid w:val="656A7AEB"/>
    <w:rsid w:val="656B1F42"/>
    <w:rsid w:val="656D1690"/>
    <w:rsid w:val="657B264C"/>
    <w:rsid w:val="657C3759"/>
    <w:rsid w:val="659052F9"/>
    <w:rsid w:val="65933B3C"/>
    <w:rsid w:val="65AE026A"/>
    <w:rsid w:val="65B955CA"/>
    <w:rsid w:val="65BE6C54"/>
    <w:rsid w:val="65CC3546"/>
    <w:rsid w:val="65CE71FF"/>
    <w:rsid w:val="65EE73B7"/>
    <w:rsid w:val="65F9071E"/>
    <w:rsid w:val="66087C36"/>
    <w:rsid w:val="660A413F"/>
    <w:rsid w:val="661A0E12"/>
    <w:rsid w:val="66214D7C"/>
    <w:rsid w:val="6624580B"/>
    <w:rsid w:val="6625001A"/>
    <w:rsid w:val="662A15EB"/>
    <w:rsid w:val="66356B67"/>
    <w:rsid w:val="665078F8"/>
    <w:rsid w:val="66760042"/>
    <w:rsid w:val="667B6C3F"/>
    <w:rsid w:val="66823E25"/>
    <w:rsid w:val="66933BD2"/>
    <w:rsid w:val="6696380F"/>
    <w:rsid w:val="66B40E42"/>
    <w:rsid w:val="66B56D61"/>
    <w:rsid w:val="66B56D68"/>
    <w:rsid w:val="66D62F3C"/>
    <w:rsid w:val="66DA6071"/>
    <w:rsid w:val="66E9392A"/>
    <w:rsid w:val="66EA1480"/>
    <w:rsid w:val="67056631"/>
    <w:rsid w:val="67126948"/>
    <w:rsid w:val="6715177C"/>
    <w:rsid w:val="67231659"/>
    <w:rsid w:val="6730681F"/>
    <w:rsid w:val="674056F4"/>
    <w:rsid w:val="6745249B"/>
    <w:rsid w:val="674672D3"/>
    <w:rsid w:val="675A13EB"/>
    <w:rsid w:val="67622FB4"/>
    <w:rsid w:val="676E6425"/>
    <w:rsid w:val="67770DB9"/>
    <w:rsid w:val="67776ADD"/>
    <w:rsid w:val="6779797F"/>
    <w:rsid w:val="6788047B"/>
    <w:rsid w:val="6789047F"/>
    <w:rsid w:val="67A27AF8"/>
    <w:rsid w:val="67A720F6"/>
    <w:rsid w:val="67A85D26"/>
    <w:rsid w:val="67AC1398"/>
    <w:rsid w:val="67E7540E"/>
    <w:rsid w:val="67EA1736"/>
    <w:rsid w:val="67F509D9"/>
    <w:rsid w:val="67FC02AC"/>
    <w:rsid w:val="68006207"/>
    <w:rsid w:val="68070E08"/>
    <w:rsid w:val="680E4CA4"/>
    <w:rsid w:val="682D2C3F"/>
    <w:rsid w:val="682D432C"/>
    <w:rsid w:val="68382592"/>
    <w:rsid w:val="684159B8"/>
    <w:rsid w:val="6844604B"/>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071FA2"/>
    <w:rsid w:val="691052CA"/>
    <w:rsid w:val="69194464"/>
    <w:rsid w:val="691D05F7"/>
    <w:rsid w:val="69256624"/>
    <w:rsid w:val="69312B59"/>
    <w:rsid w:val="69446209"/>
    <w:rsid w:val="694E271E"/>
    <w:rsid w:val="695002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197179"/>
    <w:rsid w:val="6A22015C"/>
    <w:rsid w:val="6A265076"/>
    <w:rsid w:val="6A6E45DE"/>
    <w:rsid w:val="6A7A60F7"/>
    <w:rsid w:val="6A7E417E"/>
    <w:rsid w:val="6A9C36E2"/>
    <w:rsid w:val="6AAC2E76"/>
    <w:rsid w:val="6AB90DA9"/>
    <w:rsid w:val="6AD73CE6"/>
    <w:rsid w:val="6AE03E44"/>
    <w:rsid w:val="6AEE1969"/>
    <w:rsid w:val="6AF4494F"/>
    <w:rsid w:val="6B0A125F"/>
    <w:rsid w:val="6B1834FD"/>
    <w:rsid w:val="6B23484A"/>
    <w:rsid w:val="6B2E5652"/>
    <w:rsid w:val="6B30457A"/>
    <w:rsid w:val="6B375D75"/>
    <w:rsid w:val="6B3B1CB3"/>
    <w:rsid w:val="6B43702A"/>
    <w:rsid w:val="6B446AE6"/>
    <w:rsid w:val="6B524C27"/>
    <w:rsid w:val="6B5A1EC9"/>
    <w:rsid w:val="6B670A05"/>
    <w:rsid w:val="6B7308B4"/>
    <w:rsid w:val="6B744505"/>
    <w:rsid w:val="6B7B26EC"/>
    <w:rsid w:val="6B990784"/>
    <w:rsid w:val="6BA2498F"/>
    <w:rsid w:val="6BB93C93"/>
    <w:rsid w:val="6BBC51E6"/>
    <w:rsid w:val="6BBF609A"/>
    <w:rsid w:val="6BC012E3"/>
    <w:rsid w:val="6BC33B55"/>
    <w:rsid w:val="6BCA0F7D"/>
    <w:rsid w:val="6BDE4844"/>
    <w:rsid w:val="6BDE4DDD"/>
    <w:rsid w:val="6BE04A25"/>
    <w:rsid w:val="6BE07242"/>
    <w:rsid w:val="6BE5514A"/>
    <w:rsid w:val="6BE82C3E"/>
    <w:rsid w:val="6BE972DB"/>
    <w:rsid w:val="6BFE0452"/>
    <w:rsid w:val="6C0F2440"/>
    <w:rsid w:val="6C176418"/>
    <w:rsid w:val="6C1D28FC"/>
    <w:rsid w:val="6C247F63"/>
    <w:rsid w:val="6C392A9F"/>
    <w:rsid w:val="6C452784"/>
    <w:rsid w:val="6C4D097B"/>
    <w:rsid w:val="6C5173DD"/>
    <w:rsid w:val="6C524744"/>
    <w:rsid w:val="6C531367"/>
    <w:rsid w:val="6C5973BD"/>
    <w:rsid w:val="6C5F452A"/>
    <w:rsid w:val="6C762792"/>
    <w:rsid w:val="6C7D1213"/>
    <w:rsid w:val="6C801375"/>
    <w:rsid w:val="6C822E35"/>
    <w:rsid w:val="6CA31B9D"/>
    <w:rsid w:val="6CA714E6"/>
    <w:rsid w:val="6CBF7E9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9F05AA"/>
    <w:rsid w:val="6DBF3CF2"/>
    <w:rsid w:val="6DCD4F84"/>
    <w:rsid w:val="6DCE3EDB"/>
    <w:rsid w:val="6DD23F1E"/>
    <w:rsid w:val="6DD4500A"/>
    <w:rsid w:val="6DDB4275"/>
    <w:rsid w:val="6DEE2081"/>
    <w:rsid w:val="6E0135EB"/>
    <w:rsid w:val="6E0A26D3"/>
    <w:rsid w:val="6E1B7D7D"/>
    <w:rsid w:val="6E210E7D"/>
    <w:rsid w:val="6E272FA3"/>
    <w:rsid w:val="6E336938"/>
    <w:rsid w:val="6E360304"/>
    <w:rsid w:val="6E4C0EF4"/>
    <w:rsid w:val="6E4E028C"/>
    <w:rsid w:val="6E4E2CC7"/>
    <w:rsid w:val="6E565A56"/>
    <w:rsid w:val="6E5C1E9E"/>
    <w:rsid w:val="6E5D68D3"/>
    <w:rsid w:val="6E6611F0"/>
    <w:rsid w:val="6E682450"/>
    <w:rsid w:val="6E6A511F"/>
    <w:rsid w:val="6E720DA7"/>
    <w:rsid w:val="6E7251F0"/>
    <w:rsid w:val="6E757524"/>
    <w:rsid w:val="6E7934F3"/>
    <w:rsid w:val="6E9C5623"/>
    <w:rsid w:val="6E9E05A5"/>
    <w:rsid w:val="6EA77E4F"/>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879C5"/>
    <w:rsid w:val="6F591B5D"/>
    <w:rsid w:val="6F6127DE"/>
    <w:rsid w:val="6F746E24"/>
    <w:rsid w:val="6F7E65DB"/>
    <w:rsid w:val="6F7F6D3A"/>
    <w:rsid w:val="6F8D476D"/>
    <w:rsid w:val="6F9016E6"/>
    <w:rsid w:val="6F981073"/>
    <w:rsid w:val="6FA172A4"/>
    <w:rsid w:val="6FAE5CE6"/>
    <w:rsid w:val="6FE07DD0"/>
    <w:rsid w:val="6FEC6F26"/>
    <w:rsid w:val="6FF72D78"/>
    <w:rsid w:val="6FFF65EB"/>
    <w:rsid w:val="701A3FE1"/>
    <w:rsid w:val="701A7D3E"/>
    <w:rsid w:val="702C34C5"/>
    <w:rsid w:val="702D3A00"/>
    <w:rsid w:val="70341230"/>
    <w:rsid w:val="70342FAD"/>
    <w:rsid w:val="7034472B"/>
    <w:rsid w:val="703721C4"/>
    <w:rsid w:val="704310F0"/>
    <w:rsid w:val="7048073F"/>
    <w:rsid w:val="705A14E5"/>
    <w:rsid w:val="705A4D1B"/>
    <w:rsid w:val="705F37D3"/>
    <w:rsid w:val="707A4F0F"/>
    <w:rsid w:val="7084369E"/>
    <w:rsid w:val="708B108A"/>
    <w:rsid w:val="709143C4"/>
    <w:rsid w:val="70930271"/>
    <w:rsid w:val="70A94390"/>
    <w:rsid w:val="70CB3DC2"/>
    <w:rsid w:val="70DB5146"/>
    <w:rsid w:val="70E51B6F"/>
    <w:rsid w:val="70E561EA"/>
    <w:rsid w:val="70F40322"/>
    <w:rsid w:val="70F9595A"/>
    <w:rsid w:val="70FA4092"/>
    <w:rsid w:val="70FC3C7A"/>
    <w:rsid w:val="7104159B"/>
    <w:rsid w:val="71075B1A"/>
    <w:rsid w:val="710E7F44"/>
    <w:rsid w:val="71193089"/>
    <w:rsid w:val="71211292"/>
    <w:rsid w:val="71243B68"/>
    <w:rsid w:val="712776C4"/>
    <w:rsid w:val="712A41BD"/>
    <w:rsid w:val="7131135C"/>
    <w:rsid w:val="71371DE7"/>
    <w:rsid w:val="714344B4"/>
    <w:rsid w:val="71594A7F"/>
    <w:rsid w:val="71654226"/>
    <w:rsid w:val="716F3057"/>
    <w:rsid w:val="7181738B"/>
    <w:rsid w:val="71820038"/>
    <w:rsid w:val="71860B86"/>
    <w:rsid w:val="718B1478"/>
    <w:rsid w:val="71945B7D"/>
    <w:rsid w:val="71990145"/>
    <w:rsid w:val="719E164B"/>
    <w:rsid w:val="71A6693A"/>
    <w:rsid w:val="71AD6080"/>
    <w:rsid w:val="71BB33A2"/>
    <w:rsid w:val="71C01671"/>
    <w:rsid w:val="71C12788"/>
    <w:rsid w:val="71C90ED8"/>
    <w:rsid w:val="71D72430"/>
    <w:rsid w:val="71E12038"/>
    <w:rsid w:val="71FC2D88"/>
    <w:rsid w:val="720A6753"/>
    <w:rsid w:val="720F4AFB"/>
    <w:rsid w:val="72112B83"/>
    <w:rsid w:val="72143F3C"/>
    <w:rsid w:val="721F61D9"/>
    <w:rsid w:val="722333A8"/>
    <w:rsid w:val="722A1999"/>
    <w:rsid w:val="72356373"/>
    <w:rsid w:val="723D42BE"/>
    <w:rsid w:val="72412901"/>
    <w:rsid w:val="72553DBC"/>
    <w:rsid w:val="72777556"/>
    <w:rsid w:val="72887B37"/>
    <w:rsid w:val="72910320"/>
    <w:rsid w:val="72A53302"/>
    <w:rsid w:val="72B3410C"/>
    <w:rsid w:val="72BD6DA9"/>
    <w:rsid w:val="72C374FB"/>
    <w:rsid w:val="72CB01B8"/>
    <w:rsid w:val="72CB5E1F"/>
    <w:rsid w:val="72D95B00"/>
    <w:rsid w:val="72F66709"/>
    <w:rsid w:val="72F9343E"/>
    <w:rsid w:val="730554B3"/>
    <w:rsid w:val="73092FAA"/>
    <w:rsid w:val="73272012"/>
    <w:rsid w:val="732C3102"/>
    <w:rsid w:val="73413694"/>
    <w:rsid w:val="734608F5"/>
    <w:rsid w:val="7365663A"/>
    <w:rsid w:val="736D4BAC"/>
    <w:rsid w:val="736F1AFC"/>
    <w:rsid w:val="73726A6F"/>
    <w:rsid w:val="738D1AFA"/>
    <w:rsid w:val="739B5B15"/>
    <w:rsid w:val="73A37548"/>
    <w:rsid w:val="73B36872"/>
    <w:rsid w:val="73BA58B5"/>
    <w:rsid w:val="73BE1114"/>
    <w:rsid w:val="73C315CB"/>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228EA"/>
    <w:rsid w:val="74780C44"/>
    <w:rsid w:val="7479294A"/>
    <w:rsid w:val="74794607"/>
    <w:rsid w:val="747B5C9D"/>
    <w:rsid w:val="747F1177"/>
    <w:rsid w:val="748028C0"/>
    <w:rsid w:val="748431AE"/>
    <w:rsid w:val="7499003B"/>
    <w:rsid w:val="74A471EE"/>
    <w:rsid w:val="74A536E0"/>
    <w:rsid w:val="74AB58BC"/>
    <w:rsid w:val="74AF159B"/>
    <w:rsid w:val="74C111AB"/>
    <w:rsid w:val="74C768EE"/>
    <w:rsid w:val="74CA493F"/>
    <w:rsid w:val="74E97F38"/>
    <w:rsid w:val="74ED6920"/>
    <w:rsid w:val="74F13E40"/>
    <w:rsid w:val="75065956"/>
    <w:rsid w:val="750B1697"/>
    <w:rsid w:val="751509C7"/>
    <w:rsid w:val="7525120A"/>
    <w:rsid w:val="752A3F7B"/>
    <w:rsid w:val="7533655A"/>
    <w:rsid w:val="753A3853"/>
    <w:rsid w:val="754222FC"/>
    <w:rsid w:val="75444F15"/>
    <w:rsid w:val="75485488"/>
    <w:rsid w:val="75692896"/>
    <w:rsid w:val="75733C39"/>
    <w:rsid w:val="758516A2"/>
    <w:rsid w:val="758D195C"/>
    <w:rsid w:val="759176D7"/>
    <w:rsid w:val="759A2104"/>
    <w:rsid w:val="75B35E00"/>
    <w:rsid w:val="75CD1343"/>
    <w:rsid w:val="75EB2F64"/>
    <w:rsid w:val="75F04A64"/>
    <w:rsid w:val="76090780"/>
    <w:rsid w:val="7609404D"/>
    <w:rsid w:val="760F1847"/>
    <w:rsid w:val="76192C32"/>
    <w:rsid w:val="761D1573"/>
    <w:rsid w:val="761F64EF"/>
    <w:rsid w:val="76281DF8"/>
    <w:rsid w:val="762825F1"/>
    <w:rsid w:val="7638029A"/>
    <w:rsid w:val="763929C4"/>
    <w:rsid w:val="764F131A"/>
    <w:rsid w:val="765B6CE9"/>
    <w:rsid w:val="765D3DA8"/>
    <w:rsid w:val="7661178C"/>
    <w:rsid w:val="766740C2"/>
    <w:rsid w:val="766852F0"/>
    <w:rsid w:val="766A6521"/>
    <w:rsid w:val="766C7968"/>
    <w:rsid w:val="766E7DAC"/>
    <w:rsid w:val="7675564C"/>
    <w:rsid w:val="76836254"/>
    <w:rsid w:val="76877462"/>
    <w:rsid w:val="76936F16"/>
    <w:rsid w:val="769909A0"/>
    <w:rsid w:val="76993FC0"/>
    <w:rsid w:val="76A10D28"/>
    <w:rsid w:val="76A64EB2"/>
    <w:rsid w:val="76BC1014"/>
    <w:rsid w:val="76D7331B"/>
    <w:rsid w:val="76FD5EA3"/>
    <w:rsid w:val="7701474F"/>
    <w:rsid w:val="77025DC3"/>
    <w:rsid w:val="772354E1"/>
    <w:rsid w:val="77276E30"/>
    <w:rsid w:val="772C68C6"/>
    <w:rsid w:val="773E0DC5"/>
    <w:rsid w:val="77594BC8"/>
    <w:rsid w:val="77652DD1"/>
    <w:rsid w:val="77690AA9"/>
    <w:rsid w:val="776C53FF"/>
    <w:rsid w:val="776E3681"/>
    <w:rsid w:val="777E5705"/>
    <w:rsid w:val="7781654E"/>
    <w:rsid w:val="77881C4F"/>
    <w:rsid w:val="779231D8"/>
    <w:rsid w:val="77A618BC"/>
    <w:rsid w:val="77AD55DB"/>
    <w:rsid w:val="77B92312"/>
    <w:rsid w:val="77BC08A0"/>
    <w:rsid w:val="77CC68FE"/>
    <w:rsid w:val="77DE5CDB"/>
    <w:rsid w:val="77E81BC6"/>
    <w:rsid w:val="77F67883"/>
    <w:rsid w:val="781C7B42"/>
    <w:rsid w:val="78205658"/>
    <w:rsid w:val="7827423F"/>
    <w:rsid w:val="78341E10"/>
    <w:rsid w:val="7835284D"/>
    <w:rsid w:val="783719D4"/>
    <w:rsid w:val="78386307"/>
    <w:rsid w:val="783A63BE"/>
    <w:rsid w:val="78493B6B"/>
    <w:rsid w:val="7850391E"/>
    <w:rsid w:val="78586B5B"/>
    <w:rsid w:val="78597E32"/>
    <w:rsid w:val="78703EBE"/>
    <w:rsid w:val="78805A36"/>
    <w:rsid w:val="78830880"/>
    <w:rsid w:val="78970F49"/>
    <w:rsid w:val="78A51D8F"/>
    <w:rsid w:val="78AE0946"/>
    <w:rsid w:val="78BE4153"/>
    <w:rsid w:val="78C10296"/>
    <w:rsid w:val="78D02D1A"/>
    <w:rsid w:val="78D1727E"/>
    <w:rsid w:val="78D17516"/>
    <w:rsid w:val="78D96E40"/>
    <w:rsid w:val="78DB3B1D"/>
    <w:rsid w:val="78F51C9B"/>
    <w:rsid w:val="78FE038B"/>
    <w:rsid w:val="7911644D"/>
    <w:rsid w:val="79122DD3"/>
    <w:rsid w:val="791465DF"/>
    <w:rsid w:val="791E0B4D"/>
    <w:rsid w:val="792078D7"/>
    <w:rsid w:val="79304E12"/>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45487"/>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4A00C1"/>
    <w:rsid w:val="7B55415F"/>
    <w:rsid w:val="7B69789C"/>
    <w:rsid w:val="7B875C60"/>
    <w:rsid w:val="7BA1117B"/>
    <w:rsid w:val="7BA76397"/>
    <w:rsid w:val="7BB151FD"/>
    <w:rsid w:val="7BB43296"/>
    <w:rsid w:val="7BBE12F2"/>
    <w:rsid w:val="7BC94EE7"/>
    <w:rsid w:val="7BCA2EE2"/>
    <w:rsid w:val="7BD075CC"/>
    <w:rsid w:val="7BDE6C84"/>
    <w:rsid w:val="7BE07A81"/>
    <w:rsid w:val="7BE81B8B"/>
    <w:rsid w:val="7BE97D38"/>
    <w:rsid w:val="7BED162A"/>
    <w:rsid w:val="7BF01170"/>
    <w:rsid w:val="7C272B3E"/>
    <w:rsid w:val="7C2A73E7"/>
    <w:rsid w:val="7C471D4F"/>
    <w:rsid w:val="7C573A0C"/>
    <w:rsid w:val="7C5A71C2"/>
    <w:rsid w:val="7C615DCB"/>
    <w:rsid w:val="7C7A6596"/>
    <w:rsid w:val="7CA76A22"/>
    <w:rsid w:val="7CB167D6"/>
    <w:rsid w:val="7CBF18D6"/>
    <w:rsid w:val="7CCC4E54"/>
    <w:rsid w:val="7CE669EE"/>
    <w:rsid w:val="7CEB2ACD"/>
    <w:rsid w:val="7CEF6F65"/>
    <w:rsid w:val="7CF41D8D"/>
    <w:rsid w:val="7D04426F"/>
    <w:rsid w:val="7D0E7370"/>
    <w:rsid w:val="7D187F51"/>
    <w:rsid w:val="7D2745EF"/>
    <w:rsid w:val="7D2D2CA0"/>
    <w:rsid w:val="7D5607A5"/>
    <w:rsid w:val="7D5C29E8"/>
    <w:rsid w:val="7D6C69AF"/>
    <w:rsid w:val="7D7A7BC6"/>
    <w:rsid w:val="7D995EB0"/>
    <w:rsid w:val="7DA26A7F"/>
    <w:rsid w:val="7DA90065"/>
    <w:rsid w:val="7DBB08B6"/>
    <w:rsid w:val="7DBC7173"/>
    <w:rsid w:val="7DC815C9"/>
    <w:rsid w:val="7DD90B59"/>
    <w:rsid w:val="7DEF15A6"/>
    <w:rsid w:val="7DFC511B"/>
    <w:rsid w:val="7E0565F6"/>
    <w:rsid w:val="7E221AFC"/>
    <w:rsid w:val="7E2A514E"/>
    <w:rsid w:val="7E2C4E20"/>
    <w:rsid w:val="7E2D20BE"/>
    <w:rsid w:val="7E35355F"/>
    <w:rsid w:val="7E4306A6"/>
    <w:rsid w:val="7E51117D"/>
    <w:rsid w:val="7E5733E1"/>
    <w:rsid w:val="7E660C33"/>
    <w:rsid w:val="7E6637F7"/>
    <w:rsid w:val="7E707801"/>
    <w:rsid w:val="7E733B66"/>
    <w:rsid w:val="7E7E43B5"/>
    <w:rsid w:val="7E8A121F"/>
    <w:rsid w:val="7EA36680"/>
    <w:rsid w:val="7EAA0237"/>
    <w:rsid w:val="7EAD5A3E"/>
    <w:rsid w:val="7EBD2CC5"/>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5E7B7A"/>
    <w:rsid w:val="7F6347A3"/>
    <w:rsid w:val="7F6F44D4"/>
    <w:rsid w:val="7F7B4335"/>
    <w:rsid w:val="7F8805ED"/>
    <w:rsid w:val="7FA3192C"/>
    <w:rsid w:val="7FAB42E7"/>
    <w:rsid w:val="7FB745D2"/>
    <w:rsid w:val="7FC4182D"/>
    <w:rsid w:val="7FC44AED"/>
    <w:rsid w:val="7FC459AC"/>
    <w:rsid w:val="7FD55C75"/>
    <w:rsid w:val="7FD603DF"/>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23</TotalTime>
  <ScaleCrop>false</ScaleCrop>
  <LinksUpToDate>false</LinksUpToDate>
  <CharactersWithSpaces>26786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2021-12-30T07:50:45Z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2052-11.1.0.11115</vt:lpwstr>
  </property>
  <property fmtid="{D5CDD505-2E9C-101B-9397-08002B2CF9AE}" pid="4" name="ICV">
    <vt:lpwstr>D366F8CEF0B34B9A839F473A36DCA92E</vt:lpwstr>
  </property>
</Properties>
</file>