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olor w:val="auto"/>
        </w:rPr>
      </w:pPr>
      <w:r>
        <w:rPr>
          <w:rFonts w:ascii="宋体" w:hAnsi="宋体"/>
          <w:color w:val="auto"/>
          <w:sz w:val="72"/>
          <w:szCs w:val="72"/>
        </w:rPr>
        <w:drawing>
          <wp:anchor distT="0" distB="0" distL="114300" distR="114300" simplePos="0" relativeHeight="251659264" behindDoc="1" locked="0" layoutInCell="1" allowOverlap="1">
            <wp:simplePos x="0" y="0"/>
            <wp:positionH relativeFrom="column">
              <wp:posOffset>-810895</wp:posOffset>
            </wp:positionH>
            <wp:positionV relativeFrom="paragraph">
              <wp:posOffset>-957580</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1514475</wp:posOffset>
                </wp:positionH>
                <wp:positionV relativeFrom="paragraph">
                  <wp:posOffset>106680</wp:posOffset>
                </wp:positionV>
                <wp:extent cx="3255010" cy="81915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3255010" cy="819150"/>
                        </a:xfrm>
                        <a:prstGeom prst="rect">
                          <a:avLst/>
                        </a:prstGeom>
                        <a:noFill/>
                        <a:ln>
                          <a:noFill/>
                        </a:ln>
                      </wps:spPr>
                      <wps:txbx>
                        <w:txbxContent>
                          <w:p>
                            <w:pPr>
                              <w:pStyle w:val="2"/>
                              <w:jc w:val="center"/>
                              <w:rPr>
                                <w:b/>
                                <w:kern w:val="2"/>
                                <w:sz w:val="36"/>
                                <w:szCs w:val="36"/>
                              </w:rPr>
                            </w:pPr>
                            <w:r>
                              <w:rPr>
                                <w:rFonts w:hint="eastAsia"/>
                                <w:b/>
                                <w:kern w:val="2"/>
                                <w:sz w:val="36"/>
                                <w:szCs w:val="36"/>
                                <w:lang w:eastAsia="zh-CN"/>
                              </w:rPr>
                              <w:t>中商网</w:t>
                            </w:r>
                            <w:r>
                              <w:rPr>
                                <w:rFonts w:hint="eastAsia"/>
                                <w:b/>
                                <w:kern w:val="2"/>
                                <w:sz w:val="36"/>
                                <w:szCs w:val="36"/>
                                <w:lang w:val="en-US" w:eastAsia="zh-CN"/>
                              </w:rPr>
                              <w:t>成品油</w:t>
                            </w:r>
                            <w:r>
                              <w:rPr>
                                <w:rFonts w:hint="eastAsia"/>
                                <w:b/>
                                <w:kern w:val="2"/>
                                <w:sz w:val="36"/>
                                <w:szCs w:val="36"/>
                              </w:rPr>
                              <w:t>周</w:t>
                            </w:r>
                            <w:r>
                              <w:rPr>
                                <w:rFonts w:hint="eastAsia"/>
                                <w:b/>
                                <w:kern w:val="2"/>
                                <w:sz w:val="36"/>
                                <w:szCs w:val="36"/>
                                <w:lang w:eastAsia="zh-CN"/>
                              </w:rPr>
                              <w:t>报</w:t>
                            </w:r>
                          </w:p>
                          <w:p>
                            <w:pPr>
                              <w:rPr>
                                <w:sz w:val="36"/>
                                <w:szCs w:val="36"/>
                              </w:rPr>
                            </w:pPr>
                          </w:p>
                          <w:p>
                            <w:pPr>
                              <w:rPr>
                                <w:sz w:val="36"/>
                                <w:szCs w:val="36"/>
                              </w:rPr>
                            </w:pPr>
                          </w:p>
                        </w:txbxContent>
                      </wps:txbx>
                      <wps:bodyPr upright="1"/>
                    </wps:wsp>
                  </a:graphicData>
                </a:graphic>
              </wp:anchor>
            </w:drawing>
          </mc:Choice>
          <mc:Fallback>
            <w:pict>
              <v:shape id="文本框 60" o:spid="_x0000_s1026" o:spt="202" type="#_x0000_t202" style="position:absolute;left:0pt;margin-left:119.25pt;margin-top:8.4pt;height:64.5pt;width:256.3pt;z-index:251660288;mso-width-relative:page;mso-height-relative:page;" filled="f" stroked="f" coordsize="21600,21600" o:gfxdata="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1Z2SfXAAAA&#10;CgEAAA8AAAAAAAAAAQAgAAAAIgAAAGRycy9kb3ducmV2LnhtbFBLAQIUABQAAAAIAIdO4kBWcsdd&#10;rAEAAE8DAAAOAAAAAAAAAAEAIAAAACYBAABkcnMvZTJvRG9jLnhtbFBLBQYAAAAABgAGAFkBAABE&#10;BQAAAAA=&#10;">
                <v:fill on="f" focussize="0,0"/>
                <v:stroke on="f"/>
                <v:imagedata o:title=""/>
                <o:lock v:ext="edit" aspectratio="f"/>
                <v:textbox>
                  <w:txbxContent>
                    <w:p>
                      <w:pPr>
                        <w:pStyle w:val="2"/>
                        <w:jc w:val="center"/>
                        <w:rPr>
                          <w:b/>
                          <w:kern w:val="2"/>
                          <w:sz w:val="36"/>
                          <w:szCs w:val="36"/>
                        </w:rPr>
                      </w:pPr>
                      <w:r>
                        <w:rPr>
                          <w:rFonts w:hint="eastAsia"/>
                          <w:b/>
                          <w:kern w:val="2"/>
                          <w:sz w:val="36"/>
                          <w:szCs w:val="36"/>
                          <w:lang w:eastAsia="zh-CN"/>
                        </w:rPr>
                        <w:t>中商网</w:t>
                      </w:r>
                      <w:r>
                        <w:rPr>
                          <w:rFonts w:hint="eastAsia"/>
                          <w:b/>
                          <w:kern w:val="2"/>
                          <w:sz w:val="36"/>
                          <w:szCs w:val="36"/>
                          <w:lang w:val="en-US" w:eastAsia="zh-CN"/>
                        </w:rPr>
                        <w:t>成品油</w:t>
                      </w:r>
                      <w:r>
                        <w:rPr>
                          <w:rFonts w:hint="eastAsia"/>
                          <w:b/>
                          <w:kern w:val="2"/>
                          <w:sz w:val="36"/>
                          <w:szCs w:val="36"/>
                        </w:rPr>
                        <w:t>周</w:t>
                      </w:r>
                      <w:r>
                        <w:rPr>
                          <w:rFonts w:hint="eastAsia"/>
                          <w:b/>
                          <w:kern w:val="2"/>
                          <w:sz w:val="36"/>
                          <w:szCs w:val="36"/>
                          <w:lang w:eastAsia="zh-CN"/>
                        </w:rPr>
                        <w:t>报</w:t>
                      </w:r>
                    </w:p>
                    <w:p>
                      <w:pPr>
                        <w:rPr>
                          <w:sz w:val="36"/>
                          <w:szCs w:val="36"/>
                        </w:rPr>
                      </w:pPr>
                    </w:p>
                    <w:p>
                      <w:pPr>
                        <w:rPr>
                          <w:sz w:val="36"/>
                          <w:szCs w:val="36"/>
                        </w:rPr>
                      </w:pPr>
                    </w:p>
                  </w:txbxContent>
                </v:textbox>
              </v:shape>
            </w:pict>
          </mc:Fallback>
        </mc:AlternateContent>
      </w:r>
    </w:p>
    <w:p>
      <w:pPr>
        <w:rPr>
          <w:rFonts w:ascii="宋体" w:hAnsi="宋体"/>
          <w:color w:val="auto"/>
        </w:rPr>
      </w:pPr>
    </w:p>
    <w:p>
      <w:pPr>
        <w:rPr>
          <w:rFonts w:ascii="宋体" w:hAnsi="宋体"/>
          <w:color w:val="auto"/>
        </w:rPr>
      </w:pPr>
    </w:p>
    <w:p>
      <w:pPr>
        <w:jc w:val="center"/>
        <w:rPr>
          <w:rFonts w:hint="eastAsia" w:ascii="宋体" w:hAnsi="宋体"/>
          <w:b/>
          <w:color w:val="auto"/>
          <w:sz w:val="36"/>
          <w:szCs w:val="36"/>
        </w:rPr>
      </w:pPr>
    </w:p>
    <w:p>
      <w:pPr>
        <w:jc w:val="center"/>
        <w:rPr>
          <w:rFonts w:hint="default" w:ascii="宋体" w:hAnsi="宋体" w:eastAsia="宋体"/>
          <w:color w:val="auto"/>
          <w:lang w:val="en-US" w:eastAsia="zh-CN"/>
        </w:rPr>
      </w:pPr>
      <w:r>
        <w:rPr>
          <w:rFonts w:hint="eastAsia" w:ascii="宋体" w:hAnsi="宋体"/>
          <w:b/>
          <w:color w:val="auto"/>
          <w:sz w:val="36"/>
          <w:szCs w:val="36"/>
        </w:rPr>
        <w:t>20</w:t>
      </w:r>
      <w:r>
        <w:rPr>
          <w:rFonts w:hint="eastAsia" w:ascii="宋体" w:hAnsi="宋体"/>
          <w:b/>
          <w:color w:val="auto"/>
          <w:sz w:val="36"/>
          <w:szCs w:val="36"/>
          <w:lang w:val="en-US" w:eastAsia="zh-CN"/>
        </w:rPr>
        <w:t>21</w:t>
      </w:r>
      <w:r>
        <w:rPr>
          <w:rFonts w:hint="eastAsia" w:ascii="宋体" w:hAnsi="宋体"/>
          <w:b/>
          <w:color w:val="auto"/>
          <w:sz w:val="36"/>
          <w:szCs w:val="36"/>
        </w:rPr>
        <w:t>.</w:t>
      </w:r>
      <w:r>
        <w:rPr>
          <w:rFonts w:hint="eastAsia" w:ascii="宋体" w:hAnsi="宋体"/>
          <w:b/>
          <w:color w:val="auto"/>
          <w:sz w:val="36"/>
          <w:szCs w:val="36"/>
          <w:lang w:val="en-US" w:eastAsia="zh-CN"/>
        </w:rPr>
        <w:t>12.23</w:t>
      </w:r>
    </w:p>
    <w:p>
      <w:pPr>
        <w:rPr>
          <w:rFonts w:ascii="宋体" w:hAnsi="宋体"/>
          <w:color w:val="auto"/>
        </w:rPr>
      </w:pPr>
    </w:p>
    <w:p>
      <w:pPr>
        <w:rPr>
          <w:rFonts w:ascii="宋体" w:hAnsi="宋体"/>
          <w:color w:val="auto"/>
        </w:rPr>
      </w:pPr>
      <w:r>
        <w:rPr>
          <w:rFonts w:ascii="宋体" w:hAnsi="宋体"/>
          <w:color w:val="auto"/>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53975</wp:posOffset>
                </wp:positionV>
                <wp:extent cx="5322570" cy="1289685"/>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289685"/>
                        </a:xfrm>
                        <a:prstGeom prst="rect">
                          <a:avLst/>
                        </a:prstGeom>
                        <a:noFill/>
                        <a:ln>
                          <a:noFill/>
                        </a:ln>
                      </wps:spPr>
                      <wps:txbx>
                        <w:txbxContent>
                          <w:p>
                            <w:pPr>
                              <w:pStyle w:val="159"/>
                              <w:rPr>
                                <w:rFonts w:hint="eastAsia" w:ascii="宋体" w:hAnsi="宋体"/>
                                <w:kern w:val="2"/>
                                <w:sz w:val="18"/>
                                <w:szCs w:val="18"/>
                                <w:lang w:eastAsia="zh-CN"/>
                              </w:rPr>
                            </w:pPr>
                            <w:r>
                              <w:rPr>
                                <w:rFonts w:hint="eastAsia" w:ascii="宋体" w:hAnsi="宋体"/>
                                <w:kern w:val="2"/>
                                <w:sz w:val="18"/>
                                <w:szCs w:val="18"/>
                                <w:lang w:eastAsia="zh-CN"/>
                              </w:rPr>
                              <w:t>责任编辑：孙文娟</w:t>
                            </w:r>
                          </w:p>
                          <w:p>
                            <w:pPr>
                              <w:pStyle w:val="159"/>
                              <w:rPr>
                                <w:rFonts w:hint="eastAsia" w:ascii="宋体" w:hAnsi="宋体"/>
                                <w:kern w:val="2"/>
                                <w:sz w:val="18"/>
                                <w:szCs w:val="18"/>
                                <w:lang w:eastAsia="zh-CN"/>
                              </w:rPr>
                            </w:pPr>
                            <w:r>
                              <w:rPr>
                                <w:rFonts w:hint="eastAsia" w:ascii="宋体" w:hAnsi="宋体"/>
                                <w:kern w:val="2"/>
                                <w:sz w:val="18"/>
                                <w:szCs w:val="18"/>
                                <w:lang w:eastAsia="zh-CN"/>
                              </w:rPr>
                              <w:t>电  话：86-18513790712</w:t>
                            </w:r>
                          </w:p>
                          <w:p>
                            <w:pPr>
                              <w:pStyle w:val="159"/>
                              <w:rPr>
                                <w:rFonts w:hint="eastAsia" w:ascii="宋体" w:hAnsi="宋体"/>
                                <w:kern w:val="2"/>
                                <w:sz w:val="18"/>
                                <w:szCs w:val="18"/>
                                <w:lang w:eastAsia="zh-CN"/>
                              </w:rPr>
                            </w:pPr>
                            <w:r>
                              <w:rPr>
                                <w:rFonts w:hint="eastAsia" w:ascii="宋体" w:hAnsi="宋体"/>
                                <w:kern w:val="2"/>
                                <w:sz w:val="18"/>
                                <w:szCs w:val="18"/>
                                <w:lang w:eastAsia="zh-CN"/>
                              </w:rPr>
                              <w:t>传  真：86-010-85725399</w:t>
                            </w:r>
                          </w:p>
                          <w:p>
                            <w:pPr>
                              <w:pStyle w:val="159"/>
                              <w:rPr>
                                <w:rFonts w:hint="eastAsia" w:ascii="宋体" w:hAnsi="宋体"/>
                                <w:kern w:val="2"/>
                                <w:sz w:val="18"/>
                                <w:szCs w:val="18"/>
                                <w:lang w:eastAsia="zh-CN"/>
                              </w:rPr>
                            </w:pPr>
                            <w:r>
                              <w:rPr>
                                <w:rFonts w:hint="eastAsia" w:ascii="宋体" w:hAnsi="宋体"/>
                                <w:kern w:val="2"/>
                                <w:sz w:val="18"/>
                                <w:szCs w:val="18"/>
                                <w:lang w:eastAsia="zh-CN"/>
                              </w:rPr>
                              <w:t>编辑邮箱：sunwj@chinaccm.com</w:t>
                            </w:r>
                          </w:p>
                          <w:p>
                            <w:pPr>
                              <w:pStyle w:val="159"/>
                              <w:rPr>
                                <w:rFonts w:ascii="宋体" w:hAnsi="宋体"/>
                                <w:bCs/>
                                <w:kern w:val="2"/>
                                <w:sz w:val="18"/>
                                <w:szCs w:val="18"/>
                                <w:lang w:eastAsia="zh-CN"/>
                              </w:rPr>
                            </w:pPr>
                            <w:r>
                              <w:rPr>
                                <w:rFonts w:hint="eastAsia" w:ascii="宋体" w:hAnsi="宋体"/>
                                <w:bCs/>
                                <w:kern w:val="2"/>
                                <w:sz w:val="18"/>
                                <w:szCs w:val="18"/>
                                <w:lang w:eastAsia="zh-CN"/>
                              </w:rPr>
                              <w:t>地址：</w:t>
                            </w:r>
                            <w:r>
                              <w:rPr>
                                <w:rFonts w:hint="eastAsia" w:ascii="宋体" w:hAnsi="宋体"/>
                                <w:kern w:val="2"/>
                                <w:sz w:val="18"/>
                                <w:szCs w:val="18"/>
                                <w:lang w:eastAsia="zh-CN"/>
                              </w:rPr>
                              <w:t>北京市朝阳区高碑店古家具一条街1616号（邮编：</w:t>
                            </w:r>
                            <w:r>
                              <w:rPr>
                                <w:rFonts w:ascii="宋体" w:hAnsi="宋体"/>
                                <w:kern w:val="2"/>
                                <w:sz w:val="18"/>
                                <w:szCs w:val="18"/>
                                <w:lang w:eastAsia="zh-CN"/>
                              </w:rPr>
                              <w:t>100124</w:t>
                            </w:r>
                            <w:r>
                              <w:rPr>
                                <w:rFonts w:hint="eastAsia" w:ascii="宋体" w:hAnsi="宋体"/>
                                <w:kern w:val="2"/>
                                <w:sz w:val="18"/>
                                <w:szCs w:val="18"/>
                                <w:lang w:eastAsia="zh-CN"/>
                              </w:rPr>
                              <w:t>）</w:t>
                            </w:r>
                          </w:p>
                          <w:p>
                            <w:pPr>
                              <w:jc w:val="left"/>
                              <w:rPr>
                                <w:rFonts w:ascii="黑体" w:hAnsi="宋体" w:eastAsia="黑体"/>
                                <w:bCs/>
                                <w:sz w:val="24"/>
                              </w:rPr>
                            </w:pPr>
                          </w:p>
                        </w:txbxContent>
                      </wps:txbx>
                      <wps:bodyPr upright="1"/>
                    </wps:wsp>
                  </a:graphicData>
                </a:graphic>
              </wp:anchor>
            </w:drawing>
          </mc:Choice>
          <mc:Fallback>
            <w:pict>
              <v:shape id="文本框 51" o:spid="_x0000_s1026" o:spt="202" type="#_x0000_t202" style="position:absolute;left:0pt;margin-left:-9pt;margin-top:4.25pt;height:101.55pt;width:419.1pt;z-index:251660288;mso-width-relative:page;mso-height-relative:page;" filled="f" stroked="f" coordsize="21600,21600" o:gfxdata="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VXGxdYA&#10;AAAJAQAADwAAAAAAAAABACAAAAAiAAAAZHJzL2Rvd25yZXYueG1sUEsBAhQAFAAAAAgAh07iQD+A&#10;y8CvAQAAUAMAAA4AAAAAAAAAAQAgAAAAJQEAAGRycy9lMm9Eb2MueG1sUEsFBgAAAAAGAAYAWQEA&#10;AEYFAAAAAA==&#10;">
                <v:fill on="f" focussize="0,0"/>
                <v:stroke on="f"/>
                <v:imagedata o:title=""/>
                <o:lock v:ext="edit" aspectratio="f"/>
                <v:textbox>
                  <w:txbxContent>
                    <w:p>
                      <w:pPr>
                        <w:pStyle w:val="159"/>
                        <w:rPr>
                          <w:rFonts w:hint="eastAsia" w:ascii="宋体" w:hAnsi="宋体"/>
                          <w:kern w:val="2"/>
                          <w:sz w:val="18"/>
                          <w:szCs w:val="18"/>
                          <w:lang w:eastAsia="zh-CN"/>
                        </w:rPr>
                      </w:pPr>
                      <w:r>
                        <w:rPr>
                          <w:rFonts w:hint="eastAsia" w:ascii="宋体" w:hAnsi="宋体"/>
                          <w:kern w:val="2"/>
                          <w:sz w:val="18"/>
                          <w:szCs w:val="18"/>
                          <w:lang w:eastAsia="zh-CN"/>
                        </w:rPr>
                        <w:t>责任编辑：孙文娟</w:t>
                      </w:r>
                    </w:p>
                    <w:p>
                      <w:pPr>
                        <w:pStyle w:val="159"/>
                        <w:rPr>
                          <w:rFonts w:hint="eastAsia" w:ascii="宋体" w:hAnsi="宋体"/>
                          <w:kern w:val="2"/>
                          <w:sz w:val="18"/>
                          <w:szCs w:val="18"/>
                          <w:lang w:eastAsia="zh-CN"/>
                        </w:rPr>
                      </w:pPr>
                      <w:r>
                        <w:rPr>
                          <w:rFonts w:hint="eastAsia" w:ascii="宋体" w:hAnsi="宋体"/>
                          <w:kern w:val="2"/>
                          <w:sz w:val="18"/>
                          <w:szCs w:val="18"/>
                          <w:lang w:eastAsia="zh-CN"/>
                        </w:rPr>
                        <w:t>电  话：86-18513790712</w:t>
                      </w:r>
                    </w:p>
                    <w:p>
                      <w:pPr>
                        <w:pStyle w:val="159"/>
                        <w:rPr>
                          <w:rFonts w:hint="eastAsia" w:ascii="宋体" w:hAnsi="宋体"/>
                          <w:kern w:val="2"/>
                          <w:sz w:val="18"/>
                          <w:szCs w:val="18"/>
                          <w:lang w:eastAsia="zh-CN"/>
                        </w:rPr>
                      </w:pPr>
                      <w:r>
                        <w:rPr>
                          <w:rFonts w:hint="eastAsia" w:ascii="宋体" w:hAnsi="宋体"/>
                          <w:kern w:val="2"/>
                          <w:sz w:val="18"/>
                          <w:szCs w:val="18"/>
                          <w:lang w:eastAsia="zh-CN"/>
                        </w:rPr>
                        <w:t>传  真：86-010-85725399</w:t>
                      </w:r>
                    </w:p>
                    <w:p>
                      <w:pPr>
                        <w:pStyle w:val="159"/>
                        <w:rPr>
                          <w:rFonts w:hint="eastAsia" w:ascii="宋体" w:hAnsi="宋体"/>
                          <w:kern w:val="2"/>
                          <w:sz w:val="18"/>
                          <w:szCs w:val="18"/>
                          <w:lang w:eastAsia="zh-CN"/>
                        </w:rPr>
                      </w:pPr>
                      <w:r>
                        <w:rPr>
                          <w:rFonts w:hint="eastAsia" w:ascii="宋体" w:hAnsi="宋体"/>
                          <w:kern w:val="2"/>
                          <w:sz w:val="18"/>
                          <w:szCs w:val="18"/>
                          <w:lang w:eastAsia="zh-CN"/>
                        </w:rPr>
                        <w:t>编辑邮箱：sunwj@chinaccm.com</w:t>
                      </w:r>
                    </w:p>
                    <w:p>
                      <w:pPr>
                        <w:pStyle w:val="159"/>
                        <w:rPr>
                          <w:rFonts w:ascii="宋体" w:hAnsi="宋体"/>
                          <w:bCs/>
                          <w:kern w:val="2"/>
                          <w:sz w:val="18"/>
                          <w:szCs w:val="18"/>
                          <w:lang w:eastAsia="zh-CN"/>
                        </w:rPr>
                      </w:pPr>
                      <w:r>
                        <w:rPr>
                          <w:rFonts w:hint="eastAsia" w:ascii="宋体" w:hAnsi="宋体"/>
                          <w:bCs/>
                          <w:kern w:val="2"/>
                          <w:sz w:val="18"/>
                          <w:szCs w:val="18"/>
                          <w:lang w:eastAsia="zh-CN"/>
                        </w:rPr>
                        <w:t>地址：</w:t>
                      </w:r>
                      <w:r>
                        <w:rPr>
                          <w:rFonts w:hint="eastAsia" w:ascii="宋体" w:hAnsi="宋体"/>
                          <w:kern w:val="2"/>
                          <w:sz w:val="18"/>
                          <w:szCs w:val="18"/>
                          <w:lang w:eastAsia="zh-CN"/>
                        </w:rPr>
                        <w:t>北京市朝阳区高碑店古家具一条街1616号（邮编：</w:t>
                      </w:r>
                      <w:r>
                        <w:rPr>
                          <w:rFonts w:ascii="宋体" w:hAnsi="宋体"/>
                          <w:kern w:val="2"/>
                          <w:sz w:val="18"/>
                          <w:szCs w:val="18"/>
                          <w:lang w:eastAsia="zh-CN"/>
                        </w:rPr>
                        <w:t>100124</w:t>
                      </w:r>
                      <w:r>
                        <w:rPr>
                          <w:rFonts w:hint="eastAsia" w:ascii="宋体" w:hAnsi="宋体"/>
                          <w:kern w:val="2"/>
                          <w:sz w:val="18"/>
                          <w:szCs w:val="18"/>
                          <w:lang w:eastAsia="zh-CN"/>
                        </w:rPr>
                        <w:t>）</w:t>
                      </w:r>
                    </w:p>
                    <w:p>
                      <w:pPr>
                        <w:jc w:val="left"/>
                        <w:rPr>
                          <w:rFonts w:ascii="黑体" w:hAnsi="宋体" w:eastAsia="黑体"/>
                          <w:bCs/>
                          <w:sz w:val="24"/>
                        </w:rPr>
                      </w:pPr>
                    </w:p>
                  </w:txbxContent>
                </v:textbox>
              </v:shape>
            </w:pict>
          </mc:Fallback>
        </mc:AlternateContent>
      </w: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rPr>
          <w:rFonts w:ascii="宋体" w:hAnsi="宋体"/>
          <w:color w:val="auto"/>
        </w:rPr>
      </w:pPr>
    </w:p>
    <w:p>
      <w:pPr>
        <w:jc w:val="center"/>
        <w:rPr>
          <w:rFonts w:hint="eastAsia" w:ascii="宋体" w:hAnsi="宋体"/>
          <w:b/>
          <w:color w:val="auto"/>
          <w:sz w:val="32"/>
          <w:szCs w:val="32"/>
        </w:rPr>
      </w:pPr>
    </w:p>
    <w:p>
      <w:pPr>
        <w:jc w:val="center"/>
        <w:rPr>
          <w:rFonts w:ascii="宋体" w:hAnsi="宋体"/>
          <w:b/>
          <w:color w:val="auto"/>
          <w:sz w:val="28"/>
          <w:szCs w:val="28"/>
        </w:rPr>
      </w:pPr>
      <w:r>
        <w:rPr>
          <w:rFonts w:hint="eastAsia" w:ascii="宋体" w:hAnsi="宋体"/>
          <w:b/>
          <w:color w:val="auto"/>
          <w:sz w:val="28"/>
          <w:szCs w:val="28"/>
          <w:lang w:eastAsia="zh-CN"/>
        </w:rPr>
        <w:t>成品油市场周报目</w:t>
      </w:r>
      <w:r>
        <w:rPr>
          <w:rFonts w:hint="eastAsia" w:ascii="宋体" w:hAnsi="宋体"/>
          <w:b/>
          <w:color w:val="auto"/>
          <w:sz w:val="28"/>
          <w:szCs w:val="28"/>
        </w:rPr>
        <w:t>录</w:t>
      </w:r>
    </w:p>
    <w:p>
      <w:pPr>
        <w:pStyle w:val="16"/>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TOC \o "1-3" \h \z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_Toc16949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0"/>
          <w:sz w:val="24"/>
          <w:szCs w:val="24"/>
        </w:rPr>
        <w:t xml:space="preserve">一、 </w:t>
      </w:r>
      <w:r>
        <w:rPr>
          <w:rFonts w:hint="eastAsia" w:ascii="宋体" w:hAnsi="宋体" w:eastAsia="宋体" w:cs="宋体"/>
          <w:bCs/>
          <w:color w:val="auto"/>
          <w:kern w:val="2"/>
          <w:sz w:val="24"/>
          <w:szCs w:val="24"/>
          <w:highlight w:val="none"/>
          <w:lang w:val="en-US" w:eastAsia="zh-CN" w:bidi="ar-SA"/>
        </w:rPr>
        <w:t>国际原油市场回顾 </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_Toc16949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_Toc27031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1.1国际原油收盘价涨跌情况（单位：美元/桶）</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_Toc27031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_Toc19234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1.2.2021年国际原油价格走势图</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_Toc19234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_Toc9112 </w:instrText>
      </w:r>
      <w:r>
        <w:rPr>
          <w:rFonts w:hint="eastAsia" w:ascii="宋体" w:hAnsi="宋体" w:eastAsia="宋体" w:cs="宋体"/>
          <w:color w:val="auto"/>
          <w:sz w:val="24"/>
          <w:szCs w:val="24"/>
        </w:rPr>
        <w:fldChar w:fldCharType="separate"/>
      </w:r>
      <w:r>
        <w:rPr>
          <w:rFonts w:hint="eastAsia" w:ascii="宋体" w:hAnsi="宋体" w:eastAsia="宋体" w:cs="宋体"/>
          <w:bCs/>
          <w:color w:val="auto"/>
          <w:kern w:val="2"/>
          <w:sz w:val="24"/>
          <w:szCs w:val="24"/>
          <w:lang w:val="en-US" w:eastAsia="zh-CN" w:bidi="ar-SA"/>
        </w:rPr>
        <w:t xml:space="preserve">二、 </w:t>
      </w:r>
      <w:r>
        <w:rPr>
          <w:rFonts w:hint="eastAsia" w:ascii="宋体" w:hAnsi="宋体" w:eastAsia="宋体" w:cs="宋体"/>
          <w:bCs/>
          <w:color w:val="auto"/>
          <w:kern w:val="2"/>
          <w:sz w:val="24"/>
          <w:szCs w:val="24"/>
          <w:highlight w:val="none"/>
          <w:lang w:val="en-US" w:eastAsia="zh-CN" w:bidi="ar-SA"/>
        </w:rPr>
        <w:t>近期影响国际原油市场的主要因素</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_Toc9112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_Toc22116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2.1近期影响国际原油市场的主要因素</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_Toc22116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_Toc12072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1.美国原油库存情况</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_Toc12072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_Toc8280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2.美国经济形势</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_Toc8280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_Toc11654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3.世界经济形势</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_Toc11654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_Toc10797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lang w:val="en-US" w:eastAsia="zh-CN"/>
        </w:rPr>
        <w:t>4后市预测</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_Toc10797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_Toc13390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2.2国际市场MTBE价格</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_Toc13390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_Toc3996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本周国内市场</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_Toc3996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_Toc25301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3.1 国内炼厂装置运行情况</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_Toc25301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6</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_Toc816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highlight w:val="none"/>
        </w:rPr>
        <w:t>3.2本周成品油市场行情</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_Toc816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8</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_Toc14270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3.3 国内汽油价格周报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_Toc14270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_Toc28195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3.4国内柴油价格周报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_Toc28195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13</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_Toc20471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3.5 山东地炼汽油出厂价格周报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_Toc20471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15</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_Toc22494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3.6 山东地炼柴油出厂价格周报</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_Toc22494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17</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16"/>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_Toc17074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lang w:val="en-US" w:eastAsia="zh-CN"/>
        </w:rPr>
        <w:t>四、2021年</w:t>
      </w:r>
      <w:r>
        <w:rPr>
          <w:rFonts w:hint="eastAsia" w:cs="宋体"/>
          <w:color w:val="auto"/>
          <w:sz w:val="24"/>
          <w:szCs w:val="24"/>
          <w:lang w:val="en-US" w:eastAsia="zh-CN"/>
        </w:rPr>
        <w:t>10</w:t>
      </w:r>
      <w:r>
        <w:rPr>
          <w:rFonts w:hint="eastAsia" w:ascii="宋体" w:hAnsi="宋体" w:eastAsia="宋体" w:cs="宋体"/>
          <w:color w:val="auto"/>
          <w:sz w:val="24"/>
          <w:szCs w:val="24"/>
          <w:lang w:val="en-US" w:eastAsia="zh-CN"/>
        </w:rPr>
        <w:t>月份进出口统计数据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_Toc17074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_Toc6798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w:t>
      </w:r>
      <w:r>
        <w:rPr>
          <w:rFonts w:hint="eastAsia" w:ascii="宋体" w:hAnsi="宋体" w:eastAsia="宋体" w:cs="宋体"/>
          <w:color w:val="auto"/>
          <w:sz w:val="24"/>
          <w:szCs w:val="24"/>
          <w:lang w:val="en-US" w:eastAsia="zh-CN"/>
        </w:rPr>
        <w:t xml:space="preserve">1 </w:t>
      </w:r>
      <w:r>
        <w:rPr>
          <w:rFonts w:hint="eastAsia" w:ascii="宋体" w:hAnsi="宋体" w:eastAsia="宋体" w:cs="宋体"/>
          <w:color w:val="auto"/>
          <w:sz w:val="24"/>
          <w:szCs w:val="24"/>
        </w:rPr>
        <w:t>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份全国车用汽油和航空汽油出口统计数据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_Toc6798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_Toc10780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4.2 20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月份全国柴油出口统计数据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_Toc10780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19</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rFonts w:hint="eastAsia" w:ascii="宋体" w:hAnsi="宋体" w:eastAsia="宋体" w:cs="宋体"/>
          <w:color w:val="auto"/>
          <w:sz w:val="24"/>
          <w:szCs w:val="24"/>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_Toc21887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4.3 20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月份全国原油进出口统计数据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_Toc21887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20</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pStyle w:val="20"/>
        <w:tabs>
          <w:tab w:val="right" w:leader="dot" w:pos="9752"/>
          <w:tab w:val="clear" w:pos="9170"/>
        </w:tabs>
        <w:rPr>
          <w:color w:val="auto"/>
        </w:rPr>
      </w:pP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\l _Toc9952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4.4 20</w:t>
      </w:r>
      <w:r>
        <w:rPr>
          <w:rFonts w:hint="eastAsia" w:ascii="宋体" w:hAnsi="宋体" w:eastAsia="宋体" w:cs="宋体"/>
          <w:color w:val="auto"/>
          <w:sz w:val="24"/>
          <w:szCs w:val="24"/>
          <w:lang w:val="en-US" w:eastAsia="zh-CN"/>
        </w:rPr>
        <w:t>21</w:t>
      </w:r>
      <w:r>
        <w:rPr>
          <w:rFonts w:hint="eastAsia" w:ascii="宋体" w:hAnsi="宋体" w:eastAsia="宋体" w:cs="宋体"/>
          <w:color w:val="auto"/>
          <w:sz w:val="24"/>
          <w:szCs w:val="24"/>
        </w:rPr>
        <w:t>年</w:t>
      </w:r>
      <w:r>
        <w:rPr>
          <w:rFonts w:hint="eastAsia" w:ascii="宋体" w:hAnsi="宋体" w:cs="宋体"/>
          <w:color w:val="auto"/>
          <w:sz w:val="24"/>
          <w:szCs w:val="24"/>
          <w:lang w:val="en-US" w:eastAsia="zh-CN"/>
        </w:rPr>
        <w:t>10</w:t>
      </w:r>
      <w:r>
        <w:rPr>
          <w:rFonts w:hint="eastAsia" w:ascii="宋体" w:hAnsi="宋体" w:eastAsia="宋体" w:cs="宋体"/>
          <w:color w:val="auto"/>
          <w:sz w:val="24"/>
          <w:szCs w:val="24"/>
        </w:rPr>
        <w:t>月份航空煤油进出口统计数据</w:t>
      </w:r>
      <w:r>
        <w:rPr>
          <w:rFonts w:hint="eastAsia" w:ascii="宋体" w:hAnsi="宋体" w:eastAsia="宋体" w:cs="宋体"/>
          <w:color w:val="auto"/>
          <w:sz w:val="24"/>
          <w:szCs w:val="24"/>
        </w:rPr>
        <w:tab/>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PAGEREF _Toc9952 \h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22</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fldChar w:fldCharType="end"/>
      </w:r>
    </w:p>
    <w:p>
      <w:pPr>
        <w:rPr>
          <w:rFonts w:hint="eastAsia" w:ascii="宋体" w:hAnsi="宋体" w:eastAsia="宋体" w:cs="宋体"/>
          <w:color w:val="auto"/>
          <w:sz w:val="24"/>
          <w:szCs w:val="24"/>
        </w:rPr>
      </w:pPr>
      <w:r>
        <w:rPr>
          <w:rFonts w:hint="eastAsia" w:ascii="宋体" w:hAnsi="宋体" w:eastAsia="宋体" w:cs="宋体"/>
          <w:color w:val="auto"/>
          <w:szCs w:val="24"/>
        </w:rPr>
        <w:fldChar w:fldCharType="end"/>
      </w: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rPr>
          <w:rFonts w:hint="eastAsia" w:ascii="宋体" w:hAnsi="宋体" w:eastAsia="宋体" w:cs="宋体"/>
          <w:color w:val="auto"/>
          <w:sz w:val="24"/>
          <w:szCs w:val="24"/>
        </w:rPr>
      </w:pPr>
    </w:p>
    <w:p>
      <w:pPr>
        <w:pStyle w:val="2"/>
        <w:numPr>
          <w:ilvl w:val="0"/>
          <w:numId w:val="1"/>
        </w:numPr>
        <w:spacing w:before="120" w:after="0" w:line="240" w:lineRule="auto"/>
        <w:rPr>
          <w:rFonts w:hint="eastAsia" w:asciiTheme="minorEastAsia" w:hAnsiTheme="minorEastAsia" w:eastAsiaTheme="minorEastAsia" w:cstheme="minorEastAsia"/>
          <w:b/>
          <w:bCs/>
          <w:color w:val="auto"/>
          <w:kern w:val="0"/>
          <w:sz w:val="30"/>
          <w:szCs w:val="30"/>
        </w:rPr>
      </w:pPr>
      <w:bookmarkStart w:id="0" w:name="_Toc16949"/>
      <w:r>
        <w:rPr>
          <w:rFonts w:hint="eastAsia" w:ascii="宋体" w:hAnsi="宋体" w:eastAsia="宋体" w:cs="宋体"/>
          <w:b/>
          <w:bCs/>
          <w:color w:val="auto"/>
          <w:kern w:val="2"/>
          <w:sz w:val="36"/>
          <w:szCs w:val="36"/>
          <w:highlight w:val="none"/>
          <w:lang w:val="en-US" w:eastAsia="zh-CN" w:bidi="ar-SA"/>
        </w:rPr>
        <w:t>国际原油市场回顾 </w:t>
      </w:r>
      <w:bookmarkEnd w:id="0"/>
    </w:p>
    <w:tbl>
      <w:tblPr>
        <w:tblStyle w:val="24"/>
        <w:tblW w:w="5000" w:type="pct"/>
        <w:tblInd w:w="0" w:type="dxa"/>
        <w:tblLayout w:type="autofit"/>
        <w:tblCellMar>
          <w:top w:w="15" w:type="dxa"/>
          <w:left w:w="15" w:type="dxa"/>
          <w:bottom w:w="15" w:type="dxa"/>
          <w:right w:w="15" w:type="dxa"/>
        </w:tblCellMar>
      </w:tblPr>
      <w:tblGrid>
        <w:gridCol w:w="1458"/>
        <w:gridCol w:w="800"/>
        <w:gridCol w:w="800"/>
        <w:gridCol w:w="6724"/>
      </w:tblGrid>
      <w:tr>
        <w:tblPrEx>
          <w:tblCellMar>
            <w:top w:w="15" w:type="dxa"/>
            <w:left w:w="15" w:type="dxa"/>
            <w:bottom w:w="15" w:type="dxa"/>
            <w:right w:w="15" w:type="dxa"/>
          </w:tblCellMar>
        </w:tblPrEx>
        <w:trPr>
          <w:trHeight w:val="283" w:hRule="atLeast"/>
          <w:tblHeader/>
        </w:trPr>
        <w:tc>
          <w:tcPr>
            <w:tcW w:w="745"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bookmarkStart w:id="1" w:name="_Toc27031"/>
            <w:bookmarkStart w:id="2" w:name="_Toc67556952"/>
            <w:r>
              <w:rPr>
                <w:rFonts w:hint="eastAsia" w:ascii="宋体" w:hAnsi="宋体" w:cs="华文仿宋"/>
                <w:b/>
                <w:color w:val="000000"/>
                <w:kern w:val="0"/>
                <w:sz w:val="18"/>
                <w:szCs w:val="18"/>
                <w:lang w:bidi="ar"/>
              </w:rPr>
              <w:t>日期</w:t>
            </w:r>
          </w:p>
        </w:tc>
        <w:tc>
          <w:tcPr>
            <w:tcW w:w="409"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纽交所</w:t>
            </w:r>
          </w:p>
        </w:tc>
        <w:tc>
          <w:tcPr>
            <w:tcW w:w="409"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伦交所</w:t>
            </w:r>
          </w:p>
        </w:tc>
        <w:tc>
          <w:tcPr>
            <w:tcW w:w="3437" w:type="pct"/>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cs="华文仿宋"/>
                <w:b/>
                <w:color w:val="000000"/>
                <w:sz w:val="18"/>
                <w:szCs w:val="18"/>
              </w:rPr>
            </w:pPr>
            <w:r>
              <w:rPr>
                <w:rFonts w:hint="eastAsia" w:ascii="宋体" w:hAnsi="宋体" w:cs="华文仿宋"/>
                <w:b/>
                <w:color w:val="000000"/>
                <w:kern w:val="0"/>
                <w:sz w:val="18"/>
                <w:szCs w:val="18"/>
                <w:lang w:bidi="ar"/>
              </w:rPr>
              <w:t>影响因素</w:t>
            </w:r>
          </w:p>
        </w:tc>
      </w:tr>
      <w:tr>
        <w:tblPrEx>
          <w:tblCellMar>
            <w:top w:w="15" w:type="dxa"/>
            <w:left w:w="15" w:type="dxa"/>
            <w:bottom w:w="15" w:type="dxa"/>
            <w:right w:w="15" w:type="dxa"/>
          </w:tblCellMar>
        </w:tblPrEx>
        <w:trPr>
          <w:trHeight w:val="251" w:hRule="atLeast"/>
        </w:trPr>
        <w:tc>
          <w:tcPr>
            <w:tcW w:w="745"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sz w:val="18"/>
                <w:szCs w:val="18"/>
              </w:rPr>
            </w:pPr>
            <w:r>
              <w:rPr>
                <w:rFonts w:hint="eastAsia"/>
                <w:sz w:val="18"/>
                <w:szCs w:val="18"/>
              </w:rPr>
              <w:t>2021/12/16</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sz w:val="18"/>
                <w:szCs w:val="18"/>
              </w:rPr>
            </w:pPr>
            <w:r>
              <w:rPr>
                <w:rFonts w:hint="eastAsia"/>
                <w:sz w:val="18"/>
                <w:szCs w:val="18"/>
              </w:rPr>
              <w:t>72.38</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sz w:val="18"/>
                <w:szCs w:val="18"/>
              </w:rPr>
            </w:pPr>
            <w:r>
              <w:rPr>
                <w:rFonts w:hint="eastAsia"/>
                <w:sz w:val="18"/>
                <w:szCs w:val="18"/>
              </w:rPr>
              <w:t>75.02</w:t>
            </w:r>
          </w:p>
        </w:tc>
        <w:tc>
          <w:tcPr>
            <w:tcW w:w="3437" w:type="pct"/>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sz w:val="18"/>
                <w:szCs w:val="18"/>
              </w:rPr>
            </w:pPr>
            <w:r>
              <w:rPr>
                <w:sz w:val="18"/>
                <w:szCs w:val="18"/>
              </w:rPr>
              <w:t>美国库存和隐含需求数据乐观，投资者摆脱了对奥密克戎变异株的担忧，美联储给出了乐观的经济前景，国际油价继续上涨，布伦特原油期货突破每桶75美元</w:t>
            </w:r>
            <w:r>
              <w:rPr>
                <w:rFonts w:hint="eastAsia"/>
                <w:sz w:val="18"/>
                <w:szCs w:val="18"/>
              </w:rPr>
              <w:t>。</w:t>
            </w:r>
          </w:p>
        </w:tc>
      </w:tr>
      <w:tr>
        <w:tblPrEx>
          <w:tblCellMar>
            <w:top w:w="15" w:type="dxa"/>
            <w:left w:w="15" w:type="dxa"/>
            <w:bottom w:w="15" w:type="dxa"/>
            <w:right w:w="15" w:type="dxa"/>
          </w:tblCellMar>
        </w:tblPrEx>
        <w:trPr>
          <w:trHeight w:val="283" w:hRule="atLeast"/>
        </w:trPr>
        <w:tc>
          <w:tcPr>
            <w:tcW w:w="745"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sz w:val="18"/>
                <w:szCs w:val="18"/>
              </w:rPr>
            </w:pPr>
            <w:r>
              <w:rPr>
                <w:rFonts w:hint="eastAsia"/>
                <w:sz w:val="18"/>
                <w:szCs w:val="18"/>
              </w:rPr>
              <w:t>2021/12/17</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sz w:val="18"/>
                <w:szCs w:val="18"/>
              </w:rPr>
            </w:pPr>
            <w:r>
              <w:rPr>
                <w:rFonts w:hint="eastAsia"/>
                <w:sz w:val="18"/>
                <w:szCs w:val="18"/>
              </w:rPr>
              <w:t>70.86</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sz w:val="18"/>
                <w:szCs w:val="18"/>
              </w:rPr>
            </w:pPr>
            <w:r>
              <w:rPr>
                <w:rFonts w:hint="eastAsia"/>
                <w:sz w:val="18"/>
                <w:szCs w:val="18"/>
              </w:rPr>
              <w:t>73.52</w:t>
            </w:r>
          </w:p>
        </w:tc>
        <w:tc>
          <w:tcPr>
            <w:tcW w:w="3437" w:type="pct"/>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sz w:val="18"/>
                <w:szCs w:val="18"/>
              </w:rPr>
            </w:pPr>
            <w:r>
              <w:rPr>
                <w:sz w:val="18"/>
                <w:szCs w:val="18"/>
              </w:rPr>
              <w:t>市场担心奥密克戎变异株蔓延，新冠病例在一些地区激增，新的封锁限制经济复苏和对燃料需求，国际油价下跌2%</w:t>
            </w:r>
            <w:r>
              <w:rPr>
                <w:rFonts w:hint="eastAsia"/>
                <w:sz w:val="18"/>
                <w:szCs w:val="18"/>
              </w:rPr>
              <w:t>。</w:t>
            </w:r>
          </w:p>
        </w:tc>
      </w:tr>
      <w:tr>
        <w:tblPrEx>
          <w:tblCellMar>
            <w:top w:w="15" w:type="dxa"/>
            <w:left w:w="15" w:type="dxa"/>
            <w:bottom w:w="15" w:type="dxa"/>
            <w:right w:w="15" w:type="dxa"/>
          </w:tblCellMar>
        </w:tblPrEx>
        <w:trPr>
          <w:trHeight w:val="283" w:hRule="atLeast"/>
        </w:trPr>
        <w:tc>
          <w:tcPr>
            <w:tcW w:w="745"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sz w:val="18"/>
                <w:szCs w:val="18"/>
              </w:rPr>
            </w:pPr>
            <w:r>
              <w:rPr>
                <w:rFonts w:hint="eastAsia"/>
                <w:sz w:val="18"/>
                <w:szCs w:val="18"/>
              </w:rPr>
              <w:t>2021/12/20</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sz w:val="18"/>
                <w:szCs w:val="18"/>
              </w:rPr>
            </w:pPr>
            <w:r>
              <w:rPr>
                <w:rFonts w:hint="eastAsia"/>
                <w:sz w:val="18"/>
                <w:szCs w:val="18"/>
              </w:rPr>
              <w:t>68.23</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sz w:val="18"/>
                <w:szCs w:val="18"/>
              </w:rPr>
            </w:pPr>
            <w:r>
              <w:rPr>
                <w:rFonts w:hint="eastAsia"/>
                <w:sz w:val="18"/>
                <w:szCs w:val="18"/>
              </w:rPr>
              <w:t>71.52</w:t>
            </w:r>
          </w:p>
        </w:tc>
        <w:tc>
          <w:tcPr>
            <w:tcW w:w="3437" w:type="pct"/>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sz w:val="18"/>
                <w:szCs w:val="18"/>
              </w:rPr>
            </w:pPr>
            <w:r>
              <w:rPr>
                <w:sz w:val="18"/>
                <w:szCs w:val="18"/>
              </w:rPr>
              <w:t>奥密克戎变异株体在欧洲和美国病例激增，引发投资者担心，为遏制其扩散而出台的新限制措施可能会削弱燃料需求，国际油价继续大跌。</w:t>
            </w:r>
          </w:p>
        </w:tc>
      </w:tr>
      <w:tr>
        <w:tblPrEx>
          <w:tblCellMar>
            <w:top w:w="15" w:type="dxa"/>
            <w:left w:w="15" w:type="dxa"/>
            <w:bottom w:w="15" w:type="dxa"/>
            <w:right w:w="15" w:type="dxa"/>
          </w:tblCellMar>
        </w:tblPrEx>
        <w:trPr>
          <w:trHeight w:val="283" w:hRule="atLeast"/>
        </w:trPr>
        <w:tc>
          <w:tcPr>
            <w:tcW w:w="745"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sz w:val="18"/>
                <w:szCs w:val="18"/>
              </w:rPr>
            </w:pPr>
            <w:r>
              <w:rPr>
                <w:rFonts w:hint="eastAsia"/>
                <w:sz w:val="18"/>
                <w:szCs w:val="18"/>
              </w:rPr>
              <w:t>2021/12/21</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sz w:val="18"/>
                <w:szCs w:val="18"/>
              </w:rPr>
            </w:pPr>
            <w:r>
              <w:rPr>
                <w:rFonts w:hint="eastAsia"/>
                <w:sz w:val="18"/>
                <w:szCs w:val="18"/>
              </w:rPr>
              <w:t>71.12</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sz w:val="18"/>
                <w:szCs w:val="18"/>
              </w:rPr>
            </w:pPr>
            <w:r>
              <w:rPr>
                <w:rFonts w:hint="eastAsia"/>
                <w:sz w:val="18"/>
                <w:szCs w:val="18"/>
              </w:rPr>
              <w:t>73.98</w:t>
            </w:r>
          </w:p>
        </w:tc>
        <w:tc>
          <w:tcPr>
            <w:tcW w:w="3437" w:type="pct"/>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sz w:val="18"/>
                <w:szCs w:val="18"/>
              </w:rPr>
            </w:pPr>
            <w:r>
              <w:rPr>
                <w:sz w:val="18"/>
                <w:szCs w:val="18"/>
              </w:rPr>
              <w:t>对新冠疫情的担忧有所消化，投资者的风险偏好有所改善，欧美原油期货反弹。</w:t>
            </w:r>
          </w:p>
        </w:tc>
      </w:tr>
      <w:tr>
        <w:tblPrEx>
          <w:tblCellMar>
            <w:top w:w="15" w:type="dxa"/>
            <w:left w:w="15" w:type="dxa"/>
            <w:bottom w:w="15" w:type="dxa"/>
            <w:right w:w="15" w:type="dxa"/>
          </w:tblCellMar>
        </w:tblPrEx>
        <w:trPr>
          <w:trHeight w:val="283" w:hRule="atLeast"/>
        </w:trPr>
        <w:tc>
          <w:tcPr>
            <w:tcW w:w="745"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sz w:val="18"/>
                <w:szCs w:val="18"/>
              </w:rPr>
            </w:pPr>
            <w:r>
              <w:rPr>
                <w:rFonts w:hint="eastAsia"/>
                <w:sz w:val="18"/>
                <w:szCs w:val="18"/>
              </w:rPr>
              <w:t>2021/12/22</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sz w:val="18"/>
                <w:szCs w:val="18"/>
              </w:rPr>
            </w:pPr>
            <w:r>
              <w:rPr>
                <w:rFonts w:hint="eastAsia"/>
                <w:sz w:val="18"/>
                <w:szCs w:val="18"/>
              </w:rPr>
              <w:t>72.76</w:t>
            </w:r>
          </w:p>
        </w:tc>
        <w:tc>
          <w:tcPr>
            <w:tcW w:w="409" w:type="pct"/>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sz w:val="18"/>
                <w:szCs w:val="18"/>
              </w:rPr>
            </w:pPr>
            <w:r>
              <w:rPr>
                <w:rFonts w:hint="eastAsia"/>
                <w:sz w:val="18"/>
                <w:szCs w:val="18"/>
              </w:rPr>
              <w:t>75.29</w:t>
            </w:r>
          </w:p>
        </w:tc>
        <w:tc>
          <w:tcPr>
            <w:tcW w:w="3437" w:type="pct"/>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sz w:val="18"/>
                <w:szCs w:val="18"/>
              </w:rPr>
            </w:pPr>
            <w:r>
              <w:rPr>
                <w:sz w:val="18"/>
                <w:szCs w:val="18"/>
              </w:rPr>
              <w:t>美国原油库存降幅大于预期，交易商权衡了奥密克戎变异株对需求的影响，国际油价延续涨势，WTI涨至一个月来最高</w:t>
            </w:r>
            <w:r>
              <w:rPr>
                <w:rFonts w:hint="eastAsia"/>
                <w:sz w:val="18"/>
                <w:szCs w:val="18"/>
              </w:rPr>
              <w:t>。</w:t>
            </w:r>
          </w:p>
        </w:tc>
      </w:tr>
    </w:tbl>
    <w:p>
      <w:pPr>
        <w:pStyle w:val="3"/>
        <w:numPr>
          <w:ilvl w:val="0"/>
          <w:numId w:val="0"/>
        </w:numPr>
        <w:spacing w:before="120" w:after="120" w:line="240" w:lineRule="auto"/>
        <w:rPr>
          <w:rFonts w:hint="eastAsia"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1.1</w:t>
      </w:r>
      <w:r>
        <w:rPr>
          <w:rFonts w:hint="eastAsia" w:ascii="宋体" w:hAnsi="宋体" w:eastAsia="宋体" w:cs="宋体"/>
          <w:b/>
          <w:color w:val="auto"/>
          <w:sz w:val="32"/>
          <w:szCs w:val="32"/>
          <w:highlight w:val="none"/>
          <w:lang w:val="en-US" w:eastAsia="zh-CN"/>
        </w:rPr>
        <w:t>国际原油收盘价涨跌情况（单位：美元/桶）</w:t>
      </w:r>
      <w:bookmarkEnd w:id="1"/>
      <w:bookmarkEnd w:id="2"/>
    </w:p>
    <w:p>
      <w:pPr>
        <w:pStyle w:val="3"/>
        <w:numPr>
          <w:ilvl w:val="0"/>
          <w:numId w:val="0"/>
        </w:numPr>
        <w:spacing w:before="120" w:after="120" w:line="240" w:lineRule="auto"/>
        <w:rPr>
          <w:rFonts w:hint="eastAsia" w:ascii="宋体" w:hAnsi="宋体" w:eastAsia="宋体" w:cs="宋体"/>
          <w:b/>
          <w:color w:val="auto"/>
          <w:sz w:val="32"/>
          <w:szCs w:val="32"/>
          <w:highlight w:val="none"/>
          <w:lang w:val="en-US" w:eastAsia="zh-CN"/>
        </w:rPr>
      </w:pPr>
      <w:bookmarkStart w:id="3" w:name="_Toc19234"/>
      <w:bookmarkStart w:id="4" w:name="_Toc67556953"/>
      <w:r>
        <w:rPr>
          <w:rFonts w:hint="eastAsia" w:ascii="宋体" w:hAnsi="宋体" w:cs="宋体"/>
          <w:b/>
          <w:color w:val="auto"/>
          <w:sz w:val="32"/>
          <w:szCs w:val="32"/>
          <w:highlight w:val="none"/>
          <w:lang w:val="en-US" w:eastAsia="zh-CN"/>
        </w:rPr>
        <w:t>1.</w:t>
      </w:r>
      <w:r>
        <w:rPr>
          <w:rFonts w:hint="eastAsia" w:ascii="宋体" w:hAnsi="宋体" w:eastAsia="宋体" w:cs="宋体"/>
          <w:b/>
          <w:color w:val="auto"/>
          <w:sz w:val="32"/>
          <w:szCs w:val="32"/>
          <w:highlight w:val="none"/>
          <w:lang w:val="en-US" w:eastAsia="zh-CN"/>
        </w:rPr>
        <w:t>2.2021年国际原油价格走势图</w:t>
      </w:r>
      <w:bookmarkEnd w:id="3"/>
      <w:bookmarkEnd w:id="4"/>
    </w:p>
    <w:p>
      <w:pPr>
        <w:widowControl/>
        <w:wordWrap w:val="0"/>
        <w:spacing w:after="90" w:line="288" w:lineRule="auto"/>
        <w:jc w:val="center"/>
        <w:rPr>
          <w:rFonts w:hint="eastAsia" w:asciiTheme="minorEastAsia" w:hAnsiTheme="minorEastAsia" w:eastAsiaTheme="minorEastAsia" w:cstheme="minorEastAsia"/>
          <w:b/>
          <w:color w:val="auto"/>
          <w:kern w:val="0"/>
          <w:sz w:val="30"/>
          <w:szCs w:val="30"/>
        </w:rPr>
      </w:pPr>
      <w:r>
        <w:rPr>
          <w:rFonts w:hint="eastAsia" w:ascii="宋体" w:hAnsi="宋体" w:cs="Arial"/>
          <w:b/>
          <w:kern w:val="0"/>
          <w:sz w:val="30"/>
          <w:szCs w:val="30"/>
        </w:rPr>
        <w:drawing>
          <wp:inline distT="0" distB="0" distL="114300" distR="114300">
            <wp:extent cx="4609465" cy="3990340"/>
            <wp:effectExtent l="0" t="0" r="635"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609465" cy="3990340"/>
                    </a:xfrm>
                    <a:prstGeom prst="rect">
                      <a:avLst/>
                    </a:prstGeom>
                    <a:noFill/>
                    <a:ln>
                      <a:noFill/>
                    </a:ln>
                  </pic:spPr>
                </pic:pic>
              </a:graphicData>
            </a:graphic>
          </wp:inline>
        </w:drawing>
      </w:r>
    </w:p>
    <w:p>
      <w:pPr>
        <w:rPr>
          <w:rFonts w:hint="eastAsia" w:asciiTheme="minorEastAsia" w:hAnsiTheme="minorEastAsia" w:eastAsiaTheme="minorEastAsia" w:cstheme="minorEastAsia"/>
          <w:color w:val="auto"/>
        </w:rPr>
      </w:pPr>
    </w:p>
    <w:p>
      <w:pPr>
        <w:pStyle w:val="2"/>
        <w:numPr>
          <w:ilvl w:val="0"/>
          <w:numId w:val="1"/>
        </w:numPr>
        <w:spacing w:before="120" w:after="0" w:line="240" w:lineRule="auto"/>
        <w:rPr>
          <w:rFonts w:hint="eastAsia" w:ascii="宋体" w:hAnsi="宋体" w:eastAsia="宋体" w:cs="宋体"/>
          <w:b/>
          <w:bCs/>
          <w:color w:val="auto"/>
          <w:kern w:val="2"/>
          <w:sz w:val="36"/>
          <w:szCs w:val="36"/>
          <w:highlight w:val="none"/>
          <w:lang w:val="en-US" w:eastAsia="zh-CN" w:bidi="ar-SA"/>
        </w:rPr>
      </w:pPr>
      <w:bookmarkStart w:id="5" w:name="_Toc9112"/>
      <w:bookmarkStart w:id="6" w:name="_Toc67556954"/>
      <w:r>
        <w:rPr>
          <w:rFonts w:hint="eastAsia" w:ascii="宋体" w:hAnsi="宋体" w:eastAsia="宋体" w:cs="宋体"/>
          <w:b/>
          <w:bCs/>
          <w:color w:val="auto"/>
          <w:kern w:val="2"/>
          <w:sz w:val="36"/>
          <w:szCs w:val="36"/>
          <w:highlight w:val="none"/>
          <w:lang w:val="en-US" w:eastAsia="zh-CN" w:bidi="ar-SA"/>
        </w:rPr>
        <w:t>近期影响国际原油市场的主要因素</w:t>
      </w:r>
      <w:bookmarkEnd w:id="5"/>
    </w:p>
    <w:p>
      <w:pPr>
        <w:pStyle w:val="3"/>
        <w:numPr>
          <w:ilvl w:val="0"/>
          <w:numId w:val="0"/>
        </w:numPr>
        <w:spacing w:before="120" w:after="120" w:line="240" w:lineRule="auto"/>
        <w:rPr>
          <w:rFonts w:hint="eastAsia" w:ascii="宋体" w:hAnsi="宋体" w:eastAsia="宋体" w:cs="宋体"/>
          <w:b/>
          <w:color w:val="auto"/>
          <w:sz w:val="32"/>
          <w:szCs w:val="32"/>
          <w:highlight w:val="none"/>
          <w:lang w:val="en-US" w:eastAsia="zh-CN"/>
        </w:rPr>
      </w:pPr>
      <w:bookmarkStart w:id="7" w:name="_Toc22116"/>
      <w:r>
        <w:rPr>
          <w:rFonts w:hint="eastAsia" w:ascii="宋体" w:hAnsi="宋体" w:eastAsia="宋体" w:cs="宋体"/>
          <w:b/>
          <w:color w:val="auto"/>
          <w:sz w:val="32"/>
          <w:szCs w:val="32"/>
          <w:highlight w:val="none"/>
          <w:lang w:val="en-US" w:eastAsia="zh-CN"/>
        </w:rPr>
        <w:t>2.1近期影响国际原油市场的主要因素</w:t>
      </w:r>
      <w:bookmarkEnd w:id="6"/>
      <w:bookmarkEnd w:id="7"/>
    </w:p>
    <w:p>
      <w:pPr>
        <w:pStyle w:val="3"/>
        <w:spacing w:before="120" w:after="120" w:line="240" w:lineRule="auto"/>
        <w:rPr>
          <w:rFonts w:hint="eastAsia" w:ascii="宋体" w:hAnsi="宋体" w:eastAsia="宋体" w:cs="宋体"/>
          <w:b/>
          <w:color w:val="auto"/>
          <w:sz w:val="30"/>
          <w:szCs w:val="30"/>
          <w:highlight w:val="none"/>
          <w:lang w:val="en-US" w:eastAsia="zh-CN"/>
        </w:rPr>
      </w:pPr>
      <w:bookmarkStart w:id="8" w:name="_Toc12072"/>
      <w:bookmarkStart w:id="9" w:name="_Toc67556955"/>
      <w:r>
        <w:rPr>
          <w:rFonts w:hint="eastAsia" w:ascii="宋体" w:hAnsi="宋体" w:eastAsia="宋体" w:cs="宋体"/>
          <w:b/>
          <w:color w:val="auto"/>
          <w:sz w:val="30"/>
          <w:szCs w:val="30"/>
          <w:highlight w:val="none"/>
          <w:lang w:val="en-US" w:eastAsia="zh-CN"/>
        </w:rPr>
        <w:t>1.美国原油库存情况</w:t>
      </w:r>
      <w:bookmarkEnd w:id="8"/>
      <w:bookmarkEnd w:id="9"/>
      <w:r>
        <w:rPr>
          <w:rFonts w:hint="eastAsia" w:ascii="宋体" w:hAnsi="宋体" w:eastAsia="宋体" w:cs="宋体"/>
          <w:b/>
          <w:color w:val="auto"/>
          <w:sz w:val="30"/>
          <w:szCs w:val="30"/>
          <w:highlight w:val="none"/>
          <w:lang w:val="en-US" w:eastAsia="zh-CN"/>
        </w:rPr>
        <w:t xml:space="preserve"> </w:t>
      </w:r>
    </w:p>
    <w:p>
      <w:pPr>
        <w:pStyle w:val="23"/>
        <w:ind w:firstLine="360" w:firstLineChars="200"/>
        <w:rPr>
          <w:sz w:val="18"/>
          <w:szCs w:val="18"/>
        </w:rPr>
      </w:pPr>
      <w:bookmarkStart w:id="10" w:name="_Toc8280"/>
      <w:bookmarkStart w:id="11" w:name="_Toc69977252"/>
      <w:r>
        <w:rPr>
          <w:rFonts w:hint="eastAsia"/>
          <w:sz w:val="18"/>
          <w:szCs w:val="18"/>
        </w:rPr>
        <w:t>本周，</w:t>
      </w:r>
      <w:r>
        <w:rPr>
          <w:sz w:val="18"/>
          <w:szCs w:val="18"/>
        </w:rPr>
        <w:t>美国EIA公布的数据显示，截至12月10日当周美国除却战略储备的商业原油库存降幅超预期，精炼油库存和汽油库存降幅均大幅度超预期。具体数据显示，美国截至12月10日当周EIA原油库存变动实际公布减少458.40万桶，预期减少170万桶，前值减少24.1万桶。此外，美国截至12月10日当周EIA汽油库存实际公布减少71.90万桶，预期增加205万桶，前值增加388.2万桶;美国截至12月10日当周EIA精炼油库存实际公布减少285.20万桶，预期增加100万桶，前值增加273.3万桶。EIA报告显示，美国汽油产品需求达到创纪录的2320万桶/日。美国战略石油储备(SPR)原油库存最近一周跌至2002年12月以来的最低水平。最近一周美国墨西哥湾沿岸蒸馏油库存降至2019年12月以来的最低水平。美国原油出口较上周跃升61%，达到7月以来的最高水平。美国石油协会(API)发布的行业版库存周报显示，美国12月10日当周API原油库存减少81.5万桶，预期下降260.0万桶，前值减少308.9万桶;库欣原油库存增加225.7万桶。</w:t>
      </w:r>
    </w:p>
    <w:p>
      <w:pPr>
        <w:pStyle w:val="3"/>
        <w:spacing w:before="120" w:after="120" w:line="240" w:lineRule="auto"/>
        <w:rPr>
          <w:rFonts w:hint="eastAsia"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lang w:val="en-US" w:eastAsia="zh-CN"/>
        </w:rPr>
        <w:t>2.美国经济形势</w:t>
      </w:r>
      <w:bookmarkEnd w:id="10"/>
      <w:bookmarkEnd w:id="11"/>
    </w:p>
    <w:p>
      <w:pPr>
        <w:pStyle w:val="23"/>
        <w:ind w:firstLine="360" w:firstLineChars="200"/>
        <w:rPr>
          <w:sz w:val="18"/>
          <w:szCs w:val="18"/>
        </w:rPr>
      </w:pPr>
      <w:bookmarkStart w:id="12" w:name="_Toc76629721"/>
      <w:bookmarkStart w:id="13" w:name="_Toc11654"/>
      <w:bookmarkStart w:id="14" w:name="_Toc69977253"/>
      <w:r>
        <w:rPr>
          <w:sz w:val="18"/>
          <w:szCs w:val="18"/>
        </w:rPr>
        <w:t>隔夜，海外市场聚焦美国经济以及公司动态。美国经济方面，美国年末消费者信心进一步改善，今年经济料强势收官;拜登声称假日季供应链危机已避免，呼吁通过重建更美好未来法案。公司动态方面，特斯拉CEO马斯克称“基本完成”售股，股价大涨7.5%;美国联邦贸易委员会对亚马逊云计算业务展开新的反垄断调查;特斯拉车载游戏功能遭美国汽车安全监管机构调查;辉瑞新冠口服药获美国FDA紧急授权，试验显示可将住院情况减少89%。此外，研究显示感染奥密克戎后的住院风险明显较低。</w:t>
      </w:r>
    </w:p>
    <w:p>
      <w:pPr>
        <w:pStyle w:val="23"/>
        <w:ind w:firstLine="360" w:firstLineChars="200"/>
        <w:rPr>
          <w:sz w:val="18"/>
          <w:szCs w:val="18"/>
        </w:rPr>
      </w:pPr>
      <w:r>
        <w:rPr>
          <w:sz w:val="18"/>
          <w:szCs w:val="18"/>
        </w:rPr>
        <w:t>路透：美国年末消费者信心进一步改善 今年经济料强势收官</w:t>
      </w:r>
    </w:p>
    <w:p>
      <w:pPr>
        <w:pStyle w:val="23"/>
        <w:ind w:firstLine="360" w:firstLineChars="200"/>
        <w:rPr>
          <w:sz w:val="18"/>
          <w:szCs w:val="18"/>
        </w:rPr>
      </w:pPr>
      <w:r>
        <w:rPr>
          <w:sz w:val="18"/>
          <w:szCs w:val="18"/>
        </w:rPr>
        <w:t>美国消费者信心在12月进一步改善，表明尽管疫情反扑，且财政刺激减少，但经济在2022年仍将继续扩张。世界大型企业研究会公布，12月消费者信心指数升至115.8，预估为110.8。</w:t>
      </w:r>
    </w:p>
    <w:p>
      <w:pPr>
        <w:pStyle w:val="23"/>
        <w:ind w:firstLine="360" w:firstLineChars="200"/>
        <w:rPr>
          <w:sz w:val="18"/>
          <w:szCs w:val="18"/>
        </w:rPr>
      </w:pPr>
      <w:r>
        <w:rPr>
          <w:sz w:val="18"/>
          <w:szCs w:val="18"/>
        </w:rPr>
        <w:t>全美不动产协会(NAR)的报告锦上添花。报告显示，美国11月成屋销售经季节调整后年率为646万户，增加1.9%。</w:t>
      </w:r>
    </w:p>
    <w:p>
      <w:pPr>
        <w:pStyle w:val="23"/>
        <w:ind w:firstLine="360" w:firstLineChars="200"/>
        <w:rPr>
          <w:sz w:val="18"/>
          <w:szCs w:val="18"/>
        </w:rPr>
      </w:pPr>
      <w:r>
        <w:rPr>
          <w:sz w:val="18"/>
          <w:szCs w:val="18"/>
        </w:rPr>
        <w:t>美国商务部报告显示，美国第三季GDP环比年率上修为成长2.3%，前值为成长2.1%。</w:t>
      </w:r>
    </w:p>
    <w:p>
      <w:pPr>
        <w:pStyle w:val="23"/>
        <w:ind w:firstLine="360" w:firstLineChars="200"/>
        <w:rPr>
          <w:sz w:val="18"/>
          <w:szCs w:val="18"/>
        </w:rPr>
      </w:pPr>
      <w:r>
        <w:rPr>
          <w:sz w:val="18"/>
          <w:szCs w:val="18"/>
        </w:rPr>
        <w:t>路透：拜登声称假日季供应链危机已避免 呼吁通过重建更美好未来法案</w:t>
      </w:r>
    </w:p>
    <w:p>
      <w:pPr>
        <w:pStyle w:val="23"/>
        <w:ind w:firstLine="360" w:firstLineChars="200"/>
        <w:rPr>
          <w:sz w:val="18"/>
          <w:szCs w:val="18"/>
        </w:rPr>
      </w:pPr>
      <w:r>
        <w:rPr>
          <w:sz w:val="18"/>
          <w:szCs w:val="18"/>
        </w:rPr>
        <w:t>美国总统乔·拜登表示，他的政府与工会和企业一起成功避免了假日季节的供应链危机。</w:t>
      </w:r>
    </w:p>
    <w:p>
      <w:pPr>
        <w:pStyle w:val="23"/>
        <w:ind w:firstLine="360" w:firstLineChars="200"/>
        <w:rPr>
          <w:sz w:val="18"/>
          <w:szCs w:val="18"/>
        </w:rPr>
      </w:pPr>
      <w:r>
        <w:rPr>
          <w:sz w:val="18"/>
          <w:szCs w:val="18"/>
        </w:rPr>
        <w:t>“今年秋天的时候，我们听到很多关于供应链问题的可怕警告，声称假日前后会出现危机，”拜登在白宫称。 “所以我们采取了行动。我们召集了商界和劳工界的领袖来解决问题。这场被预测很可能发生的危机并未出现。”</w:t>
      </w:r>
    </w:p>
    <w:p>
      <w:pPr>
        <w:pStyle w:val="23"/>
        <w:ind w:firstLine="360" w:firstLineChars="200"/>
        <w:rPr>
          <w:sz w:val="18"/>
          <w:szCs w:val="18"/>
        </w:rPr>
      </w:pPr>
      <w:r>
        <w:rPr>
          <w:sz w:val="18"/>
          <w:szCs w:val="18"/>
        </w:rPr>
        <w:t>拜登称，“包裹正在运送”，“商店里的货架没有空荡荡”，并称赞他的政府为改善美国港口的货物流动而采取的行动。</w:t>
      </w:r>
    </w:p>
    <w:p>
      <w:pPr>
        <w:pStyle w:val="23"/>
        <w:ind w:firstLine="360" w:firstLineChars="200"/>
        <w:rPr>
          <w:sz w:val="18"/>
          <w:szCs w:val="18"/>
        </w:rPr>
      </w:pPr>
      <w:r>
        <w:rPr>
          <w:sz w:val="18"/>
          <w:szCs w:val="18"/>
        </w:rPr>
        <w:t>但他表示，通胀上升是“我最关心的问题”，降低成本是“整个政府的首要任务”。</w:t>
      </w:r>
    </w:p>
    <w:p>
      <w:pPr>
        <w:pStyle w:val="23"/>
        <w:ind w:firstLine="360" w:firstLineChars="200"/>
        <w:rPr>
          <w:sz w:val="18"/>
          <w:szCs w:val="18"/>
        </w:rPr>
      </w:pPr>
      <w:r>
        <w:rPr>
          <w:sz w:val="18"/>
          <w:szCs w:val="18"/>
        </w:rPr>
        <w:t>美国企业之前警告称，美国供应链的结构性挑战——包括处理创纪录数量商品的过时航运系统——将持续到新年，而且没有什么包治百病的解决方案。</w:t>
      </w:r>
    </w:p>
    <w:p>
      <w:pPr>
        <w:pStyle w:val="23"/>
        <w:ind w:firstLine="360" w:firstLineChars="200"/>
        <w:rPr>
          <w:sz w:val="18"/>
          <w:szCs w:val="18"/>
        </w:rPr>
      </w:pPr>
      <w:r>
        <w:rPr>
          <w:sz w:val="18"/>
          <w:szCs w:val="18"/>
        </w:rPr>
        <w:t>通胀是拜登面临的一个核心政治问题。拜登周二宣称汽油价格已经下跌，并呼吁通过他的最为重要的国内政策法案，即重建更美好未来法案。拜登认为，该法案将在长期内缓解价格压力。周日民主党参议员曼钦以担心通胀为由拒绝支持该法案，导致其陷入僵局。</w:t>
      </w:r>
    </w:p>
    <w:p>
      <w:pPr>
        <w:pStyle w:val="23"/>
        <w:ind w:firstLine="360" w:firstLineChars="200"/>
        <w:rPr>
          <w:sz w:val="18"/>
          <w:szCs w:val="18"/>
        </w:rPr>
      </w:pPr>
      <w:r>
        <w:rPr>
          <w:sz w:val="18"/>
          <w:szCs w:val="18"/>
        </w:rPr>
        <w:t>路透：特斯拉CEO马斯克称“基本完成”售股 股价大涨7.5%</w:t>
      </w:r>
    </w:p>
    <w:p>
      <w:pPr>
        <w:pStyle w:val="23"/>
        <w:ind w:firstLine="360" w:firstLineChars="200"/>
        <w:rPr>
          <w:sz w:val="18"/>
          <w:szCs w:val="18"/>
        </w:rPr>
      </w:pPr>
      <w:r>
        <w:rPr>
          <w:sz w:val="18"/>
          <w:szCs w:val="18"/>
        </w:rPr>
        <w:t>特斯拉首席执行官马斯克(Elon Musk)周三表示，他在一个多月中卖出价值超过140亿美元的股票后，“差不多已经完成”售股。</w:t>
      </w:r>
    </w:p>
    <w:p>
      <w:pPr>
        <w:pStyle w:val="23"/>
        <w:ind w:firstLine="360" w:firstLineChars="200"/>
        <w:rPr>
          <w:sz w:val="18"/>
          <w:szCs w:val="18"/>
        </w:rPr>
      </w:pPr>
      <w:r>
        <w:rPr>
          <w:sz w:val="18"/>
          <w:szCs w:val="18"/>
        </w:rPr>
        <w:t>关于他是否已经达成此前宣称的出售手中10%特斯拉股票的目标，这位亿万富翁发表了令人困惑的言论。</w:t>
      </w:r>
    </w:p>
    <w:p>
      <w:pPr>
        <w:pStyle w:val="23"/>
        <w:ind w:firstLine="360" w:firstLineChars="200"/>
        <w:rPr>
          <w:sz w:val="18"/>
          <w:szCs w:val="18"/>
        </w:rPr>
      </w:pPr>
      <w:r>
        <w:rPr>
          <w:sz w:val="18"/>
          <w:szCs w:val="18"/>
        </w:rPr>
        <w:t>“我卖出了足够多的股票，加上行使期权，可以达到10%左右，”他在接受讽刺网站Babylon Bee采访时称。</w:t>
      </w:r>
    </w:p>
    <w:p>
      <w:pPr>
        <w:pStyle w:val="23"/>
        <w:ind w:firstLine="360" w:firstLineChars="200"/>
        <w:rPr>
          <w:sz w:val="18"/>
          <w:szCs w:val="18"/>
        </w:rPr>
      </w:pPr>
      <w:r>
        <w:rPr>
          <w:sz w:val="18"/>
          <w:szCs w:val="18"/>
        </w:rPr>
        <w:t>但他在周三暗示可能还没有完成。“这是假设完成了100亿美元的出售，”他在推特上说，指的是他预先安排的与期权有关的出售计划。“还剩下几批，但差不多已经完成了，”他后来发推文说。</w:t>
      </w:r>
    </w:p>
    <w:p>
      <w:pPr>
        <w:pStyle w:val="23"/>
        <w:ind w:firstLine="360" w:firstLineChars="200"/>
        <w:rPr>
          <w:sz w:val="18"/>
          <w:szCs w:val="18"/>
        </w:rPr>
      </w:pPr>
      <w:r>
        <w:rPr>
          <w:sz w:val="18"/>
          <w:szCs w:val="18"/>
        </w:rPr>
        <w:t>根据特斯拉提交的文件，按照9月制定的10b5-1规则交易计划，他已经行使了明年到期的股票期权，并出售了一部分股票来缴税。在一连串的出售行动后，马斯克仍有超过300万股票期权在明年8月到期。</w:t>
      </w:r>
    </w:p>
    <w:p>
      <w:pPr>
        <w:pStyle w:val="23"/>
        <w:ind w:firstLine="360" w:firstLineChars="200"/>
        <w:rPr>
          <w:sz w:val="18"/>
          <w:szCs w:val="18"/>
        </w:rPr>
      </w:pPr>
      <w:r>
        <w:rPr>
          <w:sz w:val="18"/>
          <w:szCs w:val="18"/>
        </w:rPr>
        <w:t>特斯拉股价收盘大涨7.5%，报1008.87美元，该公司估值略高于1万亿美元。</w:t>
      </w:r>
    </w:p>
    <w:p>
      <w:pPr>
        <w:pStyle w:val="23"/>
        <w:ind w:firstLine="360" w:firstLineChars="200"/>
        <w:rPr>
          <w:sz w:val="18"/>
          <w:szCs w:val="18"/>
        </w:rPr>
      </w:pPr>
      <w:r>
        <w:rPr>
          <w:sz w:val="18"/>
          <w:szCs w:val="18"/>
        </w:rPr>
        <w:t>彭博：美国联邦贸易委员会对亚马逊云计算业务展开新的反垄断调查</w:t>
      </w:r>
    </w:p>
    <w:p>
      <w:pPr>
        <w:pStyle w:val="23"/>
        <w:ind w:firstLine="360" w:firstLineChars="200"/>
        <w:rPr>
          <w:sz w:val="18"/>
          <w:szCs w:val="18"/>
        </w:rPr>
      </w:pPr>
      <w:r>
        <w:rPr>
          <w:sz w:val="18"/>
          <w:szCs w:val="18"/>
        </w:rPr>
        <w:t>知情人士透露，美国联邦贸易委员会(FTC)正在推进对亚马逊云计算业务的反垄断调查。</w:t>
      </w:r>
    </w:p>
    <w:p>
      <w:pPr>
        <w:pStyle w:val="23"/>
        <w:ind w:firstLine="360" w:firstLineChars="200"/>
        <w:rPr>
          <w:sz w:val="18"/>
          <w:szCs w:val="18"/>
        </w:rPr>
      </w:pPr>
      <w:r>
        <w:rPr>
          <w:sz w:val="18"/>
          <w:szCs w:val="18"/>
        </w:rPr>
        <w:t>FTC主席Lina Khan一直是亚马逊的批评者，正在推进前任主席几年前启动的一项调查。</w:t>
      </w:r>
    </w:p>
    <w:p>
      <w:pPr>
        <w:pStyle w:val="23"/>
        <w:ind w:firstLine="360" w:firstLineChars="200"/>
        <w:rPr>
          <w:sz w:val="18"/>
          <w:szCs w:val="18"/>
        </w:rPr>
      </w:pPr>
      <w:r>
        <w:rPr>
          <w:sz w:val="18"/>
          <w:szCs w:val="18"/>
        </w:rPr>
        <w:t>因未获授权谈论此事而要求不具名的知情人士称，FTC调查人员过去几个月联系了一些公司，以收集与Amazon Web Services (AWS)竞争问题有关的信息。一位知情人士称，其中至少一家公司是最近几周联系的。</w:t>
      </w:r>
    </w:p>
    <w:p>
      <w:pPr>
        <w:pStyle w:val="23"/>
        <w:ind w:firstLine="360" w:firstLineChars="200"/>
        <w:rPr>
          <w:sz w:val="18"/>
          <w:szCs w:val="18"/>
        </w:rPr>
      </w:pPr>
      <w:r>
        <w:rPr>
          <w:sz w:val="18"/>
          <w:szCs w:val="18"/>
        </w:rPr>
        <w:t>亚马逊160亿美元的云计算业务也是该公司最大的利润源。调查这项业务之际，Khan早已把目标瞄准了美国一些最大的科技公司。Khan曾是哥伦比亚大学法学院教授，在反垄断界大名鼎鼎，一直警告亚马逊之类公司对数字经济时代的竞争构成威胁。</w:t>
      </w:r>
    </w:p>
    <w:p>
      <w:pPr>
        <w:pStyle w:val="23"/>
        <w:ind w:firstLine="360" w:firstLineChars="200"/>
        <w:rPr>
          <w:sz w:val="18"/>
          <w:szCs w:val="18"/>
        </w:rPr>
      </w:pPr>
      <w:r>
        <w:rPr>
          <w:sz w:val="18"/>
          <w:szCs w:val="18"/>
        </w:rPr>
        <w:t>FTC可能关注的一个问题是，亚马逊是否有动机歧视向AWS客户销售产品同时又与亚马逊竞争的软件公司。FTC担心亚马逊可能会惩罚与其他云服务提供商合作的公司，优待与自己独家合作的公司。</w:t>
      </w:r>
    </w:p>
    <w:p>
      <w:pPr>
        <w:pStyle w:val="23"/>
        <w:ind w:firstLine="360" w:firstLineChars="200"/>
        <w:rPr>
          <w:sz w:val="18"/>
          <w:szCs w:val="18"/>
        </w:rPr>
      </w:pPr>
      <w:r>
        <w:rPr>
          <w:sz w:val="18"/>
          <w:szCs w:val="18"/>
        </w:rPr>
        <w:t>华尔街日报：特斯拉车载游戏功能遭美国汽车安全监管机构调查</w:t>
      </w:r>
    </w:p>
    <w:p>
      <w:pPr>
        <w:pStyle w:val="23"/>
        <w:ind w:firstLine="360" w:firstLineChars="200"/>
        <w:rPr>
          <w:sz w:val="18"/>
          <w:szCs w:val="18"/>
        </w:rPr>
      </w:pPr>
      <w:r>
        <w:rPr>
          <w:sz w:val="18"/>
          <w:szCs w:val="18"/>
        </w:rPr>
        <w:t>美国最高汽车安全监管机构对特斯拉(Tesla Inc.)的一项功能展开了调查，该功能让乘客在车辆行驶中在司机能看到的车载触摸屏上玩游戏。</w:t>
      </w:r>
    </w:p>
    <w:p>
      <w:pPr>
        <w:pStyle w:val="23"/>
        <w:ind w:firstLine="360" w:firstLineChars="200"/>
        <w:rPr>
          <w:sz w:val="18"/>
          <w:szCs w:val="18"/>
        </w:rPr>
      </w:pPr>
      <w:r>
        <w:rPr>
          <w:sz w:val="18"/>
          <w:szCs w:val="18"/>
        </w:rPr>
        <w:t>美国全国高速公路交通安全委员会(NHTSA)在周三公布的文件中称，这项功能已在部分车辆中出现约一年时间，该功能可能使司机分心，从而增加撞车风险。该机构称，这项功能之前只能在车辆停靠时使用。</w:t>
      </w:r>
    </w:p>
    <w:p>
      <w:pPr>
        <w:pStyle w:val="23"/>
        <w:ind w:firstLine="360" w:firstLineChars="200"/>
        <w:rPr>
          <w:sz w:val="18"/>
          <w:szCs w:val="18"/>
        </w:rPr>
      </w:pPr>
      <w:r>
        <w:rPr>
          <w:sz w:val="18"/>
          <w:szCs w:val="18"/>
        </w:rPr>
        <w:t>NHTSA表示，这项调查涵盖2017年以来的约58万辆各种特斯拉车型。</w:t>
      </w:r>
    </w:p>
    <w:p>
      <w:pPr>
        <w:pStyle w:val="23"/>
        <w:ind w:firstLine="360" w:firstLineChars="200"/>
        <w:rPr>
          <w:sz w:val="18"/>
          <w:szCs w:val="18"/>
        </w:rPr>
      </w:pPr>
      <w:r>
        <w:rPr>
          <w:sz w:val="18"/>
          <w:szCs w:val="18"/>
        </w:rPr>
        <w:t>彭博：辉瑞新冠口服药获美国FDA紧急授权 试验显示可将住院情况减少89%</w:t>
      </w:r>
    </w:p>
    <w:p>
      <w:pPr>
        <w:pStyle w:val="23"/>
        <w:ind w:firstLine="360" w:firstLineChars="200"/>
        <w:rPr>
          <w:sz w:val="18"/>
          <w:szCs w:val="18"/>
        </w:rPr>
      </w:pPr>
      <w:r>
        <w:rPr>
          <w:sz w:val="18"/>
          <w:szCs w:val="18"/>
        </w:rPr>
        <w:t>美国监管机构给予辉瑞新冠口服药紧急使用授权，可用于患严重并发症风险较高的人群，在疫情关键时刻带来了更方便的治疗选择。</w:t>
      </w:r>
    </w:p>
    <w:p>
      <w:pPr>
        <w:pStyle w:val="23"/>
        <w:ind w:firstLine="360" w:firstLineChars="200"/>
        <w:rPr>
          <w:sz w:val="18"/>
          <w:szCs w:val="18"/>
        </w:rPr>
      </w:pPr>
      <w:r>
        <w:rPr>
          <w:sz w:val="18"/>
          <w:szCs w:val="18"/>
        </w:rPr>
        <w:t>辉瑞Paxlovid成为首款获监管授权的新冠家庭用药。一旦生产加速，有望成为抗击新冠病毒的强有力手段，为高风险患者提供可在家中使用的简易治疗方法。</w:t>
      </w:r>
    </w:p>
    <w:p>
      <w:pPr>
        <w:pStyle w:val="23"/>
        <w:ind w:firstLine="360" w:firstLineChars="200"/>
        <w:rPr>
          <w:sz w:val="18"/>
          <w:szCs w:val="18"/>
        </w:rPr>
      </w:pPr>
      <w:r>
        <w:rPr>
          <w:sz w:val="18"/>
          <w:szCs w:val="18"/>
        </w:rPr>
        <w:t>在一项Paxlovid大型临床试验中，未接种疫苗的高风险患者出现症状三天内用药，将住院情况减少了89%。辉瑞曾表示，在临床试验中，该药物与安慰剂产生的不良反应相似。</w:t>
      </w:r>
    </w:p>
    <w:p>
      <w:pPr>
        <w:pStyle w:val="23"/>
        <w:ind w:firstLine="360" w:firstLineChars="200"/>
        <w:rPr>
          <w:sz w:val="18"/>
          <w:szCs w:val="18"/>
        </w:rPr>
      </w:pPr>
      <w:r>
        <w:rPr>
          <w:sz w:val="18"/>
          <w:szCs w:val="18"/>
        </w:rPr>
        <w:t>但最初供应会非常有限，明年将加速供应。美国官员曾表示，虽然政府已订购1000万辉瑞口服药疗程，但预计眼下马上能提供的只有6.5万，到明年1月底将提供25万疗程。</w:t>
      </w:r>
    </w:p>
    <w:p>
      <w:pPr>
        <w:pStyle w:val="23"/>
        <w:ind w:firstLine="360" w:firstLineChars="200"/>
        <w:rPr>
          <w:sz w:val="18"/>
          <w:szCs w:val="18"/>
        </w:rPr>
      </w:pPr>
      <w:r>
        <w:rPr>
          <w:sz w:val="18"/>
          <w:szCs w:val="18"/>
        </w:rPr>
        <w:t>“辉瑞随时准备立即在美国开始供货，”辉瑞首席执行官Albert Bourla在声明中称。</w:t>
      </w:r>
    </w:p>
    <w:p>
      <w:pPr>
        <w:pStyle w:val="23"/>
        <w:ind w:firstLine="360" w:firstLineChars="200"/>
        <w:rPr>
          <w:sz w:val="18"/>
          <w:szCs w:val="18"/>
        </w:rPr>
      </w:pPr>
      <w:r>
        <w:rPr>
          <w:sz w:val="18"/>
          <w:szCs w:val="18"/>
        </w:rPr>
        <w:t>华尔街日报：研究显示感染奥密克戎后的住院风险明显较低</w:t>
      </w:r>
    </w:p>
    <w:p>
      <w:pPr>
        <w:pStyle w:val="23"/>
        <w:ind w:firstLine="360" w:firstLineChars="200"/>
        <w:rPr>
          <w:sz w:val="18"/>
          <w:szCs w:val="18"/>
        </w:rPr>
      </w:pPr>
      <w:r>
        <w:rPr>
          <w:sz w:val="18"/>
          <w:szCs w:val="18"/>
        </w:rPr>
        <w:t>来自苏格兰和南非的新数据表明，感染奥密克戎新冠变种的住院风险明显低于感染早期的病毒版本，这一令人鼓舞的迹象表明，疫苗在预防这种快速传播的病毒株引发重症方面仍然有效。</w:t>
      </w:r>
    </w:p>
    <w:p>
      <w:pPr>
        <w:pStyle w:val="23"/>
        <w:ind w:firstLine="360" w:firstLineChars="200"/>
        <w:rPr>
          <w:sz w:val="18"/>
          <w:szCs w:val="18"/>
        </w:rPr>
      </w:pPr>
      <w:r>
        <w:rPr>
          <w:sz w:val="18"/>
          <w:szCs w:val="18"/>
        </w:rPr>
        <w:t>不过科学家们警告称，由于奥密克戎的传染力更强，加上可以逃避疫苗接种或先前感染获得的免疫力，意味着该变种仍有可能通过感染更多的人，引发更多的疾病和死亡情况。</w:t>
      </w:r>
    </w:p>
    <w:p>
      <w:pPr>
        <w:pStyle w:val="23"/>
        <w:ind w:firstLine="360" w:firstLineChars="200"/>
        <w:rPr>
          <w:sz w:val="18"/>
          <w:szCs w:val="18"/>
        </w:rPr>
      </w:pPr>
      <w:r>
        <w:rPr>
          <w:sz w:val="18"/>
          <w:szCs w:val="18"/>
        </w:rPr>
        <w:t>爱丁堡大学的研究人员在一篇详述其研究结果的论文中说：“奥密克戎传播风险的增加，加上可以免疫逃逸，意味着虽然住院率下降，但是社区感染率增加将抵消这一优势。”</w:t>
      </w:r>
    </w:p>
    <w:p>
      <w:pPr>
        <w:pStyle w:val="23"/>
        <w:ind w:firstLine="360" w:firstLineChars="200"/>
        <w:rPr>
          <w:sz w:val="18"/>
          <w:szCs w:val="18"/>
        </w:rPr>
      </w:pPr>
      <w:r>
        <w:rPr>
          <w:sz w:val="18"/>
          <w:szCs w:val="18"/>
        </w:rPr>
        <w:t>爱丁堡大学的研究采用了苏格兰540万人的健康记录，发现感染奥密克戎患者的住院风险比感染德尔塔低了三分之二。</w:t>
      </w:r>
    </w:p>
    <w:p>
      <w:pPr>
        <w:pStyle w:val="3"/>
        <w:spacing w:before="120" w:after="120" w:line="240" w:lineRule="auto"/>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lang w:val="en-US" w:eastAsia="zh-CN"/>
        </w:rPr>
        <w:t>3.世界经济形势</w:t>
      </w:r>
      <w:bookmarkEnd w:id="12"/>
      <w:bookmarkEnd w:id="13"/>
    </w:p>
    <w:bookmarkEnd w:id="14"/>
    <w:p>
      <w:pPr>
        <w:pStyle w:val="23"/>
        <w:ind w:firstLine="360" w:firstLineChars="200"/>
        <w:rPr>
          <w:sz w:val="18"/>
          <w:szCs w:val="18"/>
        </w:rPr>
      </w:pPr>
      <w:bookmarkStart w:id="15" w:name="_Toc10797"/>
      <w:r>
        <w:rPr>
          <w:sz w:val="18"/>
          <w:szCs w:val="18"/>
        </w:rPr>
        <w:t>近期，国际货币基金组织(下称IMF)在最新发布的《全球金融稳定报告》(下称《报告》)中发出警告：“随着美联储和其他央行收回其在新冠肺炎疫情期间提供的支持，全球股票价格和房屋价值面临骤降风险。”</w:t>
      </w:r>
    </w:p>
    <w:p>
      <w:pPr>
        <w:pStyle w:val="23"/>
        <w:ind w:firstLine="360" w:firstLineChars="200"/>
        <w:rPr>
          <w:sz w:val="18"/>
          <w:szCs w:val="18"/>
        </w:rPr>
      </w:pPr>
      <w:r>
        <w:rPr>
          <w:sz w:val="18"/>
          <w:szCs w:val="18"/>
        </w:rPr>
        <w:t>全球经济正在进入通胀风险阶段，IMF呼吁各国央行应“非常警惕”，并在价格压力持续存在的情况下尽早采取措施，收紧货币政策。</w:t>
      </w:r>
    </w:p>
    <w:p>
      <w:pPr>
        <w:pStyle w:val="23"/>
        <w:ind w:firstLine="360" w:firstLineChars="200"/>
        <w:rPr>
          <w:sz w:val="18"/>
          <w:szCs w:val="18"/>
        </w:rPr>
      </w:pPr>
      <w:r>
        <w:rPr>
          <w:sz w:val="18"/>
          <w:szCs w:val="18"/>
        </w:rPr>
        <w:t>IMF发最严厉通胀警告</w:t>
      </w:r>
    </w:p>
    <w:p>
      <w:pPr>
        <w:pStyle w:val="23"/>
        <w:ind w:firstLine="360" w:firstLineChars="200"/>
        <w:rPr>
          <w:sz w:val="18"/>
          <w:szCs w:val="18"/>
        </w:rPr>
      </w:pPr>
      <w:r>
        <w:rPr>
          <w:sz w:val="18"/>
          <w:szCs w:val="18"/>
        </w:rPr>
        <w:t>据IMF数据显示，2021年发达经济体通胀率有望上升至2.8%，到2022年有望回落至2.3%。其中，美国通胀率在今明两年有望分别升至4.3%和3.5%。同时，新兴市场和发展中经济体面临更为严峻的挑战，2021年通胀率恐上升至5.5%。</w:t>
      </w:r>
    </w:p>
    <w:p>
      <w:pPr>
        <w:pStyle w:val="23"/>
        <w:ind w:firstLine="360" w:firstLineChars="200"/>
        <w:rPr>
          <w:sz w:val="18"/>
          <w:szCs w:val="18"/>
        </w:rPr>
      </w:pPr>
      <w:r>
        <w:rPr>
          <w:sz w:val="18"/>
          <w:szCs w:val="18"/>
        </w:rPr>
        <w:t>IMF资本市场部主管Tobias Adrian表示，通胀压力的显现“不同于以往任何时候”，这使得各国央行的计算变得更加复杂。</w:t>
      </w:r>
    </w:p>
    <w:p>
      <w:pPr>
        <w:pStyle w:val="23"/>
        <w:ind w:firstLine="360" w:firstLineChars="200"/>
        <w:rPr>
          <w:sz w:val="18"/>
          <w:szCs w:val="18"/>
        </w:rPr>
      </w:pPr>
      <w:r>
        <w:rPr>
          <w:sz w:val="18"/>
          <w:szCs w:val="18"/>
        </w:rPr>
        <w:t>IMF指出，美国及一些新兴市场和发展中经济体的通胀率迅速上升，主要原因是与疫情有关的供需不匹配和大宗商品价格相对一年前的低水平有所上涨。其中，能源价格大幅增长，推动全球通胀水平走高。</w:t>
      </w:r>
    </w:p>
    <w:p>
      <w:pPr>
        <w:pStyle w:val="23"/>
        <w:ind w:firstLine="360" w:firstLineChars="200"/>
        <w:rPr>
          <w:sz w:val="18"/>
          <w:szCs w:val="18"/>
        </w:rPr>
      </w:pPr>
      <w:r>
        <w:rPr>
          <w:sz w:val="18"/>
          <w:szCs w:val="18"/>
        </w:rPr>
        <w:t>“人们螺旋上升的怀疑情绪会阻碍私人投资，导致就业复苏放缓，而这正是各国央行在推迟收紧政策时想要避免的。”IMF称。</w:t>
      </w:r>
    </w:p>
    <w:p>
      <w:pPr>
        <w:pStyle w:val="23"/>
        <w:ind w:firstLine="360" w:firstLineChars="200"/>
        <w:rPr>
          <w:sz w:val="18"/>
          <w:szCs w:val="18"/>
        </w:rPr>
      </w:pPr>
      <w:r>
        <w:rPr>
          <w:sz w:val="18"/>
          <w:szCs w:val="18"/>
        </w:rPr>
        <w:t>Adrian指出，虽然IMF同意美联储和其他央行的观点，认为通胀的爆发可能是暂时的，大部分价格压力有望在2022年消退，但这一预测存在“相当大的不确定性”，主要取决于疫情的未来走势、供给中断的持续时间以及通胀预期的变化情况。总体而言，通胀风险偏向上行。如果疫情导致的供需失衡比预期更长，价格压力将更为持久，通胀预期将不断上升。</w:t>
      </w:r>
    </w:p>
    <w:p>
      <w:pPr>
        <w:pStyle w:val="23"/>
        <w:ind w:firstLine="360" w:firstLineChars="200"/>
        <w:rPr>
          <w:sz w:val="18"/>
          <w:szCs w:val="18"/>
        </w:rPr>
      </w:pPr>
      <w:r>
        <w:rPr>
          <w:sz w:val="18"/>
          <w:szCs w:val="18"/>
        </w:rPr>
        <w:t>有关专家认为，这是迄今为止IMF对于滞胀发出的最严厉警告。</w:t>
      </w:r>
    </w:p>
    <w:p>
      <w:pPr>
        <w:pStyle w:val="23"/>
        <w:ind w:firstLine="360" w:firstLineChars="200"/>
        <w:rPr>
          <w:sz w:val="18"/>
          <w:szCs w:val="18"/>
        </w:rPr>
      </w:pPr>
      <w:r>
        <w:rPr>
          <w:sz w:val="18"/>
          <w:szCs w:val="18"/>
        </w:rPr>
        <w:t>在此情况下，货币政策制定可谓如履薄冰，在控制通胀和金融风险过剩的同时，仍要继续支持经济复苏。IMF建议，政策制定者需要因当地的疫情和经济形势量体裁衣，在争取达成可持续的充分就业目标的同时，确保政策框架的信誉度。</w:t>
      </w:r>
    </w:p>
    <w:p>
      <w:pPr>
        <w:pStyle w:val="23"/>
        <w:ind w:firstLine="360" w:firstLineChars="200"/>
        <w:rPr>
          <w:sz w:val="18"/>
          <w:szCs w:val="18"/>
        </w:rPr>
      </w:pPr>
      <w:r>
        <w:rPr>
          <w:sz w:val="18"/>
          <w:szCs w:val="18"/>
        </w:rPr>
        <w:t>“一旦疫情导致的供需错配持续时间过长，或疫情对供给产能造成打击坏于预期，都将导致更为持久的通胀高企，并迫使发达经济体不得不加快货币政策正常化进程。”IMF称。</w:t>
      </w:r>
    </w:p>
    <w:p>
      <w:pPr>
        <w:pStyle w:val="23"/>
        <w:ind w:firstLine="360" w:firstLineChars="200"/>
        <w:rPr>
          <w:sz w:val="18"/>
          <w:szCs w:val="18"/>
        </w:rPr>
      </w:pPr>
      <w:r>
        <w:rPr>
          <w:sz w:val="18"/>
          <w:szCs w:val="18"/>
        </w:rPr>
        <w:t>股市方面，《报告》指出，过去18个月的上涨令股价相对于经济基本面高高在上，“股票价格失调”现象普遍存在。在经济前景突然重新评估或政策出现意外变化的情况下，股价可能出现大幅下跌。</w:t>
      </w:r>
    </w:p>
    <w:p>
      <w:pPr>
        <w:pStyle w:val="23"/>
        <w:ind w:firstLine="360" w:firstLineChars="200"/>
        <w:rPr>
          <w:sz w:val="18"/>
          <w:szCs w:val="18"/>
        </w:rPr>
      </w:pPr>
      <w:r>
        <w:rPr>
          <w:sz w:val="18"/>
          <w:szCs w:val="18"/>
        </w:rPr>
        <w:t>房市方面，《报告》认为，房价的下行风险很大。在最坏的情况下，发达经济体未来3年的房价跌幅约为14%，新兴市场约22%。同时，IMF指出，虽然房屋价值看起来跟2007—2008年金融危机之前一样高，但银行体系的状况比那时要好得多。</w:t>
      </w:r>
    </w:p>
    <w:p>
      <w:pPr>
        <w:pStyle w:val="23"/>
        <w:ind w:firstLine="360" w:firstLineChars="200"/>
        <w:rPr>
          <w:sz w:val="18"/>
          <w:szCs w:val="18"/>
        </w:rPr>
      </w:pPr>
      <w:r>
        <w:rPr>
          <w:sz w:val="18"/>
          <w:szCs w:val="18"/>
        </w:rPr>
        <w:t>“冲击可能来自中央银行本身，因为他们收紧政策的速度快于之前的预期。鉴于估值水平过高，我们担心可能出现大规模抛售。”Adrian称。</w:t>
      </w:r>
    </w:p>
    <w:p>
      <w:pPr>
        <w:pStyle w:val="23"/>
        <w:ind w:firstLine="360" w:firstLineChars="200"/>
        <w:rPr>
          <w:sz w:val="18"/>
          <w:szCs w:val="18"/>
        </w:rPr>
      </w:pPr>
      <w:r>
        <w:rPr>
          <w:sz w:val="18"/>
          <w:szCs w:val="18"/>
        </w:rPr>
        <w:t>加密货币对发展中经济体影响更大</w:t>
      </w:r>
    </w:p>
    <w:p>
      <w:pPr>
        <w:pStyle w:val="23"/>
        <w:ind w:firstLine="360" w:firstLineChars="200"/>
        <w:rPr>
          <w:sz w:val="18"/>
          <w:szCs w:val="18"/>
        </w:rPr>
      </w:pPr>
      <w:r>
        <w:rPr>
          <w:sz w:val="18"/>
          <w:szCs w:val="18"/>
        </w:rPr>
        <w:t>数据显示，截至2021年9月，全球加密资产总市值激增至2万亿美元。自2020年初以来，近两年时间里增长了9倍，包含交易所、钱包、矿工和稳定币发行机构在内的整个生态系统都在飞速发展。</w:t>
      </w:r>
    </w:p>
    <w:p>
      <w:pPr>
        <w:pStyle w:val="23"/>
        <w:ind w:firstLine="360" w:firstLineChars="200"/>
        <w:rPr>
          <w:sz w:val="18"/>
          <w:szCs w:val="18"/>
        </w:rPr>
      </w:pPr>
      <w:r>
        <w:rPr>
          <w:sz w:val="18"/>
          <w:szCs w:val="18"/>
        </w:rPr>
        <w:t>《报告》一方面肯定了加密资产生态给世界带来的新机遇，如更加便捷快速的支付、金融服务的创新，以及其普惠金融的先天优势惠及此前“尚未享受到银行服务”的地区等。另一方面指出了加密资产生态带来的风险，包括加密资产剧烈波动带来的金融安全威胁、去中心化系统中的黑客攻击事件、反洗钱反恐怖带来更多挑战等问题。</w:t>
      </w:r>
    </w:p>
    <w:p>
      <w:pPr>
        <w:pStyle w:val="23"/>
        <w:ind w:firstLine="360" w:firstLineChars="200"/>
        <w:rPr>
          <w:sz w:val="18"/>
          <w:szCs w:val="18"/>
        </w:rPr>
      </w:pPr>
      <w:r>
        <w:rPr>
          <w:sz w:val="18"/>
          <w:szCs w:val="18"/>
        </w:rPr>
        <w:t>《报告》指出，加密资产的匿名性给监管机构造成了数据缺口。除增大监管难度外，也可能为洗钱和恐怖主义融资创造条件。尽管一些政府有能力追踪非法交易，但却无法确认参与交易的人员。同时，全球性的加密资产生态在不同国家处于不同监管框架之下。</w:t>
      </w:r>
    </w:p>
    <w:p>
      <w:pPr>
        <w:pStyle w:val="23"/>
        <w:ind w:firstLine="360" w:firstLineChars="200"/>
        <w:rPr>
          <w:sz w:val="18"/>
          <w:szCs w:val="18"/>
        </w:rPr>
      </w:pPr>
      <w:r>
        <w:rPr>
          <w:sz w:val="18"/>
          <w:szCs w:val="18"/>
        </w:rPr>
        <w:t>由于披露和监督同时不到位，使得消费者存在重大风险。据《报告》统计，近几年，陆续有超过1.6万种代币在各家交易所上市。目前尚存的约9000种，其余7000种左右的代币因没有交易量或为投机诈骗项目等因素逐渐消失或被取缔。</w:t>
      </w:r>
    </w:p>
    <w:p>
      <w:pPr>
        <w:pStyle w:val="23"/>
        <w:ind w:firstLine="360" w:firstLineChars="200"/>
        <w:rPr>
          <w:sz w:val="18"/>
          <w:szCs w:val="18"/>
        </w:rPr>
      </w:pPr>
      <w:r>
        <w:rPr>
          <w:sz w:val="18"/>
          <w:szCs w:val="18"/>
        </w:rPr>
        <w:t>《报告》强调，尽管迄今为止还未对金融稳定性产生重大影响，但随着加密资产逐步进入主流，体量不断增大，对经济体系的影响势必会增大。</w:t>
      </w:r>
    </w:p>
    <w:p>
      <w:pPr>
        <w:pStyle w:val="23"/>
        <w:ind w:firstLine="360" w:firstLineChars="200"/>
        <w:rPr>
          <w:sz w:val="18"/>
          <w:szCs w:val="18"/>
        </w:rPr>
      </w:pPr>
      <w:r>
        <w:rPr>
          <w:sz w:val="18"/>
          <w:szCs w:val="18"/>
        </w:rPr>
        <w:t>据IMF调查，2021年，发展中经济体国民在加密资产交易所的交易量大幅增加。对于加密资产的广泛、快速使用，可能使得本身经济体较弱的国家或地区的加密资产化或美元化趋势加强，本国货币相对减弱。</w:t>
      </w:r>
    </w:p>
    <w:p>
      <w:pPr>
        <w:pStyle w:val="23"/>
        <w:ind w:firstLine="360" w:firstLineChars="200"/>
        <w:rPr>
          <w:sz w:val="18"/>
          <w:szCs w:val="18"/>
        </w:rPr>
      </w:pPr>
      <w:r>
        <w:rPr>
          <w:sz w:val="18"/>
          <w:szCs w:val="18"/>
        </w:rPr>
        <w:t>今年以来，中国对加密货币采取一系列措施，逐渐将这一领域划入“红线”。5月18日，中国互联网金融协会、中国银行业协会、中国支付清算协会联合发布《关于防范虚拟货币交易炒作风险的公告》，抵制虚拟货币相关的金融活动。5月21日，在国务院金融稳定发展委员会会议上，将比特币挖矿和交易行为定为打击对象，以防范个体风险向社会领域传递。随后，各地方省市先后出台相关政策对加密货币挖矿进行整顿和清理。目前，一些加密货币采矿公司已陆续撤离中国。</w:t>
      </w:r>
    </w:p>
    <w:p>
      <w:pPr>
        <w:pStyle w:val="23"/>
        <w:ind w:firstLine="360" w:firstLineChars="200"/>
        <w:rPr>
          <w:sz w:val="18"/>
          <w:szCs w:val="18"/>
        </w:rPr>
      </w:pPr>
      <w:r>
        <w:rPr>
          <w:sz w:val="18"/>
          <w:szCs w:val="18"/>
        </w:rPr>
        <w:t>IMF对此表示，加密资产挖矿和交易从中国转移出去后，对其他发展中国家或新兴市场可能带来重大挑战。IMF在《报告》中作出进一步解释，一些新兴市场和发展中经济体，央行公信力薄弱、银行体系脆弱、支付体系效率低下、金融服务可得性有限，这些因素或会助推加密资产化趋势。</w:t>
      </w:r>
    </w:p>
    <w:p>
      <w:pPr>
        <w:pStyle w:val="23"/>
        <w:ind w:firstLine="360" w:firstLineChars="200"/>
        <w:rPr>
          <w:sz w:val="18"/>
          <w:szCs w:val="18"/>
        </w:rPr>
      </w:pPr>
      <w:r>
        <w:rPr>
          <w:sz w:val="18"/>
          <w:szCs w:val="18"/>
        </w:rPr>
        <w:t>各国应支持经济复苏并维护金融稳定</w:t>
      </w:r>
    </w:p>
    <w:p>
      <w:pPr>
        <w:pStyle w:val="23"/>
        <w:ind w:firstLine="360" w:firstLineChars="200"/>
        <w:rPr>
          <w:sz w:val="18"/>
          <w:szCs w:val="18"/>
        </w:rPr>
      </w:pPr>
      <w:r>
        <w:rPr>
          <w:sz w:val="18"/>
          <w:szCs w:val="18"/>
        </w:rPr>
        <w:t>《报告》建议，发展中国家或新兴市场应重点加强宏观经济政策，考虑发行央行数字货币的效益，并改进支付体系。央行数字货币有助于满足改进支付技术的需要，可能会减轻加密资产化的压力。</w:t>
      </w:r>
    </w:p>
    <w:p>
      <w:pPr>
        <w:pStyle w:val="23"/>
        <w:ind w:firstLine="360" w:firstLineChars="200"/>
        <w:rPr>
          <w:sz w:val="18"/>
          <w:szCs w:val="18"/>
        </w:rPr>
      </w:pPr>
      <w:r>
        <w:rPr>
          <w:sz w:val="18"/>
          <w:szCs w:val="18"/>
        </w:rPr>
        <w:t>《报告》还指出，除加密资产交易带来的风险之外，其挖矿活动所需的大量能源，从中国转移至其他发展中国家和新兴市场，可能对这些国家的能源使用产生重要影响，尤其是碳排放密集程度高的国家。</w:t>
      </w:r>
    </w:p>
    <w:p>
      <w:pPr>
        <w:pStyle w:val="23"/>
        <w:ind w:firstLine="360" w:firstLineChars="200"/>
        <w:rPr>
          <w:sz w:val="18"/>
          <w:szCs w:val="18"/>
        </w:rPr>
      </w:pPr>
      <w:r>
        <w:rPr>
          <w:sz w:val="18"/>
          <w:szCs w:val="18"/>
        </w:rPr>
        <w:t>对于上述挑战，《报告》提出了监管层面的解决对策。首先，各国监管机构需要通过迅速弥合数据缺口，建立起监测加密资产生态系统快速发展情况及相关风险的能力。加密资产的全球性意味着，政策制定者应加强跨境协调，将监管套利风险降至最低，并确保监督和执法的有效性。另外，各国监管机构还应重点实施现有的全球标准。</w:t>
      </w:r>
    </w:p>
    <w:p>
      <w:pPr>
        <w:pStyle w:val="23"/>
        <w:ind w:firstLine="360" w:firstLineChars="200"/>
        <w:rPr>
          <w:sz w:val="18"/>
          <w:szCs w:val="18"/>
        </w:rPr>
      </w:pPr>
      <w:r>
        <w:rPr>
          <w:sz w:val="18"/>
          <w:szCs w:val="18"/>
        </w:rPr>
        <w:t>对于可能存在的风险，《报告》认为，各国政策制定者应提供宏观经济政策支持，以促进经济持续复苏。同时，还需防范金融脆弱性，以免危及金融稳定。</w:t>
      </w:r>
    </w:p>
    <w:p>
      <w:pPr>
        <w:pStyle w:val="23"/>
        <w:ind w:firstLine="360" w:firstLineChars="200"/>
        <w:rPr>
          <w:sz w:val="18"/>
          <w:szCs w:val="18"/>
        </w:rPr>
      </w:pPr>
      <w:r>
        <w:rPr>
          <w:sz w:val="18"/>
          <w:szCs w:val="18"/>
        </w:rPr>
        <w:t>《报告》称，2021年4月以来，全球金融状况有所改善，但一些部门的金融脆弱性问题仍然严重。政策制定者面临困难抉择，既要在短期内为全球经济持续提供支持，又要防范意外状况和中期金融风险。</w:t>
      </w:r>
    </w:p>
    <w:p>
      <w:pPr>
        <w:pStyle w:val="23"/>
        <w:ind w:firstLine="360" w:firstLineChars="200"/>
        <w:rPr>
          <w:sz w:val="18"/>
          <w:szCs w:val="18"/>
        </w:rPr>
      </w:pPr>
      <w:r>
        <w:rPr>
          <w:sz w:val="18"/>
          <w:szCs w:val="18"/>
        </w:rPr>
        <w:t>“一些令人警惕的迹象已经出现，如金融冒险行为增加、非银行金融机构脆弱性加剧等。如果不尽快加以控制，这些问题可能演变成结构性顽疾，危及中期经济增长。”《报告》提醒道。</w:t>
      </w:r>
    </w:p>
    <w:p>
      <w:pPr>
        <w:pStyle w:val="23"/>
        <w:ind w:firstLine="360" w:firstLineChars="200"/>
        <w:rPr>
          <w:sz w:val="18"/>
          <w:szCs w:val="18"/>
        </w:rPr>
      </w:pPr>
      <w:r>
        <w:rPr>
          <w:sz w:val="18"/>
          <w:szCs w:val="18"/>
        </w:rPr>
        <w:t>《报告》指出，宏观经济政策支持仍然是维持当前经济复苏的关键，但鉴于复苏步伐快慢不一，各国应根据自身国情对政策进行调整。同时，各国央行应就未来的货币政策提供明确指引。</w:t>
      </w:r>
    </w:p>
    <w:p>
      <w:pPr>
        <w:pStyle w:val="23"/>
        <w:ind w:firstLine="360" w:firstLineChars="200"/>
        <w:rPr>
          <w:sz w:val="18"/>
          <w:szCs w:val="18"/>
        </w:rPr>
      </w:pPr>
      <w:r>
        <w:rPr>
          <w:sz w:val="18"/>
          <w:szCs w:val="18"/>
        </w:rPr>
        <w:t>《报告》建议，在全球层面上，政策制定者应该在G20跨境支付路线图的基础上重点改善跨境支付，使其更加快捷、实惠、更加透明和更具包容性。</w:t>
      </w:r>
    </w:p>
    <w:p>
      <w:pPr>
        <w:pStyle w:val="23"/>
        <w:ind w:firstLine="360" w:firstLineChars="200"/>
        <w:rPr>
          <w:sz w:val="18"/>
          <w:szCs w:val="18"/>
        </w:rPr>
      </w:pPr>
      <w:r>
        <w:rPr>
          <w:sz w:val="18"/>
          <w:szCs w:val="18"/>
        </w:rPr>
        <w:t>“各国需要采取果断、迅速和高度协调的行动，以发挥加密资产的优势，同时应对其脆弱性。”IMF强调。</w:t>
      </w:r>
    </w:p>
    <w:p>
      <w:pPr>
        <w:pStyle w:val="23"/>
        <w:ind w:firstLine="360" w:firstLineChars="200"/>
        <w:rPr>
          <w:sz w:val="18"/>
          <w:szCs w:val="18"/>
        </w:rPr>
      </w:pPr>
    </w:p>
    <w:p>
      <w:pPr>
        <w:pStyle w:val="3"/>
        <w:spacing w:before="120" w:after="120" w:line="240" w:lineRule="auto"/>
        <w:rPr>
          <w:rFonts w:hint="eastAsia" w:ascii="宋体" w:hAnsi="宋体"/>
          <w:b/>
          <w:color w:val="auto"/>
          <w:sz w:val="30"/>
          <w:szCs w:val="30"/>
          <w:highlight w:val="none"/>
          <w:lang w:val="en-US" w:eastAsia="zh-CN"/>
        </w:rPr>
      </w:pPr>
      <w:r>
        <w:rPr>
          <w:rFonts w:hint="eastAsia" w:ascii="宋体" w:hAnsi="宋体"/>
          <w:b/>
          <w:color w:val="auto"/>
          <w:sz w:val="30"/>
          <w:szCs w:val="30"/>
          <w:highlight w:val="none"/>
          <w:lang w:val="en-US" w:eastAsia="zh-CN"/>
        </w:rPr>
        <w:t>4后市预测</w:t>
      </w:r>
      <w:bookmarkEnd w:id="15"/>
    </w:p>
    <w:p>
      <w:pPr>
        <w:pStyle w:val="23"/>
        <w:ind w:firstLine="360" w:firstLineChars="200"/>
        <w:rPr>
          <w:sz w:val="18"/>
          <w:szCs w:val="18"/>
        </w:rPr>
      </w:pPr>
      <w:bookmarkStart w:id="16" w:name="_Toc13390"/>
      <w:r>
        <w:rPr>
          <w:rFonts w:hint="eastAsia"/>
          <w:sz w:val="18"/>
          <w:szCs w:val="18"/>
        </w:rPr>
        <w:t>本周美国WTI原油价格在68.23-72.76美元/桶。布伦特原油价格在71.52-75.29美元/桶震荡。周内国际油价宽幅震荡。</w:t>
      </w:r>
      <w:r>
        <w:rPr>
          <w:sz w:val="18"/>
          <w:szCs w:val="18"/>
        </w:rPr>
        <w:t>研究表明奥密克戎感染者住院风险相对较低，市场谨慎情绪缓解，同时美国EIA原油库存超预期下降，外盘时间12月22日欧美原油期货价格再度上涨。2月WTI：72.76涨1.64;2月布伦特：75.29涨1.31。油价周三上涨，此前美国库存降幅大于预期，打消了人们对Omicron变种扩散可能打击经济活动的担忧。布伦特原油期货收盘上涨1.31美元，报每桶75.29美元，涨幅1.8%;美国原油期货结算价报每桶72.76美元，上涨1.64美元，涨幅2.3%;美国原油库存降幅超过预期，库存减少470万桶，但部分原因是年底税收方面的考虑促使企业不愿储存原油;疫情导致的全球流动性限制加剧了对燃料需求下降的担忧。最近几天，德国、爱尔兰、荷兰和韩国等国重新实施了部分或全面封锁或其他社交隔离措施;油市涨势也可能在一定程度上受到欧洲公用事业部门的提振，由于欧洲大陆燃气价格创纪录，这些公司转而使用取暖油;伦敦帝国理工学院周三公布的一项研究显示，感染Omicron变种的患者需要住院治疗的风险比Delta患者低40%-45%。</w:t>
      </w:r>
    </w:p>
    <w:p>
      <w:pPr>
        <w:pStyle w:val="23"/>
        <w:ind w:firstLine="360" w:firstLineChars="200"/>
        <w:rPr>
          <w:rFonts w:hint="eastAsia"/>
          <w:sz w:val="18"/>
          <w:szCs w:val="18"/>
        </w:rPr>
      </w:pPr>
      <w:r>
        <w:rPr>
          <w:rFonts w:hint="eastAsia"/>
          <w:sz w:val="18"/>
          <w:szCs w:val="18"/>
        </w:rPr>
        <w:t>预测下周WTI油价将触及67-77美元/桶，布油在之后几个月触及70-76美元/桶。</w:t>
      </w:r>
    </w:p>
    <w:p>
      <w:pPr>
        <w:pStyle w:val="3"/>
        <w:spacing w:before="120" w:after="120" w:line="240" w:lineRule="auto"/>
        <w:rPr>
          <w:rFonts w:hint="eastAsia" w:ascii="宋体" w:hAnsi="宋体"/>
          <w:b/>
          <w:color w:val="auto"/>
          <w:sz w:val="30"/>
          <w:szCs w:val="30"/>
          <w:highlight w:val="none"/>
          <w:lang w:val="en-US" w:eastAsia="zh-CN"/>
        </w:rPr>
      </w:pPr>
      <w:r>
        <w:rPr>
          <w:rFonts w:hint="eastAsia" w:ascii="宋体" w:hAnsi="宋体"/>
          <w:b/>
          <w:color w:val="auto"/>
          <w:sz w:val="30"/>
          <w:szCs w:val="30"/>
          <w:highlight w:val="none"/>
        </w:rPr>
        <w:t>2.2国际市场MTBE价格</w:t>
      </w:r>
      <w:bookmarkEnd w:id="16"/>
      <w:r>
        <w:rPr>
          <w:rFonts w:hint="eastAsia" w:ascii="宋体" w:hAnsi="宋体"/>
          <w:b/>
          <w:color w:val="auto"/>
          <w:sz w:val="30"/>
          <w:szCs w:val="30"/>
          <w:highlight w:val="none"/>
          <w:lang w:val="en-US" w:eastAsia="zh-CN"/>
        </w:rPr>
        <w:t xml:space="preserve"> </w:t>
      </w:r>
    </w:p>
    <w:p>
      <w:pPr>
        <w:rPr>
          <w:rFonts w:hint="eastAsia"/>
          <w:lang w:val="en-US" w:eastAsia="zh-CN"/>
        </w:rPr>
      </w:pPr>
    </w:p>
    <w:p>
      <w:pPr>
        <w:rPr>
          <w:rFonts w:hint="eastAsia"/>
          <w:color w:val="auto"/>
        </w:rPr>
      </w:pPr>
    </w:p>
    <w:tbl>
      <w:tblPr>
        <w:tblStyle w:val="24"/>
        <w:tblW w:w="7230" w:type="dxa"/>
        <w:jc w:val="center"/>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3" w:hRule="atLeast"/>
          <w:tblHeader/>
          <w:jc w:val="center"/>
        </w:trPr>
        <w:tc>
          <w:tcPr>
            <w:tcW w:w="136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 xml:space="preserve"> 鹿特丹(美元/吨)</w:t>
            </w:r>
          </w:p>
        </w:tc>
      </w:tr>
      <w:tr>
        <w:tblPrEx>
          <w:shd w:val="clear" w:color="auto" w:fill="auto"/>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12月22日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788.50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253.05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836.75 </w:t>
            </w:r>
          </w:p>
        </w:tc>
      </w:tr>
      <w:tr>
        <w:tblPrEx>
          <w:shd w:val="clear" w:color="auto" w:fill="auto"/>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12月21日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770.00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249.82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832.75 </w:t>
            </w:r>
          </w:p>
        </w:tc>
      </w:tr>
      <w:tr>
        <w:tblPrEx>
          <w:shd w:val="clear" w:color="auto" w:fill="auto"/>
          <w:tblCellMar>
            <w:top w:w="0" w:type="dxa"/>
            <w:left w:w="0" w:type="dxa"/>
            <w:bottom w:w="0" w:type="dxa"/>
            <w:right w:w="0" w:type="dxa"/>
          </w:tblCellMar>
        </w:tblPrEx>
        <w:trPr>
          <w:trHeight w:val="360" w:hRule="atLeast"/>
          <w:jc w:val="center"/>
        </w:trPr>
        <w:tc>
          <w:tcPr>
            <w:tcW w:w="13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12月20日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759.00 </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242.00 </w:t>
            </w:r>
          </w:p>
        </w:tc>
        <w:tc>
          <w:tcPr>
            <w:tcW w:w="18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801.00 </w:t>
            </w:r>
          </w:p>
        </w:tc>
      </w:tr>
      <w:tr>
        <w:tblPrEx>
          <w:shd w:val="clear" w:color="auto" w:fill="auto"/>
          <w:tblCellMar>
            <w:top w:w="0" w:type="dxa"/>
            <w:left w:w="0" w:type="dxa"/>
            <w:bottom w:w="0" w:type="dxa"/>
            <w:right w:w="0" w:type="dxa"/>
          </w:tblCellMar>
        </w:tblPrEx>
        <w:trPr>
          <w:trHeight w:val="360" w:hRule="atLeast"/>
          <w:jc w:val="center"/>
        </w:trPr>
        <w:tc>
          <w:tcPr>
            <w:tcW w:w="136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12月17日</w:t>
            </w:r>
          </w:p>
        </w:tc>
        <w:tc>
          <w:tcPr>
            <w:tcW w:w="208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788.00 </w:t>
            </w:r>
          </w:p>
        </w:tc>
        <w:tc>
          <w:tcPr>
            <w:tcW w:w="195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245.17 </w:t>
            </w:r>
          </w:p>
        </w:tc>
        <w:tc>
          <w:tcPr>
            <w:tcW w:w="18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829.50 </w:t>
            </w:r>
          </w:p>
        </w:tc>
      </w:tr>
      <w:tr>
        <w:tblPrEx>
          <w:tblCellMar>
            <w:top w:w="0" w:type="dxa"/>
            <w:left w:w="0" w:type="dxa"/>
            <w:bottom w:w="0" w:type="dxa"/>
            <w:right w:w="0" w:type="dxa"/>
          </w:tblCellMar>
        </w:tblPrEx>
        <w:trPr>
          <w:trHeight w:val="360" w:hRule="atLeast"/>
          <w:jc w:val="center"/>
        </w:trPr>
        <w:tc>
          <w:tcPr>
            <w:tcW w:w="1365"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12月16日</w:t>
            </w:r>
          </w:p>
        </w:tc>
        <w:tc>
          <w:tcPr>
            <w:tcW w:w="208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780.00 </w:t>
            </w:r>
          </w:p>
        </w:tc>
        <w:tc>
          <w:tcPr>
            <w:tcW w:w="195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250.80 </w:t>
            </w:r>
          </w:p>
        </w:tc>
        <w:tc>
          <w:tcPr>
            <w:tcW w:w="1830"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839.25 </w:t>
            </w:r>
          </w:p>
        </w:tc>
      </w:tr>
    </w:tbl>
    <w:p>
      <w:pPr>
        <w:rPr>
          <w:rFonts w:hint="eastAsia"/>
          <w:color w:val="auto"/>
          <w:lang w:eastAsia="zh-CN"/>
        </w:rPr>
      </w:pPr>
    </w:p>
    <w:p>
      <w:pPr>
        <w:pStyle w:val="2"/>
        <w:numPr>
          <w:ilvl w:val="0"/>
          <w:numId w:val="0"/>
        </w:numPr>
        <w:spacing w:before="120" w:after="0" w:line="240" w:lineRule="auto"/>
        <w:rPr>
          <w:rFonts w:hint="eastAsia"/>
          <w:b/>
          <w:color w:val="auto"/>
          <w:sz w:val="36"/>
          <w:szCs w:val="36"/>
        </w:rPr>
      </w:pPr>
      <w:bookmarkStart w:id="17" w:name="_Toc3996"/>
      <w:r>
        <w:rPr>
          <w:rFonts w:hint="eastAsia"/>
          <w:b/>
          <w:color w:val="auto"/>
          <w:sz w:val="36"/>
          <w:szCs w:val="36"/>
          <w:lang w:eastAsia="zh-CN"/>
        </w:rPr>
        <w:t>三、</w:t>
      </w:r>
      <w:r>
        <w:rPr>
          <w:rFonts w:hint="eastAsia"/>
          <w:b/>
          <w:color w:val="auto"/>
          <w:sz w:val="36"/>
          <w:szCs w:val="36"/>
        </w:rPr>
        <w:t>本周国内市场</w:t>
      </w:r>
      <w:bookmarkEnd w:id="17"/>
    </w:p>
    <w:p>
      <w:pPr>
        <w:numPr>
          <w:ilvl w:val="0"/>
          <w:numId w:val="0"/>
        </w:numPr>
        <w:rPr>
          <w:color w:val="auto"/>
        </w:rPr>
      </w:pPr>
    </w:p>
    <w:p>
      <w:pPr>
        <w:pStyle w:val="3"/>
        <w:spacing w:before="120" w:after="120" w:line="240" w:lineRule="auto"/>
        <w:rPr>
          <w:rFonts w:hint="eastAsia" w:ascii="宋体" w:hAnsi="宋体"/>
          <w:b/>
          <w:color w:val="auto"/>
          <w:sz w:val="32"/>
          <w:szCs w:val="32"/>
          <w:highlight w:val="none"/>
        </w:rPr>
      </w:pPr>
      <w:bookmarkStart w:id="18" w:name="_Toc25301"/>
      <w:r>
        <w:rPr>
          <w:rFonts w:hint="eastAsia" w:ascii="宋体" w:hAnsi="宋体"/>
          <w:b/>
          <w:color w:val="auto"/>
          <w:sz w:val="32"/>
          <w:szCs w:val="32"/>
          <w:highlight w:val="none"/>
        </w:rPr>
        <w:t>3.1 国内炼厂装置运行情况</w:t>
      </w:r>
      <w:bookmarkEnd w:id="18"/>
    </w:p>
    <w:p>
      <w:pPr>
        <w:rPr>
          <w:rFonts w:hint="eastAsia" w:ascii="宋体" w:hAnsi="宋体"/>
          <w:color w:val="auto"/>
          <w:sz w:val="30"/>
          <w:szCs w:val="30"/>
          <w:highlight w:val="none"/>
        </w:rPr>
      </w:pPr>
      <w:r>
        <w:rPr>
          <w:rFonts w:hint="eastAsia" w:ascii="宋体" w:hAnsi="宋体"/>
          <w:color w:val="auto"/>
          <w:sz w:val="30"/>
          <w:szCs w:val="30"/>
          <w:highlight w:val="none"/>
        </w:rPr>
        <w:t>（1）国内主营炼厂装置检修情况</w:t>
      </w:r>
    </w:p>
    <w:tbl>
      <w:tblPr>
        <w:tblStyle w:val="24"/>
        <w:tblW w:w="477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419"/>
        <w:gridCol w:w="832"/>
        <w:gridCol w:w="1082"/>
        <w:gridCol w:w="1078"/>
        <w:gridCol w:w="2087"/>
        <w:gridCol w:w="1497"/>
        <w:gridCol w:w="15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000" w:type="pct"/>
            <w:gridSpan w:val="7"/>
            <w:tcBorders>
              <w:top w:val="single" w:color="000000" w:sz="6" w:space="0"/>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中石化旗下炼厂检修计划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炼厂名称</w:t>
            </w:r>
          </w:p>
        </w:tc>
        <w:tc>
          <w:tcPr>
            <w:tcW w:w="437"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所在地</w:t>
            </w:r>
          </w:p>
        </w:tc>
        <w:tc>
          <w:tcPr>
            <w:tcW w:w="568"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加工能力</w:t>
            </w:r>
          </w:p>
        </w:tc>
        <w:tc>
          <w:tcPr>
            <w:tcW w:w="566"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检修装置</w:t>
            </w:r>
          </w:p>
        </w:tc>
        <w:tc>
          <w:tcPr>
            <w:tcW w:w="1096"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检修产能（单位：万吨）</w:t>
            </w:r>
          </w:p>
        </w:tc>
        <w:tc>
          <w:tcPr>
            <w:tcW w:w="786"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起始时间</w:t>
            </w:r>
          </w:p>
        </w:tc>
        <w:tc>
          <w:tcPr>
            <w:tcW w:w="800"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41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济南炼化</w:t>
            </w:r>
          </w:p>
        </w:tc>
        <w:tc>
          <w:tcPr>
            <w:tcW w:w="8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山东</w:t>
            </w:r>
          </w:p>
        </w:tc>
        <w:tc>
          <w:tcPr>
            <w:tcW w:w="108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800</w:t>
            </w:r>
          </w:p>
        </w:tc>
        <w:tc>
          <w:tcPr>
            <w:tcW w:w="107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全厂检修</w:t>
            </w:r>
          </w:p>
        </w:tc>
        <w:tc>
          <w:tcPr>
            <w:tcW w:w="208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800</w:t>
            </w:r>
          </w:p>
        </w:tc>
        <w:tc>
          <w:tcPr>
            <w:tcW w:w="149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2021/2/19</w:t>
            </w:r>
          </w:p>
        </w:tc>
        <w:tc>
          <w:tcPr>
            <w:tcW w:w="152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41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金陵石化</w:t>
            </w:r>
          </w:p>
        </w:tc>
        <w:tc>
          <w:tcPr>
            <w:tcW w:w="8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江苏</w:t>
            </w:r>
          </w:p>
        </w:tc>
        <w:tc>
          <w:tcPr>
            <w:tcW w:w="108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1800</w:t>
            </w:r>
          </w:p>
        </w:tc>
        <w:tc>
          <w:tcPr>
            <w:tcW w:w="107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2#常减压</w:t>
            </w:r>
          </w:p>
        </w:tc>
        <w:tc>
          <w:tcPr>
            <w:tcW w:w="208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300</w:t>
            </w:r>
          </w:p>
        </w:tc>
        <w:tc>
          <w:tcPr>
            <w:tcW w:w="149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2021/3/20</w:t>
            </w:r>
          </w:p>
        </w:tc>
        <w:tc>
          <w:tcPr>
            <w:tcW w:w="152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41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燕山石化</w:t>
            </w:r>
          </w:p>
        </w:tc>
        <w:tc>
          <w:tcPr>
            <w:tcW w:w="8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北京</w:t>
            </w:r>
          </w:p>
        </w:tc>
        <w:tc>
          <w:tcPr>
            <w:tcW w:w="108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1350</w:t>
            </w:r>
          </w:p>
        </w:tc>
        <w:tc>
          <w:tcPr>
            <w:tcW w:w="107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4#常减压</w:t>
            </w:r>
          </w:p>
        </w:tc>
        <w:tc>
          <w:tcPr>
            <w:tcW w:w="208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1000</w:t>
            </w:r>
          </w:p>
        </w:tc>
        <w:tc>
          <w:tcPr>
            <w:tcW w:w="149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2020/3/29</w:t>
            </w:r>
          </w:p>
        </w:tc>
        <w:tc>
          <w:tcPr>
            <w:tcW w:w="152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41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长岭石化</w:t>
            </w:r>
          </w:p>
        </w:tc>
        <w:tc>
          <w:tcPr>
            <w:tcW w:w="8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湖南</w:t>
            </w:r>
          </w:p>
        </w:tc>
        <w:tc>
          <w:tcPr>
            <w:tcW w:w="108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1150</w:t>
            </w:r>
          </w:p>
        </w:tc>
        <w:tc>
          <w:tcPr>
            <w:tcW w:w="107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全厂检修</w:t>
            </w:r>
          </w:p>
        </w:tc>
        <w:tc>
          <w:tcPr>
            <w:tcW w:w="208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1150</w:t>
            </w:r>
          </w:p>
        </w:tc>
        <w:tc>
          <w:tcPr>
            <w:tcW w:w="149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2021/2/20</w:t>
            </w:r>
          </w:p>
        </w:tc>
        <w:tc>
          <w:tcPr>
            <w:tcW w:w="152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41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塔河石化</w:t>
            </w:r>
          </w:p>
        </w:tc>
        <w:tc>
          <w:tcPr>
            <w:tcW w:w="8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新疆</w:t>
            </w:r>
          </w:p>
        </w:tc>
        <w:tc>
          <w:tcPr>
            <w:tcW w:w="108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500</w:t>
            </w:r>
          </w:p>
        </w:tc>
        <w:tc>
          <w:tcPr>
            <w:tcW w:w="107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常减压</w:t>
            </w:r>
          </w:p>
        </w:tc>
        <w:tc>
          <w:tcPr>
            <w:tcW w:w="208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350</w:t>
            </w:r>
          </w:p>
        </w:tc>
        <w:tc>
          <w:tcPr>
            <w:tcW w:w="149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2021/3</w:t>
            </w:r>
          </w:p>
        </w:tc>
        <w:tc>
          <w:tcPr>
            <w:tcW w:w="152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41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上海石化</w:t>
            </w:r>
          </w:p>
        </w:tc>
        <w:tc>
          <w:tcPr>
            <w:tcW w:w="8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上海</w:t>
            </w:r>
          </w:p>
        </w:tc>
        <w:tc>
          <w:tcPr>
            <w:tcW w:w="108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1600</w:t>
            </w:r>
          </w:p>
        </w:tc>
        <w:tc>
          <w:tcPr>
            <w:tcW w:w="107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全厂检修</w:t>
            </w:r>
          </w:p>
        </w:tc>
        <w:tc>
          <w:tcPr>
            <w:tcW w:w="208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1600</w:t>
            </w:r>
          </w:p>
        </w:tc>
        <w:tc>
          <w:tcPr>
            <w:tcW w:w="149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2021/4/14</w:t>
            </w:r>
          </w:p>
        </w:tc>
        <w:tc>
          <w:tcPr>
            <w:tcW w:w="152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41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九江石化</w:t>
            </w:r>
          </w:p>
        </w:tc>
        <w:tc>
          <w:tcPr>
            <w:tcW w:w="8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江西</w:t>
            </w:r>
          </w:p>
        </w:tc>
        <w:tc>
          <w:tcPr>
            <w:tcW w:w="108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1000</w:t>
            </w:r>
          </w:p>
        </w:tc>
        <w:tc>
          <w:tcPr>
            <w:tcW w:w="107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全厂检修</w:t>
            </w:r>
          </w:p>
        </w:tc>
        <w:tc>
          <w:tcPr>
            <w:tcW w:w="208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1000</w:t>
            </w:r>
          </w:p>
        </w:tc>
        <w:tc>
          <w:tcPr>
            <w:tcW w:w="149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2021/4/8</w:t>
            </w:r>
          </w:p>
        </w:tc>
        <w:tc>
          <w:tcPr>
            <w:tcW w:w="152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41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沧州炼厂</w:t>
            </w:r>
          </w:p>
        </w:tc>
        <w:tc>
          <w:tcPr>
            <w:tcW w:w="8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河北</w:t>
            </w:r>
          </w:p>
        </w:tc>
        <w:tc>
          <w:tcPr>
            <w:tcW w:w="108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350</w:t>
            </w:r>
          </w:p>
        </w:tc>
        <w:tc>
          <w:tcPr>
            <w:tcW w:w="107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全厂检修</w:t>
            </w:r>
          </w:p>
        </w:tc>
        <w:tc>
          <w:tcPr>
            <w:tcW w:w="208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350</w:t>
            </w:r>
          </w:p>
        </w:tc>
        <w:tc>
          <w:tcPr>
            <w:tcW w:w="149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2021/5/10</w:t>
            </w:r>
          </w:p>
        </w:tc>
        <w:tc>
          <w:tcPr>
            <w:tcW w:w="152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41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扬子石化</w:t>
            </w:r>
          </w:p>
        </w:tc>
        <w:tc>
          <w:tcPr>
            <w:tcW w:w="8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江苏</w:t>
            </w:r>
          </w:p>
        </w:tc>
        <w:tc>
          <w:tcPr>
            <w:tcW w:w="108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1450</w:t>
            </w:r>
          </w:p>
        </w:tc>
        <w:tc>
          <w:tcPr>
            <w:tcW w:w="107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焦化装置</w:t>
            </w:r>
          </w:p>
        </w:tc>
        <w:tc>
          <w:tcPr>
            <w:tcW w:w="208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w:t>
            </w:r>
          </w:p>
        </w:tc>
        <w:tc>
          <w:tcPr>
            <w:tcW w:w="149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2021/4</w:t>
            </w:r>
          </w:p>
        </w:tc>
        <w:tc>
          <w:tcPr>
            <w:tcW w:w="152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41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茂名石化</w:t>
            </w:r>
          </w:p>
        </w:tc>
        <w:tc>
          <w:tcPr>
            <w:tcW w:w="8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广东</w:t>
            </w:r>
          </w:p>
        </w:tc>
        <w:tc>
          <w:tcPr>
            <w:tcW w:w="108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2000</w:t>
            </w:r>
          </w:p>
        </w:tc>
        <w:tc>
          <w:tcPr>
            <w:tcW w:w="107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5#常减压</w:t>
            </w:r>
          </w:p>
        </w:tc>
        <w:tc>
          <w:tcPr>
            <w:tcW w:w="208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1000</w:t>
            </w:r>
          </w:p>
        </w:tc>
        <w:tc>
          <w:tcPr>
            <w:tcW w:w="149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2021/6/1</w:t>
            </w:r>
          </w:p>
        </w:tc>
        <w:tc>
          <w:tcPr>
            <w:tcW w:w="152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41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石家庄炼厂</w:t>
            </w:r>
          </w:p>
        </w:tc>
        <w:tc>
          <w:tcPr>
            <w:tcW w:w="8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河北</w:t>
            </w:r>
          </w:p>
        </w:tc>
        <w:tc>
          <w:tcPr>
            <w:tcW w:w="108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1000</w:t>
            </w:r>
          </w:p>
        </w:tc>
        <w:tc>
          <w:tcPr>
            <w:tcW w:w="107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全厂检修</w:t>
            </w:r>
          </w:p>
        </w:tc>
        <w:tc>
          <w:tcPr>
            <w:tcW w:w="208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1000</w:t>
            </w:r>
          </w:p>
        </w:tc>
        <w:tc>
          <w:tcPr>
            <w:tcW w:w="149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2021/8/28</w:t>
            </w:r>
          </w:p>
        </w:tc>
        <w:tc>
          <w:tcPr>
            <w:tcW w:w="152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41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齐鲁石化</w:t>
            </w:r>
          </w:p>
        </w:tc>
        <w:tc>
          <w:tcPr>
            <w:tcW w:w="8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山东</w:t>
            </w:r>
          </w:p>
        </w:tc>
        <w:tc>
          <w:tcPr>
            <w:tcW w:w="108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1300</w:t>
            </w:r>
          </w:p>
        </w:tc>
        <w:tc>
          <w:tcPr>
            <w:tcW w:w="107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3#常减压</w:t>
            </w:r>
          </w:p>
        </w:tc>
        <w:tc>
          <w:tcPr>
            <w:tcW w:w="208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400</w:t>
            </w:r>
          </w:p>
        </w:tc>
        <w:tc>
          <w:tcPr>
            <w:tcW w:w="149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2021/8/8</w:t>
            </w:r>
          </w:p>
        </w:tc>
        <w:tc>
          <w:tcPr>
            <w:tcW w:w="152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41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胜利油田</w:t>
            </w:r>
          </w:p>
        </w:tc>
        <w:tc>
          <w:tcPr>
            <w:tcW w:w="8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山东</w:t>
            </w:r>
          </w:p>
        </w:tc>
        <w:tc>
          <w:tcPr>
            <w:tcW w:w="108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300</w:t>
            </w:r>
          </w:p>
        </w:tc>
        <w:tc>
          <w:tcPr>
            <w:tcW w:w="107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全厂检修</w:t>
            </w:r>
          </w:p>
        </w:tc>
        <w:tc>
          <w:tcPr>
            <w:tcW w:w="208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300</w:t>
            </w:r>
          </w:p>
        </w:tc>
        <w:tc>
          <w:tcPr>
            <w:tcW w:w="149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2021/9/15</w:t>
            </w:r>
          </w:p>
        </w:tc>
        <w:tc>
          <w:tcPr>
            <w:tcW w:w="152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41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高桥石化</w:t>
            </w:r>
          </w:p>
        </w:tc>
        <w:tc>
          <w:tcPr>
            <w:tcW w:w="8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上海</w:t>
            </w:r>
          </w:p>
        </w:tc>
        <w:tc>
          <w:tcPr>
            <w:tcW w:w="108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1300</w:t>
            </w:r>
          </w:p>
        </w:tc>
        <w:tc>
          <w:tcPr>
            <w:tcW w:w="107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全厂检修</w:t>
            </w:r>
          </w:p>
        </w:tc>
        <w:tc>
          <w:tcPr>
            <w:tcW w:w="208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1300</w:t>
            </w:r>
          </w:p>
        </w:tc>
        <w:tc>
          <w:tcPr>
            <w:tcW w:w="149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2021/10/11</w:t>
            </w:r>
          </w:p>
        </w:tc>
        <w:tc>
          <w:tcPr>
            <w:tcW w:w="152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2021/12月初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41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广州石化</w:t>
            </w:r>
          </w:p>
        </w:tc>
        <w:tc>
          <w:tcPr>
            <w:tcW w:w="8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广东</w:t>
            </w:r>
          </w:p>
        </w:tc>
        <w:tc>
          <w:tcPr>
            <w:tcW w:w="108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1370</w:t>
            </w:r>
          </w:p>
        </w:tc>
        <w:tc>
          <w:tcPr>
            <w:tcW w:w="107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常减压</w:t>
            </w:r>
          </w:p>
        </w:tc>
        <w:tc>
          <w:tcPr>
            <w:tcW w:w="208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800</w:t>
            </w:r>
          </w:p>
        </w:tc>
        <w:tc>
          <w:tcPr>
            <w:tcW w:w="149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2021/10/20</w:t>
            </w:r>
          </w:p>
        </w:tc>
        <w:tc>
          <w:tcPr>
            <w:tcW w:w="152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2021/12月初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419"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联合石化</w:t>
            </w:r>
          </w:p>
        </w:tc>
        <w:tc>
          <w:tcPr>
            <w:tcW w:w="83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福建</w:t>
            </w:r>
          </w:p>
        </w:tc>
        <w:tc>
          <w:tcPr>
            <w:tcW w:w="1082"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1200</w:t>
            </w:r>
          </w:p>
        </w:tc>
        <w:tc>
          <w:tcPr>
            <w:tcW w:w="1078"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常减压</w:t>
            </w:r>
          </w:p>
        </w:tc>
        <w:tc>
          <w:tcPr>
            <w:tcW w:w="208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400</w:t>
            </w:r>
          </w:p>
        </w:tc>
        <w:tc>
          <w:tcPr>
            <w:tcW w:w="149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2021/11/15</w:t>
            </w:r>
          </w:p>
        </w:tc>
        <w:tc>
          <w:tcPr>
            <w:tcW w:w="1527"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000" w:type="pct"/>
            <w:gridSpan w:val="7"/>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中石油旗下炼厂检修计划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炼厂名称</w:t>
            </w:r>
          </w:p>
        </w:tc>
        <w:tc>
          <w:tcPr>
            <w:tcW w:w="437"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所在地</w:t>
            </w:r>
          </w:p>
        </w:tc>
        <w:tc>
          <w:tcPr>
            <w:tcW w:w="568"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加工能力</w:t>
            </w:r>
          </w:p>
        </w:tc>
        <w:tc>
          <w:tcPr>
            <w:tcW w:w="566"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检修装置</w:t>
            </w:r>
          </w:p>
        </w:tc>
        <w:tc>
          <w:tcPr>
            <w:tcW w:w="1096"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检修产能（单位：万吨）</w:t>
            </w:r>
          </w:p>
        </w:tc>
        <w:tc>
          <w:tcPr>
            <w:tcW w:w="786"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起始时间</w:t>
            </w:r>
          </w:p>
        </w:tc>
        <w:tc>
          <w:tcPr>
            <w:tcW w:w="800"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40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云南石化</w:t>
            </w:r>
          </w:p>
        </w:tc>
        <w:tc>
          <w:tcPr>
            <w:tcW w:w="82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云南</w:t>
            </w:r>
          </w:p>
        </w:tc>
        <w:tc>
          <w:tcPr>
            <w:tcW w:w="106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1300</w:t>
            </w:r>
          </w:p>
        </w:tc>
        <w:tc>
          <w:tcPr>
            <w:tcW w:w="106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全厂检修</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1300</w:t>
            </w:r>
          </w:p>
        </w:tc>
        <w:tc>
          <w:tcPr>
            <w:tcW w:w="148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2020/12/5</w:t>
            </w:r>
          </w:p>
        </w:tc>
        <w:tc>
          <w:tcPr>
            <w:tcW w:w="151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40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抚顺石化</w:t>
            </w:r>
          </w:p>
        </w:tc>
        <w:tc>
          <w:tcPr>
            <w:tcW w:w="82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辽宁</w:t>
            </w:r>
          </w:p>
        </w:tc>
        <w:tc>
          <w:tcPr>
            <w:tcW w:w="106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1150</w:t>
            </w:r>
          </w:p>
        </w:tc>
        <w:tc>
          <w:tcPr>
            <w:tcW w:w="106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全厂检修</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1150</w:t>
            </w:r>
          </w:p>
        </w:tc>
        <w:tc>
          <w:tcPr>
            <w:tcW w:w="148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2021/4/10</w:t>
            </w:r>
          </w:p>
        </w:tc>
        <w:tc>
          <w:tcPr>
            <w:tcW w:w="151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2021/5月底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40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吉林石化</w:t>
            </w:r>
          </w:p>
        </w:tc>
        <w:tc>
          <w:tcPr>
            <w:tcW w:w="82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吉林</w:t>
            </w:r>
          </w:p>
        </w:tc>
        <w:tc>
          <w:tcPr>
            <w:tcW w:w="106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1000</w:t>
            </w:r>
          </w:p>
        </w:tc>
        <w:tc>
          <w:tcPr>
            <w:tcW w:w="106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全厂检修</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1000</w:t>
            </w:r>
          </w:p>
        </w:tc>
        <w:tc>
          <w:tcPr>
            <w:tcW w:w="148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2021/6</w:t>
            </w:r>
          </w:p>
        </w:tc>
        <w:tc>
          <w:tcPr>
            <w:tcW w:w="151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40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大港石化</w:t>
            </w:r>
          </w:p>
        </w:tc>
        <w:tc>
          <w:tcPr>
            <w:tcW w:w="82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天津</w:t>
            </w:r>
          </w:p>
        </w:tc>
        <w:tc>
          <w:tcPr>
            <w:tcW w:w="106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500</w:t>
            </w:r>
          </w:p>
        </w:tc>
        <w:tc>
          <w:tcPr>
            <w:tcW w:w="106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全厂检修</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500</w:t>
            </w:r>
          </w:p>
        </w:tc>
        <w:tc>
          <w:tcPr>
            <w:tcW w:w="148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2021/4/12</w:t>
            </w:r>
          </w:p>
        </w:tc>
        <w:tc>
          <w:tcPr>
            <w:tcW w:w="151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40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格尔木炼厂</w:t>
            </w:r>
          </w:p>
        </w:tc>
        <w:tc>
          <w:tcPr>
            <w:tcW w:w="82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青海</w:t>
            </w:r>
          </w:p>
        </w:tc>
        <w:tc>
          <w:tcPr>
            <w:tcW w:w="106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150</w:t>
            </w:r>
          </w:p>
        </w:tc>
        <w:tc>
          <w:tcPr>
            <w:tcW w:w="106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全厂检修</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150</w:t>
            </w:r>
          </w:p>
        </w:tc>
        <w:tc>
          <w:tcPr>
            <w:tcW w:w="148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2021/7/15</w:t>
            </w:r>
          </w:p>
        </w:tc>
        <w:tc>
          <w:tcPr>
            <w:tcW w:w="151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5000" w:type="pct"/>
            <w:gridSpan w:val="7"/>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中海油旗下炼厂检修计划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745" w:type="pct"/>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炼厂名称</w:t>
            </w:r>
          </w:p>
        </w:tc>
        <w:tc>
          <w:tcPr>
            <w:tcW w:w="437"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所在地</w:t>
            </w:r>
          </w:p>
        </w:tc>
        <w:tc>
          <w:tcPr>
            <w:tcW w:w="568"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加工能力</w:t>
            </w:r>
          </w:p>
        </w:tc>
        <w:tc>
          <w:tcPr>
            <w:tcW w:w="566"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检修装置</w:t>
            </w:r>
          </w:p>
        </w:tc>
        <w:tc>
          <w:tcPr>
            <w:tcW w:w="1096"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检修产能（单位：万吨）</w:t>
            </w:r>
          </w:p>
        </w:tc>
        <w:tc>
          <w:tcPr>
            <w:tcW w:w="786"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起始时间</w:t>
            </w:r>
          </w:p>
        </w:tc>
        <w:tc>
          <w:tcPr>
            <w:tcW w:w="800" w:type="pct"/>
            <w:tcBorders>
              <w:top w:val="single" w:color="000000" w:sz="6" w:space="0"/>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aps w:val="0"/>
                <w:color w:val="auto"/>
                <w:spacing w:val="0"/>
                <w:sz w:val="18"/>
                <w:szCs w:val="18"/>
              </w:rPr>
            </w:pPr>
            <w:r>
              <w:rPr>
                <w:rFonts w:hint="eastAsia" w:ascii="宋体" w:hAnsi="宋体" w:eastAsia="宋体" w:cs="宋体"/>
                <w:b/>
                <w:bCs/>
                <w:caps w:val="0"/>
                <w:color w:val="auto"/>
                <w:spacing w:val="0"/>
                <w:sz w:val="18"/>
                <w:szCs w:val="18"/>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402" w:type="dxa"/>
            <w:tcBorders>
              <w:top w:val="nil"/>
              <w:left w:val="single" w:color="000000" w:sz="6" w:space="0"/>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东方石化</w:t>
            </w:r>
          </w:p>
        </w:tc>
        <w:tc>
          <w:tcPr>
            <w:tcW w:w="82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海南</w:t>
            </w:r>
          </w:p>
        </w:tc>
        <w:tc>
          <w:tcPr>
            <w:tcW w:w="1069"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200</w:t>
            </w:r>
          </w:p>
        </w:tc>
        <w:tc>
          <w:tcPr>
            <w:tcW w:w="1066"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全厂检修</w:t>
            </w:r>
          </w:p>
        </w:tc>
        <w:tc>
          <w:tcPr>
            <w:tcW w:w="2063"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200</w:t>
            </w:r>
          </w:p>
        </w:tc>
        <w:tc>
          <w:tcPr>
            <w:tcW w:w="148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2021/3/4</w:t>
            </w:r>
          </w:p>
        </w:tc>
        <w:tc>
          <w:tcPr>
            <w:tcW w:w="1510" w:type="dxa"/>
            <w:tcBorders>
              <w:top w:val="nil"/>
              <w:left w:val="nil"/>
              <w:bottom w:val="single" w:color="000000" w:sz="6"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402" w:type="dxa"/>
            <w:tcBorders>
              <w:top w:val="nil"/>
              <w:left w:val="single" w:color="000000" w:sz="6" w:space="0"/>
              <w:bottom w:val="single" w:color="auto" w:sz="4"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惠州炼化</w:t>
            </w:r>
          </w:p>
        </w:tc>
        <w:tc>
          <w:tcPr>
            <w:tcW w:w="823" w:type="dxa"/>
            <w:tcBorders>
              <w:top w:val="nil"/>
              <w:left w:val="nil"/>
              <w:bottom w:val="single" w:color="auto" w:sz="4"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广东</w:t>
            </w:r>
          </w:p>
        </w:tc>
        <w:tc>
          <w:tcPr>
            <w:tcW w:w="1069" w:type="dxa"/>
            <w:tcBorders>
              <w:top w:val="nil"/>
              <w:left w:val="nil"/>
              <w:bottom w:val="single" w:color="auto" w:sz="4"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2200</w:t>
            </w:r>
          </w:p>
        </w:tc>
        <w:tc>
          <w:tcPr>
            <w:tcW w:w="1066" w:type="dxa"/>
            <w:tcBorders>
              <w:top w:val="nil"/>
              <w:left w:val="nil"/>
              <w:bottom w:val="single" w:color="auto" w:sz="4"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二期</w:t>
            </w:r>
          </w:p>
        </w:tc>
        <w:tc>
          <w:tcPr>
            <w:tcW w:w="2063" w:type="dxa"/>
            <w:tcBorders>
              <w:top w:val="nil"/>
              <w:left w:val="nil"/>
              <w:bottom w:val="single" w:color="auto" w:sz="4"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1000</w:t>
            </w:r>
          </w:p>
        </w:tc>
        <w:tc>
          <w:tcPr>
            <w:tcW w:w="1480" w:type="dxa"/>
            <w:tcBorders>
              <w:top w:val="nil"/>
              <w:left w:val="nil"/>
              <w:bottom w:val="single" w:color="auto" w:sz="4"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2021/3/4</w:t>
            </w:r>
          </w:p>
        </w:tc>
        <w:tc>
          <w:tcPr>
            <w:tcW w:w="1510" w:type="dxa"/>
            <w:tcBorders>
              <w:top w:val="nil"/>
              <w:left w:val="nil"/>
              <w:bottom w:val="single" w:color="auto" w:sz="4" w:space="0"/>
              <w:right w:val="single" w:color="000000" w:sz="6"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val="0"/>
                <w:bCs w:val="0"/>
                <w:caps w:val="0"/>
                <w:color w:val="auto"/>
                <w:spacing w:val="0"/>
                <w:sz w:val="18"/>
                <w:szCs w:val="18"/>
              </w:rPr>
            </w:pPr>
            <w:r>
              <w:rPr>
                <w:rFonts w:hint="eastAsia" w:ascii="宋体" w:hAnsi="宋体" w:eastAsia="宋体" w:cs="宋体"/>
                <w:caps w:val="0"/>
                <w:color w:val="auto"/>
                <w:spacing w:val="0"/>
                <w:sz w:val="18"/>
                <w:szCs w:val="18"/>
              </w:rPr>
              <w:t>2021/4月中旬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color w:val="auto"/>
                <w:spacing w:val="0"/>
                <w:sz w:val="18"/>
                <w:szCs w:val="18"/>
              </w:rPr>
              <w:t>宁波大榭</w:t>
            </w:r>
          </w:p>
        </w:tc>
        <w:tc>
          <w:tcPr>
            <w:tcW w:w="82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color w:val="auto"/>
                <w:spacing w:val="0"/>
                <w:sz w:val="18"/>
                <w:szCs w:val="18"/>
              </w:rPr>
              <w:t>浙江</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color w:val="auto"/>
                <w:spacing w:val="0"/>
                <w:sz w:val="18"/>
                <w:szCs w:val="18"/>
              </w:rPr>
              <w:t>800</w:t>
            </w:r>
          </w:p>
        </w:tc>
        <w:tc>
          <w:tcPr>
            <w:tcW w:w="106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color w:val="auto"/>
                <w:spacing w:val="0"/>
                <w:sz w:val="18"/>
                <w:szCs w:val="18"/>
              </w:rPr>
              <w:t>全厂检修</w:t>
            </w:r>
          </w:p>
        </w:tc>
        <w:tc>
          <w:tcPr>
            <w:tcW w:w="206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color w:val="auto"/>
                <w:spacing w:val="0"/>
                <w:sz w:val="18"/>
                <w:szCs w:val="18"/>
              </w:rPr>
              <w:t>800</w:t>
            </w:r>
          </w:p>
        </w:tc>
        <w:tc>
          <w:tcPr>
            <w:tcW w:w="148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color w:val="auto"/>
                <w:spacing w:val="0"/>
                <w:sz w:val="18"/>
                <w:szCs w:val="18"/>
              </w:rPr>
              <w:t>2021/4</w:t>
            </w:r>
          </w:p>
        </w:tc>
        <w:tc>
          <w:tcPr>
            <w:tcW w:w="151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color w:val="auto"/>
                <w:spacing w:val="0"/>
                <w:sz w:val="18"/>
                <w:szCs w:val="18"/>
              </w:rPr>
              <w:t>2021/5/15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jc w:val="center"/>
        </w:trPr>
        <w:tc>
          <w:tcPr>
            <w:tcW w:w="1402"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color w:val="auto"/>
                <w:spacing w:val="0"/>
                <w:sz w:val="18"/>
                <w:szCs w:val="18"/>
              </w:rPr>
              <w:t>中化泉州</w:t>
            </w:r>
          </w:p>
        </w:tc>
        <w:tc>
          <w:tcPr>
            <w:tcW w:w="82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color w:val="auto"/>
                <w:spacing w:val="0"/>
                <w:sz w:val="18"/>
                <w:szCs w:val="18"/>
              </w:rPr>
              <w:t>福建</w:t>
            </w:r>
          </w:p>
        </w:tc>
        <w:tc>
          <w:tcPr>
            <w:tcW w:w="106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color w:val="auto"/>
                <w:spacing w:val="0"/>
                <w:sz w:val="18"/>
                <w:szCs w:val="18"/>
              </w:rPr>
              <w:t>1500</w:t>
            </w:r>
          </w:p>
        </w:tc>
        <w:tc>
          <w:tcPr>
            <w:tcW w:w="1066"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color w:val="auto"/>
                <w:spacing w:val="0"/>
                <w:sz w:val="18"/>
                <w:szCs w:val="18"/>
              </w:rPr>
              <w:t>全厂检修</w:t>
            </w:r>
          </w:p>
        </w:tc>
        <w:tc>
          <w:tcPr>
            <w:tcW w:w="206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color w:val="auto"/>
                <w:spacing w:val="0"/>
                <w:sz w:val="18"/>
                <w:szCs w:val="18"/>
              </w:rPr>
              <w:t>1500</w:t>
            </w:r>
          </w:p>
        </w:tc>
        <w:tc>
          <w:tcPr>
            <w:tcW w:w="148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color w:val="auto"/>
                <w:spacing w:val="0"/>
                <w:sz w:val="18"/>
                <w:szCs w:val="18"/>
              </w:rPr>
              <w:t>2021/12/5</w:t>
            </w:r>
          </w:p>
        </w:tc>
        <w:tc>
          <w:tcPr>
            <w:tcW w:w="1510"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color w:val="auto"/>
                <w:spacing w:val="0"/>
                <w:sz w:val="18"/>
                <w:szCs w:val="18"/>
              </w:rPr>
              <w:t>2022/1月中旬</w:t>
            </w:r>
          </w:p>
        </w:tc>
      </w:tr>
    </w:tbl>
    <w:p>
      <w:pPr>
        <w:numPr>
          <w:ilvl w:val="0"/>
          <w:numId w:val="0"/>
        </w:numPr>
        <w:rPr>
          <w:rFonts w:hint="eastAsia" w:ascii="宋体" w:hAnsi="宋体"/>
          <w:color w:val="auto"/>
          <w:sz w:val="28"/>
          <w:szCs w:val="28"/>
          <w:highlight w:val="none"/>
        </w:rPr>
      </w:pPr>
    </w:p>
    <w:p>
      <w:pPr>
        <w:numPr>
          <w:ilvl w:val="0"/>
          <w:numId w:val="2"/>
        </w:numPr>
        <w:rPr>
          <w:rFonts w:hint="eastAsia" w:ascii="宋体" w:hAnsi="宋体"/>
          <w:color w:val="auto"/>
          <w:sz w:val="28"/>
          <w:szCs w:val="28"/>
          <w:highlight w:val="none"/>
        </w:rPr>
      </w:pPr>
      <w:r>
        <w:rPr>
          <w:rFonts w:hint="eastAsia" w:ascii="宋体" w:hAnsi="宋体"/>
          <w:color w:val="auto"/>
          <w:sz w:val="28"/>
          <w:szCs w:val="28"/>
          <w:highlight w:val="none"/>
        </w:rPr>
        <w:t>国内地方炼厂装置检修情况</w:t>
      </w:r>
    </w:p>
    <w:tbl>
      <w:tblPr>
        <w:tblStyle w:val="2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20"/>
        <w:gridCol w:w="1201"/>
        <w:gridCol w:w="1246"/>
        <w:gridCol w:w="1348"/>
        <w:gridCol w:w="1016"/>
        <w:gridCol w:w="1619"/>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9209" w:type="dxa"/>
            <w:gridSpan w:val="7"/>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地方炼厂装置检修计划表(单位：万吨)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区域</w:t>
            </w:r>
          </w:p>
        </w:tc>
        <w:tc>
          <w:tcPr>
            <w:tcW w:w="1201" w:type="dxa"/>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省市</w:t>
            </w:r>
          </w:p>
        </w:tc>
        <w:tc>
          <w:tcPr>
            <w:tcW w:w="1246" w:type="dxa"/>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炼厂名称</w:t>
            </w:r>
          </w:p>
        </w:tc>
        <w:tc>
          <w:tcPr>
            <w:tcW w:w="1348" w:type="dxa"/>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检修装置</w:t>
            </w:r>
          </w:p>
        </w:tc>
        <w:tc>
          <w:tcPr>
            <w:tcW w:w="1016" w:type="dxa"/>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产能</w:t>
            </w:r>
          </w:p>
        </w:tc>
        <w:tc>
          <w:tcPr>
            <w:tcW w:w="1619" w:type="dxa"/>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起始时间</w:t>
            </w:r>
          </w:p>
        </w:tc>
        <w:tc>
          <w:tcPr>
            <w:tcW w:w="1459" w:type="dxa"/>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auto"/>
                <w:kern w:val="0"/>
                <w:sz w:val="18"/>
                <w:szCs w:val="18"/>
                <w:u w:val="none"/>
                <w:lang w:val="en-US" w:eastAsia="zh-CN" w:bidi="ar"/>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淄博</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金诚石化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蜡油加氢裂化</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2021/11/24</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color w:val="auto"/>
                <w:spacing w:val="0"/>
                <w:sz w:val="18"/>
                <w:szCs w:val="18"/>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shd w:val="clear" w:color="auto" w:fill="auto"/>
            <w:vAlign w:val="center"/>
          </w:tcPr>
          <w:p>
            <w:pPr>
              <w:keepNext w:val="0"/>
              <w:keepLines w:val="0"/>
              <w:widowControl/>
              <w:suppressLineNumbers w:val="0"/>
              <w:spacing w:before="0" w:beforeAutospacing="0" w:after="0" w:afterAutospacing="0"/>
              <w:ind w:left="0" w:leftChars="0" w:right="0" w:rightChars="0" w:firstLine="0" w:firstLineChars="0"/>
              <w:jc w:val="left"/>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潍坊</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山东海化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全厂</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240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2021年6月底</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2021/11/20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restar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山东</w:t>
            </w: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日照</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日照岚桥</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全厂</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350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2021/7/1</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2021/12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滨州</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京博石化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常减压</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350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2021/10/20</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2021/12/8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1320" w:type="dxa"/>
            <w:vMerge w:val="continue"/>
            <w:shd w:val="clear" w:color="auto" w:fill="auto"/>
            <w:vAlign w:val="center"/>
          </w:tcPr>
          <w:p>
            <w:pP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东营</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垦利石化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全厂</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400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2021/9/18</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2021/10/15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临沂</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清沂山石化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全厂</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350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2021/7/18</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2021/10/5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滨州</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无棣鑫岳</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催化</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80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2021/9/7</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德州</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恒源石化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全厂</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350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2021/6/18</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准备拆除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东营</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富宇石化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全厂</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220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2021/9/6</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准备拆除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1320" w:type="dxa"/>
            <w:vMerge w:val="continue"/>
            <w:shd w:val="clear" w:color="auto" w:fill="auto"/>
            <w:vAlign w:val="center"/>
          </w:tcPr>
          <w:p>
            <w:pP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潍坊</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联盟石化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全厂</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220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2021/9/20</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color w:val="auto"/>
                <w:spacing w:val="0"/>
                <w:sz w:val="18"/>
                <w:szCs w:val="18"/>
              </w:rPr>
              <w:t>准备拆除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西南</w:t>
            </w: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重庆</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龙海石化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全厂检修</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150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sz w:val="18"/>
                <w:szCs w:val="18"/>
                <w:u w:val="none"/>
              </w:rPr>
              <w:t>2021/7月底</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rPr>
            </w:pPr>
            <w:r>
              <w:rPr>
                <w:rFonts w:hint="eastAsia" w:ascii="宋体" w:hAnsi="宋体" w:eastAsia="宋体" w:cs="宋体"/>
                <w:i w:val="0"/>
                <w:iCs w:val="0"/>
                <w:color w:val="auto"/>
                <w:sz w:val="18"/>
                <w:szCs w:val="18"/>
                <w:u w:val="none"/>
              </w:rPr>
              <w:t>2021/10/12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restart"/>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东北</w:t>
            </w: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辽宁</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辽宁缘泰</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常减压装置</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300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2021/2/22</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jc w:val="cente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辽宁</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盘锦浩业</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催化</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140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aps w:val="0"/>
                <w:spacing w:val="0"/>
                <w:sz w:val="18"/>
                <w:szCs w:val="18"/>
              </w:rPr>
              <w:t>2021/3</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kern w:val="0"/>
                <w:sz w:val="18"/>
                <w:szCs w:val="18"/>
                <w:u w:val="none"/>
                <w:lang w:val="en-US" w:eastAsia="zh-CN" w:bidi="ar"/>
              </w:rPr>
            </w:pPr>
            <w:r>
              <w:rPr>
                <w:rFonts w:hint="eastAsia" w:ascii="宋体" w:hAnsi="宋体" w:eastAsia="宋体" w:cs="宋体"/>
                <w:caps w:val="0"/>
                <w:spacing w:val="0"/>
                <w:sz w:val="18"/>
                <w:szCs w:val="18"/>
              </w:rPr>
              <w:t>2021/5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jc w:val="cente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辽宁</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大连锦源</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全厂检修</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2021/5/6</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jc w:val="cente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黑龙江</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大庆中蓝</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全厂检修</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220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2021/7/25</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1320" w:type="dxa"/>
            <w:vMerge w:val="continue"/>
            <w:shd w:val="clear" w:color="auto" w:fill="auto"/>
            <w:vAlign w:val="center"/>
          </w:tcPr>
          <w:p>
            <w:pPr>
              <w:jc w:val="cente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辽宁</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辽宁华锦</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全厂检修</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600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2021/7/15</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2021/9/1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jc w:val="cente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辽宁</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沈阳蜡化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常减压</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70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2021/11/12</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aps w:val="0"/>
                <w:spacing w:val="0"/>
                <w:sz w:val="18"/>
                <w:szCs w:val="18"/>
              </w:rPr>
            </w:pPr>
            <w:r>
              <w:rPr>
                <w:rFonts w:hint="eastAsia" w:ascii="宋体" w:hAnsi="宋体" w:eastAsia="宋体" w:cs="宋体"/>
                <w:caps w:val="0"/>
                <w:spacing w:val="0"/>
                <w:sz w:val="18"/>
                <w:szCs w:val="18"/>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restar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eastAsia="zh-CN"/>
              </w:rPr>
            </w:pPr>
            <w:r>
              <w:rPr>
                <w:rFonts w:hint="eastAsia" w:ascii="宋体" w:hAnsi="宋体" w:eastAsia="宋体" w:cs="宋体"/>
                <w:i w:val="0"/>
                <w:iCs w:val="0"/>
                <w:color w:val="auto"/>
                <w:sz w:val="18"/>
                <w:szCs w:val="18"/>
                <w:u w:val="none"/>
              </w:rPr>
              <w:t>西</w:t>
            </w:r>
            <w:r>
              <w:rPr>
                <w:rFonts w:hint="eastAsia" w:ascii="宋体" w:hAnsi="宋体" w:eastAsia="宋体" w:cs="宋体"/>
                <w:i w:val="0"/>
                <w:iCs w:val="0"/>
                <w:color w:val="auto"/>
                <w:sz w:val="18"/>
                <w:szCs w:val="18"/>
                <w:u w:val="none"/>
                <w:lang w:eastAsia="zh-CN"/>
              </w:rPr>
              <w:t>北</w:t>
            </w: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宁夏</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宝利新能源</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全厂检修</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80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2021/8/5</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2021/8/25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宁夏</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宁鲁石化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全厂检修</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60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2021/8/18</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2021/9/22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陕西</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永坪炼油厂</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催化、常减压</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250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2021/11/1</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rPr>
              <w:t>2021/11/17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20"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caps w:val="0"/>
                <w:spacing w:val="0"/>
                <w:sz w:val="18"/>
                <w:szCs w:val="18"/>
              </w:rPr>
              <w:t>华东</w:t>
            </w: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江苏</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新海石化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全厂检修</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300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2021/3/25</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2021/5/14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20" w:type="dxa"/>
            <w:vMerge w:val="restart"/>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华北</w:t>
            </w: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河南</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丰利石化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全厂检修</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260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2021/6/11</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2021/9/13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河南</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丰利石化</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常减压</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260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2021/11/4</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320" w:type="dxa"/>
            <w:vMerge w:val="continue"/>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p>
        </w:tc>
        <w:tc>
          <w:tcPr>
            <w:tcW w:w="1201"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河北</w:t>
            </w:r>
          </w:p>
        </w:tc>
        <w:tc>
          <w:tcPr>
            <w:tcW w:w="124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河北鑫海</w:t>
            </w:r>
          </w:p>
        </w:tc>
        <w:tc>
          <w:tcPr>
            <w:tcW w:w="1348"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全厂检修</w:t>
            </w:r>
          </w:p>
        </w:tc>
        <w:tc>
          <w:tcPr>
            <w:tcW w:w="1016"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600</w:t>
            </w:r>
          </w:p>
        </w:tc>
        <w:tc>
          <w:tcPr>
            <w:tcW w:w="161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2021/7/5</w:t>
            </w:r>
          </w:p>
        </w:tc>
        <w:tc>
          <w:tcPr>
            <w:tcW w:w="1459" w:type="dxa"/>
            <w:shd w:val="clear" w:color="auto" w:fill="auto"/>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auto"/>
                <w:sz w:val="18"/>
                <w:szCs w:val="18"/>
                <w:u w:val="none"/>
                <w:lang w:val="en-US" w:eastAsia="zh-CN"/>
              </w:rPr>
              <w:t>2021/8/15</w:t>
            </w:r>
          </w:p>
        </w:tc>
      </w:tr>
    </w:tbl>
    <w:p>
      <w:pPr>
        <w:rPr>
          <w:rFonts w:hint="eastAsia"/>
          <w:color w:val="auto"/>
        </w:rPr>
      </w:pPr>
    </w:p>
    <w:p>
      <w:pPr>
        <w:pStyle w:val="3"/>
        <w:spacing w:before="120" w:after="120" w:line="240" w:lineRule="auto"/>
        <w:rPr>
          <w:rFonts w:hint="eastAsia" w:ascii="宋体" w:hAnsi="宋体"/>
          <w:b/>
          <w:color w:val="auto"/>
          <w:sz w:val="30"/>
          <w:szCs w:val="30"/>
          <w:highlight w:val="none"/>
        </w:rPr>
      </w:pPr>
      <w:bookmarkStart w:id="19" w:name="_Toc816"/>
      <w:r>
        <w:rPr>
          <w:rFonts w:hint="eastAsia" w:ascii="宋体" w:hAnsi="宋体"/>
          <w:b/>
          <w:color w:val="auto"/>
          <w:sz w:val="30"/>
          <w:szCs w:val="30"/>
          <w:highlight w:val="none"/>
        </w:rPr>
        <w:t>3.2本周成品油市场行情</w:t>
      </w:r>
      <w:bookmarkEnd w:id="19"/>
      <w:bookmarkStart w:id="35" w:name="_GoBack"/>
      <w:bookmarkEnd w:id="35"/>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(12月17日-12月23日)，国际原油震荡上涨为主，华中地区主营汽柴油价格宽幅下行。具体来看：汽油正处于传统需求淡季，市场缺乏节日利好支撑提振，华中地区内汽油需求相对清淡，国内部分地区疫情扩散，区内疫情管控加强，居民出行谨慎，加之，气温下降，私家车出行频次降低，汽油市场面支撑不足，终端需求消耗缓慢，区内汽油成交价格小幅下调。柴油市场处于淡季，随着气温持续下降，户外工程基建项目开展逐步受阻，与此同时，冬奥会临近环保检查严格，工矿基建等行业开工受限，柴油需求逐步减少，区内柴油资源偏紧，库存处于低位，区内柴油批发价格窄幅下滑，整体保持在限价水平，且多以限量销售。随着成品油零售限价“三连跌”，汽柴油行情有所下滑，业者对后市看跌氛围愈加浓重，入市采购十分谨慎，整体购销气氛较为清淡，但主营年度销售任务已陆续完成，销售政策多倾向保利为主。</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(12月17日-12月23日)，继12月17日国内零售限价下调政策落实之后，华东区内汽柴油市场先是整体走跌，而后居稳，接着各销售单位主要根据市场实际出货情况窄幅调整涨跌。周中期，受油价接连宽幅回弹提振，加上部分单位年度销售任务已经完成，当前保利润为重，其中山东地区部分主营价格不乏上调价格以刺激市场，浙江和上海地区价格也较为坚挺，而江苏地区汽柴价格相对调整灵活。周后期，浙江和上海部分单位价格开始宽幅走低，借势促量，但终端情绪谨慎，整体市场交投延续理性。从需求面来看，当前处于传统消费淡季，天气渐冷结合疫情影响，汽柴油终端需求刚需支撑，业者观望情绪较浓，场内出货短期无好转。</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(12月17日-12月23日)，华南地区主营汽柴油价格整体呈下跌走势，柴油价格在零售限价下调政策落实后略有松动，但相对于汽油来说跌幅较小。这周以来福建地区柴油资源紧张情况仍未能缓解，各单位延续实施控量销售政策。国内疫情反弹，各地疫情管控范围扩大，居民出行谨慎，汽油市场需求受到影响，终端需求上涨动力不足，加之零售限价下调落实，汽油整体行情呈下行走势，柴油市场需求缺乏有力支撑，据了解，部分主营单位年度销售任务已相继完成，实际出货优惠幅度灵活，中下游业者按需采购为主，市场大单稀少。</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(12月17日-12月23日)，华北地区，原油近日高位震荡走势，本轮成品油限价下调兑现，消息面偏空市场。具体来看，政策面成品油限价“三连跌”，叠加国内疫情渐起，市场需求疲软，业者看跌心态主导。汽油方面，北方气温下降，市民出行意愿偏弱，终端消耗难寻支撑。柴油方面，冬奥会开幕式即将在区内北京及张家口等地举办，环保检查与限产政策抑制下游户外开工率，柴油需求下滑，但由于部分地区柴油资源不足，支撑油价。整体市场购销氛围清淡，下游用户多按需采购。月末年尾，主营单位暂无销售压力，挺价意愿明显，故区内价格多随市就市，小幅让利出货，优惠力度加深，单大可议。</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(12月17日-12月23日)，西北区域主营油价下跌为主。周前期，零售限价下调预期笼罩市场，业者看空心态占主，接货积极性不高，主营出货量少，地炼出货速度放慢，主营油价暂稳，地炼承压性低。周中期，消息面持续利空市场，中下游客户观望情绪加重，按需订购，遇延长调价，陕西主营价格跟调，市场需求偏淡，价格稳中下跌。原油变化率在负向区间逐步收紧，然市场活跃度较低，进入传统成品油淡季，伴随新一轮压轴寒潮，西北大部分区域户外开工率降低，西安疫情高峰，防控政策加强，交通受限，成品油终端需求疲软，主营出货淡稳。</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(12月17日-12月23日)，西南地区主营汽柴油价格整体下行，原油变化率负向波动，零售限价下调一次。汽油方面，本周汽油需求支撑较弱，市场普遍需求清淡，随着近期疫情加重，贸易商避险情绪升温，整体采购谨慎。柴油方面，前期，柴油价格普遍随零售限价下调而大幅下跌，市场柴油价格现已多至限价附近，业者对此接受度不高。具体来说，周期前，原油震荡运行，区内主营大多已完成年度销售任务，保利出售，坚挺价格。随主营单位随开展限时优惠活动，但场内交投依旧清淡，汽柴油价格大多因原油收盘而相应调整。周期后，随着零售限价下调，主营单位汽柴油价格都纷纷下跌，汽油市场交投氛围略有改善，市场整体需求仍以刚需为主，小单购进;柴油当前库存偏低，资源供应仍显紧张，整体保持在限价水平，且多以限量销售。</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本周(12月17日-12月23日)，东北部分地区汽柴油价格小幅调整。汽柴油方面暂无利好因素刺激，加之受终端需求不佳的影响，业者囤货意愿不高，场内购销氛围平淡，整体交投情况一般。周后期，零售限价下调落实，加之各地疫情陆续爆发，交通管制较为严格，运输受到一定程度的限制，汽油需求难寻有力支撑，中下游刚需采买为主。柴油面受环保检查等影响，部分户外作业开工受限，需求进一步放缓，区内汽柴油价格随之下滑。综合来看，区内成品油市场走势欠佳。</w:t>
      </w:r>
    </w:p>
    <w:p>
      <w:pPr>
        <w:pStyle w:val="23"/>
        <w:keepNext w:val="0"/>
        <w:keepLines w:val="0"/>
        <w:pageBreakBefore w:val="0"/>
        <w:widowControl/>
        <w:kinsoku/>
        <w:wordWrap/>
        <w:overflowPunct/>
        <w:topLinePunct w:val="0"/>
        <w:autoSpaceDE/>
        <w:autoSpaceDN/>
        <w:bidi w:val="0"/>
        <w:adjustRightInd/>
        <w:snapToGrid/>
        <w:spacing w:line="240" w:lineRule="auto"/>
        <w:ind w:firstLine="360" w:firstLineChars="200"/>
        <w:textAlignment w:val="auto"/>
        <w:rPr>
          <w:rFonts w:hint="default" w:ascii="宋体" w:hAnsi="宋体" w:eastAsia="宋体" w:cs="宋体"/>
          <w:color w:val="auto"/>
          <w:kern w:val="2"/>
          <w:sz w:val="18"/>
          <w:szCs w:val="18"/>
          <w:shd w:val="clear" w:color="auto" w:fill="FFFFFF"/>
          <w:lang w:eastAsia="zh-CN"/>
        </w:rPr>
      </w:pPr>
      <w:r>
        <w:rPr>
          <w:rFonts w:hint="default" w:ascii="宋体" w:hAnsi="宋体" w:eastAsia="宋体" w:cs="宋体"/>
          <w:color w:val="auto"/>
          <w:kern w:val="2"/>
          <w:sz w:val="18"/>
          <w:szCs w:val="18"/>
          <w:shd w:val="clear" w:color="auto" w:fill="FFFFFF"/>
          <w:lang w:eastAsia="zh-CN"/>
        </w:rPr>
        <w:t>后市预测: 预计后期原油维持区间震荡，零售限价有下调预期，消息方面支撑不足，国内疫情较为严重，居民出行受阻，后期元旦假期来临或有一定支撑，柴油资源供应逐渐增加，但近期天气寒冷，柴油需求逐渐疲软，但目前价格仍处于限价水平，预计华中地区内主营汽柴油批发价格或弱势盘整。</w:t>
      </w:r>
    </w:p>
    <w:p>
      <w:pPr>
        <w:pStyle w:val="3"/>
        <w:spacing w:before="120" w:after="120" w:line="240" w:lineRule="auto"/>
        <w:rPr>
          <w:rFonts w:ascii="宋体" w:hAnsi="宋体"/>
          <w:b/>
          <w:color w:val="auto"/>
          <w:sz w:val="30"/>
          <w:szCs w:val="30"/>
        </w:rPr>
      </w:pPr>
      <w:bookmarkStart w:id="20" w:name="_Toc14270"/>
      <w:r>
        <w:rPr>
          <w:rFonts w:hint="eastAsia" w:ascii="宋体" w:hAnsi="宋体"/>
          <w:b/>
          <w:color w:val="auto"/>
          <w:sz w:val="30"/>
          <w:szCs w:val="30"/>
        </w:rPr>
        <w:t>3.3 国内汽油价格周报</w:t>
      </w:r>
      <w:bookmarkEnd w:id="20"/>
    </w:p>
    <w:p>
      <w:pPr>
        <w:jc w:val="righ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单位：元/吨</w:t>
      </w:r>
    </w:p>
    <w:p>
      <w:pPr>
        <w:rPr>
          <w:rFonts w:hint="eastAsia"/>
          <w:color w:val="auto"/>
        </w:rPr>
      </w:pPr>
    </w:p>
    <w:p>
      <w:pPr>
        <w:rPr>
          <w:rFonts w:hint="eastAsia"/>
          <w:color w:val="auto"/>
        </w:rPr>
      </w:pPr>
    </w:p>
    <w:tbl>
      <w:tblPr>
        <w:tblStyle w:val="24"/>
        <w:tblW w:w="9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70"/>
        <w:gridCol w:w="945"/>
        <w:gridCol w:w="1065"/>
        <w:gridCol w:w="1020"/>
        <w:gridCol w:w="1080"/>
        <w:gridCol w:w="1290"/>
        <w:gridCol w:w="792"/>
        <w:gridCol w:w="1200"/>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0" w:hRule="atLeast"/>
          <w:tblHeader/>
          <w:jc w:val="center"/>
        </w:trPr>
        <w:tc>
          <w:tcPr>
            <w:tcW w:w="87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地区</w:t>
            </w:r>
          </w:p>
        </w:tc>
        <w:tc>
          <w:tcPr>
            <w:tcW w:w="94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城市</w:t>
            </w:r>
          </w:p>
        </w:tc>
        <w:tc>
          <w:tcPr>
            <w:tcW w:w="10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企业性质</w:t>
            </w:r>
          </w:p>
        </w:tc>
        <w:tc>
          <w:tcPr>
            <w:tcW w:w="102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产品名称</w:t>
            </w:r>
          </w:p>
        </w:tc>
        <w:tc>
          <w:tcPr>
            <w:tcW w:w="108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型号</w:t>
            </w:r>
          </w:p>
        </w:tc>
        <w:tc>
          <w:tcPr>
            <w:tcW w:w="129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价格类型</w:t>
            </w:r>
          </w:p>
        </w:tc>
        <w:tc>
          <w:tcPr>
            <w:tcW w:w="792"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涨跌</w:t>
            </w:r>
          </w:p>
        </w:tc>
        <w:tc>
          <w:tcPr>
            <w:tcW w:w="120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2021/12/23</w:t>
            </w:r>
          </w:p>
        </w:tc>
        <w:tc>
          <w:tcPr>
            <w:tcW w:w="114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2021/12/16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青岛市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89#</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7990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西安市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吉林中油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吉林中油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大连市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东莞市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厦门市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厦门市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惠州市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泉州市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海口市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海口市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福州市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粤东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茂名市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7938</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8138</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临汾市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任丘市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7780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京VI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京VI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京VI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京VI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唐山市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8180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7830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8130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天津市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太原市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开封市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7980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石家庄市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石家庄市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7780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郑州市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上海市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中海油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南京市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南通市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南通市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宁波市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徐州市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无锡市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无锡市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7790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7990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日照市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杭州市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江阴市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温州市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温州市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温州市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7790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7990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烟台市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盐城市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盐城市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E92#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连云港市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华东</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连云港市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青岛市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7790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南宁市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南宁市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成都市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成都市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昆明市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昆明市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贵阳市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贵阳市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重庆市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西南</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重庆市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九江市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南昌市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合肥市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合肥市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武汉市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武汉市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8300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国VI 92#</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中石化</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8550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华中</w:t>
            </w:r>
          </w:p>
        </w:tc>
        <w:tc>
          <w:tcPr>
            <w:tcW w:w="9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长沙市</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中石油</w:t>
            </w:r>
          </w:p>
        </w:tc>
        <w:tc>
          <w:tcPr>
            <w:tcW w:w="10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汽油</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国Ⅵ 95#</w:t>
            </w:r>
          </w:p>
        </w:tc>
        <w:tc>
          <w:tcPr>
            <w:tcW w:w="12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批发价</w:t>
            </w:r>
          </w:p>
        </w:tc>
        <w:tc>
          <w:tcPr>
            <w:tcW w:w="79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0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8450</w:t>
            </w:r>
          </w:p>
        </w:tc>
        <w:tc>
          <w:tcPr>
            <w:tcW w:w="114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8200</w:t>
            </w:r>
          </w:p>
        </w:tc>
      </w:tr>
    </w:tbl>
    <w:p>
      <w:pPr>
        <w:pStyle w:val="3"/>
        <w:spacing w:before="120" w:after="120" w:line="240" w:lineRule="auto"/>
        <w:rPr>
          <w:rFonts w:hint="eastAsia" w:ascii="宋体" w:hAnsi="宋体"/>
          <w:b/>
          <w:color w:val="auto"/>
          <w:sz w:val="30"/>
          <w:szCs w:val="30"/>
          <w:lang w:val="en-US" w:eastAsia="zh-CN"/>
        </w:rPr>
      </w:pPr>
      <w:bookmarkStart w:id="21" w:name="_Toc28195"/>
      <w:r>
        <w:rPr>
          <w:rFonts w:hint="eastAsia" w:ascii="宋体" w:hAnsi="宋体"/>
          <w:b/>
          <w:color w:val="auto"/>
          <w:sz w:val="30"/>
          <w:szCs w:val="30"/>
          <w:lang w:val="en-US" w:eastAsia="zh-CN"/>
        </w:rPr>
        <w:t>3.4国内柴油价格周报</w:t>
      </w:r>
      <w:bookmarkEnd w:id="21"/>
    </w:p>
    <w:p>
      <w:pPr>
        <w:jc w:val="right"/>
        <w:rPr>
          <w:rFonts w:hint="eastAsia"/>
          <w:color w:val="auto"/>
          <w:lang w:val="en-US" w:eastAsia="zh-CN"/>
        </w:rPr>
      </w:pPr>
      <w:r>
        <w:rPr>
          <w:rFonts w:hint="eastAsia" w:ascii="宋体" w:hAnsi="宋体" w:eastAsia="宋体" w:cs="宋体"/>
          <w:color w:val="auto"/>
          <w:sz w:val="18"/>
          <w:szCs w:val="18"/>
          <w:lang w:val="en-US" w:eastAsia="zh-CN"/>
        </w:rPr>
        <w:t>单位：元/吨</w:t>
      </w:r>
    </w:p>
    <w:tbl>
      <w:tblPr>
        <w:tblStyle w:val="24"/>
        <w:tblW w:w="93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885"/>
        <w:gridCol w:w="1080"/>
        <w:gridCol w:w="990"/>
        <w:gridCol w:w="1095"/>
        <w:gridCol w:w="990"/>
        <w:gridCol w:w="1170"/>
        <w:gridCol w:w="765"/>
        <w:gridCol w:w="1152"/>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0" w:hRule="atLeast"/>
          <w:tblHeader/>
          <w:jc w:val="center"/>
        </w:trPr>
        <w:tc>
          <w:tcPr>
            <w:tcW w:w="88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地区</w:t>
            </w:r>
          </w:p>
        </w:tc>
        <w:tc>
          <w:tcPr>
            <w:tcW w:w="108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城市</w:t>
            </w:r>
          </w:p>
        </w:tc>
        <w:tc>
          <w:tcPr>
            <w:tcW w:w="99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企业性质</w:t>
            </w:r>
          </w:p>
        </w:tc>
        <w:tc>
          <w:tcPr>
            <w:tcW w:w="109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产品名称</w:t>
            </w:r>
          </w:p>
        </w:tc>
        <w:tc>
          <w:tcPr>
            <w:tcW w:w="99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型号</w:t>
            </w:r>
          </w:p>
        </w:tc>
        <w:tc>
          <w:tcPr>
            <w:tcW w:w="117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价格类型</w:t>
            </w:r>
          </w:p>
        </w:tc>
        <w:tc>
          <w:tcPr>
            <w:tcW w:w="7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涨跌</w:t>
            </w:r>
          </w:p>
        </w:tc>
        <w:tc>
          <w:tcPr>
            <w:tcW w:w="1152"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2021/12/23</w:t>
            </w:r>
          </w:p>
        </w:tc>
        <w:tc>
          <w:tcPr>
            <w:tcW w:w="123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val="0"/>
                <w:i w:val="0"/>
                <w:color w:val="auto"/>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2021/12/16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西安市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西安市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银川市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银川市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7220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吉林中油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-35#</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-1354</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吉林市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-35#</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-1354</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大连市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7490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东莞市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6.68</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厦门市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厦门市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7490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广州市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惠州市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惠州市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7490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惠州市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海口市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7520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海口市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福州市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福州市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茂名市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7490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茂名市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任丘市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7420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任丘市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-10#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-10#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唐山市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唐山市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7420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唐山市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7440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商丘市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7440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7420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天津市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7380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太原市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太原市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7475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7440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开封市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7440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石家庄市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7420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石家庄市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7295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7440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郑州市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7440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中海油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沪Ⅳ0#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7425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上海市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沪Ⅳ0#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南京市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南通市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南通市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宁波市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7475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宁波市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徐州市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徐州市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无锡市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无锡市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日照市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7390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日照市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杭州市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7475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杭州市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江阴市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江阴市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温州市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7475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温州市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烟台市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7390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烟台市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盐城市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盐城市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连云港市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7460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华东</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连云港市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青岛市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7390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青岛市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7555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南宁市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7555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成都市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成都市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昆明市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7610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昆明市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7610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贵阳市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贵阳市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-85</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7615</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重庆市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西南</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重庆市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7570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九江市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九江市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南昌市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南昌市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中石油</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88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华中</w:t>
            </w:r>
          </w:p>
        </w:tc>
        <w:tc>
          <w:tcPr>
            <w:tcW w:w="108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合肥市</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中石化</w:t>
            </w:r>
          </w:p>
        </w:tc>
        <w:tc>
          <w:tcPr>
            <w:tcW w:w="10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柴油</w:t>
            </w:r>
          </w:p>
        </w:tc>
        <w:tc>
          <w:tcPr>
            <w:tcW w:w="99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国VI 0#</w:t>
            </w:r>
          </w:p>
        </w:tc>
        <w:tc>
          <w:tcPr>
            <w:tcW w:w="117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批发价</w:t>
            </w:r>
          </w:p>
        </w:tc>
        <w:tc>
          <w:tcPr>
            <w:tcW w:w="765"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1152"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7440</w:t>
            </w:r>
          </w:p>
        </w:tc>
        <w:tc>
          <w:tcPr>
            <w:tcW w:w="1230" w:type="dxa"/>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i w:val="0"/>
                <w:color w:val="auto"/>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7450</w:t>
            </w:r>
          </w:p>
        </w:tc>
      </w:tr>
    </w:tbl>
    <w:p>
      <w:pPr>
        <w:rPr>
          <w:rFonts w:hint="eastAsia" w:eastAsia="宋体"/>
          <w:color w:val="auto"/>
          <w:lang w:val="en-US" w:eastAsia="zh-CN"/>
        </w:rPr>
      </w:pPr>
    </w:p>
    <w:p>
      <w:pPr>
        <w:rPr>
          <w:rFonts w:hint="eastAsia" w:eastAsia="宋体"/>
          <w:color w:val="auto"/>
          <w:lang w:val="en-US" w:eastAsia="zh-CN"/>
        </w:rPr>
      </w:pPr>
    </w:p>
    <w:p>
      <w:pPr>
        <w:pStyle w:val="3"/>
        <w:spacing w:before="120" w:after="120" w:line="240" w:lineRule="auto"/>
        <w:rPr>
          <w:rFonts w:hint="eastAsia" w:ascii="宋体" w:hAnsi="宋体"/>
          <w:b/>
          <w:color w:val="auto"/>
          <w:sz w:val="30"/>
          <w:szCs w:val="30"/>
          <w:lang w:val="en-US" w:eastAsia="zh-CN"/>
        </w:rPr>
      </w:pPr>
      <w:bookmarkStart w:id="22" w:name="_Toc20471"/>
      <w:r>
        <w:rPr>
          <w:rFonts w:hint="eastAsia" w:ascii="宋体" w:hAnsi="宋体"/>
          <w:b/>
          <w:color w:val="auto"/>
          <w:sz w:val="30"/>
          <w:szCs w:val="30"/>
          <w:lang w:val="en-US" w:eastAsia="zh-CN"/>
        </w:rPr>
        <w:t>3.5 山东地炼汽油出厂价格周报</w:t>
      </w:r>
      <w:bookmarkEnd w:id="22"/>
    </w:p>
    <w:p>
      <w:pPr>
        <w:jc w:val="right"/>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单位：元/吨</w:t>
      </w:r>
    </w:p>
    <w:tbl>
      <w:tblPr>
        <w:tblStyle w:val="24"/>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765"/>
        <w:gridCol w:w="855"/>
        <w:gridCol w:w="1845"/>
        <w:gridCol w:w="1334"/>
        <w:gridCol w:w="975"/>
        <w:gridCol w:w="735"/>
        <w:gridCol w:w="123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2" w:hRule="atLeast"/>
          <w:tblHeader/>
          <w:jc w:val="center"/>
        </w:trPr>
        <w:tc>
          <w:tcPr>
            <w:tcW w:w="7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省份</w:t>
            </w:r>
          </w:p>
        </w:tc>
        <w:tc>
          <w:tcPr>
            <w:tcW w:w="85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产品名称</w:t>
            </w:r>
          </w:p>
        </w:tc>
        <w:tc>
          <w:tcPr>
            <w:tcW w:w="184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生产厂家</w:t>
            </w:r>
          </w:p>
        </w:tc>
        <w:tc>
          <w:tcPr>
            <w:tcW w:w="1334"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型号</w:t>
            </w:r>
          </w:p>
        </w:tc>
        <w:tc>
          <w:tcPr>
            <w:tcW w:w="97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价格类型</w:t>
            </w:r>
          </w:p>
        </w:tc>
        <w:tc>
          <w:tcPr>
            <w:tcW w:w="73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涨跌</w:t>
            </w:r>
          </w:p>
        </w:tc>
        <w:tc>
          <w:tcPr>
            <w:tcW w:w="123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2021/12/23</w:t>
            </w:r>
          </w:p>
        </w:tc>
        <w:tc>
          <w:tcPr>
            <w:tcW w:w="121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2021/12/16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亚通石化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万通化工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万通化工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7330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东方华龙</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东方华龙</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7630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7770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7553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中海石油东营石化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7490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中海石油东营石化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7620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亚通石化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7622</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京VI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国VIB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7774</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国VIB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-219</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7774</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89#</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华星石化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垦利石化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7420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万达天弘</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7370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万达天弘</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7520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寿光联盟</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寿光联盟</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寿光鲁清</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7370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寿光鲁清</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7570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89#</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山东海科</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7635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7635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山东海科</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7925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7925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弘润石化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弘润石化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潍坊弘润</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高标国VI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昌邑石化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昌邑石化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广饶正和</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广饶正和</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永鑫化工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8070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永鑫化工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8180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7660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7760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101#</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7475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7605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98#</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7895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101#</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8345</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神驰化工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7390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神驰化工</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7470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联合石化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联合石化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7653</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金诚石化</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7550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延安炼厂公路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延安炼厂公路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西安临潼公路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西安临潼铁路</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汽车运输</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金澳科技</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92#</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7800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85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汽油</w:t>
            </w:r>
          </w:p>
        </w:tc>
        <w:tc>
          <w:tcPr>
            <w:tcW w:w="18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金澳科技</w:t>
            </w:r>
          </w:p>
        </w:tc>
        <w:tc>
          <w:tcPr>
            <w:tcW w:w="133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95#</w:t>
            </w:r>
          </w:p>
        </w:tc>
        <w:tc>
          <w:tcPr>
            <w:tcW w:w="9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3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123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121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8240</w:t>
            </w:r>
          </w:p>
        </w:tc>
      </w:tr>
    </w:tbl>
    <w:p>
      <w:pPr>
        <w:jc w:val="center"/>
        <w:rPr>
          <w:rFonts w:hint="eastAsia"/>
          <w:color w:val="auto"/>
          <w:lang w:val="en-US" w:eastAsia="zh-CN"/>
        </w:rPr>
      </w:pPr>
    </w:p>
    <w:p>
      <w:pPr>
        <w:jc w:val="center"/>
        <w:rPr>
          <w:rFonts w:hint="eastAsia"/>
          <w:color w:val="auto"/>
          <w:lang w:val="en-US" w:eastAsia="zh-CN"/>
        </w:rPr>
      </w:pPr>
    </w:p>
    <w:p>
      <w:pPr>
        <w:pStyle w:val="3"/>
        <w:spacing w:before="120" w:after="120" w:line="240" w:lineRule="auto"/>
        <w:rPr>
          <w:rFonts w:hint="eastAsia" w:ascii="宋体" w:hAnsi="宋体"/>
          <w:b/>
          <w:color w:val="auto"/>
          <w:sz w:val="30"/>
          <w:szCs w:val="30"/>
          <w:lang w:val="en-US" w:eastAsia="zh-CN"/>
        </w:rPr>
      </w:pPr>
      <w:bookmarkStart w:id="23" w:name="_Toc22494"/>
      <w:r>
        <w:rPr>
          <w:rFonts w:hint="eastAsia" w:ascii="宋体" w:hAnsi="宋体"/>
          <w:b/>
          <w:color w:val="auto"/>
          <w:sz w:val="30"/>
          <w:szCs w:val="30"/>
          <w:lang w:val="en-US" w:eastAsia="zh-CN"/>
        </w:rPr>
        <w:t>3.6 山东地炼柴油出厂价格周报</w:t>
      </w:r>
      <w:bookmarkEnd w:id="23"/>
    </w:p>
    <w:p>
      <w:pPr>
        <w:jc w:val="right"/>
        <w:rPr>
          <w:rFonts w:hint="eastAsia" w:ascii="宋体" w:hAnsi="宋体" w:eastAsia="宋体" w:cs="宋体"/>
          <w:b/>
          <w:color w:val="auto"/>
          <w:sz w:val="18"/>
          <w:szCs w:val="18"/>
          <w:lang w:val="en-US" w:eastAsia="zh-CN"/>
        </w:rPr>
      </w:pPr>
      <w:r>
        <w:rPr>
          <w:rFonts w:hint="eastAsia" w:ascii="宋体" w:hAnsi="宋体" w:eastAsia="宋体" w:cs="宋体"/>
          <w:bCs/>
          <w:color w:val="auto"/>
          <w:sz w:val="18"/>
          <w:szCs w:val="18"/>
          <w:lang w:val="en-US" w:eastAsia="zh-CN"/>
        </w:rPr>
        <w:t>单位：元/吨</w:t>
      </w:r>
    </w:p>
    <w:p>
      <w:pPr>
        <w:rPr>
          <w:rFonts w:hint="eastAsia"/>
          <w:b/>
          <w:bCs/>
          <w:color w:val="auto"/>
          <w:lang w:val="en-US" w:eastAsia="zh-CN"/>
        </w:rPr>
      </w:pPr>
    </w:p>
    <w:tbl>
      <w:tblPr>
        <w:tblStyle w:val="24"/>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810"/>
        <w:gridCol w:w="1065"/>
        <w:gridCol w:w="1545"/>
        <w:gridCol w:w="1395"/>
        <w:gridCol w:w="900"/>
        <w:gridCol w:w="720"/>
        <w:gridCol w:w="127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3" w:hRule="atLeast"/>
          <w:tblHeader/>
          <w:jc w:val="center"/>
        </w:trPr>
        <w:tc>
          <w:tcPr>
            <w:tcW w:w="81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bookmarkStart w:id="24" w:name="_Toc711"/>
            <w:bookmarkStart w:id="25" w:name="_Toc23056"/>
            <w:bookmarkStart w:id="26" w:name="_Toc533771879"/>
            <w:r>
              <w:rPr>
                <w:rFonts w:hint="eastAsia" w:ascii="宋体" w:hAnsi="宋体" w:eastAsia="宋体" w:cs="宋体"/>
                <w:b/>
                <w:i w:val="0"/>
                <w:color w:val="auto"/>
                <w:kern w:val="0"/>
                <w:sz w:val="18"/>
                <w:szCs w:val="18"/>
                <w:u w:val="none"/>
                <w:lang w:val="en-US" w:eastAsia="zh-CN" w:bidi="ar"/>
              </w:rPr>
              <w:t>省份</w:t>
            </w:r>
          </w:p>
        </w:tc>
        <w:tc>
          <w:tcPr>
            <w:tcW w:w="106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产品名称</w:t>
            </w:r>
          </w:p>
        </w:tc>
        <w:tc>
          <w:tcPr>
            <w:tcW w:w="154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生产厂家</w:t>
            </w:r>
          </w:p>
        </w:tc>
        <w:tc>
          <w:tcPr>
            <w:tcW w:w="139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型号</w:t>
            </w:r>
          </w:p>
        </w:tc>
        <w:tc>
          <w:tcPr>
            <w:tcW w:w="90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i w:val="0"/>
                <w:color w:val="auto"/>
                <w:kern w:val="0"/>
                <w:sz w:val="18"/>
                <w:szCs w:val="18"/>
                <w:u w:val="none"/>
                <w:lang w:val="en-US" w:eastAsia="zh-CN" w:bidi="ar"/>
              </w:rPr>
              <w:t>价格类型</w:t>
            </w:r>
          </w:p>
        </w:tc>
        <w:tc>
          <w:tcPr>
            <w:tcW w:w="720"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涨跌</w:t>
            </w:r>
          </w:p>
        </w:tc>
        <w:tc>
          <w:tcPr>
            <w:tcW w:w="1272"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2021/12/23</w:t>
            </w:r>
          </w:p>
        </w:tc>
        <w:tc>
          <w:tcPr>
            <w:tcW w:w="1275" w:type="dxa"/>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18"/>
                <w:szCs w:val="18"/>
                <w:u w:val="none"/>
              </w:rPr>
            </w:pPr>
            <w:r>
              <w:rPr>
                <w:rFonts w:hint="eastAsia" w:ascii="宋体" w:hAnsi="宋体" w:eastAsia="宋体" w:cs="宋体"/>
                <w:b/>
                <w:bCs/>
                <w:i w:val="0"/>
                <w:iCs w:val="0"/>
                <w:color w:val="000000"/>
                <w:kern w:val="0"/>
                <w:sz w:val="18"/>
                <w:szCs w:val="18"/>
                <w:u w:val="none"/>
                <w:lang w:val="en-US" w:eastAsia="zh-CN" w:bidi="ar"/>
              </w:rPr>
              <w:t>2021/12/16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万通化工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东方华龙</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东明石化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180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华联石化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7103</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中海石油东营石化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亚通石化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6950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7267</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7317</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京博石化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112</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7530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利津石化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垦利石化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柴油</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万达天弘</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7070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寿光联盟</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寿光鲁清</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华星石化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7030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富宇化工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山东海科</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7145</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7145</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弘润石化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潍坊弘润</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恒源石化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昌邑石化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国六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广饶正和</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永鑫化工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7130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汇丰石化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7170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海科瑞林</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7115</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神驰化工</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海化石化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-6850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联合石化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7073</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金诚石化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7270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鑫泰石化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鑫泰石化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浙江</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金澳科技</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延安炼厂公路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汽车运输</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榆林炼厂公路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-10#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铁路运输</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永坪炼厂公路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国Ⅵ -20#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7500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陕西</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西安临潼铁路</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7200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石大科技石化</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7290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81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山东</w:t>
            </w:r>
          </w:p>
        </w:tc>
        <w:tc>
          <w:tcPr>
            <w:tcW w:w="106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柴油</w:t>
            </w:r>
          </w:p>
        </w:tc>
        <w:tc>
          <w:tcPr>
            <w:tcW w:w="154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石大科技</w:t>
            </w:r>
          </w:p>
        </w:tc>
        <w:tc>
          <w:tcPr>
            <w:tcW w:w="139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国VI 0#</w:t>
            </w:r>
          </w:p>
        </w:tc>
        <w:tc>
          <w:tcPr>
            <w:tcW w:w="90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出厂价</w:t>
            </w:r>
          </w:p>
        </w:tc>
        <w:tc>
          <w:tcPr>
            <w:tcW w:w="720"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272"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7290</w:t>
            </w:r>
          </w:p>
        </w:tc>
        <w:tc>
          <w:tcPr>
            <w:tcW w:w="12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7270</w:t>
            </w:r>
          </w:p>
        </w:tc>
      </w:tr>
    </w:tbl>
    <w:p>
      <w:pPr>
        <w:pStyle w:val="2"/>
        <w:numPr>
          <w:ilvl w:val="0"/>
          <w:numId w:val="0"/>
        </w:numPr>
        <w:spacing w:before="120" w:after="0" w:line="240" w:lineRule="auto"/>
        <w:rPr>
          <w:rFonts w:hint="eastAsia"/>
          <w:b/>
          <w:color w:val="auto"/>
          <w:sz w:val="36"/>
          <w:szCs w:val="36"/>
          <w:lang w:val="en-US" w:eastAsia="zh-CN"/>
        </w:rPr>
      </w:pPr>
      <w:bookmarkStart w:id="27" w:name="_Toc17074"/>
      <w:r>
        <w:rPr>
          <w:rFonts w:hint="eastAsia"/>
          <w:b/>
          <w:color w:val="auto"/>
          <w:sz w:val="36"/>
          <w:szCs w:val="36"/>
          <w:lang w:val="en-US" w:eastAsia="zh-CN"/>
        </w:rPr>
        <w:t>四、2021年10月份进出口统计数据</w:t>
      </w:r>
      <w:bookmarkEnd w:id="24"/>
      <w:bookmarkEnd w:id="27"/>
    </w:p>
    <w:p>
      <w:pPr>
        <w:pStyle w:val="3"/>
        <w:spacing w:before="120" w:after="120" w:line="240" w:lineRule="auto"/>
        <w:rPr>
          <w:rFonts w:hint="eastAsia" w:ascii="宋体" w:hAnsi="宋体"/>
          <w:b/>
          <w:color w:val="auto"/>
          <w:sz w:val="32"/>
          <w:szCs w:val="32"/>
        </w:rPr>
      </w:pPr>
      <w:bookmarkStart w:id="28" w:name="_Toc31314"/>
      <w:bookmarkStart w:id="29" w:name="_Toc6798"/>
      <w:r>
        <w:rPr>
          <w:rFonts w:hint="eastAsia" w:ascii="宋体" w:hAnsi="宋体"/>
          <w:b/>
          <w:color w:val="auto"/>
          <w:sz w:val="32"/>
          <w:szCs w:val="32"/>
        </w:rPr>
        <w:t>4.</w:t>
      </w:r>
      <w:bookmarkEnd w:id="28"/>
      <w:r>
        <w:rPr>
          <w:rFonts w:hint="eastAsia" w:ascii="宋体" w:hAnsi="宋体"/>
          <w:b/>
          <w:color w:val="auto"/>
          <w:sz w:val="32"/>
          <w:szCs w:val="32"/>
          <w:lang w:val="en-US" w:eastAsia="zh-CN"/>
        </w:rPr>
        <w:t xml:space="preserve">1 </w:t>
      </w:r>
      <w:r>
        <w:rPr>
          <w:rFonts w:hint="eastAsia" w:ascii="宋体" w:hAnsi="宋体"/>
          <w:b/>
          <w:color w:val="auto"/>
          <w:sz w:val="32"/>
          <w:szCs w:val="32"/>
        </w:rPr>
        <w:t>20</w:t>
      </w:r>
      <w:r>
        <w:rPr>
          <w:rFonts w:hint="eastAsia" w:ascii="宋体" w:hAnsi="宋体"/>
          <w:b/>
          <w:color w:val="auto"/>
          <w:sz w:val="32"/>
          <w:szCs w:val="32"/>
          <w:lang w:val="en-US" w:eastAsia="zh-CN"/>
        </w:rPr>
        <w:t>21</w:t>
      </w:r>
      <w:r>
        <w:rPr>
          <w:rFonts w:hint="eastAsia" w:ascii="宋体" w:hAnsi="宋体"/>
          <w:b/>
          <w:color w:val="auto"/>
          <w:sz w:val="32"/>
          <w:szCs w:val="32"/>
        </w:rPr>
        <w:t>年</w:t>
      </w:r>
      <w:r>
        <w:rPr>
          <w:rFonts w:hint="eastAsia" w:ascii="宋体" w:hAnsi="宋体"/>
          <w:b/>
          <w:color w:val="auto"/>
          <w:sz w:val="32"/>
          <w:szCs w:val="32"/>
          <w:lang w:val="en-US" w:eastAsia="zh-CN"/>
        </w:rPr>
        <w:t>10</w:t>
      </w:r>
      <w:r>
        <w:rPr>
          <w:rFonts w:hint="eastAsia" w:ascii="宋体" w:hAnsi="宋体"/>
          <w:b/>
          <w:color w:val="auto"/>
          <w:sz w:val="32"/>
          <w:szCs w:val="32"/>
        </w:rPr>
        <w:t>份全国车用汽油和航空汽油出口统计数据</w:t>
      </w:r>
      <w:bookmarkEnd w:id="29"/>
    </w:p>
    <w:p>
      <w:pPr>
        <w:rPr>
          <w:rFonts w:hint="eastAsia"/>
          <w:bCs/>
          <w:color w:val="auto"/>
          <w:szCs w:val="21"/>
        </w:rPr>
      </w:pPr>
      <w:r>
        <w:rPr>
          <w:rFonts w:hint="eastAsia"/>
          <w:bCs/>
          <w:color w:val="auto"/>
          <w:szCs w:val="21"/>
        </w:rPr>
        <w:t>单位：</w:t>
      </w:r>
      <w:r>
        <w:rPr>
          <w:rFonts w:hint="eastAsia"/>
          <w:bCs/>
          <w:color w:val="auto"/>
          <w:szCs w:val="21"/>
          <w:lang w:eastAsia="zh-CN"/>
        </w:rPr>
        <w:t>吨</w:t>
      </w:r>
      <w:r>
        <w:rPr>
          <w:rFonts w:hint="eastAsia"/>
          <w:bCs/>
          <w:color w:val="auto"/>
          <w:szCs w:val="21"/>
        </w:rPr>
        <w:t>，美元</w:t>
      </w:r>
    </w:p>
    <w:p>
      <w:pPr>
        <w:rPr>
          <w:rFonts w:hint="eastAsia"/>
          <w:color w:val="auto"/>
        </w:rPr>
      </w:pPr>
    </w:p>
    <w:p>
      <w:pPr>
        <w:rPr>
          <w:rFonts w:hint="eastAsia"/>
          <w:color w:val="auto"/>
        </w:rPr>
      </w:pPr>
    </w:p>
    <w:tbl>
      <w:tblPr>
        <w:tblStyle w:val="24"/>
        <w:tblW w:w="8700" w:type="dxa"/>
        <w:jc w:val="center"/>
        <w:shd w:val="clear" w:color="auto" w:fill="auto"/>
        <w:tblLayout w:type="autofit"/>
        <w:tblCellMar>
          <w:top w:w="0" w:type="dxa"/>
          <w:left w:w="0" w:type="dxa"/>
          <w:bottom w:w="0" w:type="dxa"/>
          <w:right w:w="0" w:type="dxa"/>
        </w:tblCellMar>
      </w:tblPr>
      <w:tblGrid>
        <w:gridCol w:w="3405"/>
        <w:gridCol w:w="1665"/>
        <w:gridCol w:w="1785"/>
        <w:gridCol w:w="1845"/>
      </w:tblGrid>
      <w:tr>
        <w:tblPrEx>
          <w:shd w:val="clear" w:color="auto" w:fill="auto"/>
          <w:tblCellMar>
            <w:top w:w="0" w:type="dxa"/>
            <w:left w:w="0" w:type="dxa"/>
            <w:bottom w:w="0" w:type="dxa"/>
            <w:right w:w="0" w:type="dxa"/>
          </w:tblCellMar>
        </w:tblPrEx>
        <w:trPr>
          <w:trHeight w:val="480"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Style w:val="28"/>
                <w:rFonts w:hint="eastAsia" w:ascii="宋体" w:hAnsi="宋体" w:eastAsia="宋体" w:cs="宋体"/>
                <w:b/>
                <w:i w:val="0"/>
                <w:caps w:val="0"/>
                <w:color w:val="auto"/>
                <w:spacing w:val="0"/>
                <w:sz w:val="18"/>
                <w:szCs w:val="18"/>
              </w:rPr>
            </w:pPr>
            <w:bookmarkStart w:id="30" w:name="_Toc31064"/>
            <w:r>
              <w:rPr>
                <w:rStyle w:val="28"/>
                <w:rFonts w:hint="eastAsia" w:ascii="宋体" w:hAnsi="宋体" w:eastAsia="宋体" w:cs="宋体"/>
                <w:b/>
                <w:i w:val="0"/>
                <w:caps w:val="0"/>
                <w:color w:val="auto"/>
                <w:spacing w:val="0"/>
                <w:sz w:val="18"/>
                <w:szCs w:val="18"/>
                <w:lang w:val="en-US" w:eastAsia="zh-CN"/>
              </w:rPr>
              <w:t>商品名称</w:t>
            </w:r>
          </w:p>
        </w:tc>
        <w:tc>
          <w:tcPr>
            <w:tcW w:w="16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Style w:val="28"/>
                <w:rFonts w:hint="eastAsia" w:ascii="宋体" w:hAnsi="宋体" w:eastAsia="宋体" w:cs="宋体"/>
                <w:b/>
                <w:i w:val="0"/>
                <w:caps w:val="0"/>
                <w:color w:val="auto"/>
                <w:spacing w:val="0"/>
                <w:sz w:val="18"/>
                <w:szCs w:val="18"/>
              </w:rPr>
            </w:pPr>
            <w:r>
              <w:rPr>
                <w:rStyle w:val="28"/>
                <w:rFonts w:hint="eastAsia" w:ascii="宋体" w:hAnsi="宋体" w:eastAsia="宋体" w:cs="宋体"/>
                <w:b/>
                <w:i w:val="0"/>
                <w:caps w:val="0"/>
                <w:color w:val="auto"/>
                <w:spacing w:val="0"/>
                <w:sz w:val="18"/>
                <w:szCs w:val="18"/>
                <w:lang w:val="en-US" w:eastAsia="zh-CN"/>
              </w:rPr>
              <w:t>出口目的地</w:t>
            </w:r>
          </w:p>
        </w:tc>
        <w:tc>
          <w:tcPr>
            <w:tcW w:w="17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Style w:val="28"/>
                <w:rFonts w:hint="eastAsia" w:ascii="宋体" w:hAnsi="宋体" w:eastAsia="宋体" w:cs="宋体"/>
                <w:b/>
                <w:i w:val="0"/>
                <w:caps w:val="0"/>
                <w:color w:val="auto"/>
                <w:spacing w:val="0"/>
                <w:sz w:val="18"/>
                <w:szCs w:val="18"/>
              </w:rPr>
            </w:pPr>
            <w:r>
              <w:rPr>
                <w:rStyle w:val="28"/>
                <w:rFonts w:hint="eastAsia" w:ascii="宋体" w:hAnsi="宋体" w:eastAsia="宋体" w:cs="宋体"/>
                <w:b/>
                <w:i w:val="0"/>
                <w:caps w:val="0"/>
                <w:color w:val="auto"/>
                <w:spacing w:val="0"/>
                <w:sz w:val="18"/>
                <w:szCs w:val="18"/>
                <w:lang w:val="en-US" w:eastAsia="zh-CN"/>
              </w:rPr>
              <w:t>数量</w:t>
            </w:r>
          </w:p>
        </w:tc>
        <w:tc>
          <w:tcPr>
            <w:tcW w:w="184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Style w:val="28"/>
                <w:rFonts w:hint="eastAsia" w:ascii="宋体" w:hAnsi="宋体" w:eastAsia="宋体" w:cs="宋体"/>
                <w:b/>
                <w:i w:val="0"/>
                <w:caps w:val="0"/>
                <w:color w:val="auto"/>
                <w:spacing w:val="0"/>
                <w:sz w:val="18"/>
                <w:szCs w:val="18"/>
              </w:rPr>
            </w:pPr>
            <w:r>
              <w:rPr>
                <w:rStyle w:val="28"/>
                <w:rFonts w:hint="eastAsia" w:ascii="宋体" w:hAnsi="宋体" w:eastAsia="宋体" w:cs="宋体"/>
                <w:b/>
                <w:i w:val="0"/>
                <w:caps w:val="0"/>
                <w:color w:val="auto"/>
                <w:spacing w:val="0"/>
                <w:sz w:val="18"/>
                <w:szCs w:val="18"/>
                <w:lang w:val="en-US" w:eastAsia="zh-CN"/>
              </w:rPr>
              <w:t>单位</w:t>
            </w:r>
          </w:p>
        </w:tc>
      </w:tr>
      <w:tr>
        <w:tblPrEx>
          <w:shd w:val="clear" w:color="auto" w:fill="auto"/>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车用汽油和航空汽油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巴基斯坦</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460072.265</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吨</w:t>
            </w:r>
          </w:p>
        </w:tc>
      </w:tr>
      <w:tr>
        <w:tblPrEx>
          <w:shd w:val="clear" w:color="auto" w:fill="auto"/>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车用汽油和航空汽油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菲律宾</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248227.6</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吨</w:t>
            </w:r>
          </w:p>
        </w:tc>
      </w:tr>
      <w:tr>
        <w:tblPrEx>
          <w:shd w:val="clear" w:color="auto" w:fill="auto"/>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车用汽油和航空汽油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马来西亚</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35000</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吨</w:t>
            </w:r>
          </w:p>
        </w:tc>
      </w:tr>
      <w:tr>
        <w:tblPrEx>
          <w:shd w:val="clear" w:color="auto" w:fill="auto"/>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车用汽油和航空汽油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蒙古</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23187.641</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吨</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车用汽油和航空汽油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缅甸</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4988.046</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吨</w:t>
            </w:r>
          </w:p>
        </w:tc>
      </w:tr>
      <w:tr>
        <w:tblPrEx>
          <w:tblCellMar>
            <w:top w:w="0" w:type="dxa"/>
            <w:left w:w="0" w:type="dxa"/>
            <w:bottom w:w="0" w:type="dxa"/>
            <w:right w:w="0" w:type="dxa"/>
          </w:tblCellMar>
        </w:tblPrEx>
        <w:trPr>
          <w:trHeight w:val="90"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车用汽油和航空汽油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日本</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4308.649</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吨</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车用汽油和航空汽油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沙特阿拉伯</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56492.911</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吨</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车用汽油和航空汽油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新加坡</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155958.528</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吨</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车用汽油和航空汽油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越南</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15980.18</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吨</w:t>
            </w:r>
          </w:p>
        </w:tc>
      </w:tr>
      <w:tr>
        <w:tblPrEx>
          <w:tblCellMar>
            <w:top w:w="0" w:type="dxa"/>
            <w:left w:w="0" w:type="dxa"/>
            <w:bottom w:w="0" w:type="dxa"/>
            <w:right w:w="0" w:type="dxa"/>
          </w:tblCellMar>
        </w:tblPrEx>
        <w:trPr>
          <w:trHeight w:val="285" w:hRule="atLeast"/>
          <w:jc w:val="center"/>
        </w:trPr>
        <w:tc>
          <w:tcPr>
            <w:tcW w:w="34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车用汽油和航空汽油</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中国澳门</w:t>
            </w:r>
          </w:p>
        </w:tc>
        <w:tc>
          <w:tcPr>
            <w:tcW w:w="1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4153.498</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aps w:val="0"/>
                <w:color w:val="auto"/>
                <w:spacing w:val="0"/>
                <w:kern w:val="0"/>
                <w:sz w:val="18"/>
                <w:szCs w:val="18"/>
                <w:lang w:val="en-US" w:eastAsia="zh-CN" w:bidi="ar"/>
              </w:rPr>
            </w:pPr>
            <w:r>
              <w:rPr>
                <w:rFonts w:hint="eastAsia" w:ascii="宋体" w:hAnsi="宋体" w:eastAsia="宋体" w:cs="宋体"/>
                <w:i w:val="0"/>
                <w:iCs w:val="0"/>
                <w:color w:val="auto"/>
                <w:kern w:val="0"/>
                <w:sz w:val="18"/>
                <w:szCs w:val="18"/>
                <w:u w:val="none"/>
                <w:lang w:val="en-US" w:eastAsia="zh-CN" w:bidi="ar"/>
              </w:rPr>
              <w:t>吨</w:t>
            </w:r>
          </w:p>
        </w:tc>
      </w:tr>
    </w:tbl>
    <w:p>
      <w:pPr>
        <w:pStyle w:val="3"/>
        <w:spacing w:before="120" w:after="120" w:line="240" w:lineRule="auto"/>
        <w:rPr>
          <w:rFonts w:hint="eastAsia" w:ascii="宋体" w:hAnsi="宋体"/>
          <w:b/>
          <w:color w:val="auto"/>
          <w:sz w:val="32"/>
          <w:szCs w:val="32"/>
        </w:rPr>
      </w:pPr>
      <w:bookmarkStart w:id="31" w:name="_Toc10780"/>
      <w:r>
        <w:rPr>
          <w:rFonts w:hint="eastAsia" w:ascii="宋体" w:hAnsi="宋体"/>
          <w:b/>
          <w:color w:val="auto"/>
          <w:sz w:val="32"/>
          <w:szCs w:val="32"/>
        </w:rPr>
        <w:t>4.2 20</w:t>
      </w:r>
      <w:r>
        <w:rPr>
          <w:rFonts w:hint="eastAsia" w:ascii="宋体" w:hAnsi="宋体"/>
          <w:b/>
          <w:color w:val="auto"/>
          <w:sz w:val="32"/>
          <w:szCs w:val="32"/>
          <w:lang w:val="en-US" w:eastAsia="zh-CN"/>
        </w:rPr>
        <w:t>21</w:t>
      </w:r>
      <w:r>
        <w:rPr>
          <w:rFonts w:hint="eastAsia" w:ascii="宋体" w:hAnsi="宋体"/>
          <w:b/>
          <w:color w:val="auto"/>
          <w:sz w:val="32"/>
          <w:szCs w:val="32"/>
        </w:rPr>
        <w:t>年</w:t>
      </w:r>
      <w:r>
        <w:rPr>
          <w:rFonts w:hint="eastAsia" w:ascii="宋体" w:hAnsi="宋体"/>
          <w:b/>
          <w:color w:val="auto"/>
          <w:sz w:val="32"/>
          <w:szCs w:val="32"/>
          <w:lang w:val="en-US" w:eastAsia="zh-CN"/>
        </w:rPr>
        <w:t>10</w:t>
      </w:r>
      <w:r>
        <w:rPr>
          <w:rFonts w:hint="eastAsia" w:ascii="宋体" w:hAnsi="宋体"/>
          <w:b/>
          <w:color w:val="auto"/>
          <w:sz w:val="32"/>
          <w:szCs w:val="32"/>
        </w:rPr>
        <w:t>月份全国柴油出口统计数据</w:t>
      </w:r>
      <w:bookmarkEnd w:id="30"/>
      <w:bookmarkEnd w:id="31"/>
    </w:p>
    <w:p>
      <w:pPr>
        <w:jc w:val="right"/>
        <w:rPr>
          <w:rFonts w:hint="eastAsia" w:ascii="宋体" w:hAnsi="宋体" w:eastAsia="宋体" w:cs="宋体"/>
          <w:bCs/>
          <w:color w:val="auto"/>
          <w:sz w:val="18"/>
          <w:szCs w:val="18"/>
        </w:rPr>
      </w:pPr>
      <w:r>
        <w:rPr>
          <w:rFonts w:hint="eastAsia" w:ascii="宋体" w:hAnsi="宋体" w:eastAsia="宋体" w:cs="宋体"/>
          <w:bCs/>
          <w:color w:val="auto"/>
          <w:sz w:val="18"/>
          <w:szCs w:val="18"/>
        </w:rPr>
        <w:t>单位：</w:t>
      </w:r>
      <w:r>
        <w:rPr>
          <w:rFonts w:hint="eastAsia" w:ascii="宋体" w:hAnsi="宋体" w:eastAsia="宋体" w:cs="宋体"/>
          <w:bCs/>
          <w:color w:val="auto"/>
          <w:sz w:val="18"/>
          <w:szCs w:val="18"/>
          <w:lang w:eastAsia="zh-CN"/>
        </w:rPr>
        <w:t>吨</w:t>
      </w:r>
      <w:r>
        <w:rPr>
          <w:rFonts w:hint="eastAsia" w:ascii="宋体" w:hAnsi="宋体" w:eastAsia="宋体" w:cs="宋体"/>
          <w:bCs/>
          <w:color w:val="auto"/>
          <w:sz w:val="18"/>
          <w:szCs w:val="18"/>
        </w:rPr>
        <w:t>，美元</w:t>
      </w:r>
    </w:p>
    <w:tbl>
      <w:tblPr>
        <w:tblStyle w:val="24"/>
        <w:tblW w:w="85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516"/>
        <w:gridCol w:w="1410"/>
        <w:gridCol w:w="1050"/>
        <w:gridCol w:w="1688"/>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blHeader/>
          <w:jc w:val="center"/>
        </w:trPr>
        <w:tc>
          <w:tcPr>
            <w:tcW w:w="2516"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贸易伙伴名称</w:t>
            </w:r>
          </w:p>
        </w:tc>
        <w:tc>
          <w:tcPr>
            <w:tcW w:w="141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数量（吨）</w:t>
            </w:r>
          </w:p>
        </w:tc>
        <w:tc>
          <w:tcPr>
            <w:tcW w:w="105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所占比率</w:t>
            </w:r>
          </w:p>
        </w:tc>
        <w:tc>
          <w:tcPr>
            <w:tcW w:w="1688"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当月金额（元）</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b/>
                <w:bCs/>
                <w:color w:val="auto"/>
                <w:sz w:val="18"/>
                <w:szCs w:val="18"/>
              </w:rPr>
            </w:pPr>
            <w:r>
              <w:rPr>
                <w:rStyle w:val="28"/>
                <w:rFonts w:hint="eastAsia" w:ascii="宋体" w:hAnsi="宋体" w:eastAsia="宋体" w:cs="宋体"/>
                <w:b/>
                <w:i w:val="0"/>
                <w:caps w:val="0"/>
                <w:color w:val="auto"/>
                <w:spacing w:val="0"/>
                <w:sz w:val="18"/>
                <w:szCs w:val="18"/>
              </w:rPr>
              <w:t>当月均价（元/吨）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auto"/>
                <w:spacing w:val="0"/>
                <w:sz w:val="18"/>
                <w:szCs w:val="18"/>
              </w:rPr>
              <w:t>埃塞俄比亚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auto"/>
                <w:spacing w:val="0"/>
                <w:sz w:val="18"/>
                <w:szCs w:val="18"/>
              </w:rPr>
              <w:t>99.86</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auto"/>
                <w:spacing w:val="0"/>
                <w:sz w:val="18"/>
                <w:szCs w:val="18"/>
              </w:rPr>
              <w:t>421356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kern w:val="0"/>
                <w:sz w:val="18"/>
                <w:szCs w:val="18"/>
                <w:lang w:val="en-US" w:eastAsia="zh-CN" w:bidi="ar-SA"/>
              </w:rPr>
            </w:pPr>
            <w:r>
              <w:rPr>
                <w:rFonts w:hint="eastAsia" w:ascii="宋体" w:hAnsi="宋体" w:eastAsia="宋体" w:cs="宋体"/>
                <w:caps w:val="0"/>
                <w:color w:val="auto"/>
                <w:spacing w:val="0"/>
                <w:sz w:val="18"/>
                <w:szCs w:val="18"/>
              </w:rPr>
              <w:t>4219.47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安提瓜和巴布达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587.68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2367019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4027.73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澳大利亚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39924.54</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7%</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159337586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3990.97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巴哈马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414.41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1690616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4079.55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巴拿马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26506.87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101406396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3825.66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伯利兹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319.68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1368486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4280.80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大洋洲其他国家(地区)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150.00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575591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3837.27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丹麦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75.00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297469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3966.25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德国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299.90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1168081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3894.90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多米尼加共和国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59.68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232448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3894.91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俄罗斯联邦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136.00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574011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4220.67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菲律宾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169801.11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594784903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3502.83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韩国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78784.67</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14%</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302330897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3837.43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荷兰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75.00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328561</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4380.81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克罗地亚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46.98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202999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4320.97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利比里亚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8792.30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35788219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4070.40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马耳他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1513.08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6028000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3983.92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马来西亚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160.00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696513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4353.21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马绍尔群岛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4372.04</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17564244</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4017.41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美国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49.98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207646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4154.58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蒙古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3717.48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15716609</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4227.76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缅甸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9763.82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41524606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4252.90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挪威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198.80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811235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4080.66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帕劳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83.53</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359498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4303.82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葡萄牙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1074.32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4196372</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3906.07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日本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5339.55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21564805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4038.70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塞浦路斯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680.30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2881516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4235.65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圣文森特和格林纳丁斯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300.00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1224946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4083.15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泰国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96.12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381857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3972.79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希腊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320.00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1560223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4875.70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新加坡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42426.46</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8%</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169526756</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3995.78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牙买加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25.00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107840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4313.60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印度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15.00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58043</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3869.53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印度尼西亚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265.79</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1075828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4047.74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英国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1145.00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4680165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4087.48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越南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190.00</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828077</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4358.30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智利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38743.08</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7%</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155166468</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4005.01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中国澳门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1987.05</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7515870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3782.42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中国台湾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7707.82</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31902550</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4138.98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中国香港  </w:t>
            </w:r>
          </w:p>
        </w:tc>
        <w:tc>
          <w:tcPr>
            <w:tcW w:w="141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109397.31</w:t>
            </w:r>
          </w:p>
        </w:tc>
        <w:tc>
          <w:tcPr>
            <w:tcW w:w="105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20%</w:t>
            </w:r>
          </w:p>
        </w:tc>
        <w:tc>
          <w:tcPr>
            <w:tcW w:w="1688"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402776165</w:t>
            </w:r>
          </w:p>
        </w:tc>
        <w:tc>
          <w:tcPr>
            <w:tcW w:w="1890" w:type="dxa"/>
            <w:tcBorders>
              <w:top w:val="nil"/>
              <w:left w:val="nil"/>
              <w:bottom w:val="single" w:color="000000" w:sz="6" w:space="0"/>
              <w:right w:val="single" w:color="000000" w:sz="6" w:space="0"/>
            </w:tcBorders>
            <w:shd w:val="clear" w:color="auto" w:fill="F9F9F9"/>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Fonts w:hint="eastAsia" w:ascii="宋体" w:hAnsi="宋体" w:eastAsia="宋体" w:cs="宋体"/>
                <w:caps w:val="0"/>
                <w:color w:val="auto"/>
                <w:spacing w:val="0"/>
                <w:sz w:val="18"/>
                <w:szCs w:val="18"/>
              </w:rPr>
              <w:t>3681.77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2516" w:type="dxa"/>
            <w:tcBorders>
              <w:top w:val="nil"/>
              <w:left w:val="single" w:color="000000" w:sz="6" w:space="0"/>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Style w:val="28"/>
                <w:rFonts w:hint="eastAsia" w:ascii="宋体" w:hAnsi="宋体" w:eastAsia="宋体" w:cs="宋体"/>
                <w:caps w:val="0"/>
                <w:color w:val="auto"/>
                <w:spacing w:val="0"/>
                <w:sz w:val="18"/>
                <w:szCs w:val="18"/>
              </w:rPr>
              <w:t>合计</w:t>
            </w:r>
          </w:p>
        </w:tc>
        <w:tc>
          <w:tcPr>
            <w:tcW w:w="141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Style w:val="28"/>
                <w:rFonts w:hint="eastAsia" w:ascii="宋体" w:hAnsi="宋体" w:eastAsia="宋体" w:cs="宋体"/>
                <w:caps w:val="0"/>
                <w:color w:val="auto"/>
                <w:spacing w:val="0"/>
                <w:sz w:val="18"/>
                <w:szCs w:val="18"/>
              </w:rPr>
              <w:t>555645.20</w:t>
            </w:r>
          </w:p>
        </w:tc>
        <w:tc>
          <w:tcPr>
            <w:tcW w:w="105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Style w:val="28"/>
                <w:rFonts w:hint="eastAsia" w:ascii="宋体" w:hAnsi="宋体" w:eastAsia="宋体" w:cs="宋体"/>
                <w:caps w:val="0"/>
                <w:color w:val="auto"/>
                <w:spacing w:val="0"/>
                <w:sz w:val="18"/>
                <w:szCs w:val="18"/>
              </w:rPr>
              <w:t>100%</w:t>
            </w:r>
          </w:p>
        </w:tc>
        <w:tc>
          <w:tcPr>
            <w:tcW w:w="1688"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Style w:val="28"/>
                <w:rFonts w:hint="eastAsia" w:ascii="宋体" w:hAnsi="宋体" w:eastAsia="宋体" w:cs="宋体"/>
                <w:caps w:val="0"/>
                <w:color w:val="auto"/>
                <w:spacing w:val="0"/>
                <w:sz w:val="18"/>
                <w:szCs w:val="18"/>
              </w:rPr>
              <w:t>2091230470.00</w:t>
            </w:r>
          </w:p>
        </w:tc>
        <w:tc>
          <w:tcPr>
            <w:tcW w:w="1890" w:type="dxa"/>
            <w:tcBorders>
              <w:top w:val="nil"/>
              <w:left w:val="nil"/>
              <w:bottom w:val="single" w:color="000000" w:sz="6" w:space="0"/>
              <w:right w:val="single" w:color="000000" w:sz="6" w:space="0"/>
            </w:tcBorders>
            <w:shd w:val="clear" w:color="auto" w:fill="00B0F0"/>
            <w:tcMar>
              <w:left w:w="105" w:type="dxa"/>
              <w:right w:w="10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color w:val="auto"/>
                <w:sz w:val="18"/>
                <w:szCs w:val="18"/>
              </w:rPr>
            </w:pPr>
            <w:r>
              <w:rPr>
                <w:rStyle w:val="28"/>
                <w:rFonts w:hint="eastAsia" w:ascii="宋体" w:hAnsi="宋体" w:eastAsia="宋体" w:cs="宋体"/>
                <w:caps w:val="0"/>
                <w:color w:val="auto"/>
                <w:spacing w:val="0"/>
                <w:sz w:val="18"/>
                <w:szCs w:val="18"/>
              </w:rPr>
              <w:t>3763.61</w:t>
            </w:r>
          </w:p>
        </w:tc>
      </w:tr>
    </w:tbl>
    <w:p>
      <w:pPr>
        <w:rPr>
          <w:rFonts w:hint="eastAsia"/>
        </w:rPr>
      </w:pPr>
      <w:bookmarkStart w:id="32" w:name="_Toc21887"/>
    </w:p>
    <w:p>
      <w:pPr>
        <w:rPr>
          <w:rFonts w:hint="eastAsia"/>
        </w:rPr>
      </w:pPr>
    </w:p>
    <w:p>
      <w:pPr>
        <w:rPr>
          <w:rFonts w:hint="eastAsia"/>
        </w:rPr>
      </w:pPr>
    </w:p>
    <w:p>
      <w:pPr>
        <w:pStyle w:val="3"/>
        <w:spacing w:before="120" w:after="120" w:line="240" w:lineRule="auto"/>
        <w:rPr>
          <w:rFonts w:hint="eastAsia"/>
          <w:bCs/>
          <w:color w:val="auto"/>
          <w:sz w:val="30"/>
          <w:szCs w:val="30"/>
        </w:rPr>
      </w:pPr>
      <w:r>
        <w:rPr>
          <w:rFonts w:hint="eastAsia" w:ascii="宋体" w:hAnsi="宋体"/>
          <w:b/>
          <w:color w:val="auto"/>
          <w:sz w:val="30"/>
          <w:szCs w:val="30"/>
        </w:rPr>
        <w:t>4.3 20</w:t>
      </w:r>
      <w:r>
        <w:rPr>
          <w:rFonts w:hint="eastAsia" w:ascii="宋体" w:hAnsi="宋体"/>
          <w:b/>
          <w:color w:val="auto"/>
          <w:sz w:val="30"/>
          <w:szCs w:val="30"/>
          <w:lang w:val="en-US" w:eastAsia="zh-CN"/>
        </w:rPr>
        <w:t>21</w:t>
      </w:r>
      <w:r>
        <w:rPr>
          <w:rFonts w:hint="eastAsia" w:ascii="宋体" w:hAnsi="宋体"/>
          <w:b/>
          <w:color w:val="auto"/>
          <w:sz w:val="30"/>
          <w:szCs w:val="30"/>
        </w:rPr>
        <w:t>年</w:t>
      </w:r>
      <w:r>
        <w:rPr>
          <w:rFonts w:hint="eastAsia" w:ascii="宋体" w:hAnsi="宋体"/>
          <w:b/>
          <w:color w:val="auto"/>
          <w:sz w:val="30"/>
          <w:szCs w:val="30"/>
          <w:lang w:val="en-US" w:eastAsia="zh-CN"/>
        </w:rPr>
        <w:t>10</w:t>
      </w:r>
      <w:r>
        <w:rPr>
          <w:rFonts w:hint="eastAsia" w:ascii="宋体" w:hAnsi="宋体"/>
          <w:b/>
          <w:color w:val="auto"/>
          <w:sz w:val="30"/>
          <w:szCs w:val="30"/>
        </w:rPr>
        <w:t>月份全国原油进出口统计数据</w:t>
      </w:r>
      <w:bookmarkEnd w:id="25"/>
      <w:bookmarkEnd w:id="32"/>
    </w:p>
    <w:p>
      <w:pPr>
        <w:jc w:val="right"/>
        <w:rPr>
          <w:rFonts w:hint="eastAsia"/>
          <w:bCs/>
          <w:color w:val="auto"/>
          <w:sz w:val="18"/>
          <w:szCs w:val="18"/>
        </w:rPr>
      </w:pPr>
      <w:r>
        <w:rPr>
          <w:rFonts w:hint="eastAsia"/>
          <w:bCs/>
          <w:color w:val="auto"/>
          <w:sz w:val="18"/>
          <w:szCs w:val="18"/>
        </w:rPr>
        <w:t>单位：</w:t>
      </w:r>
      <w:r>
        <w:rPr>
          <w:rFonts w:hint="eastAsia"/>
          <w:bCs/>
          <w:color w:val="auto"/>
          <w:sz w:val="18"/>
          <w:szCs w:val="18"/>
          <w:lang w:eastAsia="zh-CN"/>
        </w:rPr>
        <w:t>吨</w:t>
      </w:r>
      <w:r>
        <w:rPr>
          <w:rFonts w:hint="eastAsia"/>
          <w:bCs/>
          <w:color w:val="auto"/>
          <w:sz w:val="18"/>
          <w:szCs w:val="18"/>
        </w:rPr>
        <w:t>，美元</w:t>
      </w:r>
    </w:p>
    <w:p>
      <w:pPr>
        <w:jc w:val="right"/>
        <w:rPr>
          <w:rFonts w:hint="eastAsia" w:ascii="宋体" w:hAnsi="宋体"/>
        </w:rPr>
      </w:pPr>
      <w:bookmarkStart w:id="33" w:name="_Toc20776"/>
      <w:bookmarkStart w:id="34" w:name="_Toc9952"/>
    </w:p>
    <w:tbl>
      <w:tblPr>
        <w:tblStyle w:val="24"/>
        <w:tblW w:w="4308" w:type="pct"/>
        <w:tblInd w:w="679" w:type="dxa"/>
        <w:tblLayout w:type="autofit"/>
        <w:tblCellMar>
          <w:top w:w="0" w:type="dxa"/>
          <w:left w:w="108" w:type="dxa"/>
          <w:bottom w:w="0" w:type="dxa"/>
          <w:right w:w="108" w:type="dxa"/>
        </w:tblCellMar>
      </w:tblPr>
      <w:tblGrid>
        <w:gridCol w:w="2210"/>
        <w:gridCol w:w="1943"/>
        <w:gridCol w:w="2086"/>
        <w:gridCol w:w="2349"/>
      </w:tblGrid>
      <w:tr>
        <w:tblPrEx>
          <w:tblCellMar>
            <w:top w:w="0" w:type="dxa"/>
            <w:left w:w="108" w:type="dxa"/>
            <w:bottom w:w="0" w:type="dxa"/>
            <w:right w:w="108" w:type="dxa"/>
          </w:tblCellMar>
        </w:tblPrEx>
        <w:trPr>
          <w:trHeight w:val="345" w:hRule="atLeast"/>
          <w:tblHeader/>
        </w:trPr>
        <w:tc>
          <w:tcPr>
            <w:tcW w:w="1286" w:type="pct"/>
            <w:tcBorders>
              <w:top w:val="single" w:color="auto" w:sz="4" w:space="0"/>
              <w:left w:val="single" w:color="auto" w:sz="4" w:space="0"/>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国家</w:t>
            </w:r>
          </w:p>
        </w:tc>
        <w:tc>
          <w:tcPr>
            <w:tcW w:w="1131"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万吨</w:t>
            </w:r>
          </w:p>
        </w:tc>
        <w:tc>
          <w:tcPr>
            <w:tcW w:w="1214"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万美元</w:t>
            </w:r>
          </w:p>
        </w:tc>
        <w:tc>
          <w:tcPr>
            <w:tcW w:w="1367"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进口均价（美元/吨）</w:t>
            </w:r>
          </w:p>
        </w:tc>
      </w:tr>
      <w:tr>
        <w:tblPrEx>
          <w:tblCellMar>
            <w:top w:w="0" w:type="dxa"/>
            <w:left w:w="108" w:type="dxa"/>
            <w:bottom w:w="0" w:type="dxa"/>
            <w:right w:w="108" w:type="dxa"/>
          </w:tblCellMar>
        </w:tblPrEx>
        <w:trPr>
          <w:trHeight w:val="270" w:hRule="atLeast"/>
        </w:trPr>
        <w:tc>
          <w:tcPr>
            <w:tcW w:w="1286"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沙特阿拉伯</w:t>
            </w:r>
          </w:p>
        </w:tc>
        <w:tc>
          <w:tcPr>
            <w:tcW w:w="113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709.27</w:t>
            </w:r>
          </w:p>
        </w:tc>
        <w:tc>
          <w:tcPr>
            <w:tcW w:w="121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389889.45</w:t>
            </w:r>
          </w:p>
        </w:tc>
        <w:tc>
          <w:tcPr>
            <w:tcW w:w="136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549.7</w:t>
            </w:r>
          </w:p>
        </w:tc>
      </w:tr>
      <w:tr>
        <w:tblPrEx>
          <w:tblCellMar>
            <w:top w:w="0" w:type="dxa"/>
            <w:left w:w="108" w:type="dxa"/>
            <w:bottom w:w="0" w:type="dxa"/>
            <w:right w:w="108" w:type="dxa"/>
          </w:tblCellMar>
        </w:tblPrEx>
        <w:trPr>
          <w:trHeight w:val="270" w:hRule="atLeast"/>
        </w:trPr>
        <w:tc>
          <w:tcPr>
            <w:tcW w:w="1286"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俄罗斯联邦</w:t>
            </w:r>
          </w:p>
        </w:tc>
        <w:tc>
          <w:tcPr>
            <w:tcW w:w="113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664.32</w:t>
            </w:r>
          </w:p>
        </w:tc>
        <w:tc>
          <w:tcPr>
            <w:tcW w:w="121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366627.3</w:t>
            </w:r>
          </w:p>
        </w:tc>
        <w:tc>
          <w:tcPr>
            <w:tcW w:w="136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551.88</w:t>
            </w:r>
          </w:p>
        </w:tc>
      </w:tr>
      <w:tr>
        <w:tblPrEx>
          <w:tblCellMar>
            <w:top w:w="0" w:type="dxa"/>
            <w:left w:w="108" w:type="dxa"/>
            <w:bottom w:w="0" w:type="dxa"/>
            <w:right w:w="108" w:type="dxa"/>
          </w:tblCellMar>
        </w:tblPrEx>
        <w:trPr>
          <w:trHeight w:val="270" w:hRule="atLeast"/>
        </w:trPr>
        <w:tc>
          <w:tcPr>
            <w:tcW w:w="1286"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伊拉克</w:t>
            </w:r>
          </w:p>
        </w:tc>
        <w:tc>
          <w:tcPr>
            <w:tcW w:w="113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460.96</w:t>
            </w:r>
          </w:p>
        </w:tc>
        <w:tc>
          <w:tcPr>
            <w:tcW w:w="121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245170.48</w:t>
            </w:r>
          </w:p>
        </w:tc>
        <w:tc>
          <w:tcPr>
            <w:tcW w:w="136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531.87</w:t>
            </w:r>
          </w:p>
        </w:tc>
      </w:tr>
      <w:tr>
        <w:tblPrEx>
          <w:tblCellMar>
            <w:top w:w="0" w:type="dxa"/>
            <w:left w:w="108" w:type="dxa"/>
            <w:bottom w:w="0" w:type="dxa"/>
            <w:right w:w="108" w:type="dxa"/>
          </w:tblCellMar>
        </w:tblPrEx>
        <w:trPr>
          <w:trHeight w:val="270" w:hRule="atLeast"/>
        </w:trPr>
        <w:tc>
          <w:tcPr>
            <w:tcW w:w="1286"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阿曼</w:t>
            </w:r>
          </w:p>
        </w:tc>
        <w:tc>
          <w:tcPr>
            <w:tcW w:w="113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343.09</w:t>
            </w:r>
          </w:p>
        </w:tc>
        <w:tc>
          <w:tcPr>
            <w:tcW w:w="121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192492.42</w:t>
            </w:r>
          </w:p>
        </w:tc>
        <w:tc>
          <w:tcPr>
            <w:tcW w:w="136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561.06</w:t>
            </w:r>
          </w:p>
        </w:tc>
      </w:tr>
      <w:tr>
        <w:tblPrEx>
          <w:tblCellMar>
            <w:top w:w="0" w:type="dxa"/>
            <w:left w:w="108" w:type="dxa"/>
            <w:bottom w:w="0" w:type="dxa"/>
            <w:right w:w="108" w:type="dxa"/>
          </w:tblCellMar>
        </w:tblPrEx>
        <w:trPr>
          <w:trHeight w:val="270" w:hRule="atLeast"/>
        </w:trPr>
        <w:tc>
          <w:tcPr>
            <w:tcW w:w="1286"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安哥拉</w:t>
            </w:r>
          </w:p>
        </w:tc>
        <w:tc>
          <w:tcPr>
            <w:tcW w:w="113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303.83</w:t>
            </w:r>
          </w:p>
        </w:tc>
        <w:tc>
          <w:tcPr>
            <w:tcW w:w="121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163276.74</w:t>
            </w:r>
          </w:p>
        </w:tc>
        <w:tc>
          <w:tcPr>
            <w:tcW w:w="136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537.4</w:t>
            </w:r>
          </w:p>
        </w:tc>
      </w:tr>
      <w:tr>
        <w:tblPrEx>
          <w:tblCellMar>
            <w:top w:w="0" w:type="dxa"/>
            <w:left w:w="108" w:type="dxa"/>
            <w:bottom w:w="0" w:type="dxa"/>
            <w:right w:w="108" w:type="dxa"/>
          </w:tblCellMar>
        </w:tblPrEx>
        <w:trPr>
          <w:trHeight w:val="270" w:hRule="atLeast"/>
        </w:trPr>
        <w:tc>
          <w:tcPr>
            <w:tcW w:w="1286"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科威特</w:t>
            </w:r>
          </w:p>
        </w:tc>
        <w:tc>
          <w:tcPr>
            <w:tcW w:w="113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239.43</w:t>
            </w:r>
          </w:p>
        </w:tc>
        <w:tc>
          <w:tcPr>
            <w:tcW w:w="121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134769.06</w:t>
            </w:r>
          </w:p>
        </w:tc>
        <w:tc>
          <w:tcPr>
            <w:tcW w:w="136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562.87</w:t>
            </w:r>
          </w:p>
        </w:tc>
      </w:tr>
      <w:tr>
        <w:tblPrEx>
          <w:tblCellMar>
            <w:top w:w="0" w:type="dxa"/>
            <w:left w:w="108" w:type="dxa"/>
            <w:bottom w:w="0" w:type="dxa"/>
            <w:right w:w="108" w:type="dxa"/>
          </w:tblCellMar>
        </w:tblPrEx>
        <w:trPr>
          <w:trHeight w:val="270" w:hRule="atLeast"/>
        </w:trPr>
        <w:tc>
          <w:tcPr>
            <w:tcW w:w="1286"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阿联酋</w:t>
            </w:r>
          </w:p>
        </w:tc>
        <w:tc>
          <w:tcPr>
            <w:tcW w:w="113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202.51</w:t>
            </w:r>
          </w:p>
        </w:tc>
        <w:tc>
          <w:tcPr>
            <w:tcW w:w="121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117292.47</w:t>
            </w:r>
          </w:p>
        </w:tc>
        <w:tc>
          <w:tcPr>
            <w:tcW w:w="136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579.19</w:t>
            </w:r>
          </w:p>
        </w:tc>
      </w:tr>
      <w:tr>
        <w:tblPrEx>
          <w:tblCellMar>
            <w:top w:w="0" w:type="dxa"/>
            <w:left w:w="108" w:type="dxa"/>
            <w:bottom w:w="0" w:type="dxa"/>
            <w:right w:w="108" w:type="dxa"/>
          </w:tblCellMar>
        </w:tblPrEx>
        <w:trPr>
          <w:trHeight w:val="270" w:hRule="atLeast"/>
        </w:trPr>
        <w:tc>
          <w:tcPr>
            <w:tcW w:w="1286"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马来西亚</w:t>
            </w:r>
          </w:p>
        </w:tc>
        <w:tc>
          <w:tcPr>
            <w:tcW w:w="113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177.06</w:t>
            </w:r>
          </w:p>
        </w:tc>
        <w:tc>
          <w:tcPr>
            <w:tcW w:w="121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89681.48</w:t>
            </w:r>
          </w:p>
        </w:tc>
        <w:tc>
          <w:tcPr>
            <w:tcW w:w="136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506.51</w:t>
            </w:r>
          </w:p>
        </w:tc>
      </w:tr>
      <w:tr>
        <w:tblPrEx>
          <w:tblCellMar>
            <w:top w:w="0" w:type="dxa"/>
            <w:left w:w="108" w:type="dxa"/>
            <w:bottom w:w="0" w:type="dxa"/>
            <w:right w:w="108" w:type="dxa"/>
          </w:tblCellMar>
        </w:tblPrEx>
        <w:trPr>
          <w:trHeight w:val="270" w:hRule="atLeast"/>
        </w:trPr>
        <w:tc>
          <w:tcPr>
            <w:tcW w:w="1286"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巴西</w:t>
            </w:r>
          </w:p>
        </w:tc>
        <w:tc>
          <w:tcPr>
            <w:tcW w:w="113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151.78</w:t>
            </w:r>
          </w:p>
        </w:tc>
        <w:tc>
          <w:tcPr>
            <w:tcW w:w="121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80621.33</w:t>
            </w:r>
          </w:p>
        </w:tc>
        <w:tc>
          <w:tcPr>
            <w:tcW w:w="136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531.18</w:t>
            </w:r>
          </w:p>
        </w:tc>
      </w:tr>
      <w:tr>
        <w:tblPrEx>
          <w:tblCellMar>
            <w:top w:w="0" w:type="dxa"/>
            <w:left w:w="108" w:type="dxa"/>
            <w:bottom w:w="0" w:type="dxa"/>
            <w:right w:w="108" w:type="dxa"/>
          </w:tblCellMar>
        </w:tblPrEx>
        <w:trPr>
          <w:trHeight w:val="270" w:hRule="atLeast"/>
        </w:trPr>
        <w:tc>
          <w:tcPr>
            <w:tcW w:w="1286"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刚果(布)</w:t>
            </w:r>
          </w:p>
        </w:tc>
        <w:tc>
          <w:tcPr>
            <w:tcW w:w="113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93.2</w:t>
            </w:r>
          </w:p>
        </w:tc>
        <w:tc>
          <w:tcPr>
            <w:tcW w:w="121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49864.13</w:t>
            </w:r>
          </w:p>
        </w:tc>
        <w:tc>
          <w:tcPr>
            <w:tcW w:w="136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535.05</w:t>
            </w:r>
          </w:p>
        </w:tc>
      </w:tr>
      <w:tr>
        <w:tblPrEx>
          <w:tblCellMar>
            <w:top w:w="0" w:type="dxa"/>
            <w:left w:w="108" w:type="dxa"/>
            <w:bottom w:w="0" w:type="dxa"/>
            <w:right w:w="108" w:type="dxa"/>
          </w:tblCellMar>
        </w:tblPrEx>
        <w:trPr>
          <w:trHeight w:val="270" w:hRule="atLeast"/>
        </w:trPr>
        <w:tc>
          <w:tcPr>
            <w:tcW w:w="1286"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英国</w:t>
            </w:r>
          </w:p>
        </w:tc>
        <w:tc>
          <w:tcPr>
            <w:tcW w:w="113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56.23</w:t>
            </w:r>
          </w:p>
        </w:tc>
        <w:tc>
          <w:tcPr>
            <w:tcW w:w="121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31634.36</w:t>
            </w:r>
          </w:p>
        </w:tc>
        <w:tc>
          <w:tcPr>
            <w:tcW w:w="136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562.56</w:t>
            </w:r>
          </w:p>
        </w:tc>
      </w:tr>
      <w:tr>
        <w:tblPrEx>
          <w:tblCellMar>
            <w:top w:w="0" w:type="dxa"/>
            <w:left w:w="108" w:type="dxa"/>
            <w:bottom w:w="0" w:type="dxa"/>
            <w:right w:w="108" w:type="dxa"/>
          </w:tblCellMar>
        </w:tblPrEx>
        <w:trPr>
          <w:trHeight w:val="270" w:hRule="atLeast"/>
        </w:trPr>
        <w:tc>
          <w:tcPr>
            <w:tcW w:w="1286"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哥伦比亚</w:t>
            </w:r>
          </w:p>
        </w:tc>
        <w:tc>
          <w:tcPr>
            <w:tcW w:w="113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55.76</w:t>
            </w:r>
          </w:p>
        </w:tc>
        <w:tc>
          <w:tcPr>
            <w:tcW w:w="121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27674.45</w:t>
            </w:r>
          </w:p>
        </w:tc>
        <w:tc>
          <w:tcPr>
            <w:tcW w:w="136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496.31</w:t>
            </w:r>
          </w:p>
        </w:tc>
      </w:tr>
      <w:tr>
        <w:tblPrEx>
          <w:tblCellMar>
            <w:top w:w="0" w:type="dxa"/>
            <w:left w:w="108" w:type="dxa"/>
            <w:bottom w:w="0" w:type="dxa"/>
            <w:right w:w="108" w:type="dxa"/>
          </w:tblCellMar>
        </w:tblPrEx>
        <w:trPr>
          <w:trHeight w:val="270" w:hRule="atLeast"/>
        </w:trPr>
        <w:tc>
          <w:tcPr>
            <w:tcW w:w="1286"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卡塔尔</w:t>
            </w:r>
          </w:p>
        </w:tc>
        <w:tc>
          <w:tcPr>
            <w:tcW w:w="113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53.33</w:t>
            </w:r>
          </w:p>
        </w:tc>
        <w:tc>
          <w:tcPr>
            <w:tcW w:w="121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33028.72</w:t>
            </w:r>
          </w:p>
        </w:tc>
        <w:tc>
          <w:tcPr>
            <w:tcW w:w="136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619.38</w:t>
            </w:r>
          </w:p>
        </w:tc>
      </w:tr>
      <w:tr>
        <w:tblPrEx>
          <w:tblCellMar>
            <w:top w:w="0" w:type="dxa"/>
            <w:left w:w="108" w:type="dxa"/>
            <w:bottom w:w="0" w:type="dxa"/>
            <w:right w:w="108" w:type="dxa"/>
          </w:tblCellMar>
        </w:tblPrEx>
        <w:trPr>
          <w:trHeight w:val="270" w:hRule="atLeast"/>
        </w:trPr>
        <w:tc>
          <w:tcPr>
            <w:tcW w:w="1286"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利比亚</w:t>
            </w:r>
          </w:p>
        </w:tc>
        <w:tc>
          <w:tcPr>
            <w:tcW w:w="113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41.52</w:t>
            </w:r>
          </w:p>
        </w:tc>
        <w:tc>
          <w:tcPr>
            <w:tcW w:w="121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25364.07</w:t>
            </w:r>
          </w:p>
        </w:tc>
        <w:tc>
          <w:tcPr>
            <w:tcW w:w="136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610.83</w:t>
            </w:r>
          </w:p>
        </w:tc>
      </w:tr>
      <w:tr>
        <w:tblPrEx>
          <w:tblCellMar>
            <w:top w:w="0" w:type="dxa"/>
            <w:left w:w="108" w:type="dxa"/>
            <w:bottom w:w="0" w:type="dxa"/>
            <w:right w:w="108" w:type="dxa"/>
          </w:tblCellMar>
        </w:tblPrEx>
        <w:trPr>
          <w:trHeight w:val="270" w:hRule="atLeast"/>
        </w:trPr>
        <w:tc>
          <w:tcPr>
            <w:tcW w:w="1286"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挪威</w:t>
            </w:r>
          </w:p>
        </w:tc>
        <w:tc>
          <w:tcPr>
            <w:tcW w:w="113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40.93</w:t>
            </w:r>
          </w:p>
        </w:tc>
        <w:tc>
          <w:tcPr>
            <w:tcW w:w="121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21865.87</w:t>
            </w:r>
          </w:p>
        </w:tc>
        <w:tc>
          <w:tcPr>
            <w:tcW w:w="136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534.18</w:t>
            </w:r>
          </w:p>
        </w:tc>
      </w:tr>
      <w:tr>
        <w:tblPrEx>
          <w:tblCellMar>
            <w:top w:w="0" w:type="dxa"/>
            <w:left w:w="108" w:type="dxa"/>
            <w:bottom w:w="0" w:type="dxa"/>
            <w:right w:w="108" w:type="dxa"/>
          </w:tblCellMar>
        </w:tblPrEx>
        <w:trPr>
          <w:trHeight w:val="270" w:hRule="atLeast"/>
        </w:trPr>
        <w:tc>
          <w:tcPr>
            <w:tcW w:w="1286"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哈萨克斯坦</w:t>
            </w:r>
          </w:p>
        </w:tc>
        <w:tc>
          <w:tcPr>
            <w:tcW w:w="113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31.66</w:t>
            </w:r>
          </w:p>
        </w:tc>
        <w:tc>
          <w:tcPr>
            <w:tcW w:w="121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18406.99</w:t>
            </w:r>
          </w:p>
        </w:tc>
        <w:tc>
          <w:tcPr>
            <w:tcW w:w="136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581.36</w:t>
            </w:r>
          </w:p>
        </w:tc>
      </w:tr>
      <w:tr>
        <w:tblPrEx>
          <w:tblCellMar>
            <w:top w:w="0" w:type="dxa"/>
            <w:left w:w="108" w:type="dxa"/>
            <w:bottom w:w="0" w:type="dxa"/>
            <w:right w:w="108" w:type="dxa"/>
          </w:tblCellMar>
        </w:tblPrEx>
        <w:trPr>
          <w:trHeight w:val="270" w:hRule="atLeast"/>
        </w:trPr>
        <w:tc>
          <w:tcPr>
            <w:tcW w:w="1286"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加拿大</w:t>
            </w:r>
          </w:p>
        </w:tc>
        <w:tc>
          <w:tcPr>
            <w:tcW w:w="113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29.14</w:t>
            </w:r>
          </w:p>
        </w:tc>
        <w:tc>
          <w:tcPr>
            <w:tcW w:w="121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14891.9</w:t>
            </w:r>
          </w:p>
        </w:tc>
        <w:tc>
          <w:tcPr>
            <w:tcW w:w="136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510.99</w:t>
            </w:r>
          </w:p>
        </w:tc>
      </w:tr>
      <w:tr>
        <w:tblPrEx>
          <w:tblCellMar>
            <w:top w:w="0" w:type="dxa"/>
            <w:left w:w="108" w:type="dxa"/>
            <w:bottom w:w="0" w:type="dxa"/>
            <w:right w:w="108" w:type="dxa"/>
          </w:tblCellMar>
        </w:tblPrEx>
        <w:trPr>
          <w:trHeight w:val="270" w:hRule="atLeast"/>
        </w:trPr>
        <w:tc>
          <w:tcPr>
            <w:tcW w:w="1286"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厄瓜多尔</w:t>
            </w:r>
          </w:p>
        </w:tc>
        <w:tc>
          <w:tcPr>
            <w:tcW w:w="113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21.05</w:t>
            </w:r>
          </w:p>
        </w:tc>
        <w:tc>
          <w:tcPr>
            <w:tcW w:w="121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10332.09</w:t>
            </w:r>
          </w:p>
        </w:tc>
        <w:tc>
          <w:tcPr>
            <w:tcW w:w="136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490.8</w:t>
            </w:r>
          </w:p>
        </w:tc>
      </w:tr>
      <w:tr>
        <w:tblPrEx>
          <w:tblCellMar>
            <w:top w:w="0" w:type="dxa"/>
            <w:left w:w="108" w:type="dxa"/>
            <w:bottom w:w="0" w:type="dxa"/>
            <w:right w:w="108" w:type="dxa"/>
          </w:tblCellMar>
        </w:tblPrEx>
        <w:trPr>
          <w:trHeight w:val="270" w:hRule="atLeast"/>
        </w:trPr>
        <w:tc>
          <w:tcPr>
            <w:tcW w:w="1286"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赤道几内亚</w:t>
            </w:r>
          </w:p>
        </w:tc>
        <w:tc>
          <w:tcPr>
            <w:tcW w:w="113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20.2</w:t>
            </w:r>
          </w:p>
        </w:tc>
        <w:tc>
          <w:tcPr>
            <w:tcW w:w="121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12475.56</w:t>
            </w:r>
          </w:p>
        </w:tc>
        <w:tc>
          <w:tcPr>
            <w:tcW w:w="136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617.74</w:t>
            </w:r>
          </w:p>
        </w:tc>
      </w:tr>
      <w:tr>
        <w:tblPrEx>
          <w:tblCellMar>
            <w:top w:w="0" w:type="dxa"/>
            <w:left w:w="108" w:type="dxa"/>
            <w:bottom w:w="0" w:type="dxa"/>
            <w:right w:w="108" w:type="dxa"/>
          </w:tblCellMar>
        </w:tblPrEx>
        <w:trPr>
          <w:trHeight w:val="270" w:hRule="atLeast"/>
        </w:trPr>
        <w:tc>
          <w:tcPr>
            <w:tcW w:w="1286"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喀麦隆</w:t>
            </w:r>
          </w:p>
        </w:tc>
        <w:tc>
          <w:tcPr>
            <w:tcW w:w="113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13.37</w:t>
            </w:r>
          </w:p>
        </w:tc>
        <w:tc>
          <w:tcPr>
            <w:tcW w:w="121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7121.67</w:t>
            </w:r>
          </w:p>
        </w:tc>
        <w:tc>
          <w:tcPr>
            <w:tcW w:w="136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532.65</w:t>
            </w:r>
          </w:p>
        </w:tc>
      </w:tr>
      <w:tr>
        <w:tblPrEx>
          <w:tblCellMar>
            <w:top w:w="0" w:type="dxa"/>
            <w:left w:w="108" w:type="dxa"/>
            <w:bottom w:w="0" w:type="dxa"/>
            <w:right w:w="108" w:type="dxa"/>
          </w:tblCellMar>
        </w:tblPrEx>
        <w:trPr>
          <w:trHeight w:val="270" w:hRule="atLeast"/>
        </w:trPr>
        <w:tc>
          <w:tcPr>
            <w:tcW w:w="1286"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美国</w:t>
            </w:r>
          </w:p>
        </w:tc>
        <w:tc>
          <w:tcPr>
            <w:tcW w:w="113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13.31</w:t>
            </w:r>
          </w:p>
        </w:tc>
        <w:tc>
          <w:tcPr>
            <w:tcW w:w="121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8763.36</w:t>
            </w:r>
          </w:p>
        </w:tc>
        <w:tc>
          <w:tcPr>
            <w:tcW w:w="136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658.57</w:t>
            </w:r>
          </w:p>
        </w:tc>
      </w:tr>
      <w:tr>
        <w:tblPrEx>
          <w:tblCellMar>
            <w:top w:w="0" w:type="dxa"/>
            <w:left w:w="108" w:type="dxa"/>
            <w:bottom w:w="0" w:type="dxa"/>
            <w:right w:w="108" w:type="dxa"/>
          </w:tblCellMar>
        </w:tblPrEx>
        <w:trPr>
          <w:trHeight w:val="270" w:hRule="atLeast"/>
        </w:trPr>
        <w:tc>
          <w:tcPr>
            <w:tcW w:w="1286"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尼日利亚</w:t>
            </w:r>
          </w:p>
        </w:tc>
        <w:tc>
          <w:tcPr>
            <w:tcW w:w="113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13.3</w:t>
            </w:r>
          </w:p>
        </w:tc>
        <w:tc>
          <w:tcPr>
            <w:tcW w:w="121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8584.14</w:t>
            </w:r>
          </w:p>
        </w:tc>
        <w:tc>
          <w:tcPr>
            <w:tcW w:w="136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645.53</w:t>
            </w:r>
          </w:p>
        </w:tc>
      </w:tr>
      <w:tr>
        <w:tblPrEx>
          <w:tblCellMar>
            <w:top w:w="0" w:type="dxa"/>
            <w:left w:w="108" w:type="dxa"/>
            <w:bottom w:w="0" w:type="dxa"/>
            <w:right w:w="108" w:type="dxa"/>
          </w:tblCellMar>
        </w:tblPrEx>
        <w:trPr>
          <w:trHeight w:val="270" w:hRule="atLeast"/>
        </w:trPr>
        <w:tc>
          <w:tcPr>
            <w:tcW w:w="1286"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加纳</w:t>
            </w:r>
          </w:p>
        </w:tc>
        <w:tc>
          <w:tcPr>
            <w:tcW w:w="113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12.6</w:t>
            </w:r>
          </w:p>
        </w:tc>
        <w:tc>
          <w:tcPr>
            <w:tcW w:w="121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7453.31</w:t>
            </w:r>
          </w:p>
        </w:tc>
        <w:tc>
          <w:tcPr>
            <w:tcW w:w="136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591.57</w:t>
            </w:r>
          </w:p>
        </w:tc>
      </w:tr>
      <w:tr>
        <w:tblPrEx>
          <w:tblCellMar>
            <w:top w:w="0" w:type="dxa"/>
            <w:left w:w="108" w:type="dxa"/>
            <w:bottom w:w="0" w:type="dxa"/>
            <w:right w:w="108" w:type="dxa"/>
          </w:tblCellMar>
        </w:tblPrEx>
        <w:trPr>
          <w:trHeight w:val="270" w:hRule="atLeast"/>
        </w:trPr>
        <w:tc>
          <w:tcPr>
            <w:tcW w:w="1286"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加蓬</w:t>
            </w:r>
          </w:p>
        </w:tc>
        <w:tc>
          <w:tcPr>
            <w:tcW w:w="113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12.38</w:t>
            </w:r>
          </w:p>
        </w:tc>
        <w:tc>
          <w:tcPr>
            <w:tcW w:w="121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6305.11</w:t>
            </w:r>
          </w:p>
        </w:tc>
        <w:tc>
          <w:tcPr>
            <w:tcW w:w="136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509.24</w:t>
            </w:r>
          </w:p>
        </w:tc>
      </w:tr>
      <w:tr>
        <w:tblPrEx>
          <w:tblCellMar>
            <w:top w:w="0" w:type="dxa"/>
            <w:left w:w="108" w:type="dxa"/>
            <w:bottom w:w="0" w:type="dxa"/>
            <w:right w:w="108" w:type="dxa"/>
          </w:tblCellMar>
        </w:tblPrEx>
        <w:trPr>
          <w:trHeight w:val="270" w:hRule="atLeast"/>
        </w:trPr>
        <w:tc>
          <w:tcPr>
            <w:tcW w:w="1286"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东帝汶</w:t>
            </w:r>
          </w:p>
        </w:tc>
        <w:tc>
          <w:tcPr>
            <w:tcW w:w="113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7.85</w:t>
            </w:r>
          </w:p>
        </w:tc>
        <w:tc>
          <w:tcPr>
            <w:tcW w:w="121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5217.68</w:t>
            </w:r>
          </w:p>
        </w:tc>
        <w:tc>
          <w:tcPr>
            <w:tcW w:w="136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664.89</w:t>
            </w:r>
          </w:p>
        </w:tc>
      </w:tr>
      <w:tr>
        <w:tblPrEx>
          <w:tblCellMar>
            <w:top w:w="0" w:type="dxa"/>
            <w:left w:w="108" w:type="dxa"/>
            <w:bottom w:w="0" w:type="dxa"/>
            <w:right w:w="108" w:type="dxa"/>
          </w:tblCellMar>
        </w:tblPrEx>
        <w:trPr>
          <w:trHeight w:val="270" w:hRule="atLeast"/>
        </w:trPr>
        <w:tc>
          <w:tcPr>
            <w:tcW w:w="1286"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泰国</w:t>
            </w:r>
          </w:p>
        </w:tc>
        <w:tc>
          <w:tcPr>
            <w:tcW w:w="113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3.97</w:t>
            </w:r>
          </w:p>
        </w:tc>
        <w:tc>
          <w:tcPr>
            <w:tcW w:w="121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2361.46</w:t>
            </w:r>
          </w:p>
        </w:tc>
        <w:tc>
          <w:tcPr>
            <w:tcW w:w="136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594.15</w:t>
            </w:r>
          </w:p>
        </w:tc>
      </w:tr>
      <w:tr>
        <w:tblPrEx>
          <w:tblCellMar>
            <w:top w:w="0" w:type="dxa"/>
            <w:left w:w="108" w:type="dxa"/>
            <w:bottom w:w="0" w:type="dxa"/>
            <w:right w:w="108" w:type="dxa"/>
          </w:tblCellMar>
        </w:tblPrEx>
        <w:trPr>
          <w:trHeight w:val="270" w:hRule="atLeast"/>
        </w:trPr>
        <w:tc>
          <w:tcPr>
            <w:tcW w:w="1286"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蒙古</w:t>
            </w:r>
          </w:p>
        </w:tc>
        <w:tc>
          <w:tcPr>
            <w:tcW w:w="113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3.85</w:t>
            </w:r>
          </w:p>
        </w:tc>
        <w:tc>
          <w:tcPr>
            <w:tcW w:w="121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1732.3</w:t>
            </w:r>
          </w:p>
        </w:tc>
        <w:tc>
          <w:tcPr>
            <w:tcW w:w="136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449.76</w:t>
            </w:r>
          </w:p>
        </w:tc>
      </w:tr>
      <w:tr>
        <w:tblPrEx>
          <w:tblCellMar>
            <w:top w:w="0" w:type="dxa"/>
            <w:left w:w="108" w:type="dxa"/>
            <w:bottom w:w="0" w:type="dxa"/>
            <w:right w:w="108" w:type="dxa"/>
          </w:tblCellMar>
        </w:tblPrEx>
        <w:trPr>
          <w:trHeight w:val="270" w:hRule="atLeast"/>
        </w:trPr>
        <w:tc>
          <w:tcPr>
            <w:tcW w:w="1286"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越南</w:t>
            </w:r>
          </w:p>
        </w:tc>
        <w:tc>
          <w:tcPr>
            <w:tcW w:w="113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3.8</w:t>
            </w:r>
          </w:p>
        </w:tc>
        <w:tc>
          <w:tcPr>
            <w:tcW w:w="121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2341.29</w:t>
            </w:r>
          </w:p>
        </w:tc>
        <w:tc>
          <w:tcPr>
            <w:tcW w:w="136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615.79</w:t>
            </w:r>
          </w:p>
        </w:tc>
      </w:tr>
      <w:tr>
        <w:tblPrEx>
          <w:tblCellMar>
            <w:top w:w="0" w:type="dxa"/>
            <w:left w:w="108" w:type="dxa"/>
            <w:bottom w:w="0" w:type="dxa"/>
            <w:right w:w="108" w:type="dxa"/>
          </w:tblCellMar>
        </w:tblPrEx>
        <w:trPr>
          <w:trHeight w:val="270" w:hRule="atLeast"/>
        </w:trPr>
        <w:tc>
          <w:tcPr>
            <w:tcW w:w="1286"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合计</w:t>
            </w:r>
          </w:p>
        </w:tc>
        <w:tc>
          <w:tcPr>
            <w:tcW w:w="113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3779.7</w:t>
            </w:r>
          </w:p>
        </w:tc>
        <w:tc>
          <w:tcPr>
            <w:tcW w:w="121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2075239.2</w:t>
            </w:r>
          </w:p>
        </w:tc>
        <w:tc>
          <w:tcPr>
            <w:tcW w:w="136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549.05</w:t>
            </w:r>
          </w:p>
        </w:tc>
      </w:tr>
      <w:tr>
        <w:tblPrEx>
          <w:tblCellMar>
            <w:top w:w="0" w:type="dxa"/>
            <w:left w:w="108" w:type="dxa"/>
            <w:bottom w:w="0" w:type="dxa"/>
            <w:right w:w="108" w:type="dxa"/>
          </w:tblCellMar>
        </w:tblPrEx>
        <w:trPr>
          <w:trHeight w:val="330" w:hRule="atLeast"/>
        </w:trPr>
        <w:tc>
          <w:tcPr>
            <w:tcW w:w="1286" w:type="pct"/>
            <w:tcBorders>
              <w:top w:val="nil"/>
              <w:left w:val="single" w:color="auto" w:sz="4" w:space="0"/>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出口国家</w:t>
            </w:r>
          </w:p>
        </w:tc>
        <w:tc>
          <w:tcPr>
            <w:tcW w:w="1131" w:type="pct"/>
            <w:tcBorders>
              <w:top w:val="nil"/>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万吨</w:t>
            </w:r>
          </w:p>
        </w:tc>
        <w:tc>
          <w:tcPr>
            <w:tcW w:w="1214" w:type="pct"/>
            <w:tcBorders>
              <w:top w:val="nil"/>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万美元</w:t>
            </w:r>
          </w:p>
        </w:tc>
        <w:tc>
          <w:tcPr>
            <w:tcW w:w="1367" w:type="pct"/>
            <w:tcBorders>
              <w:top w:val="nil"/>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均价（美元/吨）</w:t>
            </w:r>
          </w:p>
        </w:tc>
      </w:tr>
      <w:tr>
        <w:tblPrEx>
          <w:tblCellMar>
            <w:top w:w="0" w:type="dxa"/>
            <w:left w:w="108" w:type="dxa"/>
            <w:bottom w:w="0" w:type="dxa"/>
            <w:right w:w="108" w:type="dxa"/>
          </w:tblCellMar>
        </w:tblPrEx>
        <w:trPr>
          <w:trHeight w:val="270" w:hRule="atLeast"/>
        </w:trPr>
        <w:tc>
          <w:tcPr>
            <w:tcW w:w="1286"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印度</w:t>
            </w:r>
          </w:p>
        </w:tc>
        <w:tc>
          <w:tcPr>
            <w:tcW w:w="1131"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8.5</w:t>
            </w:r>
          </w:p>
        </w:tc>
        <w:tc>
          <w:tcPr>
            <w:tcW w:w="1214"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4125.05</w:t>
            </w:r>
          </w:p>
        </w:tc>
        <w:tc>
          <w:tcPr>
            <w:tcW w:w="1367"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484</w:t>
            </w:r>
          </w:p>
        </w:tc>
      </w:tr>
    </w:tbl>
    <w:p>
      <w:pPr>
        <w:widowControl/>
        <w:jc w:val="center"/>
        <w:rPr>
          <w:rFonts w:hint="eastAsia" w:ascii="宋体" w:hAnsi="宋体" w:cs="宋体"/>
          <w:color w:val="000000"/>
          <w:kern w:val="0"/>
          <w:szCs w:val="21"/>
        </w:rPr>
      </w:pPr>
    </w:p>
    <w:p>
      <w:pPr>
        <w:widowControl/>
        <w:jc w:val="center"/>
        <w:rPr>
          <w:rFonts w:hint="eastAsia" w:ascii="宋体" w:hAnsi="宋体" w:cs="宋体"/>
          <w:color w:val="000000"/>
          <w:kern w:val="0"/>
          <w:szCs w:val="21"/>
        </w:rPr>
      </w:pPr>
    </w:p>
    <w:tbl>
      <w:tblPr>
        <w:tblStyle w:val="24"/>
        <w:tblW w:w="4354" w:type="pct"/>
        <w:tblInd w:w="649" w:type="dxa"/>
        <w:tblLayout w:type="autofit"/>
        <w:tblCellMar>
          <w:top w:w="0" w:type="dxa"/>
          <w:left w:w="108" w:type="dxa"/>
          <w:bottom w:w="0" w:type="dxa"/>
          <w:right w:w="108" w:type="dxa"/>
        </w:tblCellMar>
      </w:tblPr>
      <w:tblGrid>
        <w:gridCol w:w="2238"/>
        <w:gridCol w:w="1931"/>
        <w:gridCol w:w="2098"/>
        <w:gridCol w:w="2413"/>
      </w:tblGrid>
      <w:tr>
        <w:tblPrEx>
          <w:tblCellMar>
            <w:top w:w="0" w:type="dxa"/>
            <w:left w:w="108" w:type="dxa"/>
            <w:bottom w:w="0" w:type="dxa"/>
            <w:right w:w="108" w:type="dxa"/>
          </w:tblCellMar>
        </w:tblPrEx>
        <w:trPr>
          <w:trHeight w:val="330" w:hRule="atLeast"/>
        </w:trPr>
        <w:tc>
          <w:tcPr>
            <w:tcW w:w="1289" w:type="pct"/>
            <w:tcBorders>
              <w:top w:val="single" w:color="auto" w:sz="4" w:space="0"/>
              <w:left w:val="single" w:color="auto" w:sz="4" w:space="0"/>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贸易方式</w:t>
            </w:r>
          </w:p>
        </w:tc>
        <w:tc>
          <w:tcPr>
            <w:tcW w:w="1112"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万吨</w:t>
            </w:r>
          </w:p>
        </w:tc>
        <w:tc>
          <w:tcPr>
            <w:tcW w:w="1208"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万美元</w:t>
            </w:r>
          </w:p>
        </w:tc>
        <w:tc>
          <w:tcPr>
            <w:tcW w:w="1389" w:type="pct"/>
            <w:tcBorders>
              <w:top w:val="single" w:color="auto" w:sz="4" w:space="0"/>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进口均价（美元/吨）</w:t>
            </w:r>
          </w:p>
        </w:tc>
      </w:tr>
      <w:tr>
        <w:tblPrEx>
          <w:tblCellMar>
            <w:top w:w="0" w:type="dxa"/>
            <w:left w:w="108" w:type="dxa"/>
            <w:bottom w:w="0" w:type="dxa"/>
            <w:right w:w="108" w:type="dxa"/>
          </w:tblCellMar>
        </w:tblPrEx>
        <w:trPr>
          <w:trHeight w:val="270" w:hRule="atLeast"/>
        </w:trPr>
        <w:tc>
          <w:tcPr>
            <w:tcW w:w="128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一般贸易</w:t>
            </w:r>
          </w:p>
        </w:tc>
        <w:tc>
          <w:tcPr>
            <w:tcW w:w="1112"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2818.17</w:t>
            </w:r>
          </w:p>
        </w:tc>
        <w:tc>
          <w:tcPr>
            <w:tcW w:w="120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1544228.73</w:t>
            </w:r>
          </w:p>
        </w:tc>
        <w:tc>
          <w:tcPr>
            <w:tcW w:w="138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547.95</w:t>
            </w:r>
          </w:p>
        </w:tc>
      </w:tr>
      <w:tr>
        <w:tblPrEx>
          <w:tblCellMar>
            <w:top w:w="0" w:type="dxa"/>
            <w:left w:w="108" w:type="dxa"/>
            <w:bottom w:w="0" w:type="dxa"/>
            <w:right w:w="108" w:type="dxa"/>
          </w:tblCellMar>
        </w:tblPrEx>
        <w:trPr>
          <w:trHeight w:val="330" w:hRule="atLeast"/>
        </w:trPr>
        <w:tc>
          <w:tcPr>
            <w:tcW w:w="128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来料加工贸易</w:t>
            </w:r>
          </w:p>
        </w:tc>
        <w:tc>
          <w:tcPr>
            <w:tcW w:w="1112"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219.42</w:t>
            </w:r>
          </w:p>
        </w:tc>
        <w:tc>
          <w:tcPr>
            <w:tcW w:w="120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120250.44</w:t>
            </w:r>
          </w:p>
        </w:tc>
        <w:tc>
          <w:tcPr>
            <w:tcW w:w="138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548.05</w:t>
            </w:r>
          </w:p>
        </w:tc>
      </w:tr>
      <w:tr>
        <w:tblPrEx>
          <w:tblCellMar>
            <w:top w:w="0" w:type="dxa"/>
            <w:left w:w="108" w:type="dxa"/>
            <w:bottom w:w="0" w:type="dxa"/>
            <w:right w:w="108" w:type="dxa"/>
          </w:tblCellMar>
        </w:tblPrEx>
        <w:trPr>
          <w:trHeight w:val="270" w:hRule="atLeast"/>
        </w:trPr>
        <w:tc>
          <w:tcPr>
            <w:tcW w:w="128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保税监管场所进出境货物</w:t>
            </w:r>
          </w:p>
        </w:tc>
        <w:tc>
          <w:tcPr>
            <w:tcW w:w="1112"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742.11</w:t>
            </w:r>
          </w:p>
        </w:tc>
        <w:tc>
          <w:tcPr>
            <w:tcW w:w="120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410760.04</w:t>
            </w:r>
          </w:p>
        </w:tc>
        <w:tc>
          <w:tcPr>
            <w:tcW w:w="138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553.5</w:t>
            </w:r>
          </w:p>
        </w:tc>
      </w:tr>
      <w:tr>
        <w:tblPrEx>
          <w:tblCellMar>
            <w:top w:w="0" w:type="dxa"/>
            <w:left w:w="108" w:type="dxa"/>
            <w:bottom w:w="0" w:type="dxa"/>
            <w:right w:w="108" w:type="dxa"/>
          </w:tblCellMar>
        </w:tblPrEx>
        <w:trPr>
          <w:trHeight w:val="270" w:hRule="atLeast"/>
        </w:trPr>
        <w:tc>
          <w:tcPr>
            <w:tcW w:w="128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合计</w:t>
            </w:r>
          </w:p>
        </w:tc>
        <w:tc>
          <w:tcPr>
            <w:tcW w:w="1112"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3779.7</w:t>
            </w:r>
          </w:p>
        </w:tc>
        <w:tc>
          <w:tcPr>
            <w:tcW w:w="120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2075239.2</w:t>
            </w:r>
          </w:p>
        </w:tc>
        <w:tc>
          <w:tcPr>
            <w:tcW w:w="138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549.05</w:t>
            </w:r>
          </w:p>
        </w:tc>
      </w:tr>
      <w:tr>
        <w:tblPrEx>
          <w:tblCellMar>
            <w:top w:w="0" w:type="dxa"/>
            <w:left w:w="108" w:type="dxa"/>
            <w:bottom w:w="0" w:type="dxa"/>
            <w:right w:w="108" w:type="dxa"/>
          </w:tblCellMar>
        </w:tblPrEx>
        <w:trPr>
          <w:trHeight w:val="330" w:hRule="atLeast"/>
        </w:trPr>
        <w:tc>
          <w:tcPr>
            <w:tcW w:w="1289" w:type="pct"/>
            <w:tcBorders>
              <w:top w:val="nil"/>
              <w:left w:val="single" w:color="auto" w:sz="4" w:space="0"/>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贸易方式</w:t>
            </w:r>
          </w:p>
        </w:tc>
        <w:tc>
          <w:tcPr>
            <w:tcW w:w="1112" w:type="pct"/>
            <w:tcBorders>
              <w:top w:val="nil"/>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万吨</w:t>
            </w:r>
          </w:p>
        </w:tc>
        <w:tc>
          <w:tcPr>
            <w:tcW w:w="1208" w:type="pct"/>
            <w:tcBorders>
              <w:top w:val="nil"/>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万美元</w:t>
            </w:r>
          </w:p>
        </w:tc>
        <w:tc>
          <w:tcPr>
            <w:tcW w:w="1389" w:type="pct"/>
            <w:tcBorders>
              <w:top w:val="nil"/>
              <w:left w:val="nil"/>
              <w:bottom w:val="single" w:color="auto" w:sz="4" w:space="0"/>
              <w:right w:val="single" w:color="auto" w:sz="4" w:space="0"/>
            </w:tcBorders>
            <w:shd w:val="clear" w:color="000000" w:fill="00B0F0"/>
            <w:noWrap w:val="0"/>
            <w:vAlign w:val="bottom"/>
          </w:tcPr>
          <w:p>
            <w:pPr>
              <w:widowControl/>
              <w:jc w:val="center"/>
              <w:rPr>
                <w:rFonts w:ascii="宋体" w:hAnsi="宋体" w:cs="宋体"/>
                <w:b/>
                <w:bCs/>
                <w:color w:val="auto"/>
                <w:kern w:val="0"/>
                <w:sz w:val="18"/>
                <w:szCs w:val="18"/>
              </w:rPr>
            </w:pPr>
            <w:r>
              <w:rPr>
                <w:rFonts w:hint="eastAsia" w:ascii="宋体" w:hAnsi="宋体" w:cs="宋体"/>
                <w:b/>
                <w:bCs/>
                <w:color w:val="auto"/>
                <w:kern w:val="0"/>
                <w:sz w:val="18"/>
                <w:szCs w:val="18"/>
              </w:rPr>
              <w:t>出口均价（美元/吨）</w:t>
            </w:r>
          </w:p>
        </w:tc>
      </w:tr>
      <w:tr>
        <w:tblPrEx>
          <w:tblCellMar>
            <w:top w:w="0" w:type="dxa"/>
            <w:left w:w="108" w:type="dxa"/>
            <w:bottom w:w="0" w:type="dxa"/>
            <w:right w:w="108" w:type="dxa"/>
          </w:tblCellMar>
        </w:tblPrEx>
        <w:trPr>
          <w:trHeight w:val="270" w:hRule="atLeast"/>
        </w:trPr>
        <w:tc>
          <w:tcPr>
            <w:tcW w:w="1289" w:type="pct"/>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保税监管场所进出境货物</w:t>
            </w:r>
          </w:p>
        </w:tc>
        <w:tc>
          <w:tcPr>
            <w:tcW w:w="1112"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8.5</w:t>
            </w:r>
          </w:p>
        </w:tc>
        <w:tc>
          <w:tcPr>
            <w:tcW w:w="1208"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4125.05</w:t>
            </w:r>
          </w:p>
        </w:tc>
        <w:tc>
          <w:tcPr>
            <w:tcW w:w="1389" w:type="pct"/>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auto"/>
                <w:kern w:val="0"/>
                <w:sz w:val="18"/>
                <w:szCs w:val="18"/>
              </w:rPr>
            </w:pPr>
            <w:r>
              <w:rPr>
                <w:rFonts w:hint="eastAsia" w:ascii="宋体" w:hAnsi="宋体" w:cs="宋体"/>
                <w:color w:val="auto"/>
                <w:kern w:val="0"/>
                <w:sz w:val="18"/>
                <w:szCs w:val="18"/>
              </w:rPr>
              <w:t>484</w:t>
            </w:r>
          </w:p>
        </w:tc>
      </w:tr>
    </w:tbl>
    <w:p>
      <w:pPr>
        <w:widowControl/>
        <w:jc w:val="center"/>
        <w:rPr>
          <w:rFonts w:hint="eastAsia" w:ascii="宋体" w:hAnsi="宋体" w:cs="宋体"/>
          <w:color w:val="000000"/>
          <w:kern w:val="0"/>
          <w:szCs w:val="21"/>
        </w:rPr>
      </w:pPr>
    </w:p>
    <w:p>
      <w:pPr>
        <w:pStyle w:val="23"/>
        <w:ind w:firstLine="360" w:firstLineChars="200"/>
        <w:rPr>
          <w:sz w:val="18"/>
          <w:szCs w:val="18"/>
        </w:rPr>
      </w:pPr>
      <w:r>
        <w:rPr>
          <w:sz w:val="18"/>
          <w:szCs w:val="18"/>
        </w:rPr>
        <w:t>2021年10月份我国原油进口量在3779.70万吨，环比下降7.93%，进口均价549美元/吨，环比增加4.84%。其中沙特进口量最大为709.27万吨，进口均价549.7美元/吨。</w:t>
      </w:r>
    </w:p>
    <w:p>
      <w:pPr>
        <w:pStyle w:val="23"/>
        <w:ind w:firstLine="360" w:firstLineChars="200"/>
        <w:rPr>
          <w:rFonts w:hint="eastAsia"/>
          <w:sz w:val="18"/>
          <w:szCs w:val="18"/>
        </w:rPr>
      </w:pPr>
      <w:r>
        <w:rPr>
          <w:sz w:val="18"/>
          <w:szCs w:val="18"/>
        </w:rPr>
        <w:t>2021年10月份我国原油出口量在8.5万吨，环比增长8.57%，出口均价484美元/吨，环比下降9.33%</w:t>
      </w:r>
      <w:r>
        <w:rPr>
          <w:rFonts w:hint="eastAsia"/>
          <w:sz w:val="18"/>
          <w:szCs w:val="18"/>
        </w:rPr>
        <w:t>。</w:t>
      </w:r>
    </w:p>
    <w:p>
      <w:pPr>
        <w:pStyle w:val="3"/>
        <w:spacing w:before="120" w:after="120" w:line="240" w:lineRule="auto"/>
        <w:rPr>
          <w:rFonts w:hint="eastAsia" w:ascii="宋体" w:hAnsi="宋体"/>
          <w:b/>
          <w:color w:val="auto"/>
          <w:sz w:val="32"/>
          <w:szCs w:val="32"/>
        </w:rPr>
      </w:pPr>
      <w:r>
        <w:rPr>
          <w:rFonts w:hint="eastAsia" w:ascii="宋体" w:hAnsi="宋体"/>
          <w:b/>
          <w:color w:val="auto"/>
          <w:sz w:val="32"/>
          <w:szCs w:val="32"/>
        </w:rPr>
        <w:t>4.4 20</w:t>
      </w:r>
      <w:r>
        <w:rPr>
          <w:rFonts w:hint="eastAsia" w:ascii="宋体" w:hAnsi="宋体"/>
          <w:b/>
          <w:color w:val="auto"/>
          <w:sz w:val="32"/>
          <w:szCs w:val="32"/>
          <w:lang w:val="en-US" w:eastAsia="zh-CN"/>
        </w:rPr>
        <w:t>21</w:t>
      </w:r>
      <w:r>
        <w:rPr>
          <w:rFonts w:hint="eastAsia" w:ascii="宋体" w:hAnsi="宋体"/>
          <w:b/>
          <w:color w:val="auto"/>
          <w:sz w:val="32"/>
          <w:szCs w:val="32"/>
        </w:rPr>
        <w:t>年</w:t>
      </w:r>
      <w:r>
        <w:rPr>
          <w:rFonts w:hint="eastAsia" w:ascii="宋体" w:hAnsi="宋体"/>
          <w:b/>
          <w:color w:val="auto"/>
          <w:sz w:val="32"/>
          <w:szCs w:val="32"/>
          <w:lang w:val="en-US" w:eastAsia="zh-CN"/>
        </w:rPr>
        <w:t>10</w:t>
      </w:r>
      <w:r>
        <w:rPr>
          <w:rFonts w:hint="eastAsia" w:ascii="宋体" w:hAnsi="宋体"/>
          <w:b/>
          <w:color w:val="auto"/>
          <w:sz w:val="32"/>
          <w:szCs w:val="32"/>
        </w:rPr>
        <w:t>月份航空煤油进出口统计数据</w:t>
      </w:r>
      <w:bookmarkEnd w:id="33"/>
      <w:bookmarkEnd w:id="34"/>
    </w:p>
    <w:p>
      <w:pPr>
        <w:ind w:firstLine="360" w:firstLineChars="200"/>
        <w:jc w:val="right"/>
        <w:rPr>
          <w:rFonts w:hint="eastAsia" w:ascii="宋体" w:hAnsi="宋体" w:eastAsia="宋体" w:cs="宋体"/>
          <w:color w:val="auto"/>
          <w:sz w:val="18"/>
          <w:szCs w:val="18"/>
        </w:rPr>
      </w:pPr>
      <w:r>
        <w:rPr>
          <w:rFonts w:hint="eastAsia" w:ascii="宋体" w:hAnsi="宋体" w:eastAsia="宋体" w:cs="宋体"/>
          <w:color w:val="auto"/>
          <w:sz w:val="18"/>
          <w:szCs w:val="18"/>
        </w:rPr>
        <w:t>单位：</w:t>
      </w:r>
      <w:r>
        <w:rPr>
          <w:rFonts w:hint="eastAsia" w:ascii="宋体" w:hAnsi="宋体" w:eastAsia="宋体" w:cs="宋体"/>
          <w:color w:val="auto"/>
          <w:sz w:val="18"/>
          <w:szCs w:val="18"/>
          <w:lang w:eastAsia="zh-CN"/>
        </w:rPr>
        <w:t>吨</w:t>
      </w:r>
      <w:r>
        <w:rPr>
          <w:rFonts w:hint="eastAsia" w:ascii="宋体" w:hAnsi="宋体" w:eastAsia="宋体" w:cs="宋体"/>
          <w:color w:val="auto"/>
          <w:sz w:val="18"/>
          <w:szCs w:val="18"/>
        </w:rPr>
        <w:t>，美元</w:t>
      </w:r>
    </w:p>
    <w:p>
      <w:pPr>
        <w:ind w:firstLine="420" w:firstLineChars="200"/>
        <w:jc w:val="left"/>
        <w:rPr>
          <w:rFonts w:hint="eastAsia" w:ascii="宋体" w:hAnsi="宋体"/>
          <w:color w:val="auto"/>
        </w:rPr>
      </w:pPr>
    </w:p>
    <w:bookmarkEnd w:id="26"/>
    <w:tbl>
      <w:tblPr>
        <w:tblStyle w:val="24"/>
        <w:tblW w:w="9036" w:type="dxa"/>
        <w:jc w:val="center"/>
        <w:shd w:val="clear" w:color="auto" w:fill="auto"/>
        <w:tblLayout w:type="fixed"/>
        <w:tblCellMar>
          <w:top w:w="0" w:type="dxa"/>
          <w:left w:w="0" w:type="dxa"/>
          <w:bottom w:w="0" w:type="dxa"/>
          <w:right w:w="0" w:type="dxa"/>
        </w:tblCellMar>
      </w:tblPr>
      <w:tblGrid>
        <w:gridCol w:w="4500"/>
        <w:gridCol w:w="4536"/>
      </w:tblGrid>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
                <w:bCs w:val="0"/>
                <w:color w:val="auto"/>
                <w:kern w:val="0"/>
                <w:sz w:val="18"/>
                <w:szCs w:val="18"/>
              </w:rPr>
            </w:pPr>
            <w:r>
              <w:rPr>
                <w:rStyle w:val="28"/>
                <w:rFonts w:hint="eastAsia" w:ascii="宋体" w:hAnsi="宋体" w:eastAsia="宋体" w:cs="宋体"/>
                <w:caps w:val="0"/>
                <w:color w:val="auto"/>
                <w:spacing w:val="0"/>
                <w:sz w:val="18"/>
                <w:szCs w:val="18"/>
              </w:rPr>
              <w:t>进口</w:t>
            </w:r>
          </w:p>
        </w:tc>
        <w:tc>
          <w:tcPr>
            <w:tcW w:w="4536"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
                <w:bCs w:val="0"/>
                <w:color w:val="auto"/>
                <w:kern w:val="0"/>
                <w:sz w:val="18"/>
                <w:szCs w:val="18"/>
              </w:rPr>
            </w:pPr>
            <w:r>
              <w:rPr>
                <w:rStyle w:val="28"/>
                <w:rFonts w:hint="eastAsia" w:ascii="宋体" w:hAnsi="宋体" w:eastAsia="宋体" w:cs="宋体"/>
                <w:caps w:val="0"/>
                <w:color w:val="auto"/>
                <w:spacing w:val="0"/>
                <w:sz w:val="18"/>
                <w:szCs w:val="18"/>
              </w:rPr>
              <w:t>出口</w:t>
            </w:r>
          </w:p>
        </w:tc>
      </w:tr>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10月进口量:126925.82（吨）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10月出口量:830045.79（吨）</w:t>
            </w:r>
          </w:p>
        </w:tc>
      </w:tr>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累计进口量:1173682.29吨）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累计出口量:7023644.46（吨）</w:t>
            </w:r>
          </w:p>
        </w:tc>
      </w:tr>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当月进口均价:4514.13（元/吨）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当月出口均价:3937.35（元/吨）</w:t>
            </w:r>
          </w:p>
        </w:tc>
      </w:tr>
      <w:tr>
        <w:tblPrEx>
          <w:shd w:val="clear" w:color="auto" w:fill="auto"/>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累计进口均价：36975.63（元/吨）</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累计出口均价:34179.88（元/吨）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进口量环比:117.74%</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出口量环比：-6.31%</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进口量同比：541.42%</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出口量同比：89.82%</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累计进口量比去年同期：-47.03%</w:t>
            </w:r>
          </w:p>
        </w:tc>
        <w:tc>
          <w:tcPr>
            <w:tcW w:w="453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bCs/>
                <w:color w:val="auto"/>
                <w:kern w:val="0"/>
                <w:sz w:val="18"/>
                <w:szCs w:val="18"/>
                <w:lang w:val="en-US" w:eastAsia="zh-CN"/>
              </w:rPr>
            </w:pPr>
            <w:r>
              <w:rPr>
                <w:rFonts w:hint="eastAsia" w:ascii="宋体" w:hAnsi="宋体" w:eastAsia="宋体" w:cs="宋体"/>
                <w:caps w:val="0"/>
                <w:spacing w:val="0"/>
                <w:sz w:val="18"/>
                <w:szCs w:val="18"/>
              </w:rPr>
              <w:t>累计出口量比去年同期：-22.65%</w:t>
            </w:r>
          </w:p>
        </w:tc>
      </w:tr>
    </w:tbl>
    <w:p>
      <w:pPr>
        <w:rPr>
          <w:color w:val="auto"/>
        </w:rPr>
      </w:pPr>
    </w:p>
    <w:p>
      <w:pPr>
        <w:rPr>
          <w:color w:val="auto"/>
        </w:rPr>
      </w:pPr>
    </w:p>
    <w:sectPr>
      <w:headerReference r:id="rId5" w:type="first"/>
      <w:headerReference r:id="rId3" w:type="default"/>
      <w:headerReference r:id="rId4" w:type="even"/>
      <w:pgSz w:w="11906" w:h="16838"/>
      <w:pgMar w:top="1440" w:right="1077" w:bottom="1440" w:left="1077"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06709E88"/>
    <w:multiLevelType w:val="singleLevel"/>
    <w:tmpl w:val="06709E8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20"/>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2A7B"/>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54C8"/>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36B1"/>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C42"/>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835"/>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669"/>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337"/>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67CBA"/>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689"/>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0E64"/>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75"/>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17E39"/>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0570E4"/>
    <w:rsid w:val="011E5399"/>
    <w:rsid w:val="01533173"/>
    <w:rsid w:val="0174199B"/>
    <w:rsid w:val="0182210D"/>
    <w:rsid w:val="018C042F"/>
    <w:rsid w:val="019139BB"/>
    <w:rsid w:val="01A95B6A"/>
    <w:rsid w:val="01BD1D63"/>
    <w:rsid w:val="01ED4894"/>
    <w:rsid w:val="01F27845"/>
    <w:rsid w:val="01FE2CFE"/>
    <w:rsid w:val="02353D60"/>
    <w:rsid w:val="023C6B28"/>
    <w:rsid w:val="02526173"/>
    <w:rsid w:val="025D5BCE"/>
    <w:rsid w:val="0261223F"/>
    <w:rsid w:val="029A6142"/>
    <w:rsid w:val="029A6633"/>
    <w:rsid w:val="029F2908"/>
    <w:rsid w:val="02AC60AA"/>
    <w:rsid w:val="02B87E06"/>
    <w:rsid w:val="02CC135E"/>
    <w:rsid w:val="02CD4EB7"/>
    <w:rsid w:val="02D71373"/>
    <w:rsid w:val="02D85611"/>
    <w:rsid w:val="02E90170"/>
    <w:rsid w:val="02FE589D"/>
    <w:rsid w:val="031824AB"/>
    <w:rsid w:val="031B1C80"/>
    <w:rsid w:val="03211A1D"/>
    <w:rsid w:val="0324523D"/>
    <w:rsid w:val="03331E75"/>
    <w:rsid w:val="034407FB"/>
    <w:rsid w:val="034F6246"/>
    <w:rsid w:val="0353264B"/>
    <w:rsid w:val="03562125"/>
    <w:rsid w:val="035F2635"/>
    <w:rsid w:val="036D5E24"/>
    <w:rsid w:val="037413B6"/>
    <w:rsid w:val="03A57F11"/>
    <w:rsid w:val="03A93E53"/>
    <w:rsid w:val="03C71B14"/>
    <w:rsid w:val="03C968EE"/>
    <w:rsid w:val="03DA6AF5"/>
    <w:rsid w:val="03EC30D3"/>
    <w:rsid w:val="03FD7568"/>
    <w:rsid w:val="04063827"/>
    <w:rsid w:val="040707FC"/>
    <w:rsid w:val="0418413B"/>
    <w:rsid w:val="04242AEB"/>
    <w:rsid w:val="042972F1"/>
    <w:rsid w:val="042B4FB5"/>
    <w:rsid w:val="04331F6D"/>
    <w:rsid w:val="044B7718"/>
    <w:rsid w:val="044D6C9D"/>
    <w:rsid w:val="044E5434"/>
    <w:rsid w:val="045E1E00"/>
    <w:rsid w:val="04684ED7"/>
    <w:rsid w:val="047A62BA"/>
    <w:rsid w:val="048101D3"/>
    <w:rsid w:val="048A2C1B"/>
    <w:rsid w:val="048C7CAA"/>
    <w:rsid w:val="04987F00"/>
    <w:rsid w:val="04A45D71"/>
    <w:rsid w:val="04A8214A"/>
    <w:rsid w:val="04B04E89"/>
    <w:rsid w:val="04BC587D"/>
    <w:rsid w:val="04BF7371"/>
    <w:rsid w:val="04C829A7"/>
    <w:rsid w:val="04E22C17"/>
    <w:rsid w:val="04E47651"/>
    <w:rsid w:val="04EE66C3"/>
    <w:rsid w:val="04F36106"/>
    <w:rsid w:val="04F4133B"/>
    <w:rsid w:val="05021B01"/>
    <w:rsid w:val="051E18E1"/>
    <w:rsid w:val="05292B71"/>
    <w:rsid w:val="052B7720"/>
    <w:rsid w:val="052C0D66"/>
    <w:rsid w:val="052F18F0"/>
    <w:rsid w:val="05314FD7"/>
    <w:rsid w:val="0538191C"/>
    <w:rsid w:val="053B1A3D"/>
    <w:rsid w:val="05500555"/>
    <w:rsid w:val="0558720E"/>
    <w:rsid w:val="057F2A2A"/>
    <w:rsid w:val="05894C8A"/>
    <w:rsid w:val="05920A6B"/>
    <w:rsid w:val="05925B7F"/>
    <w:rsid w:val="05993019"/>
    <w:rsid w:val="05A5238A"/>
    <w:rsid w:val="05A63D05"/>
    <w:rsid w:val="05AA3E69"/>
    <w:rsid w:val="05B377E7"/>
    <w:rsid w:val="05C01E8E"/>
    <w:rsid w:val="05D0127E"/>
    <w:rsid w:val="05D36477"/>
    <w:rsid w:val="05D708A6"/>
    <w:rsid w:val="05F5542B"/>
    <w:rsid w:val="06002DF6"/>
    <w:rsid w:val="06153E6E"/>
    <w:rsid w:val="0618444D"/>
    <w:rsid w:val="06254A25"/>
    <w:rsid w:val="062A6CB4"/>
    <w:rsid w:val="06300679"/>
    <w:rsid w:val="063E0E8C"/>
    <w:rsid w:val="06464EAF"/>
    <w:rsid w:val="06471306"/>
    <w:rsid w:val="06762765"/>
    <w:rsid w:val="067746D4"/>
    <w:rsid w:val="067D4056"/>
    <w:rsid w:val="069C6A8D"/>
    <w:rsid w:val="069D265D"/>
    <w:rsid w:val="06AC42A7"/>
    <w:rsid w:val="06B474E1"/>
    <w:rsid w:val="06B9287B"/>
    <w:rsid w:val="06D15645"/>
    <w:rsid w:val="06DA3028"/>
    <w:rsid w:val="06E3294D"/>
    <w:rsid w:val="06F31CB3"/>
    <w:rsid w:val="06F93008"/>
    <w:rsid w:val="070339A1"/>
    <w:rsid w:val="0718687A"/>
    <w:rsid w:val="071A60E7"/>
    <w:rsid w:val="071A7C26"/>
    <w:rsid w:val="071C4EDC"/>
    <w:rsid w:val="071D082B"/>
    <w:rsid w:val="07243E5A"/>
    <w:rsid w:val="07252677"/>
    <w:rsid w:val="07272AF3"/>
    <w:rsid w:val="07526E8D"/>
    <w:rsid w:val="0759111C"/>
    <w:rsid w:val="07594F06"/>
    <w:rsid w:val="076C6634"/>
    <w:rsid w:val="07743510"/>
    <w:rsid w:val="07805403"/>
    <w:rsid w:val="07820AB4"/>
    <w:rsid w:val="07836EEE"/>
    <w:rsid w:val="07906BB7"/>
    <w:rsid w:val="079B346A"/>
    <w:rsid w:val="079D7717"/>
    <w:rsid w:val="07B872E0"/>
    <w:rsid w:val="07B939E0"/>
    <w:rsid w:val="07CB2E31"/>
    <w:rsid w:val="07CC2D78"/>
    <w:rsid w:val="07CC4016"/>
    <w:rsid w:val="07D15C8A"/>
    <w:rsid w:val="07E05AA3"/>
    <w:rsid w:val="07E76A1F"/>
    <w:rsid w:val="07F17792"/>
    <w:rsid w:val="080158C0"/>
    <w:rsid w:val="0809715C"/>
    <w:rsid w:val="080A4814"/>
    <w:rsid w:val="0817293A"/>
    <w:rsid w:val="0820276D"/>
    <w:rsid w:val="082B36EF"/>
    <w:rsid w:val="082F1BCD"/>
    <w:rsid w:val="084C0F41"/>
    <w:rsid w:val="084E29A7"/>
    <w:rsid w:val="08573B5A"/>
    <w:rsid w:val="086F6B65"/>
    <w:rsid w:val="08962616"/>
    <w:rsid w:val="08A4401C"/>
    <w:rsid w:val="08A55AD2"/>
    <w:rsid w:val="08B65C23"/>
    <w:rsid w:val="08CA207E"/>
    <w:rsid w:val="08CD17C0"/>
    <w:rsid w:val="08DE60ED"/>
    <w:rsid w:val="08E13914"/>
    <w:rsid w:val="08E21688"/>
    <w:rsid w:val="08E35E15"/>
    <w:rsid w:val="08EE777D"/>
    <w:rsid w:val="0918731F"/>
    <w:rsid w:val="091D1431"/>
    <w:rsid w:val="09223CDC"/>
    <w:rsid w:val="09371EEF"/>
    <w:rsid w:val="093F6B95"/>
    <w:rsid w:val="09524755"/>
    <w:rsid w:val="095B63CA"/>
    <w:rsid w:val="09701692"/>
    <w:rsid w:val="09717916"/>
    <w:rsid w:val="09812CD8"/>
    <w:rsid w:val="09816B1A"/>
    <w:rsid w:val="098251C0"/>
    <w:rsid w:val="0984738F"/>
    <w:rsid w:val="09853CE2"/>
    <w:rsid w:val="098C4592"/>
    <w:rsid w:val="098C467A"/>
    <w:rsid w:val="09915D75"/>
    <w:rsid w:val="0996332C"/>
    <w:rsid w:val="09BE1AF4"/>
    <w:rsid w:val="09C26D2C"/>
    <w:rsid w:val="09C57689"/>
    <w:rsid w:val="09CB3165"/>
    <w:rsid w:val="09E0028A"/>
    <w:rsid w:val="09E31010"/>
    <w:rsid w:val="09E83CA1"/>
    <w:rsid w:val="09ED009F"/>
    <w:rsid w:val="09F11ACB"/>
    <w:rsid w:val="09F94B23"/>
    <w:rsid w:val="09FB6243"/>
    <w:rsid w:val="0A047BEC"/>
    <w:rsid w:val="0A06506B"/>
    <w:rsid w:val="0A0A6618"/>
    <w:rsid w:val="0A1527C8"/>
    <w:rsid w:val="0A207C84"/>
    <w:rsid w:val="0A29795D"/>
    <w:rsid w:val="0A2A7E86"/>
    <w:rsid w:val="0A2D68BE"/>
    <w:rsid w:val="0A3C22BA"/>
    <w:rsid w:val="0A3D34F3"/>
    <w:rsid w:val="0A3E36F7"/>
    <w:rsid w:val="0A3F54A5"/>
    <w:rsid w:val="0A557C07"/>
    <w:rsid w:val="0A5B4AF5"/>
    <w:rsid w:val="0A75433E"/>
    <w:rsid w:val="0A796F7C"/>
    <w:rsid w:val="0A7B7455"/>
    <w:rsid w:val="0A8A7BC2"/>
    <w:rsid w:val="0A906675"/>
    <w:rsid w:val="0A951C4F"/>
    <w:rsid w:val="0A9E4597"/>
    <w:rsid w:val="0AA33DAF"/>
    <w:rsid w:val="0AB608CB"/>
    <w:rsid w:val="0AC60296"/>
    <w:rsid w:val="0AD32487"/>
    <w:rsid w:val="0AD50553"/>
    <w:rsid w:val="0ADB26A0"/>
    <w:rsid w:val="0AE31AD5"/>
    <w:rsid w:val="0B017D09"/>
    <w:rsid w:val="0B0715B1"/>
    <w:rsid w:val="0B0F0B26"/>
    <w:rsid w:val="0B2647B0"/>
    <w:rsid w:val="0B291A84"/>
    <w:rsid w:val="0B2C39A7"/>
    <w:rsid w:val="0B400CB2"/>
    <w:rsid w:val="0B421176"/>
    <w:rsid w:val="0B45016D"/>
    <w:rsid w:val="0B4B49C1"/>
    <w:rsid w:val="0B5D43F5"/>
    <w:rsid w:val="0B721C38"/>
    <w:rsid w:val="0B860805"/>
    <w:rsid w:val="0B8B649E"/>
    <w:rsid w:val="0B945C54"/>
    <w:rsid w:val="0BA91AA1"/>
    <w:rsid w:val="0BB16187"/>
    <w:rsid w:val="0BCB6AF2"/>
    <w:rsid w:val="0BCE6861"/>
    <w:rsid w:val="0BDC4FBC"/>
    <w:rsid w:val="0BDF0A5F"/>
    <w:rsid w:val="0BEB43D6"/>
    <w:rsid w:val="0C08318F"/>
    <w:rsid w:val="0C1C163D"/>
    <w:rsid w:val="0C1E7ABD"/>
    <w:rsid w:val="0C206584"/>
    <w:rsid w:val="0C212EC8"/>
    <w:rsid w:val="0C2444B3"/>
    <w:rsid w:val="0C270CC3"/>
    <w:rsid w:val="0C2A79E8"/>
    <w:rsid w:val="0C3071F1"/>
    <w:rsid w:val="0C3E0441"/>
    <w:rsid w:val="0C586B50"/>
    <w:rsid w:val="0C586E44"/>
    <w:rsid w:val="0C7B6AED"/>
    <w:rsid w:val="0C7F402D"/>
    <w:rsid w:val="0C822A19"/>
    <w:rsid w:val="0C930A24"/>
    <w:rsid w:val="0C9F5640"/>
    <w:rsid w:val="0C9F66CF"/>
    <w:rsid w:val="0CAA3B04"/>
    <w:rsid w:val="0CB81916"/>
    <w:rsid w:val="0CD123E3"/>
    <w:rsid w:val="0CD35464"/>
    <w:rsid w:val="0CD752CF"/>
    <w:rsid w:val="0CE32FB8"/>
    <w:rsid w:val="0CE44838"/>
    <w:rsid w:val="0CEA48B8"/>
    <w:rsid w:val="0D004586"/>
    <w:rsid w:val="0D206C21"/>
    <w:rsid w:val="0D4A442D"/>
    <w:rsid w:val="0D731CA1"/>
    <w:rsid w:val="0D735A75"/>
    <w:rsid w:val="0D775B07"/>
    <w:rsid w:val="0D79688B"/>
    <w:rsid w:val="0D8323A4"/>
    <w:rsid w:val="0D893BAC"/>
    <w:rsid w:val="0D952410"/>
    <w:rsid w:val="0D9F3354"/>
    <w:rsid w:val="0DA370DA"/>
    <w:rsid w:val="0DA7099A"/>
    <w:rsid w:val="0DB01CE1"/>
    <w:rsid w:val="0DB5277B"/>
    <w:rsid w:val="0DBA1705"/>
    <w:rsid w:val="0DBC2C9E"/>
    <w:rsid w:val="0DC46B30"/>
    <w:rsid w:val="0DC9706D"/>
    <w:rsid w:val="0DD115AA"/>
    <w:rsid w:val="0DD27705"/>
    <w:rsid w:val="0DEA06F6"/>
    <w:rsid w:val="0DEA1ECA"/>
    <w:rsid w:val="0E01030B"/>
    <w:rsid w:val="0E04318C"/>
    <w:rsid w:val="0E222066"/>
    <w:rsid w:val="0E274301"/>
    <w:rsid w:val="0E31785B"/>
    <w:rsid w:val="0E357D47"/>
    <w:rsid w:val="0E467EFB"/>
    <w:rsid w:val="0E4B1576"/>
    <w:rsid w:val="0E5C0982"/>
    <w:rsid w:val="0E730195"/>
    <w:rsid w:val="0E7675E6"/>
    <w:rsid w:val="0E803657"/>
    <w:rsid w:val="0E8B35C9"/>
    <w:rsid w:val="0E96527F"/>
    <w:rsid w:val="0E9742FB"/>
    <w:rsid w:val="0E9E354A"/>
    <w:rsid w:val="0EAF107B"/>
    <w:rsid w:val="0EB4347F"/>
    <w:rsid w:val="0EBE27AA"/>
    <w:rsid w:val="0EBF19BF"/>
    <w:rsid w:val="0EC1627E"/>
    <w:rsid w:val="0ED10429"/>
    <w:rsid w:val="0ED36950"/>
    <w:rsid w:val="0EDE0257"/>
    <w:rsid w:val="0EE30B65"/>
    <w:rsid w:val="0EED0FC5"/>
    <w:rsid w:val="0EF07619"/>
    <w:rsid w:val="0EF248CA"/>
    <w:rsid w:val="0EFB4176"/>
    <w:rsid w:val="0F034AA6"/>
    <w:rsid w:val="0F08360E"/>
    <w:rsid w:val="0F125E7D"/>
    <w:rsid w:val="0F1F0D30"/>
    <w:rsid w:val="0F26373F"/>
    <w:rsid w:val="0F2C6224"/>
    <w:rsid w:val="0F3E4D2D"/>
    <w:rsid w:val="0F446A41"/>
    <w:rsid w:val="0F4A18F4"/>
    <w:rsid w:val="0F4E7072"/>
    <w:rsid w:val="0F5808CC"/>
    <w:rsid w:val="0F666559"/>
    <w:rsid w:val="0F6B3E79"/>
    <w:rsid w:val="0F790BDF"/>
    <w:rsid w:val="0F7D42FE"/>
    <w:rsid w:val="0F820E85"/>
    <w:rsid w:val="0F895A00"/>
    <w:rsid w:val="0F8A41FA"/>
    <w:rsid w:val="0F962DED"/>
    <w:rsid w:val="0F9B4E2A"/>
    <w:rsid w:val="0FA45D17"/>
    <w:rsid w:val="0FAA2C5D"/>
    <w:rsid w:val="0FB045CC"/>
    <w:rsid w:val="0FC910AB"/>
    <w:rsid w:val="0FCA36AC"/>
    <w:rsid w:val="0FD23F99"/>
    <w:rsid w:val="0FE34C1B"/>
    <w:rsid w:val="0FE35E2C"/>
    <w:rsid w:val="0FEF79AA"/>
    <w:rsid w:val="100354B2"/>
    <w:rsid w:val="101B677C"/>
    <w:rsid w:val="101C7D06"/>
    <w:rsid w:val="101F6270"/>
    <w:rsid w:val="1024515A"/>
    <w:rsid w:val="102F25D7"/>
    <w:rsid w:val="1037062C"/>
    <w:rsid w:val="10446ECE"/>
    <w:rsid w:val="1046198D"/>
    <w:rsid w:val="104E6FC1"/>
    <w:rsid w:val="105C0A48"/>
    <w:rsid w:val="105F3A71"/>
    <w:rsid w:val="106D475B"/>
    <w:rsid w:val="1072399C"/>
    <w:rsid w:val="108362B8"/>
    <w:rsid w:val="1087261B"/>
    <w:rsid w:val="108C4660"/>
    <w:rsid w:val="10957382"/>
    <w:rsid w:val="109865FB"/>
    <w:rsid w:val="10A277F2"/>
    <w:rsid w:val="10BA0A0E"/>
    <w:rsid w:val="10CE39DE"/>
    <w:rsid w:val="10D36AEF"/>
    <w:rsid w:val="10FA6B68"/>
    <w:rsid w:val="10FF5E5F"/>
    <w:rsid w:val="11027028"/>
    <w:rsid w:val="110D636E"/>
    <w:rsid w:val="11153BAA"/>
    <w:rsid w:val="11190B98"/>
    <w:rsid w:val="11230D2F"/>
    <w:rsid w:val="11247901"/>
    <w:rsid w:val="11365062"/>
    <w:rsid w:val="11422692"/>
    <w:rsid w:val="11590029"/>
    <w:rsid w:val="115A59A8"/>
    <w:rsid w:val="115F1C27"/>
    <w:rsid w:val="11672A0E"/>
    <w:rsid w:val="116E3E23"/>
    <w:rsid w:val="117F7F48"/>
    <w:rsid w:val="118C3C84"/>
    <w:rsid w:val="11BC3D8A"/>
    <w:rsid w:val="11CA3B0B"/>
    <w:rsid w:val="11F843DE"/>
    <w:rsid w:val="121446A8"/>
    <w:rsid w:val="12162BBD"/>
    <w:rsid w:val="122D7A8C"/>
    <w:rsid w:val="12320E5B"/>
    <w:rsid w:val="124E5846"/>
    <w:rsid w:val="1265739D"/>
    <w:rsid w:val="12662947"/>
    <w:rsid w:val="126A28BA"/>
    <w:rsid w:val="127E2138"/>
    <w:rsid w:val="128771AE"/>
    <w:rsid w:val="12936B1B"/>
    <w:rsid w:val="12A4558C"/>
    <w:rsid w:val="12A84E60"/>
    <w:rsid w:val="12B66FEE"/>
    <w:rsid w:val="12BE2ADE"/>
    <w:rsid w:val="12D52D83"/>
    <w:rsid w:val="12D61BB4"/>
    <w:rsid w:val="12D8263D"/>
    <w:rsid w:val="12E533B9"/>
    <w:rsid w:val="12F30EC8"/>
    <w:rsid w:val="12F6517F"/>
    <w:rsid w:val="13086577"/>
    <w:rsid w:val="130B0E2B"/>
    <w:rsid w:val="130B16E4"/>
    <w:rsid w:val="13267B35"/>
    <w:rsid w:val="133E41B0"/>
    <w:rsid w:val="134A6D86"/>
    <w:rsid w:val="13502762"/>
    <w:rsid w:val="13594CF7"/>
    <w:rsid w:val="135A728A"/>
    <w:rsid w:val="1367698A"/>
    <w:rsid w:val="13772D89"/>
    <w:rsid w:val="138744BB"/>
    <w:rsid w:val="13985227"/>
    <w:rsid w:val="13A21C4C"/>
    <w:rsid w:val="13AA18EC"/>
    <w:rsid w:val="13B45FC3"/>
    <w:rsid w:val="13BF46FA"/>
    <w:rsid w:val="13C924DB"/>
    <w:rsid w:val="13D07AB0"/>
    <w:rsid w:val="13D72D76"/>
    <w:rsid w:val="13DB164D"/>
    <w:rsid w:val="13E7373B"/>
    <w:rsid w:val="13EC16FF"/>
    <w:rsid w:val="13F712B9"/>
    <w:rsid w:val="13FE142E"/>
    <w:rsid w:val="1402032F"/>
    <w:rsid w:val="14176463"/>
    <w:rsid w:val="141828DA"/>
    <w:rsid w:val="141B3D98"/>
    <w:rsid w:val="144967F9"/>
    <w:rsid w:val="144B6D3F"/>
    <w:rsid w:val="14522844"/>
    <w:rsid w:val="14546EAA"/>
    <w:rsid w:val="147759A4"/>
    <w:rsid w:val="147A75E5"/>
    <w:rsid w:val="148F78DF"/>
    <w:rsid w:val="14997CF1"/>
    <w:rsid w:val="149A6A37"/>
    <w:rsid w:val="149C7CF0"/>
    <w:rsid w:val="14AE50EE"/>
    <w:rsid w:val="14BC21CE"/>
    <w:rsid w:val="14BE2339"/>
    <w:rsid w:val="14BF4DCE"/>
    <w:rsid w:val="14CA7D93"/>
    <w:rsid w:val="14CD3607"/>
    <w:rsid w:val="14D0508B"/>
    <w:rsid w:val="14D14395"/>
    <w:rsid w:val="14D56BF6"/>
    <w:rsid w:val="14E36C24"/>
    <w:rsid w:val="14F32D76"/>
    <w:rsid w:val="14F4153D"/>
    <w:rsid w:val="14F5216B"/>
    <w:rsid w:val="14FE7778"/>
    <w:rsid w:val="15060A70"/>
    <w:rsid w:val="151733B8"/>
    <w:rsid w:val="151A00D9"/>
    <w:rsid w:val="151B73F8"/>
    <w:rsid w:val="15211EFF"/>
    <w:rsid w:val="152D4EB7"/>
    <w:rsid w:val="15353F74"/>
    <w:rsid w:val="15384DA1"/>
    <w:rsid w:val="153A274D"/>
    <w:rsid w:val="154B5C10"/>
    <w:rsid w:val="154F205D"/>
    <w:rsid w:val="155800EE"/>
    <w:rsid w:val="155B6178"/>
    <w:rsid w:val="15615E0F"/>
    <w:rsid w:val="156D2843"/>
    <w:rsid w:val="15701AB8"/>
    <w:rsid w:val="15786279"/>
    <w:rsid w:val="158449F0"/>
    <w:rsid w:val="15892652"/>
    <w:rsid w:val="159001BC"/>
    <w:rsid w:val="15965FE2"/>
    <w:rsid w:val="15AA23F1"/>
    <w:rsid w:val="15B1437C"/>
    <w:rsid w:val="15B939D5"/>
    <w:rsid w:val="15C14BE8"/>
    <w:rsid w:val="15D11875"/>
    <w:rsid w:val="15D83B2E"/>
    <w:rsid w:val="15DD70EA"/>
    <w:rsid w:val="15E11AB3"/>
    <w:rsid w:val="15E25134"/>
    <w:rsid w:val="15E8785D"/>
    <w:rsid w:val="15F904C3"/>
    <w:rsid w:val="160025BB"/>
    <w:rsid w:val="16113EF1"/>
    <w:rsid w:val="16116F4B"/>
    <w:rsid w:val="161D05B7"/>
    <w:rsid w:val="162721F5"/>
    <w:rsid w:val="162E280E"/>
    <w:rsid w:val="16357D2B"/>
    <w:rsid w:val="164206BE"/>
    <w:rsid w:val="16446BD7"/>
    <w:rsid w:val="16600954"/>
    <w:rsid w:val="16666123"/>
    <w:rsid w:val="166969D8"/>
    <w:rsid w:val="166A7CB7"/>
    <w:rsid w:val="16734EEE"/>
    <w:rsid w:val="168D7B9A"/>
    <w:rsid w:val="1691331C"/>
    <w:rsid w:val="169572E4"/>
    <w:rsid w:val="16AD5D1C"/>
    <w:rsid w:val="16B0271F"/>
    <w:rsid w:val="16C71296"/>
    <w:rsid w:val="16CB2046"/>
    <w:rsid w:val="16D82413"/>
    <w:rsid w:val="16DC7206"/>
    <w:rsid w:val="16E22B33"/>
    <w:rsid w:val="16EB067A"/>
    <w:rsid w:val="16EE237B"/>
    <w:rsid w:val="16EF1899"/>
    <w:rsid w:val="16F85570"/>
    <w:rsid w:val="16FA58EE"/>
    <w:rsid w:val="17116BE2"/>
    <w:rsid w:val="171311C9"/>
    <w:rsid w:val="17194D7A"/>
    <w:rsid w:val="171D2CA9"/>
    <w:rsid w:val="171E22DF"/>
    <w:rsid w:val="172078E9"/>
    <w:rsid w:val="172D12A6"/>
    <w:rsid w:val="17315AA4"/>
    <w:rsid w:val="17350283"/>
    <w:rsid w:val="173C1948"/>
    <w:rsid w:val="173F54B5"/>
    <w:rsid w:val="17464B66"/>
    <w:rsid w:val="175B5D81"/>
    <w:rsid w:val="17652D76"/>
    <w:rsid w:val="177742FF"/>
    <w:rsid w:val="177778D5"/>
    <w:rsid w:val="177C4324"/>
    <w:rsid w:val="17875DDC"/>
    <w:rsid w:val="17994872"/>
    <w:rsid w:val="179E41EC"/>
    <w:rsid w:val="17A21D4F"/>
    <w:rsid w:val="17BD7A6D"/>
    <w:rsid w:val="17BF13B3"/>
    <w:rsid w:val="17FE3268"/>
    <w:rsid w:val="18282C45"/>
    <w:rsid w:val="18296936"/>
    <w:rsid w:val="182A5943"/>
    <w:rsid w:val="182C041C"/>
    <w:rsid w:val="183728F3"/>
    <w:rsid w:val="1842704C"/>
    <w:rsid w:val="18504F2D"/>
    <w:rsid w:val="186022DC"/>
    <w:rsid w:val="186453BA"/>
    <w:rsid w:val="18704C74"/>
    <w:rsid w:val="18730E90"/>
    <w:rsid w:val="187F1331"/>
    <w:rsid w:val="18AD026B"/>
    <w:rsid w:val="18B70A2B"/>
    <w:rsid w:val="18CA2202"/>
    <w:rsid w:val="18CA4E8D"/>
    <w:rsid w:val="18D203E7"/>
    <w:rsid w:val="18F33297"/>
    <w:rsid w:val="18FC46F8"/>
    <w:rsid w:val="190E26FF"/>
    <w:rsid w:val="191B1724"/>
    <w:rsid w:val="19254E9B"/>
    <w:rsid w:val="19383C89"/>
    <w:rsid w:val="193E2598"/>
    <w:rsid w:val="19435347"/>
    <w:rsid w:val="194573ED"/>
    <w:rsid w:val="19550543"/>
    <w:rsid w:val="195D29F2"/>
    <w:rsid w:val="196272D4"/>
    <w:rsid w:val="196465FF"/>
    <w:rsid w:val="19682464"/>
    <w:rsid w:val="196B6E10"/>
    <w:rsid w:val="196F5600"/>
    <w:rsid w:val="197004D5"/>
    <w:rsid w:val="198154A5"/>
    <w:rsid w:val="19850C75"/>
    <w:rsid w:val="19856830"/>
    <w:rsid w:val="198A3D94"/>
    <w:rsid w:val="198F27F8"/>
    <w:rsid w:val="199C5ECD"/>
    <w:rsid w:val="19B1121F"/>
    <w:rsid w:val="19C039AF"/>
    <w:rsid w:val="19DC7361"/>
    <w:rsid w:val="19E14ABD"/>
    <w:rsid w:val="19F07148"/>
    <w:rsid w:val="1A031971"/>
    <w:rsid w:val="1A051BC1"/>
    <w:rsid w:val="1A055302"/>
    <w:rsid w:val="1A11011E"/>
    <w:rsid w:val="1A110D84"/>
    <w:rsid w:val="1A2B0F11"/>
    <w:rsid w:val="1A2C43DF"/>
    <w:rsid w:val="1A372CD4"/>
    <w:rsid w:val="1A555BDB"/>
    <w:rsid w:val="1A660755"/>
    <w:rsid w:val="1A703BC4"/>
    <w:rsid w:val="1A7262E8"/>
    <w:rsid w:val="1A7D3881"/>
    <w:rsid w:val="1A882B3D"/>
    <w:rsid w:val="1A896854"/>
    <w:rsid w:val="1A964171"/>
    <w:rsid w:val="1AB162F9"/>
    <w:rsid w:val="1ABE2D20"/>
    <w:rsid w:val="1ACC4B7F"/>
    <w:rsid w:val="1AD34CD1"/>
    <w:rsid w:val="1AD417D6"/>
    <w:rsid w:val="1AE72378"/>
    <w:rsid w:val="1AE7665A"/>
    <w:rsid w:val="1AEB2E88"/>
    <w:rsid w:val="1AEE5B49"/>
    <w:rsid w:val="1AF74A59"/>
    <w:rsid w:val="1B111CB0"/>
    <w:rsid w:val="1B1519B4"/>
    <w:rsid w:val="1B393D9E"/>
    <w:rsid w:val="1B3F0566"/>
    <w:rsid w:val="1B5A0EC6"/>
    <w:rsid w:val="1B5C3BD7"/>
    <w:rsid w:val="1B5F0C8F"/>
    <w:rsid w:val="1B743284"/>
    <w:rsid w:val="1B816F9A"/>
    <w:rsid w:val="1B8175D6"/>
    <w:rsid w:val="1B9467E7"/>
    <w:rsid w:val="1B9C1B61"/>
    <w:rsid w:val="1BA36CEF"/>
    <w:rsid w:val="1BB46A20"/>
    <w:rsid w:val="1BB93222"/>
    <w:rsid w:val="1BBC6239"/>
    <w:rsid w:val="1BBD6973"/>
    <w:rsid w:val="1BC65495"/>
    <w:rsid w:val="1BE24098"/>
    <w:rsid w:val="1BE81B85"/>
    <w:rsid w:val="1BF24814"/>
    <w:rsid w:val="1BF27AE1"/>
    <w:rsid w:val="1BFE2971"/>
    <w:rsid w:val="1C01336C"/>
    <w:rsid w:val="1C021382"/>
    <w:rsid w:val="1C081DD0"/>
    <w:rsid w:val="1C082446"/>
    <w:rsid w:val="1C1669BA"/>
    <w:rsid w:val="1C1C3102"/>
    <w:rsid w:val="1C2230E8"/>
    <w:rsid w:val="1C251540"/>
    <w:rsid w:val="1C2E2C8D"/>
    <w:rsid w:val="1C2E3B22"/>
    <w:rsid w:val="1C3B30F7"/>
    <w:rsid w:val="1C6973CC"/>
    <w:rsid w:val="1C6C7614"/>
    <w:rsid w:val="1C703F20"/>
    <w:rsid w:val="1C795B0B"/>
    <w:rsid w:val="1CB31F52"/>
    <w:rsid w:val="1CC609D9"/>
    <w:rsid w:val="1CDA4CCE"/>
    <w:rsid w:val="1CDC7753"/>
    <w:rsid w:val="1CE6684D"/>
    <w:rsid w:val="1CEC4A0D"/>
    <w:rsid w:val="1D1712A0"/>
    <w:rsid w:val="1D2B7B9F"/>
    <w:rsid w:val="1D305274"/>
    <w:rsid w:val="1D346A87"/>
    <w:rsid w:val="1D3F5714"/>
    <w:rsid w:val="1D433C2D"/>
    <w:rsid w:val="1D466011"/>
    <w:rsid w:val="1D487015"/>
    <w:rsid w:val="1D5133E5"/>
    <w:rsid w:val="1D547E28"/>
    <w:rsid w:val="1D5B57EE"/>
    <w:rsid w:val="1D606070"/>
    <w:rsid w:val="1D655DB6"/>
    <w:rsid w:val="1D980258"/>
    <w:rsid w:val="1D9C1F14"/>
    <w:rsid w:val="1DB113DA"/>
    <w:rsid w:val="1DD637E3"/>
    <w:rsid w:val="1DD918D5"/>
    <w:rsid w:val="1DFB4E0B"/>
    <w:rsid w:val="1E196DA1"/>
    <w:rsid w:val="1E2278F4"/>
    <w:rsid w:val="1E310AAB"/>
    <w:rsid w:val="1E4062B7"/>
    <w:rsid w:val="1E417BB3"/>
    <w:rsid w:val="1E450B99"/>
    <w:rsid w:val="1E4D2825"/>
    <w:rsid w:val="1E5542CC"/>
    <w:rsid w:val="1E64791C"/>
    <w:rsid w:val="1E676F14"/>
    <w:rsid w:val="1E6D6ABE"/>
    <w:rsid w:val="1E755624"/>
    <w:rsid w:val="1E764D52"/>
    <w:rsid w:val="1E8C73FA"/>
    <w:rsid w:val="1E9E3D33"/>
    <w:rsid w:val="1EAA616E"/>
    <w:rsid w:val="1EB15364"/>
    <w:rsid w:val="1EB20356"/>
    <w:rsid w:val="1EBE2AB5"/>
    <w:rsid w:val="1EC13441"/>
    <w:rsid w:val="1EC81089"/>
    <w:rsid w:val="1EDD523F"/>
    <w:rsid w:val="1EDD703F"/>
    <w:rsid w:val="1F092A2D"/>
    <w:rsid w:val="1F1162FE"/>
    <w:rsid w:val="1F1C0B32"/>
    <w:rsid w:val="1F352B32"/>
    <w:rsid w:val="1F4A096C"/>
    <w:rsid w:val="1F5814F7"/>
    <w:rsid w:val="1F5A5945"/>
    <w:rsid w:val="1F6B3A34"/>
    <w:rsid w:val="1F751CBE"/>
    <w:rsid w:val="1F7D6B10"/>
    <w:rsid w:val="1F963D6D"/>
    <w:rsid w:val="1F98363F"/>
    <w:rsid w:val="1FA70F8C"/>
    <w:rsid w:val="1FAB4045"/>
    <w:rsid w:val="1FBD1356"/>
    <w:rsid w:val="1FBF488C"/>
    <w:rsid w:val="1FC55B54"/>
    <w:rsid w:val="1FCD7450"/>
    <w:rsid w:val="1FCD7675"/>
    <w:rsid w:val="1FD377B1"/>
    <w:rsid w:val="1FDC18BC"/>
    <w:rsid w:val="1FEB4C55"/>
    <w:rsid w:val="1FED7184"/>
    <w:rsid w:val="1FEF77E1"/>
    <w:rsid w:val="1FFC155B"/>
    <w:rsid w:val="20010BD0"/>
    <w:rsid w:val="20053BC1"/>
    <w:rsid w:val="200B266C"/>
    <w:rsid w:val="20137C9A"/>
    <w:rsid w:val="20261774"/>
    <w:rsid w:val="202A3AEF"/>
    <w:rsid w:val="202E6386"/>
    <w:rsid w:val="203A3657"/>
    <w:rsid w:val="203A4D2E"/>
    <w:rsid w:val="204030A0"/>
    <w:rsid w:val="205147DC"/>
    <w:rsid w:val="20534ACB"/>
    <w:rsid w:val="205B78B2"/>
    <w:rsid w:val="205C4184"/>
    <w:rsid w:val="206558CE"/>
    <w:rsid w:val="206901B1"/>
    <w:rsid w:val="206B1575"/>
    <w:rsid w:val="20720E97"/>
    <w:rsid w:val="2078018B"/>
    <w:rsid w:val="209323D8"/>
    <w:rsid w:val="209327AA"/>
    <w:rsid w:val="20990A3E"/>
    <w:rsid w:val="20AD55FF"/>
    <w:rsid w:val="20C12FDC"/>
    <w:rsid w:val="20C55A62"/>
    <w:rsid w:val="20D06ACE"/>
    <w:rsid w:val="20D80D12"/>
    <w:rsid w:val="20EA7590"/>
    <w:rsid w:val="20F502DE"/>
    <w:rsid w:val="210C5D7F"/>
    <w:rsid w:val="211001E9"/>
    <w:rsid w:val="21147D43"/>
    <w:rsid w:val="2119067D"/>
    <w:rsid w:val="211F5020"/>
    <w:rsid w:val="21216F1B"/>
    <w:rsid w:val="2123407B"/>
    <w:rsid w:val="21320B64"/>
    <w:rsid w:val="21370E12"/>
    <w:rsid w:val="21432F9F"/>
    <w:rsid w:val="214F55E4"/>
    <w:rsid w:val="215329E9"/>
    <w:rsid w:val="215A4604"/>
    <w:rsid w:val="217C7ED4"/>
    <w:rsid w:val="21862B07"/>
    <w:rsid w:val="218757BE"/>
    <w:rsid w:val="218A1EF5"/>
    <w:rsid w:val="21973788"/>
    <w:rsid w:val="219A3406"/>
    <w:rsid w:val="21A70D61"/>
    <w:rsid w:val="21B2244C"/>
    <w:rsid w:val="21BB5830"/>
    <w:rsid w:val="21C30EF9"/>
    <w:rsid w:val="21CB7C2D"/>
    <w:rsid w:val="21D956E3"/>
    <w:rsid w:val="21E74352"/>
    <w:rsid w:val="21EB64F4"/>
    <w:rsid w:val="21EF7C0A"/>
    <w:rsid w:val="22146206"/>
    <w:rsid w:val="221551D8"/>
    <w:rsid w:val="224441F7"/>
    <w:rsid w:val="224E7428"/>
    <w:rsid w:val="224F414D"/>
    <w:rsid w:val="2261560B"/>
    <w:rsid w:val="227918A6"/>
    <w:rsid w:val="227F4849"/>
    <w:rsid w:val="2291582E"/>
    <w:rsid w:val="22944164"/>
    <w:rsid w:val="229674ED"/>
    <w:rsid w:val="22AC485D"/>
    <w:rsid w:val="22BB509A"/>
    <w:rsid w:val="22D174A6"/>
    <w:rsid w:val="22D2551D"/>
    <w:rsid w:val="22E67532"/>
    <w:rsid w:val="22F015DA"/>
    <w:rsid w:val="22F80176"/>
    <w:rsid w:val="22FB7188"/>
    <w:rsid w:val="230F16FC"/>
    <w:rsid w:val="231C2E7E"/>
    <w:rsid w:val="232A4048"/>
    <w:rsid w:val="233344E4"/>
    <w:rsid w:val="2337735C"/>
    <w:rsid w:val="23384D61"/>
    <w:rsid w:val="23392A7A"/>
    <w:rsid w:val="23417FB3"/>
    <w:rsid w:val="235336A2"/>
    <w:rsid w:val="23631B13"/>
    <w:rsid w:val="236765E1"/>
    <w:rsid w:val="236905BD"/>
    <w:rsid w:val="23694E38"/>
    <w:rsid w:val="23817C48"/>
    <w:rsid w:val="23850BE5"/>
    <w:rsid w:val="238C513B"/>
    <w:rsid w:val="238E2690"/>
    <w:rsid w:val="239015CD"/>
    <w:rsid w:val="23B946BE"/>
    <w:rsid w:val="23C01773"/>
    <w:rsid w:val="23E71D4D"/>
    <w:rsid w:val="23EF13A7"/>
    <w:rsid w:val="23F70D11"/>
    <w:rsid w:val="23F7720B"/>
    <w:rsid w:val="24086432"/>
    <w:rsid w:val="240F1052"/>
    <w:rsid w:val="241751AE"/>
    <w:rsid w:val="242A187D"/>
    <w:rsid w:val="24310987"/>
    <w:rsid w:val="24322A62"/>
    <w:rsid w:val="244A14DB"/>
    <w:rsid w:val="24554136"/>
    <w:rsid w:val="245C2B3F"/>
    <w:rsid w:val="2460475C"/>
    <w:rsid w:val="24692AC4"/>
    <w:rsid w:val="24817139"/>
    <w:rsid w:val="24836E94"/>
    <w:rsid w:val="24867974"/>
    <w:rsid w:val="248945E2"/>
    <w:rsid w:val="24974A9D"/>
    <w:rsid w:val="24990AB6"/>
    <w:rsid w:val="24A21A55"/>
    <w:rsid w:val="24B369D8"/>
    <w:rsid w:val="24B92458"/>
    <w:rsid w:val="24BC4C03"/>
    <w:rsid w:val="24BC74B9"/>
    <w:rsid w:val="24BE33B8"/>
    <w:rsid w:val="24CA200A"/>
    <w:rsid w:val="24E234FE"/>
    <w:rsid w:val="24E56E32"/>
    <w:rsid w:val="24F86BA3"/>
    <w:rsid w:val="250D3E66"/>
    <w:rsid w:val="252754C5"/>
    <w:rsid w:val="252D0E2C"/>
    <w:rsid w:val="252D3F69"/>
    <w:rsid w:val="253C0FBD"/>
    <w:rsid w:val="2547370A"/>
    <w:rsid w:val="25585795"/>
    <w:rsid w:val="25740BBD"/>
    <w:rsid w:val="25821561"/>
    <w:rsid w:val="25852576"/>
    <w:rsid w:val="25922FF3"/>
    <w:rsid w:val="25955E96"/>
    <w:rsid w:val="25956469"/>
    <w:rsid w:val="259B6E31"/>
    <w:rsid w:val="259E33E1"/>
    <w:rsid w:val="25A05607"/>
    <w:rsid w:val="25A07C39"/>
    <w:rsid w:val="25AF1FA5"/>
    <w:rsid w:val="25B677AD"/>
    <w:rsid w:val="25B904A8"/>
    <w:rsid w:val="25D93662"/>
    <w:rsid w:val="25DA3A68"/>
    <w:rsid w:val="25E06259"/>
    <w:rsid w:val="25E778B8"/>
    <w:rsid w:val="25EC6EE0"/>
    <w:rsid w:val="25FD0304"/>
    <w:rsid w:val="260517C6"/>
    <w:rsid w:val="2606044C"/>
    <w:rsid w:val="26090E12"/>
    <w:rsid w:val="260D6565"/>
    <w:rsid w:val="261447E7"/>
    <w:rsid w:val="26162D47"/>
    <w:rsid w:val="26313BB1"/>
    <w:rsid w:val="26417898"/>
    <w:rsid w:val="26442276"/>
    <w:rsid w:val="26444B63"/>
    <w:rsid w:val="264D7096"/>
    <w:rsid w:val="26552532"/>
    <w:rsid w:val="26564DF2"/>
    <w:rsid w:val="26671EE8"/>
    <w:rsid w:val="2692422E"/>
    <w:rsid w:val="269F41F0"/>
    <w:rsid w:val="269F6889"/>
    <w:rsid w:val="26AD0D8B"/>
    <w:rsid w:val="26BE4AAC"/>
    <w:rsid w:val="26C17431"/>
    <w:rsid w:val="26C27EC9"/>
    <w:rsid w:val="26C545A4"/>
    <w:rsid w:val="26C94300"/>
    <w:rsid w:val="26CD1AFB"/>
    <w:rsid w:val="26DF7D7C"/>
    <w:rsid w:val="26EE1723"/>
    <w:rsid w:val="26F154C7"/>
    <w:rsid w:val="26F60E1B"/>
    <w:rsid w:val="26FD7030"/>
    <w:rsid w:val="26FE0C7F"/>
    <w:rsid w:val="27007370"/>
    <w:rsid w:val="27080E2E"/>
    <w:rsid w:val="270D21C6"/>
    <w:rsid w:val="270D2595"/>
    <w:rsid w:val="27251F41"/>
    <w:rsid w:val="27276FBB"/>
    <w:rsid w:val="27296336"/>
    <w:rsid w:val="273301A4"/>
    <w:rsid w:val="2743251A"/>
    <w:rsid w:val="277E59D2"/>
    <w:rsid w:val="277F5A23"/>
    <w:rsid w:val="279E36DD"/>
    <w:rsid w:val="27A7464B"/>
    <w:rsid w:val="27C37DE6"/>
    <w:rsid w:val="27EA2797"/>
    <w:rsid w:val="28011EB5"/>
    <w:rsid w:val="28092464"/>
    <w:rsid w:val="2810409B"/>
    <w:rsid w:val="281725D1"/>
    <w:rsid w:val="281C2044"/>
    <w:rsid w:val="282013B4"/>
    <w:rsid w:val="282B47A7"/>
    <w:rsid w:val="282C5A3A"/>
    <w:rsid w:val="283F32F7"/>
    <w:rsid w:val="2855423F"/>
    <w:rsid w:val="2855440E"/>
    <w:rsid w:val="285E5BE3"/>
    <w:rsid w:val="28611CC2"/>
    <w:rsid w:val="286D2B55"/>
    <w:rsid w:val="28721E59"/>
    <w:rsid w:val="28892109"/>
    <w:rsid w:val="289430A0"/>
    <w:rsid w:val="289A1AAA"/>
    <w:rsid w:val="28A325B7"/>
    <w:rsid w:val="28AB052C"/>
    <w:rsid w:val="28B71571"/>
    <w:rsid w:val="28BA104F"/>
    <w:rsid w:val="28C132F2"/>
    <w:rsid w:val="28D133DE"/>
    <w:rsid w:val="28D37B64"/>
    <w:rsid w:val="28D91F7D"/>
    <w:rsid w:val="28EF11D1"/>
    <w:rsid w:val="290566C3"/>
    <w:rsid w:val="292774FE"/>
    <w:rsid w:val="292B6715"/>
    <w:rsid w:val="29493462"/>
    <w:rsid w:val="295C2D51"/>
    <w:rsid w:val="29A81CD2"/>
    <w:rsid w:val="29A90232"/>
    <w:rsid w:val="29A92B3A"/>
    <w:rsid w:val="29C804D1"/>
    <w:rsid w:val="29CB1410"/>
    <w:rsid w:val="29D0617D"/>
    <w:rsid w:val="29D617AC"/>
    <w:rsid w:val="29D84ABC"/>
    <w:rsid w:val="29F5410D"/>
    <w:rsid w:val="29FD23A5"/>
    <w:rsid w:val="2A091D0A"/>
    <w:rsid w:val="2A0D39C3"/>
    <w:rsid w:val="2A1503FE"/>
    <w:rsid w:val="2A194990"/>
    <w:rsid w:val="2A215E5E"/>
    <w:rsid w:val="2A252C4C"/>
    <w:rsid w:val="2A305C24"/>
    <w:rsid w:val="2A3E7B5A"/>
    <w:rsid w:val="2A516BAC"/>
    <w:rsid w:val="2A6B006B"/>
    <w:rsid w:val="2A6B55C6"/>
    <w:rsid w:val="2A7E61F0"/>
    <w:rsid w:val="2A8475EE"/>
    <w:rsid w:val="2A951C8C"/>
    <w:rsid w:val="2A953E86"/>
    <w:rsid w:val="2A9B26F1"/>
    <w:rsid w:val="2AA81E53"/>
    <w:rsid w:val="2AA82B74"/>
    <w:rsid w:val="2AAB3B9C"/>
    <w:rsid w:val="2AB25451"/>
    <w:rsid w:val="2AB8454A"/>
    <w:rsid w:val="2AC063B7"/>
    <w:rsid w:val="2ACB5B48"/>
    <w:rsid w:val="2ACD0874"/>
    <w:rsid w:val="2AD267B8"/>
    <w:rsid w:val="2AD8059C"/>
    <w:rsid w:val="2B0A5818"/>
    <w:rsid w:val="2B0D737C"/>
    <w:rsid w:val="2B0F004D"/>
    <w:rsid w:val="2B154A20"/>
    <w:rsid w:val="2B1B5BFD"/>
    <w:rsid w:val="2B20017E"/>
    <w:rsid w:val="2B300E60"/>
    <w:rsid w:val="2B380E7B"/>
    <w:rsid w:val="2B574357"/>
    <w:rsid w:val="2B5F5BE1"/>
    <w:rsid w:val="2B6638DE"/>
    <w:rsid w:val="2B691061"/>
    <w:rsid w:val="2B7B4586"/>
    <w:rsid w:val="2B843D59"/>
    <w:rsid w:val="2B84406F"/>
    <w:rsid w:val="2B853CDF"/>
    <w:rsid w:val="2B8B518F"/>
    <w:rsid w:val="2B8F58E2"/>
    <w:rsid w:val="2BA07FAD"/>
    <w:rsid w:val="2BAA3280"/>
    <w:rsid w:val="2BB3259C"/>
    <w:rsid w:val="2BBF0DDA"/>
    <w:rsid w:val="2BC674EF"/>
    <w:rsid w:val="2BE5055C"/>
    <w:rsid w:val="2BED5A7C"/>
    <w:rsid w:val="2BF50481"/>
    <w:rsid w:val="2BF858F4"/>
    <w:rsid w:val="2BFC3C2B"/>
    <w:rsid w:val="2BFC6315"/>
    <w:rsid w:val="2BFD5564"/>
    <w:rsid w:val="2C054251"/>
    <w:rsid w:val="2C2E0403"/>
    <w:rsid w:val="2C4C1107"/>
    <w:rsid w:val="2C785C6A"/>
    <w:rsid w:val="2C7C5CC5"/>
    <w:rsid w:val="2C811341"/>
    <w:rsid w:val="2C823F4E"/>
    <w:rsid w:val="2C9D3080"/>
    <w:rsid w:val="2CA44349"/>
    <w:rsid w:val="2CAA70F0"/>
    <w:rsid w:val="2CAD067B"/>
    <w:rsid w:val="2CBD69A8"/>
    <w:rsid w:val="2CEC0EBC"/>
    <w:rsid w:val="2CF30447"/>
    <w:rsid w:val="2CFD0FC0"/>
    <w:rsid w:val="2D050EBF"/>
    <w:rsid w:val="2D2009C3"/>
    <w:rsid w:val="2D2A25A1"/>
    <w:rsid w:val="2D2A51E4"/>
    <w:rsid w:val="2D3059BC"/>
    <w:rsid w:val="2D4D17E5"/>
    <w:rsid w:val="2D5A2817"/>
    <w:rsid w:val="2D6F58D8"/>
    <w:rsid w:val="2D892B5C"/>
    <w:rsid w:val="2D957091"/>
    <w:rsid w:val="2DAF27D1"/>
    <w:rsid w:val="2DB328B9"/>
    <w:rsid w:val="2DBD5E3A"/>
    <w:rsid w:val="2DC6450C"/>
    <w:rsid w:val="2DD85082"/>
    <w:rsid w:val="2DE11692"/>
    <w:rsid w:val="2DF24F64"/>
    <w:rsid w:val="2DF5641D"/>
    <w:rsid w:val="2DF644E3"/>
    <w:rsid w:val="2DFC4355"/>
    <w:rsid w:val="2E0D40F5"/>
    <w:rsid w:val="2E220037"/>
    <w:rsid w:val="2E2321BA"/>
    <w:rsid w:val="2E2F56E6"/>
    <w:rsid w:val="2E4A7323"/>
    <w:rsid w:val="2E522812"/>
    <w:rsid w:val="2E682AAC"/>
    <w:rsid w:val="2E6D230F"/>
    <w:rsid w:val="2E7017CC"/>
    <w:rsid w:val="2E7D543E"/>
    <w:rsid w:val="2E8C2DE3"/>
    <w:rsid w:val="2E942C46"/>
    <w:rsid w:val="2E98229F"/>
    <w:rsid w:val="2EA56E95"/>
    <w:rsid w:val="2EA673C9"/>
    <w:rsid w:val="2EA72B33"/>
    <w:rsid w:val="2EAF1D1D"/>
    <w:rsid w:val="2EBF1E9B"/>
    <w:rsid w:val="2EC0096E"/>
    <w:rsid w:val="2ECA710C"/>
    <w:rsid w:val="2ED4404D"/>
    <w:rsid w:val="2ED50475"/>
    <w:rsid w:val="2ED729FB"/>
    <w:rsid w:val="2EE365C8"/>
    <w:rsid w:val="2EED6D43"/>
    <w:rsid w:val="2EF1758E"/>
    <w:rsid w:val="2F090AB4"/>
    <w:rsid w:val="2F13732E"/>
    <w:rsid w:val="2F2F2D16"/>
    <w:rsid w:val="2F336BA3"/>
    <w:rsid w:val="2F5621A6"/>
    <w:rsid w:val="2F66411F"/>
    <w:rsid w:val="2F684F7D"/>
    <w:rsid w:val="2F9E2267"/>
    <w:rsid w:val="2FA5716E"/>
    <w:rsid w:val="2FB44AC5"/>
    <w:rsid w:val="2FB91769"/>
    <w:rsid w:val="2FBE7D06"/>
    <w:rsid w:val="2FCD4219"/>
    <w:rsid w:val="2FD85581"/>
    <w:rsid w:val="2FE37EAB"/>
    <w:rsid w:val="2FE513F6"/>
    <w:rsid w:val="2FE91ED2"/>
    <w:rsid w:val="2FEC28E9"/>
    <w:rsid w:val="2FF22D62"/>
    <w:rsid w:val="30037E76"/>
    <w:rsid w:val="300B0CEC"/>
    <w:rsid w:val="30173C95"/>
    <w:rsid w:val="301B31E2"/>
    <w:rsid w:val="302909D7"/>
    <w:rsid w:val="302C2C6C"/>
    <w:rsid w:val="30320AA9"/>
    <w:rsid w:val="30365256"/>
    <w:rsid w:val="30427218"/>
    <w:rsid w:val="304D2D36"/>
    <w:rsid w:val="304D5CB2"/>
    <w:rsid w:val="305001C5"/>
    <w:rsid w:val="3055125A"/>
    <w:rsid w:val="30664FDE"/>
    <w:rsid w:val="308A4247"/>
    <w:rsid w:val="309D4A0F"/>
    <w:rsid w:val="309E4811"/>
    <w:rsid w:val="30A00CB5"/>
    <w:rsid w:val="30AF5F22"/>
    <w:rsid w:val="30C14186"/>
    <w:rsid w:val="30C635C3"/>
    <w:rsid w:val="30D71496"/>
    <w:rsid w:val="30DC0703"/>
    <w:rsid w:val="30E73B0D"/>
    <w:rsid w:val="30F74C53"/>
    <w:rsid w:val="30FC61C2"/>
    <w:rsid w:val="30FD55E0"/>
    <w:rsid w:val="31030DD2"/>
    <w:rsid w:val="31095A3E"/>
    <w:rsid w:val="310F6F60"/>
    <w:rsid w:val="311333E6"/>
    <w:rsid w:val="311467EF"/>
    <w:rsid w:val="311600B8"/>
    <w:rsid w:val="31162712"/>
    <w:rsid w:val="311A24D7"/>
    <w:rsid w:val="31363ABC"/>
    <w:rsid w:val="314614BA"/>
    <w:rsid w:val="31490B7D"/>
    <w:rsid w:val="3153679E"/>
    <w:rsid w:val="315F2471"/>
    <w:rsid w:val="31680602"/>
    <w:rsid w:val="316D261F"/>
    <w:rsid w:val="316F14FD"/>
    <w:rsid w:val="3177458F"/>
    <w:rsid w:val="3189708E"/>
    <w:rsid w:val="318B1F3D"/>
    <w:rsid w:val="3193741E"/>
    <w:rsid w:val="3194005A"/>
    <w:rsid w:val="319434F7"/>
    <w:rsid w:val="3194510B"/>
    <w:rsid w:val="31994D00"/>
    <w:rsid w:val="31A65E57"/>
    <w:rsid w:val="31AD16EF"/>
    <w:rsid w:val="31AE660C"/>
    <w:rsid w:val="31B05A1F"/>
    <w:rsid w:val="31B17EF2"/>
    <w:rsid w:val="31D54984"/>
    <w:rsid w:val="31E155AC"/>
    <w:rsid w:val="31E361FB"/>
    <w:rsid w:val="31FC35FB"/>
    <w:rsid w:val="32010D04"/>
    <w:rsid w:val="3202665F"/>
    <w:rsid w:val="320A7836"/>
    <w:rsid w:val="32186725"/>
    <w:rsid w:val="323C3FDE"/>
    <w:rsid w:val="324163CA"/>
    <w:rsid w:val="32427A9A"/>
    <w:rsid w:val="32574FD8"/>
    <w:rsid w:val="325C547C"/>
    <w:rsid w:val="32646DB1"/>
    <w:rsid w:val="326C29F6"/>
    <w:rsid w:val="327B3D21"/>
    <w:rsid w:val="327C3888"/>
    <w:rsid w:val="327E1445"/>
    <w:rsid w:val="3286221A"/>
    <w:rsid w:val="329338D7"/>
    <w:rsid w:val="32945DAC"/>
    <w:rsid w:val="329B3155"/>
    <w:rsid w:val="329C631F"/>
    <w:rsid w:val="32A24DE0"/>
    <w:rsid w:val="32AB0897"/>
    <w:rsid w:val="32AE266E"/>
    <w:rsid w:val="32B638BE"/>
    <w:rsid w:val="32CB3A84"/>
    <w:rsid w:val="32CD7010"/>
    <w:rsid w:val="32CE45BC"/>
    <w:rsid w:val="32D9201A"/>
    <w:rsid w:val="32DD3543"/>
    <w:rsid w:val="32E42D0F"/>
    <w:rsid w:val="32E779A4"/>
    <w:rsid w:val="330D4D94"/>
    <w:rsid w:val="33354DD5"/>
    <w:rsid w:val="33435E16"/>
    <w:rsid w:val="335F11B3"/>
    <w:rsid w:val="337B12FB"/>
    <w:rsid w:val="33846435"/>
    <w:rsid w:val="33992851"/>
    <w:rsid w:val="339C5454"/>
    <w:rsid w:val="33A258FF"/>
    <w:rsid w:val="33AE7DAC"/>
    <w:rsid w:val="33AE7FB3"/>
    <w:rsid w:val="33B1053F"/>
    <w:rsid w:val="33BA507F"/>
    <w:rsid w:val="33D354DF"/>
    <w:rsid w:val="33DD1D83"/>
    <w:rsid w:val="33DF6F7A"/>
    <w:rsid w:val="33E42EF1"/>
    <w:rsid w:val="33F614AE"/>
    <w:rsid w:val="33FC5F9C"/>
    <w:rsid w:val="34005D95"/>
    <w:rsid w:val="340370F4"/>
    <w:rsid w:val="34173060"/>
    <w:rsid w:val="342451AA"/>
    <w:rsid w:val="3425323C"/>
    <w:rsid w:val="34262A2B"/>
    <w:rsid w:val="342E5EA7"/>
    <w:rsid w:val="343E0BAC"/>
    <w:rsid w:val="34474FF1"/>
    <w:rsid w:val="344961AE"/>
    <w:rsid w:val="344B3651"/>
    <w:rsid w:val="34555269"/>
    <w:rsid w:val="346B6657"/>
    <w:rsid w:val="34797C3D"/>
    <w:rsid w:val="34827541"/>
    <w:rsid w:val="348D5209"/>
    <w:rsid w:val="34953EB2"/>
    <w:rsid w:val="34B63281"/>
    <w:rsid w:val="34C105B0"/>
    <w:rsid w:val="34CA39B2"/>
    <w:rsid w:val="34D564C3"/>
    <w:rsid w:val="34DC79C0"/>
    <w:rsid w:val="34E32E56"/>
    <w:rsid w:val="34EC4B86"/>
    <w:rsid w:val="351321CB"/>
    <w:rsid w:val="351B4997"/>
    <w:rsid w:val="35316542"/>
    <w:rsid w:val="35367A72"/>
    <w:rsid w:val="355171EC"/>
    <w:rsid w:val="3558034A"/>
    <w:rsid w:val="355E299F"/>
    <w:rsid w:val="355E6D49"/>
    <w:rsid w:val="35671EE7"/>
    <w:rsid w:val="3572663B"/>
    <w:rsid w:val="357D4C50"/>
    <w:rsid w:val="3591419B"/>
    <w:rsid w:val="35925B04"/>
    <w:rsid w:val="35963717"/>
    <w:rsid w:val="35AB2A03"/>
    <w:rsid w:val="35AF3549"/>
    <w:rsid w:val="35C76B42"/>
    <w:rsid w:val="35CA49CB"/>
    <w:rsid w:val="35DA5213"/>
    <w:rsid w:val="35E542AE"/>
    <w:rsid w:val="35EE7B1B"/>
    <w:rsid w:val="35F65FAD"/>
    <w:rsid w:val="36202050"/>
    <w:rsid w:val="364A7C84"/>
    <w:rsid w:val="36605016"/>
    <w:rsid w:val="366B7A53"/>
    <w:rsid w:val="366D649A"/>
    <w:rsid w:val="368259EE"/>
    <w:rsid w:val="3689301E"/>
    <w:rsid w:val="369C7E5C"/>
    <w:rsid w:val="36A22949"/>
    <w:rsid w:val="36B523AB"/>
    <w:rsid w:val="36C76D40"/>
    <w:rsid w:val="36D75131"/>
    <w:rsid w:val="36F44E23"/>
    <w:rsid w:val="371D2966"/>
    <w:rsid w:val="373062E8"/>
    <w:rsid w:val="375C1AC9"/>
    <w:rsid w:val="37770231"/>
    <w:rsid w:val="37785098"/>
    <w:rsid w:val="377A2F51"/>
    <w:rsid w:val="377E7331"/>
    <w:rsid w:val="379038C8"/>
    <w:rsid w:val="379B1E6C"/>
    <w:rsid w:val="379D002A"/>
    <w:rsid w:val="37A6234C"/>
    <w:rsid w:val="37A907BA"/>
    <w:rsid w:val="37AF1535"/>
    <w:rsid w:val="37B13885"/>
    <w:rsid w:val="37CA63F2"/>
    <w:rsid w:val="37CB57CA"/>
    <w:rsid w:val="37D008E0"/>
    <w:rsid w:val="37D337D1"/>
    <w:rsid w:val="37DD56C2"/>
    <w:rsid w:val="37DE20F8"/>
    <w:rsid w:val="37E731EB"/>
    <w:rsid w:val="37F16302"/>
    <w:rsid w:val="38004D17"/>
    <w:rsid w:val="381B6812"/>
    <w:rsid w:val="38253136"/>
    <w:rsid w:val="38372548"/>
    <w:rsid w:val="384570A4"/>
    <w:rsid w:val="38467A04"/>
    <w:rsid w:val="386B3F4B"/>
    <w:rsid w:val="38747E42"/>
    <w:rsid w:val="38781C56"/>
    <w:rsid w:val="38931748"/>
    <w:rsid w:val="38A140CE"/>
    <w:rsid w:val="38B54C1A"/>
    <w:rsid w:val="38BB4753"/>
    <w:rsid w:val="38C30240"/>
    <w:rsid w:val="38C8796D"/>
    <w:rsid w:val="38CF65F7"/>
    <w:rsid w:val="38D113BF"/>
    <w:rsid w:val="38D30895"/>
    <w:rsid w:val="38D5511D"/>
    <w:rsid w:val="38DB4DD5"/>
    <w:rsid w:val="38E52E0C"/>
    <w:rsid w:val="38E80213"/>
    <w:rsid w:val="38E95212"/>
    <w:rsid w:val="38F3691D"/>
    <w:rsid w:val="3909408E"/>
    <w:rsid w:val="391C1C7A"/>
    <w:rsid w:val="39465968"/>
    <w:rsid w:val="394D1A3B"/>
    <w:rsid w:val="394F4D33"/>
    <w:rsid w:val="39514262"/>
    <w:rsid w:val="395F496C"/>
    <w:rsid w:val="39600E80"/>
    <w:rsid w:val="39803383"/>
    <w:rsid w:val="399A429F"/>
    <w:rsid w:val="399B72BC"/>
    <w:rsid w:val="39A73391"/>
    <w:rsid w:val="39A95A0D"/>
    <w:rsid w:val="39C70EC1"/>
    <w:rsid w:val="39D80C94"/>
    <w:rsid w:val="39E779C9"/>
    <w:rsid w:val="3A01261A"/>
    <w:rsid w:val="3A190439"/>
    <w:rsid w:val="3A1A4CEB"/>
    <w:rsid w:val="3A204DEA"/>
    <w:rsid w:val="3A247020"/>
    <w:rsid w:val="3A34341C"/>
    <w:rsid w:val="3A366570"/>
    <w:rsid w:val="3A41027E"/>
    <w:rsid w:val="3A446ABC"/>
    <w:rsid w:val="3A481E25"/>
    <w:rsid w:val="3A4F03E3"/>
    <w:rsid w:val="3A562007"/>
    <w:rsid w:val="3A632ED3"/>
    <w:rsid w:val="3A693A23"/>
    <w:rsid w:val="3A6F255F"/>
    <w:rsid w:val="3A6F6832"/>
    <w:rsid w:val="3A7431F4"/>
    <w:rsid w:val="3A90237F"/>
    <w:rsid w:val="3AA71752"/>
    <w:rsid w:val="3AAE56BF"/>
    <w:rsid w:val="3AB243A2"/>
    <w:rsid w:val="3AD9763C"/>
    <w:rsid w:val="3AEA7C0F"/>
    <w:rsid w:val="3AEC01AD"/>
    <w:rsid w:val="3B002E8F"/>
    <w:rsid w:val="3B0A7991"/>
    <w:rsid w:val="3B100A85"/>
    <w:rsid w:val="3B107BEE"/>
    <w:rsid w:val="3B18283A"/>
    <w:rsid w:val="3B336F2F"/>
    <w:rsid w:val="3B567019"/>
    <w:rsid w:val="3B5C777B"/>
    <w:rsid w:val="3B691338"/>
    <w:rsid w:val="3B6B36CF"/>
    <w:rsid w:val="3B7076AC"/>
    <w:rsid w:val="3B7579C8"/>
    <w:rsid w:val="3B96787F"/>
    <w:rsid w:val="3BA60160"/>
    <w:rsid w:val="3BB46CD1"/>
    <w:rsid w:val="3BB6128D"/>
    <w:rsid w:val="3BD11411"/>
    <w:rsid w:val="3BD837A5"/>
    <w:rsid w:val="3BE05196"/>
    <w:rsid w:val="3BED4242"/>
    <w:rsid w:val="3BFC12CF"/>
    <w:rsid w:val="3C0000A6"/>
    <w:rsid w:val="3C173EBE"/>
    <w:rsid w:val="3C211702"/>
    <w:rsid w:val="3C2E7AA2"/>
    <w:rsid w:val="3C302F03"/>
    <w:rsid w:val="3C317DDD"/>
    <w:rsid w:val="3C336F35"/>
    <w:rsid w:val="3C3D3F09"/>
    <w:rsid w:val="3C457CDF"/>
    <w:rsid w:val="3C60369F"/>
    <w:rsid w:val="3C61573F"/>
    <w:rsid w:val="3C6E3E60"/>
    <w:rsid w:val="3C742BEB"/>
    <w:rsid w:val="3C744F7F"/>
    <w:rsid w:val="3C857740"/>
    <w:rsid w:val="3C8E02B7"/>
    <w:rsid w:val="3CA732CA"/>
    <w:rsid w:val="3CB004C5"/>
    <w:rsid w:val="3CB35047"/>
    <w:rsid w:val="3CB47F7E"/>
    <w:rsid w:val="3CB603EF"/>
    <w:rsid w:val="3CD00E00"/>
    <w:rsid w:val="3CD82621"/>
    <w:rsid w:val="3CDD69B2"/>
    <w:rsid w:val="3CEA693F"/>
    <w:rsid w:val="3CEF1648"/>
    <w:rsid w:val="3D015E10"/>
    <w:rsid w:val="3D0D0F5F"/>
    <w:rsid w:val="3D0D55A5"/>
    <w:rsid w:val="3D187CD8"/>
    <w:rsid w:val="3D324998"/>
    <w:rsid w:val="3D354C10"/>
    <w:rsid w:val="3D475AFB"/>
    <w:rsid w:val="3D4A4707"/>
    <w:rsid w:val="3D4C43AF"/>
    <w:rsid w:val="3D502422"/>
    <w:rsid w:val="3D5275CE"/>
    <w:rsid w:val="3D5404DD"/>
    <w:rsid w:val="3D5941EB"/>
    <w:rsid w:val="3D5C2503"/>
    <w:rsid w:val="3D6341E4"/>
    <w:rsid w:val="3D6A48AA"/>
    <w:rsid w:val="3D6D23E3"/>
    <w:rsid w:val="3D7B064A"/>
    <w:rsid w:val="3D7C1281"/>
    <w:rsid w:val="3D821B83"/>
    <w:rsid w:val="3D8D1DDC"/>
    <w:rsid w:val="3D8E6A74"/>
    <w:rsid w:val="3D995C7E"/>
    <w:rsid w:val="3DA61EAB"/>
    <w:rsid w:val="3DB60CC1"/>
    <w:rsid w:val="3DBA29C6"/>
    <w:rsid w:val="3DCE2E82"/>
    <w:rsid w:val="3DD2333F"/>
    <w:rsid w:val="3DEC316F"/>
    <w:rsid w:val="3E000E38"/>
    <w:rsid w:val="3E037731"/>
    <w:rsid w:val="3E0B7563"/>
    <w:rsid w:val="3E0F09D9"/>
    <w:rsid w:val="3E1646C1"/>
    <w:rsid w:val="3E247488"/>
    <w:rsid w:val="3E305EE4"/>
    <w:rsid w:val="3E3248D0"/>
    <w:rsid w:val="3E360DF6"/>
    <w:rsid w:val="3E3D25F5"/>
    <w:rsid w:val="3E4E6762"/>
    <w:rsid w:val="3E536D63"/>
    <w:rsid w:val="3E5F5CBB"/>
    <w:rsid w:val="3E616BAF"/>
    <w:rsid w:val="3E6D2C21"/>
    <w:rsid w:val="3E70166E"/>
    <w:rsid w:val="3E752011"/>
    <w:rsid w:val="3E777661"/>
    <w:rsid w:val="3E8270FA"/>
    <w:rsid w:val="3E8D543F"/>
    <w:rsid w:val="3E8E2505"/>
    <w:rsid w:val="3E8F0C9A"/>
    <w:rsid w:val="3E9953AC"/>
    <w:rsid w:val="3E9D3F84"/>
    <w:rsid w:val="3E9F3605"/>
    <w:rsid w:val="3EA80B63"/>
    <w:rsid w:val="3EAF142E"/>
    <w:rsid w:val="3EB41061"/>
    <w:rsid w:val="3ECE3724"/>
    <w:rsid w:val="3ED14F5F"/>
    <w:rsid w:val="3EEC1C8D"/>
    <w:rsid w:val="3EF15A07"/>
    <w:rsid w:val="3EFC4AE4"/>
    <w:rsid w:val="3F0C0C5D"/>
    <w:rsid w:val="3F152EE5"/>
    <w:rsid w:val="3F1C492B"/>
    <w:rsid w:val="3F2940A4"/>
    <w:rsid w:val="3F310E2B"/>
    <w:rsid w:val="3F3E5B85"/>
    <w:rsid w:val="3F4D19AF"/>
    <w:rsid w:val="3F691A99"/>
    <w:rsid w:val="3F814700"/>
    <w:rsid w:val="3F837DDF"/>
    <w:rsid w:val="3F8B7DD4"/>
    <w:rsid w:val="3F901403"/>
    <w:rsid w:val="3FA21405"/>
    <w:rsid w:val="3FA67914"/>
    <w:rsid w:val="3FA96E5D"/>
    <w:rsid w:val="3FC04528"/>
    <w:rsid w:val="3FC379D7"/>
    <w:rsid w:val="3FCB012B"/>
    <w:rsid w:val="3FD00447"/>
    <w:rsid w:val="3FD201AD"/>
    <w:rsid w:val="3FD27B2E"/>
    <w:rsid w:val="3FE71238"/>
    <w:rsid w:val="3FEE1DE8"/>
    <w:rsid w:val="3FFE5EFF"/>
    <w:rsid w:val="40171145"/>
    <w:rsid w:val="402104DC"/>
    <w:rsid w:val="402D3537"/>
    <w:rsid w:val="403075F2"/>
    <w:rsid w:val="40395203"/>
    <w:rsid w:val="40480E8F"/>
    <w:rsid w:val="404D32CE"/>
    <w:rsid w:val="40505868"/>
    <w:rsid w:val="40662C29"/>
    <w:rsid w:val="40742438"/>
    <w:rsid w:val="40791098"/>
    <w:rsid w:val="40932E75"/>
    <w:rsid w:val="409865C2"/>
    <w:rsid w:val="409F0717"/>
    <w:rsid w:val="40A70377"/>
    <w:rsid w:val="40A97C8F"/>
    <w:rsid w:val="40BC5D67"/>
    <w:rsid w:val="40CA2A6E"/>
    <w:rsid w:val="40CC7CA3"/>
    <w:rsid w:val="40D775A2"/>
    <w:rsid w:val="40DC23A0"/>
    <w:rsid w:val="40EE33BE"/>
    <w:rsid w:val="40F436BC"/>
    <w:rsid w:val="40F61783"/>
    <w:rsid w:val="4100601D"/>
    <w:rsid w:val="410D75D5"/>
    <w:rsid w:val="411A76EB"/>
    <w:rsid w:val="411E3000"/>
    <w:rsid w:val="41402C24"/>
    <w:rsid w:val="414E7345"/>
    <w:rsid w:val="41546D3E"/>
    <w:rsid w:val="41591FEE"/>
    <w:rsid w:val="41696F7F"/>
    <w:rsid w:val="416A086A"/>
    <w:rsid w:val="416C21F9"/>
    <w:rsid w:val="417240B9"/>
    <w:rsid w:val="417C0D06"/>
    <w:rsid w:val="417C577C"/>
    <w:rsid w:val="418455DA"/>
    <w:rsid w:val="418B25AA"/>
    <w:rsid w:val="418D33B3"/>
    <w:rsid w:val="418E56CE"/>
    <w:rsid w:val="419032ED"/>
    <w:rsid w:val="41925E9B"/>
    <w:rsid w:val="419B0F19"/>
    <w:rsid w:val="419B1BC4"/>
    <w:rsid w:val="419D5169"/>
    <w:rsid w:val="419D7C05"/>
    <w:rsid w:val="41A33A51"/>
    <w:rsid w:val="41A46863"/>
    <w:rsid w:val="41A739EA"/>
    <w:rsid w:val="41B3371C"/>
    <w:rsid w:val="41B4302C"/>
    <w:rsid w:val="41CC67E1"/>
    <w:rsid w:val="41DA3C01"/>
    <w:rsid w:val="41E3266D"/>
    <w:rsid w:val="41E5665C"/>
    <w:rsid w:val="41E70FD1"/>
    <w:rsid w:val="41F604FA"/>
    <w:rsid w:val="41FE6085"/>
    <w:rsid w:val="420068F9"/>
    <w:rsid w:val="42013C9E"/>
    <w:rsid w:val="420F24CA"/>
    <w:rsid w:val="421C0994"/>
    <w:rsid w:val="42475B19"/>
    <w:rsid w:val="424F02B6"/>
    <w:rsid w:val="42523372"/>
    <w:rsid w:val="42672C44"/>
    <w:rsid w:val="42683145"/>
    <w:rsid w:val="427133C0"/>
    <w:rsid w:val="42715180"/>
    <w:rsid w:val="4277762F"/>
    <w:rsid w:val="428E0BFE"/>
    <w:rsid w:val="429D7D7D"/>
    <w:rsid w:val="42B06FDD"/>
    <w:rsid w:val="42B23DF0"/>
    <w:rsid w:val="42B45768"/>
    <w:rsid w:val="42D60862"/>
    <w:rsid w:val="42DD46A8"/>
    <w:rsid w:val="42DD7341"/>
    <w:rsid w:val="42E637C3"/>
    <w:rsid w:val="42E90AC3"/>
    <w:rsid w:val="42FD1410"/>
    <w:rsid w:val="430C488E"/>
    <w:rsid w:val="43184FA0"/>
    <w:rsid w:val="431F563A"/>
    <w:rsid w:val="432151DF"/>
    <w:rsid w:val="43277346"/>
    <w:rsid w:val="432A3E0D"/>
    <w:rsid w:val="432D0CD2"/>
    <w:rsid w:val="4338356A"/>
    <w:rsid w:val="433E24EE"/>
    <w:rsid w:val="43412F21"/>
    <w:rsid w:val="4348259E"/>
    <w:rsid w:val="434C0977"/>
    <w:rsid w:val="434D5EB2"/>
    <w:rsid w:val="43604502"/>
    <w:rsid w:val="436D2D59"/>
    <w:rsid w:val="43705840"/>
    <w:rsid w:val="437E6752"/>
    <w:rsid w:val="43803823"/>
    <w:rsid w:val="438369F4"/>
    <w:rsid w:val="43885FA8"/>
    <w:rsid w:val="438D2FF7"/>
    <w:rsid w:val="43972914"/>
    <w:rsid w:val="43AF6845"/>
    <w:rsid w:val="43C54950"/>
    <w:rsid w:val="43CC31B4"/>
    <w:rsid w:val="43CC79E5"/>
    <w:rsid w:val="43D44FF8"/>
    <w:rsid w:val="441557E3"/>
    <w:rsid w:val="44226F3F"/>
    <w:rsid w:val="4425659D"/>
    <w:rsid w:val="44286453"/>
    <w:rsid w:val="44371554"/>
    <w:rsid w:val="444B4817"/>
    <w:rsid w:val="444C54FC"/>
    <w:rsid w:val="444F2685"/>
    <w:rsid w:val="445451D4"/>
    <w:rsid w:val="44615639"/>
    <w:rsid w:val="44762FC6"/>
    <w:rsid w:val="44807EEA"/>
    <w:rsid w:val="4488431A"/>
    <w:rsid w:val="448F5706"/>
    <w:rsid w:val="44944331"/>
    <w:rsid w:val="449A539D"/>
    <w:rsid w:val="44A538D4"/>
    <w:rsid w:val="44B05905"/>
    <w:rsid w:val="44B52F8D"/>
    <w:rsid w:val="44B67F0B"/>
    <w:rsid w:val="44BB1103"/>
    <w:rsid w:val="44E81308"/>
    <w:rsid w:val="451317C4"/>
    <w:rsid w:val="45146D13"/>
    <w:rsid w:val="45252A65"/>
    <w:rsid w:val="45575AD5"/>
    <w:rsid w:val="455907EE"/>
    <w:rsid w:val="456B0823"/>
    <w:rsid w:val="457E0115"/>
    <w:rsid w:val="459B774E"/>
    <w:rsid w:val="45B62EC6"/>
    <w:rsid w:val="45B72AB1"/>
    <w:rsid w:val="45BA079F"/>
    <w:rsid w:val="45C13698"/>
    <w:rsid w:val="45C93D8C"/>
    <w:rsid w:val="45CC0EF3"/>
    <w:rsid w:val="45CC763D"/>
    <w:rsid w:val="45CF5AD4"/>
    <w:rsid w:val="45D61E17"/>
    <w:rsid w:val="45DD06D9"/>
    <w:rsid w:val="460D21F2"/>
    <w:rsid w:val="460E0469"/>
    <w:rsid w:val="460E0A15"/>
    <w:rsid w:val="4611445F"/>
    <w:rsid w:val="46146FE1"/>
    <w:rsid w:val="461909E8"/>
    <w:rsid w:val="462E79C9"/>
    <w:rsid w:val="4635298E"/>
    <w:rsid w:val="46355D58"/>
    <w:rsid w:val="463C04FA"/>
    <w:rsid w:val="464050BB"/>
    <w:rsid w:val="46405C21"/>
    <w:rsid w:val="46561BD8"/>
    <w:rsid w:val="465C4E3B"/>
    <w:rsid w:val="466B6702"/>
    <w:rsid w:val="466F037A"/>
    <w:rsid w:val="46725A79"/>
    <w:rsid w:val="467737E1"/>
    <w:rsid w:val="467C180C"/>
    <w:rsid w:val="468B577B"/>
    <w:rsid w:val="46A075FA"/>
    <w:rsid w:val="46A359DC"/>
    <w:rsid w:val="46A54FB3"/>
    <w:rsid w:val="46C826C3"/>
    <w:rsid w:val="46D040D1"/>
    <w:rsid w:val="46D47B0B"/>
    <w:rsid w:val="46D7121E"/>
    <w:rsid w:val="46E07671"/>
    <w:rsid w:val="46F84FBA"/>
    <w:rsid w:val="46FF57CE"/>
    <w:rsid w:val="47154F60"/>
    <w:rsid w:val="47162E3C"/>
    <w:rsid w:val="47476572"/>
    <w:rsid w:val="47700BCB"/>
    <w:rsid w:val="47727F60"/>
    <w:rsid w:val="47732DB6"/>
    <w:rsid w:val="47763121"/>
    <w:rsid w:val="478601BF"/>
    <w:rsid w:val="47B41393"/>
    <w:rsid w:val="47B94CE5"/>
    <w:rsid w:val="47C254B8"/>
    <w:rsid w:val="47DF082A"/>
    <w:rsid w:val="47EB5003"/>
    <w:rsid w:val="48081128"/>
    <w:rsid w:val="480D3EC3"/>
    <w:rsid w:val="48144FED"/>
    <w:rsid w:val="481E0B19"/>
    <w:rsid w:val="482B26B0"/>
    <w:rsid w:val="483A31DC"/>
    <w:rsid w:val="483B02D3"/>
    <w:rsid w:val="48440530"/>
    <w:rsid w:val="484715CC"/>
    <w:rsid w:val="484F6870"/>
    <w:rsid w:val="485D476D"/>
    <w:rsid w:val="485D616F"/>
    <w:rsid w:val="4873370F"/>
    <w:rsid w:val="487C4980"/>
    <w:rsid w:val="48942C25"/>
    <w:rsid w:val="4898666C"/>
    <w:rsid w:val="489B75DE"/>
    <w:rsid w:val="489C2DFD"/>
    <w:rsid w:val="489F44D2"/>
    <w:rsid w:val="48A82C22"/>
    <w:rsid w:val="48A85054"/>
    <w:rsid w:val="48AB4379"/>
    <w:rsid w:val="48B5305A"/>
    <w:rsid w:val="48B63FE7"/>
    <w:rsid w:val="48C71061"/>
    <w:rsid w:val="48CC7D6E"/>
    <w:rsid w:val="48DD5408"/>
    <w:rsid w:val="48EB5A5C"/>
    <w:rsid w:val="4903538A"/>
    <w:rsid w:val="490B579F"/>
    <w:rsid w:val="491F0291"/>
    <w:rsid w:val="4920208E"/>
    <w:rsid w:val="492A1C6E"/>
    <w:rsid w:val="492B563D"/>
    <w:rsid w:val="492C7D33"/>
    <w:rsid w:val="4938162F"/>
    <w:rsid w:val="493A79B5"/>
    <w:rsid w:val="495061AF"/>
    <w:rsid w:val="49575C03"/>
    <w:rsid w:val="495E78EB"/>
    <w:rsid w:val="4969605D"/>
    <w:rsid w:val="496D1F2A"/>
    <w:rsid w:val="4974087A"/>
    <w:rsid w:val="497A3E68"/>
    <w:rsid w:val="497C7394"/>
    <w:rsid w:val="498A3B85"/>
    <w:rsid w:val="498B65AB"/>
    <w:rsid w:val="49AE3287"/>
    <w:rsid w:val="49C65C46"/>
    <w:rsid w:val="49D021B0"/>
    <w:rsid w:val="49D61F4B"/>
    <w:rsid w:val="49D7375C"/>
    <w:rsid w:val="49E81BC9"/>
    <w:rsid w:val="49EC64E1"/>
    <w:rsid w:val="4A11668C"/>
    <w:rsid w:val="4A220874"/>
    <w:rsid w:val="4A3546EB"/>
    <w:rsid w:val="4A443774"/>
    <w:rsid w:val="4A4A48A6"/>
    <w:rsid w:val="4A506B41"/>
    <w:rsid w:val="4A524812"/>
    <w:rsid w:val="4A526073"/>
    <w:rsid w:val="4A56215E"/>
    <w:rsid w:val="4A5D4A40"/>
    <w:rsid w:val="4A63534F"/>
    <w:rsid w:val="4A650700"/>
    <w:rsid w:val="4A6C1B50"/>
    <w:rsid w:val="4A7E40F2"/>
    <w:rsid w:val="4A8561F1"/>
    <w:rsid w:val="4A8D25E3"/>
    <w:rsid w:val="4A943BC6"/>
    <w:rsid w:val="4A977A4A"/>
    <w:rsid w:val="4AA30352"/>
    <w:rsid w:val="4AAF17A9"/>
    <w:rsid w:val="4ABA7840"/>
    <w:rsid w:val="4AE623A4"/>
    <w:rsid w:val="4AE74F60"/>
    <w:rsid w:val="4AFF5CC6"/>
    <w:rsid w:val="4B1D3A51"/>
    <w:rsid w:val="4B280F1E"/>
    <w:rsid w:val="4B2B3281"/>
    <w:rsid w:val="4B2D7893"/>
    <w:rsid w:val="4B3D4E30"/>
    <w:rsid w:val="4B3E3461"/>
    <w:rsid w:val="4B411E5A"/>
    <w:rsid w:val="4B413D26"/>
    <w:rsid w:val="4B6B6050"/>
    <w:rsid w:val="4B6F51B5"/>
    <w:rsid w:val="4B8B446D"/>
    <w:rsid w:val="4B8F6756"/>
    <w:rsid w:val="4BA324C2"/>
    <w:rsid w:val="4BB317A2"/>
    <w:rsid w:val="4BB560B3"/>
    <w:rsid w:val="4BC27F8D"/>
    <w:rsid w:val="4BC94C3B"/>
    <w:rsid w:val="4BC97047"/>
    <w:rsid w:val="4BCC6CCE"/>
    <w:rsid w:val="4BE44E6C"/>
    <w:rsid w:val="4BF446B8"/>
    <w:rsid w:val="4C003E2A"/>
    <w:rsid w:val="4C061338"/>
    <w:rsid w:val="4C061EF7"/>
    <w:rsid w:val="4C0B535F"/>
    <w:rsid w:val="4C0E0CF8"/>
    <w:rsid w:val="4C323172"/>
    <w:rsid w:val="4C497215"/>
    <w:rsid w:val="4C4F5F99"/>
    <w:rsid w:val="4C5474C5"/>
    <w:rsid w:val="4C5D0817"/>
    <w:rsid w:val="4C5E08E0"/>
    <w:rsid w:val="4C64487E"/>
    <w:rsid w:val="4C6B0365"/>
    <w:rsid w:val="4C7C64A4"/>
    <w:rsid w:val="4C9953D8"/>
    <w:rsid w:val="4C9C0858"/>
    <w:rsid w:val="4C9E0D0B"/>
    <w:rsid w:val="4CBF4AE9"/>
    <w:rsid w:val="4CCA7CF8"/>
    <w:rsid w:val="4CCC299D"/>
    <w:rsid w:val="4CCE1B7D"/>
    <w:rsid w:val="4D0A349B"/>
    <w:rsid w:val="4D0D2E78"/>
    <w:rsid w:val="4D0F04ED"/>
    <w:rsid w:val="4D164C7E"/>
    <w:rsid w:val="4D1749B6"/>
    <w:rsid w:val="4D283FC5"/>
    <w:rsid w:val="4D384A7C"/>
    <w:rsid w:val="4D3A0411"/>
    <w:rsid w:val="4D413BC0"/>
    <w:rsid w:val="4D427C91"/>
    <w:rsid w:val="4D7706F2"/>
    <w:rsid w:val="4D845711"/>
    <w:rsid w:val="4D8A02B7"/>
    <w:rsid w:val="4D8E4163"/>
    <w:rsid w:val="4D951C4E"/>
    <w:rsid w:val="4DB66082"/>
    <w:rsid w:val="4DBE12C2"/>
    <w:rsid w:val="4DCE6ED3"/>
    <w:rsid w:val="4DD41DFF"/>
    <w:rsid w:val="4DEF3575"/>
    <w:rsid w:val="4DF46CF3"/>
    <w:rsid w:val="4E095444"/>
    <w:rsid w:val="4E0E40E2"/>
    <w:rsid w:val="4E333BBB"/>
    <w:rsid w:val="4E346342"/>
    <w:rsid w:val="4E4E04E5"/>
    <w:rsid w:val="4E665F7B"/>
    <w:rsid w:val="4E6A06E9"/>
    <w:rsid w:val="4E707407"/>
    <w:rsid w:val="4E715DB2"/>
    <w:rsid w:val="4E776B87"/>
    <w:rsid w:val="4E795FFF"/>
    <w:rsid w:val="4E8E5857"/>
    <w:rsid w:val="4EC206BE"/>
    <w:rsid w:val="4EC31543"/>
    <w:rsid w:val="4EC46EFB"/>
    <w:rsid w:val="4EC7194E"/>
    <w:rsid w:val="4EC951FF"/>
    <w:rsid w:val="4ED04B02"/>
    <w:rsid w:val="4ED346CC"/>
    <w:rsid w:val="4EDD6EFA"/>
    <w:rsid w:val="4EE96853"/>
    <w:rsid w:val="4EEF4121"/>
    <w:rsid w:val="4F105F02"/>
    <w:rsid w:val="4F121BEA"/>
    <w:rsid w:val="4F172396"/>
    <w:rsid w:val="4F1D4181"/>
    <w:rsid w:val="4F3F03C1"/>
    <w:rsid w:val="4F4C2971"/>
    <w:rsid w:val="4F566ACF"/>
    <w:rsid w:val="4F6C2ECB"/>
    <w:rsid w:val="4F704BBC"/>
    <w:rsid w:val="4F8028EE"/>
    <w:rsid w:val="4F8435B4"/>
    <w:rsid w:val="4F854761"/>
    <w:rsid w:val="4F8C7DDC"/>
    <w:rsid w:val="4FAD0DF7"/>
    <w:rsid w:val="4FBC1F04"/>
    <w:rsid w:val="4FBD361C"/>
    <w:rsid w:val="4FBE1CEA"/>
    <w:rsid w:val="4FC15F00"/>
    <w:rsid w:val="4FF17370"/>
    <w:rsid w:val="4FF77C61"/>
    <w:rsid w:val="5003418D"/>
    <w:rsid w:val="50037C0C"/>
    <w:rsid w:val="500F51F9"/>
    <w:rsid w:val="50200CEA"/>
    <w:rsid w:val="502A7546"/>
    <w:rsid w:val="502E1CFA"/>
    <w:rsid w:val="50344D97"/>
    <w:rsid w:val="50371519"/>
    <w:rsid w:val="503D6ACE"/>
    <w:rsid w:val="50447CE3"/>
    <w:rsid w:val="504570EB"/>
    <w:rsid w:val="505A0A75"/>
    <w:rsid w:val="505B05E7"/>
    <w:rsid w:val="507521C1"/>
    <w:rsid w:val="50753DB9"/>
    <w:rsid w:val="509E2BD3"/>
    <w:rsid w:val="50B106C4"/>
    <w:rsid w:val="50BC2B88"/>
    <w:rsid w:val="50C04426"/>
    <w:rsid w:val="50C7518D"/>
    <w:rsid w:val="50C95413"/>
    <w:rsid w:val="50CA4969"/>
    <w:rsid w:val="50CA58C9"/>
    <w:rsid w:val="50ED0D36"/>
    <w:rsid w:val="50F462DA"/>
    <w:rsid w:val="510B317F"/>
    <w:rsid w:val="51130AD6"/>
    <w:rsid w:val="51147068"/>
    <w:rsid w:val="511B4097"/>
    <w:rsid w:val="51216FB7"/>
    <w:rsid w:val="512452DA"/>
    <w:rsid w:val="5125611E"/>
    <w:rsid w:val="512E023D"/>
    <w:rsid w:val="513764DE"/>
    <w:rsid w:val="514C3C7B"/>
    <w:rsid w:val="515029F4"/>
    <w:rsid w:val="515B22B5"/>
    <w:rsid w:val="51777BA1"/>
    <w:rsid w:val="517A1ADB"/>
    <w:rsid w:val="517C1302"/>
    <w:rsid w:val="51901189"/>
    <w:rsid w:val="51907785"/>
    <w:rsid w:val="51952A88"/>
    <w:rsid w:val="51B23F17"/>
    <w:rsid w:val="51B661F2"/>
    <w:rsid w:val="51BB2EED"/>
    <w:rsid w:val="51D620B0"/>
    <w:rsid w:val="51E51BA8"/>
    <w:rsid w:val="51EE27E3"/>
    <w:rsid w:val="52040DD8"/>
    <w:rsid w:val="52101F45"/>
    <w:rsid w:val="52125E5B"/>
    <w:rsid w:val="5213342A"/>
    <w:rsid w:val="52163344"/>
    <w:rsid w:val="5216472B"/>
    <w:rsid w:val="52217FFE"/>
    <w:rsid w:val="5224307A"/>
    <w:rsid w:val="5234477C"/>
    <w:rsid w:val="523449CA"/>
    <w:rsid w:val="52475C9F"/>
    <w:rsid w:val="52515077"/>
    <w:rsid w:val="525A327C"/>
    <w:rsid w:val="526C3669"/>
    <w:rsid w:val="52806E8B"/>
    <w:rsid w:val="528F3F78"/>
    <w:rsid w:val="52A84489"/>
    <w:rsid w:val="52B118DE"/>
    <w:rsid w:val="52B80D5E"/>
    <w:rsid w:val="52BF77E0"/>
    <w:rsid w:val="52C52078"/>
    <w:rsid w:val="52CB6EC0"/>
    <w:rsid w:val="52D061DA"/>
    <w:rsid w:val="52D211F8"/>
    <w:rsid w:val="52E6495A"/>
    <w:rsid w:val="52F26F28"/>
    <w:rsid w:val="52F6796A"/>
    <w:rsid w:val="53031E61"/>
    <w:rsid w:val="5315442E"/>
    <w:rsid w:val="533907AA"/>
    <w:rsid w:val="5341530E"/>
    <w:rsid w:val="534326DA"/>
    <w:rsid w:val="53434396"/>
    <w:rsid w:val="534D112E"/>
    <w:rsid w:val="535F15E8"/>
    <w:rsid w:val="53654967"/>
    <w:rsid w:val="53761C93"/>
    <w:rsid w:val="537B0A8C"/>
    <w:rsid w:val="538B1A6A"/>
    <w:rsid w:val="5393301A"/>
    <w:rsid w:val="53971518"/>
    <w:rsid w:val="5399073D"/>
    <w:rsid w:val="53991DE0"/>
    <w:rsid w:val="539C05E4"/>
    <w:rsid w:val="539E3677"/>
    <w:rsid w:val="53A84C2D"/>
    <w:rsid w:val="53AB2CD5"/>
    <w:rsid w:val="53AF23D8"/>
    <w:rsid w:val="53B31343"/>
    <w:rsid w:val="53B91D8C"/>
    <w:rsid w:val="53CA7A82"/>
    <w:rsid w:val="53CE2D5A"/>
    <w:rsid w:val="53D82514"/>
    <w:rsid w:val="53E56E6E"/>
    <w:rsid w:val="53EB2495"/>
    <w:rsid w:val="53F17662"/>
    <w:rsid w:val="54010C17"/>
    <w:rsid w:val="540366C1"/>
    <w:rsid w:val="540459D3"/>
    <w:rsid w:val="540522B5"/>
    <w:rsid w:val="542406F9"/>
    <w:rsid w:val="54283548"/>
    <w:rsid w:val="542C2C82"/>
    <w:rsid w:val="543F012A"/>
    <w:rsid w:val="545F1D05"/>
    <w:rsid w:val="546136C7"/>
    <w:rsid w:val="54635F00"/>
    <w:rsid w:val="54661F54"/>
    <w:rsid w:val="546C3F2D"/>
    <w:rsid w:val="547F46DA"/>
    <w:rsid w:val="54944893"/>
    <w:rsid w:val="549F75FE"/>
    <w:rsid w:val="54A51CC5"/>
    <w:rsid w:val="54AF6C60"/>
    <w:rsid w:val="54B52F94"/>
    <w:rsid w:val="54BD36E4"/>
    <w:rsid w:val="54C547A5"/>
    <w:rsid w:val="54D05C30"/>
    <w:rsid w:val="54DD78BD"/>
    <w:rsid w:val="54E06144"/>
    <w:rsid w:val="54E5258C"/>
    <w:rsid w:val="54F52367"/>
    <w:rsid w:val="550A393D"/>
    <w:rsid w:val="5525121F"/>
    <w:rsid w:val="555900AE"/>
    <w:rsid w:val="555B6E77"/>
    <w:rsid w:val="555E09D9"/>
    <w:rsid w:val="555E54FB"/>
    <w:rsid w:val="556848E1"/>
    <w:rsid w:val="556B7B91"/>
    <w:rsid w:val="556D2811"/>
    <w:rsid w:val="55767F46"/>
    <w:rsid w:val="557821AC"/>
    <w:rsid w:val="55BF5B90"/>
    <w:rsid w:val="55CE1AD5"/>
    <w:rsid w:val="55E206FC"/>
    <w:rsid w:val="55ED37B8"/>
    <w:rsid w:val="55F04C52"/>
    <w:rsid w:val="55F35D23"/>
    <w:rsid w:val="560E1061"/>
    <w:rsid w:val="56281CBC"/>
    <w:rsid w:val="562878FA"/>
    <w:rsid w:val="56333685"/>
    <w:rsid w:val="56540424"/>
    <w:rsid w:val="567466BA"/>
    <w:rsid w:val="567B7B50"/>
    <w:rsid w:val="568F0DF7"/>
    <w:rsid w:val="56A332D5"/>
    <w:rsid w:val="56AD59C6"/>
    <w:rsid w:val="56B85F25"/>
    <w:rsid w:val="56C325A5"/>
    <w:rsid w:val="56C4174F"/>
    <w:rsid w:val="56E326CF"/>
    <w:rsid w:val="56E709F8"/>
    <w:rsid w:val="56EC573B"/>
    <w:rsid w:val="56F10A56"/>
    <w:rsid w:val="56FB32FA"/>
    <w:rsid w:val="570703AF"/>
    <w:rsid w:val="572D602C"/>
    <w:rsid w:val="573221A2"/>
    <w:rsid w:val="57364D30"/>
    <w:rsid w:val="573D71D1"/>
    <w:rsid w:val="574878D2"/>
    <w:rsid w:val="57574216"/>
    <w:rsid w:val="57611DCD"/>
    <w:rsid w:val="57636B03"/>
    <w:rsid w:val="57722EB4"/>
    <w:rsid w:val="5792740A"/>
    <w:rsid w:val="57A21363"/>
    <w:rsid w:val="57A54C20"/>
    <w:rsid w:val="57A71406"/>
    <w:rsid w:val="57AC21FD"/>
    <w:rsid w:val="57B06D46"/>
    <w:rsid w:val="57B937A9"/>
    <w:rsid w:val="57BB4E50"/>
    <w:rsid w:val="57C34B39"/>
    <w:rsid w:val="57C94F80"/>
    <w:rsid w:val="57DE1F69"/>
    <w:rsid w:val="57E116B4"/>
    <w:rsid w:val="58097EA5"/>
    <w:rsid w:val="580C0140"/>
    <w:rsid w:val="580F431F"/>
    <w:rsid w:val="58100035"/>
    <w:rsid w:val="5846168C"/>
    <w:rsid w:val="587B6F7C"/>
    <w:rsid w:val="588D5412"/>
    <w:rsid w:val="58A22BE9"/>
    <w:rsid w:val="58BD6FD7"/>
    <w:rsid w:val="58C72E10"/>
    <w:rsid w:val="58DB6137"/>
    <w:rsid w:val="58E44026"/>
    <w:rsid w:val="58E67C57"/>
    <w:rsid w:val="58E94F10"/>
    <w:rsid w:val="58F965E6"/>
    <w:rsid w:val="58FA15B8"/>
    <w:rsid w:val="58FF06B6"/>
    <w:rsid w:val="59046596"/>
    <w:rsid w:val="591C3F4A"/>
    <w:rsid w:val="591F1CBF"/>
    <w:rsid w:val="592859C8"/>
    <w:rsid w:val="593E6CC6"/>
    <w:rsid w:val="59404EE0"/>
    <w:rsid w:val="594170C2"/>
    <w:rsid w:val="594B0A62"/>
    <w:rsid w:val="594E1B0E"/>
    <w:rsid w:val="594F32F2"/>
    <w:rsid w:val="595461B1"/>
    <w:rsid w:val="59591BB8"/>
    <w:rsid w:val="595C743E"/>
    <w:rsid w:val="595E1551"/>
    <w:rsid w:val="59760077"/>
    <w:rsid w:val="59820786"/>
    <w:rsid w:val="59A774F2"/>
    <w:rsid w:val="59AD15AB"/>
    <w:rsid w:val="59B2781D"/>
    <w:rsid w:val="59B41A62"/>
    <w:rsid w:val="59BC5C03"/>
    <w:rsid w:val="59BE115B"/>
    <w:rsid w:val="59CE313C"/>
    <w:rsid w:val="59E474BD"/>
    <w:rsid w:val="59E869EC"/>
    <w:rsid w:val="59FC6B89"/>
    <w:rsid w:val="5A057FD1"/>
    <w:rsid w:val="5A143012"/>
    <w:rsid w:val="5A1530F9"/>
    <w:rsid w:val="5A261D0E"/>
    <w:rsid w:val="5A2907FC"/>
    <w:rsid w:val="5A2E6A84"/>
    <w:rsid w:val="5A3B0F06"/>
    <w:rsid w:val="5A412A61"/>
    <w:rsid w:val="5A4752E2"/>
    <w:rsid w:val="5A527BDD"/>
    <w:rsid w:val="5A6D3A47"/>
    <w:rsid w:val="5A7A7F4C"/>
    <w:rsid w:val="5A7D1253"/>
    <w:rsid w:val="5A850E4C"/>
    <w:rsid w:val="5A905E59"/>
    <w:rsid w:val="5A9311E7"/>
    <w:rsid w:val="5A95316F"/>
    <w:rsid w:val="5AA72593"/>
    <w:rsid w:val="5AA9358C"/>
    <w:rsid w:val="5AD0373D"/>
    <w:rsid w:val="5AF46A20"/>
    <w:rsid w:val="5AF502E2"/>
    <w:rsid w:val="5AF81B7B"/>
    <w:rsid w:val="5AF86253"/>
    <w:rsid w:val="5AF91E46"/>
    <w:rsid w:val="5AFB1569"/>
    <w:rsid w:val="5B047A73"/>
    <w:rsid w:val="5B081862"/>
    <w:rsid w:val="5B0836C5"/>
    <w:rsid w:val="5B0A0B9B"/>
    <w:rsid w:val="5B1140FC"/>
    <w:rsid w:val="5B1C3DCA"/>
    <w:rsid w:val="5B1F176B"/>
    <w:rsid w:val="5B24355B"/>
    <w:rsid w:val="5B2D01BB"/>
    <w:rsid w:val="5B340596"/>
    <w:rsid w:val="5B3F26B3"/>
    <w:rsid w:val="5B467F94"/>
    <w:rsid w:val="5B491028"/>
    <w:rsid w:val="5B4B70AC"/>
    <w:rsid w:val="5B683606"/>
    <w:rsid w:val="5B7D4C61"/>
    <w:rsid w:val="5B7E3A81"/>
    <w:rsid w:val="5B850F8B"/>
    <w:rsid w:val="5B8A7522"/>
    <w:rsid w:val="5B946B5D"/>
    <w:rsid w:val="5B966752"/>
    <w:rsid w:val="5BA53E1C"/>
    <w:rsid w:val="5BA92AAB"/>
    <w:rsid w:val="5BAB0B2E"/>
    <w:rsid w:val="5BB41290"/>
    <w:rsid w:val="5BC22B58"/>
    <w:rsid w:val="5BC50503"/>
    <w:rsid w:val="5BCC4827"/>
    <w:rsid w:val="5BCD464A"/>
    <w:rsid w:val="5BF50EB6"/>
    <w:rsid w:val="5BF92128"/>
    <w:rsid w:val="5BFA7DB5"/>
    <w:rsid w:val="5BFB1F01"/>
    <w:rsid w:val="5C075DA6"/>
    <w:rsid w:val="5C162620"/>
    <w:rsid w:val="5C1D7D30"/>
    <w:rsid w:val="5C275BD4"/>
    <w:rsid w:val="5C491EC9"/>
    <w:rsid w:val="5C4B16FD"/>
    <w:rsid w:val="5C4F2E18"/>
    <w:rsid w:val="5C5028D7"/>
    <w:rsid w:val="5C6D1904"/>
    <w:rsid w:val="5C703E21"/>
    <w:rsid w:val="5C7370A0"/>
    <w:rsid w:val="5C790A6A"/>
    <w:rsid w:val="5C81109C"/>
    <w:rsid w:val="5C922FEE"/>
    <w:rsid w:val="5C9E10E9"/>
    <w:rsid w:val="5C9E40DE"/>
    <w:rsid w:val="5CA11D7F"/>
    <w:rsid w:val="5CAF4CE5"/>
    <w:rsid w:val="5CB22033"/>
    <w:rsid w:val="5CC61088"/>
    <w:rsid w:val="5CC927D0"/>
    <w:rsid w:val="5CD04E1E"/>
    <w:rsid w:val="5CDA6371"/>
    <w:rsid w:val="5CEC54C0"/>
    <w:rsid w:val="5CF30224"/>
    <w:rsid w:val="5CFC64A7"/>
    <w:rsid w:val="5D0014E0"/>
    <w:rsid w:val="5D033124"/>
    <w:rsid w:val="5D1516BF"/>
    <w:rsid w:val="5D1569ED"/>
    <w:rsid w:val="5D1A5C10"/>
    <w:rsid w:val="5D1B2A4F"/>
    <w:rsid w:val="5D1B50AE"/>
    <w:rsid w:val="5D1C7440"/>
    <w:rsid w:val="5D2E6665"/>
    <w:rsid w:val="5D396C88"/>
    <w:rsid w:val="5D4F34F7"/>
    <w:rsid w:val="5D521435"/>
    <w:rsid w:val="5D6031C3"/>
    <w:rsid w:val="5D623C65"/>
    <w:rsid w:val="5D653EC8"/>
    <w:rsid w:val="5D68352E"/>
    <w:rsid w:val="5D7636FE"/>
    <w:rsid w:val="5D7F7A77"/>
    <w:rsid w:val="5D810CA8"/>
    <w:rsid w:val="5D864B2F"/>
    <w:rsid w:val="5D8C1819"/>
    <w:rsid w:val="5DC12889"/>
    <w:rsid w:val="5DC477E0"/>
    <w:rsid w:val="5DCA3061"/>
    <w:rsid w:val="5DD05318"/>
    <w:rsid w:val="5DD161BA"/>
    <w:rsid w:val="5DE97207"/>
    <w:rsid w:val="5DEF6C2B"/>
    <w:rsid w:val="5DF22741"/>
    <w:rsid w:val="5DFB28F8"/>
    <w:rsid w:val="5DFE50F6"/>
    <w:rsid w:val="5E026A9A"/>
    <w:rsid w:val="5E050796"/>
    <w:rsid w:val="5E123553"/>
    <w:rsid w:val="5E186B89"/>
    <w:rsid w:val="5E202832"/>
    <w:rsid w:val="5E2D7C7A"/>
    <w:rsid w:val="5E4E3F80"/>
    <w:rsid w:val="5E5F4BD4"/>
    <w:rsid w:val="5E6B35BB"/>
    <w:rsid w:val="5E852B0D"/>
    <w:rsid w:val="5E8A7777"/>
    <w:rsid w:val="5E932264"/>
    <w:rsid w:val="5EA1268E"/>
    <w:rsid w:val="5EB029CD"/>
    <w:rsid w:val="5ED20F44"/>
    <w:rsid w:val="5ED656F0"/>
    <w:rsid w:val="5EDF3DC8"/>
    <w:rsid w:val="5EE7073E"/>
    <w:rsid w:val="5EEC61AE"/>
    <w:rsid w:val="5EF641A0"/>
    <w:rsid w:val="5EF67A22"/>
    <w:rsid w:val="5EFB4ED5"/>
    <w:rsid w:val="5F0501F2"/>
    <w:rsid w:val="5F123BC6"/>
    <w:rsid w:val="5F184877"/>
    <w:rsid w:val="5F1A7A37"/>
    <w:rsid w:val="5F2E2567"/>
    <w:rsid w:val="5F2E3F46"/>
    <w:rsid w:val="5F406402"/>
    <w:rsid w:val="5F474C09"/>
    <w:rsid w:val="5F475D4B"/>
    <w:rsid w:val="5F63419E"/>
    <w:rsid w:val="5F6B086B"/>
    <w:rsid w:val="5F736746"/>
    <w:rsid w:val="5F7B52AA"/>
    <w:rsid w:val="5F880842"/>
    <w:rsid w:val="5F8B3911"/>
    <w:rsid w:val="5FC1728F"/>
    <w:rsid w:val="5FD27659"/>
    <w:rsid w:val="5FD95A66"/>
    <w:rsid w:val="5FDF2255"/>
    <w:rsid w:val="5FDF7A00"/>
    <w:rsid w:val="5FE12AC5"/>
    <w:rsid w:val="5FF309C7"/>
    <w:rsid w:val="5FF67529"/>
    <w:rsid w:val="5FFC4765"/>
    <w:rsid w:val="5FFF6DC4"/>
    <w:rsid w:val="60046C0F"/>
    <w:rsid w:val="600E4F7F"/>
    <w:rsid w:val="60131685"/>
    <w:rsid w:val="601327BB"/>
    <w:rsid w:val="60245068"/>
    <w:rsid w:val="60255BE3"/>
    <w:rsid w:val="602717FC"/>
    <w:rsid w:val="602A62F8"/>
    <w:rsid w:val="602C01A9"/>
    <w:rsid w:val="60351EE3"/>
    <w:rsid w:val="603B1B21"/>
    <w:rsid w:val="603F2752"/>
    <w:rsid w:val="603F44BF"/>
    <w:rsid w:val="604270B3"/>
    <w:rsid w:val="60504051"/>
    <w:rsid w:val="607F2EF2"/>
    <w:rsid w:val="60842FF2"/>
    <w:rsid w:val="60AB7543"/>
    <w:rsid w:val="60AF5E00"/>
    <w:rsid w:val="60B1155A"/>
    <w:rsid w:val="60B357B2"/>
    <w:rsid w:val="60B54161"/>
    <w:rsid w:val="60D43BFA"/>
    <w:rsid w:val="60E142BE"/>
    <w:rsid w:val="60E16AB6"/>
    <w:rsid w:val="60E40C2C"/>
    <w:rsid w:val="60F32CD5"/>
    <w:rsid w:val="60FB6994"/>
    <w:rsid w:val="610D2A7D"/>
    <w:rsid w:val="61111BF1"/>
    <w:rsid w:val="61175A9A"/>
    <w:rsid w:val="612129FE"/>
    <w:rsid w:val="61252A50"/>
    <w:rsid w:val="612E0294"/>
    <w:rsid w:val="61375BEC"/>
    <w:rsid w:val="614A2305"/>
    <w:rsid w:val="614E4437"/>
    <w:rsid w:val="615F1F60"/>
    <w:rsid w:val="6182631E"/>
    <w:rsid w:val="61916138"/>
    <w:rsid w:val="61A26760"/>
    <w:rsid w:val="61AF5CD6"/>
    <w:rsid w:val="61BC217C"/>
    <w:rsid w:val="61D9772A"/>
    <w:rsid w:val="61DA1B5D"/>
    <w:rsid w:val="61DB33CF"/>
    <w:rsid w:val="61EB4962"/>
    <w:rsid w:val="61EF0933"/>
    <w:rsid w:val="61F02594"/>
    <w:rsid w:val="61F2327B"/>
    <w:rsid w:val="61F64176"/>
    <w:rsid w:val="61F6471A"/>
    <w:rsid w:val="61F97578"/>
    <w:rsid w:val="61FA7AC8"/>
    <w:rsid w:val="623942AC"/>
    <w:rsid w:val="62413765"/>
    <w:rsid w:val="625A4915"/>
    <w:rsid w:val="625E2011"/>
    <w:rsid w:val="626E5BD1"/>
    <w:rsid w:val="627803DA"/>
    <w:rsid w:val="627966B2"/>
    <w:rsid w:val="62921FA4"/>
    <w:rsid w:val="62A06349"/>
    <w:rsid w:val="62BF1D8B"/>
    <w:rsid w:val="62C83DFB"/>
    <w:rsid w:val="62CB6DF0"/>
    <w:rsid w:val="62D03FE1"/>
    <w:rsid w:val="62DC2379"/>
    <w:rsid w:val="62DD3EBB"/>
    <w:rsid w:val="62EF16C5"/>
    <w:rsid w:val="62FA52C3"/>
    <w:rsid w:val="62FD5E6F"/>
    <w:rsid w:val="63077DCD"/>
    <w:rsid w:val="630C3818"/>
    <w:rsid w:val="630F08E7"/>
    <w:rsid w:val="63196725"/>
    <w:rsid w:val="631F3FB6"/>
    <w:rsid w:val="63307428"/>
    <w:rsid w:val="63356B20"/>
    <w:rsid w:val="633B4FC0"/>
    <w:rsid w:val="63446C38"/>
    <w:rsid w:val="6349142A"/>
    <w:rsid w:val="634B7547"/>
    <w:rsid w:val="63647D08"/>
    <w:rsid w:val="637B37CB"/>
    <w:rsid w:val="637E69F6"/>
    <w:rsid w:val="63AF3FD8"/>
    <w:rsid w:val="63B47AD6"/>
    <w:rsid w:val="63B55E70"/>
    <w:rsid w:val="63BD1F88"/>
    <w:rsid w:val="63D07482"/>
    <w:rsid w:val="63DE3AA9"/>
    <w:rsid w:val="63E85719"/>
    <w:rsid w:val="63F34E27"/>
    <w:rsid w:val="63FD53D7"/>
    <w:rsid w:val="640D3774"/>
    <w:rsid w:val="64186651"/>
    <w:rsid w:val="64190D1A"/>
    <w:rsid w:val="642E2D6E"/>
    <w:rsid w:val="642F141D"/>
    <w:rsid w:val="64387FCB"/>
    <w:rsid w:val="6439179D"/>
    <w:rsid w:val="643A7D3D"/>
    <w:rsid w:val="644845EE"/>
    <w:rsid w:val="64494CF7"/>
    <w:rsid w:val="644C43F2"/>
    <w:rsid w:val="645E071A"/>
    <w:rsid w:val="64611864"/>
    <w:rsid w:val="6465357A"/>
    <w:rsid w:val="64704226"/>
    <w:rsid w:val="64730B58"/>
    <w:rsid w:val="647E3F09"/>
    <w:rsid w:val="64870014"/>
    <w:rsid w:val="649A2640"/>
    <w:rsid w:val="64AA7760"/>
    <w:rsid w:val="64B42AB0"/>
    <w:rsid w:val="64B76AA3"/>
    <w:rsid w:val="64C61C82"/>
    <w:rsid w:val="64D124DB"/>
    <w:rsid w:val="64EB099D"/>
    <w:rsid w:val="65012AAF"/>
    <w:rsid w:val="65233DA8"/>
    <w:rsid w:val="652860EC"/>
    <w:rsid w:val="652A1A84"/>
    <w:rsid w:val="652A5D21"/>
    <w:rsid w:val="653E034D"/>
    <w:rsid w:val="65480BBE"/>
    <w:rsid w:val="6550438A"/>
    <w:rsid w:val="6554639C"/>
    <w:rsid w:val="65641E21"/>
    <w:rsid w:val="65687D20"/>
    <w:rsid w:val="656A7AEB"/>
    <w:rsid w:val="656B1F42"/>
    <w:rsid w:val="656D1690"/>
    <w:rsid w:val="657B264C"/>
    <w:rsid w:val="657C3759"/>
    <w:rsid w:val="659052F9"/>
    <w:rsid w:val="65933B3C"/>
    <w:rsid w:val="65AE026A"/>
    <w:rsid w:val="65B955CA"/>
    <w:rsid w:val="65BE6C54"/>
    <w:rsid w:val="65CC3546"/>
    <w:rsid w:val="65CE71FF"/>
    <w:rsid w:val="65EE73B7"/>
    <w:rsid w:val="65F9071E"/>
    <w:rsid w:val="66087C36"/>
    <w:rsid w:val="660A413F"/>
    <w:rsid w:val="661A0E12"/>
    <w:rsid w:val="66214D7C"/>
    <w:rsid w:val="6624580B"/>
    <w:rsid w:val="6625001A"/>
    <w:rsid w:val="662A15EB"/>
    <w:rsid w:val="66356B67"/>
    <w:rsid w:val="665078F8"/>
    <w:rsid w:val="66760042"/>
    <w:rsid w:val="667B6C3F"/>
    <w:rsid w:val="66823E25"/>
    <w:rsid w:val="66933BD2"/>
    <w:rsid w:val="6696380F"/>
    <w:rsid w:val="66B40E42"/>
    <w:rsid w:val="66B56D61"/>
    <w:rsid w:val="66B56D68"/>
    <w:rsid w:val="66D62F3C"/>
    <w:rsid w:val="66DA6071"/>
    <w:rsid w:val="66E9392A"/>
    <w:rsid w:val="66EA1480"/>
    <w:rsid w:val="67056631"/>
    <w:rsid w:val="67126948"/>
    <w:rsid w:val="6715177C"/>
    <w:rsid w:val="67231659"/>
    <w:rsid w:val="6730681F"/>
    <w:rsid w:val="674056F4"/>
    <w:rsid w:val="6745249B"/>
    <w:rsid w:val="674672D3"/>
    <w:rsid w:val="675A13EB"/>
    <w:rsid w:val="67622FB4"/>
    <w:rsid w:val="676E6425"/>
    <w:rsid w:val="67770DB9"/>
    <w:rsid w:val="67776ADD"/>
    <w:rsid w:val="6779797F"/>
    <w:rsid w:val="6788047B"/>
    <w:rsid w:val="6789047F"/>
    <w:rsid w:val="67A27AF8"/>
    <w:rsid w:val="67A720F6"/>
    <w:rsid w:val="67A85D26"/>
    <w:rsid w:val="67AC1398"/>
    <w:rsid w:val="67E7540E"/>
    <w:rsid w:val="67EA1736"/>
    <w:rsid w:val="67F509D9"/>
    <w:rsid w:val="67FC02AC"/>
    <w:rsid w:val="68006207"/>
    <w:rsid w:val="68070E08"/>
    <w:rsid w:val="680E4CA4"/>
    <w:rsid w:val="682D2C3F"/>
    <w:rsid w:val="682D432C"/>
    <w:rsid w:val="68382592"/>
    <w:rsid w:val="684159B8"/>
    <w:rsid w:val="6844604B"/>
    <w:rsid w:val="684A32DA"/>
    <w:rsid w:val="684F053A"/>
    <w:rsid w:val="68524FFC"/>
    <w:rsid w:val="686541B5"/>
    <w:rsid w:val="68777EDD"/>
    <w:rsid w:val="68784674"/>
    <w:rsid w:val="687C00C8"/>
    <w:rsid w:val="687C4042"/>
    <w:rsid w:val="68A742AD"/>
    <w:rsid w:val="68B71B00"/>
    <w:rsid w:val="68B87F12"/>
    <w:rsid w:val="68C25CFA"/>
    <w:rsid w:val="68C731B8"/>
    <w:rsid w:val="68D536DE"/>
    <w:rsid w:val="68E62895"/>
    <w:rsid w:val="69044A5D"/>
    <w:rsid w:val="69071FA2"/>
    <w:rsid w:val="691052CA"/>
    <w:rsid w:val="69194464"/>
    <w:rsid w:val="691D05F7"/>
    <w:rsid w:val="69256624"/>
    <w:rsid w:val="69312B59"/>
    <w:rsid w:val="69446209"/>
    <w:rsid w:val="694E271E"/>
    <w:rsid w:val="6950021E"/>
    <w:rsid w:val="69534859"/>
    <w:rsid w:val="69726337"/>
    <w:rsid w:val="69787B08"/>
    <w:rsid w:val="698B1B24"/>
    <w:rsid w:val="6994580C"/>
    <w:rsid w:val="69A66C99"/>
    <w:rsid w:val="69B75241"/>
    <w:rsid w:val="69BB0755"/>
    <w:rsid w:val="69CD6D6F"/>
    <w:rsid w:val="69FB0A5B"/>
    <w:rsid w:val="6A017D36"/>
    <w:rsid w:val="6A0D79AA"/>
    <w:rsid w:val="6A115C81"/>
    <w:rsid w:val="6A162FAD"/>
    <w:rsid w:val="6A165F97"/>
    <w:rsid w:val="6A197179"/>
    <w:rsid w:val="6A22015C"/>
    <w:rsid w:val="6A265076"/>
    <w:rsid w:val="6A6E45DE"/>
    <w:rsid w:val="6A7A60F7"/>
    <w:rsid w:val="6A7E417E"/>
    <w:rsid w:val="6A9C36E2"/>
    <w:rsid w:val="6AAC2E76"/>
    <w:rsid w:val="6AB90DA9"/>
    <w:rsid w:val="6AD73CE6"/>
    <w:rsid w:val="6AE03E44"/>
    <w:rsid w:val="6AEE1969"/>
    <w:rsid w:val="6AF4494F"/>
    <w:rsid w:val="6B0A125F"/>
    <w:rsid w:val="6B1834FD"/>
    <w:rsid w:val="6B23484A"/>
    <w:rsid w:val="6B2E5652"/>
    <w:rsid w:val="6B30457A"/>
    <w:rsid w:val="6B375D75"/>
    <w:rsid w:val="6B3B1CB3"/>
    <w:rsid w:val="6B43702A"/>
    <w:rsid w:val="6B446AE6"/>
    <w:rsid w:val="6B524C27"/>
    <w:rsid w:val="6B5A1EC9"/>
    <w:rsid w:val="6B670A05"/>
    <w:rsid w:val="6B7308B4"/>
    <w:rsid w:val="6B744505"/>
    <w:rsid w:val="6B7B26EC"/>
    <w:rsid w:val="6B990784"/>
    <w:rsid w:val="6BA2498F"/>
    <w:rsid w:val="6BB93C93"/>
    <w:rsid w:val="6BBC51E6"/>
    <w:rsid w:val="6BBF609A"/>
    <w:rsid w:val="6BC012E3"/>
    <w:rsid w:val="6BC33B55"/>
    <w:rsid w:val="6BCA0F7D"/>
    <w:rsid w:val="6BDE4844"/>
    <w:rsid w:val="6BDE4DDD"/>
    <w:rsid w:val="6BE04A25"/>
    <w:rsid w:val="6BE07242"/>
    <w:rsid w:val="6BE5514A"/>
    <w:rsid w:val="6BE82C3E"/>
    <w:rsid w:val="6BE972DB"/>
    <w:rsid w:val="6BFE0452"/>
    <w:rsid w:val="6C0F2440"/>
    <w:rsid w:val="6C176418"/>
    <w:rsid w:val="6C1D28FC"/>
    <w:rsid w:val="6C247F63"/>
    <w:rsid w:val="6C392A9F"/>
    <w:rsid w:val="6C452784"/>
    <w:rsid w:val="6C4D097B"/>
    <w:rsid w:val="6C5173DD"/>
    <w:rsid w:val="6C524744"/>
    <w:rsid w:val="6C531367"/>
    <w:rsid w:val="6C5973BD"/>
    <w:rsid w:val="6C5F452A"/>
    <w:rsid w:val="6C762792"/>
    <w:rsid w:val="6C7D1213"/>
    <w:rsid w:val="6C801375"/>
    <w:rsid w:val="6C822E35"/>
    <w:rsid w:val="6CA31B9D"/>
    <w:rsid w:val="6CA714E6"/>
    <w:rsid w:val="6CBF7E96"/>
    <w:rsid w:val="6CEF6EBD"/>
    <w:rsid w:val="6CF01C95"/>
    <w:rsid w:val="6CF542B7"/>
    <w:rsid w:val="6CFA3A07"/>
    <w:rsid w:val="6D0071CD"/>
    <w:rsid w:val="6D18295E"/>
    <w:rsid w:val="6D1A13F6"/>
    <w:rsid w:val="6D1F12FA"/>
    <w:rsid w:val="6D206AE2"/>
    <w:rsid w:val="6D2236B9"/>
    <w:rsid w:val="6D497025"/>
    <w:rsid w:val="6D5941BB"/>
    <w:rsid w:val="6D5B0CBD"/>
    <w:rsid w:val="6D6D33F8"/>
    <w:rsid w:val="6D6F3AB1"/>
    <w:rsid w:val="6D72010C"/>
    <w:rsid w:val="6D73256C"/>
    <w:rsid w:val="6D760430"/>
    <w:rsid w:val="6D76784D"/>
    <w:rsid w:val="6D8A08D8"/>
    <w:rsid w:val="6D9541F5"/>
    <w:rsid w:val="6D961017"/>
    <w:rsid w:val="6D9F05AA"/>
    <w:rsid w:val="6DBF3CF2"/>
    <w:rsid w:val="6DCD4F84"/>
    <w:rsid w:val="6DCE3EDB"/>
    <w:rsid w:val="6DD23F1E"/>
    <w:rsid w:val="6DD4500A"/>
    <w:rsid w:val="6DDB4275"/>
    <w:rsid w:val="6DEE2081"/>
    <w:rsid w:val="6E0135EB"/>
    <w:rsid w:val="6E0A26D3"/>
    <w:rsid w:val="6E1B7D7D"/>
    <w:rsid w:val="6E210E7D"/>
    <w:rsid w:val="6E336938"/>
    <w:rsid w:val="6E360304"/>
    <w:rsid w:val="6E4C0EF4"/>
    <w:rsid w:val="6E4E028C"/>
    <w:rsid w:val="6E4E2CC7"/>
    <w:rsid w:val="6E565A56"/>
    <w:rsid w:val="6E5C1E9E"/>
    <w:rsid w:val="6E5D68D3"/>
    <w:rsid w:val="6E6611F0"/>
    <w:rsid w:val="6E682450"/>
    <w:rsid w:val="6E6A511F"/>
    <w:rsid w:val="6E720DA7"/>
    <w:rsid w:val="6E7251F0"/>
    <w:rsid w:val="6E757524"/>
    <w:rsid w:val="6E7934F3"/>
    <w:rsid w:val="6E9C5623"/>
    <w:rsid w:val="6E9E05A5"/>
    <w:rsid w:val="6EA77E4F"/>
    <w:rsid w:val="6EAD6286"/>
    <w:rsid w:val="6EB147D3"/>
    <w:rsid w:val="6EB24C59"/>
    <w:rsid w:val="6EBD3CCD"/>
    <w:rsid w:val="6EC9468F"/>
    <w:rsid w:val="6ECD60E1"/>
    <w:rsid w:val="6EDB6C60"/>
    <w:rsid w:val="6EE64158"/>
    <w:rsid w:val="6F0F28B8"/>
    <w:rsid w:val="6F2428C0"/>
    <w:rsid w:val="6F350CF1"/>
    <w:rsid w:val="6F3A17D7"/>
    <w:rsid w:val="6F433285"/>
    <w:rsid w:val="6F5437E3"/>
    <w:rsid w:val="6F5879C5"/>
    <w:rsid w:val="6F591B5D"/>
    <w:rsid w:val="6F6127DE"/>
    <w:rsid w:val="6F746E24"/>
    <w:rsid w:val="6F7E65DB"/>
    <w:rsid w:val="6F7F6D3A"/>
    <w:rsid w:val="6F8D476D"/>
    <w:rsid w:val="6F9016E6"/>
    <w:rsid w:val="6F981073"/>
    <w:rsid w:val="6FA172A4"/>
    <w:rsid w:val="6FAE5CE6"/>
    <w:rsid w:val="6FE07DD0"/>
    <w:rsid w:val="6FEC6F26"/>
    <w:rsid w:val="6FF72D78"/>
    <w:rsid w:val="6FFF65EB"/>
    <w:rsid w:val="701A3FE1"/>
    <w:rsid w:val="701A7D3E"/>
    <w:rsid w:val="702C34C5"/>
    <w:rsid w:val="702D3A00"/>
    <w:rsid w:val="70341230"/>
    <w:rsid w:val="70342FAD"/>
    <w:rsid w:val="7034472B"/>
    <w:rsid w:val="703721C4"/>
    <w:rsid w:val="704310F0"/>
    <w:rsid w:val="7048073F"/>
    <w:rsid w:val="705A14E5"/>
    <w:rsid w:val="705A4D1B"/>
    <w:rsid w:val="705F37D3"/>
    <w:rsid w:val="707A4F0F"/>
    <w:rsid w:val="7084369E"/>
    <w:rsid w:val="708B108A"/>
    <w:rsid w:val="709143C4"/>
    <w:rsid w:val="70930271"/>
    <w:rsid w:val="70A94390"/>
    <w:rsid w:val="70CB3DC2"/>
    <w:rsid w:val="70DB5146"/>
    <w:rsid w:val="70E51B6F"/>
    <w:rsid w:val="70E561EA"/>
    <w:rsid w:val="70F40322"/>
    <w:rsid w:val="70F9595A"/>
    <w:rsid w:val="70FA4092"/>
    <w:rsid w:val="70FC3C7A"/>
    <w:rsid w:val="7104159B"/>
    <w:rsid w:val="71075B1A"/>
    <w:rsid w:val="710E7F44"/>
    <w:rsid w:val="71193089"/>
    <w:rsid w:val="71211292"/>
    <w:rsid w:val="71243B68"/>
    <w:rsid w:val="712776C4"/>
    <w:rsid w:val="712A41BD"/>
    <w:rsid w:val="7131135C"/>
    <w:rsid w:val="71371DE7"/>
    <w:rsid w:val="714344B4"/>
    <w:rsid w:val="71594A7F"/>
    <w:rsid w:val="71654226"/>
    <w:rsid w:val="716F3057"/>
    <w:rsid w:val="7181738B"/>
    <w:rsid w:val="71820038"/>
    <w:rsid w:val="71860B86"/>
    <w:rsid w:val="718B1478"/>
    <w:rsid w:val="71945B7D"/>
    <w:rsid w:val="71990145"/>
    <w:rsid w:val="719E164B"/>
    <w:rsid w:val="71A6693A"/>
    <w:rsid w:val="71AD6080"/>
    <w:rsid w:val="71BB33A2"/>
    <w:rsid w:val="71C01671"/>
    <w:rsid w:val="71C12788"/>
    <w:rsid w:val="71C90ED8"/>
    <w:rsid w:val="71D72430"/>
    <w:rsid w:val="71E12038"/>
    <w:rsid w:val="71FC2D88"/>
    <w:rsid w:val="720A6753"/>
    <w:rsid w:val="720F4AFB"/>
    <w:rsid w:val="72112B83"/>
    <w:rsid w:val="72143F3C"/>
    <w:rsid w:val="721F61D9"/>
    <w:rsid w:val="722333A8"/>
    <w:rsid w:val="722A1999"/>
    <w:rsid w:val="72356373"/>
    <w:rsid w:val="723D42BE"/>
    <w:rsid w:val="72412901"/>
    <w:rsid w:val="72553DBC"/>
    <w:rsid w:val="72777556"/>
    <w:rsid w:val="72887B37"/>
    <w:rsid w:val="72910320"/>
    <w:rsid w:val="72A53302"/>
    <w:rsid w:val="72B3410C"/>
    <w:rsid w:val="72BD6DA9"/>
    <w:rsid w:val="72C374FB"/>
    <w:rsid w:val="72CB01B8"/>
    <w:rsid w:val="72CB5E1F"/>
    <w:rsid w:val="72D95B00"/>
    <w:rsid w:val="72F66709"/>
    <w:rsid w:val="72F9343E"/>
    <w:rsid w:val="730554B3"/>
    <w:rsid w:val="73092FAA"/>
    <w:rsid w:val="73272012"/>
    <w:rsid w:val="732C3102"/>
    <w:rsid w:val="73413694"/>
    <w:rsid w:val="734608F5"/>
    <w:rsid w:val="7365663A"/>
    <w:rsid w:val="736D4BAC"/>
    <w:rsid w:val="736F1AFC"/>
    <w:rsid w:val="73726A6F"/>
    <w:rsid w:val="739B5B15"/>
    <w:rsid w:val="73A37548"/>
    <w:rsid w:val="73B36872"/>
    <w:rsid w:val="73BA58B5"/>
    <w:rsid w:val="73BE1114"/>
    <w:rsid w:val="73C315CB"/>
    <w:rsid w:val="73C76141"/>
    <w:rsid w:val="73CA3FB8"/>
    <w:rsid w:val="73E63732"/>
    <w:rsid w:val="73EC345F"/>
    <w:rsid w:val="73F34510"/>
    <w:rsid w:val="73FD1118"/>
    <w:rsid w:val="74090510"/>
    <w:rsid w:val="740E2D2D"/>
    <w:rsid w:val="7410282D"/>
    <w:rsid w:val="741752A2"/>
    <w:rsid w:val="74223A5C"/>
    <w:rsid w:val="742661E9"/>
    <w:rsid w:val="746075B0"/>
    <w:rsid w:val="746B6757"/>
    <w:rsid w:val="747228EA"/>
    <w:rsid w:val="74780C44"/>
    <w:rsid w:val="7479294A"/>
    <w:rsid w:val="74794607"/>
    <w:rsid w:val="747B5C9D"/>
    <w:rsid w:val="747F1177"/>
    <w:rsid w:val="748028C0"/>
    <w:rsid w:val="748431AE"/>
    <w:rsid w:val="7499003B"/>
    <w:rsid w:val="74A471EE"/>
    <w:rsid w:val="74AB58BC"/>
    <w:rsid w:val="74AF159B"/>
    <w:rsid w:val="74C111AB"/>
    <w:rsid w:val="74C768EE"/>
    <w:rsid w:val="74CA493F"/>
    <w:rsid w:val="74E97F38"/>
    <w:rsid w:val="74ED6920"/>
    <w:rsid w:val="74F13E40"/>
    <w:rsid w:val="75065956"/>
    <w:rsid w:val="750B1697"/>
    <w:rsid w:val="751509C7"/>
    <w:rsid w:val="7525120A"/>
    <w:rsid w:val="752A3F7B"/>
    <w:rsid w:val="7533655A"/>
    <w:rsid w:val="753A3853"/>
    <w:rsid w:val="754222FC"/>
    <w:rsid w:val="75444F15"/>
    <w:rsid w:val="75485488"/>
    <w:rsid w:val="75692896"/>
    <w:rsid w:val="75733C39"/>
    <w:rsid w:val="758516A2"/>
    <w:rsid w:val="758D195C"/>
    <w:rsid w:val="759176D7"/>
    <w:rsid w:val="759A2104"/>
    <w:rsid w:val="75B35E00"/>
    <w:rsid w:val="75CD1343"/>
    <w:rsid w:val="75EB2F64"/>
    <w:rsid w:val="75F04A64"/>
    <w:rsid w:val="76090780"/>
    <w:rsid w:val="7609404D"/>
    <w:rsid w:val="760F1847"/>
    <w:rsid w:val="76192C32"/>
    <w:rsid w:val="761D1573"/>
    <w:rsid w:val="761F64EF"/>
    <w:rsid w:val="76281DF8"/>
    <w:rsid w:val="762825F1"/>
    <w:rsid w:val="7638029A"/>
    <w:rsid w:val="763929C4"/>
    <w:rsid w:val="764F131A"/>
    <w:rsid w:val="765B6CE9"/>
    <w:rsid w:val="765D3DA8"/>
    <w:rsid w:val="7661178C"/>
    <w:rsid w:val="766740C2"/>
    <w:rsid w:val="766852F0"/>
    <w:rsid w:val="766A6521"/>
    <w:rsid w:val="766C7968"/>
    <w:rsid w:val="766E7DAC"/>
    <w:rsid w:val="7675564C"/>
    <w:rsid w:val="76836254"/>
    <w:rsid w:val="76877462"/>
    <w:rsid w:val="76936F16"/>
    <w:rsid w:val="769909A0"/>
    <w:rsid w:val="76993FC0"/>
    <w:rsid w:val="76A10D28"/>
    <w:rsid w:val="76A64EB2"/>
    <w:rsid w:val="76BC1014"/>
    <w:rsid w:val="76D7331B"/>
    <w:rsid w:val="7701474F"/>
    <w:rsid w:val="77025DC3"/>
    <w:rsid w:val="772354E1"/>
    <w:rsid w:val="77276E30"/>
    <w:rsid w:val="772C68C6"/>
    <w:rsid w:val="773E0DC5"/>
    <w:rsid w:val="77594BC8"/>
    <w:rsid w:val="77652DD1"/>
    <w:rsid w:val="77690AA9"/>
    <w:rsid w:val="776C53FF"/>
    <w:rsid w:val="776E3681"/>
    <w:rsid w:val="777E5705"/>
    <w:rsid w:val="7781654E"/>
    <w:rsid w:val="77881C4F"/>
    <w:rsid w:val="779231D8"/>
    <w:rsid w:val="77A618BC"/>
    <w:rsid w:val="77AD55DB"/>
    <w:rsid w:val="77B92312"/>
    <w:rsid w:val="77BC08A0"/>
    <w:rsid w:val="77CC68FE"/>
    <w:rsid w:val="77DE5CDB"/>
    <w:rsid w:val="77E81BC6"/>
    <w:rsid w:val="77F67883"/>
    <w:rsid w:val="781C7B42"/>
    <w:rsid w:val="78205658"/>
    <w:rsid w:val="7827423F"/>
    <w:rsid w:val="78341E10"/>
    <w:rsid w:val="7835284D"/>
    <w:rsid w:val="783719D4"/>
    <w:rsid w:val="78386307"/>
    <w:rsid w:val="783A63BE"/>
    <w:rsid w:val="78493B6B"/>
    <w:rsid w:val="7850391E"/>
    <w:rsid w:val="78586B5B"/>
    <w:rsid w:val="78597E32"/>
    <w:rsid w:val="78703EBE"/>
    <w:rsid w:val="78805A36"/>
    <w:rsid w:val="78830880"/>
    <w:rsid w:val="78970F49"/>
    <w:rsid w:val="78A51D8F"/>
    <w:rsid w:val="78AE0946"/>
    <w:rsid w:val="78BE4153"/>
    <w:rsid w:val="78C10296"/>
    <w:rsid w:val="78D02D1A"/>
    <w:rsid w:val="78D1727E"/>
    <w:rsid w:val="78D17516"/>
    <w:rsid w:val="78D96E40"/>
    <w:rsid w:val="78DB3B1D"/>
    <w:rsid w:val="78F51C9B"/>
    <w:rsid w:val="78FE038B"/>
    <w:rsid w:val="7911644D"/>
    <w:rsid w:val="79122DD3"/>
    <w:rsid w:val="791465DF"/>
    <w:rsid w:val="791E0B4D"/>
    <w:rsid w:val="792078D7"/>
    <w:rsid w:val="79304E12"/>
    <w:rsid w:val="79331EC1"/>
    <w:rsid w:val="79404911"/>
    <w:rsid w:val="794D0D3C"/>
    <w:rsid w:val="7967360B"/>
    <w:rsid w:val="79781473"/>
    <w:rsid w:val="798348F7"/>
    <w:rsid w:val="7986601A"/>
    <w:rsid w:val="79905B9B"/>
    <w:rsid w:val="79905EB8"/>
    <w:rsid w:val="7993616D"/>
    <w:rsid w:val="799D69BF"/>
    <w:rsid w:val="799F3A31"/>
    <w:rsid w:val="79AE14B2"/>
    <w:rsid w:val="79B1687C"/>
    <w:rsid w:val="79B22738"/>
    <w:rsid w:val="79CE4B72"/>
    <w:rsid w:val="79FE0269"/>
    <w:rsid w:val="7A055366"/>
    <w:rsid w:val="7A0F46EB"/>
    <w:rsid w:val="7A292C38"/>
    <w:rsid w:val="7A49541C"/>
    <w:rsid w:val="7A5E6715"/>
    <w:rsid w:val="7A5F22B4"/>
    <w:rsid w:val="7A680094"/>
    <w:rsid w:val="7A7508D5"/>
    <w:rsid w:val="7A80455C"/>
    <w:rsid w:val="7A81102C"/>
    <w:rsid w:val="7A845487"/>
    <w:rsid w:val="7A8D6BBC"/>
    <w:rsid w:val="7AA37ECA"/>
    <w:rsid w:val="7AB16073"/>
    <w:rsid w:val="7ABB5514"/>
    <w:rsid w:val="7AC2458A"/>
    <w:rsid w:val="7ADE3222"/>
    <w:rsid w:val="7AE33058"/>
    <w:rsid w:val="7AF037CB"/>
    <w:rsid w:val="7AF04DB0"/>
    <w:rsid w:val="7AFA759D"/>
    <w:rsid w:val="7B0D28AD"/>
    <w:rsid w:val="7B133363"/>
    <w:rsid w:val="7B1C1737"/>
    <w:rsid w:val="7B1C6082"/>
    <w:rsid w:val="7B2F5379"/>
    <w:rsid w:val="7B322761"/>
    <w:rsid w:val="7B3C2640"/>
    <w:rsid w:val="7B41164E"/>
    <w:rsid w:val="7B4443D1"/>
    <w:rsid w:val="7B4A00C1"/>
    <w:rsid w:val="7B55415F"/>
    <w:rsid w:val="7B69789C"/>
    <w:rsid w:val="7B875C60"/>
    <w:rsid w:val="7BA1117B"/>
    <w:rsid w:val="7BA76397"/>
    <w:rsid w:val="7BB151FD"/>
    <w:rsid w:val="7BB43296"/>
    <w:rsid w:val="7BBE12F2"/>
    <w:rsid w:val="7BC94EE7"/>
    <w:rsid w:val="7BCA2EE2"/>
    <w:rsid w:val="7BD075CC"/>
    <w:rsid w:val="7BDE6C84"/>
    <w:rsid w:val="7BE07A81"/>
    <w:rsid w:val="7BE81B8B"/>
    <w:rsid w:val="7BE97D38"/>
    <w:rsid w:val="7BED162A"/>
    <w:rsid w:val="7BF01170"/>
    <w:rsid w:val="7C272B3E"/>
    <w:rsid w:val="7C2A73E7"/>
    <w:rsid w:val="7C471D4F"/>
    <w:rsid w:val="7C573A0C"/>
    <w:rsid w:val="7C5A71C2"/>
    <w:rsid w:val="7C615DCB"/>
    <w:rsid w:val="7C7A6596"/>
    <w:rsid w:val="7CA76A22"/>
    <w:rsid w:val="7CB167D6"/>
    <w:rsid w:val="7CBF18D6"/>
    <w:rsid w:val="7CCC4E54"/>
    <w:rsid w:val="7CE669EE"/>
    <w:rsid w:val="7CEB2ACD"/>
    <w:rsid w:val="7CEF6F65"/>
    <w:rsid w:val="7CF41D8D"/>
    <w:rsid w:val="7D04426F"/>
    <w:rsid w:val="7D0E7370"/>
    <w:rsid w:val="7D187F51"/>
    <w:rsid w:val="7D2745EF"/>
    <w:rsid w:val="7D2D2CA0"/>
    <w:rsid w:val="7D5607A5"/>
    <w:rsid w:val="7D5C29E8"/>
    <w:rsid w:val="7D6C69AF"/>
    <w:rsid w:val="7D7A7BC6"/>
    <w:rsid w:val="7D995EB0"/>
    <w:rsid w:val="7DA26A7F"/>
    <w:rsid w:val="7DA90065"/>
    <w:rsid w:val="7DBB08B6"/>
    <w:rsid w:val="7DBC7173"/>
    <w:rsid w:val="7DC815C9"/>
    <w:rsid w:val="7DD90B59"/>
    <w:rsid w:val="7DEF15A6"/>
    <w:rsid w:val="7DFC511B"/>
    <w:rsid w:val="7E0565F6"/>
    <w:rsid w:val="7E221AFC"/>
    <w:rsid w:val="7E2A514E"/>
    <w:rsid w:val="7E2C4E20"/>
    <w:rsid w:val="7E2D20BE"/>
    <w:rsid w:val="7E35355F"/>
    <w:rsid w:val="7E4306A6"/>
    <w:rsid w:val="7E51117D"/>
    <w:rsid w:val="7E5733E1"/>
    <w:rsid w:val="7E660C33"/>
    <w:rsid w:val="7E6637F7"/>
    <w:rsid w:val="7E707801"/>
    <w:rsid w:val="7E733B66"/>
    <w:rsid w:val="7E7E43B5"/>
    <w:rsid w:val="7E8A121F"/>
    <w:rsid w:val="7EA36680"/>
    <w:rsid w:val="7EAA0237"/>
    <w:rsid w:val="7EAD5A3E"/>
    <w:rsid w:val="7EBD2CC5"/>
    <w:rsid w:val="7EBF15D0"/>
    <w:rsid w:val="7EC12AAE"/>
    <w:rsid w:val="7EC52141"/>
    <w:rsid w:val="7EC73D34"/>
    <w:rsid w:val="7ED12FEE"/>
    <w:rsid w:val="7EFD03F7"/>
    <w:rsid w:val="7F1648D6"/>
    <w:rsid w:val="7F1A7CDF"/>
    <w:rsid w:val="7F21639D"/>
    <w:rsid w:val="7F23784E"/>
    <w:rsid w:val="7F3A0E31"/>
    <w:rsid w:val="7F442E56"/>
    <w:rsid w:val="7F457080"/>
    <w:rsid w:val="7F4734EB"/>
    <w:rsid w:val="7F486BDC"/>
    <w:rsid w:val="7F493BBB"/>
    <w:rsid w:val="7F4C71A0"/>
    <w:rsid w:val="7F5124CE"/>
    <w:rsid w:val="7F5653E5"/>
    <w:rsid w:val="7F5E7B7A"/>
    <w:rsid w:val="7F6347A3"/>
    <w:rsid w:val="7F6F44D4"/>
    <w:rsid w:val="7F7B4335"/>
    <w:rsid w:val="7F8805ED"/>
    <w:rsid w:val="7FA3192C"/>
    <w:rsid w:val="7FAB42E7"/>
    <w:rsid w:val="7FB745D2"/>
    <w:rsid w:val="7FC4182D"/>
    <w:rsid w:val="7FC44AED"/>
    <w:rsid w:val="7FC459AC"/>
    <w:rsid w:val="7FD55C75"/>
    <w:rsid w:val="7FD603DF"/>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14</TotalTime>
  <ScaleCrop>false</ScaleCrop>
  <LinksUpToDate>false</LinksUpToDate>
  <CharactersWithSpaces>26786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2021-12-23T08:32:26Z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2052-11.1.0.11115</vt:lpwstr>
  </property>
  <property fmtid="{D5CDD505-2E9C-101B-9397-08002B2CF9AE}" pid="4" name="ICV">
    <vt:lpwstr>D366F8CEF0B34B9A839F473A36DCA92E</vt:lpwstr>
  </property>
</Properties>
</file>