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r>
        <w:rPr>
          <w:rFonts w:ascii="宋体" w:hAnsi="宋体"/>
          <w:color w:val="auto"/>
          <w:sz w:val="72"/>
          <w:szCs w:val="72"/>
        </w:rPr>
        <w:drawing>
          <wp:anchor distT="0" distB="0" distL="114300" distR="114300" simplePos="0" relativeHeight="251659264" behindDoc="1" locked="0" layoutInCell="1" allowOverlap="1">
            <wp:simplePos x="0" y="0"/>
            <wp:positionH relativeFrom="column">
              <wp:posOffset>-810895</wp:posOffset>
            </wp:positionH>
            <wp:positionV relativeFrom="paragraph">
              <wp:posOffset>-957580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106680</wp:posOffset>
                </wp:positionV>
                <wp:extent cx="3255010" cy="81915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255010" cy="819150"/>
                        </a:xfrm>
                        <a:prstGeom prst="rect">
                          <a:avLst/>
                        </a:prstGeom>
                        <a:noFill/>
                        <a:ln>
                          <a:noFill/>
                        </a:ln>
                      </wps:spPr>
                      <wps:txb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wps:txbx>
                      <wps:bodyPr upright="1"/>
                    </wps:wsp>
                  </a:graphicData>
                </a:graphic>
              </wp:anchor>
            </w:drawing>
          </mc:Choice>
          <mc:Fallback>
            <w:pict>
              <v:shape id="文本框 60" o:spid="_x0000_s1026" o:spt="202" type="#_x0000_t202" style="position:absolute;left:0pt;margin-left:119.25pt;margin-top:8.4pt;height:64.5pt;width:256.3pt;z-index:251660288;mso-width-relative:page;mso-height-relative:page;" filled="f" stroked="f" coordsize="21600,21600" o:gfxdata="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1Z2SfXAAAA&#10;CgEAAA8AAAAAAAAAAQAgAAAAIgAAAGRycy9kb3ducmV2LnhtbFBLAQIUABQAAAAIAIdO4kBWcsdd&#10;rAEAAE8DAAAOAAAAAAAAAAEAIAAAACYBAABkcnMvZTJvRG9jLnhtbFBLBQYAAAAABgAGAFkBAABE&#10;BQAAAAA=&#10;">
                <v:fill on="f" focussize="0,0"/>
                <v:stroke on="f"/>
                <v:imagedata o:title=""/>
                <o:lock v:ext="edit" aspectratio="f"/>
                <v:textbo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v:textbox>
              </v:shape>
            </w:pict>
          </mc:Fallback>
        </mc:AlternateContent>
      </w:r>
    </w:p>
    <w:p>
      <w:pPr>
        <w:rPr>
          <w:rFonts w:ascii="宋体" w:hAnsi="宋体"/>
          <w:color w:val="auto"/>
        </w:rPr>
      </w:pPr>
    </w:p>
    <w:p>
      <w:pPr>
        <w:rPr>
          <w:rFonts w:ascii="宋体" w:hAnsi="宋体"/>
          <w:color w:val="auto"/>
        </w:rPr>
      </w:pPr>
    </w:p>
    <w:p>
      <w:pPr>
        <w:jc w:val="center"/>
        <w:rPr>
          <w:rFonts w:hint="eastAsia" w:ascii="宋体" w:hAnsi="宋体"/>
          <w:b/>
          <w:color w:val="auto"/>
          <w:sz w:val="36"/>
          <w:szCs w:val="36"/>
        </w:rPr>
      </w:pPr>
    </w:p>
    <w:p>
      <w:pPr>
        <w:jc w:val="center"/>
        <w:rPr>
          <w:rFonts w:hint="default" w:ascii="宋体" w:hAnsi="宋体" w:eastAsia="宋体"/>
          <w:color w:val="auto"/>
          <w:lang w:val="en-US" w:eastAsia="zh-CN"/>
        </w:rPr>
      </w:pPr>
      <w:r>
        <w:rPr>
          <w:rFonts w:hint="eastAsia" w:ascii="宋体" w:hAnsi="宋体"/>
          <w:b/>
          <w:color w:val="auto"/>
          <w:sz w:val="36"/>
          <w:szCs w:val="36"/>
        </w:rPr>
        <w:t>20</w:t>
      </w:r>
      <w:r>
        <w:rPr>
          <w:rFonts w:hint="eastAsia" w:ascii="宋体" w:hAnsi="宋体"/>
          <w:b/>
          <w:color w:val="auto"/>
          <w:sz w:val="36"/>
          <w:szCs w:val="36"/>
          <w:lang w:val="en-US" w:eastAsia="zh-CN"/>
        </w:rPr>
        <w:t>21</w:t>
      </w:r>
      <w:r>
        <w:rPr>
          <w:rFonts w:hint="eastAsia" w:ascii="宋体" w:hAnsi="宋体"/>
          <w:b/>
          <w:color w:val="auto"/>
          <w:sz w:val="36"/>
          <w:szCs w:val="36"/>
        </w:rPr>
        <w:t>.</w:t>
      </w:r>
      <w:r>
        <w:rPr>
          <w:rFonts w:hint="eastAsia" w:ascii="宋体" w:hAnsi="宋体"/>
          <w:b/>
          <w:color w:val="auto"/>
          <w:sz w:val="36"/>
          <w:szCs w:val="36"/>
          <w:lang w:val="en-US" w:eastAsia="zh-CN"/>
        </w:rPr>
        <w:t>12.16</w:t>
      </w: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53975</wp:posOffset>
                </wp:positionV>
                <wp:extent cx="5322570" cy="1289685"/>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289685"/>
                        </a:xfrm>
                        <a:prstGeom prst="rect">
                          <a:avLst/>
                        </a:prstGeom>
                        <a:noFill/>
                        <a:ln>
                          <a:noFill/>
                        </a:ln>
                      </wps:spPr>
                      <wps:txb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wps:txbx>
                      <wps:bodyPr upright="1"/>
                    </wps:wsp>
                  </a:graphicData>
                </a:graphic>
              </wp:anchor>
            </w:drawing>
          </mc:Choice>
          <mc:Fallback>
            <w:pict>
              <v:shape id="文本框 51" o:spid="_x0000_s1026" o:spt="202" type="#_x0000_t202" style="position:absolute;left:0pt;margin-left:-9pt;margin-top:4.25pt;height:101.55pt;width:419.1pt;z-index:251660288;mso-width-relative:page;mso-height-relative:page;" filled="f" stroked="f" coordsize="21600,21600" o:gfxdata="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VXGxdYA&#10;AAAJAQAADwAAAAAAAAABACAAAAAiAAAAZHJzL2Rvd25yZXYueG1sUEsBAhQAFAAAAAgAh07iQD+A&#10;y8CvAQAAUAMAAA4AAAAAAAAAAQAgAAAAJQEAAGRycy9lMm9Eb2MueG1sUEsFBgAAAAAGAAYAWQEA&#10;AEYFAAAAAA==&#10;">
                <v:fill on="f" focussize="0,0"/>
                <v:stroke on="f"/>
                <v:imagedata o:title=""/>
                <o:lock v:ext="edit" aspectratio="f"/>
                <v:textbo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jc w:val="center"/>
        <w:rPr>
          <w:rFonts w:hint="eastAsia" w:ascii="宋体" w:hAnsi="宋体"/>
          <w:b/>
          <w:color w:val="auto"/>
          <w:sz w:val="32"/>
          <w:szCs w:val="32"/>
        </w:rPr>
      </w:pPr>
    </w:p>
    <w:p>
      <w:pPr>
        <w:jc w:val="center"/>
        <w:rPr>
          <w:rFonts w:ascii="宋体" w:hAnsi="宋体"/>
          <w:b/>
          <w:color w:val="auto"/>
          <w:sz w:val="28"/>
          <w:szCs w:val="28"/>
        </w:rPr>
      </w:pPr>
      <w:r>
        <w:rPr>
          <w:rFonts w:hint="eastAsia" w:ascii="宋体" w:hAnsi="宋体"/>
          <w:b/>
          <w:color w:val="auto"/>
          <w:sz w:val="28"/>
          <w:szCs w:val="28"/>
          <w:lang w:eastAsia="zh-CN"/>
        </w:rPr>
        <w:t>成品油市场周报目</w:t>
      </w:r>
      <w:r>
        <w:rPr>
          <w:rFonts w:hint="eastAsia" w:ascii="宋体" w:hAnsi="宋体"/>
          <w:b/>
          <w:color w:val="auto"/>
          <w:sz w:val="28"/>
          <w:szCs w:val="28"/>
        </w:rPr>
        <w:t>录</w:t>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_Toc16949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0"/>
          <w:sz w:val="24"/>
          <w:szCs w:val="24"/>
        </w:rPr>
        <w:t xml:space="preserve">一、 </w:t>
      </w:r>
      <w:r>
        <w:rPr>
          <w:rFonts w:hint="eastAsia" w:ascii="宋体" w:hAnsi="宋体" w:eastAsia="宋体" w:cs="宋体"/>
          <w:bCs/>
          <w:color w:val="auto"/>
          <w:kern w:val="2"/>
          <w:sz w:val="24"/>
          <w:szCs w:val="24"/>
          <w:highlight w:val="none"/>
          <w:lang w:val="en-US" w:eastAsia="zh-CN" w:bidi="ar-SA"/>
        </w:rPr>
        <w:t>国际原油市场回顾 </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_Toc16949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_Toc27031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1.1国际原油收盘价涨跌情况（单位：美元/桶）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_Toc27031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_Toc19234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1.2.2021年国际原油价格走势图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_Toc19234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_Toc9112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2"/>
          <w:sz w:val="24"/>
          <w:szCs w:val="24"/>
          <w:lang w:val="en-US" w:eastAsia="zh-CN" w:bidi="ar-SA"/>
        </w:rPr>
        <w:t xml:space="preserve">二、 </w:t>
      </w:r>
      <w:r>
        <w:rPr>
          <w:rFonts w:hint="eastAsia" w:ascii="宋体" w:hAnsi="宋体" w:eastAsia="宋体" w:cs="宋体"/>
          <w:bCs/>
          <w:color w:val="auto"/>
          <w:kern w:val="2"/>
          <w:sz w:val="24"/>
          <w:szCs w:val="24"/>
          <w:highlight w:val="none"/>
          <w:lang w:val="en-US" w:eastAsia="zh-CN" w:bidi="ar-SA"/>
        </w:rPr>
        <w:t>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_Toc9112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_Toc22116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2.1近期影响国际原油市场的主要因素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_Toc22116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_Toc12072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1.美国原油库存情况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_Toc8280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2.美国经济形势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_Toc8280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3.世界经济形势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_Toc11654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_Toc10797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4后市预测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_Toc10797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_Toc13390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2.2国际市场MTBE价格</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_Toc13390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_Toc3996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本周国内市场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_Toc3996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_Toc25301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3.1 国内炼厂装置运行情况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_Toc25301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3.2本周成品油市场行情</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_Toc14270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 国内汽油价格周报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_Toc14270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_Toc28195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3.4国内柴油价格周报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_Toc28195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_Toc20471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3.5 山东地炼汽油出厂价格周报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_Toc20471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_Toc22494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3.6 山东地炼柴油出厂价格周报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_Toc22494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_Toc17074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四、2021年</w:t>
      </w: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月份进出口统计数据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_Toc17074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_Toc6798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1 </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份全国车用汽油和航空汽油出口统计数据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_Toc6798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月份全国柴油出口统计数据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_Toc21887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月份全国原油进出口统计数据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_Toc21887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color w:val="auto"/>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4.4 20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月份航空煤油进出口统计数据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_Toc9952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rPr>
          <w:rFonts w:hint="eastAsia" w:ascii="宋体" w:hAnsi="宋体" w:eastAsia="宋体" w:cs="宋体"/>
          <w:color w:val="auto"/>
          <w:sz w:val="24"/>
          <w:szCs w:val="24"/>
        </w:rPr>
      </w:pPr>
      <w:r>
        <w:rPr>
          <w:rFonts w:hint="eastAsia" w:ascii="宋体" w:hAnsi="宋体" w:eastAsia="宋体" w:cs="宋体"/>
          <w:color w:val="auto"/>
          <w:szCs w:val="24"/>
        </w:rPr>
        <w:fldChar w:fldCharType="end"/>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numPr>
          <w:ilvl w:val="0"/>
          <w:numId w:val="1"/>
        </w:numPr>
        <w:spacing w:before="120" w:after="0" w:line="240" w:lineRule="auto"/>
        <w:rPr>
          <w:rFonts w:hint="eastAsia" w:asciiTheme="minorEastAsia" w:hAnsiTheme="minorEastAsia" w:eastAsiaTheme="minorEastAsia" w:cstheme="minorEastAsia"/>
          <w:b/>
          <w:bCs/>
          <w:color w:val="auto"/>
          <w:kern w:val="0"/>
          <w:sz w:val="30"/>
          <w:szCs w:val="30"/>
        </w:rPr>
      </w:pPr>
      <w:bookmarkStart w:id="0" w:name="_Toc16949"/>
      <w:r>
        <w:rPr>
          <w:rFonts w:hint="eastAsia" w:ascii="宋体" w:hAnsi="宋体" w:eastAsia="宋体" w:cs="宋体"/>
          <w:b/>
          <w:bCs/>
          <w:color w:val="auto"/>
          <w:kern w:val="2"/>
          <w:sz w:val="36"/>
          <w:szCs w:val="36"/>
          <w:highlight w:val="none"/>
          <w:lang w:val="en-US" w:eastAsia="zh-CN" w:bidi="ar-SA"/>
        </w:rPr>
        <w:t>国际原油市场回顾 </w:t>
      </w:r>
      <w:bookmarkEnd w:id="0"/>
    </w:p>
    <w:tbl>
      <w:tblPr>
        <w:tblStyle w:val="24"/>
        <w:tblW w:w="5000" w:type="pct"/>
        <w:tblInd w:w="0" w:type="dxa"/>
        <w:tblLayout w:type="autofit"/>
        <w:tblCellMar>
          <w:top w:w="15" w:type="dxa"/>
          <w:left w:w="15" w:type="dxa"/>
          <w:bottom w:w="15" w:type="dxa"/>
          <w:right w:w="15" w:type="dxa"/>
        </w:tblCellMar>
      </w:tblPr>
      <w:tblGrid>
        <w:gridCol w:w="1458"/>
        <w:gridCol w:w="800"/>
        <w:gridCol w:w="800"/>
        <w:gridCol w:w="6724"/>
      </w:tblGrid>
      <w:tr>
        <w:tblPrEx>
          <w:tblCellMar>
            <w:top w:w="15" w:type="dxa"/>
            <w:left w:w="15" w:type="dxa"/>
            <w:bottom w:w="15" w:type="dxa"/>
            <w:right w:w="15" w:type="dxa"/>
          </w:tblCellMar>
        </w:tblPrEx>
        <w:trPr>
          <w:trHeight w:val="283" w:hRule="atLeast"/>
          <w:tblHeader/>
        </w:trPr>
        <w:tc>
          <w:tcPr>
            <w:tcW w:w="745"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bookmarkStart w:id="1" w:name="_Toc27031"/>
            <w:bookmarkStart w:id="2" w:name="_Toc67556952"/>
            <w:r>
              <w:rPr>
                <w:rFonts w:hint="eastAsia" w:ascii="宋体" w:hAnsi="宋体" w:cs="华文仿宋"/>
                <w:b/>
                <w:color w:val="000000"/>
                <w:kern w:val="0"/>
                <w:sz w:val="18"/>
                <w:szCs w:val="18"/>
                <w:lang w:bidi="ar"/>
              </w:rPr>
              <w:t>日期</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纽交所</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伦交所</w:t>
            </w:r>
          </w:p>
        </w:tc>
        <w:tc>
          <w:tcPr>
            <w:tcW w:w="3437"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影响因素</w:t>
            </w:r>
          </w:p>
        </w:tc>
      </w:tr>
      <w:tr>
        <w:tblPrEx>
          <w:tblCellMar>
            <w:top w:w="15" w:type="dxa"/>
            <w:left w:w="15" w:type="dxa"/>
            <w:bottom w:w="15" w:type="dxa"/>
            <w:right w:w="15" w:type="dxa"/>
          </w:tblCellMar>
        </w:tblPrEx>
        <w:trPr>
          <w:trHeight w:val="251"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2021/12/9</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70.94</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74.42</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对新冠奥密克戎变异株担忧仍存，多国加强疫情防范，加之经济数据影响，欧美原油期货中止连续多日上涨而收低</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2021/12/10</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71.67</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75.15</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奥密克戎变体对全球经济增长和燃料需求的影响有所缓解，市场气氛得以提振，国际油价再次上涨，创下8月底以来最大的周涨幅</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2021/12/13</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71.29</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74.39</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周一亚洲交易时段，奥密克戎变异株的影响不及预期严重，令欧美原油期货一度上涨。然而随后英国首相鲍里斯·约翰逊在伦敦西部一家疫苗接种诊所视察时表示，英国目前至少有一例因感染新冠变异株死亡的病例，国际油价应声而跌。</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2021/12/14</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70.73</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73.7</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sz w:val="18"/>
                <w:szCs w:val="18"/>
              </w:rPr>
            </w:pPr>
            <w:r>
              <w:rPr>
                <w:sz w:val="18"/>
                <w:szCs w:val="18"/>
              </w:rPr>
              <w:t>国际能源署预计新冠病例激增将减缓全球需求复苏，加之预测明年全球原油产量增加， 国际油价跌至一周多来最低。</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2021/12/15</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70.87</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73.88</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sz w:val="18"/>
                <w:szCs w:val="18"/>
              </w:rPr>
            </w:pPr>
            <w:r>
              <w:rPr>
                <w:sz w:val="18"/>
                <w:szCs w:val="18"/>
              </w:rPr>
              <w:t>早盘国际油价延续跌势，越来越多的迹象显示明年的供应增长将超过需求。然而美国商业原油库存继续下降，石油战略储备减少至19年来最低，石油产品需求达到历史最高水平，国际油价盘中转跌为涨</w:t>
            </w:r>
            <w:r>
              <w:rPr>
                <w:rFonts w:hint="eastAsia"/>
                <w:sz w:val="18"/>
                <w:szCs w:val="18"/>
              </w:rPr>
              <w:t>。</w:t>
            </w:r>
          </w:p>
        </w:tc>
      </w:tr>
    </w:tbl>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1.1</w:t>
      </w:r>
      <w:r>
        <w:rPr>
          <w:rFonts w:hint="eastAsia" w:ascii="宋体" w:hAnsi="宋体" w:eastAsia="宋体" w:cs="宋体"/>
          <w:b/>
          <w:color w:val="auto"/>
          <w:sz w:val="32"/>
          <w:szCs w:val="32"/>
          <w:highlight w:val="none"/>
          <w:lang w:val="en-US" w:eastAsia="zh-CN"/>
        </w:rPr>
        <w:t>国际原油收盘价涨跌情况（单位：美元/桶）</w:t>
      </w:r>
      <w:bookmarkEnd w:id="1"/>
      <w:bookmarkEnd w:id="2"/>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3" w:name="_Toc67556953"/>
      <w:bookmarkStart w:id="4" w:name="_Toc19234"/>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lang w:val="en-US" w:eastAsia="zh-CN"/>
        </w:rPr>
        <w:t>2.2021年国际原油价格走势图</w:t>
      </w:r>
      <w:bookmarkEnd w:id="3"/>
      <w:bookmarkEnd w:id="4"/>
    </w:p>
    <w:p>
      <w:pPr>
        <w:widowControl/>
        <w:wordWrap w:val="0"/>
        <w:spacing w:after="90" w:line="288" w:lineRule="auto"/>
        <w:jc w:val="center"/>
        <w:rPr>
          <w:rFonts w:hint="eastAsia" w:asciiTheme="minorEastAsia" w:hAnsiTheme="minorEastAsia" w:eastAsiaTheme="minorEastAsia" w:cstheme="minorEastAsia"/>
          <w:b/>
          <w:color w:val="auto"/>
          <w:kern w:val="0"/>
          <w:sz w:val="30"/>
          <w:szCs w:val="30"/>
        </w:rPr>
      </w:pPr>
      <w:r>
        <w:rPr>
          <w:rFonts w:hint="eastAsia" w:ascii="宋体" w:hAnsi="宋体" w:cs="Arial"/>
          <w:b/>
          <w:kern w:val="0"/>
          <w:sz w:val="30"/>
          <w:szCs w:val="30"/>
        </w:rPr>
        <w:drawing>
          <wp:inline distT="0" distB="0" distL="114300" distR="114300">
            <wp:extent cx="4371340" cy="3752215"/>
            <wp:effectExtent l="0" t="0" r="10160"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4371340" cy="3752215"/>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rPr>
      </w:pPr>
    </w:p>
    <w:p>
      <w:pPr>
        <w:pStyle w:val="2"/>
        <w:numPr>
          <w:ilvl w:val="0"/>
          <w:numId w:val="1"/>
        </w:numPr>
        <w:spacing w:before="120" w:after="0" w:line="240" w:lineRule="auto"/>
        <w:rPr>
          <w:rFonts w:hint="eastAsia" w:ascii="宋体" w:hAnsi="宋体" w:eastAsia="宋体" w:cs="宋体"/>
          <w:b/>
          <w:bCs/>
          <w:color w:val="auto"/>
          <w:kern w:val="2"/>
          <w:sz w:val="36"/>
          <w:szCs w:val="36"/>
          <w:highlight w:val="none"/>
          <w:lang w:val="en-US" w:eastAsia="zh-CN" w:bidi="ar-SA"/>
        </w:rPr>
      </w:pPr>
      <w:bookmarkStart w:id="5" w:name="_Toc9112"/>
      <w:bookmarkStart w:id="6" w:name="_Toc67556954"/>
      <w:r>
        <w:rPr>
          <w:rFonts w:hint="eastAsia" w:ascii="宋体" w:hAnsi="宋体" w:eastAsia="宋体" w:cs="宋体"/>
          <w:b/>
          <w:bCs/>
          <w:color w:val="auto"/>
          <w:kern w:val="2"/>
          <w:sz w:val="36"/>
          <w:szCs w:val="36"/>
          <w:highlight w:val="none"/>
          <w:lang w:val="en-US" w:eastAsia="zh-CN" w:bidi="ar-SA"/>
        </w:rPr>
        <w:t>近期影响国际原油市场的主要因素</w:t>
      </w:r>
      <w:bookmarkEnd w:id="5"/>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7" w:name="_Toc22116"/>
      <w:r>
        <w:rPr>
          <w:rFonts w:hint="eastAsia" w:ascii="宋体" w:hAnsi="宋体" w:eastAsia="宋体" w:cs="宋体"/>
          <w:b/>
          <w:color w:val="auto"/>
          <w:sz w:val="32"/>
          <w:szCs w:val="32"/>
          <w:highlight w:val="none"/>
          <w:lang w:val="en-US" w:eastAsia="zh-CN"/>
        </w:rPr>
        <w:t>2.1近期影响国际原油市场的主要因素</w:t>
      </w:r>
      <w:bookmarkEnd w:id="6"/>
      <w:bookmarkEnd w:id="7"/>
    </w:p>
    <w:p>
      <w:pPr>
        <w:pStyle w:val="3"/>
        <w:spacing w:before="120" w:after="120" w:line="240" w:lineRule="auto"/>
        <w:rPr>
          <w:rFonts w:hint="eastAsia" w:ascii="宋体" w:hAnsi="宋体" w:eastAsia="宋体" w:cs="宋体"/>
          <w:b/>
          <w:color w:val="auto"/>
          <w:sz w:val="30"/>
          <w:szCs w:val="30"/>
          <w:highlight w:val="none"/>
          <w:lang w:val="en-US" w:eastAsia="zh-CN"/>
        </w:rPr>
      </w:pPr>
      <w:bookmarkStart w:id="8" w:name="_Toc67556955"/>
      <w:bookmarkStart w:id="9" w:name="_Toc12072"/>
      <w:r>
        <w:rPr>
          <w:rFonts w:hint="eastAsia" w:ascii="宋体" w:hAnsi="宋体" w:eastAsia="宋体" w:cs="宋体"/>
          <w:b/>
          <w:color w:val="auto"/>
          <w:sz w:val="30"/>
          <w:szCs w:val="30"/>
          <w:highlight w:val="none"/>
          <w:lang w:val="en-US" w:eastAsia="zh-CN"/>
        </w:rPr>
        <w:t>1.美国原油库存情况</w:t>
      </w:r>
      <w:bookmarkEnd w:id="8"/>
      <w:bookmarkEnd w:id="9"/>
      <w:r>
        <w:rPr>
          <w:rFonts w:hint="eastAsia" w:ascii="宋体" w:hAnsi="宋体" w:eastAsia="宋体" w:cs="宋体"/>
          <w:b/>
          <w:color w:val="auto"/>
          <w:sz w:val="30"/>
          <w:szCs w:val="30"/>
          <w:highlight w:val="none"/>
          <w:lang w:val="en-US" w:eastAsia="zh-CN"/>
        </w:rPr>
        <w:t xml:space="preserve"> </w:t>
      </w:r>
    </w:p>
    <w:p>
      <w:pPr>
        <w:pStyle w:val="23"/>
        <w:ind w:firstLine="360" w:firstLineChars="200"/>
        <w:rPr>
          <w:sz w:val="18"/>
          <w:szCs w:val="18"/>
        </w:rPr>
      </w:pPr>
      <w:bookmarkStart w:id="10" w:name="_Toc69977252"/>
      <w:bookmarkStart w:id="11" w:name="_Toc8280"/>
      <w:r>
        <w:rPr>
          <w:rFonts w:hint="eastAsia"/>
          <w:sz w:val="18"/>
          <w:szCs w:val="18"/>
        </w:rPr>
        <w:t>本周，</w:t>
      </w:r>
      <w:r>
        <w:rPr>
          <w:sz w:val="18"/>
          <w:szCs w:val="18"/>
        </w:rPr>
        <w:t>美国EIA公布的数据显示，截至12月3日当周美国除却战略储备的商业原油库存降幅不及预期，精炼油库存和汽油库存大增。具体数据显示，美国截至12月3日当周EIA原油库存变动实际公布减少24.1万桶，预期减少152.1万桶，前值减少90.9万桶。此外，美国截至12月3日当周EIA汽油库存实际公布增加388.2万桶，预期增加200万桶，前值增加402.9万桶;美国截至12月3日当周EIA精炼油库存实际公布增加273.3万桶，预期增加100万桶，前值增加216万桶。EIA报告显示，上周美国战略石油储备(SPR)库存跌至2003年5月以来的最低水平。美国至12月3日当周国内原油产量为2020年5月1日当周以来最高。美国至12月3日当周EIA俄克拉荷马州库欣原油库存录得增加237.3万桶，为2月19日当周以来最大库存增幅。据美国石油协会数据显示，截至12月3日当周，美国商业原油库存减少308.9万桶，精炼油库存增加122.8万桶，汽油库存增加370.5万桶，库欣原油库存增加239.5万桶。</w:t>
      </w:r>
    </w:p>
    <w:p>
      <w:pPr>
        <w:pStyle w:val="3"/>
        <w:spacing w:before="120" w:after="120" w:line="240" w:lineRule="auto"/>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2.美国经济形势</w:t>
      </w:r>
      <w:bookmarkEnd w:id="10"/>
      <w:bookmarkEnd w:id="11"/>
    </w:p>
    <w:p>
      <w:pPr>
        <w:pStyle w:val="23"/>
        <w:ind w:firstLine="360" w:firstLineChars="200"/>
        <w:rPr>
          <w:sz w:val="18"/>
          <w:szCs w:val="18"/>
        </w:rPr>
      </w:pPr>
      <w:bookmarkStart w:id="12" w:name="_Toc76629721"/>
      <w:bookmarkStart w:id="13" w:name="_Toc11654"/>
      <w:bookmarkStart w:id="14" w:name="_Toc69977253"/>
      <w:r>
        <w:rPr>
          <w:sz w:val="18"/>
          <w:szCs w:val="18"/>
        </w:rPr>
        <w:t>美国国会众议院15日凌晨通过联合决议案，将联邦政府债务上限调高2.5万亿美元，使美国财政部的借款授权延长至2023年，暂时避免政府债务违约。但分析人士认为，从中长期来看，美国公共债务规模不断攀升的状况不可持续。</w:t>
      </w:r>
    </w:p>
    <w:p>
      <w:pPr>
        <w:pStyle w:val="23"/>
        <w:ind w:firstLine="360" w:firstLineChars="200"/>
        <w:rPr>
          <w:sz w:val="18"/>
          <w:szCs w:val="18"/>
        </w:rPr>
      </w:pPr>
      <w:r>
        <w:rPr>
          <w:sz w:val="18"/>
          <w:szCs w:val="18"/>
        </w:rPr>
        <w:t>债务上限是美国国会为联邦政府设定的为履行已产生的支付义务而举债的最高额度，触及这条“红线”，意味着美国财政部借款授权用尽。美国国会1917年设立债务上限制度，旨在定期监督政府开支状况，但随着时间的推移，已难实现强化财政纪律、控制债务增长的初衷。自二战结束后，美国国会已修改债务上限约百次，其中大部分是上调。此次上调前，美国联邦政府债务规模已达到约28.9万亿美元。</w:t>
      </w:r>
    </w:p>
    <w:p>
      <w:pPr>
        <w:pStyle w:val="23"/>
        <w:ind w:firstLine="360" w:firstLineChars="200"/>
        <w:rPr>
          <w:sz w:val="18"/>
          <w:szCs w:val="18"/>
        </w:rPr>
      </w:pPr>
      <w:r>
        <w:rPr>
          <w:sz w:val="18"/>
          <w:szCs w:val="18"/>
        </w:rPr>
        <w:t>近年来，债务上限日益成为美国国会两党政治博弈的重要筹码。今年两党关于债务上限的博弈要追溯到国会2019年8月通过的一项法案，该法案暂停债务上限生效至今年7月31日，允许财政部在此期间不受限制地发债。今年8月1日债务上限恢复生效后，财政部无法继续发债，只能采取非常规措施暂时避免出现债务违约。</w:t>
      </w:r>
    </w:p>
    <w:p>
      <w:pPr>
        <w:pStyle w:val="23"/>
        <w:ind w:firstLine="360" w:firstLineChars="200"/>
        <w:rPr>
          <w:sz w:val="18"/>
          <w:szCs w:val="18"/>
        </w:rPr>
      </w:pPr>
      <w:r>
        <w:rPr>
          <w:sz w:val="18"/>
          <w:szCs w:val="18"/>
        </w:rPr>
        <w:t>对于如何提高债务上限、避免政府债务违约，两党争执不下。民主党不愿单独背负增加政府债务的政治压力，希望通过常规程序立法与共和党一起调高债务上限。而共和党不满民主党大幅增加政府支出，要求民主党独自解决债务上限问题。在僵持数月后，国会10月通过一项法案，暂时将债务上限调高约4800亿美元，确保财政部履行支付义务至12月3日。</w:t>
      </w:r>
    </w:p>
    <w:p>
      <w:pPr>
        <w:pStyle w:val="23"/>
        <w:ind w:firstLine="360" w:firstLineChars="200"/>
        <w:rPr>
          <w:sz w:val="18"/>
          <w:szCs w:val="18"/>
        </w:rPr>
      </w:pPr>
      <w:r>
        <w:rPr>
          <w:sz w:val="18"/>
          <w:szCs w:val="18"/>
        </w:rPr>
        <w:t>为避免出现债务违约，美国财政部长耶伦近期敦促国会在12月15日之前再次调高债务上限，但共和党不愿配合行动。经过协商，参议院民主党领袖舒默和共和党领袖麦康奈尔上周达成协议，允许参议院绕过多数立法批准所需的60票门槛、以简单多数通过相关决议案，从而使在参议院拥有50席的民主党可以不依靠共和党支持独自提高债务上限。</w:t>
      </w:r>
    </w:p>
    <w:p>
      <w:pPr>
        <w:pStyle w:val="23"/>
        <w:ind w:firstLine="360" w:firstLineChars="200"/>
        <w:rPr>
          <w:sz w:val="18"/>
          <w:szCs w:val="18"/>
        </w:rPr>
      </w:pPr>
      <w:r>
        <w:rPr>
          <w:sz w:val="18"/>
          <w:szCs w:val="18"/>
        </w:rPr>
        <w:t>最终，这项决议案以50票赞成、49票反对的微弱优势在参议院获得通过，并以221票赞成、209票反对的结果获得众议院批准，随后将递交美国总统拜登签署生效。</w:t>
      </w:r>
    </w:p>
    <w:p>
      <w:pPr>
        <w:pStyle w:val="23"/>
        <w:ind w:firstLine="360" w:firstLineChars="200"/>
        <w:rPr>
          <w:sz w:val="18"/>
          <w:szCs w:val="18"/>
        </w:rPr>
      </w:pPr>
      <w:r>
        <w:rPr>
          <w:sz w:val="18"/>
          <w:szCs w:val="18"/>
        </w:rPr>
        <w:t>虽然两党常在最后期限前达成协议，但每隔几年就面临债务违约折射出美国政治极化加剧、社会共识难求、治理体系失灵、政治信用透支的严重弊端。这不仅成为美国经济增长和资本市场波动的重要风险源，其外溢效应也通过美债、美元和金融市场扩散到全球，威胁世界经济复苏和全球金融市场稳定。</w:t>
      </w:r>
    </w:p>
    <w:p>
      <w:pPr>
        <w:pStyle w:val="23"/>
        <w:ind w:firstLine="360" w:firstLineChars="200"/>
        <w:rPr>
          <w:sz w:val="18"/>
          <w:szCs w:val="18"/>
        </w:rPr>
      </w:pPr>
      <w:r>
        <w:rPr>
          <w:sz w:val="18"/>
          <w:szCs w:val="18"/>
        </w:rPr>
        <w:t>此外，从中长期来看，美国财政和债务状况不可持续。美国财政部数据显示，2021财年(2020年10月1日至2021年9月30日)联邦政府财政赤字高达2.77万亿美元。美国独立研究机构联邦预算问责委员会指出，为应对新冠疫情和促进经济复苏，2021财年的高额财政赤字并不令人意外，但这会导致美国长期背负很高的债务，国会必须制定出一项削减财政赤字的长期计划。美国国会预算办公室预计，到今年年底美国公共债务占国内生产总值的比重将达到103%，到2050年这一占比将大幅升至195%。</w:t>
      </w:r>
    </w:p>
    <w:p>
      <w:pPr>
        <w:pStyle w:val="23"/>
        <w:ind w:firstLine="360" w:firstLineChars="200"/>
        <w:rPr>
          <w:sz w:val="18"/>
          <w:szCs w:val="18"/>
        </w:rPr>
      </w:pPr>
      <w:r>
        <w:rPr>
          <w:sz w:val="18"/>
          <w:szCs w:val="18"/>
        </w:rPr>
        <w:t>一旦美国真的出现债务违约，后果将非常严重。耶伦警告，美国政府债务违约很可能引发一场“历史性的金融危机”，加剧新冠疫情造成的经济损伤;债务违约也可能引发利率飙升、股价急剧下跌和其他金融动荡，以及造成美国经济陷入衰退。</w:t>
      </w:r>
    </w:p>
    <w:p>
      <w:pPr>
        <w:pStyle w:val="23"/>
        <w:ind w:firstLine="360" w:firstLineChars="200"/>
        <w:rPr>
          <w:sz w:val="18"/>
          <w:szCs w:val="18"/>
        </w:rPr>
      </w:pPr>
      <w:r>
        <w:rPr>
          <w:sz w:val="18"/>
          <w:szCs w:val="18"/>
        </w:rPr>
        <w:t>值得指出的是，虽然债务违约的警报暂时解除，联邦政府运营资金仍有待落实。由于两党尚无法就始于10月1日的新财年预算案达成一致，国会只能通过短期政府拨款法案暂时维持联邦政府运转。9月底以来，国会已两次通过临时拨款法案，但仅能确保联邦政府有足够资金继续运转到明年2月18日。</w:t>
      </w:r>
    </w:p>
    <w:p>
      <w:pPr>
        <w:pStyle w:val="3"/>
        <w:spacing w:before="120" w:after="120" w:line="24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3.世界经济形势</w:t>
      </w:r>
      <w:bookmarkEnd w:id="12"/>
      <w:bookmarkEnd w:id="13"/>
    </w:p>
    <w:bookmarkEnd w:id="14"/>
    <w:p>
      <w:pPr>
        <w:pStyle w:val="23"/>
        <w:ind w:firstLine="360" w:firstLineChars="200"/>
        <w:rPr>
          <w:sz w:val="18"/>
          <w:szCs w:val="18"/>
        </w:rPr>
      </w:pPr>
      <w:bookmarkStart w:id="15" w:name="_Toc10797"/>
      <w:r>
        <w:rPr>
          <w:sz w:val="18"/>
          <w:szCs w:val="18"/>
        </w:rPr>
        <w:t>近两年疫情之下国内采取财政和货币政策提供支撑，随着经济逐渐企稳，2022年将成为政策的过渡之年。目前，全球投资者更关注供应链持续中断和需求激增之下，部分经济体的通胀问题。</w:t>
      </w:r>
    </w:p>
    <w:p>
      <w:pPr>
        <w:pStyle w:val="23"/>
        <w:ind w:firstLine="360" w:firstLineChars="200"/>
        <w:rPr>
          <w:sz w:val="18"/>
          <w:szCs w:val="18"/>
        </w:rPr>
      </w:pPr>
      <w:r>
        <w:rPr>
          <w:sz w:val="18"/>
          <w:szCs w:val="18"/>
        </w:rPr>
        <w:t>景顺首席全球市场策略师克里斯汀·胡帕(Kristina Hooper)在今日(15日)的网络研讨会上表示：“在实施大规模财政刺激计划和极度宽松的货币政策之后，各经济体的增长率已从疫情后的高水平逐渐恢复至更为正常的水平。我们认为中国经济增速料将在2022年上半年有所缓和，而明年中下旬会受到政策支持的推动显著走高。”</w:t>
      </w:r>
    </w:p>
    <w:p>
      <w:pPr>
        <w:pStyle w:val="23"/>
        <w:ind w:firstLine="360" w:firstLineChars="200"/>
        <w:rPr>
          <w:sz w:val="18"/>
          <w:szCs w:val="18"/>
        </w:rPr>
      </w:pPr>
      <w:r>
        <w:rPr>
          <w:sz w:val="18"/>
          <w:szCs w:val="18"/>
        </w:rPr>
        <w:t>胡帕评论道：“预期全球通胀将在2022年年中左右见顶，随后逐渐缓和至目标水平，直至2023 年。美联储总体上将延续其宽松政策。预计美联储仍会在2022年下半年加息，其他发达国家的央行可能也会加快加息步伐。此外，随着市场经历这一过渡期，预期会出现一些波动。”</w:t>
      </w:r>
    </w:p>
    <w:p>
      <w:pPr>
        <w:pStyle w:val="23"/>
        <w:ind w:firstLine="360" w:firstLineChars="200"/>
        <w:rPr>
          <w:sz w:val="18"/>
          <w:szCs w:val="18"/>
        </w:rPr>
      </w:pPr>
      <w:r>
        <w:rPr>
          <w:sz w:val="18"/>
          <w:szCs w:val="18"/>
        </w:rPr>
        <w:t>同时，多项因素可能导致通胀在2022年趋于缓和。胡帕解释道：“暂时的供给侧问题得到缓解，同时，产能利用率仍然低迷，表明供应方面的疲软。受社交隔离政策影响，消费转向商品领域，被抑制的需求因供应链问题而被放大。综上所述，预计2022年财政刺激规模将缩小，这有助于缓解经济过热的风险。”</w:t>
      </w:r>
    </w:p>
    <w:p>
      <w:pPr>
        <w:pStyle w:val="23"/>
        <w:ind w:firstLine="360" w:firstLineChars="200"/>
        <w:rPr>
          <w:sz w:val="18"/>
          <w:szCs w:val="18"/>
        </w:rPr>
      </w:pPr>
      <w:r>
        <w:rPr>
          <w:sz w:val="18"/>
          <w:szCs w:val="18"/>
        </w:rPr>
        <w:t>对于2022年全球资产配置前景，景顺偏向更均衡的配置方式，但仍偏好于周期性资产。胡帕补充道：“我们倾向于减少风险配置，同时略微高配股票，但仍偏重防守型行业。总体而言，预期市场将加剧波动，各类资产的回报率将更加趋近。其中，将股票配置下调至中性，同时通过提高高收益和投资级信贷和债券配置，但将减持政府债券。地区方面，我们看好新兴市场和欧元区的资产配置，同时减持美国和日本(资产)。”</w:t>
      </w:r>
    </w:p>
    <w:p>
      <w:pPr>
        <w:pStyle w:val="23"/>
        <w:ind w:firstLine="360" w:firstLineChars="200"/>
        <w:rPr>
          <w:sz w:val="18"/>
          <w:szCs w:val="18"/>
        </w:rPr>
      </w:pPr>
      <w:r>
        <w:rPr>
          <w:sz w:val="18"/>
          <w:szCs w:val="18"/>
        </w:rPr>
        <w:t>中国经济展望：增长水平有望在2022年年中之前再加速</w:t>
      </w:r>
    </w:p>
    <w:p>
      <w:pPr>
        <w:pStyle w:val="23"/>
        <w:ind w:firstLine="360" w:firstLineChars="200"/>
        <w:rPr>
          <w:sz w:val="18"/>
          <w:szCs w:val="18"/>
        </w:rPr>
      </w:pPr>
      <w:r>
        <w:rPr>
          <w:sz w:val="18"/>
          <w:szCs w:val="18"/>
        </w:rPr>
        <w:t>央行今日(12月15日)起下调所有银行存款准备金率50个基点。胡帕表示，中国目前仍处在经济周期中期的“放缓阶段”，降准正是经济重回正轨所需要的。为稳定经济增长，央行明年可能会进一步降准。</w:t>
      </w:r>
    </w:p>
    <w:p>
      <w:pPr>
        <w:pStyle w:val="23"/>
        <w:ind w:firstLine="360" w:firstLineChars="200"/>
        <w:rPr>
          <w:sz w:val="18"/>
          <w:szCs w:val="18"/>
        </w:rPr>
      </w:pPr>
      <w:r>
        <w:rPr>
          <w:sz w:val="18"/>
          <w:szCs w:val="18"/>
        </w:rPr>
        <w:t>她还评论道：“得益于早期疫情防控所取得的成果，中国在最大程度上保留了政策‘工具箱’。9月份，政府开始通过注入流动性来平复房地产和金融行业的市场波动。迄今为止，这些举措在控制蔓延风险方面取得了显著的成效。一旦房地产行业走稳，且随着疫苗接种的迅速推进，预期消费者情绪和信心定会在2022年年中之前反弹。投资者将很快意识到人民币资产十分值得投资。”</w:t>
      </w:r>
    </w:p>
    <w:p>
      <w:pPr>
        <w:pStyle w:val="23"/>
        <w:ind w:firstLine="360" w:firstLineChars="200"/>
        <w:rPr>
          <w:sz w:val="18"/>
          <w:szCs w:val="18"/>
        </w:rPr>
      </w:pPr>
      <w:r>
        <w:rPr>
          <w:sz w:val="18"/>
          <w:szCs w:val="18"/>
        </w:rPr>
        <w:t>在可预见的未来，提高人民生活水平和促进共同富裕仍将是中国政府政策的重点。胡帕指出，这一政策有望全面刺激国内整体消费，尤其是来自中低收入群体的消费。同时推动资本进一步流入“政策利好”的经济部门，例如高科技制造、电动车、5G 和替代能源等已通过税收补贴和便利的资本融资等方式获得大力扶持的部门。</w:t>
      </w:r>
    </w:p>
    <w:p>
      <w:pPr>
        <w:pStyle w:val="23"/>
        <w:ind w:firstLine="360" w:firstLineChars="200"/>
        <w:rPr>
          <w:sz w:val="18"/>
          <w:szCs w:val="18"/>
        </w:rPr>
      </w:pPr>
      <w:r>
        <w:rPr>
          <w:sz w:val="18"/>
          <w:szCs w:val="18"/>
        </w:rPr>
        <w:t>与此同时，在香港和内地上市的中资股表现不及美国同类企业。一部分原因是对某些盈利性行业的监管更趋严格。胡帕表示，这一轮监管改革预计可能很快结束，这为长线投资者提供了投资良机，因为科技公司的估值已达到合理水平。</w:t>
      </w:r>
    </w:p>
    <w:p>
      <w:pPr>
        <w:pStyle w:val="23"/>
        <w:ind w:firstLine="360" w:firstLineChars="200"/>
        <w:rPr>
          <w:sz w:val="18"/>
          <w:szCs w:val="18"/>
        </w:rPr>
      </w:pPr>
      <w:r>
        <w:rPr>
          <w:sz w:val="18"/>
          <w:szCs w:val="18"/>
        </w:rPr>
        <w:t>固定收益方面，降准或定向货币宽松政策有望利好中国信贷市场。从估值角度来看，中国也表现不俗。根据景顺最近的市场展望，预计中国主要的高收益房地产商将继续通过资产出售、股本融资、在岸债务发行或寻求地方政府支持来度过这一时期。当前的估值可能在2022年上半年有所反弹，但不排除再次发生违约和波动的可能性。</w:t>
      </w:r>
    </w:p>
    <w:p>
      <w:pPr>
        <w:pStyle w:val="23"/>
        <w:ind w:firstLine="360" w:firstLineChars="200"/>
        <w:rPr>
          <w:sz w:val="18"/>
          <w:szCs w:val="18"/>
        </w:rPr>
      </w:pPr>
      <w:r>
        <w:rPr>
          <w:sz w:val="18"/>
          <w:szCs w:val="18"/>
        </w:rPr>
        <w:t>美国经济展望：增长维持在长期趋势水平以上逐步放缓至更加合理水平</w:t>
      </w:r>
    </w:p>
    <w:p>
      <w:pPr>
        <w:pStyle w:val="23"/>
        <w:ind w:firstLine="360" w:firstLineChars="200"/>
        <w:rPr>
          <w:sz w:val="18"/>
          <w:szCs w:val="18"/>
        </w:rPr>
      </w:pPr>
      <w:r>
        <w:rPr>
          <w:sz w:val="18"/>
          <w:szCs w:val="18"/>
        </w:rPr>
        <w:t>美联储在11月宣布缩减资产购买规模，初步缩减幅度较小，即在每月1200 亿美元的基础上减少150亿美元，但会保持灵活，随时加速缩表步伐。如美联储主席鲍威尔(Jay Powell)所述，货币政策将根据经济形势的发展而调整。</w:t>
      </w:r>
    </w:p>
    <w:p>
      <w:pPr>
        <w:pStyle w:val="23"/>
        <w:ind w:firstLine="360" w:firstLineChars="200"/>
        <w:rPr>
          <w:sz w:val="18"/>
          <w:szCs w:val="18"/>
        </w:rPr>
      </w:pPr>
      <w:r>
        <w:rPr>
          <w:sz w:val="18"/>
          <w:szCs w:val="18"/>
        </w:rPr>
        <w:t>胡帕认为，美国在经济增长率于2022年放缓至更为正常的水平之前，如果第四季度经济增长远超过第三季度，那么美联储很可能会加速缩表。尽管美联储仍保持远超过正常水平、极度宽松的政策，但也开始步入正常化进程。</w:t>
      </w:r>
    </w:p>
    <w:p>
      <w:pPr>
        <w:pStyle w:val="23"/>
        <w:ind w:firstLine="360" w:firstLineChars="200"/>
        <w:rPr>
          <w:sz w:val="18"/>
          <w:szCs w:val="18"/>
        </w:rPr>
      </w:pPr>
      <w:r>
        <w:rPr>
          <w:sz w:val="18"/>
          <w:szCs w:val="18"/>
        </w:rPr>
        <w:t>随着缩表的推进，胡帕谈到加息时间表和步伐，预计美联储将在2022年下半年进行一次加息，与当前美国联邦公开市场委员会的“点阵图”预测一致。美联储提前加息的可能性不大，奥密克戎病毒变体的确带来不确定性，但并未引发严格的封锁。她预期，美国政府不会再采取同疫情爆发初期时一样严苛的管控措施。</w:t>
      </w:r>
    </w:p>
    <w:p>
      <w:pPr>
        <w:pStyle w:val="23"/>
        <w:ind w:firstLine="360" w:firstLineChars="200"/>
        <w:rPr>
          <w:sz w:val="18"/>
          <w:szCs w:val="18"/>
        </w:rPr>
      </w:pPr>
      <w:r>
        <w:rPr>
          <w:sz w:val="18"/>
          <w:szCs w:val="18"/>
        </w:rPr>
        <w:t>胡帕还评论道：“预计美国2022年期间的股市走势或将取决于企业盈利走向，2022年的盈利增长可能下滑，但估计不会出现负增长。我们认为这一周期性动力应会继续利好类似股票的资产，包括股票、房地产和高收益信贷，不过我们仍预期风险溢价会低于2021年。”</w:t>
      </w:r>
    </w:p>
    <w:p>
      <w:pPr>
        <w:pStyle w:val="23"/>
        <w:ind w:firstLine="360" w:firstLineChars="200"/>
        <w:rPr>
          <w:sz w:val="18"/>
          <w:szCs w:val="18"/>
        </w:rPr>
      </w:pP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4后市预测</w:t>
      </w:r>
      <w:bookmarkEnd w:id="15"/>
    </w:p>
    <w:p>
      <w:pPr>
        <w:pStyle w:val="23"/>
        <w:ind w:firstLine="360" w:firstLineChars="200"/>
        <w:rPr>
          <w:sz w:val="18"/>
          <w:szCs w:val="18"/>
        </w:rPr>
      </w:pPr>
      <w:bookmarkStart w:id="16" w:name="_Toc13390"/>
      <w:r>
        <w:rPr>
          <w:rFonts w:hint="eastAsia"/>
          <w:sz w:val="18"/>
          <w:szCs w:val="18"/>
        </w:rPr>
        <w:t>本周美国WTI原油价格在70.73-71.67美元/桶。布伦特原油价格在73.7-75.15美元/桶震荡。周内国际油价窄幅震荡。</w:t>
      </w:r>
      <w:r>
        <w:rPr>
          <w:sz w:val="18"/>
          <w:szCs w:val="18"/>
        </w:rPr>
        <w:t>EIA原油及成品油库存降幅均超预期，美联储利率决议声明公布后风险偏好回升，外盘时间12月15日欧美原油期货价格止跌收涨。1月WTI：70.78涨0.05;2月布伦特：73.88涨0.18。美联储将把购买国债和抵押贷款支持证券的速度加倍，这一举措已在很大程度上反映在风险资产中。美联储主席鲍威尔在周三的新闻发布会上说:“在处理资产负债表问题时，我们已经认识到最好采取一种谨慎的、有条不紊的方法来进行调整。”“市场会对它很敏感，我们认为这是速度的两倍。我们离结束缩减会议基本上还有两个会议。我们认为这是合适的做法。”由于Omicron变体的传播和旅行限制，价格在盘中早些时候走弱。自大流行开始以来，英国报告了最多的每日新增冠状病毒病例，突显出这种新毒株的高传播率。这进一步加深了人们的信念，即明年库存将增加得更快。PVM Oil Associates Ltd 的分析师斯蒂芬·布伦诺克(Stephen Brennock)表示：“供应终于赶上了需求，预计这种趋势将在2022年加剧。简而言之，明年石油市场将面临严重的供过于求。”由于交易员权衡供需矛盾的信号，本周油价在涨跌之间摇摆不定。全球最大的独立石油贸易商维多集团周三表示，由于缺乏新的生产投资，明年价格将上涨。美国原油库存连续第三周下降。但随着最大的原油进口国中国限制假期旅行以遏制冠状病毒，消费前景似乎正在恶化。本周早些时候原油的下跌已经侵蚀了11月底熊市的部分复苏。Omicron变体病例的快速增加和另一份显示通胀升温的报告可能会抑制风险偏好，这反映在年底假期之前交易量减少。周二(12月14日)美国基准的总交易量萎缩至11月24日以来的最低水平。与此同时，根据能源信息署的一份报告，上周美国原油库存总量下降了458万桶。库欣的库存增加了129万桶。原油供应下降的大部分原因是墨西哥湾沿岸的原油出口量猛增61%。Tortoise Capital Advisors的投资组合经理布赖恩·凯森斯(Brian Kessens)表示：“出口驱动的平局可能是市场最初对看涨报告不以为然的原因。然而，美国出口的增加表明全球原油需求仍然强劲，即使相对于Omicron变体的影响也是如此。”。</w:t>
      </w:r>
    </w:p>
    <w:p>
      <w:pPr>
        <w:pStyle w:val="23"/>
        <w:ind w:firstLine="360" w:firstLineChars="200"/>
        <w:rPr>
          <w:rFonts w:hint="eastAsia"/>
          <w:sz w:val="18"/>
          <w:szCs w:val="18"/>
        </w:rPr>
      </w:pPr>
      <w:r>
        <w:rPr>
          <w:rFonts w:hint="eastAsia"/>
          <w:sz w:val="18"/>
          <w:szCs w:val="18"/>
        </w:rPr>
        <w:t>预测下周WTI油价将触及69-72美元/桶，布油在之后几个月触及72-76美元/桶。</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rPr>
        <w:t>2.2国际市场MTBE价格</w:t>
      </w:r>
      <w:bookmarkEnd w:id="16"/>
      <w:r>
        <w:rPr>
          <w:rFonts w:hint="eastAsia" w:ascii="宋体" w:hAnsi="宋体"/>
          <w:b/>
          <w:color w:val="auto"/>
          <w:sz w:val="30"/>
          <w:szCs w:val="30"/>
          <w:highlight w:val="none"/>
          <w:lang w:val="en-US" w:eastAsia="zh-CN"/>
        </w:rPr>
        <w:t xml:space="preserve"> </w:t>
      </w:r>
    </w:p>
    <w:p>
      <w:pPr>
        <w:rPr>
          <w:rFonts w:hint="eastAsia"/>
          <w:lang w:val="en-US" w:eastAsia="zh-CN"/>
        </w:rPr>
      </w:pPr>
    </w:p>
    <w:p>
      <w:pPr>
        <w:rPr>
          <w:rFonts w:hint="eastAsia"/>
          <w:color w:val="auto"/>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3" w:hRule="atLeast"/>
          <w:tblHeader/>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鹿特丹(美元/吨)</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12月15日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777.00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249.20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818.00 </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12月14日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802.00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249.95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813.25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12月13日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810.00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252.07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813.25 </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12月10日</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795.00 </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254.84 </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797.25 </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12月9日</w:t>
            </w:r>
          </w:p>
        </w:tc>
        <w:tc>
          <w:tcPr>
            <w:tcW w:w="20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797.50 </w:t>
            </w:r>
          </w:p>
        </w:tc>
        <w:tc>
          <w:tcPr>
            <w:tcW w:w="19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253.84 </w:t>
            </w:r>
          </w:p>
        </w:tc>
        <w:tc>
          <w:tcPr>
            <w:tcW w:w="183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803.25 </w:t>
            </w:r>
          </w:p>
        </w:tc>
      </w:tr>
    </w:tbl>
    <w:p>
      <w:pPr>
        <w:rPr>
          <w:rFonts w:hint="eastAsia"/>
          <w:color w:val="auto"/>
          <w:lang w:eastAsia="zh-CN"/>
        </w:rPr>
      </w:pPr>
    </w:p>
    <w:p>
      <w:pPr>
        <w:pStyle w:val="2"/>
        <w:numPr>
          <w:ilvl w:val="0"/>
          <w:numId w:val="0"/>
        </w:numPr>
        <w:spacing w:before="120" w:after="0" w:line="240" w:lineRule="auto"/>
        <w:rPr>
          <w:rFonts w:hint="eastAsia"/>
          <w:b/>
          <w:color w:val="auto"/>
          <w:sz w:val="36"/>
          <w:szCs w:val="36"/>
        </w:rPr>
      </w:pPr>
      <w:bookmarkStart w:id="17" w:name="_Toc3996"/>
      <w:r>
        <w:rPr>
          <w:rFonts w:hint="eastAsia"/>
          <w:b/>
          <w:color w:val="auto"/>
          <w:sz w:val="36"/>
          <w:szCs w:val="36"/>
          <w:lang w:eastAsia="zh-CN"/>
        </w:rPr>
        <w:t>三、</w:t>
      </w:r>
      <w:r>
        <w:rPr>
          <w:rFonts w:hint="eastAsia"/>
          <w:b/>
          <w:color w:val="auto"/>
          <w:sz w:val="36"/>
          <w:szCs w:val="36"/>
        </w:rPr>
        <w:t>本周国内市场</w:t>
      </w:r>
      <w:bookmarkEnd w:id="17"/>
    </w:p>
    <w:p>
      <w:pPr>
        <w:numPr>
          <w:ilvl w:val="0"/>
          <w:numId w:val="0"/>
        </w:numPr>
        <w:rPr>
          <w:color w:val="auto"/>
        </w:rPr>
      </w:pPr>
    </w:p>
    <w:p>
      <w:pPr>
        <w:pStyle w:val="3"/>
        <w:spacing w:before="120" w:after="120" w:line="240" w:lineRule="auto"/>
        <w:rPr>
          <w:rFonts w:hint="eastAsia" w:ascii="宋体" w:hAnsi="宋体"/>
          <w:b/>
          <w:color w:val="auto"/>
          <w:sz w:val="32"/>
          <w:szCs w:val="32"/>
          <w:highlight w:val="none"/>
        </w:rPr>
      </w:pPr>
      <w:bookmarkStart w:id="18" w:name="_Toc25301"/>
      <w:r>
        <w:rPr>
          <w:rFonts w:hint="eastAsia" w:ascii="宋体" w:hAnsi="宋体"/>
          <w:b/>
          <w:color w:val="auto"/>
          <w:sz w:val="32"/>
          <w:szCs w:val="32"/>
          <w:highlight w:val="none"/>
        </w:rPr>
        <w:t>3.1 国内炼厂装置运行情况</w:t>
      </w:r>
      <w:bookmarkEnd w:id="18"/>
    </w:p>
    <w:p>
      <w:pPr>
        <w:rPr>
          <w:rFonts w:hint="eastAsia" w:ascii="宋体" w:hAnsi="宋体"/>
          <w:color w:val="auto"/>
          <w:sz w:val="30"/>
          <w:szCs w:val="30"/>
          <w:highlight w:val="none"/>
        </w:rPr>
      </w:pPr>
      <w:r>
        <w:rPr>
          <w:rFonts w:hint="eastAsia" w:ascii="宋体" w:hAnsi="宋体"/>
          <w:color w:val="auto"/>
          <w:sz w:val="30"/>
          <w:szCs w:val="30"/>
          <w:highlight w:val="none"/>
        </w:rPr>
        <w:t>（1）国内主营炼厂装置检修情况</w:t>
      </w:r>
    </w:p>
    <w:tbl>
      <w:tblPr>
        <w:tblStyle w:val="24"/>
        <w:tblW w:w="47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19"/>
        <w:gridCol w:w="832"/>
        <w:gridCol w:w="1082"/>
        <w:gridCol w:w="1078"/>
        <w:gridCol w:w="2087"/>
        <w:gridCol w:w="1497"/>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济南炼化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2021/2/19</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金陵石化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江苏</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1800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燕山石化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北京</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2020/3/29</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长岭石化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湖南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2021/2/20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塔河石化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新疆</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1600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1600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2021/4/14</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九江石化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江西</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沧州炼厂</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河北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扬子石化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江苏</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1450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焦化装置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茂名石化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2021/6/1</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石家庄炼厂</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河北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2021/8/28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齐鲁石化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胜利油田</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2021/9/15</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高桥石化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2021/10/11</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广州石化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1370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联合石化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福建</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1200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2021/11/15</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云南石化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云南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2020/12/5</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抚顺石化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辽宁</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2021/4/10</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吉林石化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吉林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大港石化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天津</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2021/4/12</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格尔木炼厂</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青海</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150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150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2021/7/15</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中海油旗下炼厂检修计划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东方石化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海南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2021/3/4</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惠州炼化</w:t>
            </w:r>
          </w:p>
        </w:tc>
        <w:tc>
          <w:tcPr>
            <w:tcW w:w="823"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69"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2200</w:t>
            </w:r>
          </w:p>
        </w:tc>
        <w:tc>
          <w:tcPr>
            <w:tcW w:w="1066"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二期</w:t>
            </w:r>
          </w:p>
        </w:tc>
        <w:tc>
          <w:tcPr>
            <w:tcW w:w="2063"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80"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2021/3/4</w:t>
            </w:r>
          </w:p>
        </w:tc>
        <w:tc>
          <w:tcPr>
            <w:tcW w:w="1510"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宁波大榭</w:t>
            </w:r>
          </w:p>
        </w:tc>
        <w:tc>
          <w:tcPr>
            <w:tcW w:w="82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浙江</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800</w:t>
            </w:r>
          </w:p>
        </w:tc>
        <w:tc>
          <w:tcPr>
            <w:tcW w:w="10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800</w:t>
            </w:r>
          </w:p>
        </w:tc>
        <w:tc>
          <w:tcPr>
            <w:tcW w:w="14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2021/4</w:t>
            </w:r>
          </w:p>
        </w:tc>
        <w:tc>
          <w:tcPr>
            <w:tcW w:w="15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中化泉州</w:t>
            </w:r>
          </w:p>
        </w:tc>
        <w:tc>
          <w:tcPr>
            <w:tcW w:w="82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福建</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1500</w:t>
            </w:r>
          </w:p>
        </w:tc>
        <w:tc>
          <w:tcPr>
            <w:tcW w:w="10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1500</w:t>
            </w:r>
          </w:p>
        </w:tc>
        <w:tc>
          <w:tcPr>
            <w:tcW w:w="14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2021/12/5</w:t>
            </w:r>
          </w:p>
        </w:tc>
        <w:tc>
          <w:tcPr>
            <w:tcW w:w="15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2022/1月中旬</w:t>
            </w:r>
          </w:p>
        </w:tc>
      </w:tr>
    </w:tbl>
    <w:p>
      <w:pPr>
        <w:numPr>
          <w:ilvl w:val="0"/>
          <w:numId w:val="0"/>
        </w:numPr>
        <w:rPr>
          <w:rFonts w:hint="eastAsia" w:ascii="宋体" w:hAnsi="宋体"/>
          <w:color w:val="auto"/>
          <w:sz w:val="28"/>
          <w:szCs w:val="28"/>
          <w:highlight w:val="none"/>
        </w:rPr>
      </w:pPr>
    </w:p>
    <w:p>
      <w:pPr>
        <w:numPr>
          <w:ilvl w:val="0"/>
          <w:numId w:val="2"/>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20"/>
        <w:gridCol w:w="1201"/>
        <w:gridCol w:w="1246"/>
        <w:gridCol w:w="1348"/>
        <w:gridCol w:w="1016"/>
        <w:gridCol w:w="161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9209" w:type="dxa"/>
            <w:gridSpan w:val="7"/>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地方炼厂装置检修计划表(单位：万吨)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区域</w:t>
            </w:r>
          </w:p>
        </w:tc>
        <w:tc>
          <w:tcPr>
            <w:tcW w:w="1201"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省市</w:t>
            </w:r>
          </w:p>
        </w:tc>
        <w:tc>
          <w:tcPr>
            <w:tcW w:w="1246"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炼厂名称</w:t>
            </w:r>
          </w:p>
        </w:tc>
        <w:tc>
          <w:tcPr>
            <w:tcW w:w="1348"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检修装置</w:t>
            </w:r>
          </w:p>
        </w:tc>
        <w:tc>
          <w:tcPr>
            <w:tcW w:w="1016"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产能</w:t>
            </w:r>
          </w:p>
        </w:tc>
        <w:tc>
          <w:tcPr>
            <w:tcW w:w="1619"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起始时间</w:t>
            </w:r>
          </w:p>
        </w:tc>
        <w:tc>
          <w:tcPr>
            <w:tcW w:w="1459"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60" w:hRule="atLeast"/>
          <w:jc w:val="center"/>
        </w:trPr>
        <w:tc>
          <w:tcPr>
            <w:tcW w:w="1320" w:type="dxa"/>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淄博</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金诚石化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蜡油加氢裂化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2021/11/24</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潍坊</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山东海化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240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2021年6月底</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山东</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日照</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日照岚桥</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2021/7/1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滨州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京博石化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2021/10/20</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东营</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垦利石化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400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临沂</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清沂山石化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2021/7/18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滨州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无棣鑫岳</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催化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80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2021/9/7</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德州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恒源石化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2021/6/18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东营</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富宇石化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2021/9/6</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潍坊</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联盟石化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2021/9/20</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重庆</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龙海石化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150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2021/7月底</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sz w:val="18"/>
                <w:szCs w:val="18"/>
                <w:u w:val="none"/>
              </w:rPr>
              <w:t>2021/10/12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辽宁缘泰</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常减压装置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2021/2/22</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盘锦浩业</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催化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140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2021/3</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大连锦源</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2021/5/6</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黑龙江</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大庆中蓝</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2021/7/25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辽宁华锦</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600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2021/7/15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沈阳蜡化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70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2021/11/12</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eastAsia="zh-CN"/>
              </w:rPr>
            </w:pPr>
            <w:r>
              <w:rPr>
                <w:rFonts w:hint="eastAsia" w:ascii="宋体" w:hAnsi="宋体" w:eastAsia="宋体" w:cs="宋体"/>
                <w:i w:val="0"/>
                <w:iCs w:val="0"/>
                <w:color w:val="auto"/>
                <w:sz w:val="18"/>
                <w:szCs w:val="18"/>
                <w:u w:val="none"/>
              </w:rPr>
              <w:t>西</w:t>
            </w:r>
            <w:r>
              <w:rPr>
                <w:rFonts w:hint="eastAsia" w:ascii="宋体" w:hAnsi="宋体" w:eastAsia="宋体" w:cs="宋体"/>
                <w:i w:val="0"/>
                <w:iCs w:val="0"/>
                <w:color w:val="auto"/>
                <w:sz w:val="18"/>
                <w:szCs w:val="18"/>
                <w:u w:val="none"/>
                <w:lang w:eastAsia="zh-CN"/>
              </w:rPr>
              <w:t>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宝利新能源</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80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宁鲁石化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陕西</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永坪炼油厂</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催化、常减压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2021/11/1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华东</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江苏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新海石化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2021/3/25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华北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丰利石化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2021/6/11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丰利石化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2021/11/4</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河北鑫海</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600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2021/7/5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2021/8/15</w:t>
            </w:r>
          </w:p>
        </w:tc>
      </w:tr>
    </w:tbl>
    <w:p>
      <w:pPr>
        <w:rPr>
          <w:rFonts w:hint="eastAsia"/>
          <w:color w:val="auto"/>
        </w:rPr>
      </w:pPr>
    </w:p>
    <w:p>
      <w:pPr>
        <w:pStyle w:val="3"/>
        <w:spacing w:before="120" w:after="120" w:line="240" w:lineRule="auto"/>
        <w:rPr>
          <w:rFonts w:hint="eastAsia" w:ascii="宋体" w:hAnsi="宋体"/>
          <w:b/>
          <w:color w:val="auto"/>
          <w:sz w:val="30"/>
          <w:szCs w:val="30"/>
          <w:highlight w:val="none"/>
        </w:rPr>
      </w:pPr>
      <w:bookmarkStart w:id="19" w:name="_Toc816"/>
      <w:r>
        <w:rPr>
          <w:rFonts w:hint="eastAsia" w:ascii="宋体" w:hAnsi="宋体"/>
          <w:b/>
          <w:color w:val="auto"/>
          <w:sz w:val="30"/>
          <w:szCs w:val="30"/>
          <w:highlight w:val="none"/>
        </w:rPr>
        <w:t>3.2本周成品油市场行情</w:t>
      </w:r>
      <w:bookmarkEnd w:id="19"/>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国际原油以震荡上涨为主，华中地区主营汽柴油价格宽幅下行。周前期，零售价下调概率犹存，华中地区内汽油供应较为充足，因天气转凉，私家车出行半径稍有增加，但受疫情影响，人们出行依旧偏谨慎，汽油需求整体清淡，油价以稳续市;区内柴油资源供应偏紧，随着气温逐渐下降，下游基建工程等开工率逐步走跌，柴油市场需求有所减少，基本面空好交织，柴油批发价格高价维稳。周后期，气温不断回落，汽油刚需支撑市场，投机操作逐渐减少，主营出货一般，区内油价稳中下滑;临近年底，户外工程积极赶工，加之双十二促销，物流行业运输繁忙，柴油需求尚可，区内柴油批发价格个别下调。区内主营单位基本完成年度销售任务，目前销售政策大多保利润为主，加之，资源供应依然趋紧，汽柴跌幅有限，业者入市相对谨慎多随用随采，市场成交以刚需小单为主，市场活跃度较低。</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华东地区受疫情反复影响，让本就处于消费淡季的汽油雪上加霜，山东和江苏地区主营汽油价格稳中下滑，而柴油受部分单位现货资源偏紧影响，抗跌性相对较强，下跌幅度有限。周内汽柴行情坚挺为主，柴油价格多处于限价水平，实际成交具体商谈。据了解，部分未完成销售任务的单位为了出货不乏积极开展促销活动，然无明显效果，市场整体成交气氛表现清淡。当前油价走势仍不明朗，本轮零售限价大概率将会兑现下调预期，消息面支撑不足，且叠加中间商避险情绪浓厚，将继续拖累市场交投积极性，市场交投气氛短期难有改善。</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国际原油以震荡上涨为主，华南地区主营汽柴下跌为主，区内部分主营柴油现货资源偏紧，限量销售，而柴油价格涨至批发限价，继续上涨空间有限，并且下一轮零售价大概率下调，中下游多消库观望。区内汽油资源充足，并且主营多出货为主，成交较为清淡。目前来看，临近年底，华南地区主营年度任务基本能完成，加上部分省份柴油现货仍偏紧，限量销售为主。部分省份疫情管控升级，影响人们出行，并且目前汽油货源充足。明日(12月17日24时)零售价大概率下调，中下游拿货积极性不高，多等待零售调整后补货。预计下周华南地区汽柴油将有下降趋势。</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华北地区，原油收盘价格高位震荡，消息面对市场指引有限，本周区内汽柴价格小幅震荡。汽油方面，车辆出行随着天气转冷和疫情影响而减少，社会库存较为充足，目前市场进入消库阶段，而且本周市场较为动荡，市场观望情绪渐起，采购操作谨慎;柴油方面，由于冬奥会临近，环保检查与限产政策预期促使画外开工减少，导致需求面缺少支撑，目前柴油价格处于高位，而中下游对高位资源接纳性一般，实际成交皆为刚需。本周主营出货步伐减缓，部分单位为出货排库，降价促销，但市场反响一般，实盘成交优惠可谈。</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西北区域主营油价连续下跌。周前期，区内主营落实年内最大降幅成品油零售限价政策后，批发价格基本维稳，终端市场需求有限，无利好消息支撑，业者更倾向于观望，采购按需为主。周中期，原油变化率处于负值区间收窄，区内主营汽柴油资源充足，伴随气温降低及疫情反复，终端业者补货操作有限，基本完成销售任务后，年底主营侧重保利，价格相对坚挺。周末期，区内主营单位油价基本稳定，宁夏地炼批发价格承压下跌，业者的观望情绪增强，下游接货热情受挫，主营出货量少，成交按量优惠，地炼库存积压，批发价格连续走跌。</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西南地区主营价格小调大稳，原油收盘震荡运行，零售限价下调宽度持续收窄。汽油方面，汽油进入需求淡季，主营单位挂价虚高，实际成交优惠宽松。同时疫情来袭，居民出行半径收缩，汽油刚需支撑。柴油方面，柴油水路资源到货不畅，导致柴油资源紧张，柴油价格保持坚挺;整体来说本周市场成交清淡，交投氛围较上周未有明显改观。具体来说，周期前，油收收盘维持小幅上涨走势，受此影响，主营单位大多尝试小幅上涨，柴油因资源趋紧等问题价格也涨至零售限价附近。虽主营单位为完成年度销售任务积极走货，但市场需求疲软，市场走货仅维持刚需。周期后，原油收盘震荡运行，主营汽柴油价格稳中小调，大多持稳运行</w:t>
      </w:r>
      <w:bookmarkStart w:id="35" w:name="_GoBack"/>
      <w:bookmarkEnd w:id="35"/>
      <w:r>
        <w:rPr>
          <w:rFonts w:hint="default" w:ascii="宋体" w:hAnsi="宋体" w:eastAsia="宋体" w:cs="宋体"/>
          <w:color w:val="auto"/>
          <w:kern w:val="2"/>
          <w:sz w:val="18"/>
          <w:szCs w:val="18"/>
          <w:shd w:val="clear" w:color="auto" w:fill="FFFFFF"/>
          <w:lang w:eastAsia="zh-CN"/>
        </w:rPr>
        <w:t>。柴油资源持续吃紧，临近年末，各主营年度销售任务基本完成，销售政策逐渐倾向保利润为主。加上部分单位柴油实物资源趋紧，库存水平偏低，挺价意向较高，之后主营单位大多观望市场，等待零售限价下调。</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10日-12月16日)，东北地区内部分地区汽柴油价格小幅调整。汽油方面，需求乏实质性利好，短期内需求方面难有提升，市场观望氛围仍存，业者订货积极性不高，刚需维持市场稳定。柴油面，由于春节前部分户外工程赶工，柴油需求存在一定支撑，部分主营销售单位0#柴油价格试探性上调。周后期，主营单位销售任务陆续完成，挺价保利意愿增强，加之柴油资源趋紧，0#柴油价格大多处于限价水平，但业者拿货意愿不高，多按需购买，整体成交情况一般。</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后市预测：预计原油期货或区间震荡，零售价下调概率犹存，消息方面偏空指引，天气转凉，私家车出行增加，支撑汽油需求，柴油资源偏紧，但柴油需求逐渐转弱，元旦假期前期，主营单位挺价意愿偏强，价格方面略有支撑，预计主营汽柴油批发价格或会小幅走跌。</w:t>
      </w:r>
    </w:p>
    <w:p>
      <w:pPr>
        <w:pStyle w:val="3"/>
        <w:spacing w:before="120" w:after="120" w:line="240" w:lineRule="auto"/>
        <w:rPr>
          <w:rFonts w:ascii="宋体" w:hAnsi="宋体"/>
          <w:b/>
          <w:color w:val="auto"/>
          <w:sz w:val="30"/>
          <w:szCs w:val="30"/>
        </w:rPr>
      </w:pPr>
      <w:bookmarkStart w:id="20" w:name="_Toc14270"/>
      <w:r>
        <w:rPr>
          <w:rFonts w:hint="eastAsia" w:ascii="宋体" w:hAnsi="宋体"/>
          <w:b/>
          <w:color w:val="auto"/>
          <w:sz w:val="30"/>
          <w:szCs w:val="30"/>
        </w:rPr>
        <w:t>3.3 国内汽油价格周报</w:t>
      </w:r>
      <w:bookmarkEnd w:id="20"/>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p>
      <w:pPr>
        <w:rPr>
          <w:rFonts w:hint="eastAsia"/>
          <w:color w:val="auto"/>
        </w:rPr>
      </w:pPr>
    </w:p>
    <w:p>
      <w:pPr>
        <w:rPr>
          <w:rFonts w:hint="eastAsia"/>
          <w:color w:val="auto"/>
        </w:rPr>
      </w:pPr>
    </w:p>
    <w:tbl>
      <w:tblPr>
        <w:tblStyle w:val="24"/>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0"/>
        <w:gridCol w:w="945"/>
        <w:gridCol w:w="1065"/>
        <w:gridCol w:w="1020"/>
        <w:gridCol w:w="1080"/>
        <w:gridCol w:w="1290"/>
        <w:gridCol w:w="792"/>
        <w:gridCol w:w="120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blHeader/>
          <w:jc w:val="center"/>
        </w:trPr>
        <w:tc>
          <w:tcPr>
            <w:tcW w:w="8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地区</w:t>
            </w:r>
          </w:p>
        </w:tc>
        <w:tc>
          <w:tcPr>
            <w:tcW w:w="9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城市</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企业性质</w:t>
            </w:r>
          </w:p>
        </w:tc>
        <w:tc>
          <w:tcPr>
            <w:tcW w:w="10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型号</w:t>
            </w:r>
          </w:p>
        </w:tc>
        <w:tc>
          <w:tcPr>
            <w:tcW w:w="12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价格类型</w:t>
            </w:r>
          </w:p>
        </w:tc>
        <w:tc>
          <w:tcPr>
            <w:tcW w:w="79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2021/12/16</w:t>
            </w:r>
          </w:p>
        </w:tc>
        <w:tc>
          <w:tcPr>
            <w:tcW w:w="114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89#</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8120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8108</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8308</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任丘市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7885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8285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开封市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7885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九江市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bl>
    <w:p>
      <w:pPr>
        <w:pStyle w:val="3"/>
        <w:spacing w:before="120" w:after="120" w:line="240" w:lineRule="auto"/>
        <w:rPr>
          <w:rFonts w:hint="eastAsia" w:ascii="宋体" w:hAnsi="宋体"/>
          <w:b/>
          <w:color w:val="auto"/>
          <w:sz w:val="30"/>
          <w:szCs w:val="30"/>
          <w:lang w:val="en-US" w:eastAsia="zh-CN"/>
        </w:rPr>
      </w:pPr>
      <w:bookmarkStart w:id="21" w:name="_Toc28195"/>
      <w:r>
        <w:rPr>
          <w:rFonts w:hint="eastAsia" w:ascii="宋体" w:hAnsi="宋体"/>
          <w:b/>
          <w:color w:val="auto"/>
          <w:sz w:val="30"/>
          <w:szCs w:val="30"/>
          <w:lang w:val="en-US" w:eastAsia="zh-CN"/>
        </w:rPr>
        <w:t>3.4国内柴油价格周报</w:t>
      </w:r>
      <w:bookmarkEnd w:id="21"/>
    </w:p>
    <w:p>
      <w:pPr>
        <w:jc w:val="right"/>
        <w:rPr>
          <w:rFonts w:hint="eastAsia"/>
          <w:color w:val="auto"/>
          <w:lang w:val="en-US" w:eastAsia="zh-CN"/>
        </w:rPr>
      </w:pPr>
      <w:r>
        <w:rPr>
          <w:rFonts w:hint="eastAsia" w:ascii="宋体" w:hAnsi="宋体" w:eastAsia="宋体" w:cs="宋体"/>
          <w:color w:val="auto"/>
          <w:sz w:val="18"/>
          <w:szCs w:val="18"/>
          <w:lang w:val="en-US" w:eastAsia="zh-CN"/>
        </w:rPr>
        <w:t>单位：元/吨</w:t>
      </w:r>
    </w:p>
    <w:tbl>
      <w:tblPr>
        <w:tblStyle w:val="2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85"/>
        <w:gridCol w:w="1080"/>
        <w:gridCol w:w="990"/>
        <w:gridCol w:w="1095"/>
        <w:gridCol w:w="990"/>
        <w:gridCol w:w="1170"/>
        <w:gridCol w:w="765"/>
        <w:gridCol w:w="11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 w:hRule="atLeast"/>
          <w:tblHeader/>
          <w:jc w:val="center"/>
        </w:trPr>
        <w:tc>
          <w:tcPr>
            <w:tcW w:w="88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地区</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城市</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企业性质</w:t>
            </w:r>
          </w:p>
        </w:tc>
        <w:tc>
          <w:tcPr>
            <w:tcW w:w="10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产品名称</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型号</w:t>
            </w:r>
          </w:p>
        </w:tc>
        <w:tc>
          <w:tcPr>
            <w:tcW w:w="11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价格类型</w:t>
            </w:r>
          </w:p>
        </w:tc>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涨跌</w:t>
            </w:r>
          </w:p>
        </w:tc>
        <w:tc>
          <w:tcPr>
            <w:tcW w:w="115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2021/12/16</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吉林中油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9154</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9154</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6.79</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7595</w:t>
            </w:r>
          </w:p>
        </w:tc>
      </w:tr>
    </w:tbl>
    <w:p>
      <w:pPr>
        <w:rPr>
          <w:rFonts w:hint="eastAsia" w:eastAsia="宋体"/>
          <w:color w:val="auto"/>
          <w:lang w:val="en-US" w:eastAsia="zh-CN"/>
        </w:rPr>
      </w:pPr>
    </w:p>
    <w:p>
      <w:pPr>
        <w:rPr>
          <w:rFonts w:hint="eastAsia" w:eastAsia="宋体"/>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2" w:name="_Toc20471"/>
      <w:r>
        <w:rPr>
          <w:rFonts w:hint="eastAsia" w:ascii="宋体" w:hAnsi="宋体"/>
          <w:b/>
          <w:color w:val="auto"/>
          <w:sz w:val="30"/>
          <w:szCs w:val="30"/>
          <w:lang w:val="en-US" w:eastAsia="zh-CN"/>
        </w:rPr>
        <w:t>3.5 山东地炼汽油出厂价格周报</w:t>
      </w:r>
      <w:bookmarkEnd w:id="22"/>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tbl>
      <w:tblPr>
        <w:tblStyle w:val="2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65"/>
        <w:gridCol w:w="855"/>
        <w:gridCol w:w="1845"/>
        <w:gridCol w:w="1334"/>
        <w:gridCol w:w="975"/>
        <w:gridCol w:w="735"/>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2" w:hRule="atLeast"/>
          <w:tblHeader/>
          <w:jc w:val="center"/>
        </w:trPr>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省份</w:t>
            </w:r>
          </w:p>
        </w:tc>
        <w:tc>
          <w:tcPr>
            <w:tcW w:w="85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8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34"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3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2021/12/16</w:t>
            </w:r>
          </w:p>
        </w:tc>
        <w:tc>
          <w:tcPr>
            <w:tcW w:w="121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7443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7593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7843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7684</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华星石化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高标国VI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7905</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7393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7543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bl>
    <w:p>
      <w:pPr>
        <w:jc w:val="center"/>
        <w:rPr>
          <w:rFonts w:hint="eastAsia"/>
          <w:color w:val="auto"/>
          <w:lang w:val="en-US" w:eastAsia="zh-CN"/>
        </w:rPr>
      </w:pPr>
    </w:p>
    <w:p>
      <w:pPr>
        <w:jc w:val="center"/>
        <w:rPr>
          <w:rFonts w:hint="eastAsia"/>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3" w:name="_Toc22494"/>
      <w:r>
        <w:rPr>
          <w:rFonts w:hint="eastAsia" w:ascii="宋体" w:hAnsi="宋体"/>
          <w:b/>
          <w:color w:val="auto"/>
          <w:sz w:val="30"/>
          <w:szCs w:val="30"/>
          <w:lang w:val="en-US" w:eastAsia="zh-CN"/>
        </w:rPr>
        <w:t>3.6 山东地炼柴油出厂价格周报</w:t>
      </w:r>
      <w:bookmarkEnd w:id="23"/>
    </w:p>
    <w:p>
      <w:pPr>
        <w:jc w:val="right"/>
        <w:rPr>
          <w:rFonts w:hint="eastAsia" w:ascii="宋体" w:hAnsi="宋体" w:eastAsia="宋体" w:cs="宋体"/>
          <w:b/>
          <w:color w:val="auto"/>
          <w:sz w:val="18"/>
          <w:szCs w:val="18"/>
          <w:lang w:val="en-US" w:eastAsia="zh-CN"/>
        </w:rPr>
      </w:pPr>
      <w:r>
        <w:rPr>
          <w:rFonts w:hint="eastAsia" w:ascii="宋体" w:hAnsi="宋体" w:eastAsia="宋体" w:cs="宋体"/>
          <w:bCs/>
          <w:color w:val="auto"/>
          <w:sz w:val="18"/>
          <w:szCs w:val="18"/>
          <w:lang w:val="en-US" w:eastAsia="zh-CN"/>
        </w:rPr>
        <w:t>单位：元/吨</w:t>
      </w:r>
    </w:p>
    <w:p>
      <w:pPr>
        <w:rPr>
          <w:rFonts w:hint="eastAsia"/>
          <w:b/>
          <w:bCs/>
          <w:color w:val="auto"/>
          <w:lang w:val="en-US" w:eastAsia="zh-CN"/>
        </w:rPr>
      </w:pPr>
    </w:p>
    <w:tbl>
      <w:tblPr>
        <w:tblStyle w:val="2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0"/>
        <w:gridCol w:w="1065"/>
        <w:gridCol w:w="1545"/>
        <w:gridCol w:w="1395"/>
        <w:gridCol w:w="900"/>
        <w:gridCol w:w="720"/>
        <w:gridCol w:w="12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3" w:hRule="atLeast"/>
          <w:tblHeader/>
          <w:jc w:val="center"/>
        </w:trPr>
        <w:tc>
          <w:tcPr>
            <w:tcW w:w="81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4" w:name="_Toc711"/>
            <w:bookmarkStart w:id="25" w:name="_Toc23056"/>
            <w:bookmarkStart w:id="26" w:name="_Toc533771879"/>
            <w:r>
              <w:rPr>
                <w:rFonts w:hint="eastAsia" w:ascii="宋体" w:hAnsi="宋体" w:eastAsia="宋体" w:cs="宋体"/>
                <w:b/>
                <w:i w:val="0"/>
                <w:color w:val="auto"/>
                <w:kern w:val="0"/>
                <w:sz w:val="18"/>
                <w:szCs w:val="18"/>
                <w:u w:val="none"/>
                <w:lang w:val="en-US" w:eastAsia="zh-CN" w:bidi="ar"/>
              </w:rPr>
              <w:t>省份</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5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7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2021/12/16</w:t>
            </w:r>
          </w:p>
        </w:tc>
        <w:tc>
          <w:tcPr>
            <w:tcW w:w="12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7053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7166</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7221</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7418</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柴油</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华星石化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6930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国六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7060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海化石化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6850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7240</w:t>
            </w:r>
          </w:p>
        </w:tc>
      </w:tr>
    </w:tbl>
    <w:p>
      <w:pPr>
        <w:pStyle w:val="2"/>
        <w:numPr>
          <w:ilvl w:val="0"/>
          <w:numId w:val="0"/>
        </w:numPr>
        <w:spacing w:before="120" w:after="0" w:line="240" w:lineRule="auto"/>
        <w:rPr>
          <w:rFonts w:hint="eastAsia"/>
          <w:b/>
          <w:color w:val="auto"/>
          <w:sz w:val="36"/>
          <w:szCs w:val="36"/>
          <w:lang w:val="en-US" w:eastAsia="zh-CN"/>
        </w:rPr>
      </w:pPr>
      <w:bookmarkStart w:id="27" w:name="_Toc17074"/>
      <w:r>
        <w:rPr>
          <w:rFonts w:hint="eastAsia"/>
          <w:b/>
          <w:color w:val="auto"/>
          <w:sz w:val="36"/>
          <w:szCs w:val="36"/>
          <w:lang w:val="en-US" w:eastAsia="zh-CN"/>
        </w:rPr>
        <w:t>四、2021年10月份进出口统计数据</w:t>
      </w:r>
      <w:bookmarkEnd w:id="24"/>
      <w:bookmarkEnd w:id="27"/>
    </w:p>
    <w:p>
      <w:pPr>
        <w:pStyle w:val="3"/>
        <w:spacing w:before="120" w:after="120" w:line="240" w:lineRule="auto"/>
        <w:rPr>
          <w:rFonts w:hint="eastAsia" w:ascii="宋体" w:hAnsi="宋体"/>
          <w:b/>
          <w:color w:val="auto"/>
          <w:sz w:val="32"/>
          <w:szCs w:val="32"/>
        </w:rPr>
      </w:pPr>
      <w:bookmarkStart w:id="28" w:name="_Toc31314"/>
      <w:bookmarkStart w:id="29" w:name="_Toc6798"/>
      <w:r>
        <w:rPr>
          <w:rFonts w:hint="eastAsia" w:ascii="宋体" w:hAnsi="宋体"/>
          <w:b/>
          <w:color w:val="auto"/>
          <w:sz w:val="32"/>
          <w:szCs w:val="32"/>
        </w:rPr>
        <w:t>4.</w:t>
      </w:r>
      <w:bookmarkEnd w:id="28"/>
      <w:r>
        <w:rPr>
          <w:rFonts w:hint="eastAsia" w:ascii="宋体" w:hAnsi="宋体"/>
          <w:b/>
          <w:color w:val="auto"/>
          <w:sz w:val="32"/>
          <w:szCs w:val="32"/>
          <w:lang w:val="en-US" w:eastAsia="zh-CN"/>
        </w:rPr>
        <w:t xml:space="preserve">1 </w:t>
      </w:r>
      <w:r>
        <w:rPr>
          <w:rFonts w:hint="eastAsia" w:ascii="宋体" w:hAnsi="宋体"/>
          <w:b/>
          <w:color w:val="auto"/>
          <w:sz w:val="32"/>
          <w:szCs w:val="32"/>
        </w:rPr>
        <w:t>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10</w:t>
      </w:r>
      <w:r>
        <w:rPr>
          <w:rFonts w:hint="eastAsia" w:ascii="宋体" w:hAnsi="宋体"/>
          <w:b/>
          <w:color w:val="auto"/>
          <w:sz w:val="32"/>
          <w:szCs w:val="32"/>
        </w:rPr>
        <w:t>份全国车用汽油和航空汽油出口统计数据</w:t>
      </w:r>
      <w:bookmarkEnd w:id="29"/>
    </w:p>
    <w:p>
      <w:pPr>
        <w:rPr>
          <w:rFonts w:hint="eastAsia"/>
          <w:bCs/>
          <w:color w:val="auto"/>
          <w:szCs w:val="21"/>
        </w:rPr>
      </w:pPr>
      <w:r>
        <w:rPr>
          <w:rFonts w:hint="eastAsia"/>
          <w:bCs/>
          <w:color w:val="auto"/>
          <w:szCs w:val="21"/>
        </w:rPr>
        <w:t>单位：</w:t>
      </w:r>
      <w:r>
        <w:rPr>
          <w:rFonts w:hint="eastAsia"/>
          <w:bCs/>
          <w:color w:val="auto"/>
          <w:szCs w:val="21"/>
          <w:lang w:eastAsia="zh-CN"/>
        </w:rPr>
        <w:t>吨</w:t>
      </w:r>
      <w:r>
        <w:rPr>
          <w:rFonts w:hint="eastAsia"/>
          <w:bCs/>
          <w:color w:val="auto"/>
          <w:szCs w:val="21"/>
        </w:rPr>
        <w:t>，美元</w:t>
      </w:r>
    </w:p>
    <w:p>
      <w:pPr>
        <w:rPr>
          <w:rFonts w:hint="eastAsia"/>
          <w:color w:val="auto"/>
        </w:rPr>
      </w:pPr>
    </w:p>
    <w:p>
      <w:pPr>
        <w:rPr>
          <w:rFonts w:hint="eastAsia"/>
          <w:color w:val="auto"/>
        </w:rPr>
      </w:pPr>
    </w:p>
    <w:tbl>
      <w:tblPr>
        <w:tblStyle w:val="24"/>
        <w:tblW w:w="8700" w:type="dxa"/>
        <w:jc w:val="center"/>
        <w:shd w:val="clear" w:color="auto" w:fill="auto"/>
        <w:tblLayout w:type="autofit"/>
        <w:tblCellMar>
          <w:top w:w="0" w:type="dxa"/>
          <w:left w:w="0" w:type="dxa"/>
          <w:bottom w:w="0" w:type="dxa"/>
          <w:right w:w="0" w:type="dxa"/>
        </w:tblCellMar>
      </w:tblPr>
      <w:tblGrid>
        <w:gridCol w:w="3405"/>
        <w:gridCol w:w="1665"/>
        <w:gridCol w:w="1785"/>
        <w:gridCol w:w="1845"/>
      </w:tblGrid>
      <w:tr>
        <w:tblPrEx>
          <w:shd w:val="clear" w:color="auto" w:fill="auto"/>
          <w:tblCellMar>
            <w:top w:w="0" w:type="dxa"/>
            <w:left w:w="0" w:type="dxa"/>
            <w:bottom w:w="0" w:type="dxa"/>
            <w:right w:w="0" w:type="dxa"/>
          </w:tblCellMar>
        </w:tblPrEx>
        <w:trPr>
          <w:trHeight w:val="48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bookmarkStart w:id="30" w:name="_Toc31064"/>
            <w:r>
              <w:rPr>
                <w:rStyle w:val="28"/>
                <w:rFonts w:hint="eastAsia" w:ascii="宋体" w:hAnsi="宋体" w:eastAsia="宋体" w:cs="宋体"/>
                <w:b/>
                <w:i w:val="0"/>
                <w:caps w:val="0"/>
                <w:color w:val="auto"/>
                <w:spacing w:val="0"/>
                <w:sz w:val="18"/>
                <w:szCs w:val="18"/>
                <w:lang w:val="en-US" w:eastAsia="zh-CN"/>
              </w:rPr>
              <w:t>商品名称</w:t>
            </w:r>
          </w:p>
        </w:tc>
        <w:tc>
          <w:tcPr>
            <w:tcW w:w="16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出口目的地</w:t>
            </w:r>
          </w:p>
        </w:tc>
        <w:tc>
          <w:tcPr>
            <w:tcW w:w="17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数量</w:t>
            </w:r>
          </w:p>
        </w:tc>
        <w:tc>
          <w:tcPr>
            <w:tcW w:w="1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单位</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巴基斯坦</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460072.265</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菲律宾</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248227.6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马来西亚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35000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蒙古</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23187.641</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缅甸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4988.046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9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日本</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4308.649</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沙特阿拉伯</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56492.911</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新加坡</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155958.528</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越南</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15980.18</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中国澳门</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4153.498</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bl>
    <w:p>
      <w:pPr>
        <w:pStyle w:val="3"/>
        <w:spacing w:before="120" w:after="120" w:line="240" w:lineRule="auto"/>
        <w:rPr>
          <w:rFonts w:hint="eastAsia" w:ascii="宋体" w:hAnsi="宋体"/>
          <w:b/>
          <w:color w:val="auto"/>
          <w:sz w:val="32"/>
          <w:szCs w:val="32"/>
        </w:rPr>
      </w:pPr>
      <w:bookmarkStart w:id="31" w:name="_Toc10780"/>
      <w:r>
        <w:rPr>
          <w:rFonts w:hint="eastAsia" w:ascii="宋体" w:hAnsi="宋体"/>
          <w:b/>
          <w:color w:val="auto"/>
          <w:sz w:val="32"/>
          <w:szCs w:val="32"/>
        </w:rPr>
        <w:t>4.2 20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10</w:t>
      </w:r>
      <w:r>
        <w:rPr>
          <w:rFonts w:hint="eastAsia" w:ascii="宋体" w:hAnsi="宋体"/>
          <w:b/>
          <w:color w:val="auto"/>
          <w:sz w:val="32"/>
          <w:szCs w:val="32"/>
        </w:rPr>
        <w:t>月份全国柴油出口统计数据</w:t>
      </w:r>
      <w:bookmarkEnd w:id="30"/>
      <w:bookmarkEnd w:id="31"/>
    </w:p>
    <w:p>
      <w:pPr>
        <w:jc w:val="right"/>
        <w:rPr>
          <w:rFonts w:hint="eastAsia" w:ascii="宋体" w:hAnsi="宋体" w:eastAsia="宋体" w:cs="宋体"/>
          <w:bCs/>
          <w:color w:val="auto"/>
          <w:sz w:val="18"/>
          <w:szCs w:val="18"/>
        </w:rPr>
      </w:pPr>
      <w:r>
        <w:rPr>
          <w:rFonts w:hint="eastAsia" w:ascii="宋体" w:hAnsi="宋体" w:eastAsia="宋体" w:cs="宋体"/>
          <w:bCs/>
          <w:color w:val="auto"/>
          <w:sz w:val="18"/>
          <w:szCs w:val="18"/>
        </w:rPr>
        <w:t>单位：</w:t>
      </w:r>
      <w:r>
        <w:rPr>
          <w:rFonts w:hint="eastAsia" w:ascii="宋体" w:hAnsi="宋体" w:eastAsia="宋体" w:cs="宋体"/>
          <w:bCs/>
          <w:color w:val="auto"/>
          <w:sz w:val="18"/>
          <w:szCs w:val="18"/>
          <w:lang w:eastAsia="zh-CN"/>
        </w:rPr>
        <w:t>吨</w:t>
      </w:r>
      <w:r>
        <w:rPr>
          <w:rFonts w:hint="eastAsia" w:ascii="宋体" w:hAnsi="宋体" w:eastAsia="宋体" w:cs="宋体"/>
          <w:bCs/>
          <w:color w:val="auto"/>
          <w:sz w:val="18"/>
          <w:szCs w:val="18"/>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410"/>
        <w:gridCol w:w="1050"/>
        <w:gridCol w:w="168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blHeader/>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贸易伙伴名称</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数量（吨）</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所占比率</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埃塞俄比亚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99.86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421356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4219.47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安提瓜和巴布达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587.68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2367019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澳大利亚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39924.54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159337586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3990.97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巴哈马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414.41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1690616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巴拿马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26506.87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101406396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伯利兹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319.68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1368486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大洋洲其他国家(地区)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575591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3837.27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丹麦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297469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德国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299.90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1168081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3894.90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多米尼加共和国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59.68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232448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3894.91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俄罗斯联邦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136.00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574011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4220.67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菲律宾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169801.11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594784903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3502.83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韩国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78784.67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14%</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302330897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荷兰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328561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4380.81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克罗地亚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46.98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202999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利比里亚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8792.30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35788219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马耳他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1513.08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6028000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3983.92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马来西亚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696513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4353.21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马绍尔群岛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4372.04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17564244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4017.41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美国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49.98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207646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4154.58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蒙古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3717.48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15716609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4227.76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缅甸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9763.82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41524606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挪威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198.80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811235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帕劳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83.53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359498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4303.82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葡萄牙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1074.32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4196372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日本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5339.55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21564805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4038.70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塞浦路斯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680.30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2881516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4235.65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圣文森特和格林纳丁斯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300.00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1224946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4083.15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泰国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96.12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381857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3972.79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希腊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320.00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1560223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4875.70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新加坡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42426.46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169526756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3995.78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牙买加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107840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印度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58043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印度尼西亚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265.79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1075828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4047.74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英国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1145.00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4680165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4087.48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越南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190.00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828077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智利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38743.08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155166468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中国澳门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1987.05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7515870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3782.42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中国台湾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7707.82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31902550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中国香港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109397.31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402776165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3681.77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合计</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555645.20</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100%</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2091230470.00</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3763.61</w:t>
            </w:r>
          </w:p>
        </w:tc>
      </w:tr>
    </w:tbl>
    <w:p>
      <w:pPr>
        <w:rPr>
          <w:rFonts w:hint="eastAsia"/>
        </w:rPr>
      </w:pPr>
      <w:bookmarkStart w:id="32" w:name="_Toc21887"/>
    </w:p>
    <w:p>
      <w:pPr>
        <w:rPr>
          <w:rFonts w:hint="eastAsia"/>
        </w:rPr>
      </w:pPr>
    </w:p>
    <w:p>
      <w:pPr>
        <w:rPr>
          <w:rFonts w:hint="eastAsia"/>
        </w:rPr>
      </w:pPr>
    </w:p>
    <w:p>
      <w:pPr>
        <w:pStyle w:val="3"/>
        <w:spacing w:before="120" w:after="120" w:line="240" w:lineRule="auto"/>
        <w:rPr>
          <w:rFonts w:hint="eastAsia"/>
          <w:bCs/>
          <w:color w:val="auto"/>
          <w:sz w:val="30"/>
          <w:szCs w:val="30"/>
        </w:rPr>
      </w:pPr>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10</w:t>
      </w:r>
      <w:r>
        <w:rPr>
          <w:rFonts w:hint="eastAsia" w:ascii="宋体" w:hAnsi="宋体"/>
          <w:b/>
          <w:color w:val="auto"/>
          <w:sz w:val="30"/>
          <w:szCs w:val="30"/>
        </w:rPr>
        <w:t>月份全国原油进出口统计数据</w:t>
      </w:r>
      <w:bookmarkEnd w:id="25"/>
      <w:bookmarkEnd w:id="32"/>
    </w:p>
    <w:p>
      <w:pPr>
        <w:jc w:val="right"/>
        <w:rPr>
          <w:rFonts w:hint="eastAsia"/>
          <w:bCs/>
          <w:color w:val="auto"/>
          <w:sz w:val="18"/>
          <w:szCs w:val="18"/>
        </w:rPr>
      </w:pPr>
      <w:r>
        <w:rPr>
          <w:rFonts w:hint="eastAsia"/>
          <w:bCs/>
          <w:color w:val="auto"/>
          <w:sz w:val="18"/>
          <w:szCs w:val="18"/>
        </w:rPr>
        <w:t>单位：</w:t>
      </w:r>
      <w:r>
        <w:rPr>
          <w:rFonts w:hint="eastAsia"/>
          <w:bCs/>
          <w:color w:val="auto"/>
          <w:sz w:val="18"/>
          <w:szCs w:val="18"/>
          <w:lang w:eastAsia="zh-CN"/>
        </w:rPr>
        <w:t>吨</w:t>
      </w:r>
      <w:r>
        <w:rPr>
          <w:rFonts w:hint="eastAsia"/>
          <w:bCs/>
          <w:color w:val="auto"/>
          <w:sz w:val="18"/>
          <w:szCs w:val="18"/>
        </w:rPr>
        <w:t>，美元</w:t>
      </w:r>
    </w:p>
    <w:p>
      <w:pPr>
        <w:jc w:val="right"/>
        <w:rPr>
          <w:rFonts w:hint="eastAsia" w:ascii="宋体" w:hAnsi="宋体"/>
        </w:rPr>
      </w:pPr>
      <w:bookmarkStart w:id="33" w:name="_Toc20776"/>
      <w:bookmarkStart w:id="34" w:name="_Toc9952"/>
    </w:p>
    <w:tbl>
      <w:tblPr>
        <w:tblStyle w:val="24"/>
        <w:tblW w:w="4308" w:type="pct"/>
        <w:tblInd w:w="679" w:type="dxa"/>
        <w:tblLayout w:type="autofit"/>
        <w:tblCellMar>
          <w:top w:w="0" w:type="dxa"/>
          <w:left w:w="108" w:type="dxa"/>
          <w:bottom w:w="0" w:type="dxa"/>
          <w:right w:w="108" w:type="dxa"/>
        </w:tblCellMar>
      </w:tblPr>
      <w:tblGrid>
        <w:gridCol w:w="2210"/>
        <w:gridCol w:w="1943"/>
        <w:gridCol w:w="2086"/>
        <w:gridCol w:w="2349"/>
      </w:tblGrid>
      <w:tr>
        <w:tblPrEx>
          <w:tblCellMar>
            <w:top w:w="0" w:type="dxa"/>
            <w:left w:w="108" w:type="dxa"/>
            <w:bottom w:w="0" w:type="dxa"/>
            <w:right w:w="108" w:type="dxa"/>
          </w:tblCellMar>
        </w:tblPrEx>
        <w:trPr>
          <w:trHeight w:val="345" w:hRule="atLeast"/>
          <w:tblHeader/>
        </w:trPr>
        <w:tc>
          <w:tcPr>
            <w:tcW w:w="1286"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国家</w:t>
            </w:r>
          </w:p>
        </w:tc>
        <w:tc>
          <w:tcPr>
            <w:tcW w:w="113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万吨</w:t>
            </w:r>
          </w:p>
        </w:tc>
        <w:tc>
          <w:tcPr>
            <w:tcW w:w="1214"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67"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进口均价（美元/吨）</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沙特阿拉伯</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709.27</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389889.45</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549.7</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俄罗斯联邦</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664.32</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366627.3</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551.88</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伊拉克</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460.96</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245170.48</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531.87</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阿曼</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343.09</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192492.42</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561.06</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安哥拉</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303.83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163276.74</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537.4</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科威特</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239.43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134769.06</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562.87</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阿联酋</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202.51</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117292.47</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579.19</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马来西亚</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177.06</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89681.48</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506.51</w:t>
            </w:r>
          </w:p>
        </w:tc>
      </w:tr>
      <w:tr>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巴西</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151.78</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80621.33</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531.18</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刚果(布)</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93.2</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49864.13</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535.05</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英国</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56.23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31634.36</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562.56</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哥伦比亚</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55.76</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27674.45</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496.31</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卡塔尔</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53.33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33028.72</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619.38</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利比亚</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41.52</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25364.07</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610.83</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挪威</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40.93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21865.87</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534.18</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哈萨克斯坦</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31.66</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18406.99</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581.36</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加拿大</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29.14</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14891.9</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510.99</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厄瓜多尔</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21.05</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10332.09</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490.8</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赤道几内亚</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20.2</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12475.56</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617.74</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喀麦隆</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13.37</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7121.67</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532.65</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美国</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13.31</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8763.36</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658.57</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尼日利亚</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13.3</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8584.14</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645.53</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加纳</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12.6</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7453.31</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591.57</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加蓬</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12.38</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6305.11</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509.24</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东帝汶</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7.85</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5217.68</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664.89</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泰国</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3.97</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2361.46</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594.15</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蒙古</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3.85</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1732.3</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449.76</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越南</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2341.29</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615.79</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3779.7</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2075239.2</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549.05</w:t>
            </w:r>
          </w:p>
        </w:tc>
      </w:tr>
      <w:tr>
        <w:tblPrEx>
          <w:tblCellMar>
            <w:top w:w="0" w:type="dxa"/>
            <w:left w:w="108" w:type="dxa"/>
            <w:bottom w:w="0" w:type="dxa"/>
            <w:right w:w="108" w:type="dxa"/>
          </w:tblCellMar>
        </w:tblPrEx>
        <w:trPr>
          <w:trHeight w:val="330" w:hRule="atLeast"/>
        </w:trPr>
        <w:tc>
          <w:tcPr>
            <w:tcW w:w="1286" w:type="pct"/>
            <w:tcBorders>
              <w:top w:val="nil"/>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出口国家</w:t>
            </w:r>
          </w:p>
        </w:tc>
        <w:tc>
          <w:tcPr>
            <w:tcW w:w="1131"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万吨</w:t>
            </w:r>
          </w:p>
        </w:tc>
        <w:tc>
          <w:tcPr>
            <w:tcW w:w="1214"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67"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均价（美元/吨）</w:t>
            </w:r>
          </w:p>
        </w:tc>
      </w:tr>
      <w:tr>
        <w:tblPrEx>
          <w:tblCellMar>
            <w:top w:w="0" w:type="dxa"/>
            <w:left w:w="108" w:type="dxa"/>
            <w:bottom w:w="0" w:type="dxa"/>
            <w:right w:w="108" w:type="dxa"/>
          </w:tblCellMar>
        </w:tblPrEx>
        <w:trPr>
          <w:trHeight w:val="270" w:hRule="atLeast"/>
        </w:trPr>
        <w:tc>
          <w:tcPr>
            <w:tcW w:w="128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印度</w:t>
            </w:r>
          </w:p>
        </w:tc>
        <w:tc>
          <w:tcPr>
            <w:tcW w:w="11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w:t>
            </w:r>
          </w:p>
        </w:tc>
        <w:tc>
          <w:tcPr>
            <w:tcW w:w="121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4125.05</w:t>
            </w:r>
          </w:p>
        </w:tc>
        <w:tc>
          <w:tcPr>
            <w:tcW w:w="136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484</w:t>
            </w:r>
          </w:p>
        </w:tc>
      </w:tr>
    </w:tbl>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tbl>
      <w:tblPr>
        <w:tblStyle w:val="24"/>
        <w:tblW w:w="4354" w:type="pct"/>
        <w:tblInd w:w="649" w:type="dxa"/>
        <w:tblLayout w:type="autofit"/>
        <w:tblCellMar>
          <w:top w:w="0" w:type="dxa"/>
          <w:left w:w="108" w:type="dxa"/>
          <w:bottom w:w="0" w:type="dxa"/>
          <w:right w:w="108" w:type="dxa"/>
        </w:tblCellMar>
      </w:tblPr>
      <w:tblGrid>
        <w:gridCol w:w="2238"/>
        <w:gridCol w:w="1931"/>
        <w:gridCol w:w="2098"/>
        <w:gridCol w:w="2413"/>
      </w:tblGrid>
      <w:tr>
        <w:trPr>
          <w:trHeight w:val="330" w:hRule="atLeast"/>
        </w:trPr>
        <w:tc>
          <w:tcPr>
            <w:tcW w:w="1289"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贸易方式</w:t>
            </w:r>
          </w:p>
        </w:tc>
        <w:tc>
          <w:tcPr>
            <w:tcW w:w="1112"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万吨</w:t>
            </w:r>
          </w:p>
        </w:tc>
        <w:tc>
          <w:tcPr>
            <w:tcW w:w="1208"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89"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进口均价（美元/吨）</w:t>
            </w:r>
          </w:p>
        </w:tc>
      </w:tr>
      <w:tr>
        <w:tblPrEx>
          <w:tblCellMar>
            <w:top w:w="0" w:type="dxa"/>
            <w:left w:w="108" w:type="dxa"/>
            <w:bottom w:w="0" w:type="dxa"/>
            <w:right w:w="108" w:type="dxa"/>
          </w:tblCellMar>
        </w:tblPrEx>
        <w:trPr>
          <w:trHeight w:val="270" w:hRule="atLeast"/>
        </w:trPr>
        <w:tc>
          <w:tcPr>
            <w:tcW w:w="128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一般贸易</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2818.17</w:t>
            </w:r>
          </w:p>
        </w:tc>
        <w:tc>
          <w:tcPr>
            <w:tcW w:w="12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1544228.73</w:t>
            </w:r>
          </w:p>
        </w:tc>
        <w:tc>
          <w:tcPr>
            <w:tcW w:w="138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547.95</w:t>
            </w:r>
          </w:p>
        </w:tc>
      </w:tr>
      <w:tr>
        <w:trPr>
          <w:trHeight w:val="330" w:hRule="atLeast"/>
        </w:trPr>
        <w:tc>
          <w:tcPr>
            <w:tcW w:w="128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来料加工贸易</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219.42</w:t>
            </w:r>
          </w:p>
        </w:tc>
        <w:tc>
          <w:tcPr>
            <w:tcW w:w="12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120250.44</w:t>
            </w:r>
          </w:p>
        </w:tc>
        <w:tc>
          <w:tcPr>
            <w:tcW w:w="138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548.05</w:t>
            </w:r>
          </w:p>
        </w:tc>
      </w:tr>
      <w:tr>
        <w:tblPrEx>
          <w:tblCellMar>
            <w:top w:w="0" w:type="dxa"/>
            <w:left w:w="108" w:type="dxa"/>
            <w:bottom w:w="0" w:type="dxa"/>
            <w:right w:w="108" w:type="dxa"/>
          </w:tblCellMar>
        </w:tblPrEx>
        <w:trPr>
          <w:trHeight w:val="270" w:hRule="atLeast"/>
        </w:trPr>
        <w:tc>
          <w:tcPr>
            <w:tcW w:w="128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保税监管场所进出境货物</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742.11</w:t>
            </w:r>
          </w:p>
        </w:tc>
        <w:tc>
          <w:tcPr>
            <w:tcW w:w="12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410760.04</w:t>
            </w:r>
          </w:p>
        </w:tc>
        <w:tc>
          <w:tcPr>
            <w:tcW w:w="138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553.5</w:t>
            </w:r>
          </w:p>
        </w:tc>
      </w:tr>
      <w:tr>
        <w:tblPrEx>
          <w:tblCellMar>
            <w:top w:w="0" w:type="dxa"/>
            <w:left w:w="108" w:type="dxa"/>
            <w:bottom w:w="0" w:type="dxa"/>
            <w:right w:w="108" w:type="dxa"/>
          </w:tblCellMar>
        </w:tblPrEx>
        <w:trPr>
          <w:trHeight w:val="270" w:hRule="atLeast"/>
        </w:trPr>
        <w:tc>
          <w:tcPr>
            <w:tcW w:w="128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3779.7</w:t>
            </w:r>
          </w:p>
        </w:tc>
        <w:tc>
          <w:tcPr>
            <w:tcW w:w="12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2075239.2</w:t>
            </w:r>
          </w:p>
        </w:tc>
        <w:tc>
          <w:tcPr>
            <w:tcW w:w="138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549.05</w:t>
            </w:r>
          </w:p>
        </w:tc>
      </w:tr>
      <w:tr>
        <w:tblPrEx>
          <w:tblCellMar>
            <w:top w:w="0" w:type="dxa"/>
            <w:left w:w="108" w:type="dxa"/>
            <w:bottom w:w="0" w:type="dxa"/>
            <w:right w:w="108" w:type="dxa"/>
          </w:tblCellMar>
        </w:tblPrEx>
        <w:trPr>
          <w:trHeight w:val="330" w:hRule="atLeast"/>
        </w:trPr>
        <w:tc>
          <w:tcPr>
            <w:tcW w:w="1289" w:type="pct"/>
            <w:tcBorders>
              <w:top w:val="nil"/>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贸易方式</w:t>
            </w:r>
          </w:p>
        </w:tc>
        <w:tc>
          <w:tcPr>
            <w:tcW w:w="1112"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万吨</w:t>
            </w:r>
          </w:p>
        </w:tc>
        <w:tc>
          <w:tcPr>
            <w:tcW w:w="1208"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89"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出口均价（美元/吨）</w:t>
            </w:r>
          </w:p>
        </w:tc>
      </w:tr>
      <w:tr>
        <w:tblPrEx>
          <w:tblCellMar>
            <w:top w:w="0" w:type="dxa"/>
            <w:left w:w="108" w:type="dxa"/>
            <w:bottom w:w="0" w:type="dxa"/>
            <w:right w:w="108" w:type="dxa"/>
          </w:tblCellMar>
        </w:tblPrEx>
        <w:trPr>
          <w:trHeight w:val="270" w:hRule="atLeast"/>
        </w:trPr>
        <w:tc>
          <w:tcPr>
            <w:tcW w:w="128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保税监管场所进出境货物</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w:t>
            </w:r>
          </w:p>
        </w:tc>
        <w:tc>
          <w:tcPr>
            <w:tcW w:w="12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4125.05</w:t>
            </w:r>
          </w:p>
        </w:tc>
        <w:tc>
          <w:tcPr>
            <w:tcW w:w="138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484</w:t>
            </w:r>
          </w:p>
        </w:tc>
      </w:tr>
    </w:tbl>
    <w:p>
      <w:pPr>
        <w:widowControl/>
        <w:jc w:val="center"/>
        <w:rPr>
          <w:rFonts w:hint="eastAsia" w:ascii="宋体" w:hAnsi="宋体" w:cs="宋体"/>
          <w:color w:val="000000"/>
          <w:kern w:val="0"/>
          <w:szCs w:val="21"/>
        </w:rPr>
      </w:pPr>
    </w:p>
    <w:p>
      <w:pPr>
        <w:pStyle w:val="23"/>
        <w:ind w:firstLine="360" w:firstLineChars="200"/>
        <w:rPr>
          <w:sz w:val="18"/>
          <w:szCs w:val="18"/>
        </w:rPr>
      </w:pPr>
      <w:r>
        <w:rPr>
          <w:sz w:val="18"/>
          <w:szCs w:val="18"/>
        </w:rPr>
        <w:t>2021年10月份我国原油进口量在3779.70万吨，环比下降7.93%，进口均价549美元/吨，环比增加4.84%。其中沙特进口量最大为709.27万吨，进口均价549.7美元/吨。</w:t>
      </w:r>
    </w:p>
    <w:p>
      <w:pPr>
        <w:pStyle w:val="23"/>
        <w:ind w:firstLine="360" w:firstLineChars="200"/>
        <w:rPr>
          <w:rFonts w:hint="eastAsia"/>
          <w:sz w:val="18"/>
          <w:szCs w:val="18"/>
        </w:rPr>
      </w:pPr>
      <w:r>
        <w:rPr>
          <w:sz w:val="18"/>
          <w:szCs w:val="18"/>
        </w:rPr>
        <w:t>2021年10月份我国原油出口量在8.5万吨，环比增长8.57%，出口均价484美元/吨，环比下降9.33%</w:t>
      </w:r>
      <w:r>
        <w:rPr>
          <w:rFonts w:hint="eastAsia"/>
          <w:sz w:val="18"/>
          <w:szCs w:val="18"/>
        </w:rPr>
        <w:t>。</w:t>
      </w:r>
    </w:p>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4.4 20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10</w:t>
      </w:r>
      <w:r>
        <w:rPr>
          <w:rFonts w:hint="eastAsia" w:ascii="宋体" w:hAnsi="宋体"/>
          <w:b/>
          <w:color w:val="auto"/>
          <w:sz w:val="32"/>
          <w:szCs w:val="32"/>
        </w:rPr>
        <w:t>月份航空煤油进出口统计数据</w:t>
      </w:r>
      <w:bookmarkEnd w:id="33"/>
      <w:bookmarkEnd w:id="34"/>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w:t>
      </w:r>
      <w:r>
        <w:rPr>
          <w:rFonts w:hint="eastAsia" w:ascii="宋体" w:hAnsi="宋体" w:eastAsia="宋体" w:cs="宋体"/>
          <w:color w:val="auto"/>
          <w:sz w:val="18"/>
          <w:szCs w:val="18"/>
          <w:lang w:eastAsia="zh-CN"/>
        </w:rPr>
        <w:t>吨</w:t>
      </w:r>
      <w:r>
        <w:rPr>
          <w:rFonts w:hint="eastAsia" w:ascii="宋体" w:hAnsi="宋体" w:eastAsia="宋体" w:cs="宋体"/>
          <w:color w:val="auto"/>
          <w:sz w:val="18"/>
          <w:szCs w:val="18"/>
        </w:rPr>
        <w:t>，美元</w:t>
      </w:r>
    </w:p>
    <w:p>
      <w:pPr>
        <w:ind w:firstLine="420" w:firstLineChars="200"/>
        <w:jc w:val="left"/>
        <w:rPr>
          <w:rFonts w:hint="eastAsia" w:ascii="宋体" w:hAnsi="宋体"/>
          <w:color w:val="auto"/>
        </w:rPr>
      </w:pPr>
    </w:p>
    <w:bookmarkEnd w:id="26"/>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出口</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10月进口量:126925.82（吨）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10月出口量:830045.79（吨）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累计进口量:1173682.29吨）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累计出口量:7023644.46（吨）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当月进口均价:4514.13（元/吨）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当月出口均价:3937.35（元/吨）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累计进口均价：36975.63（元/吨）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累计出口均价:34179.88（元/吨）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进口量环比:117.74%</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出口量环比：-6.31%</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进口量同比：541.42%</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出口量同比：89.82%</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累计进口量比去年同期：-47.03%</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累计出口量比去年同期：-22.65%</w:t>
            </w:r>
          </w:p>
        </w:tc>
      </w:tr>
    </w:tbl>
    <w:p>
      <w:pPr>
        <w:rPr>
          <w:color w:val="auto"/>
        </w:rPr>
      </w:pPr>
    </w:p>
    <w:p>
      <w:pPr>
        <w:rPr>
          <w:color w:val="auto"/>
        </w:rPr>
      </w:pPr>
    </w:p>
    <w:sectPr>
      <w:headerReference r:id="rId5" w:type="first"/>
      <w:headerReference r:id="rId3" w:type="default"/>
      <w:headerReference r:id="rId4" w:type="even"/>
      <w:pgSz w:w="11906" w:h="16838"/>
      <w:pgMar w:top="1440" w:right="1077" w:bottom="1440" w:left="1077"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337"/>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0E64"/>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2210D"/>
    <w:rsid w:val="018C042F"/>
    <w:rsid w:val="019139BB"/>
    <w:rsid w:val="01A95B6A"/>
    <w:rsid w:val="01BD1D63"/>
    <w:rsid w:val="01ED4894"/>
    <w:rsid w:val="01F27845"/>
    <w:rsid w:val="01FE2CFE"/>
    <w:rsid w:val="02353D60"/>
    <w:rsid w:val="023C6B28"/>
    <w:rsid w:val="02526173"/>
    <w:rsid w:val="025D5BCE"/>
    <w:rsid w:val="0261223F"/>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DA6AF5"/>
    <w:rsid w:val="03EC30D3"/>
    <w:rsid w:val="03FD7568"/>
    <w:rsid w:val="04063827"/>
    <w:rsid w:val="040707FC"/>
    <w:rsid w:val="0418413B"/>
    <w:rsid w:val="04242AEB"/>
    <w:rsid w:val="042972F1"/>
    <w:rsid w:val="042B4FB5"/>
    <w:rsid w:val="04331F6D"/>
    <w:rsid w:val="044B7718"/>
    <w:rsid w:val="044D6C9D"/>
    <w:rsid w:val="044E5434"/>
    <w:rsid w:val="045E1E00"/>
    <w:rsid w:val="04684ED7"/>
    <w:rsid w:val="047A62BA"/>
    <w:rsid w:val="048101D3"/>
    <w:rsid w:val="048A2C1B"/>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B7720"/>
    <w:rsid w:val="052C0D66"/>
    <w:rsid w:val="052F18F0"/>
    <w:rsid w:val="05314FD7"/>
    <w:rsid w:val="0538191C"/>
    <w:rsid w:val="053B1A3D"/>
    <w:rsid w:val="05500555"/>
    <w:rsid w:val="0558720E"/>
    <w:rsid w:val="057F2A2A"/>
    <w:rsid w:val="05894C8A"/>
    <w:rsid w:val="05920A6B"/>
    <w:rsid w:val="05925B7F"/>
    <w:rsid w:val="05993019"/>
    <w:rsid w:val="05A5238A"/>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0339A1"/>
    <w:rsid w:val="0718687A"/>
    <w:rsid w:val="071A60E7"/>
    <w:rsid w:val="071A7C26"/>
    <w:rsid w:val="071C4EDC"/>
    <w:rsid w:val="071D082B"/>
    <w:rsid w:val="07243E5A"/>
    <w:rsid w:val="07252677"/>
    <w:rsid w:val="07272AF3"/>
    <w:rsid w:val="07526E8D"/>
    <w:rsid w:val="0759111C"/>
    <w:rsid w:val="07594F06"/>
    <w:rsid w:val="076C6634"/>
    <w:rsid w:val="07743510"/>
    <w:rsid w:val="07805403"/>
    <w:rsid w:val="07820AB4"/>
    <w:rsid w:val="07836EEE"/>
    <w:rsid w:val="07906BB7"/>
    <w:rsid w:val="079B346A"/>
    <w:rsid w:val="079D7717"/>
    <w:rsid w:val="07B872E0"/>
    <w:rsid w:val="07B939E0"/>
    <w:rsid w:val="07CB2E31"/>
    <w:rsid w:val="07CC2D78"/>
    <w:rsid w:val="07CC4016"/>
    <w:rsid w:val="07D15C8A"/>
    <w:rsid w:val="07E05AA3"/>
    <w:rsid w:val="07E76A1F"/>
    <w:rsid w:val="07F17792"/>
    <w:rsid w:val="080158C0"/>
    <w:rsid w:val="0809715C"/>
    <w:rsid w:val="080A4814"/>
    <w:rsid w:val="0817293A"/>
    <w:rsid w:val="0820276D"/>
    <w:rsid w:val="082B36EF"/>
    <w:rsid w:val="082F1BCD"/>
    <w:rsid w:val="084C0F41"/>
    <w:rsid w:val="084E29A7"/>
    <w:rsid w:val="08573B5A"/>
    <w:rsid w:val="086F6B65"/>
    <w:rsid w:val="08962616"/>
    <w:rsid w:val="08A4401C"/>
    <w:rsid w:val="08A55AD2"/>
    <w:rsid w:val="08B65C23"/>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CB3165"/>
    <w:rsid w:val="09E0028A"/>
    <w:rsid w:val="09E31010"/>
    <w:rsid w:val="09E83CA1"/>
    <w:rsid w:val="09ED009F"/>
    <w:rsid w:val="09F11ACB"/>
    <w:rsid w:val="09F94B23"/>
    <w:rsid w:val="09FB6243"/>
    <w:rsid w:val="0A047BEC"/>
    <w:rsid w:val="0A06506B"/>
    <w:rsid w:val="0A0A6618"/>
    <w:rsid w:val="0A1527C8"/>
    <w:rsid w:val="0A207C84"/>
    <w:rsid w:val="0A29795D"/>
    <w:rsid w:val="0A2A7E86"/>
    <w:rsid w:val="0A2D68BE"/>
    <w:rsid w:val="0A3C22BA"/>
    <w:rsid w:val="0A3D34F3"/>
    <w:rsid w:val="0A3E36F7"/>
    <w:rsid w:val="0A3F54A5"/>
    <w:rsid w:val="0A557C07"/>
    <w:rsid w:val="0A5B4AF5"/>
    <w:rsid w:val="0A75433E"/>
    <w:rsid w:val="0A796F7C"/>
    <w:rsid w:val="0A7B7455"/>
    <w:rsid w:val="0A8A7BC2"/>
    <w:rsid w:val="0A906675"/>
    <w:rsid w:val="0A951C4F"/>
    <w:rsid w:val="0A9E4597"/>
    <w:rsid w:val="0AA33DAF"/>
    <w:rsid w:val="0AB608CB"/>
    <w:rsid w:val="0AC60296"/>
    <w:rsid w:val="0AD32487"/>
    <w:rsid w:val="0AD50553"/>
    <w:rsid w:val="0ADB26A0"/>
    <w:rsid w:val="0AE31AD5"/>
    <w:rsid w:val="0B017D09"/>
    <w:rsid w:val="0B0715B1"/>
    <w:rsid w:val="0B0F0B26"/>
    <w:rsid w:val="0B2647B0"/>
    <w:rsid w:val="0B291A84"/>
    <w:rsid w:val="0B2C39A7"/>
    <w:rsid w:val="0B400CB2"/>
    <w:rsid w:val="0B421176"/>
    <w:rsid w:val="0B45016D"/>
    <w:rsid w:val="0B4B49C1"/>
    <w:rsid w:val="0B5D43F5"/>
    <w:rsid w:val="0B721C38"/>
    <w:rsid w:val="0B860805"/>
    <w:rsid w:val="0B8B649E"/>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071F1"/>
    <w:rsid w:val="0C3E0441"/>
    <w:rsid w:val="0C586B50"/>
    <w:rsid w:val="0C586E44"/>
    <w:rsid w:val="0C7B6AED"/>
    <w:rsid w:val="0C7F402D"/>
    <w:rsid w:val="0C822A19"/>
    <w:rsid w:val="0C930A24"/>
    <w:rsid w:val="0C9F5640"/>
    <w:rsid w:val="0C9F66CF"/>
    <w:rsid w:val="0CAA3B04"/>
    <w:rsid w:val="0CB81916"/>
    <w:rsid w:val="0CD123E3"/>
    <w:rsid w:val="0CD35464"/>
    <w:rsid w:val="0CD752CF"/>
    <w:rsid w:val="0CE32FB8"/>
    <w:rsid w:val="0CE44838"/>
    <w:rsid w:val="0CEA48B8"/>
    <w:rsid w:val="0D004586"/>
    <w:rsid w:val="0D206C21"/>
    <w:rsid w:val="0D4A442D"/>
    <w:rsid w:val="0D731CA1"/>
    <w:rsid w:val="0D735A75"/>
    <w:rsid w:val="0D775B07"/>
    <w:rsid w:val="0D79688B"/>
    <w:rsid w:val="0D8323A4"/>
    <w:rsid w:val="0D893BAC"/>
    <w:rsid w:val="0D952410"/>
    <w:rsid w:val="0D9F3354"/>
    <w:rsid w:val="0DA370DA"/>
    <w:rsid w:val="0DA7099A"/>
    <w:rsid w:val="0DB01CE1"/>
    <w:rsid w:val="0DBA1705"/>
    <w:rsid w:val="0DBC2C9E"/>
    <w:rsid w:val="0DC46B30"/>
    <w:rsid w:val="0DC9706D"/>
    <w:rsid w:val="0DD115AA"/>
    <w:rsid w:val="0DD27705"/>
    <w:rsid w:val="0DEA06F6"/>
    <w:rsid w:val="0DEA1ECA"/>
    <w:rsid w:val="0E01030B"/>
    <w:rsid w:val="0E04318C"/>
    <w:rsid w:val="0E222066"/>
    <w:rsid w:val="0E274301"/>
    <w:rsid w:val="0E31785B"/>
    <w:rsid w:val="0E357D47"/>
    <w:rsid w:val="0E467EFB"/>
    <w:rsid w:val="0E4B1576"/>
    <w:rsid w:val="0E5C0982"/>
    <w:rsid w:val="0E730195"/>
    <w:rsid w:val="0E7675E6"/>
    <w:rsid w:val="0E803657"/>
    <w:rsid w:val="0E8B35C9"/>
    <w:rsid w:val="0E96527F"/>
    <w:rsid w:val="0E9742FB"/>
    <w:rsid w:val="0E9E354A"/>
    <w:rsid w:val="0EAF107B"/>
    <w:rsid w:val="0EB4347F"/>
    <w:rsid w:val="0EBE27AA"/>
    <w:rsid w:val="0EBF19BF"/>
    <w:rsid w:val="0EC1627E"/>
    <w:rsid w:val="0ED10429"/>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4E7072"/>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C0A48"/>
    <w:rsid w:val="105F3A71"/>
    <w:rsid w:val="106D475B"/>
    <w:rsid w:val="1072399C"/>
    <w:rsid w:val="108362B8"/>
    <w:rsid w:val="1087261B"/>
    <w:rsid w:val="108C4660"/>
    <w:rsid w:val="10957382"/>
    <w:rsid w:val="109865FB"/>
    <w:rsid w:val="10A277F2"/>
    <w:rsid w:val="10BA0A0E"/>
    <w:rsid w:val="10CE39DE"/>
    <w:rsid w:val="10D36AEF"/>
    <w:rsid w:val="10FA6B68"/>
    <w:rsid w:val="10FF5E5F"/>
    <w:rsid w:val="11027028"/>
    <w:rsid w:val="110D636E"/>
    <w:rsid w:val="11153BAA"/>
    <w:rsid w:val="11190B98"/>
    <w:rsid w:val="11230D2F"/>
    <w:rsid w:val="11247901"/>
    <w:rsid w:val="11365062"/>
    <w:rsid w:val="11422692"/>
    <w:rsid w:val="11590029"/>
    <w:rsid w:val="115A59A8"/>
    <w:rsid w:val="115F1C27"/>
    <w:rsid w:val="11672A0E"/>
    <w:rsid w:val="116E3E23"/>
    <w:rsid w:val="117F7F48"/>
    <w:rsid w:val="118C3C84"/>
    <w:rsid w:val="11BC3D8A"/>
    <w:rsid w:val="11CA3B0B"/>
    <w:rsid w:val="11F843DE"/>
    <w:rsid w:val="121446A8"/>
    <w:rsid w:val="12162BBD"/>
    <w:rsid w:val="122D7A8C"/>
    <w:rsid w:val="12320E5B"/>
    <w:rsid w:val="124E5846"/>
    <w:rsid w:val="1265739D"/>
    <w:rsid w:val="12662947"/>
    <w:rsid w:val="126A28BA"/>
    <w:rsid w:val="127E2138"/>
    <w:rsid w:val="128771AE"/>
    <w:rsid w:val="12936B1B"/>
    <w:rsid w:val="12A4558C"/>
    <w:rsid w:val="12A84E60"/>
    <w:rsid w:val="12B66FEE"/>
    <w:rsid w:val="12BE2ADE"/>
    <w:rsid w:val="12D52D83"/>
    <w:rsid w:val="12D61BB4"/>
    <w:rsid w:val="12D8263D"/>
    <w:rsid w:val="12E533B9"/>
    <w:rsid w:val="12F30EC8"/>
    <w:rsid w:val="12F6517F"/>
    <w:rsid w:val="13086577"/>
    <w:rsid w:val="130B0E2B"/>
    <w:rsid w:val="130B16E4"/>
    <w:rsid w:val="13267B35"/>
    <w:rsid w:val="133E41B0"/>
    <w:rsid w:val="134A6D86"/>
    <w:rsid w:val="13502762"/>
    <w:rsid w:val="13594CF7"/>
    <w:rsid w:val="135A728A"/>
    <w:rsid w:val="1367698A"/>
    <w:rsid w:val="13772D89"/>
    <w:rsid w:val="138744BB"/>
    <w:rsid w:val="13985227"/>
    <w:rsid w:val="13A21C4C"/>
    <w:rsid w:val="13AA18EC"/>
    <w:rsid w:val="13B45FC3"/>
    <w:rsid w:val="13BF46FA"/>
    <w:rsid w:val="13C924DB"/>
    <w:rsid w:val="13D07AB0"/>
    <w:rsid w:val="13D72D76"/>
    <w:rsid w:val="13DB164D"/>
    <w:rsid w:val="13E7373B"/>
    <w:rsid w:val="13EC16FF"/>
    <w:rsid w:val="13F712B9"/>
    <w:rsid w:val="13FE142E"/>
    <w:rsid w:val="1402032F"/>
    <w:rsid w:val="14176463"/>
    <w:rsid w:val="141828DA"/>
    <w:rsid w:val="141B3D98"/>
    <w:rsid w:val="144967F9"/>
    <w:rsid w:val="144B6D3F"/>
    <w:rsid w:val="14522844"/>
    <w:rsid w:val="14546EAA"/>
    <w:rsid w:val="147759A4"/>
    <w:rsid w:val="147A75E5"/>
    <w:rsid w:val="148F78DF"/>
    <w:rsid w:val="14997CF1"/>
    <w:rsid w:val="149A6A37"/>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84DA1"/>
    <w:rsid w:val="153A274D"/>
    <w:rsid w:val="154B5C10"/>
    <w:rsid w:val="154F205D"/>
    <w:rsid w:val="155800EE"/>
    <w:rsid w:val="155B6178"/>
    <w:rsid w:val="15615E0F"/>
    <w:rsid w:val="156D2843"/>
    <w:rsid w:val="15701AB8"/>
    <w:rsid w:val="15786279"/>
    <w:rsid w:val="158449F0"/>
    <w:rsid w:val="15892652"/>
    <w:rsid w:val="159001BC"/>
    <w:rsid w:val="15965FE2"/>
    <w:rsid w:val="15AA23F1"/>
    <w:rsid w:val="15B1437C"/>
    <w:rsid w:val="15B939D5"/>
    <w:rsid w:val="15C14BE8"/>
    <w:rsid w:val="15D11875"/>
    <w:rsid w:val="15D83B2E"/>
    <w:rsid w:val="15DD70EA"/>
    <w:rsid w:val="15E11AB3"/>
    <w:rsid w:val="15E25134"/>
    <w:rsid w:val="15E8785D"/>
    <w:rsid w:val="15F904C3"/>
    <w:rsid w:val="160025BB"/>
    <w:rsid w:val="16113EF1"/>
    <w:rsid w:val="16116F4B"/>
    <w:rsid w:val="161D05B7"/>
    <w:rsid w:val="162721F5"/>
    <w:rsid w:val="162E280E"/>
    <w:rsid w:val="16357D2B"/>
    <w:rsid w:val="164206BE"/>
    <w:rsid w:val="16446BD7"/>
    <w:rsid w:val="16600954"/>
    <w:rsid w:val="16666123"/>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94D7A"/>
    <w:rsid w:val="171D2CA9"/>
    <w:rsid w:val="171E22DF"/>
    <w:rsid w:val="172078E9"/>
    <w:rsid w:val="172D12A6"/>
    <w:rsid w:val="17315AA4"/>
    <w:rsid w:val="17350283"/>
    <w:rsid w:val="173C1948"/>
    <w:rsid w:val="173F54B5"/>
    <w:rsid w:val="17464B66"/>
    <w:rsid w:val="175B5D81"/>
    <w:rsid w:val="17652D76"/>
    <w:rsid w:val="177742FF"/>
    <w:rsid w:val="177778D5"/>
    <w:rsid w:val="177C4324"/>
    <w:rsid w:val="17875DDC"/>
    <w:rsid w:val="17994872"/>
    <w:rsid w:val="179E41EC"/>
    <w:rsid w:val="17A21D4F"/>
    <w:rsid w:val="17BD7A6D"/>
    <w:rsid w:val="17BF13B3"/>
    <w:rsid w:val="17FE3268"/>
    <w:rsid w:val="18282C45"/>
    <w:rsid w:val="18296936"/>
    <w:rsid w:val="182A5943"/>
    <w:rsid w:val="182C041C"/>
    <w:rsid w:val="183728F3"/>
    <w:rsid w:val="1842704C"/>
    <w:rsid w:val="18504F2D"/>
    <w:rsid w:val="186022DC"/>
    <w:rsid w:val="186453BA"/>
    <w:rsid w:val="18704C74"/>
    <w:rsid w:val="18730E90"/>
    <w:rsid w:val="187F1331"/>
    <w:rsid w:val="18AD026B"/>
    <w:rsid w:val="18B70A2B"/>
    <w:rsid w:val="18CA2202"/>
    <w:rsid w:val="18CA4E8D"/>
    <w:rsid w:val="18D203E7"/>
    <w:rsid w:val="18F33297"/>
    <w:rsid w:val="18FC46F8"/>
    <w:rsid w:val="190E26FF"/>
    <w:rsid w:val="191B1724"/>
    <w:rsid w:val="19254E9B"/>
    <w:rsid w:val="19383C89"/>
    <w:rsid w:val="193E2598"/>
    <w:rsid w:val="19435347"/>
    <w:rsid w:val="194573ED"/>
    <w:rsid w:val="19550543"/>
    <w:rsid w:val="195D29F2"/>
    <w:rsid w:val="196272D4"/>
    <w:rsid w:val="196465FF"/>
    <w:rsid w:val="19682464"/>
    <w:rsid w:val="196B6E10"/>
    <w:rsid w:val="196F560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EB2E88"/>
    <w:rsid w:val="1AEE5B49"/>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C6239"/>
    <w:rsid w:val="1BBD6973"/>
    <w:rsid w:val="1BC65495"/>
    <w:rsid w:val="1BE24098"/>
    <w:rsid w:val="1BE81B85"/>
    <w:rsid w:val="1BF24814"/>
    <w:rsid w:val="1BF27AE1"/>
    <w:rsid w:val="1BFE2971"/>
    <w:rsid w:val="1C01336C"/>
    <w:rsid w:val="1C021382"/>
    <w:rsid w:val="1C081DD0"/>
    <w:rsid w:val="1C082446"/>
    <w:rsid w:val="1C1669BA"/>
    <w:rsid w:val="1C1C3102"/>
    <w:rsid w:val="1C2230E8"/>
    <w:rsid w:val="1C251540"/>
    <w:rsid w:val="1C2E2C8D"/>
    <w:rsid w:val="1C2E3B22"/>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310AAB"/>
    <w:rsid w:val="1E4062B7"/>
    <w:rsid w:val="1E417BB3"/>
    <w:rsid w:val="1E450B99"/>
    <w:rsid w:val="1E4D2825"/>
    <w:rsid w:val="1E5542CC"/>
    <w:rsid w:val="1E64791C"/>
    <w:rsid w:val="1E676F14"/>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53BC1"/>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20E97"/>
    <w:rsid w:val="2078018B"/>
    <w:rsid w:val="209323D8"/>
    <w:rsid w:val="209327AA"/>
    <w:rsid w:val="20990A3E"/>
    <w:rsid w:val="20AD55FF"/>
    <w:rsid w:val="20C12FDC"/>
    <w:rsid w:val="20C55A62"/>
    <w:rsid w:val="20D06ACE"/>
    <w:rsid w:val="20D80D12"/>
    <w:rsid w:val="20EA7590"/>
    <w:rsid w:val="20F502DE"/>
    <w:rsid w:val="210C5D7F"/>
    <w:rsid w:val="211001E9"/>
    <w:rsid w:val="21147D43"/>
    <w:rsid w:val="2119067D"/>
    <w:rsid w:val="211F5020"/>
    <w:rsid w:val="21216F1B"/>
    <w:rsid w:val="2123407B"/>
    <w:rsid w:val="21320B64"/>
    <w:rsid w:val="21370E12"/>
    <w:rsid w:val="21432F9F"/>
    <w:rsid w:val="214F55E4"/>
    <w:rsid w:val="215329E9"/>
    <w:rsid w:val="215A4604"/>
    <w:rsid w:val="217C7ED4"/>
    <w:rsid w:val="21862B07"/>
    <w:rsid w:val="218757BE"/>
    <w:rsid w:val="218A1EF5"/>
    <w:rsid w:val="21973788"/>
    <w:rsid w:val="219A3406"/>
    <w:rsid w:val="21A70D61"/>
    <w:rsid w:val="21B2244C"/>
    <w:rsid w:val="21BB5830"/>
    <w:rsid w:val="21C30EF9"/>
    <w:rsid w:val="21CB7C2D"/>
    <w:rsid w:val="21D956E3"/>
    <w:rsid w:val="21E74352"/>
    <w:rsid w:val="21EB64F4"/>
    <w:rsid w:val="21EF7C0A"/>
    <w:rsid w:val="22146206"/>
    <w:rsid w:val="221551D8"/>
    <w:rsid w:val="224441F7"/>
    <w:rsid w:val="224E7428"/>
    <w:rsid w:val="224F414D"/>
    <w:rsid w:val="2261560B"/>
    <w:rsid w:val="227918A6"/>
    <w:rsid w:val="227F4849"/>
    <w:rsid w:val="2291582E"/>
    <w:rsid w:val="22944164"/>
    <w:rsid w:val="229674ED"/>
    <w:rsid w:val="22AC485D"/>
    <w:rsid w:val="22BB509A"/>
    <w:rsid w:val="22D174A6"/>
    <w:rsid w:val="22D2551D"/>
    <w:rsid w:val="22E67532"/>
    <w:rsid w:val="22F015DA"/>
    <w:rsid w:val="22F80176"/>
    <w:rsid w:val="22FB7188"/>
    <w:rsid w:val="230F16FC"/>
    <w:rsid w:val="231C2E7E"/>
    <w:rsid w:val="232A4048"/>
    <w:rsid w:val="233344E4"/>
    <w:rsid w:val="2337735C"/>
    <w:rsid w:val="23384D61"/>
    <w:rsid w:val="23392A7A"/>
    <w:rsid w:val="23417FB3"/>
    <w:rsid w:val="235336A2"/>
    <w:rsid w:val="23631B13"/>
    <w:rsid w:val="236765E1"/>
    <w:rsid w:val="236905BD"/>
    <w:rsid w:val="23694E38"/>
    <w:rsid w:val="23817C48"/>
    <w:rsid w:val="23850BE5"/>
    <w:rsid w:val="238C513B"/>
    <w:rsid w:val="238E2690"/>
    <w:rsid w:val="239015CD"/>
    <w:rsid w:val="23B946BE"/>
    <w:rsid w:val="23C01773"/>
    <w:rsid w:val="23E71D4D"/>
    <w:rsid w:val="23EF13A7"/>
    <w:rsid w:val="23F70D11"/>
    <w:rsid w:val="23F7720B"/>
    <w:rsid w:val="24086432"/>
    <w:rsid w:val="240F1052"/>
    <w:rsid w:val="241751AE"/>
    <w:rsid w:val="242A187D"/>
    <w:rsid w:val="24310987"/>
    <w:rsid w:val="24322A62"/>
    <w:rsid w:val="244A14DB"/>
    <w:rsid w:val="24554136"/>
    <w:rsid w:val="245C2B3F"/>
    <w:rsid w:val="2460475C"/>
    <w:rsid w:val="24692AC4"/>
    <w:rsid w:val="24817139"/>
    <w:rsid w:val="24836E94"/>
    <w:rsid w:val="24867974"/>
    <w:rsid w:val="248945E2"/>
    <w:rsid w:val="24974A9D"/>
    <w:rsid w:val="24990AB6"/>
    <w:rsid w:val="24A21A55"/>
    <w:rsid w:val="24B369D8"/>
    <w:rsid w:val="24B92458"/>
    <w:rsid w:val="24BC4C03"/>
    <w:rsid w:val="24BC74B9"/>
    <w:rsid w:val="24BE33B8"/>
    <w:rsid w:val="24CA200A"/>
    <w:rsid w:val="24E234FE"/>
    <w:rsid w:val="24E56E32"/>
    <w:rsid w:val="24F86BA3"/>
    <w:rsid w:val="250D3E66"/>
    <w:rsid w:val="252754C5"/>
    <w:rsid w:val="252D0E2C"/>
    <w:rsid w:val="252D3F69"/>
    <w:rsid w:val="253C0FBD"/>
    <w:rsid w:val="2547370A"/>
    <w:rsid w:val="25585795"/>
    <w:rsid w:val="25740BBD"/>
    <w:rsid w:val="25821561"/>
    <w:rsid w:val="25852576"/>
    <w:rsid w:val="25922FF3"/>
    <w:rsid w:val="25955E96"/>
    <w:rsid w:val="25956469"/>
    <w:rsid w:val="259B6E31"/>
    <w:rsid w:val="259E33E1"/>
    <w:rsid w:val="25A05607"/>
    <w:rsid w:val="25A07C39"/>
    <w:rsid w:val="25AF1FA5"/>
    <w:rsid w:val="25B677AD"/>
    <w:rsid w:val="25B904A8"/>
    <w:rsid w:val="25D93662"/>
    <w:rsid w:val="25DA3A68"/>
    <w:rsid w:val="25E06259"/>
    <w:rsid w:val="25E778B8"/>
    <w:rsid w:val="25FD0304"/>
    <w:rsid w:val="260517C6"/>
    <w:rsid w:val="2606044C"/>
    <w:rsid w:val="26090E12"/>
    <w:rsid w:val="260D6565"/>
    <w:rsid w:val="261447E7"/>
    <w:rsid w:val="26162D47"/>
    <w:rsid w:val="26313BB1"/>
    <w:rsid w:val="26417898"/>
    <w:rsid w:val="26442276"/>
    <w:rsid w:val="26444B63"/>
    <w:rsid w:val="264D7096"/>
    <w:rsid w:val="26552532"/>
    <w:rsid w:val="26564DF2"/>
    <w:rsid w:val="26671EE8"/>
    <w:rsid w:val="2692422E"/>
    <w:rsid w:val="269F41F0"/>
    <w:rsid w:val="269F6889"/>
    <w:rsid w:val="26AD0D8B"/>
    <w:rsid w:val="26BE4AAC"/>
    <w:rsid w:val="26C17431"/>
    <w:rsid w:val="26C27EC9"/>
    <w:rsid w:val="26C545A4"/>
    <w:rsid w:val="26C94300"/>
    <w:rsid w:val="26CD1AFB"/>
    <w:rsid w:val="26DF7D7C"/>
    <w:rsid w:val="26EE1723"/>
    <w:rsid w:val="26F154C7"/>
    <w:rsid w:val="26F60E1B"/>
    <w:rsid w:val="26FD7030"/>
    <w:rsid w:val="26FE0C7F"/>
    <w:rsid w:val="27007370"/>
    <w:rsid w:val="27080E2E"/>
    <w:rsid w:val="270D21C6"/>
    <w:rsid w:val="270D2595"/>
    <w:rsid w:val="27251F41"/>
    <w:rsid w:val="27276FBB"/>
    <w:rsid w:val="27296336"/>
    <w:rsid w:val="273301A4"/>
    <w:rsid w:val="2743251A"/>
    <w:rsid w:val="277E59D2"/>
    <w:rsid w:val="277F5A23"/>
    <w:rsid w:val="279E36DD"/>
    <w:rsid w:val="27A7464B"/>
    <w:rsid w:val="27C37DE6"/>
    <w:rsid w:val="27EA2797"/>
    <w:rsid w:val="28011EB5"/>
    <w:rsid w:val="28092464"/>
    <w:rsid w:val="2810409B"/>
    <w:rsid w:val="281725D1"/>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D91F7D"/>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7E61F0"/>
    <w:rsid w:val="2A8475EE"/>
    <w:rsid w:val="2A951C8C"/>
    <w:rsid w:val="2A953E86"/>
    <w:rsid w:val="2A9B26F1"/>
    <w:rsid w:val="2AA81E53"/>
    <w:rsid w:val="2AA82B74"/>
    <w:rsid w:val="2AAB3B9C"/>
    <w:rsid w:val="2AB25451"/>
    <w:rsid w:val="2AB8454A"/>
    <w:rsid w:val="2AC063B7"/>
    <w:rsid w:val="2ACB5B48"/>
    <w:rsid w:val="2ACD0874"/>
    <w:rsid w:val="2AD267B8"/>
    <w:rsid w:val="2AD8059C"/>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AA3280"/>
    <w:rsid w:val="2BB3259C"/>
    <w:rsid w:val="2BBF0DDA"/>
    <w:rsid w:val="2BC674EF"/>
    <w:rsid w:val="2BE5055C"/>
    <w:rsid w:val="2BED5A7C"/>
    <w:rsid w:val="2BF50481"/>
    <w:rsid w:val="2BF858F4"/>
    <w:rsid w:val="2BFC3C2B"/>
    <w:rsid w:val="2BFC6315"/>
    <w:rsid w:val="2BFD5564"/>
    <w:rsid w:val="2C054251"/>
    <w:rsid w:val="2C2E0403"/>
    <w:rsid w:val="2C4C1107"/>
    <w:rsid w:val="2C785C6A"/>
    <w:rsid w:val="2C7C5CC5"/>
    <w:rsid w:val="2C811341"/>
    <w:rsid w:val="2C823F4E"/>
    <w:rsid w:val="2C9D3080"/>
    <w:rsid w:val="2CA44349"/>
    <w:rsid w:val="2CAA70F0"/>
    <w:rsid w:val="2CAD067B"/>
    <w:rsid w:val="2CBD69A8"/>
    <w:rsid w:val="2CEC0EBC"/>
    <w:rsid w:val="2CF30447"/>
    <w:rsid w:val="2CFD0FC0"/>
    <w:rsid w:val="2D050EBF"/>
    <w:rsid w:val="2D2009C3"/>
    <w:rsid w:val="2D2A25A1"/>
    <w:rsid w:val="2D2A51E4"/>
    <w:rsid w:val="2D3059BC"/>
    <w:rsid w:val="2D4D17E5"/>
    <w:rsid w:val="2D5A2817"/>
    <w:rsid w:val="2D6F58D8"/>
    <w:rsid w:val="2D892B5C"/>
    <w:rsid w:val="2D957091"/>
    <w:rsid w:val="2DAF27D1"/>
    <w:rsid w:val="2DB328B9"/>
    <w:rsid w:val="2DBD5E3A"/>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684F7D"/>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65256"/>
    <w:rsid w:val="30427218"/>
    <w:rsid w:val="304D2D36"/>
    <w:rsid w:val="304D5CB2"/>
    <w:rsid w:val="305001C5"/>
    <w:rsid w:val="3055125A"/>
    <w:rsid w:val="30664FDE"/>
    <w:rsid w:val="308A4247"/>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6D261F"/>
    <w:rsid w:val="316F14FD"/>
    <w:rsid w:val="3177458F"/>
    <w:rsid w:val="3189708E"/>
    <w:rsid w:val="318B1F3D"/>
    <w:rsid w:val="3193741E"/>
    <w:rsid w:val="3194005A"/>
    <w:rsid w:val="319434F7"/>
    <w:rsid w:val="3194510B"/>
    <w:rsid w:val="31994D00"/>
    <w:rsid w:val="31A65E57"/>
    <w:rsid w:val="31AD16EF"/>
    <w:rsid w:val="31AE660C"/>
    <w:rsid w:val="31B05A1F"/>
    <w:rsid w:val="31B17EF2"/>
    <w:rsid w:val="31D54984"/>
    <w:rsid w:val="31E155AC"/>
    <w:rsid w:val="31E361FB"/>
    <w:rsid w:val="31FC35FB"/>
    <w:rsid w:val="32010D04"/>
    <w:rsid w:val="3202665F"/>
    <w:rsid w:val="320A7836"/>
    <w:rsid w:val="32186725"/>
    <w:rsid w:val="323C3FDE"/>
    <w:rsid w:val="324163CA"/>
    <w:rsid w:val="32427A9A"/>
    <w:rsid w:val="32574FD8"/>
    <w:rsid w:val="325C547C"/>
    <w:rsid w:val="32646DB1"/>
    <w:rsid w:val="326C29F6"/>
    <w:rsid w:val="327B3D21"/>
    <w:rsid w:val="327C3888"/>
    <w:rsid w:val="327E1445"/>
    <w:rsid w:val="3286221A"/>
    <w:rsid w:val="329338D7"/>
    <w:rsid w:val="32945DAC"/>
    <w:rsid w:val="329B3155"/>
    <w:rsid w:val="329C631F"/>
    <w:rsid w:val="32A24DE0"/>
    <w:rsid w:val="32AB0897"/>
    <w:rsid w:val="32AE266E"/>
    <w:rsid w:val="32B638BE"/>
    <w:rsid w:val="32CB3A84"/>
    <w:rsid w:val="32CD7010"/>
    <w:rsid w:val="32CE45BC"/>
    <w:rsid w:val="32D9201A"/>
    <w:rsid w:val="32DD3543"/>
    <w:rsid w:val="32E42D0F"/>
    <w:rsid w:val="32E779A4"/>
    <w:rsid w:val="330D4D94"/>
    <w:rsid w:val="33354DD5"/>
    <w:rsid w:val="33435E16"/>
    <w:rsid w:val="335F11B3"/>
    <w:rsid w:val="337B12FB"/>
    <w:rsid w:val="33846435"/>
    <w:rsid w:val="33992851"/>
    <w:rsid w:val="339C5454"/>
    <w:rsid w:val="33A258FF"/>
    <w:rsid w:val="33AE7DAC"/>
    <w:rsid w:val="33AE7FB3"/>
    <w:rsid w:val="33B1053F"/>
    <w:rsid w:val="33BA507F"/>
    <w:rsid w:val="33D354DF"/>
    <w:rsid w:val="33DD1D83"/>
    <w:rsid w:val="33DF6F7A"/>
    <w:rsid w:val="33E42EF1"/>
    <w:rsid w:val="33F614AE"/>
    <w:rsid w:val="33FC5F9C"/>
    <w:rsid w:val="34005D95"/>
    <w:rsid w:val="340370F4"/>
    <w:rsid w:val="34173060"/>
    <w:rsid w:val="342451AA"/>
    <w:rsid w:val="3425323C"/>
    <w:rsid w:val="34262A2B"/>
    <w:rsid w:val="342E5EA7"/>
    <w:rsid w:val="343E0BAC"/>
    <w:rsid w:val="34474FF1"/>
    <w:rsid w:val="344961AE"/>
    <w:rsid w:val="344B3651"/>
    <w:rsid w:val="34555269"/>
    <w:rsid w:val="346B6657"/>
    <w:rsid w:val="34797C3D"/>
    <w:rsid w:val="34827541"/>
    <w:rsid w:val="348D5209"/>
    <w:rsid w:val="34953EB2"/>
    <w:rsid w:val="34B63281"/>
    <w:rsid w:val="34C105B0"/>
    <w:rsid w:val="34CA39B2"/>
    <w:rsid w:val="34D564C3"/>
    <w:rsid w:val="34DC79C0"/>
    <w:rsid w:val="34E32E56"/>
    <w:rsid w:val="34EC4B86"/>
    <w:rsid w:val="351321CB"/>
    <w:rsid w:val="351B4997"/>
    <w:rsid w:val="35316542"/>
    <w:rsid w:val="35367A72"/>
    <w:rsid w:val="355171EC"/>
    <w:rsid w:val="355E299F"/>
    <w:rsid w:val="355E6D49"/>
    <w:rsid w:val="35671EE7"/>
    <w:rsid w:val="3572663B"/>
    <w:rsid w:val="357D4C50"/>
    <w:rsid w:val="3591419B"/>
    <w:rsid w:val="35925B04"/>
    <w:rsid w:val="35963717"/>
    <w:rsid w:val="35AB2A03"/>
    <w:rsid w:val="35AF3549"/>
    <w:rsid w:val="35C76B42"/>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004D17"/>
    <w:rsid w:val="381B6812"/>
    <w:rsid w:val="38253136"/>
    <w:rsid w:val="38372548"/>
    <w:rsid w:val="384570A4"/>
    <w:rsid w:val="38467A04"/>
    <w:rsid w:val="386B3F4B"/>
    <w:rsid w:val="38747E42"/>
    <w:rsid w:val="38781C56"/>
    <w:rsid w:val="38931748"/>
    <w:rsid w:val="38A140CE"/>
    <w:rsid w:val="38B54C1A"/>
    <w:rsid w:val="38BB4753"/>
    <w:rsid w:val="38C30240"/>
    <w:rsid w:val="38C8796D"/>
    <w:rsid w:val="38CF65F7"/>
    <w:rsid w:val="38D113BF"/>
    <w:rsid w:val="38D30895"/>
    <w:rsid w:val="38D5511D"/>
    <w:rsid w:val="38DB4DD5"/>
    <w:rsid w:val="38E52E0C"/>
    <w:rsid w:val="38E80213"/>
    <w:rsid w:val="38E95212"/>
    <w:rsid w:val="38F3691D"/>
    <w:rsid w:val="3909408E"/>
    <w:rsid w:val="391C1C7A"/>
    <w:rsid w:val="39465968"/>
    <w:rsid w:val="394D1A3B"/>
    <w:rsid w:val="394F4D33"/>
    <w:rsid w:val="39514262"/>
    <w:rsid w:val="395F496C"/>
    <w:rsid w:val="39600E80"/>
    <w:rsid w:val="39803383"/>
    <w:rsid w:val="399A429F"/>
    <w:rsid w:val="399B72BC"/>
    <w:rsid w:val="39A73391"/>
    <w:rsid w:val="39A95A0D"/>
    <w:rsid w:val="39C70EC1"/>
    <w:rsid w:val="39D80C94"/>
    <w:rsid w:val="39E779C9"/>
    <w:rsid w:val="3A01261A"/>
    <w:rsid w:val="3A190439"/>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B243A2"/>
    <w:rsid w:val="3AD9763C"/>
    <w:rsid w:val="3AEA7C0F"/>
    <w:rsid w:val="3AEC01AD"/>
    <w:rsid w:val="3B002E8F"/>
    <w:rsid w:val="3B0A7991"/>
    <w:rsid w:val="3B100A85"/>
    <w:rsid w:val="3B107BEE"/>
    <w:rsid w:val="3B18283A"/>
    <w:rsid w:val="3B336F2F"/>
    <w:rsid w:val="3B567019"/>
    <w:rsid w:val="3B5C777B"/>
    <w:rsid w:val="3B691338"/>
    <w:rsid w:val="3B6B36CF"/>
    <w:rsid w:val="3B7076AC"/>
    <w:rsid w:val="3B7579C8"/>
    <w:rsid w:val="3B96787F"/>
    <w:rsid w:val="3BA60160"/>
    <w:rsid w:val="3BB46CD1"/>
    <w:rsid w:val="3BB6128D"/>
    <w:rsid w:val="3BD11411"/>
    <w:rsid w:val="3BD837A5"/>
    <w:rsid w:val="3BE05196"/>
    <w:rsid w:val="3BED4242"/>
    <w:rsid w:val="3BFC12CF"/>
    <w:rsid w:val="3C0000A6"/>
    <w:rsid w:val="3C173EBE"/>
    <w:rsid w:val="3C211702"/>
    <w:rsid w:val="3C2E7AA2"/>
    <w:rsid w:val="3C302F03"/>
    <w:rsid w:val="3C317DDD"/>
    <w:rsid w:val="3C336F35"/>
    <w:rsid w:val="3C3D3F09"/>
    <w:rsid w:val="3C457CDF"/>
    <w:rsid w:val="3C60369F"/>
    <w:rsid w:val="3C61573F"/>
    <w:rsid w:val="3C6E3E60"/>
    <w:rsid w:val="3C742BEB"/>
    <w:rsid w:val="3C744F7F"/>
    <w:rsid w:val="3C857740"/>
    <w:rsid w:val="3C8E02B7"/>
    <w:rsid w:val="3CA732CA"/>
    <w:rsid w:val="3CB004C5"/>
    <w:rsid w:val="3CB35047"/>
    <w:rsid w:val="3CB47F7E"/>
    <w:rsid w:val="3CB603EF"/>
    <w:rsid w:val="3CD00E00"/>
    <w:rsid w:val="3CD82621"/>
    <w:rsid w:val="3CDD69B2"/>
    <w:rsid w:val="3CEA693F"/>
    <w:rsid w:val="3CEF1648"/>
    <w:rsid w:val="3D015E10"/>
    <w:rsid w:val="3D0D0F5F"/>
    <w:rsid w:val="3D0D55A5"/>
    <w:rsid w:val="3D187CD8"/>
    <w:rsid w:val="3D324998"/>
    <w:rsid w:val="3D354C10"/>
    <w:rsid w:val="3D475AFB"/>
    <w:rsid w:val="3D4A4707"/>
    <w:rsid w:val="3D4C43AF"/>
    <w:rsid w:val="3D502422"/>
    <w:rsid w:val="3D5275CE"/>
    <w:rsid w:val="3D5404DD"/>
    <w:rsid w:val="3D5941EB"/>
    <w:rsid w:val="3D5C2503"/>
    <w:rsid w:val="3D6341E4"/>
    <w:rsid w:val="3D6A48AA"/>
    <w:rsid w:val="3D6D23E3"/>
    <w:rsid w:val="3D7B064A"/>
    <w:rsid w:val="3D7C1281"/>
    <w:rsid w:val="3D821B83"/>
    <w:rsid w:val="3D8D1DDC"/>
    <w:rsid w:val="3D8E6A74"/>
    <w:rsid w:val="3D995C7E"/>
    <w:rsid w:val="3DA61EAB"/>
    <w:rsid w:val="3DB60CC1"/>
    <w:rsid w:val="3DBA29C6"/>
    <w:rsid w:val="3DCE2E82"/>
    <w:rsid w:val="3DD2333F"/>
    <w:rsid w:val="3DEC316F"/>
    <w:rsid w:val="3E000E38"/>
    <w:rsid w:val="3E037731"/>
    <w:rsid w:val="3E0B7563"/>
    <w:rsid w:val="3E0F09D9"/>
    <w:rsid w:val="3E1646C1"/>
    <w:rsid w:val="3E247488"/>
    <w:rsid w:val="3E305EE4"/>
    <w:rsid w:val="3E3248D0"/>
    <w:rsid w:val="3E360DF6"/>
    <w:rsid w:val="3E3D25F5"/>
    <w:rsid w:val="3E4E6762"/>
    <w:rsid w:val="3E536D63"/>
    <w:rsid w:val="3E5F5CBB"/>
    <w:rsid w:val="3E616BAF"/>
    <w:rsid w:val="3E6D2C21"/>
    <w:rsid w:val="3E70166E"/>
    <w:rsid w:val="3E752011"/>
    <w:rsid w:val="3E777661"/>
    <w:rsid w:val="3E8270FA"/>
    <w:rsid w:val="3E8D543F"/>
    <w:rsid w:val="3E8E2505"/>
    <w:rsid w:val="3E8F0C9A"/>
    <w:rsid w:val="3E9953AC"/>
    <w:rsid w:val="3E9D3F84"/>
    <w:rsid w:val="3E9F3605"/>
    <w:rsid w:val="3EAF142E"/>
    <w:rsid w:val="3EB41061"/>
    <w:rsid w:val="3ECE3724"/>
    <w:rsid w:val="3ED14F5F"/>
    <w:rsid w:val="3EEC1C8D"/>
    <w:rsid w:val="3EF15A07"/>
    <w:rsid w:val="3EFC4AE4"/>
    <w:rsid w:val="3F0C0C5D"/>
    <w:rsid w:val="3F152EE5"/>
    <w:rsid w:val="3F1C492B"/>
    <w:rsid w:val="3F2940A4"/>
    <w:rsid w:val="3F310E2B"/>
    <w:rsid w:val="3F3E5B85"/>
    <w:rsid w:val="3F4D19AF"/>
    <w:rsid w:val="3F691A99"/>
    <w:rsid w:val="3F814700"/>
    <w:rsid w:val="3F837DDF"/>
    <w:rsid w:val="3F8B7DD4"/>
    <w:rsid w:val="3F901403"/>
    <w:rsid w:val="3FA21405"/>
    <w:rsid w:val="3FA67914"/>
    <w:rsid w:val="3FA96E5D"/>
    <w:rsid w:val="3FC04528"/>
    <w:rsid w:val="3FC379D7"/>
    <w:rsid w:val="3FCB012B"/>
    <w:rsid w:val="3FD00447"/>
    <w:rsid w:val="3FD201AD"/>
    <w:rsid w:val="3FD27B2E"/>
    <w:rsid w:val="3FE71238"/>
    <w:rsid w:val="3FEE1DE8"/>
    <w:rsid w:val="3FFE5EFF"/>
    <w:rsid w:val="40171145"/>
    <w:rsid w:val="402104DC"/>
    <w:rsid w:val="402D3537"/>
    <w:rsid w:val="403075F2"/>
    <w:rsid w:val="40395203"/>
    <w:rsid w:val="40480E8F"/>
    <w:rsid w:val="404D32CE"/>
    <w:rsid w:val="40505868"/>
    <w:rsid w:val="40662C29"/>
    <w:rsid w:val="40742438"/>
    <w:rsid w:val="40791098"/>
    <w:rsid w:val="40932E75"/>
    <w:rsid w:val="409865C2"/>
    <w:rsid w:val="409F0717"/>
    <w:rsid w:val="40A70377"/>
    <w:rsid w:val="40A97C8F"/>
    <w:rsid w:val="40BC5D67"/>
    <w:rsid w:val="40CA2A6E"/>
    <w:rsid w:val="40CC7CA3"/>
    <w:rsid w:val="40D775A2"/>
    <w:rsid w:val="40DC23A0"/>
    <w:rsid w:val="40EE33BE"/>
    <w:rsid w:val="40F436BC"/>
    <w:rsid w:val="40F61783"/>
    <w:rsid w:val="4100601D"/>
    <w:rsid w:val="410D75D5"/>
    <w:rsid w:val="411A76EB"/>
    <w:rsid w:val="411E3000"/>
    <w:rsid w:val="41402C24"/>
    <w:rsid w:val="414E7345"/>
    <w:rsid w:val="41546D3E"/>
    <w:rsid w:val="41591FEE"/>
    <w:rsid w:val="41696F7F"/>
    <w:rsid w:val="416A086A"/>
    <w:rsid w:val="416C21F9"/>
    <w:rsid w:val="417240B9"/>
    <w:rsid w:val="417C0D06"/>
    <w:rsid w:val="417C577C"/>
    <w:rsid w:val="418455DA"/>
    <w:rsid w:val="418B25AA"/>
    <w:rsid w:val="418D33B3"/>
    <w:rsid w:val="418E56CE"/>
    <w:rsid w:val="419032ED"/>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068F9"/>
    <w:rsid w:val="42013C9E"/>
    <w:rsid w:val="420F24CA"/>
    <w:rsid w:val="421C0994"/>
    <w:rsid w:val="42475B19"/>
    <w:rsid w:val="424F02B6"/>
    <w:rsid w:val="42523372"/>
    <w:rsid w:val="42672C44"/>
    <w:rsid w:val="42683145"/>
    <w:rsid w:val="427133C0"/>
    <w:rsid w:val="42715180"/>
    <w:rsid w:val="4277762F"/>
    <w:rsid w:val="428E0BFE"/>
    <w:rsid w:val="429D7D7D"/>
    <w:rsid w:val="42B06FDD"/>
    <w:rsid w:val="42B23DF0"/>
    <w:rsid w:val="42B45768"/>
    <w:rsid w:val="42D60862"/>
    <w:rsid w:val="42DD46A8"/>
    <w:rsid w:val="42DD7341"/>
    <w:rsid w:val="42E637C3"/>
    <w:rsid w:val="42E90AC3"/>
    <w:rsid w:val="42FD1410"/>
    <w:rsid w:val="430C488E"/>
    <w:rsid w:val="43184FA0"/>
    <w:rsid w:val="431F563A"/>
    <w:rsid w:val="432151DF"/>
    <w:rsid w:val="43277346"/>
    <w:rsid w:val="432A3E0D"/>
    <w:rsid w:val="432D0CD2"/>
    <w:rsid w:val="4338356A"/>
    <w:rsid w:val="433E24EE"/>
    <w:rsid w:val="43412F21"/>
    <w:rsid w:val="4348259E"/>
    <w:rsid w:val="434C0977"/>
    <w:rsid w:val="434D5EB2"/>
    <w:rsid w:val="43604502"/>
    <w:rsid w:val="436D2D59"/>
    <w:rsid w:val="43705840"/>
    <w:rsid w:val="437E6752"/>
    <w:rsid w:val="43803823"/>
    <w:rsid w:val="438369F4"/>
    <w:rsid w:val="43885FA8"/>
    <w:rsid w:val="438D2FF7"/>
    <w:rsid w:val="43972914"/>
    <w:rsid w:val="43AF6845"/>
    <w:rsid w:val="43C54950"/>
    <w:rsid w:val="43CC31B4"/>
    <w:rsid w:val="43CC79E5"/>
    <w:rsid w:val="43D44FF8"/>
    <w:rsid w:val="441557E3"/>
    <w:rsid w:val="44226F3F"/>
    <w:rsid w:val="4425659D"/>
    <w:rsid w:val="44286453"/>
    <w:rsid w:val="44371554"/>
    <w:rsid w:val="444B4817"/>
    <w:rsid w:val="444C54FC"/>
    <w:rsid w:val="444F2685"/>
    <w:rsid w:val="445451D4"/>
    <w:rsid w:val="44615639"/>
    <w:rsid w:val="44762FC6"/>
    <w:rsid w:val="44807EEA"/>
    <w:rsid w:val="4488431A"/>
    <w:rsid w:val="448F5706"/>
    <w:rsid w:val="44944331"/>
    <w:rsid w:val="449A539D"/>
    <w:rsid w:val="44A538D4"/>
    <w:rsid w:val="44B05905"/>
    <w:rsid w:val="44B52F8D"/>
    <w:rsid w:val="44B67F0B"/>
    <w:rsid w:val="44BB1103"/>
    <w:rsid w:val="44E81308"/>
    <w:rsid w:val="451317C4"/>
    <w:rsid w:val="45146D13"/>
    <w:rsid w:val="45252A65"/>
    <w:rsid w:val="45575AD5"/>
    <w:rsid w:val="455907EE"/>
    <w:rsid w:val="456B0823"/>
    <w:rsid w:val="457E0115"/>
    <w:rsid w:val="459B774E"/>
    <w:rsid w:val="45B62EC6"/>
    <w:rsid w:val="45B72AB1"/>
    <w:rsid w:val="45BA079F"/>
    <w:rsid w:val="45C13698"/>
    <w:rsid w:val="45C93D8C"/>
    <w:rsid w:val="45CC0EF3"/>
    <w:rsid w:val="45CC763D"/>
    <w:rsid w:val="45CF5AD4"/>
    <w:rsid w:val="45D61E17"/>
    <w:rsid w:val="45DD06D9"/>
    <w:rsid w:val="460D21F2"/>
    <w:rsid w:val="460E0469"/>
    <w:rsid w:val="460E0A15"/>
    <w:rsid w:val="4611445F"/>
    <w:rsid w:val="46146FE1"/>
    <w:rsid w:val="461909E8"/>
    <w:rsid w:val="462E79C9"/>
    <w:rsid w:val="4635298E"/>
    <w:rsid w:val="46355D58"/>
    <w:rsid w:val="463C04FA"/>
    <w:rsid w:val="464050BB"/>
    <w:rsid w:val="46405C21"/>
    <w:rsid w:val="46561BD8"/>
    <w:rsid w:val="465C4E3B"/>
    <w:rsid w:val="466B6702"/>
    <w:rsid w:val="466F037A"/>
    <w:rsid w:val="46725A79"/>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27F60"/>
    <w:rsid w:val="47732DB6"/>
    <w:rsid w:val="47763121"/>
    <w:rsid w:val="478601BF"/>
    <w:rsid w:val="47B41393"/>
    <w:rsid w:val="47B94CE5"/>
    <w:rsid w:val="47C254B8"/>
    <w:rsid w:val="47DF082A"/>
    <w:rsid w:val="47EB5003"/>
    <w:rsid w:val="48081128"/>
    <w:rsid w:val="480D3EC3"/>
    <w:rsid w:val="48144FED"/>
    <w:rsid w:val="481E0B19"/>
    <w:rsid w:val="482B26B0"/>
    <w:rsid w:val="483A31DC"/>
    <w:rsid w:val="483B02D3"/>
    <w:rsid w:val="48440530"/>
    <w:rsid w:val="484715CC"/>
    <w:rsid w:val="484F6870"/>
    <w:rsid w:val="485D616F"/>
    <w:rsid w:val="4873370F"/>
    <w:rsid w:val="487C4980"/>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3538A"/>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220874"/>
    <w:rsid w:val="4A3546EB"/>
    <w:rsid w:val="4A443774"/>
    <w:rsid w:val="4A4A48A6"/>
    <w:rsid w:val="4A506B41"/>
    <w:rsid w:val="4A524812"/>
    <w:rsid w:val="4A526073"/>
    <w:rsid w:val="4A56215E"/>
    <w:rsid w:val="4A5D4A40"/>
    <w:rsid w:val="4A63534F"/>
    <w:rsid w:val="4A650700"/>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B560B3"/>
    <w:rsid w:val="4BC27F8D"/>
    <w:rsid w:val="4BC94C3B"/>
    <w:rsid w:val="4BC97047"/>
    <w:rsid w:val="4BCC6CCE"/>
    <w:rsid w:val="4BE44E6C"/>
    <w:rsid w:val="4BF446B8"/>
    <w:rsid w:val="4C003E2A"/>
    <w:rsid w:val="4C061338"/>
    <w:rsid w:val="4C061EF7"/>
    <w:rsid w:val="4C0B535F"/>
    <w:rsid w:val="4C0E0CF8"/>
    <w:rsid w:val="4C323172"/>
    <w:rsid w:val="4C497215"/>
    <w:rsid w:val="4C4F5F99"/>
    <w:rsid w:val="4C5474C5"/>
    <w:rsid w:val="4C5D0817"/>
    <w:rsid w:val="4C5E08E0"/>
    <w:rsid w:val="4C64487E"/>
    <w:rsid w:val="4C6B0365"/>
    <w:rsid w:val="4C7C64A4"/>
    <w:rsid w:val="4C9953D8"/>
    <w:rsid w:val="4C9C0858"/>
    <w:rsid w:val="4C9E0D0B"/>
    <w:rsid w:val="4CBF4AE9"/>
    <w:rsid w:val="4CCA7CF8"/>
    <w:rsid w:val="4CCC299D"/>
    <w:rsid w:val="4CCE1B7D"/>
    <w:rsid w:val="4D0A349B"/>
    <w:rsid w:val="4D0D2E78"/>
    <w:rsid w:val="4D0F04ED"/>
    <w:rsid w:val="4D164C7E"/>
    <w:rsid w:val="4D1749B6"/>
    <w:rsid w:val="4D283FC5"/>
    <w:rsid w:val="4D384A7C"/>
    <w:rsid w:val="4D3A0411"/>
    <w:rsid w:val="4D413BC0"/>
    <w:rsid w:val="4D427C91"/>
    <w:rsid w:val="4D7706F2"/>
    <w:rsid w:val="4D845711"/>
    <w:rsid w:val="4D8A02B7"/>
    <w:rsid w:val="4D8E4163"/>
    <w:rsid w:val="4D951C4E"/>
    <w:rsid w:val="4DB66082"/>
    <w:rsid w:val="4DBE12C2"/>
    <w:rsid w:val="4DCE6ED3"/>
    <w:rsid w:val="4DD41DFF"/>
    <w:rsid w:val="4DEF3575"/>
    <w:rsid w:val="4DF46CF3"/>
    <w:rsid w:val="4E095444"/>
    <w:rsid w:val="4E0E40E2"/>
    <w:rsid w:val="4E333BBB"/>
    <w:rsid w:val="4E346342"/>
    <w:rsid w:val="4E4E04E5"/>
    <w:rsid w:val="4E665F7B"/>
    <w:rsid w:val="4E6A06E9"/>
    <w:rsid w:val="4E707407"/>
    <w:rsid w:val="4E715DB2"/>
    <w:rsid w:val="4E776B87"/>
    <w:rsid w:val="4E795FFF"/>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44D97"/>
    <w:rsid w:val="50371519"/>
    <w:rsid w:val="503D6ACE"/>
    <w:rsid w:val="50447CE3"/>
    <w:rsid w:val="504570EB"/>
    <w:rsid w:val="505A0A75"/>
    <w:rsid w:val="505B05E7"/>
    <w:rsid w:val="507521C1"/>
    <w:rsid w:val="50753DB9"/>
    <w:rsid w:val="509E2BD3"/>
    <w:rsid w:val="50B106C4"/>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D620B0"/>
    <w:rsid w:val="51E51BA8"/>
    <w:rsid w:val="51EE27E3"/>
    <w:rsid w:val="52040DD8"/>
    <w:rsid w:val="52101F45"/>
    <w:rsid w:val="52125E5B"/>
    <w:rsid w:val="5213342A"/>
    <w:rsid w:val="52163344"/>
    <w:rsid w:val="5216472B"/>
    <w:rsid w:val="52217FFE"/>
    <w:rsid w:val="5224307A"/>
    <w:rsid w:val="5234477C"/>
    <w:rsid w:val="523449CA"/>
    <w:rsid w:val="52475C9F"/>
    <w:rsid w:val="52515077"/>
    <w:rsid w:val="525A327C"/>
    <w:rsid w:val="526C3669"/>
    <w:rsid w:val="52806E8B"/>
    <w:rsid w:val="528F3F78"/>
    <w:rsid w:val="52A84489"/>
    <w:rsid w:val="52B118DE"/>
    <w:rsid w:val="52B80D5E"/>
    <w:rsid w:val="52BF77E0"/>
    <w:rsid w:val="52C52078"/>
    <w:rsid w:val="52CB6EC0"/>
    <w:rsid w:val="52D061DA"/>
    <w:rsid w:val="52D211F8"/>
    <w:rsid w:val="52E6495A"/>
    <w:rsid w:val="52F26F28"/>
    <w:rsid w:val="52F6796A"/>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5F1D05"/>
    <w:rsid w:val="546136C7"/>
    <w:rsid w:val="54635F00"/>
    <w:rsid w:val="54661F54"/>
    <w:rsid w:val="546C3F2D"/>
    <w:rsid w:val="547F46DA"/>
    <w:rsid w:val="54944893"/>
    <w:rsid w:val="549F75FE"/>
    <w:rsid w:val="54A51CC5"/>
    <w:rsid w:val="54AF6C60"/>
    <w:rsid w:val="54B52F94"/>
    <w:rsid w:val="54BD36E4"/>
    <w:rsid w:val="54C547A5"/>
    <w:rsid w:val="54D05C30"/>
    <w:rsid w:val="54DD78BD"/>
    <w:rsid w:val="54E06144"/>
    <w:rsid w:val="54E5258C"/>
    <w:rsid w:val="54F52367"/>
    <w:rsid w:val="550A393D"/>
    <w:rsid w:val="5525121F"/>
    <w:rsid w:val="555900AE"/>
    <w:rsid w:val="555B6E77"/>
    <w:rsid w:val="555E09D9"/>
    <w:rsid w:val="555E54FB"/>
    <w:rsid w:val="556848E1"/>
    <w:rsid w:val="556B7B91"/>
    <w:rsid w:val="556D2811"/>
    <w:rsid w:val="55767F46"/>
    <w:rsid w:val="557821AC"/>
    <w:rsid w:val="55BF5B90"/>
    <w:rsid w:val="55CE1AD5"/>
    <w:rsid w:val="55E206FC"/>
    <w:rsid w:val="55ED37B8"/>
    <w:rsid w:val="55F04C52"/>
    <w:rsid w:val="55F35D23"/>
    <w:rsid w:val="560E1061"/>
    <w:rsid w:val="56281CBC"/>
    <w:rsid w:val="562878FA"/>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4878D2"/>
    <w:rsid w:val="57574216"/>
    <w:rsid w:val="57611DCD"/>
    <w:rsid w:val="57636B03"/>
    <w:rsid w:val="57722EB4"/>
    <w:rsid w:val="5792740A"/>
    <w:rsid w:val="57A21363"/>
    <w:rsid w:val="57A54C20"/>
    <w:rsid w:val="57A71406"/>
    <w:rsid w:val="57AC21FD"/>
    <w:rsid w:val="57B06D46"/>
    <w:rsid w:val="57B937A9"/>
    <w:rsid w:val="57BB4E50"/>
    <w:rsid w:val="57C34B39"/>
    <w:rsid w:val="57C94F80"/>
    <w:rsid w:val="57DE1F69"/>
    <w:rsid w:val="57E116B4"/>
    <w:rsid w:val="58097EA5"/>
    <w:rsid w:val="580C0140"/>
    <w:rsid w:val="580F431F"/>
    <w:rsid w:val="58100035"/>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170C2"/>
    <w:rsid w:val="594B0A62"/>
    <w:rsid w:val="594E1B0E"/>
    <w:rsid w:val="594F32F2"/>
    <w:rsid w:val="595461B1"/>
    <w:rsid w:val="59591BB8"/>
    <w:rsid w:val="595C743E"/>
    <w:rsid w:val="595E1551"/>
    <w:rsid w:val="59760077"/>
    <w:rsid w:val="59820786"/>
    <w:rsid w:val="59A774F2"/>
    <w:rsid w:val="59AD15AB"/>
    <w:rsid w:val="59B2781D"/>
    <w:rsid w:val="59B41A62"/>
    <w:rsid w:val="59BC5C03"/>
    <w:rsid w:val="59BE115B"/>
    <w:rsid w:val="59CE313C"/>
    <w:rsid w:val="59E474BD"/>
    <w:rsid w:val="59E869EC"/>
    <w:rsid w:val="59FC6B89"/>
    <w:rsid w:val="5A057FD1"/>
    <w:rsid w:val="5A143012"/>
    <w:rsid w:val="5A1530F9"/>
    <w:rsid w:val="5A261D0E"/>
    <w:rsid w:val="5A2907FC"/>
    <w:rsid w:val="5A2E6A84"/>
    <w:rsid w:val="5A3B0F06"/>
    <w:rsid w:val="5A412A61"/>
    <w:rsid w:val="5A4752E2"/>
    <w:rsid w:val="5A527BDD"/>
    <w:rsid w:val="5A6D3A47"/>
    <w:rsid w:val="5A7A7F4C"/>
    <w:rsid w:val="5A7D1253"/>
    <w:rsid w:val="5A850E4C"/>
    <w:rsid w:val="5A905E59"/>
    <w:rsid w:val="5A9311E7"/>
    <w:rsid w:val="5A95316F"/>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61088"/>
    <w:rsid w:val="5CC927D0"/>
    <w:rsid w:val="5CD04E1E"/>
    <w:rsid w:val="5CDA6371"/>
    <w:rsid w:val="5CEC54C0"/>
    <w:rsid w:val="5CF30224"/>
    <w:rsid w:val="5CFC64A7"/>
    <w:rsid w:val="5D0014E0"/>
    <w:rsid w:val="5D033124"/>
    <w:rsid w:val="5D1516BF"/>
    <w:rsid w:val="5D1569ED"/>
    <w:rsid w:val="5D1A5C10"/>
    <w:rsid w:val="5D1B2A4F"/>
    <w:rsid w:val="5D1B50AE"/>
    <w:rsid w:val="5D1C7440"/>
    <w:rsid w:val="5D2E6665"/>
    <w:rsid w:val="5D396C88"/>
    <w:rsid w:val="5D4F34F7"/>
    <w:rsid w:val="5D521435"/>
    <w:rsid w:val="5D6031C3"/>
    <w:rsid w:val="5D623C65"/>
    <w:rsid w:val="5D653EC8"/>
    <w:rsid w:val="5D68352E"/>
    <w:rsid w:val="5D7636FE"/>
    <w:rsid w:val="5D7F7A77"/>
    <w:rsid w:val="5D810CA8"/>
    <w:rsid w:val="5D864B2F"/>
    <w:rsid w:val="5D8C1819"/>
    <w:rsid w:val="5DC12889"/>
    <w:rsid w:val="5DC477E0"/>
    <w:rsid w:val="5DCA3061"/>
    <w:rsid w:val="5DD05318"/>
    <w:rsid w:val="5DD161BA"/>
    <w:rsid w:val="5DE97207"/>
    <w:rsid w:val="5DEF6C2B"/>
    <w:rsid w:val="5DF22741"/>
    <w:rsid w:val="5DFB28F8"/>
    <w:rsid w:val="5DFE50F6"/>
    <w:rsid w:val="5E026A9A"/>
    <w:rsid w:val="5E050796"/>
    <w:rsid w:val="5E123553"/>
    <w:rsid w:val="5E186B89"/>
    <w:rsid w:val="5E202832"/>
    <w:rsid w:val="5E2D7C7A"/>
    <w:rsid w:val="5E4E3F80"/>
    <w:rsid w:val="5E5F4BD4"/>
    <w:rsid w:val="5E6B35BB"/>
    <w:rsid w:val="5E852B0D"/>
    <w:rsid w:val="5E8A7777"/>
    <w:rsid w:val="5E932264"/>
    <w:rsid w:val="5EA1268E"/>
    <w:rsid w:val="5EB029CD"/>
    <w:rsid w:val="5ED20F44"/>
    <w:rsid w:val="5ED656F0"/>
    <w:rsid w:val="5EDF3DC8"/>
    <w:rsid w:val="5EE7073E"/>
    <w:rsid w:val="5EEC61AE"/>
    <w:rsid w:val="5EF641A0"/>
    <w:rsid w:val="5EF67A22"/>
    <w:rsid w:val="5EFB4ED5"/>
    <w:rsid w:val="5F0501F2"/>
    <w:rsid w:val="5F123BC6"/>
    <w:rsid w:val="5F184877"/>
    <w:rsid w:val="5F1A7A37"/>
    <w:rsid w:val="5F2E256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67529"/>
    <w:rsid w:val="5FFC4765"/>
    <w:rsid w:val="5FFF6DC4"/>
    <w:rsid w:val="60046C0F"/>
    <w:rsid w:val="600E4F7F"/>
    <w:rsid w:val="60131685"/>
    <w:rsid w:val="601327BB"/>
    <w:rsid w:val="60245068"/>
    <w:rsid w:val="60255BE3"/>
    <w:rsid w:val="602717FC"/>
    <w:rsid w:val="602A62F8"/>
    <w:rsid w:val="602C01A9"/>
    <w:rsid w:val="60351EE3"/>
    <w:rsid w:val="603B1B21"/>
    <w:rsid w:val="603F2752"/>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52A50"/>
    <w:rsid w:val="612E0294"/>
    <w:rsid w:val="61375BEC"/>
    <w:rsid w:val="614A2305"/>
    <w:rsid w:val="614E4437"/>
    <w:rsid w:val="615F1F60"/>
    <w:rsid w:val="6182631E"/>
    <w:rsid w:val="61916138"/>
    <w:rsid w:val="61A26760"/>
    <w:rsid w:val="61AF5CD6"/>
    <w:rsid w:val="61BC217C"/>
    <w:rsid w:val="61D9772A"/>
    <w:rsid w:val="61DA1B5D"/>
    <w:rsid w:val="61DB33CF"/>
    <w:rsid w:val="61EB4962"/>
    <w:rsid w:val="61EF0933"/>
    <w:rsid w:val="61F02594"/>
    <w:rsid w:val="61F2327B"/>
    <w:rsid w:val="61F64176"/>
    <w:rsid w:val="61F6471A"/>
    <w:rsid w:val="61F97578"/>
    <w:rsid w:val="61FA7AC8"/>
    <w:rsid w:val="623942AC"/>
    <w:rsid w:val="62413765"/>
    <w:rsid w:val="625A4915"/>
    <w:rsid w:val="625E2011"/>
    <w:rsid w:val="626E5BD1"/>
    <w:rsid w:val="627803DA"/>
    <w:rsid w:val="627966B2"/>
    <w:rsid w:val="62921FA4"/>
    <w:rsid w:val="62A06349"/>
    <w:rsid w:val="62BF1D8B"/>
    <w:rsid w:val="62C83DFB"/>
    <w:rsid w:val="62CB6DF0"/>
    <w:rsid w:val="62D03FE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86651"/>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9A2640"/>
    <w:rsid w:val="64AA7760"/>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41E21"/>
    <w:rsid w:val="65687D20"/>
    <w:rsid w:val="656A7AEB"/>
    <w:rsid w:val="656B1F42"/>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96380F"/>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5A13EB"/>
    <w:rsid w:val="67622FB4"/>
    <w:rsid w:val="676E6425"/>
    <w:rsid w:val="67770DB9"/>
    <w:rsid w:val="67776ADD"/>
    <w:rsid w:val="6779797F"/>
    <w:rsid w:val="6788047B"/>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071FA2"/>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197179"/>
    <w:rsid w:val="6A22015C"/>
    <w:rsid w:val="6A265076"/>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75D75"/>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844"/>
    <w:rsid w:val="6BDE4DDD"/>
    <w:rsid w:val="6BE04A25"/>
    <w:rsid w:val="6BE07242"/>
    <w:rsid w:val="6BE5514A"/>
    <w:rsid w:val="6BE82C3E"/>
    <w:rsid w:val="6BE972DB"/>
    <w:rsid w:val="6BFE0452"/>
    <w:rsid w:val="6C0F2440"/>
    <w:rsid w:val="6C176418"/>
    <w:rsid w:val="6C1D28FC"/>
    <w:rsid w:val="6C247F63"/>
    <w:rsid w:val="6C392A9F"/>
    <w:rsid w:val="6C452784"/>
    <w:rsid w:val="6C4D097B"/>
    <w:rsid w:val="6C5173DD"/>
    <w:rsid w:val="6C524744"/>
    <w:rsid w:val="6C531367"/>
    <w:rsid w:val="6C5973BD"/>
    <w:rsid w:val="6C5F452A"/>
    <w:rsid w:val="6C762792"/>
    <w:rsid w:val="6C7D1213"/>
    <w:rsid w:val="6C801375"/>
    <w:rsid w:val="6C822E35"/>
    <w:rsid w:val="6CA31B9D"/>
    <w:rsid w:val="6CA714E6"/>
    <w:rsid w:val="6CBF7E9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F05AA"/>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4E2CC7"/>
    <w:rsid w:val="6E565A56"/>
    <w:rsid w:val="6E5C1E9E"/>
    <w:rsid w:val="6E5D68D3"/>
    <w:rsid w:val="6E6611F0"/>
    <w:rsid w:val="6E682450"/>
    <w:rsid w:val="6E6A511F"/>
    <w:rsid w:val="6E720DA7"/>
    <w:rsid w:val="6E7251F0"/>
    <w:rsid w:val="6E757524"/>
    <w:rsid w:val="6E7934F3"/>
    <w:rsid w:val="6E9C5623"/>
    <w:rsid w:val="6E9E05A5"/>
    <w:rsid w:val="6EA77E4F"/>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879C5"/>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3FE1"/>
    <w:rsid w:val="701A7D3E"/>
    <w:rsid w:val="702C34C5"/>
    <w:rsid w:val="702D3A00"/>
    <w:rsid w:val="70341230"/>
    <w:rsid w:val="70342FAD"/>
    <w:rsid w:val="7034472B"/>
    <w:rsid w:val="703721C4"/>
    <w:rsid w:val="704310F0"/>
    <w:rsid w:val="7048073F"/>
    <w:rsid w:val="705A14E5"/>
    <w:rsid w:val="705A4D1B"/>
    <w:rsid w:val="705F37D3"/>
    <w:rsid w:val="707A4F0F"/>
    <w:rsid w:val="7084369E"/>
    <w:rsid w:val="708B108A"/>
    <w:rsid w:val="709143C4"/>
    <w:rsid w:val="70930271"/>
    <w:rsid w:val="70A94390"/>
    <w:rsid w:val="70CB3DC2"/>
    <w:rsid w:val="70DB5146"/>
    <w:rsid w:val="70E51B6F"/>
    <w:rsid w:val="70E561EA"/>
    <w:rsid w:val="70F40322"/>
    <w:rsid w:val="70F9595A"/>
    <w:rsid w:val="70FA4092"/>
    <w:rsid w:val="70FC3C7A"/>
    <w:rsid w:val="7104159B"/>
    <w:rsid w:val="71075B1A"/>
    <w:rsid w:val="710E7F44"/>
    <w:rsid w:val="71193089"/>
    <w:rsid w:val="71211292"/>
    <w:rsid w:val="71243B68"/>
    <w:rsid w:val="712776C4"/>
    <w:rsid w:val="712A41BD"/>
    <w:rsid w:val="7131135C"/>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1FC2D88"/>
    <w:rsid w:val="720A6753"/>
    <w:rsid w:val="720F4AFB"/>
    <w:rsid w:val="72112B83"/>
    <w:rsid w:val="72143F3C"/>
    <w:rsid w:val="721F61D9"/>
    <w:rsid w:val="722333A8"/>
    <w:rsid w:val="722A199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2F9343E"/>
    <w:rsid w:val="730554B3"/>
    <w:rsid w:val="73092FAA"/>
    <w:rsid w:val="73272012"/>
    <w:rsid w:val="732C3102"/>
    <w:rsid w:val="73413694"/>
    <w:rsid w:val="734608F5"/>
    <w:rsid w:val="7365663A"/>
    <w:rsid w:val="736D4BAC"/>
    <w:rsid w:val="736F1AFC"/>
    <w:rsid w:val="739B5B15"/>
    <w:rsid w:val="73A37548"/>
    <w:rsid w:val="73B36872"/>
    <w:rsid w:val="73BA58B5"/>
    <w:rsid w:val="73BE1114"/>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228EA"/>
    <w:rsid w:val="74780C44"/>
    <w:rsid w:val="7479294A"/>
    <w:rsid w:val="74794607"/>
    <w:rsid w:val="747B5C9D"/>
    <w:rsid w:val="747F1177"/>
    <w:rsid w:val="748028C0"/>
    <w:rsid w:val="748431AE"/>
    <w:rsid w:val="7499003B"/>
    <w:rsid w:val="74A471EE"/>
    <w:rsid w:val="74AB58BC"/>
    <w:rsid w:val="74AF159B"/>
    <w:rsid w:val="74C111AB"/>
    <w:rsid w:val="74C768EE"/>
    <w:rsid w:val="74CA493F"/>
    <w:rsid w:val="74E97F38"/>
    <w:rsid w:val="74ED6920"/>
    <w:rsid w:val="74F13E40"/>
    <w:rsid w:val="75065956"/>
    <w:rsid w:val="750B1697"/>
    <w:rsid w:val="751509C7"/>
    <w:rsid w:val="7525120A"/>
    <w:rsid w:val="752A3F7B"/>
    <w:rsid w:val="7533655A"/>
    <w:rsid w:val="753A3853"/>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2825F1"/>
    <w:rsid w:val="7638029A"/>
    <w:rsid w:val="763929C4"/>
    <w:rsid w:val="764F131A"/>
    <w:rsid w:val="765B6CE9"/>
    <w:rsid w:val="765D3DA8"/>
    <w:rsid w:val="7661178C"/>
    <w:rsid w:val="766740C2"/>
    <w:rsid w:val="766852F0"/>
    <w:rsid w:val="766A6521"/>
    <w:rsid w:val="766C7968"/>
    <w:rsid w:val="766E7DAC"/>
    <w:rsid w:val="7675564C"/>
    <w:rsid w:val="76836254"/>
    <w:rsid w:val="76877462"/>
    <w:rsid w:val="76936F16"/>
    <w:rsid w:val="769909A0"/>
    <w:rsid w:val="76993FC0"/>
    <w:rsid w:val="76A10D28"/>
    <w:rsid w:val="76A64EB2"/>
    <w:rsid w:val="76BC1014"/>
    <w:rsid w:val="76D7331B"/>
    <w:rsid w:val="7701474F"/>
    <w:rsid w:val="77025DC3"/>
    <w:rsid w:val="772354E1"/>
    <w:rsid w:val="77276E30"/>
    <w:rsid w:val="772C68C6"/>
    <w:rsid w:val="773E0DC5"/>
    <w:rsid w:val="77594BC8"/>
    <w:rsid w:val="77652DD1"/>
    <w:rsid w:val="77690AA9"/>
    <w:rsid w:val="776C53FF"/>
    <w:rsid w:val="776E3681"/>
    <w:rsid w:val="777E5705"/>
    <w:rsid w:val="7781654E"/>
    <w:rsid w:val="77881C4F"/>
    <w:rsid w:val="779231D8"/>
    <w:rsid w:val="77A618BC"/>
    <w:rsid w:val="77AD55DB"/>
    <w:rsid w:val="77B92312"/>
    <w:rsid w:val="77BC08A0"/>
    <w:rsid w:val="77CC68FE"/>
    <w:rsid w:val="77DE5CDB"/>
    <w:rsid w:val="77E81BC6"/>
    <w:rsid w:val="77F67883"/>
    <w:rsid w:val="781C7B42"/>
    <w:rsid w:val="78205658"/>
    <w:rsid w:val="7827423F"/>
    <w:rsid w:val="78341E10"/>
    <w:rsid w:val="7835284D"/>
    <w:rsid w:val="783719D4"/>
    <w:rsid w:val="78386307"/>
    <w:rsid w:val="783A63BE"/>
    <w:rsid w:val="78493B6B"/>
    <w:rsid w:val="7850391E"/>
    <w:rsid w:val="78586B5B"/>
    <w:rsid w:val="78597E32"/>
    <w:rsid w:val="78703EBE"/>
    <w:rsid w:val="78805A36"/>
    <w:rsid w:val="78830880"/>
    <w:rsid w:val="78970F49"/>
    <w:rsid w:val="78A51D8F"/>
    <w:rsid w:val="78AE0946"/>
    <w:rsid w:val="78BE4153"/>
    <w:rsid w:val="78C10296"/>
    <w:rsid w:val="78D02D1A"/>
    <w:rsid w:val="78D1727E"/>
    <w:rsid w:val="78D17516"/>
    <w:rsid w:val="78D96E40"/>
    <w:rsid w:val="78DB3B1D"/>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45487"/>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4A00C1"/>
    <w:rsid w:val="7B55415F"/>
    <w:rsid w:val="7B69789C"/>
    <w:rsid w:val="7B875C60"/>
    <w:rsid w:val="7BA1117B"/>
    <w:rsid w:val="7BA76397"/>
    <w:rsid w:val="7BB151FD"/>
    <w:rsid w:val="7BB43296"/>
    <w:rsid w:val="7BBE12F2"/>
    <w:rsid w:val="7BC94EE7"/>
    <w:rsid w:val="7BCA2EE2"/>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BF18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A26A7F"/>
    <w:rsid w:val="7DA90065"/>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D603DF"/>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2</TotalTime>
  <ScaleCrop>false</ScaleCrop>
  <LinksUpToDate>false</LinksUpToDate>
  <CharactersWithSpaces>26786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2021-12-16T08:22:49Z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2052-11.1.0.11115</vt:lpwstr>
  </property>
  <property fmtid="{D5CDD505-2E9C-101B-9397-08002B2CF9AE}" pid="4" name="ICV">
    <vt:lpwstr>D366F8CEF0B34B9A839F473A36DCA92E</vt:lpwstr>
  </property>
</Properties>
</file>