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一、本月煤炭市场综述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bookmarkStart w:id="0" w:name="_GoBack"/>
      <w:bookmarkEnd w:id="0"/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1）产地方面：产地煤矿仍受环保检查及能耗双控的影响，开工偏低，个别地区煤矿产量有释放预期。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山西古交及临汾地区部分煤矿均有停产计划，且在安全环保检查下，炼焦煤产量有所缩减，数煤矿以执行前期订单为主，厂内库存处于低位水平。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2）需求方面：内蒙地区受电煤保供影响，部分煤矿原煤比较紧缺，叠加自治区内除国企外多数钢厂均因能耗问题停产至月底，焦企焦炭库存有所增加，炼焦煤需求有所减弱，市场观望情绪浓厚。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3）库存方面：本月末港口炼焦煤库存 437 万吨，较上月末库存增加 23 万吨，增幅 5.56%，其中京唐港、青岛港、连云港库存均较上月末有所上升，青岛港增涨幅度最大，达到 22.00%，日照港库存小幅度下降，湛江港库存减少至 0。</w:t>
      </w:r>
    </w:p>
    <w:p>
      <w:pPr>
        <w:widowControl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</w:t>
      </w:r>
      <w:r>
        <w:rPr>
          <w:b/>
          <w:bCs/>
          <w:sz w:val="36"/>
          <w:szCs w:val="36"/>
        </w:rPr>
        <w:t>国内煤炭后市运行分析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产地煤矿仍受环保检查及能耗双控的影响，开工偏低，个别地区煤矿产量有释放预期。进口方面，蒙古疫情反复，通关量不稳定，支撑进口煤价格坚挺，但下游对高价煤接受度不高，多观望。下游需求方面：粗钢产量压减，钢厂对焦炭的需求减少，进而影响焦煤需求减少。整体看，供应关系紧张局面短期内无法缓解，但在各项政策的干扰下，短期内焦煤价格有望逐步趋于理性回归。预计 10 月焦煤价格主稳偏弱运行。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本月</w:t>
      </w:r>
      <w:r>
        <w:rPr>
          <w:b/>
          <w:bCs/>
          <w:sz w:val="36"/>
          <w:szCs w:val="36"/>
        </w:rPr>
        <w:t>煤炭市场行情</w:t>
      </w:r>
    </w:p>
    <w:p>
      <w:pPr>
        <w:widowControl/>
        <w:ind w:firstLine="420" w:firstLineChars="200"/>
        <w:jc w:val="left"/>
        <w:rPr>
          <w:szCs w:val="21"/>
        </w:rPr>
      </w:pP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本月（2021/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/01-2021/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/3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）动力煤市场强势运行，价格整体较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 xml:space="preserve"> 月底上涨明显。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产地方面：月初，榆林地区开展“抑制煤炭价格百日行动”，加大监管力度，区域内煤 价整体保持稳定，矿区整体保持热销状态，车辆滞留情况常态；内蒙地区个别前期带头涨价 的煤矿被核查，该部分煤矿在价格管控下报价大幅下调。中旬，受政策、安全检查等诸多因 素影响，陕西地区停产煤矿较多，尤其榆阳地区全部停产，同时道路交通也受到管制，煤炭 供应进一步收紧，价格维持小幅上调态势。另外，本月参与保供的煤矿占比增加，部分煤矿 暂停对外销售，市场货源紧张，供应持续收紧，价格也不断上调。内蒙部分 煤矿继续核增产能，但由于临近月底，煤管票紧缺，产能释放不及预期，且内蒙地区某煤矿 发生事故，东胜区所有煤矿停产，供应增量有限。整体来看，目前矿区依然延续前期热销状态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多数矿区车辆滞留情况明显，需求支撑明显，价格保持强势。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港口方面：月初，由于成本 高位，贸易商发运谨慎，叠加大秦线天窗，环渤海主要港口维持调入不及调出的局面，库存 持续低位，市场货源紧张，优质煤种缺货进一步加深，叠加主要耗煤行业耗用维持高位，终 端用户刚需拉运积极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贸易商报价延续小幅上涨态势。中旬，受台风“灿都”影响，东部海 域及华东沿海将有较强风雨天气，环渤海主要港口调出不及调入，且中秋假期期间受封航等 因素影响，库存出现明显积累，但仍处于低位。临近月底，港口政策调控消息频出，但目前 坑口货源紧张，港口供应量有限，价格仍继续上行。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需求方面：近期受“能耗双控”政策影响，全国各省纷纷出台一系列措施，加码高耗能 高污染企业限电限产，在很大程度上缓解了电厂冬储补库的压力。本月南方地区高温天气仍 较多，西南地区水电出力也有增加，电厂日耗虽有回落，但幅度并不大，在终端采购不多的情况下，库存下降明显，并且本月保供煤矿占比增加，在市场价格处于绝对高位情况下，终 端拉运以长协为主，市场煤的采购积极性较低。随着“能耗双控”政策强势落地，水泥、化工等高耗能行业停产、限产较多，需求较前期有所减少，由于 10月初将迎来大秦线检修， 部分下游拉运积极性有所提高，整体来看，需求端支撑仍偏强。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煤炭行业相关产品动态</w:t>
      </w:r>
    </w:p>
    <w:p>
      <w:pPr>
        <w:rPr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1 下游市场动态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本月（2021/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/01-2021/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/3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）焦炭市场先涨后稳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焦炉多处焖炉状态，部分焦企执行限产 50%-60%；山西、陕西部分地区环保力度趋严，另有个别因焦煤结构性紧张小幅限产,焦企开工持续下降中，厂内库存低位，市场心态乐观。下旬由于能耗双控政策的影响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江苏地区 3 家焦企中一家进入保温状态，其余两家限产 50%，焦炭供应继续减少中。钢厂方面受能耗双控及压减粗钢产量政策影响，各地陆续发布有序限电通知，钢厂限产幅度有所扩大，个别钢厂有焖炉保温现象，对焦炭采购需求稍有走弱且多数钢厂反映库存上涨，对当下价格有恐高心态，保持按需采购，个别钢厂反馈有控制到货情况供应端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目前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焦炭市场暂稳运行，仍未落地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供应方面，内蒙地区因疫情限产，焦炭日产量下降，总库存仍旧偏低，随着山西地区运输恢复，焦企降库明显，库存往下游转移。山西后期亦有继续限产可能，预期供应持续偏低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本月以来，煤矿挂牌价格上涨趋势放缓，且钢厂对频繁的价格上调已有抵触，加之各地压减粗钢政策未来落实情况未明，月底部分钢厂开启焦炭首轮提降，焦企拒绝之后，暂无进一步变动。鉴于目前焦炭总库存仍处低位，节前焦炭市场暂稳运行。节后若钢厂进一步限产，焦炭后市将回调。</w:t>
      </w:r>
    </w:p>
    <w:p>
      <w:pPr>
        <w:widowControl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220E4"/>
    <w:multiLevelType w:val="multilevel"/>
    <w:tmpl w:val="50F220E4"/>
    <w:lvl w:ilvl="0" w:tentative="0">
      <w:start w:val="3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D1D"/>
    <w:rsid w:val="00394376"/>
    <w:rsid w:val="00395CD3"/>
    <w:rsid w:val="003A4E7E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6E4A7E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B103A4"/>
    <w:rsid w:val="00B17953"/>
    <w:rsid w:val="00B24B0E"/>
    <w:rsid w:val="00B253EA"/>
    <w:rsid w:val="00B32A65"/>
    <w:rsid w:val="00B6277C"/>
    <w:rsid w:val="00B81CA7"/>
    <w:rsid w:val="00BE4A0A"/>
    <w:rsid w:val="00BF2270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76FA9"/>
    <w:rsid w:val="00D94FAE"/>
    <w:rsid w:val="00E13529"/>
    <w:rsid w:val="00E32BFE"/>
    <w:rsid w:val="00E37640"/>
    <w:rsid w:val="00E71E80"/>
    <w:rsid w:val="00E77AE3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16529E"/>
    <w:rsid w:val="14E523D2"/>
    <w:rsid w:val="15410FA8"/>
    <w:rsid w:val="168563A3"/>
    <w:rsid w:val="178D6B19"/>
    <w:rsid w:val="1EDF47A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392378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87905C2"/>
    <w:rsid w:val="3B293312"/>
    <w:rsid w:val="3BE03307"/>
    <w:rsid w:val="3BF17A16"/>
    <w:rsid w:val="3C4456DE"/>
    <w:rsid w:val="3CC3597A"/>
    <w:rsid w:val="3D0517AF"/>
    <w:rsid w:val="3D2D2F7B"/>
    <w:rsid w:val="3E1F5BAA"/>
    <w:rsid w:val="3E814524"/>
    <w:rsid w:val="3E891D15"/>
    <w:rsid w:val="3E9C2B0C"/>
    <w:rsid w:val="3F6F0F80"/>
    <w:rsid w:val="42236ECF"/>
    <w:rsid w:val="436321D3"/>
    <w:rsid w:val="43B945E4"/>
    <w:rsid w:val="44AC7F55"/>
    <w:rsid w:val="44D0278B"/>
    <w:rsid w:val="45315A14"/>
    <w:rsid w:val="47E77E78"/>
    <w:rsid w:val="488F54F3"/>
    <w:rsid w:val="49BF12B3"/>
    <w:rsid w:val="4A3D25F7"/>
    <w:rsid w:val="4ACE6211"/>
    <w:rsid w:val="4C2301AB"/>
    <w:rsid w:val="4C4121BA"/>
    <w:rsid w:val="4C507BF0"/>
    <w:rsid w:val="4EFB367C"/>
    <w:rsid w:val="4F0C5D97"/>
    <w:rsid w:val="5122438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5F8C1922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C4A254B"/>
    <w:rsid w:val="6D94740E"/>
    <w:rsid w:val="6F794E21"/>
    <w:rsid w:val="6F91033A"/>
    <w:rsid w:val="6FEA3019"/>
    <w:rsid w:val="709B4CCA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9896468"/>
    <w:rsid w:val="7BF25905"/>
    <w:rsid w:val="7C630891"/>
    <w:rsid w:val="7EA67E1B"/>
    <w:rsid w:val="7ED60350"/>
    <w:rsid w:val="7F4F0E10"/>
    <w:rsid w:val="7FDE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415</Words>
  <Characters>2370</Characters>
  <Lines>19</Lines>
  <Paragraphs>5</Paragraphs>
  <TotalTime>1</TotalTime>
  <ScaleCrop>false</ScaleCrop>
  <LinksUpToDate>false</LinksUpToDate>
  <CharactersWithSpaces>2780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2021-10-29T06:20:45Z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A3001813872B4B5A8166C1BBA00F80D6</vt:lpwstr>
  </property>
</Properties>
</file>