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-982345</wp:posOffset>
            </wp:positionH>
            <wp:positionV relativeFrom="paragraph">
              <wp:posOffset>-909955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w:t>
                            </w:r>
                            <w:r>
                              <w:rPr>
                                <w:rFonts w:hint="eastAsia"/>
                                <w:b/>
                                <w:kern w:val="2"/>
                                <w:sz w:val="36"/>
                                <w:szCs w:val="36"/>
                                <w:lang w:val="en-US" w:eastAsia="zh-CN"/>
                              </w:rPr>
                              <w:t xml:space="preserve">  </w:t>
                            </w:r>
                            <w:r>
                              <w:rPr>
                                <w:rFonts w:hint="eastAsia"/>
                                <w:b/>
                                <w:kern w:val="2"/>
                                <w:sz w:val="36"/>
                                <w:szCs w:val="36"/>
                                <w:lang w:eastAsia="zh-CN"/>
                              </w:rPr>
                              <w:t>商</w:t>
                            </w:r>
                            <w:r>
                              <w:rPr>
                                <w:rFonts w:hint="eastAsia"/>
                                <w:b/>
                                <w:kern w:val="2"/>
                                <w:sz w:val="36"/>
                                <w:szCs w:val="36"/>
                                <w:lang w:val="en-US" w:eastAsia="zh-CN"/>
                              </w:rPr>
                              <w:t xml:space="preserve">  </w:t>
                            </w:r>
                            <w:r>
                              <w:rPr>
                                <w:rFonts w:hint="eastAsia"/>
                                <w:b/>
                                <w:kern w:val="2"/>
                                <w:sz w:val="36"/>
                                <w:szCs w:val="36"/>
                                <w:lang w:eastAsia="zh-CN"/>
                              </w:rPr>
                              <w:t>网</w:t>
                            </w:r>
                            <w:r>
                              <w:rPr>
                                <w:rFonts w:hint="eastAsia"/>
                                <w:b/>
                                <w:kern w:val="2"/>
                                <w:sz w:val="36"/>
                                <w:szCs w:val="36"/>
                                <w:lang w:val="en-US" w:eastAsia="zh-CN"/>
                              </w:rPr>
                              <w:t xml:space="preserve">  </w:t>
                            </w:r>
                            <w:r>
                              <w:rPr>
                                <w:rFonts w:hint="eastAsia"/>
                                <w:b/>
                                <w:kern w:val="2"/>
                                <w:sz w:val="36"/>
                                <w:szCs w:val="36"/>
                              </w:rPr>
                              <w:t>油  品  周  报</w:t>
                            </w:r>
                          </w:p>
                          <w:p>
                            <w:pPr>
                              <w:rPr>
                                <w:sz w:val="36"/>
                                <w:szCs w:val="36"/>
                              </w:rPr>
                            </w:pPr>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AHW9TergEAAE8DAAAOAAAAZHJzL2Uyb0RvYy54bWytU0GO&#10;EzEQvCPxB8t3MrMJu4RRJiuhaLkgQFp4gOOxM5Zst+V2MpMPwA84ceHOu/IO2k5IdpfLHrh47O6a&#10;6q5qe3E7Ost2KqIB3/KrSc2Z8hI64zct//rl7tWcM0zCd8KCVy3fK+S3y5cvFkNo1BR6sJ2KjEg8&#10;NkNoeZ9SaKoKZa+cwAkE5SmpITqR6Bg3VRfFQOzOVtO6vqkGiF2IIBUiRVfHJD8xxucQgtZGqhXI&#10;rVM+HVmjsiKRJOxNQL4s3WqtZPqkNarEbMtJaSorFaH9Oq/VciGaTRShN/LUgnhOC080OWE8FT1T&#10;rUQSbBvNP1TOyAgIOk0kuOoopDhCKq7qJ97c9yKoooWsxnA2Hf8frfy4+xyZ6Vo+5cwLRwM//Ph+&#10;+Pn78Osbuyn+DAEbgt0HAqbxHYx0a7JvOY4UzLJHHV3+kiBGeXJ3f3ZXjYlJCs7qt7N6fs2ZpNyb&#10;69ezeaGvLn+HiOm9AsfypuWRpldMFbsPmKgiQf9CcjEPd8baMkHrHwUImCPVpcW8S+N6PPW9hm5P&#10;crYhmk1PpYqgAiefS6HTnciDfHgupJd3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9cWvdcA&#10;AAAKAQAADwAAAAAAAAABACAAAAAiAAAAZHJzL2Rvd25yZXYueG1sUEsBAhQAFAAAAAgAh07iQAdb&#10;1N6uAQAATwMAAA4AAAAAAAAAAQAgAAAAJgEAAGRycy9lMm9Eb2MueG1sUEsFBgAAAAAGAAYAWQEA&#10;AEYFA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w:t>
                      </w:r>
                      <w:r>
                        <w:rPr>
                          <w:rFonts w:hint="eastAsia"/>
                          <w:b/>
                          <w:kern w:val="2"/>
                          <w:sz w:val="36"/>
                          <w:szCs w:val="36"/>
                          <w:lang w:val="en-US" w:eastAsia="zh-CN"/>
                        </w:rPr>
                        <w:t xml:space="preserve">  </w:t>
                      </w:r>
                      <w:r>
                        <w:rPr>
                          <w:rFonts w:hint="eastAsia"/>
                          <w:b/>
                          <w:kern w:val="2"/>
                          <w:sz w:val="36"/>
                          <w:szCs w:val="36"/>
                          <w:lang w:eastAsia="zh-CN"/>
                        </w:rPr>
                        <w:t>商</w:t>
                      </w:r>
                      <w:r>
                        <w:rPr>
                          <w:rFonts w:hint="eastAsia"/>
                          <w:b/>
                          <w:kern w:val="2"/>
                          <w:sz w:val="36"/>
                          <w:szCs w:val="36"/>
                          <w:lang w:val="en-US" w:eastAsia="zh-CN"/>
                        </w:rPr>
                        <w:t xml:space="preserve">  </w:t>
                      </w:r>
                      <w:r>
                        <w:rPr>
                          <w:rFonts w:hint="eastAsia"/>
                          <w:b/>
                          <w:kern w:val="2"/>
                          <w:sz w:val="36"/>
                          <w:szCs w:val="36"/>
                          <w:lang w:eastAsia="zh-CN"/>
                        </w:rPr>
                        <w:t>网</w:t>
                      </w:r>
                      <w:r>
                        <w:rPr>
                          <w:rFonts w:hint="eastAsia"/>
                          <w:b/>
                          <w:kern w:val="2"/>
                          <w:sz w:val="36"/>
                          <w:szCs w:val="36"/>
                          <w:lang w:val="en-US" w:eastAsia="zh-CN"/>
                        </w:rPr>
                        <w:t xml:space="preserve">  </w:t>
                      </w:r>
                      <w:r>
                        <w:rPr>
                          <w:rFonts w:hint="eastAsia"/>
                          <w:b/>
                          <w:kern w:val="2"/>
                          <w:sz w:val="36"/>
                          <w:szCs w:val="36"/>
                        </w:rPr>
                        <w:t>油  品  周  报</w:t>
                      </w:r>
                    </w:p>
                    <w:p>
                      <w:pPr>
                        <w:rPr>
                          <w:sz w:val="36"/>
                          <w:szCs w:val="36"/>
                        </w:rPr>
                      </w:pPr>
                    </w:p>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21</w:t>
      </w:r>
      <w:r>
        <w:rPr>
          <w:rFonts w:hint="eastAsia" w:ascii="宋体" w:hAnsi="宋体"/>
          <w:b/>
          <w:color w:val="auto"/>
          <w:sz w:val="36"/>
          <w:szCs w:val="36"/>
        </w:rPr>
        <w:t>.</w:t>
      </w:r>
      <w:r>
        <w:rPr>
          <w:rFonts w:hint="eastAsia" w:ascii="宋体" w:hAnsi="宋体"/>
          <w:b/>
          <w:color w:val="auto"/>
          <w:sz w:val="36"/>
          <w:szCs w:val="36"/>
          <w:lang w:val="en-US" w:eastAsia="zh-CN"/>
        </w:rPr>
        <w:t>10.21</w:t>
      </w: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目 录</w:t>
      </w:r>
    </w:p>
    <w:p>
      <w:pPr>
        <w:pStyle w:val="16"/>
        <w:tabs>
          <w:tab w:val="right" w:leader="dot" w:pos="9638"/>
          <w:tab w:val="clear" w:pos="9170"/>
        </w:tabs>
        <w:jc w:val="left"/>
        <w:rPr>
          <w:color w:val="auto"/>
        </w:rPr>
      </w:pPr>
      <w:r>
        <w:rPr>
          <w:rFonts w:hint="eastAsia" w:ascii="宋体" w:hAnsi="宋体" w:eastAsia="宋体" w:cs="宋体"/>
          <w:color w:val="auto"/>
          <w:sz w:val="24"/>
          <w:szCs w:val="21"/>
        </w:rPr>
        <w:fldChar w:fldCharType="begin"/>
      </w:r>
      <w:r>
        <w:rPr>
          <w:rFonts w:hint="eastAsia" w:ascii="宋体" w:hAnsi="宋体" w:eastAsia="宋体" w:cs="宋体"/>
          <w:color w:val="auto"/>
          <w:sz w:val="24"/>
          <w:szCs w:val="21"/>
        </w:rPr>
        <w:instrText xml:space="preserve"> TOC \o "1-3" \h \z </w:instrText>
      </w:r>
      <w:r>
        <w:rPr>
          <w:rFonts w:hint="eastAsia" w:ascii="宋体" w:hAnsi="宋体" w:eastAsia="宋体" w:cs="宋体"/>
          <w:color w:val="auto"/>
          <w:sz w:val="24"/>
          <w:szCs w:val="21"/>
        </w:rPr>
        <w:fldChar w:fldCharType="separate"/>
      </w: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_Toc32272 </w:instrText>
      </w:r>
      <w:r>
        <w:rPr>
          <w:rFonts w:hint="eastAsia" w:ascii="宋体" w:hAnsi="宋体" w:eastAsia="宋体" w:cs="宋体"/>
          <w:color w:val="auto"/>
          <w:sz w:val="36"/>
          <w:szCs w:val="36"/>
        </w:rPr>
        <w:fldChar w:fldCharType="separate"/>
      </w:r>
      <w:r>
        <w:rPr>
          <w:rFonts w:hint="eastAsia" w:ascii="宋体" w:hAnsi="宋体" w:eastAsia="宋体" w:cs="宋体"/>
          <w:bCs/>
          <w:color w:val="auto"/>
          <w:kern w:val="0"/>
          <w:sz w:val="36"/>
          <w:szCs w:val="36"/>
        </w:rPr>
        <w:t xml:space="preserve">一、 </w:t>
      </w:r>
      <w:r>
        <w:rPr>
          <w:rFonts w:hint="eastAsia" w:ascii="宋体" w:hAnsi="宋体" w:eastAsia="宋体" w:cs="宋体"/>
          <w:color w:val="auto"/>
          <w:sz w:val="36"/>
          <w:szCs w:val="36"/>
        </w:rPr>
        <w:t>国际原油市场回顾 </w:t>
      </w:r>
      <w:r>
        <w:rPr>
          <w:rFonts w:hint="eastAsia" w:ascii="宋体" w:hAnsi="宋体" w:eastAsia="宋体" w:cs="宋体"/>
          <w:color w:val="auto"/>
          <w:sz w:val="36"/>
          <w:szCs w:val="36"/>
        </w:rPr>
        <w:tab/>
      </w: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PAGEREF _Toc32272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rPr>
        <w:t>3</w:t>
      </w:r>
      <w:r>
        <w:rPr>
          <w:rFonts w:hint="eastAsia" w:ascii="宋体" w:hAnsi="宋体" w:eastAsia="宋体" w:cs="宋体"/>
          <w:color w:val="auto"/>
          <w:sz w:val="36"/>
          <w:szCs w:val="36"/>
        </w:rPr>
        <w:fldChar w:fldCharType="end"/>
      </w:r>
      <w:r>
        <w:rPr>
          <w:rFonts w:hint="eastAsia" w:ascii="宋体" w:hAnsi="宋体" w:eastAsia="宋体" w:cs="宋体"/>
          <w:color w:val="auto"/>
          <w:sz w:val="36"/>
          <w:szCs w:val="36"/>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_Toc6297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1、国际原油收盘价涨跌情况（单位：美元/桶）</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_Toc6297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color w:val="auto"/>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_Toc5501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2.2021年国际原油价格走势图</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_Toc5501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0"/>
          <w:szCs w:val="30"/>
        </w:rPr>
      </w:pPr>
      <w:r>
        <w:rPr>
          <w:rFonts w:hint="eastAsia" w:ascii="宋体" w:hAnsi="宋体" w:eastAsia="宋体" w:cs="宋体"/>
          <w:b/>
          <w:bCs/>
          <w:color w:val="auto"/>
          <w:sz w:val="30"/>
          <w:szCs w:val="30"/>
        </w:rPr>
        <w:fldChar w:fldCharType="begin"/>
      </w:r>
      <w:r>
        <w:rPr>
          <w:rFonts w:hint="eastAsia" w:ascii="宋体" w:hAnsi="宋体" w:eastAsia="宋体" w:cs="宋体"/>
          <w:b/>
          <w:bCs/>
          <w:color w:val="auto"/>
          <w:sz w:val="30"/>
          <w:szCs w:val="30"/>
        </w:rPr>
        <w:instrText xml:space="preserve"> HYPERLINK \l _Toc16647 </w:instrText>
      </w:r>
      <w:r>
        <w:rPr>
          <w:rFonts w:hint="eastAsia" w:ascii="宋体" w:hAnsi="宋体" w:eastAsia="宋体" w:cs="宋体"/>
          <w:b/>
          <w:bCs/>
          <w:color w:val="auto"/>
          <w:sz w:val="30"/>
          <w:szCs w:val="30"/>
        </w:rPr>
        <w:fldChar w:fldCharType="separate"/>
      </w:r>
      <w:r>
        <w:rPr>
          <w:rFonts w:hint="eastAsia" w:ascii="宋体" w:hAnsi="宋体" w:eastAsia="宋体" w:cs="宋体"/>
          <w:b/>
          <w:bCs/>
          <w:color w:val="auto"/>
          <w:sz w:val="30"/>
          <w:szCs w:val="30"/>
          <w:highlight w:val="none"/>
          <w:lang w:val="en-US" w:eastAsia="zh-CN"/>
        </w:rPr>
        <w:t>2.1近期影响国际原油市场的主要因素</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fldChar w:fldCharType="begin"/>
      </w:r>
      <w:r>
        <w:rPr>
          <w:rFonts w:hint="eastAsia" w:ascii="宋体" w:hAnsi="宋体" w:eastAsia="宋体" w:cs="宋体"/>
          <w:b/>
          <w:bCs/>
          <w:color w:val="auto"/>
          <w:sz w:val="30"/>
          <w:szCs w:val="30"/>
        </w:rPr>
        <w:instrText xml:space="preserve"> PAGEREF _Toc16647 </w:instrText>
      </w:r>
      <w:r>
        <w:rPr>
          <w:rFonts w:hint="eastAsia" w:ascii="宋体" w:hAnsi="宋体" w:eastAsia="宋体" w:cs="宋体"/>
          <w:b/>
          <w:bCs/>
          <w:color w:val="auto"/>
          <w:sz w:val="30"/>
          <w:szCs w:val="30"/>
        </w:rPr>
        <w:fldChar w:fldCharType="separate"/>
      </w:r>
      <w:r>
        <w:rPr>
          <w:rFonts w:hint="eastAsia" w:ascii="宋体" w:hAnsi="宋体" w:eastAsia="宋体" w:cs="宋体"/>
          <w:b/>
          <w:bCs/>
          <w:color w:val="auto"/>
          <w:sz w:val="30"/>
          <w:szCs w:val="30"/>
        </w:rPr>
        <w:t>4</w:t>
      </w:r>
      <w:r>
        <w:rPr>
          <w:rFonts w:hint="eastAsia" w:ascii="宋体" w:hAnsi="宋体" w:eastAsia="宋体" w:cs="宋体"/>
          <w:b/>
          <w:bCs/>
          <w:color w:val="auto"/>
          <w:sz w:val="30"/>
          <w:szCs w:val="30"/>
        </w:rPr>
        <w:fldChar w:fldCharType="end"/>
      </w:r>
      <w:r>
        <w:rPr>
          <w:rFonts w:hint="eastAsia" w:ascii="宋体" w:hAnsi="宋体" w:eastAsia="宋体" w:cs="宋体"/>
          <w:b/>
          <w:bCs/>
          <w:color w:val="auto"/>
          <w:sz w:val="30"/>
          <w:szCs w:val="30"/>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_Toc184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1.美国原油库存情况</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_Toc184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_Toc16360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2.美国经济形势</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_Toc16360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_Toc30724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3.世界经济形势</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_Toc30724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color w:val="auto"/>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_Toc23898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4后市预测</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_Toc23898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_Toc30787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2.2国际市场MTBE价格</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_Toc30787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16</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aps/>
          <w:smallCaps w:val="0"/>
          <w:color w:val="auto"/>
          <w:kern w:val="2"/>
          <w:sz w:val="36"/>
          <w:szCs w:val="36"/>
          <w:lang w:val="en-US" w:eastAsia="zh-CN" w:bidi="ar-SA"/>
        </w:rPr>
      </w:pP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HYPERLINK \l _Toc11000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三、本周国内市场</w:t>
      </w:r>
      <w:r>
        <w:rPr>
          <w:rFonts w:hint="eastAsia" w:ascii="宋体" w:hAnsi="宋体" w:eastAsia="宋体" w:cs="宋体"/>
          <w:b/>
          <w:bCs/>
          <w:caps/>
          <w:smallCaps w:val="0"/>
          <w:color w:val="auto"/>
          <w:kern w:val="2"/>
          <w:sz w:val="36"/>
          <w:szCs w:val="36"/>
          <w:lang w:val="en-US" w:eastAsia="zh-CN" w:bidi="ar-SA"/>
        </w:rPr>
        <w:tab/>
      </w: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PAGEREF _Toc11000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16</w:t>
      </w:r>
      <w:r>
        <w:rPr>
          <w:rFonts w:hint="eastAsia" w:ascii="宋体" w:hAnsi="宋体" w:eastAsia="宋体" w:cs="宋体"/>
          <w:b/>
          <w:bCs/>
          <w:caps/>
          <w:smallCaps w:val="0"/>
          <w:color w:val="auto"/>
          <w:kern w:val="2"/>
          <w:sz w:val="36"/>
          <w:szCs w:val="36"/>
          <w:lang w:val="en-US" w:eastAsia="zh-CN" w:bidi="ar-SA"/>
        </w:rPr>
        <w:fldChar w:fldCharType="end"/>
      </w:r>
      <w:r>
        <w:rPr>
          <w:rFonts w:hint="eastAsia" w:ascii="宋体" w:hAnsi="宋体" w:eastAsia="宋体" w:cs="宋体"/>
          <w:b/>
          <w:bCs/>
          <w:caps/>
          <w:smallCaps w:val="0"/>
          <w:color w:val="auto"/>
          <w:kern w:val="2"/>
          <w:sz w:val="36"/>
          <w:szCs w:val="36"/>
          <w:lang w:val="en-US" w:eastAsia="zh-CN" w:bidi="ar-SA"/>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_Toc7167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3.1 国内炼厂装置运行情况</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_Toc7167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16</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_Toc13096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3.2本周成品油市场行情</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_Toc13096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18</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_Toc24031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3.3 国内汽油价格周报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_Toc24031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21</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_Toc16466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3.4国内柴油价格周报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_Toc16466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25</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_Toc6052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3.5 山东地炼汽油出厂价格周报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_Toc6052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27</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color w:val="auto"/>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_Toc25179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3.6 山东地炼柴油出厂价格周报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_Toc25179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29</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jc w:val="left"/>
        <w:rPr>
          <w:rFonts w:hint="eastAsia" w:ascii="宋体" w:hAnsi="宋体" w:eastAsia="宋体" w:cs="宋体"/>
          <w:b/>
          <w:bCs/>
          <w:caps/>
          <w:smallCaps w:val="0"/>
          <w:color w:val="auto"/>
          <w:kern w:val="2"/>
          <w:sz w:val="36"/>
          <w:szCs w:val="36"/>
          <w:lang w:val="en-US" w:eastAsia="zh-CN" w:bidi="ar-SA"/>
        </w:rPr>
      </w:pP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HYPERLINK \l _Toc27167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四、2021年</w:t>
      </w:r>
      <w:r>
        <w:rPr>
          <w:rFonts w:hint="eastAsia" w:ascii="宋体" w:hAnsi="宋体" w:cs="宋体"/>
          <w:b/>
          <w:bCs/>
          <w:caps/>
          <w:smallCaps w:val="0"/>
          <w:color w:val="auto"/>
          <w:kern w:val="2"/>
          <w:sz w:val="36"/>
          <w:szCs w:val="36"/>
          <w:lang w:val="en-US" w:eastAsia="zh-CN" w:bidi="ar-SA"/>
        </w:rPr>
        <w:t>8</w:t>
      </w:r>
      <w:r>
        <w:rPr>
          <w:rFonts w:hint="eastAsia" w:ascii="宋体" w:hAnsi="宋体" w:eastAsia="宋体" w:cs="宋体"/>
          <w:b/>
          <w:bCs/>
          <w:caps/>
          <w:smallCaps w:val="0"/>
          <w:color w:val="auto"/>
          <w:kern w:val="2"/>
          <w:sz w:val="36"/>
          <w:szCs w:val="36"/>
          <w:lang w:val="en-US" w:eastAsia="zh-CN" w:bidi="ar-SA"/>
        </w:rPr>
        <w:t>月份进出口统计数据</w:t>
      </w:r>
      <w:r>
        <w:rPr>
          <w:rFonts w:hint="eastAsia" w:ascii="宋体" w:hAnsi="宋体" w:eastAsia="宋体" w:cs="宋体"/>
          <w:b/>
          <w:bCs/>
          <w:caps/>
          <w:smallCaps w:val="0"/>
          <w:color w:val="auto"/>
          <w:kern w:val="2"/>
          <w:sz w:val="36"/>
          <w:szCs w:val="36"/>
          <w:lang w:val="en-US" w:eastAsia="zh-CN" w:bidi="ar-SA"/>
        </w:rPr>
        <w:tab/>
      </w: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PAGEREF _Toc27167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31</w:t>
      </w:r>
      <w:r>
        <w:rPr>
          <w:rFonts w:hint="eastAsia" w:ascii="宋体" w:hAnsi="宋体" w:eastAsia="宋体" w:cs="宋体"/>
          <w:b/>
          <w:bCs/>
          <w:caps/>
          <w:smallCaps w:val="0"/>
          <w:color w:val="auto"/>
          <w:kern w:val="2"/>
          <w:sz w:val="36"/>
          <w:szCs w:val="36"/>
          <w:lang w:val="en-US" w:eastAsia="zh-CN" w:bidi="ar-SA"/>
        </w:rPr>
        <w:fldChar w:fldCharType="end"/>
      </w:r>
      <w:r>
        <w:rPr>
          <w:rFonts w:hint="eastAsia" w:ascii="宋体" w:hAnsi="宋体" w:eastAsia="宋体" w:cs="宋体"/>
          <w:b/>
          <w:bCs/>
          <w:caps/>
          <w:smallCaps w:val="0"/>
          <w:color w:val="auto"/>
          <w:kern w:val="2"/>
          <w:sz w:val="36"/>
          <w:szCs w:val="36"/>
          <w:lang w:val="en-US" w:eastAsia="zh-CN" w:bidi="ar-SA"/>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_Toc19791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4.1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份全国车用汽油进出口统计数据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_Toc19791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31</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_Toc23995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4.2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月份全国柴油出口统计数据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_Toc23995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34</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_Toc16942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4.3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月份全国原油进出口统计数据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_Toc16942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35</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color w:val="auto"/>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_Toc18589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4.4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月份航空煤油进出口统计数据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_Toc18589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36</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rPr>
          <w:color w:val="auto"/>
        </w:rPr>
      </w:pPr>
      <w:r>
        <w:rPr>
          <w:rFonts w:hint="eastAsia" w:ascii="宋体" w:hAnsi="宋体" w:eastAsia="宋体" w:cs="宋体"/>
          <w:color w:val="auto"/>
          <w:szCs w:val="21"/>
        </w:rPr>
        <w:fldChar w:fldCharType="end"/>
      </w: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32272"/>
      <w:r>
        <w:rPr>
          <w:rFonts w:hint="eastAsia" w:ascii="宋体" w:hAnsi="宋体" w:eastAsia="宋体" w:cs="宋体"/>
          <w:b/>
          <w:bCs/>
          <w:color w:val="auto"/>
          <w:kern w:val="2"/>
          <w:sz w:val="36"/>
          <w:szCs w:val="36"/>
          <w:highlight w:val="none"/>
          <w:lang w:val="en-US" w:eastAsia="zh-CN" w:bidi="ar-SA"/>
        </w:rPr>
        <w:t>国际原油市场回顾 </w:t>
      </w:r>
      <w:bookmarkEnd w:id="0"/>
    </w:p>
    <w:p>
      <w:pPr>
        <w:pStyle w:val="3"/>
        <w:numPr>
          <w:ilvl w:val="0"/>
          <w:numId w:val="2"/>
        </w:numPr>
        <w:spacing w:before="120" w:after="120" w:line="240" w:lineRule="auto"/>
        <w:rPr>
          <w:rFonts w:hint="eastAsia" w:ascii="宋体" w:hAnsi="宋体" w:eastAsia="宋体" w:cs="宋体"/>
          <w:b/>
          <w:color w:val="auto"/>
          <w:sz w:val="32"/>
          <w:szCs w:val="32"/>
          <w:highlight w:val="none"/>
          <w:lang w:val="en-US" w:eastAsia="zh-CN"/>
        </w:rPr>
      </w:pPr>
      <w:bookmarkStart w:id="1" w:name="_Toc67556952"/>
      <w:bookmarkStart w:id="2" w:name="_Toc6297"/>
      <w:r>
        <w:rPr>
          <w:rFonts w:hint="eastAsia" w:ascii="宋体" w:hAnsi="宋体" w:eastAsia="宋体" w:cs="宋体"/>
          <w:b/>
          <w:color w:val="auto"/>
          <w:sz w:val="32"/>
          <w:szCs w:val="32"/>
          <w:highlight w:val="none"/>
          <w:lang w:val="en-US" w:eastAsia="zh-CN"/>
        </w:rPr>
        <w:t>国际原油收盘价涨跌情况（单位：美元/桶）</w:t>
      </w:r>
      <w:bookmarkEnd w:id="1"/>
      <w:bookmarkEnd w:id="2"/>
    </w:p>
    <w:tbl>
      <w:tblPr>
        <w:tblStyle w:val="24"/>
        <w:tblW w:w="5000" w:type="pct"/>
        <w:tblInd w:w="0" w:type="dxa"/>
        <w:tblLayout w:type="autofit"/>
        <w:tblCellMar>
          <w:top w:w="15" w:type="dxa"/>
          <w:left w:w="15" w:type="dxa"/>
          <w:bottom w:w="15" w:type="dxa"/>
          <w:right w:w="15" w:type="dxa"/>
        </w:tblCellMar>
      </w:tblPr>
      <w:tblGrid>
        <w:gridCol w:w="1440"/>
        <w:gridCol w:w="791"/>
        <w:gridCol w:w="791"/>
        <w:gridCol w:w="6646"/>
      </w:tblGrid>
      <w:tr>
        <w:tblPrEx>
          <w:tblCellMar>
            <w:top w:w="15" w:type="dxa"/>
            <w:left w:w="15" w:type="dxa"/>
            <w:bottom w:w="15" w:type="dxa"/>
            <w:right w:w="15" w:type="dxa"/>
          </w:tblCellMar>
        </w:tblPrEx>
        <w:trPr>
          <w:trHeight w:val="283" w:hRule="atLeast"/>
          <w:tblHeader/>
        </w:trPr>
        <w:tc>
          <w:tcPr>
            <w:tcW w:w="74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bookmarkStart w:id="3" w:name="_Toc5501"/>
            <w:bookmarkStart w:id="4" w:name="_Toc67556953"/>
            <w:r>
              <w:rPr>
                <w:rFonts w:hint="eastAsia" w:ascii="宋体" w:hAnsi="宋体" w:cs="华文仿宋"/>
                <w:b/>
                <w:color w:val="000000"/>
                <w:kern w:val="0"/>
                <w:sz w:val="18"/>
                <w:szCs w:val="18"/>
                <w:lang w:bidi="ar"/>
              </w:rPr>
              <w:t>日期</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437"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41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2021/10/14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81.31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84</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sz w:val="18"/>
                <w:szCs w:val="18"/>
              </w:rPr>
            </w:pPr>
            <w:r>
              <w:rPr>
                <w:sz w:val="18"/>
                <w:szCs w:val="18"/>
              </w:rPr>
              <w:t>尽管美国原油库存骤增，但是国际能源署上调石油需求预测， 国际油价反弹1%，WTI再创近7年来最高</w:t>
            </w:r>
            <w:r>
              <w:rPr>
                <w:rFonts w:hint="eastAsia"/>
                <w:sz w:val="18"/>
                <w:szCs w:val="18"/>
              </w:rPr>
              <w:t>。</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2021/10/15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82.28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84.86</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sz w:val="18"/>
                <w:szCs w:val="18"/>
              </w:rPr>
            </w:pPr>
            <w:r>
              <w:rPr>
                <w:sz w:val="18"/>
                <w:szCs w:val="18"/>
              </w:rPr>
              <w:t>担心亚洲、欧洲天然气及煤炭短缺导致电厂使用原油作为发电燃料，投资银行上调 原油价格预测， 国际油价继续上涨</w:t>
            </w:r>
            <w:r>
              <w:rPr>
                <w:rFonts w:hint="eastAsia"/>
                <w:sz w:val="18"/>
                <w:szCs w:val="18"/>
              </w:rPr>
              <w:t>。</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2021/10/18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82.44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84.33</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sz w:val="18"/>
                <w:szCs w:val="18"/>
              </w:rPr>
            </w:pPr>
            <w:r>
              <w:rPr>
                <w:sz w:val="18"/>
                <w:szCs w:val="18"/>
              </w:rPr>
              <w:t>担心能源价格暴涨抑制需求，气候温暖的预测也打压石油市场气氛，WTI缩窄涨幅，布伦特原油期货小幅回跌。</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2021/10/19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82.96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85.08</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sz w:val="18"/>
                <w:szCs w:val="18"/>
              </w:rPr>
            </w:pPr>
            <w:r>
              <w:rPr>
                <w:sz w:val="18"/>
                <w:szCs w:val="18"/>
              </w:rPr>
              <w:t>北半球气温下降，担心全球能源供应持续紧张，WTI连续四个交易日上涨，布伦特原油期货结算价涨至三年以来最高。</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2021/10/20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83.87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85.82</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sz w:val="18"/>
                <w:szCs w:val="18"/>
              </w:rPr>
            </w:pPr>
            <w:r>
              <w:rPr>
                <w:sz w:val="18"/>
                <w:szCs w:val="18"/>
              </w:rPr>
              <w:t>美国原油库存和成品油库存全面下降， 国际油价继续上涨，WTI五个交易日连续上涨</w:t>
            </w:r>
            <w:r>
              <w:rPr>
                <w:rFonts w:hint="eastAsia"/>
                <w:sz w:val="18"/>
                <w:szCs w:val="18"/>
              </w:rPr>
              <w:t>。</w:t>
            </w:r>
          </w:p>
        </w:tc>
      </w:tr>
    </w:tbl>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2.2021年国际原油价格走势图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rPr>
          <w:rFonts w:hint="eastAsia" w:ascii="宋体" w:hAnsi="宋体" w:cs="Arial"/>
          <w:b/>
          <w:kern w:val="0"/>
          <w:sz w:val="30"/>
          <w:szCs w:val="30"/>
        </w:rPr>
        <w:drawing>
          <wp:inline distT="0" distB="0" distL="114300" distR="114300">
            <wp:extent cx="4504690" cy="3847465"/>
            <wp:effectExtent l="0" t="0" r="1016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04690" cy="384746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5" w:name="_Toc16647"/>
      <w:bookmarkStart w:id="6" w:name="_Toc67556954"/>
      <w:r>
        <w:rPr>
          <w:rFonts w:hint="eastAsia" w:ascii="宋体" w:hAnsi="宋体" w:eastAsia="宋体" w:cs="宋体"/>
          <w:b/>
          <w:color w:val="auto"/>
          <w:sz w:val="32"/>
          <w:szCs w:val="32"/>
          <w:highlight w:val="none"/>
          <w:lang w:val="en-US" w:eastAsia="zh-CN"/>
        </w:rPr>
        <w:t>2.1近期影响国际原油市场的主要因素</w:t>
      </w:r>
      <w:bookmarkEnd w:id="5"/>
      <w:bookmarkEnd w:id="6"/>
    </w:p>
    <w:p>
      <w:pPr>
        <w:pStyle w:val="3"/>
        <w:spacing w:before="120" w:after="120" w:line="240" w:lineRule="auto"/>
        <w:rPr>
          <w:rFonts w:hint="eastAsia" w:ascii="宋体" w:hAnsi="宋体" w:eastAsia="宋体" w:cs="宋体"/>
          <w:b/>
          <w:color w:val="auto"/>
          <w:sz w:val="30"/>
          <w:szCs w:val="30"/>
          <w:highlight w:val="none"/>
          <w:lang w:val="en-US" w:eastAsia="zh-CN"/>
        </w:rPr>
      </w:pPr>
      <w:bookmarkStart w:id="7" w:name="_Toc184"/>
      <w:bookmarkStart w:id="8" w:name="_Toc67556955"/>
      <w:r>
        <w:rPr>
          <w:rFonts w:hint="eastAsia" w:ascii="宋体" w:hAnsi="宋体" w:eastAsia="宋体" w:cs="宋体"/>
          <w:b/>
          <w:color w:val="auto"/>
          <w:sz w:val="30"/>
          <w:szCs w:val="30"/>
          <w:highlight w:val="none"/>
          <w:lang w:val="en-US" w:eastAsia="zh-CN"/>
        </w:rPr>
        <w:t>1.美国原油库存情况</w:t>
      </w:r>
      <w:bookmarkEnd w:id="7"/>
      <w:bookmarkEnd w:id="8"/>
      <w:r>
        <w:rPr>
          <w:rFonts w:hint="eastAsia" w:ascii="宋体" w:hAnsi="宋体" w:eastAsia="宋体" w:cs="宋体"/>
          <w:b/>
          <w:color w:val="auto"/>
          <w:sz w:val="30"/>
          <w:szCs w:val="30"/>
          <w:highlight w:val="none"/>
          <w:lang w:val="en-US" w:eastAsia="zh-CN"/>
        </w:rPr>
        <w:t xml:space="preserve"> </w:t>
      </w:r>
    </w:p>
    <w:p>
      <w:pPr>
        <w:pStyle w:val="23"/>
        <w:ind w:firstLine="360" w:firstLineChars="200"/>
        <w:rPr>
          <w:sz w:val="18"/>
          <w:szCs w:val="18"/>
        </w:rPr>
      </w:pPr>
      <w:bookmarkStart w:id="9" w:name="_Toc69977252"/>
      <w:bookmarkStart w:id="10" w:name="_Toc23898"/>
      <w:r>
        <w:rPr>
          <w:rFonts w:hint="eastAsia"/>
          <w:sz w:val="18"/>
          <w:szCs w:val="18"/>
        </w:rPr>
        <w:t>本周</w:t>
      </w:r>
      <w:r>
        <w:rPr>
          <w:sz w:val="18"/>
          <w:szCs w:val="18"/>
        </w:rPr>
        <w:t>美国能源信息署数据显示，截止2021年10月8日当周,由于季节性检修，美国原油加工量骤降，原油库存增加，汽油库存下降，馏分油库存稳定。美国炼厂加工总量平均每天1506.1万桶，比前一周减少68.4万桶;炼油厂开工率86.7%，比前一周下降2.9个百分点。美国汽油产量增加,日产量平均960.5万桶;馏分油产量减少,日产量平均470.6万桶。美国石油学会数据显示，截止10月8日当周，美国原油库存4.064亿桶，比前周增加520万桶，汽油库存减少460万桶，馏分油库存减少270万桶。美国石油协会(API)周四公布的数据显示，上周美国原油库存增幅大超预期，成品油库存录得超预期下降。截至10月8日当周，美国商业原油库存增加521.3万桶，预期增加14万桶，前值增加100万桶;汽油库存大幅减少457.5万桶，预期增加13.3万桶，前值增加370万桶;馏分油库存减少270.7万桶，预期减少100万桶，前值增加30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9"/>
    </w:p>
    <w:p>
      <w:pPr>
        <w:pStyle w:val="23"/>
        <w:ind w:firstLine="360" w:firstLineChars="200"/>
        <w:rPr>
          <w:sz w:val="18"/>
          <w:szCs w:val="18"/>
        </w:rPr>
      </w:pPr>
      <w:bookmarkStart w:id="11" w:name="_Toc76629721"/>
      <w:bookmarkStart w:id="12" w:name="_Toc69977253"/>
      <w:r>
        <w:rPr>
          <w:sz w:val="18"/>
          <w:szCs w:val="18"/>
        </w:rPr>
        <w:t>当地时间10月13日，美国劳工部发布消息称，美通货膨胀率比去年同期增长5.4%，9月份全国消费者价格较8月上涨0.4%，年度消费者价格指数创13年来新高。美国前财长萨默斯批评美联储忽视通胀风险，担心通胀失控。</w:t>
      </w:r>
    </w:p>
    <w:p>
      <w:pPr>
        <w:pStyle w:val="23"/>
        <w:ind w:firstLine="360" w:firstLineChars="200"/>
        <w:rPr>
          <w:sz w:val="18"/>
          <w:szCs w:val="18"/>
        </w:rPr>
      </w:pPr>
      <w:r>
        <w:rPr>
          <w:sz w:val="18"/>
          <w:szCs w:val="18"/>
        </w:rPr>
        <w:t>美国通胀率飙升是由多重因素导致的。</w:t>
      </w:r>
    </w:p>
    <w:p>
      <w:pPr>
        <w:pStyle w:val="23"/>
        <w:ind w:firstLine="360" w:firstLineChars="200"/>
        <w:rPr>
          <w:sz w:val="18"/>
          <w:szCs w:val="18"/>
        </w:rPr>
      </w:pPr>
      <w:r>
        <w:rPr>
          <w:sz w:val="18"/>
          <w:szCs w:val="18"/>
        </w:rPr>
        <w:t>一是美国政府的经济刺激计划为美国经济注入数万亿美元流动性资金，推动消费需求上升。新冠疫情导致全球供应链持续紧张，美国物资紧缺，生产力无法满足市场需求，供需失衡，导致食品、房屋、能源、汽车等价格上涨。</w:t>
      </w:r>
    </w:p>
    <w:p>
      <w:pPr>
        <w:pStyle w:val="23"/>
        <w:ind w:firstLine="360" w:firstLineChars="200"/>
        <w:rPr>
          <w:sz w:val="18"/>
          <w:szCs w:val="18"/>
        </w:rPr>
      </w:pPr>
      <w:r>
        <w:rPr>
          <w:sz w:val="18"/>
          <w:szCs w:val="18"/>
        </w:rPr>
        <w:t>二是新冠疫情导致美国劳动力短缺，无业人员靠申领美政府发放的大量补贴过活，不急于就业，加上辞职人数的飙升，导致大量工作岗位空缺。亚马逊、沃尔玛等企业不得不提高薪资，以招揽人才。美国9月份的平均时薪同比增长达到7个月来的最高水平，加薪将进一步加剧通货膨胀。</w:t>
      </w:r>
    </w:p>
    <w:p>
      <w:pPr>
        <w:pStyle w:val="23"/>
        <w:ind w:firstLine="360" w:firstLineChars="200"/>
        <w:rPr>
          <w:sz w:val="18"/>
          <w:szCs w:val="18"/>
        </w:rPr>
      </w:pPr>
      <w:r>
        <w:rPr>
          <w:sz w:val="18"/>
          <w:szCs w:val="18"/>
        </w:rPr>
        <w:t>三是美联储预计，随着供应链恢复、劳动力短缺状况改善，通胀情况将转好，押注经济复苏的步伐将快于通胀的失控，仍在经济刺激和经济收紧政策之间观望和权衡。提高利率或加息等举措能够缓解通胀，但将打击美国资本市场，掣肘美国经济复苏，而通胀问题若持续到明年，又会加大民主党中期选举的压力。</w:t>
      </w:r>
    </w:p>
    <w:p>
      <w:pPr>
        <w:pStyle w:val="23"/>
        <w:ind w:firstLine="360" w:firstLineChars="200"/>
        <w:rPr>
          <w:sz w:val="18"/>
          <w:szCs w:val="18"/>
        </w:rPr>
      </w:pPr>
      <w:r>
        <w:rPr>
          <w:sz w:val="18"/>
          <w:szCs w:val="18"/>
        </w:rPr>
        <w:t>通胀数据的持续升高引发美国消费者和企业的担忧。食品、日用品等生活必需品价格的上涨速度快于薪水增长速度，增加了美国普通民众的生活压力。一些美国企业面临原材料短缺的窘境，如“无鸡可炸”的肯德基不得不减少广告和促销，并停止对无骨鸡肉的招标，因为无骨鸡肉比带骨鸡肉的短缺问题更加严重。随着圣诞节的临近，民众购买商品的需求量上升，美国面临的通胀压力将进一步加剧。</w:t>
      </w:r>
    </w:p>
    <w:p>
      <w:pPr>
        <w:pStyle w:val="23"/>
        <w:ind w:firstLine="360" w:firstLineChars="200"/>
        <w:rPr>
          <w:sz w:val="18"/>
          <w:szCs w:val="18"/>
        </w:rPr>
      </w:pPr>
      <w:r>
        <w:rPr>
          <w:sz w:val="18"/>
          <w:szCs w:val="18"/>
        </w:rPr>
        <w:t>美联储迟迟不采取收紧政策，其实质是保护资本市场，抛弃中低收入人群，这将继续扩大美国社会的贫富差距。根据美联储发布的数据，截至2021年第二季度，美国年收入超过50万美元、占比1%的富人家庭总净资产为36.2万亿美元;年收入在2.7万到14.1万美元、占比60%的中产阶级家庭总净资产共35.7万亿美元。这是1989年以来美国富人财富总额首次超过中产阶级。</w:t>
      </w:r>
    </w:p>
    <w:p>
      <w:pPr>
        <w:pStyle w:val="23"/>
        <w:ind w:firstLine="360" w:firstLineChars="200"/>
        <w:rPr>
          <w:sz w:val="18"/>
          <w:szCs w:val="18"/>
        </w:rPr>
      </w:pPr>
      <w:r>
        <w:rPr>
          <w:sz w:val="18"/>
          <w:szCs w:val="18"/>
        </w:rPr>
        <w:t>美国通胀的负面影响正外溢至国际社会。首先，美国等发达国家向市场输入大量货币，推高大宗商品市场价格。如由于玉米价格上涨，墨西哥人作为主食的玉米饼价格8月同比上涨超过30%，加重了贫困人口的生活负担。其次，美国通胀加剧全球经济的不平衡性。掌握芯片等高端科技的产业链上游国家因相关产品价格上涨获益，而以产品加工业和制造业为主的产业链中下游发展中国家，一边面临原材料成本的增加，另一边面临价格上涨导致收益的不确定性，将受到较大的负面影响。更重要的是，美国通胀导致全球金融市场不稳定，将影响全球经济复苏。美联储近日释放11月中旬开始收紧货币政策的信息，股市下跌、货币贬值、资产价格下降的风险值得警惕。美元外债高、外储低的阿根廷、印度等国还可能面临债务风险。</w:t>
      </w:r>
    </w:p>
    <w:p>
      <w:pPr>
        <w:pStyle w:val="23"/>
        <w:ind w:firstLine="360" w:firstLineChars="200"/>
        <w:rPr>
          <w:sz w:val="18"/>
          <w:szCs w:val="18"/>
        </w:rPr>
      </w:pPr>
      <w:r>
        <w:rPr>
          <w:sz w:val="18"/>
          <w:szCs w:val="18"/>
        </w:rPr>
        <w:t>国际货币基金组织已发出警告，认为美联储关于通胀会很快得到缓解的评估存在极大的不确定性，敦促其准备收紧政策，以防通胀失控。德意志银行也批评美国为达到全面恢复经济的目的而忽视通胀率的上升，或导致严重的经济衰退，在全球范围内引发金融危机。美国应停止避重就轻、转嫁危机的做法，采取更负责任的货币政策，并与国际社会合作协调公共卫生措施，推动全球市场流通恢复正常，为真正实现全球经济复苏作出贡献</w:t>
      </w:r>
      <w:r>
        <w:rPr>
          <w:rFonts w:hint="eastAsia"/>
          <w:sz w:val="18"/>
          <w:szCs w:val="18"/>
        </w:rPr>
        <w:t>。</w:t>
      </w:r>
    </w:p>
    <w:p>
      <w:pPr>
        <w:pStyle w:val="23"/>
        <w:ind w:firstLine="360" w:firstLineChars="200"/>
        <w:rPr>
          <w:sz w:val="18"/>
          <w:szCs w:val="18"/>
        </w:rPr>
      </w:pP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1"/>
    </w:p>
    <w:bookmarkEnd w:id="12"/>
    <w:p>
      <w:pPr>
        <w:pStyle w:val="23"/>
        <w:ind w:firstLine="360" w:firstLineChars="200"/>
        <w:rPr>
          <w:sz w:val="18"/>
          <w:szCs w:val="18"/>
        </w:rPr>
      </w:pPr>
      <w:r>
        <w:rPr>
          <w:sz w:val="18"/>
          <w:szCs w:val="18"/>
        </w:rPr>
        <w:t>距离2021年结束仅剩下两个多月的时间。从目前的情况看，全球经济正在从2020年新冠肺炎疫情的猛烈冲击中逐步复苏。尽管当前全球整体经济的复苏可喜可贺，但与此同时，不平衡的复苏态势在发达经济体以及新兴市场和发展中经济体之间表现得愈发明显，经济复苏的前景依然充满着不确定性，政策权衡更趋复杂和微妙。</w:t>
      </w:r>
    </w:p>
    <w:p>
      <w:pPr>
        <w:pStyle w:val="23"/>
        <w:ind w:firstLine="360" w:firstLineChars="200"/>
        <w:rPr>
          <w:sz w:val="18"/>
          <w:szCs w:val="18"/>
        </w:rPr>
      </w:pPr>
      <w:r>
        <w:rPr>
          <w:sz w:val="18"/>
          <w:szCs w:val="18"/>
        </w:rPr>
        <w:t>国际货币基金组织(IMF)在最新预测中，将2021年全球经济增速预期从7月时的6%下调至5.9%。受到供应链限制等影响，近期发达经济体的经济复苏遭遇挑战。在发达经济体中，IMF将美国2021年经济增速预期从7月时的7%大幅下调至6%。而在疫情的影响下，低收入发展中国家的前景也已经变得更为黯淡。</w:t>
      </w:r>
    </w:p>
    <w:p>
      <w:pPr>
        <w:pStyle w:val="23"/>
        <w:ind w:firstLine="360" w:firstLineChars="200"/>
        <w:rPr>
          <w:sz w:val="18"/>
          <w:szCs w:val="18"/>
        </w:rPr>
      </w:pPr>
      <w:r>
        <w:rPr>
          <w:sz w:val="18"/>
          <w:szCs w:val="18"/>
        </w:rPr>
        <w:t>当前，全球经济在迎来复苏的同时也暗藏着三大风险因素。首先，是德尔塔变异毒株的持续传播以及新冠疫苗接种的不均衡。尽管相比于2020年，当前全球经济已经从新冠肺炎疫情的冲击中明显恢复，但这并不意味着疫情已经在全球范围内得到有效的控制。尤其是德尔塔变异毒株的传播，正在危害着脆弱的经济复苏。</w:t>
      </w:r>
    </w:p>
    <w:p>
      <w:pPr>
        <w:pStyle w:val="23"/>
        <w:ind w:firstLine="360" w:firstLineChars="200"/>
        <w:rPr>
          <w:sz w:val="18"/>
          <w:szCs w:val="18"/>
        </w:rPr>
      </w:pPr>
      <w:r>
        <w:rPr>
          <w:sz w:val="18"/>
          <w:szCs w:val="18"/>
        </w:rPr>
        <w:t>全球经济早已紧密连接，一旦部分国家和地区的疫情反复，势必将影响人员的自由流动，对制造业以及服务业的生产经营活动造成冲击，从而进一步给全球贸易以及供应链带来负面影响。在此背景下，新冠疫苗在全球范围内的广泛接种变得更加重要。目前，在发达经济体中，已经有超过60%的人口完成疫苗接种。然而，在低收入国家中，仍有约90%的人口没有接种疫苗。不同经济体之间疫苗接种的明显差异成为全球经济复苏的脆弱环节。因此，推动弥合疫苗“鸿沟”、提高全球范围内的新冠疫苗接种率依然是推动全球经济复苏的关键政策之一。</w:t>
      </w:r>
    </w:p>
    <w:p>
      <w:pPr>
        <w:pStyle w:val="23"/>
        <w:ind w:firstLine="360" w:firstLineChars="200"/>
        <w:rPr>
          <w:sz w:val="18"/>
          <w:szCs w:val="18"/>
        </w:rPr>
      </w:pPr>
      <w:r>
        <w:rPr>
          <w:sz w:val="18"/>
          <w:szCs w:val="18"/>
        </w:rPr>
        <w:t>其次，是在供应链扰动下，全球通胀水平的持续抬升。今年年初以来，包括芯片、粮食以及能源的供应链都受到了不同程度的干扰，供应链失衡，海运物流等领域成本均有所上涨。与此同时，伴随着需求的回暖以及大宗商品价格的反弹，全球通胀水平也出现了明显上升迹象。近期，以天然气和原油为代表的全球能源价格持续飙升，进一步加剧了全球通胀的上行压力。</w:t>
      </w:r>
    </w:p>
    <w:p>
      <w:pPr>
        <w:pStyle w:val="23"/>
        <w:ind w:firstLine="360" w:firstLineChars="200"/>
        <w:rPr>
          <w:sz w:val="18"/>
          <w:szCs w:val="18"/>
        </w:rPr>
      </w:pPr>
      <w:r>
        <w:rPr>
          <w:sz w:val="18"/>
          <w:szCs w:val="18"/>
        </w:rPr>
        <w:t>根据IMF的预测，发达经济体以及新兴市场和发展中经济体的总体通胀很可能在2022年中期之前回到疫情发生前水平。但与此同时，IMF强调，对于通胀前景的预测存在很大的不确定性，并且不同经济体之间的通胀前景差异也是巨大的。尽管当前全球通胀水平并未达到令人胆战心惊的地步，但若通胀水平继续快速上行，并且持续时间更长，其带来的负面影响将进一步加大，进而阻碍经济的复苏。</w:t>
      </w:r>
    </w:p>
    <w:p>
      <w:pPr>
        <w:pStyle w:val="23"/>
        <w:ind w:firstLine="360" w:firstLineChars="200"/>
        <w:rPr>
          <w:sz w:val="18"/>
          <w:szCs w:val="18"/>
        </w:rPr>
      </w:pPr>
      <w:r>
        <w:rPr>
          <w:sz w:val="18"/>
          <w:szCs w:val="18"/>
        </w:rPr>
        <w:t>最后，是全球主要经济体央行货币政策改变带来的风险。为提振经济，2020年新冠肺炎疫情期间，以美联储为代表的全球部分主要经济体央行纷纷实施了超大规模的量化宽松货币政策，为市场注入了大量流动性。从实际情况看，得益于大规模的货币刺激政策，在这场疫情的冲击中，积极的刺激政策及时安抚住了市场情绪以及维护了金融体系的稳定，为全球经济后续的复苏打下了良好的基础。</w:t>
      </w:r>
    </w:p>
    <w:p>
      <w:pPr>
        <w:pStyle w:val="23"/>
        <w:ind w:firstLine="360" w:firstLineChars="200"/>
        <w:rPr>
          <w:sz w:val="18"/>
          <w:szCs w:val="18"/>
        </w:rPr>
      </w:pPr>
      <w:r>
        <w:rPr>
          <w:sz w:val="18"/>
          <w:szCs w:val="18"/>
        </w:rPr>
        <w:t>然而，大规模的量化宽松货币政策在为全球经济提供支撑的同时，也增加了金融系统面临的不稳定性风险。随着经济的持续复苏，非常规货币政策终将走上货币政策正常化的道路。如何在不阻碍经济复苏以及造成金融市场过度波动的情况下，恰当地对货币政策进行调整，降低改变政策带来的风险，在支持经济复苏以及货币政策正常化之间找到平衡变得至关重要。</w:t>
      </w:r>
    </w:p>
    <w:p>
      <w:pPr>
        <w:pStyle w:val="23"/>
        <w:ind w:firstLine="360" w:firstLineChars="200"/>
        <w:rPr>
          <w:sz w:val="18"/>
          <w:szCs w:val="18"/>
        </w:rPr>
      </w:pPr>
      <w:r>
        <w:rPr>
          <w:sz w:val="18"/>
          <w:szCs w:val="18"/>
        </w:rPr>
        <w:t>当前，全球的目光都集中在美联储后续的货币政策路径上。从目前的情况看，美联储将在11月开始缩减购债已被市场纳入预期，而美联储何时将开始加息则成为市场关注的焦点。市场普遍担忧，通胀水平的上行将促使部分经济体央行提前加息。另外，当前，全球债务水平仍在不断攀升，若利率上升，将显著增加债务负担以及融资成本。与此同时，过快退出支持政策，将令信贷快速收紧，进而增加金融系统以及经济复苏面临的风险。</w:t>
      </w:r>
    </w:p>
    <w:p>
      <w:pPr>
        <w:pStyle w:val="23"/>
        <w:ind w:firstLine="360" w:firstLineChars="200"/>
        <w:rPr>
          <w:sz w:val="18"/>
          <w:szCs w:val="18"/>
        </w:rPr>
      </w:pPr>
      <w:r>
        <w:rPr>
          <w:sz w:val="18"/>
          <w:szCs w:val="18"/>
        </w:rPr>
        <w:t>综上所述，全球经济的复苏之路依然困难重重，复苏之下暗藏着风险与不确定性。而在全球经济复苏动能有所减弱、新冠肺炎疫情蔓延以及供应链中断压力持续、通胀水平仍在不断上升的情况下，政策的制定和调整需要更加谨慎，在应对不断发生的风险的同时，继续促进经济的复苏</w:t>
      </w:r>
      <w:r>
        <w:rPr>
          <w:rFonts w:hint="eastAsia"/>
          <w:sz w:val="18"/>
          <w:szCs w:val="18"/>
        </w:rPr>
        <w:t>。</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0"/>
    </w:p>
    <w:p>
      <w:pPr>
        <w:pStyle w:val="23"/>
        <w:ind w:firstLine="360" w:firstLineChars="200"/>
        <w:rPr>
          <w:sz w:val="18"/>
          <w:szCs w:val="18"/>
        </w:rPr>
      </w:pPr>
      <w:bookmarkStart w:id="13" w:name="_Toc30787"/>
      <w:r>
        <w:rPr>
          <w:rFonts w:hint="eastAsia"/>
          <w:sz w:val="18"/>
          <w:szCs w:val="18"/>
        </w:rPr>
        <w:t>本周美国WTI原油价格在81.31-83.87美元/桶。布伦特原油价格在84-85.82美元/桶震荡。周内国际油价持续上涨。</w:t>
      </w:r>
      <w:r>
        <w:rPr>
          <w:sz w:val="18"/>
          <w:szCs w:val="18"/>
        </w:rPr>
        <w:t>美国EIA原油及成品油库存数据意外超预期下降，外盘时间10月20日欧美原油期货价格逆转盘中跌势最终收涨续刷多年高点。11月WTI：83.87涨0.91;12月布伦特：85.82涨0.74。美国原油期货触及七年新高 因美国原油库存意外下降;美国原油期货周三触及七年新高，因此前美国政府报告显示原油库存意外下降，缓解了对油价上涨可能削弱需求的担忧;纽约原油期货上涨1.3%至七年新高，日内早些时候一度下跌1.2%;美国能源信息管理局(EIA)报告显示，美国原油库存上周下降43.1万桶;管理大约80亿美元能源相关资产的Tortoise的投资组合经理Rob Thummel表示，这是经济持续复苏的迹象，也体现了原油相关产品的重要性及其在本轮经济复苏中的角色，对需求的担忧着实不明显;油价在煤炭和天然气短缺导致能源供应紧张之际上涨，与此同时，经济复苏也带来了石油需求的反弹。最近几周，华尔街一直在稳步上调油价预测。法国巴黎银行是最新一家，将预期提升8美元至每桶80.50美元;西德克萨斯中质油11月交割合约上涨91美分，至每桶83.87美元，该合约将于周三到期;交易更活跃的12月合约上涨98美分，至每桶83.42美元;布伦特12月交割原油期货上涨74美分，至每桶85.82美元。</w:t>
      </w:r>
    </w:p>
    <w:p>
      <w:pPr>
        <w:pStyle w:val="23"/>
        <w:ind w:firstLine="360" w:firstLineChars="200"/>
        <w:rPr>
          <w:rFonts w:hint="eastAsia"/>
          <w:sz w:val="18"/>
          <w:szCs w:val="18"/>
        </w:rPr>
      </w:pPr>
      <w:r>
        <w:rPr>
          <w:rFonts w:hint="eastAsia"/>
          <w:sz w:val="18"/>
          <w:szCs w:val="18"/>
        </w:rPr>
        <w:t>预测下周WTI油价将触及80-84美元/桶，布油在之后几个月触及83-86美元/桶。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3"/>
      <w:r>
        <w:rPr>
          <w:rFonts w:hint="eastAsia" w:ascii="宋体" w:hAnsi="宋体"/>
          <w:b/>
          <w:color w:val="auto"/>
          <w:sz w:val="30"/>
          <w:szCs w:val="30"/>
          <w:highlight w:val="none"/>
          <w:lang w:val="en-US" w:eastAsia="zh-CN"/>
        </w:rPr>
        <w:t xml:space="preserve"> </w:t>
      </w: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鹿特丹(美元/吨)</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10月20日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853.00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247.93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912.75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10月19日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866.00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244.59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912.00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10月18日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871.00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245.70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904.25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10月15日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860.00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246.70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904.25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10月14日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853.00 </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241.71 </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886.00 </w:t>
            </w:r>
          </w:p>
        </w:tc>
      </w:tr>
    </w:tbl>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4" w:name="_Toc11000"/>
      <w:r>
        <w:rPr>
          <w:rFonts w:hint="eastAsia"/>
          <w:b/>
          <w:color w:val="auto"/>
          <w:sz w:val="36"/>
          <w:szCs w:val="36"/>
          <w:lang w:eastAsia="zh-CN"/>
        </w:rPr>
        <w:t>三、</w:t>
      </w:r>
      <w:r>
        <w:rPr>
          <w:rFonts w:hint="eastAsia"/>
          <w:b/>
          <w:color w:val="auto"/>
          <w:sz w:val="36"/>
          <w:szCs w:val="36"/>
        </w:rPr>
        <w:t>本周国内市场</w:t>
      </w:r>
      <w:bookmarkEnd w:id="14"/>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5" w:name="_Toc7167"/>
      <w:r>
        <w:rPr>
          <w:rFonts w:hint="eastAsia" w:ascii="宋体" w:hAnsi="宋体"/>
          <w:b/>
          <w:color w:val="auto"/>
          <w:sz w:val="32"/>
          <w:szCs w:val="32"/>
          <w:highlight w:val="none"/>
        </w:rPr>
        <w:t>3.1 国内炼厂装置运行情况</w:t>
      </w:r>
      <w:bookmarkEnd w:id="15"/>
    </w:p>
    <w:p>
      <w:pPr>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（1）国内主营炼厂装置检修情况</w:t>
      </w:r>
    </w:p>
    <w:tbl>
      <w:tblPr>
        <w:tblStyle w:val="24"/>
        <w:tblW w:w="467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1"/>
        <w:gridCol w:w="827"/>
        <w:gridCol w:w="1071"/>
        <w:gridCol w:w="1069"/>
        <w:gridCol w:w="2066"/>
        <w:gridCol w:w="1305"/>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8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8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2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0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济南炼化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山东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2021/2/19</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金陵石化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江苏</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1800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2021/3/20</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燕山石化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北京</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4#常减压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2020/3/29</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长岭石化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湖南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1150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1150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2021/2/20</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塔河石化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新疆</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500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2021/3</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上海石化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上海</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1600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1600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2021/4/14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九江石化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江西</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2021/4/8</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沧州炼厂</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河北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2021/5/10</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扬子石化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江苏</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1450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焦化装置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茂名石化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广东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5#常减压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2021/6/1</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石家庄炼厂</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河北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2021/8/28</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齐鲁石化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山东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400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2021/8/8</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胜利油田</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山东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2021/9/15</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高桥石化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上海</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2021/10/11</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2021/12月初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广州石化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广州</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1370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2021/10月底</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2021/11月底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福建联合石化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福建</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1200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400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2021/11</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海南炼化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海南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950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950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2021/11</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炼厂名称</w:t>
            </w:r>
          </w:p>
        </w:tc>
        <w:tc>
          <w:tcPr>
            <w:tcW w:w="4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所在地</w:t>
            </w:r>
          </w:p>
        </w:tc>
        <w:tc>
          <w:tcPr>
            <w:tcW w:w="58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加工能力</w:t>
            </w:r>
          </w:p>
        </w:tc>
        <w:tc>
          <w:tcPr>
            <w:tcW w:w="58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检修装置</w:t>
            </w:r>
          </w:p>
        </w:tc>
        <w:tc>
          <w:tcPr>
            <w:tcW w:w="112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检修产能（单位：万吨）</w:t>
            </w:r>
          </w:p>
        </w:tc>
        <w:tc>
          <w:tcPr>
            <w:tcW w:w="70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起始时间</w:t>
            </w:r>
          </w:p>
        </w:tc>
        <w:tc>
          <w:tcPr>
            <w:tcW w:w="79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云南石化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云南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2020/12/5</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抚顺石化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辽宁</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1150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1150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2021/4/10</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吉林石化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吉林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2021/6</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大港石化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天津</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500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500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2021/4/12</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格尔木炼厂</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青海</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2021/7/15</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炼厂名称</w:t>
            </w:r>
          </w:p>
        </w:tc>
        <w:tc>
          <w:tcPr>
            <w:tcW w:w="4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所在地</w:t>
            </w:r>
          </w:p>
        </w:tc>
        <w:tc>
          <w:tcPr>
            <w:tcW w:w="58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加工能力</w:t>
            </w:r>
          </w:p>
        </w:tc>
        <w:tc>
          <w:tcPr>
            <w:tcW w:w="58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检修装置</w:t>
            </w:r>
          </w:p>
        </w:tc>
        <w:tc>
          <w:tcPr>
            <w:tcW w:w="112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检修产能（单位：万吨）</w:t>
            </w:r>
          </w:p>
        </w:tc>
        <w:tc>
          <w:tcPr>
            <w:tcW w:w="70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起始时间</w:t>
            </w:r>
          </w:p>
        </w:tc>
        <w:tc>
          <w:tcPr>
            <w:tcW w:w="79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东方石化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海南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2021/3/4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惠州炼化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广东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2200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二期</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2021/3/4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宁波大榭</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浙江</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2021/5/15</w:t>
            </w:r>
          </w:p>
        </w:tc>
      </w:tr>
    </w:tbl>
    <w:p>
      <w:pPr>
        <w:numPr>
          <w:ilvl w:val="0"/>
          <w:numId w:val="0"/>
        </w:numPr>
        <w:rPr>
          <w:rFonts w:hint="eastAsia" w:ascii="宋体" w:hAnsi="宋体"/>
          <w:color w:val="auto"/>
          <w:sz w:val="28"/>
          <w:szCs w:val="28"/>
          <w:highlight w:val="none"/>
        </w:rPr>
      </w:pPr>
    </w:p>
    <w:p>
      <w:pPr>
        <w:numPr>
          <w:ilvl w:val="0"/>
          <w:numId w:val="3"/>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0"/>
        <w:gridCol w:w="1050"/>
        <w:gridCol w:w="1275"/>
        <w:gridCol w:w="1275"/>
        <w:gridCol w:w="969"/>
        <w:gridCol w:w="164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209" w:type="dxa"/>
            <w:gridSpan w:val="7"/>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地方炼厂装置检修计划表(单位：万吨)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tcBorders>
              <w:top w:val="nil"/>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1050"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省市</w:t>
            </w:r>
          </w:p>
        </w:tc>
        <w:tc>
          <w:tcPr>
            <w:tcW w:w="1275"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炼厂名称</w:t>
            </w:r>
          </w:p>
        </w:tc>
        <w:tc>
          <w:tcPr>
            <w:tcW w:w="1275"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检修装置</w:t>
            </w:r>
          </w:p>
        </w:tc>
        <w:tc>
          <w:tcPr>
            <w:tcW w:w="969"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产能</w:t>
            </w:r>
          </w:p>
        </w:tc>
        <w:tc>
          <w:tcPr>
            <w:tcW w:w="1640"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起始时间</w:t>
            </w:r>
          </w:p>
        </w:tc>
        <w:tc>
          <w:tcPr>
            <w:tcW w:w="1470"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海科瑞林</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2021/7/15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2021/7/15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垦利石化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日照</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海右石化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2021/9/16</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科力达</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滨州</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无棣鑫岳</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催化</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2021/9/7</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菏泽</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东明石化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常压</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2021年8月中旬</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临沂</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清沂山石化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富宇化工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2021/9/6</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潍坊</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联盟石化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常减压</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德州</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恒源石化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2021/6/18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2021/7月底</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2021/</w:t>
            </w:r>
            <w:r>
              <w:rPr>
                <w:rFonts w:hint="eastAsia" w:ascii="宋体" w:hAnsi="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辽宁缘泰</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常减压装置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2021/2/22</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盘锦浩业</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催化</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w:t>
            </w:r>
            <w:r>
              <w:rPr>
                <w:rFonts w:hint="eastAsia" w:ascii="宋体" w:hAnsi="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大连锦源</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2021/5/6</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大庆中蓝</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2021/7/25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辽宁华锦</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2021/7/15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西北</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宁夏</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宝利新能源</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宁夏</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宁鲁石化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新海石化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2021/3/25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河北鑫海</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2021/8/15</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6" w:name="_Toc13096"/>
      <w:r>
        <w:rPr>
          <w:rFonts w:hint="eastAsia" w:ascii="宋体" w:hAnsi="宋体"/>
          <w:b/>
          <w:color w:val="auto"/>
          <w:sz w:val="30"/>
          <w:szCs w:val="30"/>
          <w:highlight w:val="none"/>
        </w:rPr>
        <w:t>3.2本周成品油市场行情</w:t>
      </w:r>
      <w:bookmarkEnd w:id="16"/>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bookmarkStart w:id="17" w:name="_Toc24031"/>
      <w:r>
        <w:rPr>
          <w:rFonts w:hint="default" w:ascii="宋体" w:hAnsi="宋体" w:eastAsia="宋体" w:cs="宋体"/>
          <w:color w:val="auto"/>
          <w:kern w:val="2"/>
          <w:sz w:val="18"/>
          <w:szCs w:val="18"/>
          <w:shd w:val="clear" w:color="auto" w:fill="FFFFFF"/>
          <w:lang w:eastAsia="zh-CN"/>
        </w:rPr>
        <w:t>本周(10月15日-10月21日)，国际原油价格持续上涨，华中地区主营汽油价格扶摇直上，柴油资源紧张价格上扬，目前均已涨至零售限价。具体来看：新一轮零售限价预计上调，利好因素提振市场，虽假期结束但因天气逐渐转凉，私家车出行频率增加，汽油需求随之增多，户外工矿基建步入赶工阶段，柴油市场需求较为稳定，华中地区内油价均已涨至限价。周内后期，新一轮零售价上调明显，区内部分单位采取搭售政策，购买柴油须1：1购买汽油，汽油价格持续上涨，区内柴油供应紧张现象仍存，加之限电政策影响下，主营价格多维持限价水平，部分地区限货或停售，下游观望情绪浓厚。</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15日-10月21日)，国际原油价格高位上行，华东地区零售价上调预期强烈,消息面对市场面利好支撑。本周，随着冷空气来袭，私家车出行频率增加，加之部分地区采取搭售政策，即购买柴油必须1:1搭配汽油，汽油出货量随之提升，汽油价格不断涨至新的高位水平，部分地区已涨至到位价。目前国内柴油供应紧张情况仍未有明显缓解，加之限电政策影响下，柴油需求进一步提升，主营单位多数已推涨至限价水平，部分地区限货或停售，受气温下降影响，北方地区主营单位负号资源基本到位，但整体供应不足，市场实际成交多数无优惠。就目前消息面来看，成品油价格上涨关键因素一方面仍是不断上涨的原油价格，另一方面最重要的原因在于主营销售政策的转变。</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15日-10月21日)，华南地区主营柴油价格上涨至高位，汽油价格延续上涨，近期冷空气袭来，私家车出行频率增加，提振了汽油市场，同时在限电政策的影响下，柴油需求进一步提升，但目前柴油价格已推涨至限价，部分地区限量出售，下游观望气氛浓厚，市场交投氛围清淡。具体分析，本周广东地区各主营单位柴油价格已推涨至限价，汽油价格上涨100-300元/吨;福建地区主营汽柴油价格上涨100-450元/吨;海南地区主营汽油价格上涨200元/吨。</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15日-10月21日)，国际原油价格全面上涨，利好消息笼罩市场。华北地区由于原油原料配置与库存降低，结合国家能耗双控政策，炼厂汽柴油供应减少。随着冬季来临，气温逐渐降低，对汽油需求产生利好支撑。雨季结束后厂矿开工率达到最高，基本处于满负荷状态，柴油需求较高。业者积极入市，采购积极性增强，但由于市场整体资源低位，汽柴油价格涨至高位，导致下游进购积极性有所回落。近日华北主营单位符号柴油基本到位，但整体资源偏紧。目前，主营单位报价基本处于限价顶峰，主营单位现多采取限量销售政策或停售。</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15日-10月21日)，西南地区主营汽油价格持续上涨，柴油价格本周维稳运行。柴油方面，现国内政策面暂无缓解，柴油资源紧张情况短期内或持续发酵，柴油价格限价销售。汽油方面，市场尚无明显利空驱动，短期原油价格或有望延续偏强走势，目前汽油价格在多重因素的带动下，价格已攀涨至高位，部分地区实行汽柴油搭售政策。具体来说，周期前，汽柴油价格偏高，且资源紧张局面暂无缓解，汽柴油价格继续上行动力不足。且受限量出货以及价格高企等因素的影响，区内成交表现冷清。周期后，柴油资源紧张局面仍存，限量销售，国内汽柴油价格已涨至高位，部分地区限货或停售，下游观望气氛浓厚，整体成交情况清淡。</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15日-10月21日)，西北地区主营油价大幅上涨。周前期，西北市场资源偏紧，主营单位存惜售心理，柴油价格持续推涨，市场成交较一般。周中期，由于天气转凉，车辆出行频率增加，汽油需求增加，柴油供应紧张情况未有明显缓解，主营汽柴油价格多维持限价水平，中下游部分业者理性补仓，终端需求略有改善。周末期，汽油终端需求相对积极，叠加油市资源紧张状况，汽油价格涨势明显，持续推涨至批发限价;受成品油零售限价政策，多数主营柴油价格维持限价待涨，原油变化率原油处于正值高位，本轮成品油零售限价上调预期提振市场。</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15日-10月21日)，周前期，东北地区内汽油价格稳中有涨，柴油价格高位运行。油品环境较好，汽油面终端需求尚可，贸易商采购热情有所提涨，中下游业者适当补货，厂家出货压力不大，市场交投良好。柴油面需求较为稳定，但其资源紧缺问题仍未得到有效缓解，价格高位运行。周后期，区内部分地区主营销售单位汽油价格涨至限价，多限量出货销售，且受北方温度降低的影响，开空调车辆增多，下游业者适当囤货。柴油面多地已出现无货的现象，市场氛围火热，价格稳居高位。</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后市预测:预计国际原油价格将会维持高位上行，国内成品油零售价格上调预期明显，消息面利好提振，华中地区内柴油供应紧张情况短期内难有缓解，零售上调即将落实，多方利好因素提振下，预计华中地区汽柴油价格或将稳中上涨。</w:t>
      </w:r>
    </w:p>
    <w:p>
      <w:pPr>
        <w:pStyle w:val="3"/>
        <w:spacing w:before="120" w:after="120" w:line="240" w:lineRule="auto"/>
        <w:rPr>
          <w:rFonts w:ascii="宋体" w:hAnsi="宋体"/>
          <w:b/>
          <w:color w:val="auto"/>
          <w:sz w:val="30"/>
          <w:szCs w:val="30"/>
        </w:rPr>
      </w:pPr>
      <w:bookmarkStart w:id="32" w:name="_GoBack"/>
      <w:bookmarkEnd w:id="32"/>
      <w:r>
        <w:rPr>
          <w:rFonts w:hint="eastAsia" w:ascii="宋体" w:hAnsi="宋体"/>
          <w:b/>
          <w:color w:val="auto"/>
          <w:sz w:val="30"/>
          <w:szCs w:val="30"/>
        </w:rPr>
        <w:t>3.3 国内汽油价格周报</w:t>
      </w:r>
      <w:bookmarkEnd w:id="17"/>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blHeader/>
          <w:jc w:val="center"/>
        </w:trPr>
        <w:tc>
          <w:tcPr>
            <w:tcW w:w="8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18" w:name="_Toc16466"/>
            <w:r>
              <w:rPr>
                <w:rFonts w:hint="eastAsia" w:ascii="宋体" w:hAnsi="宋体" w:eastAsia="宋体" w:cs="宋体"/>
                <w:b/>
                <w:i w:val="0"/>
                <w:color w:val="auto"/>
                <w:kern w:val="0"/>
                <w:sz w:val="18"/>
                <w:szCs w:val="18"/>
                <w:u w:val="none"/>
                <w:lang w:val="en-US" w:eastAsia="zh-CN" w:bidi="ar"/>
              </w:rPr>
              <w:t>地区</w:t>
            </w:r>
          </w:p>
        </w:tc>
        <w:tc>
          <w:tcPr>
            <w:tcW w:w="9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城市</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企业性质</w:t>
            </w:r>
          </w:p>
        </w:tc>
        <w:tc>
          <w:tcPr>
            <w:tcW w:w="10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12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9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2021/10/21</w:t>
            </w:r>
          </w:p>
        </w:tc>
        <w:tc>
          <w:tcPr>
            <w:tcW w:w="114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9394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任丘市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9320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9394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8920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郑州市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9378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bl>
    <w:p>
      <w:pPr>
        <w:pStyle w:val="3"/>
        <w:spacing w:before="120" w:after="120" w:line="24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3.4国内柴油价格周报</w:t>
      </w:r>
      <w:bookmarkEnd w:id="18"/>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blHeader/>
          <w:jc w:val="center"/>
        </w:trPr>
        <w:tc>
          <w:tcPr>
            <w:tcW w:w="88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地区</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城市</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企业性质</w:t>
            </w:r>
          </w:p>
        </w:tc>
        <w:tc>
          <w:tcPr>
            <w:tcW w:w="10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产品名称</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型号</w:t>
            </w:r>
          </w:p>
        </w:tc>
        <w:tc>
          <w:tcPr>
            <w:tcW w:w="11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价格类型</w:t>
            </w:r>
          </w:p>
        </w:tc>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涨跌</w:t>
            </w:r>
          </w:p>
        </w:tc>
        <w:tc>
          <w:tcPr>
            <w:tcW w:w="115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2021/10/21</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2021/10/14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8060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8060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吉林中油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武汉市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7785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武汉市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7725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长沙市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8145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长沙市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8145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7845</w:t>
            </w:r>
          </w:p>
        </w:tc>
      </w:tr>
    </w:tbl>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19" w:name="_Toc6052"/>
      <w:r>
        <w:rPr>
          <w:rFonts w:hint="eastAsia" w:ascii="宋体" w:hAnsi="宋体"/>
          <w:b/>
          <w:color w:val="auto"/>
          <w:sz w:val="30"/>
          <w:szCs w:val="30"/>
          <w:lang w:val="en-US" w:eastAsia="zh-CN"/>
        </w:rPr>
        <w:t>3.5 山东地炼汽油出厂价格周报</w:t>
      </w:r>
      <w:bookmarkEnd w:id="19"/>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0" w:hRule="atLeast"/>
          <w:jc w:val="center"/>
        </w:trPr>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2021/10/21</w:t>
            </w:r>
          </w:p>
        </w:tc>
        <w:tc>
          <w:tcPr>
            <w:tcW w:w="121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8813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8923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9143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8915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8912</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8848</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9085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9158</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8763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8873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0" w:name="_Toc25179"/>
      <w:r>
        <w:rPr>
          <w:rFonts w:hint="eastAsia" w:ascii="宋体" w:hAnsi="宋体"/>
          <w:b/>
          <w:color w:val="auto"/>
          <w:sz w:val="30"/>
          <w:szCs w:val="30"/>
          <w:lang w:val="en-US" w:eastAsia="zh-CN"/>
        </w:rPr>
        <w:t>3.6 山东地炼柴油出厂价格周报</w:t>
      </w:r>
      <w:bookmarkEnd w:id="20"/>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3" w:hRule="atLeast"/>
          <w:tblHeader/>
          <w:jc w:val="center"/>
        </w:trPr>
        <w:tc>
          <w:tcPr>
            <w:tcW w:w="81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1" w:name="_Toc27167"/>
            <w:bookmarkStart w:id="22" w:name="_Toc711"/>
            <w:bookmarkStart w:id="23" w:name="_Toc23056"/>
            <w:bookmarkStart w:id="24" w:name="_Toc533771879"/>
            <w:r>
              <w:rPr>
                <w:rFonts w:hint="eastAsia" w:ascii="宋体" w:hAnsi="宋体" w:eastAsia="宋体" w:cs="宋体"/>
                <w:b/>
                <w:i w:val="0"/>
                <w:color w:val="auto"/>
                <w:kern w:val="0"/>
                <w:sz w:val="18"/>
                <w:szCs w:val="18"/>
                <w:u w:val="none"/>
                <w:lang w:val="en-US" w:eastAsia="zh-CN" w:bidi="ar"/>
              </w:rPr>
              <w:t>省份</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7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2021/10/21</w:t>
            </w:r>
          </w:p>
        </w:tc>
        <w:tc>
          <w:tcPr>
            <w:tcW w:w="12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8584</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7745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8366</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8780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bl>
    <w:p>
      <w:pPr>
        <w:pStyle w:val="3"/>
        <w:spacing w:before="120" w:after="120" w:line="240" w:lineRule="auto"/>
        <w:jc w:val="left"/>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四、2021年</w:t>
      </w:r>
      <w:r>
        <w:rPr>
          <w:rFonts w:hint="eastAsia" w:ascii="宋体" w:hAnsi="宋体" w:cs="宋体"/>
          <w:b/>
          <w:bCs/>
          <w:color w:val="auto"/>
          <w:kern w:val="2"/>
          <w:sz w:val="36"/>
          <w:szCs w:val="36"/>
          <w:highlight w:val="none"/>
          <w:lang w:val="en-US" w:eastAsia="zh-CN" w:bidi="ar-SA"/>
        </w:rPr>
        <w:t>8</w:t>
      </w:r>
      <w:r>
        <w:rPr>
          <w:rFonts w:hint="eastAsia" w:ascii="宋体" w:hAnsi="宋体" w:eastAsia="宋体" w:cs="宋体"/>
          <w:b/>
          <w:bCs/>
          <w:color w:val="auto"/>
          <w:kern w:val="2"/>
          <w:sz w:val="36"/>
          <w:szCs w:val="36"/>
          <w:highlight w:val="none"/>
          <w:lang w:val="en-US" w:eastAsia="zh-CN" w:bidi="ar-SA"/>
        </w:rPr>
        <w:t>月份进出口统计数据</w:t>
      </w:r>
      <w:bookmarkEnd w:id="21"/>
      <w:bookmarkEnd w:id="22"/>
    </w:p>
    <w:p>
      <w:pPr>
        <w:pStyle w:val="3"/>
        <w:spacing w:before="120" w:after="120" w:line="240" w:lineRule="auto"/>
        <w:rPr>
          <w:rFonts w:hint="eastAsia" w:ascii="宋体" w:hAnsi="宋体"/>
          <w:b/>
          <w:color w:val="auto"/>
          <w:sz w:val="32"/>
          <w:szCs w:val="32"/>
        </w:rPr>
      </w:pPr>
      <w:bookmarkStart w:id="25" w:name="_Toc31314"/>
      <w:bookmarkStart w:id="26" w:name="_Toc19791"/>
      <w:r>
        <w:rPr>
          <w:rFonts w:hint="eastAsia" w:ascii="宋体" w:hAnsi="宋体"/>
          <w:b/>
          <w:color w:val="auto"/>
          <w:sz w:val="32"/>
          <w:szCs w:val="32"/>
        </w:rPr>
        <w:t>4.</w:t>
      </w:r>
      <w:bookmarkEnd w:id="25"/>
      <w:bookmarkEnd w:id="26"/>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8</w:t>
      </w:r>
      <w:r>
        <w:rPr>
          <w:rFonts w:hint="eastAsia" w:ascii="宋体" w:hAnsi="宋体"/>
          <w:b/>
          <w:color w:val="auto"/>
          <w:sz w:val="32"/>
          <w:szCs w:val="32"/>
        </w:rPr>
        <w:t>份全国车用汽油和航空汽油出口统计数据</w:t>
      </w:r>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8700" w:type="dxa"/>
        <w:jc w:val="center"/>
        <w:shd w:val="clear" w:color="auto" w:fill="auto"/>
        <w:tblLayout w:type="autofit"/>
        <w:tblCellMar>
          <w:top w:w="0" w:type="dxa"/>
          <w:left w:w="0" w:type="dxa"/>
          <w:bottom w:w="0" w:type="dxa"/>
          <w:right w:w="0" w:type="dxa"/>
        </w:tblCellMar>
      </w:tblPr>
      <w:tblGrid>
        <w:gridCol w:w="3405"/>
        <w:gridCol w:w="1665"/>
        <w:gridCol w:w="1785"/>
        <w:gridCol w:w="1845"/>
      </w:tblGrid>
      <w:tr>
        <w:tblPrEx>
          <w:shd w:val="clear" w:color="auto" w:fill="auto"/>
          <w:tblCellMar>
            <w:top w:w="0" w:type="dxa"/>
            <w:left w:w="0" w:type="dxa"/>
            <w:bottom w:w="0" w:type="dxa"/>
            <w:right w:w="0" w:type="dxa"/>
          </w:tblCellMar>
        </w:tblPrEx>
        <w:trPr>
          <w:trHeight w:val="48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bookmarkStart w:id="27" w:name="_Toc31064"/>
            <w:bookmarkStart w:id="28" w:name="_Toc23995"/>
            <w:r>
              <w:rPr>
                <w:rFonts w:hint="eastAsia" w:ascii="宋体" w:hAnsi="宋体" w:eastAsia="宋体" w:cs="宋体"/>
                <w:b/>
                <w:bCs/>
                <w:i w:val="0"/>
                <w:caps w:val="0"/>
                <w:color w:val="auto"/>
                <w:spacing w:val="0"/>
                <w:kern w:val="0"/>
                <w:sz w:val="18"/>
                <w:szCs w:val="18"/>
                <w:lang w:val="en-US" w:eastAsia="zh-CN" w:bidi="ar"/>
              </w:rPr>
              <w:t>商品名称 </w:t>
            </w:r>
          </w:p>
        </w:tc>
        <w:tc>
          <w:tcPr>
            <w:tcW w:w="16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r>
              <w:rPr>
                <w:rFonts w:hint="eastAsia" w:ascii="宋体" w:hAnsi="宋体" w:eastAsia="宋体" w:cs="宋体"/>
                <w:b/>
                <w:bCs/>
                <w:i w:val="0"/>
                <w:caps w:val="0"/>
                <w:color w:val="auto"/>
                <w:spacing w:val="0"/>
                <w:kern w:val="0"/>
                <w:sz w:val="18"/>
                <w:szCs w:val="18"/>
                <w:lang w:val="en-US" w:eastAsia="zh-CN" w:bidi="ar"/>
              </w:rPr>
              <w:t>贸易伙伴名称 </w:t>
            </w:r>
          </w:p>
        </w:tc>
        <w:tc>
          <w:tcPr>
            <w:tcW w:w="17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r>
              <w:rPr>
                <w:rFonts w:hint="eastAsia" w:ascii="宋体" w:hAnsi="宋体" w:eastAsia="宋体" w:cs="宋体"/>
                <w:b/>
                <w:bCs/>
                <w:i w:val="0"/>
                <w:caps w:val="0"/>
                <w:color w:val="auto"/>
                <w:spacing w:val="0"/>
                <w:kern w:val="0"/>
                <w:sz w:val="18"/>
                <w:szCs w:val="18"/>
                <w:lang w:val="en-US" w:eastAsia="zh-CN" w:bidi="ar"/>
              </w:rPr>
              <w:t>出口数量（吨）</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r>
              <w:rPr>
                <w:rFonts w:hint="eastAsia" w:ascii="宋体" w:hAnsi="宋体" w:eastAsia="宋体" w:cs="宋体"/>
                <w:b/>
                <w:bCs/>
                <w:i w:val="0"/>
                <w:caps w:val="0"/>
                <w:color w:val="auto"/>
                <w:spacing w:val="0"/>
                <w:kern w:val="0"/>
                <w:sz w:val="18"/>
                <w:szCs w:val="18"/>
                <w:lang w:val="en-US" w:eastAsia="zh-CN" w:bidi="ar"/>
              </w:rPr>
              <w:t>出口金额（元）</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巴基斯坦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111609.038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472093939</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菲律宾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73861.7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327507778</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韩国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35000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158845750</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马来西亚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35000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147884258</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蒙古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7390.493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35102254</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缅甸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3767.177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17734559</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尼日利亚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56272.116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256067777</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日本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25074.876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82482215</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泰国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37000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120760374</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新加坡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176260.936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650000912</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中国澳门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7169.419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24385717</w:t>
            </w:r>
          </w:p>
        </w:tc>
      </w:tr>
    </w:tbl>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8</w:t>
      </w:r>
      <w:r>
        <w:rPr>
          <w:rFonts w:hint="eastAsia" w:ascii="宋体" w:hAnsi="宋体"/>
          <w:b/>
          <w:color w:val="auto"/>
          <w:sz w:val="32"/>
          <w:szCs w:val="32"/>
        </w:rPr>
        <w:t>月份全国柴油出口统计数据</w:t>
      </w:r>
      <w:bookmarkEnd w:id="27"/>
      <w:bookmarkEnd w:id="28"/>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bookmarkStart w:id="29" w:name="_Toc16942"/>
            <w:r>
              <w:rPr>
                <w:rStyle w:val="28"/>
                <w:rFonts w:hint="eastAsia" w:ascii="宋体" w:hAnsi="宋体" w:eastAsia="宋体" w:cs="宋体"/>
                <w:b/>
                <w:i w:val="0"/>
                <w:caps w:val="0"/>
                <w:color w:val="auto"/>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埃及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47.00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188624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4013.28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安提瓜和巴布达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814.89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3294631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4043.06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巴巴多斯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126.11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509075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巴哈马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571.64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2221239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3885.74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巴拿马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16083.29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63604609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3954.70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比利时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168.70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611330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3623.77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伯利兹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586.37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2452576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4182.68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丹麦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191.80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758557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3954.94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德国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194505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多哥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85.54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339821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3972.84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俄罗斯联邦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267120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菲律宾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264870.66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49%</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947315401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3576.52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圭亚那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82020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韩国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355.24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1471008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荷兰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545.30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2200117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4034.69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喀麦隆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89.95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394026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开曼群岛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175.00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730249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克罗地亚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34.50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133193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3860.67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利比里亚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7386.26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28876864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马耳他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1583.96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6485574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4094.52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马来西亚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10213.47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27411726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2683.88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马绍尔群岛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5935.59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23572215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3971.33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美国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574.40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2253924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3923.96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蒙古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1444.70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5559262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3848.05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孟加拉国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64196.00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238361451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3713.03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秘鲁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40000.00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155604000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缅甸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7602.09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31393115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4129.54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挪威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370.00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1422981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3845.89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帕劳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401977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葡萄牙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1736861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日本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1128.30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4370417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3873.45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瑞典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194.97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809557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塞拉利昂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136.79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585119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4277.62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塞浦路斯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462.97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1858061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圣文森特和格林纳丁斯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24.00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103242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斯威士兰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29.07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126645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泰国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149769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4279.11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图瓦卢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44.60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202170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4532.96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土耳其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148602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瓦努阿图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410099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希腊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926.92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3776133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4073.85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新加坡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5244.17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20655445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3938.74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牙买加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185708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印度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147.90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601805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印度尼西亚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129.04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530348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英国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3059.05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11964783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越南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178.78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796504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4455.24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直布罗陀  </w:t>
            </w:r>
          </w:p>
        </w:tc>
        <w:tc>
          <w:tcPr>
            <w:tcW w:w="1410"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79.50</w:t>
            </w:r>
          </w:p>
        </w:tc>
        <w:tc>
          <w:tcPr>
            <w:tcW w:w="1050"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302163</w:t>
            </w:r>
          </w:p>
        </w:tc>
        <w:tc>
          <w:tcPr>
            <w:tcW w:w="1890"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3800.79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中国澳门  </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9171.00</w:t>
            </w: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2%</w:t>
            </w:r>
          </w:p>
        </w:tc>
        <w:tc>
          <w:tcPr>
            <w:tcW w:w="16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25351015</w:t>
            </w:r>
          </w:p>
        </w:tc>
        <w:tc>
          <w:tcPr>
            <w:tcW w:w="1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2764.26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中国台湾  </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641.20</w:t>
            </w: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0%</w:t>
            </w:r>
          </w:p>
        </w:tc>
        <w:tc>
          <w:tcPr>
            <w:tcW w:w="16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2455039</w:t>
            </w:r>
          </w:p>
        </w:tc>
        <w:tc>
          <w:tcPr>
            <w:tcW w:w="1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3828.82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中国香港  </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97948.50</w:t>
            </w: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18%</w:t>
            </w:r>
          </w:p>
        </w:tc>
        <w:tc>
          <w:tcPr>
            <w:tcW w:w="16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350461640</w:t>
            </w:r>
          </w:p>
        </w:tc>
        <w:tc>
          <w:tcPr>
            <w:tcW w:w="1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3578.02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合计</w:t>
            </w:r>
          </w:p>
        </w:tc>
        <w:tc>
          <w:tcPr>
            <w:tcW w:w="1410"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544480.39</w:t>
            </w:r>
          </w:p>
        </w:tc>
        <w:tc>
          <w:tcPr>
            <w:tcW w:w="1050"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100%</w:t>
            </w:r>
          </w:p>
        </w:tc>
        <w:tc>
          <w:tcPr>
            <w:tcW w:w="1688"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1975692315.00</w:t>
            </w:r>
          </w:p>
        </w:tc>
        <w:tc>
          <w:tcPr>
            <w:tcW w:w="1890"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3628.58</w:t>
            </w:r>
          </w:p>
        </w:tc>
      </w:tr>
    </w:tbl>
    <w:p>
      <w:pPr>
        <w:pStyle w:val="3"/>
        <w:spacing w:before="120" w:after="120" w:line="240" w:lineRule="auto"/>
        <w:rPr>
          <w:rFonts w:hint="eastAsia"/>
          <w:bCs/>
          <w:color w:val="auto"/>
          <w:sz w:val="30"/>
          <w:szCs w:val="30"/>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8</w:t>
      </w:r>
      <w:r>
        <w:rPr>
          <w:rFonts w:hint="eastAsia" w:ascii="宋体" w:hAnsi="宋体"/>
          <w:b/>
          <w:color w:val="auto"/>
          <w:sz w:val="30"/>
          <w:szCs w:val="30"/>
        </w:rPr>
        <w:t>月份全国原油进出口统计数据</w:t>
      </w:r>
      <w:bookmarkEnd w:id="23"/>
      <w:bookmarkEnd w:id="29"/>
    </w:p>
    <w:p>
      <w:pPr>
        <w:jc w:val="right"/>
        <w:rPr>
          <w:rFonts w:hint="eastAsia"/>
          <w:bCs/>
          <w:color w:val="auto"/>
          <w:sz w:val="18"/>
          <w:szCs w:val="18"/>
        </w:rPr>
      </w:pPr>
      <w:r>
        <w:rPr>
          <w:rFonts w:hint="eastAsia"/>
          <w:bCs/>
          <w:color w:val="auto"/>
          <w:sz w:val="18"/>
          <w:szCs w:val="18"/>
        </w:rPr>
        <w:t>单位：</w:t>
      </w:r>
      <w:r>
        <w:rPr>
          <w:rFonts w:hint="eastAsia"/>
          <w:bCs/>
          <w:color w:val="auto"/>
          <w:sz w:val="18"/>
          <w:szCs w:val="18"/>
          <w:lang w:eastAsia="zh-CN"/>
        </w:rPr>
        <w:t>吨</w:t>
      </w:r>
      <w:r>
        <w:rPr>
          <w:rFonts w:hint="eastAsia"/>
          <w:bCs/>
          <w:color w:val="auto"/>
          <w:sz w:val="18"/>
          <w:szCs w:val="18"/>
        </w:rPr>
        <w:t>，美元</w:t>
      </w:r>
    </w:p>
    <w:p>
      <w:pPr>
        <w:rPr>
          <w:rFonts w:hint="eastAsia" w:eastAsia="宋体"/>
          <w:bCs/>
          <w:color w:val="auto"/>
          <w:szCs w:val="21"/>
          <w:lang w:eastAsia="zh-CN"/>
        </w:rPr>
      </w:pPr>
    </w:p>
    <w:tbl>
      <w:tblPr>
        <w:tblStyle w:val="24"/>
        <w:tblW w:w="4485" w:type="pct"/>
        <w:jc w:val="center"/>
        <w:tblLayout w:type="autofit"/>
        <w:tblCellMar>
          <w:top w:w="0" w:type="dxa"/>
          <w:left w:w="108" w:type="dxa"/>
          <w:bottom w:w="0" w:type="dxa"/>
          <w:right w:w="108" w:type="dxa"/>
        </w:tblCellMar>
      </w:tblPr>
      <w:tblGrid>
        <w:gridCol w:w="2345"/>
        <w:gridCol w:w="1871"/>
        <w:gridCol w:w="2002"/>
        <w:gridCol w:w="2621"/>
      </w:tblGrid>
      <w:tr>
        <w:tblPrEx>
          <w:tblCellMar>
            <w:top w:w="0" w:type="dxa"/>
            <w:left w:w="108" w:type="dxa"/>
            <w:bottom w:w="0" w:type="dxa"/>
            <w:right w:w="108" w:type="dxa"/>
          </w:tblCellMar>
        </w:tblPrEx>
        <w:trPr>
          <w:trHeight w:val="283" w:hRule="atLeast"/>
          <w:tblHeader/>
          <w:jc w:val="center"/>
        </w:trPr>
        <w:tc>
          <w:tcPr>
            <w:tcW w:w="1326"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color w:val="auto"/>
                <w:sz w:val="18"/>
                <w:szCs w:val="18"/>
              </w:rPr>
            </w:pPr>
            <w:bookmarkStart w:id="30" w:name="_Toc20776"/>
            <w:bookmarkStart w:id="31" w:name="_Toc18589"/>
            <w:r>
              <w:rPr>
                <w:rFonts w:hint="eastAsia" w:ascii="宋体" w:hAnsi="宋体" w:eastAsia="宋体" w:cs="宋体"/>
                <w:b/>
                <w:color w:val="auto"/>
                <w:sz w:val="18"/>
                <w:szCs w:val="18"/>
              </w:rPr>
              <w:t>来源国（进口）</w:t>
            </w:r>
          </w:p>
        </w:tc>
        <w:tc>
          <w:tcPr>
            <w:tcW w:w="1058"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万吨</w:t>
            </w:r>
          </w:p>
        </w:tc>
        <w:tc>
          <w:tcPr>
            <w:tcW w:w="1132"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万美元</w:t>
            </w:r>
          </w:p>
        </w:tc>
        <w:tc>
          <w:tcPr>
            <w:tcW w:w="1482"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均价（美元/吨）</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沙特阿拉伯</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805.9</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437138.22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542.42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俄罗斯联邦</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653.05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348407.58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533.51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伊拉克</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583.72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306968.93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525.88</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巴西</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354.85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189539.98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534.14</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阿曼</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328.87</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174366.71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530.2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安哥拉</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328.15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178149.88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542.9</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阿联酋</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258.22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139623.9</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540.72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科威特</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251.35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134843.85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536.47</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马来西亚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174.7</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83971.22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480.65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美国</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96.26</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55854.61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580.26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刚果(布)</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91.13</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47343.83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519.54</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挪威</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69.18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36927.63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533.8</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哥伦比亚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68.34</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35271.21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516.08</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卡塔尔</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64.54</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37220.38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576.66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哈萨克斯坦</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45.12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26471.98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586.75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利比亚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23195.14</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572.7</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加拿大</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30.03</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14370.86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478.62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赤道几内亚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25.09</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14486.12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577.45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加纳</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25.05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13970.6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557.72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厄瓜多尔</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19.99</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10327.98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516.75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喀麦隆</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7594.34</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540.5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乍得</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13.86</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8080.11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582.96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越南</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13.42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7911.25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589.41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尼日利亚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13.28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7413.75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558.06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墨西哥</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13.14</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6625.54</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504.06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南苏丹共和国</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13.01</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7366.39</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566.23</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加蓬</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6912.96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540.06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刚果(金)</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12.42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7058.26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568.4</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印度尼西亚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4515.83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442.92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泰国</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8.33</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4594.73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551.51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埃及</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5.57</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3236.05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581.09</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蒙古</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5.22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2117.52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405.41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澳大利亚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3.78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2400.85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635.56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4453.12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2384278.17</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535.42</w:t>
            </w:r>
          </w:p>
        </w:tc>
      </w:tr>
    </w:tbl>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p>
    <w:tbl>
      <w:tblPr>
        <w:tblStyle w:val="24"/>
        <w:tblW w:w="4490" w:type="pct"/>
        <w:jc w:val="center"/>
        <w:tblLayout w:type="autofit"/>
        <w:tblCellMar>
          <w:top w:w="0" w:type="dxa"/>
          <w:left w:w="108" w:type="dxa"/>
          <w:bottom w:w="0" w:type="dxa"/>
          <w:right w:w="108" w:type="dxa"/>
        </w:tblCellMar>
      </w:tblPr>
      <w:tblGrid>
        <w:gridCol w:w="2854"/>
        <w:gridCol w:w="1871"/>
        <w:gridCol w:w="2002"/>
        <w:gridCol w:w="2122"/>
      </w:tblGrid>
      <w:tr>
        <w:tblPrEx>
          <w:tblCellMar>
            <w:top w:w="0" w:type="dxa"/>
            <w:left w:w="108" w:type="dxa"/>
            <w:bottom w:w="0" w:type="dxa"/>
            <w:right w:w="108" w:type="dxa"/>
          </w:tblCellMar>
        </w:tblPrEx>
        <w:trPr>
          <w:trHeight w:val="283" w:hRule="atLeast"/>
          <w:jc w:val="center"/>
        </w:trPr>
        <w:tc>
          <w:tcPr>
            <w:tcW w:w="1612"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贸易方式</w:t>
            </w:r>
          </w:p>
        </w:tc>
        <w:tc>
          <w:tcPr>
            <w:tcW w:w="1057"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万吨</w:t>
            </w:r>
          </w:p>
        </w:tc>
        <w:tc>
          <w:tcPr>
            <w:tcW w:w="113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万美元</w:t>
            </w:r>
          </w:p>
        </w:tc>
        <w:tc>
          <w:tcPr>
            <w:tcW w:w="119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均价（美元/吨）</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一般贸易</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3504.06</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1880290.73</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536.6</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来料加工贸易</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267.23</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146714.9</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549.01</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保税监管场所进出境货物</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681.83</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357272.54</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523.99</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合计</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4453.12</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2384278.17</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535.42</w:t>
            </w:r>
          </w:p>
        </w:tc>
      </w:tr>
    </w:tbl>
    <w:p>
      <w:pPr>
        <w:widowControl/>
        <w:jc w:val="both"/>
        <w:rPr>
          <w:rFonts w:hint="eastAsia" w:ascii="宋体" w:hAnsi="宋体" w:cs="宋体"/>
          <w:color w:val="auto"/>
          <w:kern w:val="0"/>
          <w:szCs w:val="21"/>
        </w:rPr>
      </w:pP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8</w:t>
      </w:r>
      <w:r>
        <w:rPr>
          <w:rFonts w:hint="eastAsia" w:ascii="宋体" w:hAnsi="宋体"/>
          <w:b/>
          <w:color w:val="auto"/>
          <w:sz w:val="32"/>
          <w:szCs w:val="32"/>
        </w:rPr>
        <w:t>月份航空煤油进出口统计数据</w:t>
      </w:r>
      <w:bookmarkEnd w:id="30"/>
      <w:bookmarkEnd w:id="31"/>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spacing w:val="0"/>
                <w:sz w:val="18"/>
                <w:szCs w:val="18"/>
              </w:rPr>
              <w:t>出口</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8月进口量:118942.7（吨）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8月出口量:921199.72（吨）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累计进口量:988463.351吨）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累计出口量:5307636.876（吨）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当月进口均价:4080.04（元/吨）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当月出口均价:3731.15（元/吨）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累计进口均价：28492.45（元/吨）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累计出口均价:26394.87（元/吨）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进口量环比:99.10%</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出口量环比：39.12%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进口量同比：9.00%</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出口量同比：210.81%</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累计进口量比去年同期：-50.78%</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累计出口量比去年同期：-36.70%</w:t>
            </w:r>
          </w:p>
        </w:tc>
      </w:tr>
    </w:tbl>
    <w:p>
      <w:pPr>
        <w:rPr>
          <w:color w:val="auto"/>
        </w:rPr>
      </w:pPr>
    </w:p>
    <w:p>
      <w:pPr>
        <w:rPr>
          <w:color w:val="auto"/>
        </w:rPr>
      </w:pPr>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E935C49C"/>
    <w:multiLevelType w:val="singleLevel"/>
    <w:tmpl w:val="E935C49C"/>
    <w:lvl w:ilvl="0" w:tentative="0">
      <w:start w:val="1"/>
      <w:numFmt w:val="decimal"/>
      <w:suff w:val="nothing"/>
      <w:lvlText w:val="%1、"/>
      <w:lvlJc w:val="left"/>
    </w:lvl>
  </w:abstractNum>
  <w:abstractNum w:abstractNumId="2">
    <w:nsid w:val="06709E88"/>
    <w:multiLevelType w:val="singleLevel"/>
    <w:tmpl w:val="06709E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5D5BCE"/>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84ED7"/>
    <w:rsid w:val="047A62BA"/>
    <w:rsid w:val="048101D3"/>
    <w:rsid w:val="048A2C1B"/>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0339A1"/>
    <w:rsid w:val="0718687A"/>
    <w:rsid w:val="071A60E7"/>
    <w:rsid w:val="071A7C26"/>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721C38"/>
    <w:rsid w:val="0B860805"/>
    <w:rsid w:val="0B8B649E"/>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7B6AED"/>
    <w:rsid w:val="0C7F402D"/>
    <w:rsid w:val="0C822A19"/>
    <w:rsid w:val="0C930A24"/>
    <w:rsid w:val="0C9F5640"/>
    <w:rsid w:val="0CAA3B04"/>
    <w:rsid w:val="0CB81916"/>
    <w:rsid w:val="0CD123E3"/>
    <w:rsid w:val="0CD35464"/>
    <w:rsid w:val="0CD752CF"/>
    <w:rsid w:val="0CE32FB8"/>
    <w:rsid w:val="0CE44838"/>
    <w:rsid w:val="0CEA48B8"/>
    <w:rsid w:val="0D004586"/>
    <w:rsid w:val="0D206C21"/>
    <w:rsid w:val="0D4A442D"/>
    <w:rsid w:val="0D731CA1"/>
    <w:rsid w:val="0D735A75"/>
    <w:rsid w:val="0D775B07"/>
    <w:rsid w:val="0D79688B"/>
    <w:rsid w:val="0D8323A4"/>
    <w:rsid w:val="0D893BAC"/>
    <w:rsid w:val="0D952410"/>
    <w:rsid w:val="0D9F3354"/>
    <w:rsid w:val="0DA370DA"/>
    <w:rsid w:val="0DA7099A"/>
    <w:rsid w:val="0DB01CE1"/>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10429"/>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4E7072"/>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7261B"/>
    <w:rsid w:val="108C4660"/>
    <w:rsid w:val="10957382"/>
    <w:rsid w:val="109865FB"/>
    <w:rsid w:val="10A277F2"/>
    <w:rsid w:val="10BA0A0E"/>
    <w:rsid w:val="10CE39DE"/>
    <w:rsid w:val="10D36AEF"/>
    <w:rsid w:val="10FA6B68"/>
    <w:rsid w:val="10FF5E5F"/>
    <w:rsid w:val="11027028"/>
    <w:rsid w:val="11153BAA"/>
    <w:rsid w:val="11190B98"/>
    <w:rsid w:val="11230D2F"/>
    <w:rsid w:val="11247901"/>
    <w:rsid w:val="11365062"/>
    <w:rsid w:val="11422692"/>
    <w:rsid w:val="11590029"/>
    <w:rsid w:val="115A59A8"/>
    <w:rsid w:val="115F1C27"/>
    <w:rsid w:val="11672A0E"/>
    <w:rsid w:val="116E3E23"/>
    <w:rsid w:val="117F7F48"/>
    <w:rsid w:val="118C3C84"/>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E533B9"/>
    <w:rsid w:val="12F6517F"/>
    <w:rsid w:val="13086577"/>
    <w:rsid w:val="130B0E2B"/>
    <w:rsid w:val="130B16E4"/>
    <w:rsid w:val="13267B35"/>
    <w:rsid w:val="133E41B0"/>
    <w:rsid w:val="134A6D86"/>
    <w:rsid w:val="13594CF7"/>
    <w:rsid w:val="135A728A"/>
    <w:rsid w:val="1367698A"/>
    <w:rsid w:val="13772D89"/>
    <w:rsid w:val="138744BB"/>
    <w:rsid w:val="13985227"/>
    <w:rsid w:val="13A21C4C"/>
    <w:rsid w:val="13AA18EC"/>
    <w:rsid w:val="13B45FC3"/>
    <w:rsid w:val="13BF46FA"/>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997CF1"/>
    <w:rsid w:val="149A6A37"/>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800EE"/>
    <w:rsid w:val="155B6178"/>
    <w:rsid w:val="15615E0F"/>
    <w:rsid w:val="156D2843"/>
    <w:rsid w:val="15701AB8"/>
    <w:rsid w:val="15786279"/>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94D7A"/>
    <w:rsid w:val="171D2CA9"/>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E2C8D"/>
    <w:rsid w:val="1C2E3B22"/>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76F14"/>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BB5830"/>
    <w:rsid w:val="21C30EF9"/>
    <w:rsid w:val="21CB7C2D"/>
    <w:rsid w:val="21D956E3"/>
    <w:rsid w:val="21E74352"/>
    <w:rsid w:val="21EB64F4"/>
    <w:rsid w:val="21EF7C0A"/>
    <w:rsid w:val="22146206"/>
    <w:rsid w:val="221551D8"/>
    <w:rsid w:val="224441F7"/>
    <w:rsid w:val="224E7428"/>
    <w:rsid w:val="224F414D"/>
    <w:rsid w:val="2261560B"/>
    <w:rsid w:val="227918A6"/>
    <w:rsid w:val="2291582E"/>
    <w:rsid w:val="22944164"/>
    <w:rsid w:val="229674ED"/>
    <w:rsid w:val="22AC485D"/>
    <w:rsid w:val="22BB509A"/>
    <w:rsid w:val="22D174A6"/>
    <w:rsid w:val="22D2551D"/>
    <w:rsid w:val="22E67532"/>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720B"/>
    <w:rsid w:val="24086432"/>
    <w:rsid w:val="240F1052"/>
    <w:rsid w:val="241751AE"/>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852576"/>
    <w:rsid w:val="25922FF3"/>
    <w:rsid w:val="25955E96"/>
    <w:rsid w:val="259B6E31"/>
    <w:rsid w:val="259E33E1"/>
    <w:rsid w:val="25A05607"/>
    <w:rsid w:val="25A07C39"/>
    <w:rsid w:val="25AF1FA5"/>
    <w:rsid w:val="25B677AD"/>
    <w:rsid w:val="25B904A8"/>
    <w:rsid w:val="25D93662"/>
    <w:rsid w:val="25DA3A68"/>
    <w:rsid w:val="25E06259"/>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60E1B"/>
    <w:rsid w:val="26FD7030"/>
    <w:rsid w:val="27007370"/>
    <w:rsid w:val="27080E2E"/>
    <w:rsid w:val="270D21C6"/>
    <w:rsid w:val="270D2595"/>
    <w:rsid w:val="27251F41"/>
    <w:rsid w:val="27276FBB"/>
    <w:rsid w:val="27296336"/>
    <w:rsid w:val="273301A4"/>
    <w:rsid w:val="2743251A"/>
    <w:rsid w:val="277E59D2"/>
    <w:rsid w:val="277F5A23"/>
    <w:rsid w:val="279E36DD"/>
    <w:rsid w:val="27A7464B"/>
    <w:rsid w:val="27C37DE6"/>
    <w:rsid w:val="27EA2797"/>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50481"/>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8A4247"/>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6F14FD"/>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427A9A"/>
    <w:rsid w:val="32574FD8"/>
    <w:rsid w:val="325C547C"/>
    <w:rsid w:val="32646DB1"/>
    <w:rsid w:val="326C29F6"/>
    <w:rsid w:val="327B3D21"/>
    <w:rsid w:val="327C3888"/>
    <w:rsid w:val="329338D7"/>
    <w:rsid w:val="32945DAC"/>
    <w:rsid w:val="329B3155"/>
    <w:rsid w:val="329C631F"/>
    <w:rsid w:val="32A24DE0"/>
    <w:rsid w:val="32AB0897"/>
    <w:rsid w:val="32AE266E"/>
    <w:rsid w:val="32CB3A84"/>
    <w:rsid w:val="32CD7010"/>
    <w:rsid w:val="32CE45BC"/>
    <w:rsid w:val="32D9201A"/>
    <w:rsid w:val="32DD3543"/>
    <w:rsid w:val="32E42D0F"/>
    <w:rsid w:val="32E779A4"/>
    <w:rsid w:val="330D4D94"/>
    <w:rsid w:val="33435E16"/>
    <w:rsid w:val="335F11B3"/>
    <w:rsid w:val="337B12FB"/>
    <w:rsid w:val="33846435"/>
    <w:rsid w:val="33992851"/>
    <w:rsid w:val="339C5454"/>
    <w:rsid w:val="33A258FF"/>
    <w:rsid w:val="33AE7DAC"/>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C79C0"/>
    <w:rsid w:val="34E32E56"/>
    <w:rsid w:val="34EC4B86"/>
    <w:rsid w:val="351321CB"/>
    <w:rsid w:val="351B4997"/>
    <w:rsid w:val="35316542"/>
    <w:rsid w:val="35367A72"/>
    <w:rsid w:val="355171EC"/>
    <w:rsid w:val="355E299F"/>
    <w:rsid w:val="355E6D49"/>
    <w:rsid w:val="35671EE7"/>
    <w:rsid w:val="3572663B"/>
    <w:rsid w:val="357D4C50"/>
    <w:rsid w:val="3591419B"/>
    <w:rsid w:val="35925B04"/>
    <w:rsid w:val="35963717"/>
    <w:rsid w:val="35AB2A03"/>
    <w:rsid w:val="35AF3549"/>
    <w:rsid w:val="35C76B42"/>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C70EC1"/>
    <w:rsid w:val="39D80C94"/>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D9763C"/>
    <w:rsid w:val="3AEA7C0F"/>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BFC12CF"/>
    <w:rsid w:val="3C173EBE"/>
    <w:rsid w:val="3C211702"/>
    <w:rsid w:val="3C302F03"/>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00E00"/>
    <w:rsid w:val="3CD82621"/>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C1281"/>
    <w:rsid w:val="3D821B83"/>
    <w:rsid w:val="3D8D1DDC"/>
    <w:rsid w:val="3D8E6A74"/>
    <w:rsid w:val="3D995C7E"/>
    <w:rsid w:val="3DA61EAB"/>
    <w:rsid w:val="3DB60CC1"/>
    <w:rsid w:val="3DBA29C6"/>
    <w:rsid w:val="3DCE2E82"/>
    <w:rsid w:val="3DD2333F"/>
    <w:rsid w:val="3DEC316F"/>
    <w:rsid w:val="3E000E38"/>
    <w:rsid w:val="3E037731"/>
    <w:rsid w:val="3E0B7563"/>
    <w:rsid w:val="3E0F09D9"/>
    <w:rsid w:val="3E1646C1"/>
    <w:rsid w:val="3E247488"/>
    <w:rsid w:val="3E305EE4"/>
    <w:rsid w:val="3E3248D0"/>
    <w:rsid w:val="3E360DF6"/>
    <w:rsid w:val="3E3D25F5"/>
    <w:rsid w:val="3E4E6762"/>
    <w:rsid w:val="3E536D63"/>
    <w:rsid w:val="3E5F5CBB"/>
    <w:rsid w:val="3E616BAF"/>
    <w:rsid w:val="3E6D2C21"/>
    <w:rsid w:val="3E70166E"/>
    <w:rsid w:val="3E752011"/>
    <w:rsid w:val="3E8270FA"/>
    <w:rsid w:val="3E8E2505"/>
    <w:rsid w:val="3E8F0C9A"/>
    <w:rsid w:val="3E9953AC"/>
    <w:rsid w:val="3E9D3F84"/>
    <w:rsid w:val="3E9F3605"/>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B7DD4"/>
    <w:rsid w:val="3F901403"/>
    <w:rsid w:val="3FA21405"/>
    <w:rsid w:val="3FA67914"/>
    <w:rsid w:val="3FA96E5D"/>
    <w:rsid w:val="3FC04528"/>
    <w:rsid w:val="3FC379D7"/>
    <w:rsid w:val="3FCB012B"/>
    <w:rsid w:val="3FD00447"/>
    <w:rsid w:val="3FD27B2E"/>
    <w:rsid w:val="3FE71238"/>
    <w:rsid w:val="3FEE1DE8"/>
    <w:rsid w:val="3FFE5EFF"/>
    <w:rsid w:val="40171145"/>
    <w:rsid w:val="402104DC"/>
    <w:rsid w:val="402D3537"/>
    <w:rsid w:val="403075F2"/>
    <w:rsid w:val="40395203"/>
    <w:rsid w:val="40480E8F"/>
    <w:rsid w:val="404D32CE"/>
    <w:rsid w:val="40505868"/>
    <w:rsid w:val="40662C29"/>
    <w:rsid w:val="40742438"/>
    <w:rsid w:val="40791098"/>
    <w:rsid w:val="40932E75"/>
    <w:rsid w:val="409865C2"/>
    <w:rsid w:val="40A70377"/>
    <w:rsid w:val="40A97C8F"/>
    <w:rsid w:val="40BC5D67"/>
    <w:rsid w:val="40CA2A6E"/>
    <w:rsid w:val="40CC7CA3"/>
    <w:rsid w:val="40D775A2"/>
    <w:rsid w:val="40DC23A0"/>
    <w:rsid w:val="40EE33BE"/>
    <w:rsid w:val="40F436BC"/>
    <w:rsid w:val="40F61783"/>
    <w:rsid w:val="4100601D"/>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068F9"/>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C54950"/>
    <w:rsid w:val="43CC31B4"/>
    <w:rsid w:val="43CC79E5"/>
    <w:rsid w:val="43D44FF8"/>
    <w:rsid w:val="441557E3"/>
    <w:rsid w:val="44226F3F"/>
    <w:rsid w:val="4425659D"/>
    <w:rsid w:val="44286453"/>
    <w:rsid w:val="44371554"/>
    <w:rsid w:val="444B4817"/>
    <w:rsid w:val="444C54FC"/>
    <w:rsid w:val="444F2685"/>
    <w:rsid w:val="445451D4"/>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93D8C"/>
    <w:rsid w:val="45CC0EF3"/>
    <w:rsid w:val="45CC763D"/>
    <w:rsid w:val="45CF5AD4"/>
    <w:rsid w:val="45D61E17"/>
    <w:rsid w:val="45DD06D9"/>
    <w:rsid w:val="460D21F2"/>
    <w:rsid w:val="460E0469"/>
    <w:rsid w:val="460E0A15"/>
    <w:rsid w:val="46146FE1"/>
    <w:rsid w:val="461909E8"/>
    <w:rsid w:val="462E79C9"/>
    <w:rsid w:val="4635298E"/>
    <w:rsid w:val="46355D58"/>
    <w:rsid w:val="463C04FA"/>
    <w:rsid w:val="464050BB"/>
    <w:rsid w:val="46405C21"/>
    <w:rsid w:val="465C4E3B"/>
    <w:rsid w:val="466B6702"/>
    <w:rsid w:val="466F037A"/>
    <w:rsid w:val="46725A79"/>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8601BF"/>
    <w:rsid w:val="47B41393"/>
    <w:rsid w:val="47B94CE5"/>
    <w:rsid w:val="47C254B8"/>
    <w:rsid w:val="47DF082A"/>
    <w:rsid w:val="47EB5003"/>
    <w:rsid w:val="48081128"/>
    <w:rsid w:val="480D3EC3"/>
    <w:rsid w:val="48144FED"/>
    <w:rsid w:val="481E0B19"/>
    <w:rsid w:val="482B26B0"/>
    <w:rsid w:val="483A31DC"/>
    <w:rsid w:val="483B02D3"/>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4C3B"/>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B0365"/>
    <w:rsid w:val="4C7C64A4"/>
    <w:rsid w:val="4C9953D8"/>
    <w:rsid w:val="4C9E0D0B"/>
    <w:rsid w:val="4CBF4AE9"/>
    <w:rsid w:val="4CCA7CF8"/>
    <w:rsid w:val="4CCC299D"/>
    <w:rsid w:val="4CCE1B7D"/>
    <w:rsid w:val="4D0A349B"/>
    <w:rsid w:val="4D0D2E78"/>
    <w:rsid w:val="4D0F04ED"/>
    <w:rsid w:val="4D164C7E"/>
    <w:rsid w:val="4D1749B6"/>
    <w:rsid w:val="4D283FC5"/>
    <w:rsid w:val="4D384A7C"/>
    <w:rsid w:val="4D3A0411"/>
    <w:rsid w:val="4D413BC0"/>
    <w:rsid w:val="4D427C91"/>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106C4"/>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16472B"/>
    <w:rsid w:val="52217FFE"/>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5F1D05"/>
    <w:rsid w:val="546136C7"/>
    <w:rsid w:val="54635F00"/>
    <w:rsid w:val="54661F54"/>
    <w:rsid w:val="546C3F2D"/>
    <w:rsid w:val="547F46DA"/>
    <w:rsid w:val="54944893"/>
    <w:rsid w:val="549F75FE"/>
    <w:rsid w:val="54A51CC5"/>
    <w:rsid w:val="54AF6C60"/>
    <w:rsid w:val="54B52F94"/>
    <w:rsid w:val="54BD36E4"/>
    <w:rsid w:val="54C547A5"/>
    <w:rsid w:val="54D05C30"/>
    <w:rsid w:val="54DD78BD"/>
    <w:rsid w:val="54E06144"/>
    <w:rsid w:val="54E5258C"/>
    <w:rsid w:val="54F52367"/>
    <w:rsid w:val="550A393D"/>
    <w:rsid w:val="5525121F"/>
    <w:rsid w:val="555900AE"/>
    <w:rsid w:val="555B6E77"/>
    <w:rsid w:val="555E09D9"/>
    <w:rsid w:val="555E54FB"/>
    <w:rsid w:val="556848E1"/>
    <w:rsid w:val="556B7B91"/>
    <w:rsid w:val="556D2811"/>
    <w:rsid w:val="55767F46"/>
    <w:rsid w:val="557821AC"/>
    <w:rsid w:val="55BF5B90"/>
    <w:rsid w:val="55CE1AD5"/>
    <w:rsid w:val="55ED37B8"/>
    <w:rsid w:val="55F04C52"/>
    <w:rsid w:val="55F35D23"/>
    <w:rsid w:val="560E1061"/>
    <w:rsid w:val="56281CBC"/>
    <w:rsid w:val="562878FA"/>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B06D46"/>
    <w:rsid w:val="57B937A9"/>
    <w:rsid w:val="57BB4E50"/>
    <w:rsid w:val="57C34B39"/>
    <w:rsid w:val="57C94F80"/>
    <w:rsid w:val="57DE1F69"/>
    <w:rsid w:val="57E116B4"/>
    <w:rsid w:val="58097EA5"/>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41A62"/>
    <w:rsid w:val="59BC5C03"/>
    <w:rsid w:val="59BE115B"/>
    <w:rsid w:val="59CE313C"/>
    <w:rsid w:val="59E474BD"/>
    <w:rsid w:val="59E869EC"/>
    <w:rsid w:val="59FC6B89"/>
    <w:rsid w:val="5A057FD1"/>
    <w:rsid w:val="5A143012"/>
    <w:rsid w:val="5A261D0E"/>
    <w:rsid w:val="5A2907FC"/>
    <w:rsid w:val="5A2E6A84"/>
    <w:rsid w:val="5A3B0F06"/>
    <w:rsid w:val="5A412A61"/>
    <w:rsid w:val="5A4752E2"/>
    <w:rsid w:val="5A527BDD"/>
    <w:rsid w:val="5A7A7F4C"/>
    <w:rsid w:val="5A7D1253"/>
    <w:rsid w:val="5A850E4C"/>
    <w:rsid w:val="5A905E59"/>
    <w:rsid w:val="5A9311E7"/>
    <w:rsid w:val="5A95316F"/>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4F34F7"/>
    <w:rsid w:val="5D521435"/>
    <w:rsid w:val="5D6031C3"/>
    <w:rsid w:val="5D623C65"/>
    <w:rsid w:val="5D653EC8"/>
    <w:rsid w:val="5D7636FE"/>
    <w:rsid w:val="5D7F7A77"/>
    <w:rsid w:val="5D810CA8"/>
    <w:rsid w:val="5D864B2F"/>
    <w:rsid w:val="5D8C1819"/>
    <w:rsid w:val="5DC12889"/>
    <w:rsid w:val="5DC477E0"/>
    <w:rsid w:val="5DCA3061"/>
    <w:rsid w:val="5DD05318"/>
    <w:rsid w:val="5DD161BA"/>
    <w:rsid w:val="5DE97207"/>
    <w:rsid w:val="5DEF6C2B"/>
    <w:rsid w:val="5DF22741"/>
    <w:rsid w:val="5DFB28F8"/>
    <w:rsid w:val="5DFE50F6"/>
    <w:rsid w:val="5E026A9A"/>
    <w:rsid w:val="5E050796"/>
    <w:rsid w:val="5E123553"/>
    <w:rsid w:val="5E186B89"/>
    <w:rsid w:val="5E202832"/>
    <w:rsid w:val="5E2D7C7A"/>
    <w:rsid w:val="5E4E3F80"/>
    <w:rsid w:val="5E5F4BD4"/>
    <w:rsid w:val="5E852B0D"/>
    <w:rsid w:val="5E8A7777"/>
    <w:rsid w:val="5E932264"/>
    <w:rsid w:val="5EA1268E"/>
    <w:rsid w:val="5EB029CD"/>
    <w:rsid w:val="5ED20F44"/>
    <w:rsid w:val="5EDF3DC8"/>
    <w:rsid w:val="5EE7073E"/>
    <w:rsid w:val="5EEC61AE"/>
    <w:rsid w:val="5EF641A0"/>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5FFF6DC4"/>
    <w:rsid w:val="60046C0F"/>
    <w:rsid w:val="600E4F7F"/>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916138"/>
    <w:rsid w:val="61A26760"/>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03FE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622FB4"/>
    <w:rsid w:val="676E642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197179"/>
    <w:rsid w:val="6A22015C"/>
    <w:rsid w:val="6A265076"/>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844"/>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173DD"/>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879C5"/>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C34C5"/>
    <w:rsid w:val="702D3A00"/>
    <w:rsid w:val="70341230"/>
    <w:rsid w:val="70342FAD"/>
    <w:rsid w:val="7034472B"/>
    <w:rsid w:val="704310F0"/>
    <w:rsid w:val="705A14E5"/>
    <w:rsid w:val="705A4D1B"/>
    <w:rsid w:val="705F37D3"/>
    <w:rsid w:val="707A4F0F"/>
    <w:rsid w:val="7084369E"/>
    <w:rsid w:val="708B108A"/>
    <w:rsid w:val="709143C4"/>
    <w:rsid w:val="70930271"/>
    <w:rsid w:val="70CB3DC2"/>
    <w:rsid w:val="70DB5146"/>
    <w:rsid w:val="70E51B6F"/>
    <w:rsid w:val="70E561EA"/>
    <w:rsid w:val="70F40322"/>
    <w:rsid w:val="70F9595A"/>
    <w:rsid w:val="70FA4092"/>
    <w:rsid w:val="70FC3C7A"/>
    <w:rsid w:val="71075B1A"/>
    <w:rsid w:val="710E7F44"/>
    <w:rsid w:val="71193089"/>
    <w:rsid w:val="71211292"/>
    <w:rsid w:val="71243B68"/>
    <w:rsid w:val="712776C4"/>
    <w:rsid w:val="712A41BD"/>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2A199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228EA"/>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1509C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877462"/>
    <w:rsid w:val="76936F16"/>
    <w:rsid w:val="76993FC0"/>
    <w:rsid w:val="76A10D28"/>
    <w:rsid w:val="76A64EB2"/>
    <w:rsid w:val="76BC1014"/>
    <w:rsid w:val="76D7331B"/>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C1029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55415F"/>
    <w:rsid w:val="7B69789C"/>
    <w:rsid w:val="7B875C60"/>
    <w:rsid w:val="7BA76397"/>
    <w:rsid w:val="7BB151FD"/>
    <w:rsid w:val="7BB43296"/>
    <w:rsid w:val="7BBE12F2"/>
    <w:rsid w:val="7BC94EE7"/>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A90065"/>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TotalTime>
  <ScaleCrop>false</ScaleCrop>
  <LinksUpToDate>false</LinksUpToDate>
  <CharactersWithSpaces>26786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2021-10-21T08:14:14Z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2052-11.1.0.10938</vt:lpwstr>
  </property>
  <property fmtid="{D5CDD505-2E9C-101B-9397-08002B2CF9AE}" pid="4" name="ICV">
    <vt:lpwstr>D366F8CEF0B34B9A839F473A36DCA92E</vt:lpwstr>
  </property>
</Properties>
</file>