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-909955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w:t>
                            </w:r>
                            <w:r>
                              <w:rPr>
                                <w:rFonts w:hint="eastAsia"/>
                                <w:b/>
                                <w:kern w:val="2"/>
                                <w:sz w:val="36"/>
                                <w:szCs w:val="36"/>
                                <w:lang w:val="en-US" w:eastAsia="zh-CN"/>
                              </w:rPr>
                              <w:t xml:space="preserve">  </w:t>
                            </w:r>
                            <w:r>
                              <w:rPr>
                                <w:rFonts w:hint="eastAsia"/>
                                <w:b/>
                                <w:kern w:val="2"/>
                                <w:sz w:val="36"/>
                                <w:szCs w:val="36"/>
                                <w:lang w:eastAsia="zh-CN"/>
                              </w:rPr>
                              <w:t>商</w:t>
                            </w:r>
                            <w:r>
                              <w:rPr>
                                <w:rFonts w:hint="eastAsia"/>
                                <w:b/>
                                <w:kern w:val="2"/>
                                <w:sz w:val="36"/>
                                <w:szCs w:val="36"/>
                                <w:lang w:val="en-US" w:eastAsia="zh-CN"/>
                              </w:rPr>
                              <w:t xml:space="preserve">  </w:t>
                            </w:r>
                            <w:r>
                              <w:rPr>
                                <w:rFonts w:hint="eastAsia"/>
                                <w:b/>
                                <w:kern w:val="2"/>
                                <w:sz w:val="36"/>
                                <w:szCs w:val="36"/>
                                <w:lang w:eastAsia="zh-CN"/>
                              </w:rPr>
                              <w:t>网</w:t>
                            </w:r>
                            <w:r>
                              <w:rPr>
                                <w:rFonts w:hint="eastAsia"/>
                                <w:b/>
                                <w:kern w:val="2"/>
                                <w:sz w:val="36"/>
                                <w:szCs w:val="36"/>
                                <w:lang w:val="en-US" w:eastAsia="zh-CN"/>
                              </w:rPr>
                              <w:t xml:space="preserve">  </w:t>
                            </w:r>
                            <w:r>
                              <w:rPr>
                                <w:rFonts w:hint="eastAsia"/>
                                <w:b/>
                                <w:kern w:val="2"/>
                                <w:sz w:val="36"/>
                                <w:szCs w:val="36"/>
                              </w:rPr>
                              <w:t>油  品  周  报</w:t>
                            </w:r>
                          </w:p>
                          <w:p>
                            <w:pPr>
                              <w:rPr>
                                <w:sz w:val="36"/>
                                <w:szCs w:val="36"/>
                              </w:rPr>
                            </w:pPr>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9cWvdcA&#10;AAAKAQAADwAAAAAAAAABACAAAAAiAAAAZHJzL2Rvd25yZXYueG1sUEsBAhQAFAAAAAgAh07iQAdb&#10;1N6uAQAATwMAAA4AAAAAAAAAAQAgAAAAJgEAAGRycy9lMm9Eb2MueG1sUEsFBgAAAAAGAAYAWQEA&#10;AEYFA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w:t>
                      </w:r>
                      <w:r>
                        <w:rPr>
                          <w:rFonts w:hint="eastAsia"/>
                          <w:b/>
                          <w:kern w:val="2"/>
                          <w:sz w:val="36"/>
                          <w:szCs w:val="36"/>
                          <w:lang w:val="en-US" w:eastAsia="zh-CN"/>
                        </w:rPr>
                        <w:t xml:space="preserve">  </w:t>
                      </w:r>
                      <w:r>
                        <w:rPr>
                          <w:rFonts w:hint="eastAsia"/>
                          <w:b/>
                          <w:kern w:val="2"/>
                          <w:sz w:val="36"/>
                          <w:szCs w:val="36"/>
                          <w:lang w:eastAsia="zh-CN"/>
                        </w:rPr>
                        <w:t>商</w:t>
                      </w:r>
                      <w:r>
                        <w:rPr>
                          <w:rFonts w:hint="eastAsia"/>
                          <w:b/>
                          <w:kern w:val="2"/>
                          <w:sz w:val="36"/>
                          <w:szCs w:val="36"/>
                          <w:lang w:val="en-US" w:eastAsia="zh-CN"/>
                        </w:rPr>
                        <w:t xml:space="preserve">  </w:t>
                      </w:r>
                      <w:r>
                        <w:rPr>
                          <w:rFonts w:hint="eastAsia"/>
                          <w:b/>
                          <w:kern w:val="2"/>
                          <w:sz w:val="36"/>
                          <w:szCs w:val="36"/>
                          <w:lang w:eastAsia="zh-CN"/>
                        </w:rPr>
                        <w:t>网</w:t>
                      </w:r>
                      <w:r>
                        <w:rPr>
                          <w:rFonts w:hint="eastAsia"/>
                          <w:b/>
                          <w:kern w:val="2"/>
                          <w:sz w:val="36"/>
                          <w:szCs w:val="36"/>
                          <w:lang w:val="en-US" w:eastAsia="zh-CN"/>
                        </w:rPr>
                        <w:t xml:space="preserve">  </w:t>
                      </w:r>
                      <w:r>
                        <w:rPr>
                          <w:rFonts w:hint="eastAsia"/>
                          <w:b/>
                          <w:kern w:val="2"/>
                          <w:sz w:val="36"/>
                          <w:szCs w:val="36"/>
                        </w:rPr>
                        <w:t>油  品  周  报</w:t>
                      </w:r>
                    </w:p>
                    <w:p>
                      <w:pPr>
                        <w:rPr>
                          <w:sz w:val="36"/>
                          <w:szCs w:val="36"/>
                        </w:rPr>
                      </w:pPr>
                    </w:p>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21</w:t>
      </w:r>
      <w:r>
        <w:rPr>
          <w:rFonts w:hint="eastAsia" w:ascii="宋体" w:hAnsi="宋体"/>
          <w:b/>
          <w:color w:val="auto"/>
          <w:sz w:val="36"/>
          <w:szCs w:val="36"/>
        </w:rPr>
        <w:t>.</w:t>
      </w:r>
      <w:r>
        <w:rPr>
          <w:rFonts w:hint="eastAsia" w:ascii="宋体" w:hAnsi="宋体"/>
          <w:b/>
          <w:color w:val="auto"/>
          <w:sz w:val="36"/>
          <w:szCs w:val="36"/>
          <w:lang w:val="en-US" w:eastAsia="zh-CN"/>
        </w:rPr>
        <w:t>9.30</w:t>
      </w: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目 录</w:t>
      </w:r>
    </w:p>
    <w:p>
      <w:pPr>
        <w:pStyle w:val="16"/>
        <w:tabs>
          <w:tab w:val="right" w:leader="dot" w:pos="9638"/>
          <w:tab w:val="clear" w:pos="9170"/>
        </w:tabs>
        <w:jc w:val="left"/>
        <w:rPr>
          <w:color w:val="auto"/>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TOC \o "1-3" \h \z </w:instrText>
      </w:r>
      <w:r>
        <w:rPr>
          <w:rFonts w:hint="eastAsia" w:ascii="宋体" w:hAnsi="宋体" w:eastAsia="宋体" w:cs="宋体"/>
          <w:color w:val="auto"/>
          <w:sz w:val="24"/>
          <w:szCs w:val="21"/>
        </w:rPr>
        <w:fldChar w:fldCharType="separate"/>
      </w: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_Toc32272 </w:instrText>
      </w:r>
      <w:r>
        <w:rPr>
          <w:rFonts w:hint="eastAsia" w:ascii="宋体" w:hAnsi="宋体" w:eastAsia="宋体" w:cs="宋体"/>
          <w:color w:val="auto"/>
          <w:sz w:val="36"/>
          <w:szCs w:val="36"/>
        </w:rPr>
        <w:fldChar w:fldCharType="separate"/>
      </w:r>
      <w:r>
        <w:rPr>
          <w:rFonts w:hint="eastAsia" w:ascii="宋体" w:hAnsi="宋体" w:eastAsia="宋体" w:cs="宋体"/>
          <w:bCs/>
          <w:color w:val="auto"/>
          <w:kern w:val="0"/>
          <w:sz w:val="36"/>
          <w:szCs w:val="36"/>
        </w:rPr>
        <w:t xml:space="preserve">一、 </w:t>
      </w:r>
      <w:r>
        <w:rPr>
          <w:rFonts w:hint="eastAsia" w:ascii="宋体" w:hAnsi="宋体" w:eastAsia="宋体" w:cs="宋体"/>
          <w:color w:val="auto"/>
          <w:sz w:val="36"/>
          <w:szCs w:val="36"/>
        </w:rPr>
        <w:t>国际原油市场回顾 </w:t>
      </w:r>
      <w:r>
        <w:rPr>
          <w:rFonts w:hint="eastAsia" w:ascii="宋体" w:hAnsi="宋体" w:eastAsia="宋体" w:cs="宋体"/>
          <w:color w:val="auto"/>
          <w:sz w:val="36"/>
          <w:szCs w:val="36"/>
        </w:rPr>
        <w:tab/>
      </w: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PAGEREF _Toc32272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t>3</w:t>
      </w:r>
      <w:r>
        <w:rPr>
          <w:rFonts w:hint="eastAsia" w:ascii="宋体" w:hAnsi="宋体" w:eastAsia="宋体" w:cs="宋体"/>
          <w:color w:val="auto"/>
          <w:sz w:val="36"/>
          <w:szCs w:val="36"/>
        </w:rPr>
        <w:fldChar w:fldCharType="end"/>
      </w:r>
      <w:r>
        <w:rPr>
          <w:rFonts w:hint="eastAsia" w:ascii="宋体" w:hAnsi="宋体" w:eastAsia="宋体" w:cs="宋体"/>
          <w:color w:val="auto"/>
          <w:sz w:val="36"/>
          <w:szCs w:val="36"/>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_Toc6297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1、国际原油收盘价涨跌情况（单位：美元/桶）</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_Toc6297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color w:val="auto"/>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_Toc5501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2.2021年国际原油价格走势图</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_Toc5501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0"/>
          <w:szCs w:val="30"/>
        </w:rPr>
      </w:pP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 HYPERLINK \l _Toc16647 </w:instrText>
      </w:r>
      <w:r>
        <w:rPr>
          <w:rFonts w:hint="eastAsia" w:ascii="宋体" w:hAnsi="宋体" w:eastAsia="宋体" w:cs="宋体"/>
          <w:b/>
          <w:bCs/>
          <w:color w:val="auto"/>
          <w:sz w:val="30"/>
          <w:szCs w:val="30"/>
        </w:rPr>
        <w:fldChar w:fldCharType="separate"/>
      </w:r>
      <w:r>
        <w:rPr>
          <w:rFonts w:hint="eastAsia" w:ascii="宋体" w:hAnsi="宋体" w:eastAsia="宋体" w:cs="宋体"/>
          <w:b/>
          <w:bCs/>
          <w:color w:val="auto"/>
          <w:sz w:val="30"/>
          <w:szCs w:val="30"/>
          <w:highlight w:val="none"/>
          <w:lang w:val="en-US" w:eastAsia="zh-CN"/>
        </w:rPr>
        <w:t>2.1近期影响国际原油市场的主要因素</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 PAGEREF _Toc16647 </w:instrText>
      </w:r>
      <w:r>
        <w:rPr>
          <w:rFonts w:hint="eastAsia" w:ascii="宋体" w:hAnsi="宋体" w:eastAsia="宋体" w:cs="宋体"/>
          <w:b/>
          <w:bCs/>
          <w:color w:val="auto"/>
          <w:sz w:val="30"/>
          <w:szCs w:val="30"/>
        </w:rPr>
        <w:fldChar w:fldCharType="separate"/>
      </w:r>
      <w:r>
        <w:rPr>
          <w:rFonts w:hint="eastAsia" w:ascii="宋体" w:hAnsi="宋体" w:eastAsia="宋体" w:cs="宋体"/>
          <w:b/>
          <w:bCs/>
          <w:color w:val="auto"/>
          <w:sz w:val="30"/>
          <w:szCs w:val="30"/>
        </w:rPr>
        <w:t>4</w:t>
      </w:r>
      <w:r>
        <w:rPr>
          <w:rFonts w:hint="eastAsia" w:ascii="宋体" w:hAnsi="宋体" w:eastAsia="宋体" w:cs="宋体"/>
          <w:b/>
          <w:bCs/>
          <w:color w:val="auto"/>
          <w:sz w:val="30"/>
          <w:szCs w:val="30"/>
        </w:rPr>
        <w:fldChar w:fldCharType="end"/>
      </w:r>
      <w:r>
        <w:rPr>
          <w:rFonts w:hint="eastAsia" w:ascii="宋体" w:hAnsi="宋体" w:eastAsia="宋体" w:cs="宋体"/>
          <w:b/>
          <w:bCs/>
          <w:color w:val="auto"/>
          <w:sz w:val="30"/>
          <w:szCs w:val="30"/>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1.美国原油库存情况</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_Toc184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_Toc16360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2.美国经济形势</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_Toc16360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_Toc30724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3.世界经济形势</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_Toc30724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color w:val="auto"/>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_Toc23898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4后市预测</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_Toc23898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_Toc30787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2.2国际市场MTBE价格</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_Toc30787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aps/>
          <w:smallCaps w:val="0"/>
          <w:color w:val="auto"/>
          <w:kern w:val="2"/>
          <w:sz w:val="36"/>
          <w:szCs w:val="36"/>
          <w:lang w:val="en-US" w:eastAsia="zh-CN" w:bidi="ar-SA"/>
        </w:rPr>
      </w:pP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HYPERLINK \l _Toc11000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三、本周国内市场</w:t>
      </w:r>
      <w:r>
        <w:rPr>
          <w:rFonts w:hint="eastAsia" w:ascii="宋体" w:hAnsi="宋体" w:eastAsia="宋体" w:cs="宋体"/>
          <w:b/>
          <w:bCs/>
          <w:caps/>
          <w:smallCaps w:val="0"/>
          <w:color w:val="auto"/>
          <w:kern w:val="2"/>
          <w:sz w:val="36"/>
          <w:szCs w:val="36"/>
          <w:lang w:val="en-US" w:eastAsia="zh-CN" w:bidi="ar-SA"/>
        </w:rPr>
        <w:tab/>
      </w: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PAGEREF _Toc11000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16</w:t>
      </w:r>
      <w:r>
        <w:rPr>
          <w:rFonts w:hint="eastAsia" w:ascii="宋体" w:hAnsi="宋体" w:eastAsia="宋体" w:cs="宋体"/>
          <w:b/>
          <w:bCs/>
          <w:caps/>
          <w:smallCaps w:val="0"/>
          <w:color w:val="auto"/>
          <w:kern w:val="2"/>
          <w:sz w:val="36"/>
          <w:szCs w:val="36"/>
          <w:lang w:val="en-US" w:eastAsia="zh-CN" w:bidi="ar-SA"/>
        </w:rPr>
        <w:fldChar w:fldCharType="end"/>
      </w:r>
      <w:r>
        <w:rPr>
          <w:rFonts w:hint="eastAsia" w:ascii="宋体" w:hAnsi="宋体" w:eastAsia="宋体" w:cs="宋体"/>
          <w:b/>
          <w:bCs/>
          <w:caps/>
          <w:smallCaps w:val="0"/>
          <w:color w:val="auto"/>
          <w:kern w:val="2"/>
          <w:sz w:val="36"/>
          <w:szCs w:val="36"/>
          <w:lang w:val="en-US" w:eastAsia="zh-CN" w:bidi="ar-SA"/>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_Toc7167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3.1 国内炼厂装置运行情况</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_Toc7167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_Toc13096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3.2本周成品油市场行情</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_Toc13096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18</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_Toc24031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3.3 国内汽油价格周报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_Toc24031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21</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_Toc16466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3.4国内柴油价格周报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_Toc16466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25</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_Toc6052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3.5 山东地炼汽油出厂价格周报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_Toc6052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27</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color w:val="auto"/>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_Toc25179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3.6 山东地炼柴油出厂价格周报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_Toc25179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29</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jc w:val="left"/>
        <w:rPr>
          <w:rFonts w:hint="eastAsia" w:ascii="宋体" w:hAnsi="宋体" w:eastAsia="宋体" w:cs="宋体"/>
          <w:b/>
          <w:bCs/>
          <w:caps/>
          <w:smallCaps w:val="0"/>
          <w:color w:val="auto"/>
          <w:kern w:val="2"/>
          <w:sz w:val="36"/>
          <w:szCs w:val="36"/>
          <w:lang w:val="en-US" w:eastAsia="zh-CN" w:bidi="ar-SA"/>
        </w:rPr>
      </w:pP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HYPERLINK \l _Toc27167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四、2021年</w:t>
      </w:r>
      <w:r>
        <w:rPr>
          <w:rFonts w:hint="eastAsia" w:ascii="宋体" w:hAnsi="宋体" w:cs="宋体"/>
          <w:b/>
          <w:bCs/>
          <w:caps/>
          <w:smallCaps w:val="0"/>
          <w:color w:val="auto"/>
          <w:kern w:val="2"/>
          <w:sz w:val="36"/>
          <w:szCs w:val="36"/>
          <w:lang w:val="en-US" w:eastAsia="zh-CN" w:bidi="ar-SA"/>
        </w:rPr>
        <w:t>8</w:t>
      </w:r>
      <w:r>
        <w:rPr>
          <w:rFonts w:hint="eastAsia" w:ascii="宋体" w:hAnsi="宋体" w:eastAsia="宋体" w:cs="宋体"/>
          <w:b/>
          <w:bCs/>
          <w:caps/>
          <w:smallCaps w:val="0"/>
          <w:color w:val="auto"/>
          <w:kern w:val="2"/>
          <w:sz w:val="36"/>
          <w:szCs w:val="36"/>
          <w:lang w:val="en-US" w:eastAsia="zh-CN" w:bidi="ar-SA"/>
        </w:rPr>
        <w:t>月份进出口统计数据</w:t>
      </w:r>
      <w:r>
        <w:rPr>
          <w:rFonts w:hint="eastAsia" w:ascii="宋体" w:hAnsi="宋体" w:eastAsia="宋体" w:cs="宋体"/>
          <w:b/>
          <w:bCs/>
          <w:caps/>
          <w:smallCaps w:val="0"/>
          <w:color w:val="auto"/>
          <w:kern w:val="2"/>
          <w:sz w:val="36"/>
          <w:szCs w:val="36"/>
          <w:lang w:val="en-US" w:eastAsia="zh-CN" w:bidi="ar-SA"/>
        </w:rPr>
        <w:tab/>
      </w: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PAGEREF _Toc27167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31</w:t>
      </w:r>
      <w:r>
        <w:rPr>
          <w:rFonts w:hint="eastAsia" w:ascii="宋体" w:hAnsi="宋体" w:eastAsia="宋体" w:cs="宋体"/>
          <w:b/>
          <w:bCs/>
          <w:caps/>
          <w:smallCaps w:val="0"/>
          <w:color w:val="auto"/>
          <w:kern w:val="2"/>
          <w:sz w:val="36"/>
          <w:szCs w:val="36"/>
          <w:lang w:val="en-US" w:eastAsia="zh-CN" w:bidi="ar-SA"/>
        </w:rPr>
        <w:fldChar w:fldCharType="end"/>
      </w:r>
      <w:r>
        <w:rPr>
          <w:rFonts w:hint="eastAsia" w:ascii="宋体" w:hAnsi="宋体" w:eastAsia="宋体" w:cs="宋体"/>
          <w:b/>
          <w:bCs/>
          <w:caps/>
          <w:smallCaps w:val="0"/>
          <w:color w:val="auto"/>
          <w:kern w:val="2"/>
          <w:sz w:val="36"/>
          <w:szCs w:val="36"/>
          <w:lang w:val="en-US" w:eastAsia="zh-CN" w:bidi="ar-SA"/>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_Toc19791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4.1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份全国车用汽油进出口统计数据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_Toc19791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31</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_Toc23995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4.2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月份全国柴油出口统计数据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_Toc23995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34</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_Toc16942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4.3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月份全国原油进出口统计数据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_Toc16942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35</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color w:val="auto"/>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_Toc18589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4.4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月份航空煤油进出口统计数据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_Toc18589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rPr>
          <w:color w:val="auto"/>
        </w:rPr>
      </w:pPr>
      <w:r>
        <w:rPr>
          <w:rFonts w:hint="eastAsia" w:ascii="宋体" w:hAnsi="宋体" w:eastAsia="宋体" w:cs="宋体"/>
          <w:color w:val="auto"/>
          <w:szCs w:val="21"/>
        </w:rPr>
        <w:fldChar w:fldCharType="end"/>
      </w: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32272"/>
      <w:r>
        <w:rPr>
          <w:rFonts w:hint="eastAsia" w:ascii="宋体" w:hAnsi="宋体" w:eastAsia="宋体" w:cs="宋体"/>
          <w:b/>
          <w:bCs/>
          <w:color w:val="auto"/>
          <w:kern w:val="2"/>
          <w:sz w:val="36"/>
          <w:szCs w:val="36"/>
          <w:highlight w:val="none"/>
          <w:lang w:val="en-US" w:eastAsia="zh-CN" w:bidi="ar-SA"/>
        </w:rPr>
        <w:t>国际原油市场回顾 </w:t>
      </w:r>
      <w:bookmarkEnd w:id="0"/>
    </w:p>
    <w:p>
      <w:pPr>
        <w:pStyle w:val="3"/>
        <w:numPr>
          <w:ilvl w:val="0"/>
          <w:numId w:val="2"/>
        </w:numPr>
        <w:spacing w:before="120" w:after="120" w:line="240" w:lineRule="auto"/>
        <w:rPr>
          <w:rFonts w:hint="eastAsia" w:ascii="宋体" w:hAnsi="宋体" w:eastAsia="宋体" w:cs="宋体"/>
          <w:b/>
          <w:color w:val="auto"/>
          <w:sz w:val="32"/>
          <w:szCs w:val="32"/>
          <w:highlight w:val="none"/>
          <w:lang w:val="en-US" w:eastAsia="zh-CN"/>
        </w:rPr>
      </w:pPr>
      <w:bookmarkStart w:id="1" w:name="_Toc6297"/>
      <w:bookmarkStart w:id="2" w:name="_Toc67556952"/>
      <w:r>
        <w:rPr>
          <w:rFonts w:hint="eastAsia" w:ascii="宋体" w:hAnsi="宋体" w:eastAsia="宋体" w:cs="宋体"/>
          <w:b/>
          <w:color w:val="auto"/>
          <w:sz w:val="32"/>
          <w:szCs w:val="32"/>
          <w:highlight w:val="none"/>
          <w:lang w:val="en-US" w:eastAsia="zh-CN"/>
        </w:rPr>
        <w:t>国际原油收盘价涨跌情况（单位：美元/桶）</w:t>
      </w:r>
      <w:bookmarkEnd w:id="1"/>
      <w:bookmarkEnd w:id="2"/>
    </w:p>
    <w:tbl>
      <w:tblPr>
        <w:tblStyle w:val="24"/>
        <w:tblW w:w="4416" w:type="pct"/>
        <w:jc w:val="center"/>
        <w:tblLayout w:type="autofit"/>
        <w:tblCellMar>
          <w:top w:w="15" w:type="dxa"/>
          <w:left w:w="15" w:type="dxa"/>
          <w:bottom w:w="15" w:type="dxa"/>
          <w:right w:w="15" w:type="dxa"/>
        </w:tblCellMar>
      </w:tblPr>
      <w:tblGrid>
        <w:gridCol w:w="1440"/>
        <w:gridCol w:w="791"/>
        <w:gridCol w:w="791"/>
        <w:gridCol w:w="5517"/>
      </w:tblGrid>
      <w:tr>
        <w:tblPrEx>
          <w:tblCellMar>
            <w:top w:w="15" w:type="dxa"/>
            <w:left w:w="15" w:type="dxa"/>
            <w:bottom w:w="15" w:type="dxa"/>
            <w:right w:w="15" w:type="dxa"/>
          </w:tblCellMar>
        </w:tblPrEx>
        <w:trPr>
          <w:trHeight w:val="283" w:hRule="atLeast"/>
          <w:tblHeader/>
          <w:jc w:val="center"/>
        </w:trPr>
        <w:tc>
          <w:tcPr>
            <w:tcW w:w="843"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日期</w:t>
            </w:r>
          </w:p>
        </w:tc>
        <w:tc>
          <w:tcPr>
            <w:tcW w:w="463"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63"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230"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410" w:hRule="atLeast"/>
          <w:jc w:val="center"/>
        </w:trPr>
        <w:tc>
          <w:tcPr>
            <w:tcW w:w="84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2021/9/23</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73.3</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77.25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美国海湾地区油气生产恢复缓慢，美国原油库存连续第七周下降，国际油价连续第三天上涨，布伦特原油期货涨至近三年来最高</w:t>
            </w:r>
            <w:r>
              <w:rPr>
                <w:rFonts w:hint="eastAsia"/>
                <w:sz w:val="18"/>
                <w:szCs w:val="18"/>
              </w:rPr>
              <w:t>。</w:t>
            </w:r>
          </w:p>
        </w:tc>
      </w:tr>
      <w:tr>
        <w:tblPrEx>
          <w:tblCellMar>
            <w:top w:w="15" w:type="dxa"/>
            <w:left w:w="15" w:type="dxa"/>
            <w:bottom w:w="15" w:type="dxa"/>
            <w:right w:w="15" w:type="dxa"/>
          </w:tblCellMar>
        </w:tblPrEx>
        <w:trPr>
          <w:trHeight w:val="283" w:hRule="atLeast"/>
          <w:jc w:val="center"/>
        </w:trPr>
        <w:tc>
          <w:tcPr>
            <w:tcW w:w="84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2021/9/24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73.98</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78.09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美国海湾地区炼油厂恢复快于石油生产，供应紧缺推动国际油价连续第四天上涨，布伦特原油近月期货结算价近三年来首次突破每桶78美元</w:t>
            </w:r>
            <w:r>
              <w:rPr>
                <w:rFonts w:hint="eastAsia"/>
                <w:sz w:val="18"/>
                <w:szCs w:val="18"/>
              </w:rPr>
              <w:t>。</w:t>
            </w:r>
          </w:p>
        </w:tc>
      </w:tr>
      <w:tr>
        <w:tblPrEx>
          <w:tblCellMar>
            <w:top w:w="15" w:type="dxa"/>
            <w:left w:w="15" w:type="dxa"/>
            <w:bottom w:w="15" w:type="dxa"/>
            <w:right w:w="15" w:type="dxa"/>
          </w:tblCellMar>
        </w:tblPrEx>
        <w:trPr>
          <w:trHeight w:val="283" w:hRule="atLeast"/>
          <w:jc w:val="center"/>
        </w:trPr>
        <w:tc>
          <w:tcPr>
            <w:tcW w:w="84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2021/9/27</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75.45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79.53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飓风艾达导致美国海湾地区油气生产恢复缓慢，全球石油需求恢复到疫情大流行前水平，担心供应紧缺，投资银行高盛预测年底前布伦特原油将涨至每桶90美元，国际油价连续第五天上涨，WTI和布伦特原油期货双双涨至近三年来最高。此外，担心冬季亚洲和欧洲天然气供应不足可能会消耗更多的石油产品取代，也支撑了石油市场气氛。</w:t>
            </w:r>
          </w:p>
        </w:tc>
      </w:tr>
      <w:tr>
        <w:tblPrEx>
          <w:tblCellMar>
            <w:top w:w="15" w:type="dxa"/>
            <w:left w:w="15" w:type="dxa"/>
            <w:bottom w:w="15" w:type="dxa"/>
            <w:right w:w="15" w:type="dxa"/>
          </w:tblCellMar>
        </w:tblPrEx>
        <w:trPr>
          <w:trHeight w:val="283" w:hRule="atLeast"/>
          <w:jc w:val="center"/>
        </w:trPr>
        <w:tc>
          <w:tcPr>
            <w:tcW w:w="84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2021/9/28</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75.29</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79.09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sz w:val="18"/>
                <w:szCs w:val="18"/>
              </w:rPr>
            </w:pPr>
            <w:r>
              <w:rPr>
                <w:sz w:val="18"/>
                <w:szCs w:val="18"/>
              </w:rPr>
              <w:t>尽管分析师估测上周美国原油库存继续下降，但是美国消费者信心指数下降，美国股市下跌，加剧了市场对近期能源需求担忧，国际油价六个交易日以来首次下跌，布伦特原油期货盘中一度突破每桶80美元。欧美原油期货收盘后，美国石油学会数据显示，上周美国原油和成品油库存全面增加，国际油价在盘后的电子交易中继续下跌。</w:t>
            </w:r>
          </w:p>
        </w:tc>
      </w:tr>
      <w:tr>
        <w:tblPrEx>
          <w:tblCellMar>
            <w:top w:w="15" w:type="dxa"/>
            <w:left w:w="15" w:type="dxa"/>
            <w:bottom w:w="15" w:type="dxa"/>
            <w:right w:w="15" w:type="dxa"/>
          </w:tblCellMar>
        </w:tblPrEx>
        <w:trPr>
          <w:trHeight w:val="283" w:hRule="atLeast"/>
          <w:jc w:val="center"/>
        </w:trPr>
        <w:tc>
          <w:tcPr>
            <w:tcW w:w="84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2021/9/29</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74.83</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center"/>
              <w:rPr>
                <w:rFonts w:ascii="宋体" w:hAnsi="宋体" w:cs="宋体"/>
                <w:color w:val="000000"/>
                <w:sz w:val="18"/>
                <w:szCs w:val="18"/>
              </w:rPr>
            </w:pPr>
            <w:r>
              <w:rPr>
                <w:rFonts w:hint="eastAsia" w:ascii="宋体" w:hAnsi="宋体"/>
                <w:color w:val="000000"/>
                <w:sz w:val="18"/>
                <w:szCs w:val="18"/>
              </w:rPr>
              <w:t>78.64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sz w:val="18"/>
                <w:szCs w:val="18"/>
              </w:rPr>
            </w:pPr>
            <w:r>
              <w:rPr>
                <w:sz w:val="18"/>
                <w:szCs w:val="18"/>
              </w:rPr>
              <w:t>美国原油库存8周以来首次增加，加之美元指数上涨至一年来最高，国际油价盘中波动后连续第二个交易日下跌</w:t>
            </w:r>
            <w:r>
              <w:rPr>
                <w:rFonts w:hint="eastAsia"/>
                <w:sz w:val="18"/>
                <w:szCs w:val="18"/>
              </w:rPr>
              <w:t>。</w:t>
            </w:r>
          </w:p>
        </w:tc>
      </w:tr>
    </w:tbl>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3" w:name="_Toc5501"/>
      <w:bookmarkStart w:id="4" w:name="_Toc67556953"/>
      <w:r>
        <w:rPr>
          <w:rFonts w:hint="eastAsia" w:ascii="宋体" w:hAnsi="宋体" w:eastAsia="宋体" w:cs="宋体"/>
          <w:b/>
          <w:color w:val="auto"/>
          <w:sz w:val="32"/>
          <w:szCs w:val="32"/>
          <w:highlight w:val="none"/>
          <w:lang w:val="en-US" w:eastAsia="zh-CN"/>
        </w:rPr>
        <w:t>2.2021年国际原油价格走势图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宋体" w:hAnsi="宋体" w:cs="Arial"/>
          <w:b/>
          <w:kern w:val="0"/>
          <w:sz w:val="30"/>
          <w:szCs w:val="30"/>
        </w:rPr>
        <w:drawing>
          <wp:inline distT="0" distB="0" distL="114300" distR="114300">
            <wp:extent cx="4333240" cy="3904615"/>
            <wp:effectExtent l="0" t="0" r="10160"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333240" cy="390461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5" w:name="_Toc67556954"/>
      <w:bookmarkStart w:id="6" w:name="_Toc16647"/>
      <w:r>
        <w:rPr>
          <w:rFonts w:hint="eastAsia" w:ascii="宋体" w:hAnsi="宋体" w:eastAsia="宋体" w:cs="宋体"/>
          <w:b/>
          <w:color w:val="auto"/>
          <w:sz w:val="32"/>
          <w:szCs w:val="32"/>
          <w:highlight w:val="none"/>
          <w:lang w:val="en-US" w:eastAsia="zh-CN"/>
        </w:rPr>
        <w:t>2.1近期影响国际原油市场的主要因素</w:t>
      </w:r>
      <w:bookmarkEnd w:id="5"/>
      <w:bookmarkEnd w:id="6"/>
    </w:p>
    <w:p>
      <w:pPr>
        <w:pStyle w:val="3"/>
        <w:spacing w:before="120" w:after="120" w:line="240" w:lineRule="auto"/>
        <w:rPr>
          <w:rFonts w:hint="eastAsia" w:ascii="宋体" w:hAnsi="宋体" w:eastAsia="宋体" w:cs="宋体"/>
          <w:b/>
          <w:color w:val="auto"/>
          <w:sz w:val="30"/>
          <w:szCs w:val="30"/>
          <w:highlight w:val="none"/>
          <w:lang w:val="en-US" w:eastAsia="zh-CN"/>
        </w:rPr>
      </w:pPr>
      <w:bookmarkStart w:id="7" w:name="_Toc184"/>
      <w:bookmarkStart w:id="8" w:name="_Toc67556955"/>
      <w:r>
        <w:rPr>
          <w:rFonts w:hint="eastAsia" w:ascii="宋体" w:hAnsi="宋体" w:eastAsia="宋体" w:cs="宋体"/>
          <w:b/>
          <w:color w:val="auto"/>
          <w:sz w:val="30"/>
          <w:szCs w:val="30"/>
          <w:highlight w:val="none"/>
          <w:lang w:val="en-US" w:eastAsia="zh-CN"/>
        </w:rPr>
        <w:t>1.美国原油库存情况</w:t>
      </w:r>
      <w:bookmarkEnd w:id="7"/>
      <w:bookmarkEnd w:id="8"/>
      <w:r>
        <w:rPr>
          <w:rFonts w:hint="eastAsia" w:ascii="宋体" w:hAnsi="宋体" w:eastAsia="宋体" w:cs="宋体"/>
          <w:b/>
          <w:color w:val="auto"/>
          <w:sz w:val="30"/>
          <w:szCs w:val="30"/>
          <w:highlight w:val="none"/>
          <w:lang w:val="en-US" w:eastAsia="zh-CN"/>
        </w:rPr>
        <w:t xml:space="preserve"> </w:t>
      </w:r>
    </w:p>
    <w:p>
      <w:pPr>
        <w:pStyle w:val="23"/>
        <w:ind w:firstLine="360" w:firstLineChars="200"/>
        <w:rPr>
          <w:sz w:val="18"/>
          <w:szCs w:val="18"/>
        </w:rPr>
      </w:pPr>
      <w:bookmarkStart w:id="9" w:name="_Toc69977252"/>
      <w:bookmarkStart w:id="10" w:name="_Toc23898"/>
      <w:r>
        <w:rPr>
          <w:rFonts w:hint="eastAsia"/>
          <w:sz w:val="18"/>
          <w:szCs w:val="18"/>
        </w:rPr>
        <w:t>本周</w:t>
      </w:r>
      <w:r>
        <w:rPr>
          <w:sz w:val="18"/>
          <w:szCs w:val="18"/>
        </w:rPr>
        <w:t>美国EIA公布的数据显示，截至9月17日当周美国原油库存录得连续第七周下降，美国精炼油库存降幅大于预期，汽油库存意外增加。具体数据显示，美国截至9月17日当周EIA原油库存变动实际公布减少348.10万桶，预期减少245万桶，前值减少642.2万桶。此外，美国截至9月17日当周EIA汽油库存实际公布增加347.40万桶，预期减少147.2万桶，前值减少185.7万桶;美国截至9月17日当周EIA精炼油库存实际公布减少255.40万桶，预期减少110万桶，前值减少168.9万桶。EIA报告显示，美国至9月17日当周墨西哥湾沿岸原油库存跌至2020年1月以来的最低水平。美国至9月17日当周中西部原油库存跌至2018年9月以来的最低水平。美国至9月17日当周原油库存降至2018年10月以来的最低水平。美国石油协会(API)最新公布数据显示，美国截至9月17日当周API原油库存减少610.8万桶，前值减少543.7万桶。库欣原油库存减少174.8万桶，前值减少134.5万桶。汽油库存减少43.2万桶，前值减少276.1万桶。馏分油库存减少272.0万桶，前值减少288.8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9"/>
    </w:p>
    <w:p>
      <w:pPr>
        <w:pStyle w:val="23"/>
        <w:ind w:firstLine="360" w:firstLineChars="200"/>
        <w:rPr>
          <w:sz w:val="18"/>
          <w:szCs w:val="18"/>
        </w:rPr>
      </w:pPr>
      <w:bookmarkStart w:id="11" w:name="_Toc76629721"/>
      <w:bookmarkStart w:id="12" w:name="_Toc69977253"/>
      <w:r>
        <w:rPr>
          <w:sz w:val="18"/>
          <w:szCs w:val="18"/>
        </w:rPr>
        <w:t>当地时间9月28日，在美国国会参议院听证会上，财政部长耶伦、美联储主席鲍威尔同时发出警告，如果国会不尽快采取行动，那么美国将面临首次违约的风险。面对潜在的债务违约风险，美国经济复苏或陷入低迷。这对于即将宣布缩减资产购买计划的美联储而言，将是一个新难题。</w:t>
      </w:r>
    </w:p>
    <w:p>
      <w:pPr>
        <w:pStyle w:val="23"/>
        <w:ind w:firstLine="360" w:firstLineChars="200"/>
        <w:rPr>
          <w:sz w:val="18"/>
          <w:szCs w:val="18"/>
        </w:rPr>
      </w:pPr>
      <w:r>
        <w:rPr>
          <w:sz w:val="18"/>
          <w:szCs w:val="18"/>
        </w:rPr>
        <w:t>不过，鲍威尔指出，美国经济的表现已经符合缩债的条件，但是缩债不等于即将加息。他表示，美国经济不能仅仅依靠货币政策，在任何经济低迷的时期，都需要财政政策来支持经济。</w:t>
      </w:r>
    </w:p>
    <w:p>
      <w:pPr>
        <w:pStyle w:val="23"/>
        <w:ind w:firstLine="360" w:firstLineChars="200"/>
        <w:rPr>
          <w:sz w:val="18"/>
          <w:szCs w:val="18"/>
        </w:rPr>
      </w:pPr>
      <w:r>
        <w:rPr>
          <w:sz w:val="18"/>
          <w:szCs w:val="18"/>
        </w:rPr>
        <w:t>他还警告称，目前长期联邦预算正走在一条不可持续的道路上，这可能削弱财政政策制定者在经济衰退中提供帮助的意愿和能力。</w:t>
      </w:r>
    </w:p>
    <w:p>
      <w:pPr>
        <w:pStyle w:val="23"/>
        <w:ind w:firstLine="360" w:firstLineChars="200"/>
        <w:rPr>
          <w:sz w:val="18"/>
          <w:szCs w:val="18"/>
        </w:rPr>
      </w:pPr>
      <w:r>
        <w:rPr>
          <w:sz w:val="18"/>
          <w:szCs w:val="18"/>
        </w:rPr>
        <w:t>在货币政策即将收紧、债务问题悬而未决的背景之下，9月美股行情跌宕起伏，呈“V”字型走势。分析指出，围绕财政和货币政策的争议将继续令美股承压，短期内或将发生回调。</w:t>
      </w:r>
    </w:p>
    <w:p>
      <w:pPr>
        <w:pStyle w:val="23"/>
        <w:ind w:firstLine="360" w:firstLineChars="200"/>
        <w:rPr>
          <w:sz w:val="18"/>
          <w:szCs w:val="18"/>
        </w:rPr>
      </w:pPr>
      <w:r>
        <w:rPr>
          <w:sz w:val="18"/>
          <w:szCs w:val="18"/>
        </w:rPr>
        <w:t>除了债务违约风险之外，美国经济还面临通胀的冲击。鲍威尔在国会听证会发出了关于通胀的警告。他表示，美国通胀压力或高于预期。美国经济增长“持续走强”，但面临供应链瓶颈和其他因素将令美国经济继续面临通胀攀升的压力。</w:t>
      </w:r>
    </w:p>
    <w:p>
      <w:pPr>
        <w:pStyle w:val="23"/>
        <w:ind w:firstLine="360" w:firstLineChars="200"/>
        <w:rPr>
          <w:sz w:val="18"/>
          <w:szCs w:val="18"/>
        </w:rPr>
      </w:pPr>
      <w:r>
        <w:rPr>
          <w:sz w:val="18"/>
          <w:szCs w:val="18"/>
        </w:rPr>
        <w:t>鲍威尔称：“通胀正在上升，而且在未来几个月可能会继续走高，然后才会有所回落。”他补充道，随着经济继续重新开放和支出反弹，价格面临上行压力，特别是受供应瓶颈影响的一些行业。“这些影响比预期的更大、更持久，但它们终将会回落。而随着它们的回落，预计通胀将回落至美联储2%的长期目标。”</w:t>
      </w:r>
    </w:p>
    <w:p>
      <w:pPr>
        <w:pStyle w:val="23"/>
        <w:ind w:firstLine="360" w:firstLineChars="200"/>
        <w:rPr>
          <w:sz w:val="18"/>
          <w:szCs w:val="18"/>
        </w:rPr>
      </w:pPr>
      <w:r>
        <w:rPr>
          <w:sz w:val="18"/>
          <w:szCs w:val="18"/>
        </w:rPr>
        <w:t>鲍威尔强调，虽然美国离达到充分就业还有很长的路要走，但是美国经济几乎满足了缩减资产购买计划的条件。不过，即使缩减购债规模，在明年年中之前也会继续维持宽松政策，只要美联储还在购买债券，它就在增加流动性。这意味着美联储距离加息仍很遥远。</w:t>
      </w:r>
    </w:p>
    <w:p>
      <w:pPr>
        <w:pStyle w:val="23"/>
        <w:ind w:firstLine="360" w:firstLineChars="200"/>
        <w:rPr>
          <w:sz w:val="18"/>
          <w:szCs w:val="18"/>
        </w:rPr>
      </w:pPr>
      <w:r>
        <w:rPr>
          <w:sz w:val="18"/>
          <w:szCs w:val="18"/>
        </w:rPr>
        <w:t>他还强调， “只要经济复苏需要完成，美联储将竭尽所能支持经济。”</w:t>
      </w:r>
    </w:p>
    <w:p>
      <w:pPr>
        <w:pStyle w:val="23"/>
        <w:ind w:firstLine="360" w:firstLineChars="200"/>
        <w:rPr>
          <w:sz w:val="18"/>
          <w:szCs w:val="18"/>
        </w:rPr>
      </w:pPr>
      <w:r>
        <w:rPr>
          <w:sz w:val="18"/>
          <w:szCs w:val="18"/>
        </w:rPr>
        <w:t>除了鲍威尔之外，美联储至少有三位官员在9月27日表达了缩债的观点，因为他们没有看到通胀风险。</w:t>
      </w:r>
    </w:p>
    <w:p>
      <w:pPr>
        <w:pStyle w:val="23"/>
        <w:ind w:firstLine="360" w:firstLineChars="200"/>
        <w:rPr>
          <w:sz w:val="18"/>
          <w:szCs w:val="18"/>
        </w:rPr>
      </w:pPr>
      <w:r>
        <w:rPr>
          <w:sz w:val="18"/>
          <w:szCs w:val="18"/>
        </w:rPr>
        <w:t>美联储理事Lael Brainard、纽约联储主席John Williams和芝加哥联储主席Charles Evans在各自的活动中发表讲话时，都对第一阶段的缩债计划表示支持。美联储第一阶段计划是逐步减少每月的债券购买活动，该活动为市场和经济提供了支持。</w:t>
      </w:r>
    </w:p>
    <w:p>
      <w:pPr>
        <w:pStyle w:val="23"/>
        <w:ind w:firstLine="360" w:firstLineChars="200"/>
        <w:rPr>
          <w:sz w:val="18"/>
          <w:szCs w:val="18"/>
        </w:rPr>
      </w:pPr>
      <w:r>
        <w:rPr>
          <w:sz w:val="18"/>
          <w:szCs w:val="18"/>
        </w:rPr>
        <w:t>Williams，“我认为我们在实现通胀目标方面取得了实质性的进一步进展。在充分就业方面也取得了非常好的进展。假设经济像我预期的那样继续改善，资产购买步伐可能很快就会放缓。”</w:t>
      </w:r>
    </w:p>
    <w:p>
      <w:pPr>
        <w:pStyle w:val="23"/>
        <w:ind w:firstLine="360" w:firstLineChars="200"/>
        <w:rPr>
          <w:sz w:val="18"/>
          <w:szCs w:val="18"/>
        </w:rPr>
      </w:pPr>
      <w:r>
        <w:rPr>
          <w:sz w:val="18"/>
          <w:szCs w:val="18"/>
        </w:rPr>
        <w:t>但是，他们强调，这一被称为“缩减购债”的计划并没有显示出任何即将加息的信号。</w:t>
      </w:r>
    </w:p>
    <w:p>
      <w:pPr>
        <w:pStyle w:val="23"/>
        <w:ind w:firstLine="360" w:firstLineChars="200"/>
        <w:rPr>
          <w:sz w:val="18"/>
          <w:szCs w:val="18"/>
        </w:rPr>
      </w:pPr>
      <w:r>
        <w:rPr>
          <w:sz w:val="18"/>
          <w:szCs w:val="18"/>
        </w:rPr>
        <w:t>Brainard表示，“关于充分就业和平均通胀的前瞻性指导为加息设定了远高于放缓资产购买步伐的门槛。”“我要强调的是，任何宣布放缓资产购买的决定都不应暗示加息的启动时间。”</w:t>
      </w:r>
    </w:p>
    <w:p>
      <w:pPr>
        <w:pStyle w:val="23"/>
        <w:ind w:firstLine="360" w:firstLineChars="200"/>
        <w:rPr>
          <w:sz w:val="18"/>
          <w:szCs w:val="18"/>
        </w:rPr>
      </w:pPr>
      <w:r>
        <w:rPr>
          <w:sz w:val="18"/>
          <w:szCs w:val="18"/>
        </w:rPr>
        <w:t>这些立场与上周联邦公开市场委员会(FOMC)会议后发布的声明基本一致。与会官员们一致认为，缩减购债规模可能很快就会宣布。鲍威尔在会后的新闻发布会上表示，他希望到2022年年中结束每月至少1200亿美元的债券购买计划。</w:t>
      </w:r>
    </w:p>
    <w:p>
      <w:pPr>
        <w:pStyle w:val="23"/>
        <w:ind w:firstLine="360" w:firstLineChars="200"/>
        <w:rPr>
          <w:sz w:val="18"/>
          <w:szCs w:val="18"/>
        </w:rPr>
      </w:pPr>
      <w:r>
        <w:rPr>
          <w:sz w:val="18"/>
          <w:szCs w:val="18"/>
        </w:rPr>
        <w:t>邵宇指出，在整个经济增长达到条件之后，美联储可能在11月的议息会议后宣布缩债。“确实全球股票价格持续上行对通胀形成了持续的威胁。如果再推迟开展缩债或相应的收缩行为，届时可能会无法收场，会导致更为激烈的货币政策收缩，或将对市场造成更大的冲击。”</w:t>
      </w:r>
    </w:p>
    <w:p>
      <w:pPr>
        <w:pStyle w:val="23"/>
        <w:ind w:firstLine="360" w:firstLineChars="200"/>
        <w:rPr>
          <w:sz w:val="18"/>
          <w:szCs w:val="18"/>
        </w:rPr>
      </w:pPr>
      <w:r>
        <w:rPr>
          <w:sz w:val="18"/>
          <w:szCs w:val="18"/>
        </w:rPr>
        <w:t>在耶伦、鲍威尔相继发出警告的情况下，美股在9月28日集体收跌。纳斯达克综合指数下跌2.83%，收于14546.68点，为3月份以来的最大单日跌幅;标准普尔500指数下跌2.04%，收于4352.63点。道琼斯工业股票平均价格指数下跌569.38点，收于34299.99点，跌幅1.63%。</w:t>
      </w:r>
    </w:p>
    <w:p>
      <w:pPr>
        <w:pStyle w:val="23"/>
        <w:ind w:firstLine="360" w:firstLineChars="200"/>
        <w:rPr>
          <w:sz w:val="18"/>
          <w:szCs w:val="18"/>
        </w:rPr>
      </w:pPr>
      <w:r>
        <w:rPr>
          <w:sz w:val="18"/>
          <w:szCs w:val="18"/>
        </w:rPr>
        <w:t>交银国际董事总经理、研究部主管洪灝表示，美国三大股指集体下跌，标普跌逾2%，这是今年以来第四次。“虽然昨晚美国股债双杀，但相对于历史，还算平静。”</w:t>
      </w:r>
    </w:p>
    <w:p>
      <w:pPr>
        <w:pStyle w:val="23"/>
        <w:ind w:firstLine="360" w:firstLineChars="200"/>
        <w:rPr>
          <w:sz w:val="18"/>
          <w:szCs w:val="18"/>
        </w:rPr>
      </w:pPr>
      <w:r>
        <w:rPr>
          <w:sz w:val="18"/>
          <w:szCs w:val="18"/>
        </w:rPr>
        <w:t>陈雳表示，“市场很多机构之前就指出，美股存在虚高的风险。一旦货币政策转向以及债务问题持续发酵，随时有可能出现大的调整。”</w:t>
      </w:r>
    </w:p>
    <w:p>
      <w:pPr>
        <w:pStyle w:val="23"/>
        <w:ind w:firstLine="360" w:firstLineChars="200"/>
        <w:rPr>
          <w:sz w:val="18"/>
          <w:szCs w:val="18"/>
        </w:rPr>
      </w:pPr>
      <w:r>
        <w:rPr>
          <w:sz w:val="18"/>
          <w:szCs w:val="18"/>
        </w:rPr>
        <w:t>不少分析师认为，围绕财政和货币政策的不确定性将令美股承压。LPL Financial股票策略师Jeff Buchbinder表示，“国会的情况肯定不会利好股市，因为税收政策、债务上限等问题存在很多不确定性。”</w:t>
      </w:r>
    </w:p>
    <w:p>
      <w:pPr>
        <w:pStyle w:val="23"/>
        <w:ind w:firstLine="360" w:firstLineChars="200"/>
        <w:rPr>
          <w:sz w:val="18"/>
          <w:szCs w:val="18"/>
        </w:rPr>
      </w:pPr>
      <w:r>
        <w:rPr>
          <w:sz w:val="18"/>
          <w:szCs w:val="18"/>
        </w:rPr>
        <w:t>Federated Hermes首席市场策略师Phil Orlando警告称，美股或面临最多10%的回调。他担忧居高不下的通胀、新冠疫情的不确定性、财政政策、货币政策等因素将影响股市的表现。</w:t>
      </w:r>
    </w:p>
    <w:p>
      <w:pPr>
        <w:pStyle w:val="23"/>
        <w:ind w:firstLine="360" w:firstLineChars="200"/>
        <w:rPr>
          <w:sz w:val="18"/>
          <w:szCs w:val="18"/>
        </w:rPr>
      </w:pPr>
      <w:r>
        <w:rPr>
          <w:sz w:val="18"/>
          <w:szCs w:val="18"/>
        </w:rPr>
        <w:t>Orlando指出，美国政府的两党博弈与货币政策正在为美股埋单。“在货币政策方面，通胀比美联储和政府所预期的要高得多。我们认为，通胀的上升更具可持续性。这将导致美联储改变货币政策，缩减购债规模、加息的时间表比他们最初预计的时间要早得多。”</w:t>
      </w:r>
    </w:p>
    <w:p>
      <w:pPr>
        <w:pStyle w:val="23"/>
        <w:ind w:firstLine="360" w:firstLineChars="200"/>
        <w:rPr>
          <w:sz w:val="18"/>
          <w:szCs w:val="18"/>
        </w:rPr>
      </w:pPr>
      <w:r>
        <w:rPr>
          <w:sz w:val="18"/>
          <w:szCs w:val="18"/>
        </w:rPr>
        <w:t>他还指出，国会议员们对债务上限和数万亿美元基础设施计划的争论是市场的主要阻力。“这是非常关键的一周。上述所有讨论都在不断变化中，因此如果再出现任何不利的情况，都可能导致股市回调。”</w:t>
      </w:r>
    </w:p>
    <w:p>
      <w:pPr>
        <w:pStyle w:val="23"/>
        <w:ind w:firstLine="360" w:firstLineChars="200"/>
        <w:rPr>
          <w:sz w:val="18"/>
          <w:szCs w:val="18"/>
        </w:rPr>
      </w:pPr>
      <w:r>
        <w:rPr>
          <w:sz w:val="18"/>
          <w:szCs w:val="18"/>
        </w:rPr>
        <w:t>邵宇表示，每次涉及债务上限的话题，市场都会下跌。但是股市下跌更多的是与总量的流动性有关，这可能会比债务上限的影响更大一点。“因此，我觉得缩减资产购买计划可能会在第四季度形成比较明确的影响，而债务上限只是短期影响。”</w:t>
      </w:r>
    </w:p>
    <w:p>
      <w:pPr>
        <w:pStyle w:val="23"/>
        <w:ind w:firstLine="360" w:firstLineChars="200"/>
        <w:rPr>
          <w:sz w:val="18"/>
          <w:szCs w:val="18"/>
        </w:rPr>
      </w:pPr>
      <w:r>
        <w:rPr>
          <w:sz w:val="18"/>
          <w:szCs w:val="18"/>
        </w:rPr>
        <w:t>Orlando补充道，如果预测正确，上述的部分事件可能导致股市出现5%至10%的回调。“科技股可能会受到不成比例的打击。”</w:t>
      </w:r>
    </w:p>
    <w:p>
      <w:pPr>
        <w:pStyle w:val="23"/>
        <w:ind w:firstLine="360" w:firstLineChars="200"/>
        <w:rPr>
          <w:sz w:val="18"/>
          <w:szCs w:val="18"/>
        </w:rPr>
      </w:pPr>
      <w:r>
        <w:rPr>
          <w:sz w:val="18"/>
          <w:szCs w:val="18"/>
        </w:rPr>
        <w:t>事实上，科技股近期表现一直不太尽如人意。9月28日，科技股再度领跌大盘，重挫近3%。Facebook、微软和Alphabet下跌超过3%，亚马逊下跌超过2%，英伟达下跌4.5%。</w:t>
      </w:r>
    </w:p>
    <w:p>
      <w:pPr>
        <w:pStyle w:val="23"/>
        <w:ind w:firstLine="360" w:firstLineChars="200"/>
        <w:rPr>
          <w:sz w:val="18"/>
          <w:szCs w:val="18"/>
        </w:rPr>
      </w:pPr>
      <w:r>
        <w:rPr>
          <w:sz w:val="18"/>
          <w:szCs w:val="18"/>
        </w:rPr>
        <w:t>Fairlead Strategies创始人Katie Stockton指出，苹果、亚马逊、Facebook、英伟达和微软“显然是拖累股市的最大因素”。“这几家公司的跌幅较大，这动摇了市场情绪。”</w:t>
      </w:r>
    </w:p>
    <w:p>
      <w:pPr>
        <w:pStyle w:val="23"/>
        <w:ind w:firstLine="360" w:firstLineChars="200"/>
        <w:rPr>
          <w:sz w:val="18"/>
          <w:szCs w:val="18"/>
        </w:rPr>
      </w:pPr>
      <w:r>
        <w:rPr>
          <w:sz w:val="18"/>
          <w:szCs w:val="18"/>
        </w:rPr>
        <w:t>陈雳补充道，美国政府正在酝酿的增税计划也是科技股回调的一个原因。据美国众议院民主党近期发布的增税方案，最高企业税税率将从21%提高至26.5%;最高资本利得税税率从20%提高到25%。</w:t>
      </w:r>
    </w:p>
    <w:p>
      <w:pPr>
        <w:pStyle w:val="23"/>
        <w:ind w:firstLine="360" w:firstLineChars="200"/>
        <w:rPr>
          <w:sz w:val="18"/>
          <w:szCs w:val="18"/>
        </w:rPr>
      </w:pPr>
      <w:r>
        <w:rPr>
          <w:sz w:val="18"/>
          <w:szCs w:val="18"/>
        </w:rPr>
        <w:t>与此同时，10年期美债收益率快速攀升，最高升至1.567%，因为投资者押注，随着通胀飙升，美联储将履行其缩减资产购买计划的承诺。自美联储上周暗示将“很快”缩减每月1200亿美元的债券购买规模以来，10年期美债收益率已大幅逆转至6月以来的最高水平。</w:t>
      </w:r>
    </w:p>
    <w:p>
      <w:pPr>
        <w:pStyle w:val="23"/>
        <w:ind w:firstLine="360" w:firstLineChars="200"/>
        <w:rPr>
          <w:sz w:val="18"/>
          <w:szCs w:val="18"/>
        </w:rPr>
      </w:pPr>
      <w:r>
        <w:rPr>
          <w:sz w:val="18"/>
          <w:szCs w:val="18"/>
        </w:rPr>
        <w:t>嘉信理财金融研究中心首席固定收益策略师Kathy Jones认为，“市场逐渐意识到，相对于基本面，收益率非常低。现在美联储正在改变立场，每个人都在改变自己的立场。”</w:t>
      </w:r>
    </w:p>
    <w:p>
      <w:pPr>
        <w:pStyle w:val="23"/>
        <w:ind w:firstLine="360" w:firstLineChars="200"/>
        <w:rPr>
          <w:sz w:val="18"/>
          <w:szCs w:val="18"/>
        </w:rPr>
      </w:pPr>
      <w:r>
        <w:rPr>
          <w:sz w:val="18"/>
          <w:szCs w:val="18"/>
        </w:rPr>
        <w:t>展望第四季度，Susquehanna分析师Chris Murphy表示，“随着美债收益率上涨，以及投资者撤出长期增长股，如果美国许多大型指数和ETF的权重股继续交投活跃，这可能会对股市造成压力。”</w:t>
      </w:r>
    </w:p>
    <w:p>
      <w:pPr>
        <w:pStyle w:val="23"/>
        <w:ind w:firstLine="360" w:firstLineChars="200"/>
        <w:rPr>
          <w:sz w:val="18"/>
          <w:szCs w:val="18"/>
        </w:rPr>
      </w:pPr>
      <w:r>
        <w:rPr>
          <w:sz w:val="18"/>
          <w:szCs w:val="18"/>
        </w:rPr>
        <w:t>洪灝指出，“隔夜10年期美债收益率大幅上升，不仅仅是因为最近发债增多，还因为美联储11月可能宣布缩减购债规模。美股资金马上回流到价值板块，回避成长板块。”</w:t>
      </w:r>
    </w:p>
    <w:p>
      <w:pPr>
        <w:pStyle w:val="23"/>
        <w:ind w:firstLine="360" w:firstLineChars="200"/>
        <w:rPr>
          <w:sz w:val="18"/>
          <w:szCs w:val="18"/>
        </w:rPr>
      </w:pPr>
      <w:r>
        <w:rPr>
          <w:sz w:val="18"/>
          <w:szCs w:val="18"/>
        </w:rPr>
        <w:t>CFRA首席投资策略师Sam Stovall则预计，美股会出现抛售。他还指出，标普500指数可能会测试其200日移动均线4128点。“如果跌至这一水平，将比目前的水平低5%以上，从峰值到谷底将下降约10%。”</w:t>
      </w:r>
    </w:p>
    <w:p>
      <w:pPr>
        <w:pStyle w:val="23"/>
        <w:ind w:firstLine="360" w:firstLineChars="200"/>
        <w:rPr>
          <w:sz w:val="18"/>
          <w:szCs w:val="18"/>
        </w:rPr>
      </w:pPr>
      <w:r>
        <w:rPr>
          <w:sz w:val="18"/>
          <w:szCs w:val="18"/>
        </w:rPr>
        <w:t>Stovall补充称，“在科技股下跌2.5%、利率上升的情况下，我认为还有更多的下跌潜力。”</w:t>
      </w:r>
    </w:p>
    <w:p>
      <w:pPr>
        <w:pStyle w:val="23"/>
        <w:ind w:firstLine="360" w:firstLineChars="200"/>
        <w:rPr>
          <w:sz w:val="18"/>
          <w:szCs w:val="18"/>
        </w:rPr>
      </w:pPr>
      <w:r>
        <w:rPr>
          <w:sz w:val="18"/>
          <w:szCs w:val="18"/>
        </w:rPr>
        <w:t>Orlando则对年底美股持乐观态度。他预计，今年年底标普500指数将涨至4800点，2022年年底目标点数是5300点</w:t>
      </w:r>
      <w:r>
        <w:rPr>
          <w:rFonts w:hint="eastAsia"/>
          <w:sz w:val="18"/>
          <w:szCs w:val="18"/>
        </w:rPr>
        <w:t>。</w:t>
      </w: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1"/>
    </w:p>
    <w:bookmarkEnd w:id="12"/>
    <w:p>
      <w:pPr>
        <w:pStyle w:val="23"/>
        <w:ind w:firstLine="360" w:firstLineChars="200"/>
        <w:rPr>
          <w:sz w:val="18"/>
          <w:szCs w:val="18"/>
        </w:rPr>
      </w:pPr>
      <w:r>
        <w:rPr>
          <w:sz w:val="18"/>
          <w:szCs w:val="18"/>
        </w:rPr>
        <w:t>近几个月来，由于能源价格跃升，全球通胀急升，生产瓶颈正在将价格推得更高，这引发了人们的担忧，即如果这种上涨持续足够长的时间，可能会渗透到预期中，提高整体通胀预期。 周三(9月30日)，全球主要央行行长警告称，即使目前的价格急升仍可能是暂时的，但阻碍全球经济增长的供应限制仍可能会恶化，使通胀在更长时间内居高不下。疫情对全球经济的打击令各大洲的供应链受扰，导致全世界一系列商品和服务短缺，包括汽车零部件和微芯片，以及海运集装箱船等。</w:t>
      </w:r>
    </w:p>
    <w:p>
      <w:pPr>
        <w:pStyle w:val="23"/>
        <w:ind w:firstLine="360" w:firstLineChars="200"/>
        <w:rPr>
          <w:sz w:val="18"/>
          <w:szCs w:val="18"/>
        </w:rPr>
      </w:pPr>
      <w:r>
        <w:rPr>
          <w:sz w:val="18"/>
          <w:szCs w:val="18"/>
        </w:rPr>
        <w:t>美联储主席鲍威尔在一次会议上表示，“瓶颈和供应链问题没有得到改善，甚至似乎有一点恶化，这令人沮丧。”鲍威尔在欧洲央行的央行论坛上表示：“我们认为这种情况可能会持续到明年，并使通胀持续的时间超过我们的预期。”</w:t>
      </w:r>
    </w:p>
    <w:p>
      <w:pPr>
        <w:pStyle w:val="23"/>
        <w:ind w:firstLine="360" w:firstLineChars="200"/>
        <w:rPr>
          <w:sz w:val="18"/>
          <w:szCs w:val="18"/>
        </w:rPr>
      </w:pPr>
      <w:r>
        <w:rPr>
          <w:sz w:val="18"/>
          <w:szCs w:val="18"/>
        </w:rPr>
        <w:t>欧洲央行行长拉加德在同一场合也表达了类似的担忧，她称，经济学家曾认为几周后这些瓶颈就会消失，但现在还不确定。拉加德表示：“我们已经经历了几个月的供应瓶颈和供应链中断，这种情况似乎还在持续，在某些领域还在加速，比如航运、货物装卸等领域。”</w:t>
      </w:r>
    </w:p>
    <w:p>
      <w:pPr>
        <w:pStyle w:val="23"/>
        <w:ind w:firstLine="360" w:firstLineChars="200"/>
        <w:rPr>
          <w:sz w:val="18"/>
          <w:szCs w:val="18"/>
        </w:rPr>
      </w:pPr>
      <w:r>
        <w:rPr>
          <w:sz w:val="18"/>
          <w:szCs w:val="18"/>
        </w:rPr>
        <w:t>拉加德表示，确实，欧洲央行将“非常关注”这些第二轮效应，同时参会的英国央行行长贝利也表示，他将对通胀预期保持“非常密切的关注“。鲍威尔补充称，“即使最终很可能被证明是暂时的，但如果这段高通胀时期持续的时间足够长，是否会开始产生影响，改变人们对通胀的看法?我们正密切地关注这一点。”</w:t>
      </w:r>
    </w:p>
    <w:p>
      <w:pPr>
        <w:pStyle w:val="23"/>
        <w:ind w:firstLine="360" w:firstLineChars="200"/>
        <w:rPr>
          <w:sz w:val="18"/>
          <w:szCs w:val="18"/>
        </w:rPr>
      </w:pPr>
      <w:r>
        <w:rPr>
          <w:sz w:val="18"/>
          <w:szCs w:val="18"/>
        </w:rPr>
        <w:t>问题在于，作为控制物价的主管部门，央行对短期供应中断没有影响力，很可能只能旁观，等待经济异常在不造成持久损害的情况下自我修正。贝利称，“货币政策不能解决供应侧的冲击。货币政策不能生产电脑芯片，不能生产风能，不能生产卡车司机。”尽管政策制定者呼吁加强对通胀的关注，但所有人都维持了他们长期以来的观点，即通胀急升将是暂时的，明年物价上涨将放缓，回到央行目标或之下。</w:t>
      </w:r>
    </w:p>
    <w:p>
      <w:pPr>
        <w:pStyle w:val="23"/>
        <w:ind w:firstLine="360" w:firstLineChars="200"/>
        <w:rPr>
          <w:sz w:val="18"/>
          <w:szCs w:val="18"/>
        </w:rPr>
      </w:pPr>
      <w:r>
        <w:rPr>
          <w:sz w:val="18"/>
          <w:szCs w:val="18"/>
        </w:rPr>
        <w:t>美联储、英国央行和加拿大央行公开讨论了收紧政策，而韩国、挪威和匈牙利等国的央行已经加息，开启了一条漫长的政策正常化之路。欧洲央行和日本央行可能最后采取行动，它们在通胀多年来一直低于目标后，保持极度谨慎。</w:t>
      </w:r>
    </w:p>
    <w:p>
      <w:pPr>
        <w:pStyle w:val="23"/>
        <w:ind w:firstLine="360" w:firstLineChars="200"/>
        <w:rPr>
          <w:sz w:val="18"/>
          <w:szCs w:val="18"/>
        </w:rPr>
      </w:pPr>
      <w:r>
        <w:rPr>
          <w:sz w:val="18"/>
          <w:szCs w:val="18"/>
        </w:rPr>
        <w:t>拉加德和日本央行行长黑田东彦周三更强调了这种耐心，尽管两人都给出了相对乐观的增长预测，并表示，未来几个月，各自的经济可能会回到疫情爆发前的水平。</w:t>
      </w:r>
    </w:p>
    <w:p>
      <w:pPr>
        <w:pStyle w:val="23"/>
        <w:ind w:firstLine="360" w:firstLineChars="200"/>
        <w:rPr>
          <w:sz w:val="18"/>
          <w:szCs w:val="18"/>
        </w:rPr>
      </w:pPr>
      <w:r>
        <w:rPr>
          <w:sz w:val="18"/>
          <w:szCs w:val="18"/>
        </w:rPr>
        <w:t>英国央行行长贝利周三表示，预计英国经济明年初将恢复到疫情前的产出水平，略晚于该行上月的预测。他的新预测反映出，有迹象表明，英国经济复苏的速度比预期的要慢。此前英国经济在上一轮封锁结束后出现初步反弹。</w:t>
      </w:r>
    </w:p>
    <w:p>
      <w:pPr>
        <w:pStyle w:val="23"/>
        <w:ind w:firstLine="360" w:firstLineChars="200"/>
        <w:rPr>
          <w:sz w:val="18"/>
          <w:szCs w:val="18"/>
        </w:rPr>
      </w:pPr>
      <w:r>
        <w:rPr>
          <w:sz w:val="18"/>
          <w:szCs w:val="18"/>
        </w:rPr>
        <w:t>令英国央行预测前景更加复杂的是，通胀也在大涨，这是由大范围供应链中断带动的，包括上周恐慌性抢购汽油。在与其他主要央行行长组成的欧洲央行小组会议上，贝利表示，英国央行需要密切关注这些因素。他表示:“预计我们将在明年初恢复到疫情前的水平，可能比我们原先8月初预计的晚一两个月。”英国央行在8月份预测，英国经济将在今年最后一个季度恢复到疫情前的规模。</w:t>
      </w:r>
    </w:p>
    <w:p>
      <w:pPr>
        <w:pStyle w:val="23"/>
        <w:ind w:firstLine="360" w:firstLineChars="200"/>
        <w:rPr>
          <w:sz w:val="18"/>
          <w:szCs w:val="18"/>
        </w:rPr>
      </w:pPr>
      <w:r>
        <w:rPr>
          <w:sz w:val="18"/>
          <w:szCs w:val="18"/>
        </w:rPr>
        <w:t>对于英国央行在今年年底前加息的可能性，贝利拒绝置评。届时，英国央行的资产购买计划仍将处于最后阶段。一些投资者认为，英国央行在9月的政策会议记录中明确提到这种可能性，是一个信号，表明央行将积极考虑在11月或12月提前加息。</w:t>
      </w:r>
    </w:p>
    <w:p>
      <w:pPr>
        <w:pStyle w:val="23"/>
        <w:ind w:firstLine="360" w:firstLineChars="200"/>
        <w:rPr>
          <w:sz w:val="18"/>
          <w:szCs w:val="18"/>
        </w:rPr>
      </w:pPr>
      <w:r>
        <w:rPr>
          <w:sz w:val="18"/>
          <w:szCs w:val="18"/>
        </w:rPr>
        <w:t>贝利表示：“首选的工具将始终是利率，因为我们理解利率在货币政策传导机制中的作用。但这不能用来预先判断我们将在11月做出什么决定。”他补充称，英国央行将需要高度关注通胀预期，并关注供应短缺可能对通胀产生的第二轮影响，包括燃油抢购问题。</w:t>
      </w:r>
    </w:p>
    <w:p>
      <w:pPr>
        <w:pStyle w:val="23"/>
        <w:ind w:firstLine="360" w:firstLineChars="200"/>
        <w:rPr>
          <w:rFonts w:hint="eastAsia"/>
          <w:sz w:val="18"/>
          <w:szCs w:val="18"/>
        </w:rPr>
      </w:pPr>
      <w:r>
        <w:rPr>
          <w:sz w:val="18"/>
          <w:szCs w:val="18"/>
        </w:rPr>
        <w:t>金融市场目前预计，英国央行将在2月份的会议上首次加息，利率从0.1%升至0.25%，12月份加息的可能性为60%</w:t>
      </w:r>
      <w:r>
        <w:rPr>
          <w:rFonts w:hint="eastAsia"/>
          <w:sz w:val="18"/>
          <w:szCs w:val="18"/>
        </w:rPr>
        <w:t>。</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0"/>
    </w:p>
    <w:p>
      <w:pPr>
        <w:pStyle w:val="23"/>
        <w:ind w:firstLine="360" w:firstLineChars="200"/>
        <w:rPr>
          <w:sz w:val="18"/>
          <w:szCs w:val="18"/>
        </w:rPr>
      </w:pPr>
      <w:bookmarkStart w:id="13" w:name="_Toc30787"/>
      <w:r>
        <w:rPr>
          <w:rFonts w:hint="eastAsia"/>
          <w:sz w:val="18"/>
          <w:szCs w:val="18"/>
        </w:rPr>
        <w:t>本周美国WTI原油价格在73.3-75.45美元/桶。布伦特原油价格在77.25-79.53美元/桶震荡。周内国际油价震荡运行。</w:t>
      </w:r>
      <w:r>
        <w:rPr>
          <w:sz w:val="18"/>
          <w:szCs w:val="18"/>
        </w:rPr>
        <w:t>EIA原油库存八周以来首次录得增长，美元指数大幅走强，外盘9月29日欧美原油期货价格继续下跌。11月WTI：74.83跌0.46;11月布伦特：78.64跌0.45。周三油价随美元大涨而下跌，此外，美国政府报告显示原油库存八周来首次上升。纽约原油期货下跌0.6%，全天走势震荡;美国原油库存增加逾400万桶，拖累原油期货走低，美元走强也降低了这一大宗商品出口的吸引力;Again Capital LLC合伙人John Kilduff，当前美元之强已经到了不容忽视的水平;油价本周早些时候上涨--布伦特价格突破每桶80美元--反映出需求增长和天然气价格上涨令全球市场趋紧;本月能源价格的上涨令市场猜测，石油输出国组织(OPEC)及其盟友可能会更快缓和减产力度;白宫周二称，其继续与包括OPEC在内的国际合作伙伴讨论竞争性市场和采取更多行动支持经济复苏的重要性;与此同时，根据OPEC联合技术委员会审阅的一份OPEC秘书处文件，预计10月份全球石油每天的供给比需求少120万桶，11月份少90万桶;WTI 11月原油期货下跌46美分，结算价报每桶74.83美元;布伦特11月原油期货下跌45美分，至每桶78.64美元;EIA的数据显示，上周除了美国原油库存增加之外，汽油库存连续第二周上升，精炼油库存自8月底以来首次上升不过，美国原油出口量跃升至每天300万桶以上，表明全球需求走强。</w:t>
      </w:r>
    </w:p>
    <w:p>
      <w:pPr>
        <w:pStyle w:val="23"/>
        <w:ind w:firstLine="360" w:firstLineChars="200"/>
        <w:rPr>
          <w:rFonts w:hint="eastAsia"/>
          <w:sz w:val="18"/>
          <w:szCs w:val="18"/>
        </w:rPr>
      </w:pPr>
      <w:r>
        <w:rPr>
          <w:rFonts w:hint="eastAsia"/>
          <w:sz w:val="18"/>
          <w:szCs w:val="18"/>
        </w:rPr>
        <w:t>预测下周WTI油价将触及72-76美元/桶，布油在之后几个月触及76-80美元/桶。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3"/>
      <w:r>
        <w:rPr>
          <w:rFonts w:hint="eastAsia" w:ascii="宋体" w:hAnsi="宋体"/>
          <w:b/>
          <w:color w:val="auto"/>
          <w:sz w:val="30"/>
          <w:szCs w:val="30"/>
          <w:highlight w:val="none"/>
          <w:lang w:val="en-US" w:eastAsia="zh-CN"/>
        </w:rPr>
        <w:t xml:space="preserve"> </w:t>
      </w: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9月29日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772.00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223.76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817.25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9月28日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787.50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216.75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813.00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9月27日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781.50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218.50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817.00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9月24日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771.00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215.25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804.00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9月23日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756.00 </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213.65 </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796.00 </w:t>
            </w:r>
          </w:p>
        </w:tc>
      </w:tr>
    </w:tbl>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4" w:name="_Toc11000"/>
      <w:r>
        <w:rPr>
          <w:rFonts w:hint="eastAsia"/>
          <w:b/>
          <w:color w:val="auto"/>
          <w:sz w:val="36"/>
          <w:szCs w:val="36"/>
          <w:lang w:eastAsia="zh-CN"/>
        </w:rPr>
        <w:t>三、</w:t>
      </w:r>
      <w:r>
        <w:rPr>
          <w:rFonts w:hint="eastAsia"/>
          <w:b/>
          <w:color w:val="auto"/>
          <w:sz w:val="36"/>
          <w:szCs w:val="36"/>
        </w:rPr>
        <w:t>本周国内市场</w:t>
      </w:r>
      <w:bookmarkEnd w:id="14"/>
      <w:bookmarkStart w:id="32" w:name="_GoBack"/>
      <w:bookmarkEnd w:id="32"/>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5" w:name="_Toc7167"/>
      <w:r>
        <w:rPr>
          <w:rFonts w:hint="eastAsia" w:ascii="宋体" w:hAnsi="宋体"/>
          <w:b/>
          <w:color w:val="auto"/>
          <w:sz w:val="32"/>
          <w:szCs w:val="32"/>
          <w:highlight w:val="none"/>
        </w:rPr>
        <w:t>3.1 国内炼厂装置运行情况</w:t>
      </w:r>
      <w:bookmarkEnd w:id="15"/>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45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2"/>
        <w:gridCol w:w="831"/>
        <w:gridCol w:w="1073"/>
        <w:gridCol w:w="1071"/>
        <w:gridCol w:w="2068"/>
        <w:gridCol w:w="1306"/>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济南炼化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2021/2/19</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金陵石化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江苏</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2021/3/20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燕山石化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北京</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4#常减压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2020/3/29</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长岭石化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湖南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2021/2/20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塔河石化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新疆</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上海石化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上海</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1600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1600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九江石化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江西</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沧州炼厂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河北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扬子石化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江苏</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1450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焦化装置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茂名石化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广东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2021/6/1</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石家庄炼厂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河北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2021/8/28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齐鲁石化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400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胜利油田</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2021/9/15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2021/10月底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950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950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2021/11</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云南石化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云南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2020/12/5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抚顺石化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辽宁</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吉林石化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吉林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大港石化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天津</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2021/4/12</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格尔木炼厂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青海</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东方石化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惠州炼化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广东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2200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二期</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宁波大榭</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浙江</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2021/5/15</w:t>
            </w:r>
          </w:p>
        </w:tc>
      </w:tr>
    </w:tbl>
    <w:p>
      <w:pPr>
        <w:numPr>
          <w:ilvl w:val="0"/>
          <w:numId w:val="0"/>
        </w:numPr>
        <w:rPr>
          <w:rFonts w:hint="eastAsia" w:ascii="宋体" w:hAnsi="宋体"/>
          <w:color w:val="auto"/>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45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5"/>
        <w:gridCol w:w="1158"/>
        <w:gridCol w:w="1327"/>
        <w:gridCol w:w="1400"/>
        <w:gridCol w:w="877"/>
        <w:gridCol w:w="1620"/>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地方炼厂装置检修计划表(单位：万吨)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区域</w:t>
            </w:r>
          </w:p>
        </w:tc>
        <w:tc>
          <w:tcPr>
            <w:tcW w:w="0" w:type="auto"/>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省市</w:t>
            </w:r>
          </w:p>
        </w:tc>
        <w:tc>
          <w:tcPr>
            <w:tcW w:w="7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炼厂名称</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检修装置</w:t>
            </w:r>
          </w:p>
        </w:tc>
        <w:tc>
          <w:tcPr>
            <w:tcW w:w="4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产能</w:t>
            </w:r>
          </w:p>
        </w:tc>
        <w:tc>
          <w:tcPr>
            <w:tcW w:w="90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起始时间</w:t>
            </w:r>
          </w:p>
        </w:tc>
        <w:tc>
          <w:tcPr>
            <w:tcW w:w="927"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nil"/>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齐成石化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重整</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新建</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nil"/>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山东</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齐成石化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蜡油加裂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160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新建</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联合石化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590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垦利石化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400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2021/9/10</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海科瑞林</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230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潍坊</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山东海化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240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2021/6/29</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淄博</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方宇石化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520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临沂</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清沂山石化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德州</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恒源石化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西南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重庆</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龙海石化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2021/7月底</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辽宁缘泰</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常减压装置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2021/2/22</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盘锦浩业</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催化</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140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2021/3</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大连锦源</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2021/5/6</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黑龙江</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大庆中蓝</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2021/7/25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辽宁华锦</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nil"/>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西北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宝利新能源</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80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宁鲁石化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华东</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江苏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新海石化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2021/3/25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华北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河北</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河北鑫海</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6" w:name="_Toc13096"/>
      <w:r>
        <w:rPr>
          <w:rFonts w:hint="eastAsia" w:ascii="宋体" w:hAnsi="宋体"/>
          <w:b/>
          <w:color w:val="auto"/>
          <w:sz w:val="30"/>
          <w:szCs w:val="30"/>
          <w:highlight w:val="none"/>
        </w:rPr>
        <w:t>3.2本周成品油市场行情</w:t>
      </w:r>
      <w:bookmarkEnd w:id="16"/>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bookmarkStart w:id="17" w:name="_Toc24031"/>
      <w:r>
        <w:rPr>
          <w:rFonts w:hint="default" w:ascii="宋体" w:hAnsi="宋体" w:eastAsia="宋体" w:cs="宋体"/>
          <w:color w:val="auto"/>
          <w:kern w:val="2"/>
          <w:sz w:val="18"/>
          <w:szCs w:val="18"/>
          <w:shd w:val="clear" w:color="auto" w:fill="FFFFFF"/>
          <w:lang w:eastAsia="zh-CN"/>
        </w:rPr>
        <w:t>本周(9月18日-9月30日)，山东地区，因下游业者对于高价资源接受程度不高，而且因为疫情对于部分地区终端需求恢复仍有影响，市场成交氛围不温不火，个别单位汽柴价格出现小幅回落，幅度50-100元/吨，但多数单位仍对于后市持看好心态，坚挺价格。周后期，随着国庆假期的将到来，市场看涨心态增加，而且本月销售任务整体完成较好，暂无压力。据了解部分地区柴油资源紧张，因此在外采成本高位运行的支撑之下，柴油价格宽幅上涨，亦带动汽油价格高涨，区内主营成品油行情整体突破新高。但节前中间商多谨慎观望为主，高价柴油投机操作氛围降温，终端商保持以销定进节奏。</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(9月18日-9月30日)，华中地区除河南地区主营价格稳中下跌，其他地区汽柴油价格上涨为主。具体来看：中秋假期已过，消息面指引有限，华中地区内业者备货完成，汽油现居高位，雨季减少，户外工程基建积极赶工，运输车辆需求也增加，提振柴油市场价格。周内后期，本轮零售价上调预期，消息面给与市场有力提振，临近月底，各单位基本完成销售进度，暂无销售压力，十一将至，对汽油视市场有一定支撑，区内柴油资源限量出售，主营单位挺价意愿增强，市场成交表现尚可。</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(9月18日-9月30日)，国际油价高位震荡，对成品油市场起一定的支撑作用。华东地区成品油，因本月主营单位多无销售压力影响，加上部分地区资源紧张，料短期华东汽柴油价格或延续上涨行情，但目前汽柴油市场价格偏高，业者抵触情绪仍存。另外随着用户补货陆续完成，业者入市多持谨慎心态，刚需成交为主，各单位根据实际成交情况灵活调整优惠。</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(9月18日-9月30日)，华南地区主营汽柴油价格稳中上涨，在“金九银十”旺季的推动下，汽柴油需求保持向好趋势，加之近期汽柴油价格已涨至高位，下游业者理性待市，操作谨慎，按需购入。具体分析，本周广东地区各主营单位汽柴油价格上涨50-200元/吨;福建地区主营汽柴油价格上涨100-200元/吨;海南地区主营汽柴价格上涨50-100元/吨。国内成品油报价上涨，进入月下旬各主营单位销售进度不一致，在积极追赶销量的同时提振市场，各消息面偏向利好方向发展，加之秋季农耕量增加和国庆假期的到来，人们对于汽柴油的需求，对市场有一定的支撑作用。</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(9月18日-9月30日)，华北地区，国际市场利好氛围笼罩，原油收盘价格震荡上行。本周区内成品油市场成交情况表现一般，汽柴油价格涨跌互现。具体来看，汽油方面，“十一黄金周”临近，民众假期出行意愿强烈，私家车出行量增加，对汽油需求产生一定提振;柴油方面，十月份开启柴油需求旺季，目前户外工程基建等行业开工率稳步提升，秋收农耕用量稳涨，柴油需求受到支撑。但由于中秋前期汽柴油价格处于高位，市场对于高价资源接受程度不高，下游补货按需操作为主，市场成交气氛略显清淡。目前处于月末，主营销售压力虽油增加，业者节前集中补货对主营销售产生支撑，整体市场库存不高，主营小幅推价销售，实际成交一单一议。</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(9月18日-9月30日)，西北地区主营油价上涨。周前期，零售限价上调窗口开启后，上调幅度为50-200元/吨，随着户外开工率提升，柴油供应资源偏紧，中下游需求方面尚可，柴油价格上行幅度较大。周中期，原油收盘续涨，消息面对市场影响有限，西北主营汽柴油价格较为稳定，中下游业者持观望情绪，市场成交淡稳。周末期，利好因素加深，区内主营成品油价格稳中上涨，国庆假期临近，终端业者补货操作增加，加之西北地炼汽柴油价格整体上调，带动周边市场气氛，西安，西宁，银川等多地，汽柴油价格宽幅上调50-300元/吨。</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(9月18日-9月30日)，西南区内汽柴油价格呈上行趋势，消息面偏利好指引。柴油方面，处于“金九银十”旺季之下,柴油需求保持向好趋势，柴油整体库存水平下降，个别地区出现短暂偏紧现象。汽油方面，前期业者补货基本完成，加之汽油价格居高位，市场交投清淡。同时，随着中秋节过后，汽油需求萎缩。具体来看，周期前，中秋节后，市场缺乏明显利好支撑，部分主营稳价销售，观察市场情况，区内主营成交优惠政策灵活，终端按需购买，市场成交一般。周期中，处于“金九银十”旺季之下的汽柴油需求保持向好趋势，部分主营前期低价销售，完成任务，销售压力降低。整体场内成交一般，周期后，部分主营单位资源紧张，汽柴价格大幅上涨，市场高价接受度不高，成交氛围一般。</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后市预测，国际油价高位震荡，对于成品油市场仍有支撑。华东成品油，因本月主营单位多无销售压力影响，加上部分地区资源紧张，料短期华东汽柴油价格或延续上涨行情，但目前汽柴油市场价格偏高，业者抵触情绪仍存。另外随着用户补货陆续完成，业者入市多持谨慎心态，刚需成交为主，各单位根据实际成交情况灵活调整优惠。</w:t>
      </w:r>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17"/>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shd w:val="clear" w:color="auto" w:fill="auto"/>
          <w:tblCellMar>
            <w:top w:w="0" w:type="dxa"/>
            <w:left w:w="0" w:type="dxa"/>
            <w:bottom w:w="0" w:type="dxa"/>
            <w:right w:w="0" w:type="dxa"/>
          </w:tblCellMar>
        </w:tblPrEx>
        <w:trPr>
          <w:trHeight w:val="420" w:hRule="atLeast"/>
          <w:tblHeader/>
          <w:jc w:val="center"/>
        </w:trPr>
        <w:tc>
          <w:tcPr>
            <w:tcW w:w="87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18" w:name="_Toc16466"/>
            <w:r>
              <w:rPr>
                <w:rFonts w:hint="eastAsia" w:ascii="宋体" w:hAnsi="宋体" w:eastAsia="宋体" w:cs="宋体"/>
                <w:b/>
                <w:i w:val="0"/>
                <w:color w:val="auto"/>
                <w:kern w:val="0"/>
                <w:sz w:val="18"/>
                <w:szCs w:val="18"/>
                <w:u w:val="none"/>
                <w:lang w:val="en-US" w:eastAsia="zh-CN" w:bidi="ar"/>
              </w:rPr>
              <w:t>地区</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城市</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企业性质</w:t>
            </w:r>
          </w:p>
        </w:tc>
        <w:tc>
          <w:tcPr>
            <w:tcW w:w="10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9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涨跌</w:t>
            </w:r>
          </w:p>
        </w:tc>
        <w:tc>
          <w:tcPr>
            <w:tcW w:w="12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2021/9/30</w:t>
            </w:r>
          </w:p>
        </w:tc>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2021/9/23</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8893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8893</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8893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8893</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8660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8660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7968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7915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7989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8168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8115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8571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8509</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任丘市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7795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7995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7989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8571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8509</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7795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郑州市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3.4国内柴油价格周报</w:t>
      </w:r>
      <w:bookmarkEnd w:id="18"/>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shd w:val="clear" w:color="auto" w:fill="auto"/>
          <w:tblCellMar>
            <w:top w:w="0" w:type="dxa"/>
            <w:left w:w="0" w:type="dxa"/>
            <w:bottom w:w="0" w:type="dxa"/>
            <w:right w:w="0" w:type="dxa"/>
          </w:tblCellMar>
        </w:tblPrEx>
        <w:trPr>
          <w:trHeight w:val="380" w:hRule="atLeast"/>
          <w:tblHeader/>
          <w:jc w:val="center"/>
        </w:trPr>
        <w:tc>
          <w:tcPr>
            <w:tcW w:w="8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城市</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企业性质</w:t>
            </w:r>
          </w:p>
        </w:tc>
        <w:tc>
          <w:tcPr>
            <w:tcW w:w="10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型号</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价格类型</w:t>
            </w:r>
          </w:p>
        </w:tc>
        <w:tc>
          <w:tcPr>
            <w:tcW w:w="7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涨跌</w:t>
            </w:r>
          </w:p>
        </w:tc>
        <w:tc>
          <w:tcPr>
            <w:tcW w:w="115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2021/9/30</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2021/9/23</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吉林中油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海口市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6820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260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185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7136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6951</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535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7485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6780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535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7485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535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7485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6780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6780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565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7565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7665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7665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575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7625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7530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540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19" w:name="_Toc6052"/>
      <w:r>
        <w:rPr>
          <w:rFonts w:hint="eastAsia" w:ascii="宋体" w:hAnsi="宋体"/>
          <w:b/>
          <w:color w:val="auto"/>
          <w:sz w:val="30"/>
          <w:szCs w:val="30"/>
          <w:lang w:val="en-US" w:eastAsia="zh-CN"/>
        </w:rPr>
        <w:t>3.5 山东地炼汽油出厂价格周报</w:t>
      </w:r>
      <w:bookmarkEnd w:id="19"/>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shd w:val="clear" w:color="auto" w:fill="auto"/>
          <w:tblCellMar>
            <w:top w:w="0" w:type="dxa"/>
            <w:left w:w="0" w:type="dxa"/>
            <w:bottom w:w="0" w:type="dxa"/>
            <w:right w:w="0" w:type="dxa"/>
          </w:tblCellMar>
        </w:tblPrEx>
        <w:trPr>
          <w:trHeight w:val="440" w:hRule="atLeast"/>
          <w:jc w:val="center"/>
        </w:trPr>
        <w:tc>
          <w:tcPr>
            <w:tcW w:w="76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涨跌</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2021/9/30</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2021/9/23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7793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7913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8133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8123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7845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-18</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7893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-18</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7804</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7822</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-17</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8057</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-18</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7957</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7975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8112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8132</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7680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7400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7960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7925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7925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8125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8125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7735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7955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8155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8655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8585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7743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7813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7853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7450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7580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7860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8260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8060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0" w:name="_Toc25179"/>
      <w:r>
        <w:rPr>
          <w:rFonts w:hint="eastAsia" w:ascii="宋体" w:hAnsi="宋体"/>
          <w:b/>
          <w:color w:val="auto"/>
          <w:sz w:val="30"/>
          <w:szCs w:val="30"/>
          <w:lang w:val="en-US" w:eastAsia="zh-CN"/>
        </w:rPr>
        <w:t>3.6 山东地炼柴油出厂价格周报</w:t>
      </w:r>
      <w:bookmarkEnd w:id="20"/>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shd w:val="clear" w:color="auto" w:fill="auto"/>
          <w:tblCellMar>
            <w:top w:w="0" w:type="dxa"/>
            <w:left w:w="0" w:type="dxa"/>
            <w:bottom w:w="0" w:type="dxa"/>
            <w:right w:w="0" w:type="dxa"/>
          </w:tblCellMar>
        </w:tblPrEx>
        <w:trPr>
          <w:trHeight w:val="403" w:hRule="atLeast"/>
          <w:tblHeader/>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1" w:name="_Toc711"/>
            <w:bookmarkStart w:id="22" w:name="_Toc27167"/>
            <w:bookmarkStart w:id="23" w:name="_Toc23056"/>
            <w:bookmarkStart w:id="24" w:name="_Toc533771879"/>
            <w:r>
              <w:rPr>
                <w:rFonts w:hint="eastAsia" w:ascii="宋体" w:hAnsi="宋体" w:eastAsia="宋体" w:cs="宋体"/>
                <w:b/>
                <w:i w:val="0"/>
                <w:color w:val="auto"/>
                <w:kern w:val="0"/>
                <w:sz w:val="18"/>
                <w:szCs w:val="18"/>
                <w:u w:val="none"/>
                <w:lang w:val="en-US" w:eastAsia="zh-CN" w:bidi="ar"/>
              </w:rPr>
              <w:t>省份</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涨跌</w:t>
            </w:r>
          </w:p>
        </w:tc>
        <w:tc>
          <w:tcPr>
            <w:tcW w:w="127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2021/9/30</w:t>
            </w:r>
          </w:p>
        </w:tc>
        <w:tc>
          <w:tcPr>
            <w:tcW w:w="12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000000"/>
                <w:kern w:val="0"/>
                <w:sz w:val="20"/>
                <w:szCs w:val="20"/>
                <w:u w:val="none"/>
                <w:lang w:val="en-US" w:eastAsia="zh-CN" w:bidi="ar"/>
              </w:rPr>
              <w:t>2021/9/23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6960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6803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6763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135</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216</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6892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6676</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217</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6948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6731</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370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6900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6865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6865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350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6860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6865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210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6783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6723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6680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170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7130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530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7330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7050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230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6930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6700</w:t>
            </w:r>
          </w:p>
        </w:tc>
      </w:tr>
    </w:tbl>
    <w:p>
      <w:pPr>
        <w:pStyle w:val="3"/>
        <w:spacing w:before="120" w:after="120" w:line="240" w:lineRule="auto"/>
        <w:jc w:val="left"/>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四、2021年</w:t>
      </w:r>
      <w:r>
        <w:rPr>
          <w:rFonts w:hint="eastAsia" w:ascii="宋体" w:hAnsi="宋体" w:cs="宋体"/>
          <w:b/>
          <w:bCs/>
          <w:color w:val="auto"/>
          <w:kern w:val="2"/>
          <w:sz w:val="36"/>
          <w:szCs w:val="36"/>
          <w:highlight w:val="none"/>
          <w:lang w:val="en-US" w:eastAsia="zh-CN" w:bidi="ar-SA"/>
        </w:rPr>
        <w:t>8</w:t>
      </w:r>
      <w:r>
        <w:rPr>
          <w:rFonts w:hint="eastAsia" w:ascii="宋体" w:hAnsi="宋体" w:eastAsia="宋体" w:cs="宋体"/>
          <w:b/>
          <w:bCs/>
          <w:color w:val="auto"/>
          <w:kern w:val="2"/>
          <w:sz w:val="36"/>
          <w:szCs w:val="36"/>
          <w:highlight w:val="none"/>
          <w:lang w:val="en-US" w:eastAsia="zh-CN" w:bidi="ar-SA"/>
        </w:rPr>
        <w:t>月份进出口统计数据</w:t>
      </w:r>
      <w:bookmarkEnd w:id="21"/>
      <w:bookmarkEnd w:id="22"/>
    </w:p>
    <w:p>
      <w:pPr>
        <w:pStyle w:val="3"/>
        <w:spacing w:before="120" w:after="120" w:line="240" w:lineRule="auto"/>
        <w:rPr>
          <w:rFonts w:hint="eastAsia" w:ascii="宋体" w:hAnsi="宋体"/>
          <w:b/>
          <w:color w:val="auto"/>
          <w:sz w:val="32"/>
          <w:szCs w:val="32"/>
        </w:rPr>
      </w:pPr>
      <w:bookmarkStart w:id="25" w:name="_Toc31314"/>
      <w:bookmarkStart w:id="26" w:name="_Toc19791"/>
      <w:r>
        <w:rPr>
          <w:rFonts w:hint="eastAsia" w:ascii="宋体" w:hAnsi="宋体"/>
          <w:b/>
          <w:color w:val="auto"/>
          <w:sz w:val="32"/>
          <w:szCs w:val="32"/>
        </w:rPr>
        <w:t>4.</w:t>
      </w:r>
      <w:bookmarkEnd w:id="25"/>
      <w:bookmarkEnd w:id="26"/>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份全国车用汽油和航空汽油出口统计数据</w:t>
      </w:r>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bookmarkStart w:id="27" w:name="_Toc23995"/>
            <w:bookmarkStart w:id="28" w:name="_Toc31064"/>
            <w:r>
              <w:rPr>
                <w:rFonts w:hint="eastAsia" w:ascii="宋体" w:hAnsi="宋体" w:eastAsia="宋体" w:cs="宋体"/>
                <w:b/>
                <w:bCs/>
                <w:i w:val="0"/>
                <w:caps w:val="0"/>
                <w:color w:val="333333"/>
                <w:spacing w:val="0"/>
                <w:kern w:val="0"/>
                <w:sz w:val="18"/>
                <w:szCs w:val="18"/>
                <w:lang w:val="en-US" w:eastAsia="zh-CN" w:bidi="ar"/>
              </w:rPr>
              <w:t>商品名称 </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333333"/>
                <w:spacing w:val="0"/>
                <w:kern w:val="0"/>
                <w:sz w:val="18"/>
                <w:szCs w:val="18"/>
                <w:lang w:val="en-US" w:eastAsia="zh-CN" w:bidi="ar"/>
              </w:rPr>
              <w:t>贸易伙伴名称 </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333333"/>
                <w:spacing w:val="0"/>
                <w:kern w:val="0"/>
                <w:sz w:val="18"/>
                <w:szCs w:val="18"/>
                <w:lang w:val="en-US" w:eastAsia="zh-CN" w:bidi="ar"/>
              </w:rPr>
              <w:t>出口数量（吨）</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333333"/>
                <w:spacing w:val="0"/>
                <w:kern w:val="0"/>
                <w:sz w:val="18"/>
                <w:szCs w:val="18"/>
                <w:lang w:val="en-US" w:eastAsia="zh-CN" w:bidi="ar"/>
              </w:rPr>
              <w:t>出口金额（元）</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巴基斯坦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111609.038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472093939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菲律宾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73861.7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327507778</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韩国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158845750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马来西亚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147884258</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蒙古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7390.493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35102254</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缅甸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3767.177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17734559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尼日利亚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56272.116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256067777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日本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25074.876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82482215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泰国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37000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120760374</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新加坡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176260.936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650000912</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中国澳门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7169.419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333333"/>
                <w:spacing w:val="0"/>
                <w:kern w:val="0"/>
                <w:sz w:val="18"/>
                <w:szCs w:val="18"/>
                <w:lang w:val="en-US" w:eastAsia="zh-CN" w:bidi="ar"/>
              </w:rPr>
              <w:t>24385717</w:t>
            </w:r>
          </w:p>
        </w:tc>
      </w:tr>
    </w:tbl>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月份全国柴油出口统计数据</w:t>
      </w:r>
      <w:bookmarkEnd w:id="27"/>
      <w:bookmarkEnd w:id="28"/>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bookmarkStart w:id="29" w:name="_Toc16942"/>
            <w:r>
              <w:rPr>
                <w:rStyle w:val="28"/>
                <w:rFonts w:hint="eastAsia" w:ascii="宋体" w:hAnsi="宋体" w:eastAsia="宋体" w:cs="宋体"/>
                <w:b/>
                <w:i w:val="0"/>
                <w:caps w:val="0"/>
                <w:color w:val="000000"/>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2E363F"/>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2E363F"/>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2E363F"/>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2E363F"/>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000000"/>
                <w:spacing w:val="0"/>
                <w:sz w:val="18"/>
                <w:szCs w:val="18"/>
              </w:rPr>
              <w:t>埃及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000000"/>
                <w:spacing w:val="0"/>
                <w:sz w:val="18"/>
                <w:szCs w:val="18"/>
              </w:rPr>
              <w:t>47.00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000000"/>
                <w:spacing w:val="0"/>
                <w:sz w:val="18"/>
                <w:szCs w:val="18"/>
              </w:rPr>
              <w:t>188624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000000"/>
                <w:spacing w:val="0"/>
                <w:sz w:val="18"/>
                <w:szCs w:val="18"/>
              </w:rPr>
              <w:t>4013.28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安提瓜和巴布达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814.89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3294631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4043.06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巴巴多斯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126.11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509075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巴哈马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571.64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2221239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3885.74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巴拿马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16083.29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63604609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3954.70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比利时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168.70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611330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3623.77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586.37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2452576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4182.68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丹麦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191.80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758557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德国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194505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多哥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85.54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339821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俄罗斯联邦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65.00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267120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菲律宾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264870.66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947315401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3576.52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圭亚那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82020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韩国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355.24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1471008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荷兰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545.30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2200117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喀麦隆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89.95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394026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4380.50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开曼群岛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175.00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730249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克罗地亚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34.50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133193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3860.67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利比里亚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7386.26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28876864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马耳他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1583.96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6485574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4094.52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马来西亚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10213.47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27411726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2683.88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马绍尔群岛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5935.59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23572215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3971.33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美国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574.40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2253924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蒙古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1444.70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5559262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孟加拉国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64196.00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238361451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3713.03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秘鲁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40000.00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155604000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缅甸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7602.09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31393115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4129.54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挪威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370.00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1422981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3845.89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帕劳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401977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葡萄牙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430.00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1736861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日本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1128.30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4370417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3873.45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瑞典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194.97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809557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塞拉利昂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136.79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585119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4277.62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塞浦路斯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462.97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1858061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圣文森特和格林纳丁斯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24.00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103242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4301.75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斯威士兰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29.07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126645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4357.30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泰国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149769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4279.11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图瓦卢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44.60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202170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4532.96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土耳其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148602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瓦努阿图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410099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4100.99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希腊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926.92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3776133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4073.85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新加坡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5244.17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20655445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3938.74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牙买加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185708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4318.79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印度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147.90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601805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4069.00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印度尼西亚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129.04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530348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4109.82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英国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3059.05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11964783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3911.28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越南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178.78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796504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4455.24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直布罗陀  </w:t>
            </w:r>
          </w:p>
        </w:tc>
        <w:tc>
          <w:tcPr>
            <w:tcW w:w="141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79.50</w:t>
            </w:r>
          </w:p>
        </w:tc>
        <w:tc>
          <w:tcPr>
            <w:tcW w:w="105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0%</w:t>
            </w:r>
          </w:p>
        </w:tc>
        <w:tc>
          <w:tcPr>
            <w:tcW w:w="1688"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302163</w:t>
            </w:r>
          </w:p>
        </w:tc>
        <w:tc>
          <w:tcPr>
            <w:tcW w:w="189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3800.79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中国澳门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9171.00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2%</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25351015</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2764.26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中国台湾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641.20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0%</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2455039</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3828.82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中国香港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97948.50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18%</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350461640</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3578.02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Style w:val="28"/>
                <w:rFonts w:hint="eastAsia" w:ascii="宋体" w:hAnsi="宋体" w:eastAsia="宋体" w:cs="宋体"/>
                <w:b/>
                <w:i w:val="0"/>
                <w:caps w:val="0"/>
                <w:color w:val="000000"/>
                <w:spacing w:val="0"/>
                <w:sz w:val="18"/>
                <w:szCs w:val="18"/>
              </w:rPr>
              <w:t>合计</w:t>
            </w:r>
          </w:p>
        </w:tc>
        <w:tc>
          <w:tcPr>
            <w:tcW w:w="141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Style w:val="28"/>
                <w:rFonts w:hint="eastAsia" w:ascii="宋体" w:hAnsi="宋体" w:eastAsia="宋体" w:cs="宋体"/>
                <w:b/>
                <w:i w:val="0"/>
                <w:caps w:val="0"/>
                <w:color w:val="000000"/>
                <w:spacing w:val="0"/>
                <w:sz w:val="18"/>
                <w:szCs w:val="18"/>
              </w:rPr>
              <w:t>544480.39</w:t>
            </w:r>
          </w:p>
        </w:tc>
        <w:tc>
          <w:tcPr>
            <w:tcW w:w="105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Style w:val="28"/>
                <w:rFonts w:hint="eastAsia" w:ascii="宋体" w:hAnsi="宋体" w:eastAsia="宋体" w:cs="宋体"/>
                <w:b/>
                <w:i w:val="0"/>
                <w:caps w:val="0"/>
                <w:color w:val="000000"/>
                <w:spacing w:val="0"/>
                <w:sz w:val="18"/>
                <w:szCs w:val="18"/>
              </w:rPr>
              <w:t>100%</w:t>
            </w:r>
          </w:p>
        </w:tc>
        <w:tc>
          <w:tcPr>
            <w:tcW w:w="1688"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Style w:val="28"/>
                <w:rFonts w:hint="eastAsia" w:ascii="宋体" w:hAnsi="宋体" w:eastAsia="宋体" w:cs="宋体"/>
                <w:b/>
                <w:i w:val="0"/>
                <w:caps w:val="0"/>
                <w:color w:val="000000"/>
                <w:spacing w:val="0"/>
                <w:sz w:val="18"/>
                <w:szCs w:val="18"/>
              </w:rPr>
              <w:t>1975692315.00</w:t>
            </w:r>
          </w:p>
        </w:tc>
        <w:tc>
          <w:tcPr>
            <w:tcW w:w="189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000000"/>
                <w:spacing w:val="0"/>
                <w:sz w:val="18"/>
                <w:szCs w:val="18"/>
              </w:rPr>
            </w:pPr>
            <w:r>
              <w:rPr>
                <w:rStyle w:val="28"/>
                <w:rFonts w:hint="eastAsia" w:ascii="宋体" w:hAnsi="宋体" w:eastAsia="宋体" w:cs="宋体"/>
                <w:b/>
                <w:i w:val="0"/>
                <w:caps w:val="0"/>
                <w:color w:val="000000"/>
                <w:spacing w:val="0"/>
                <w:sz w:val="18"/>
                <w:szCs w:val="18"/>
              </w:rPr>
              <w:t>3628.58</w:t>
            </w:r>
          </w:p>
        </w:tc>
      </w:tr>
    </w:tbl>
    <w:p>
      <w:pPr>
        <w:pStyle w:val="3"/>
        <w:spacing w:before="120" w:after="120" w:line="240" w:lineRule="auto"/>
        <w:rPr>
          <w:rFonts w:hint="eastAsia"/>
          <w:bCs/>
          <w:color w:val="auto"/>
          <w:sz w:val="30"/>
          <w:szCs w:val="30"/>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8</w:t>
      </w:r>
      <w:r>
        <w:rPr>
          <w:rFonts w:hint="eastAsia" w:ascii="宋体" w:hAnsi="宋体"/>
          <w:b/>
          <w:color w:val="auto"/>
          <w:sz w:val="30"/>
          <w:szCs w:val="30"/>
        </w:rPr>
        <w:t>月份全国原油进出口统计数据</w:t>
      </w:r>
      <w:bookmarkEnd w:id="23"/>
      <w:bookmarkEnd w:id="29"/>
    </w:p>
    <w:p>
      <w:pPr>
        <w:jc w:val="right"/>
        <w:rPr>
          <w:rFonts w:hint="eastAsia"/>
          <w:bCs/>
          <w:color w:val="auto"/>
          <w:sz w:val="18"/>
          <w:szCs w:val="18"/>
        </w:rPr>
      </w:pPr>
      <w:r>
        <w:rPr>
          <w:rFonts w:hint="eastAsia"/>
          <w:bCs/>
          <w:color w:val="auto"/>
          <w:sz w:val="18"/>
          <w:szCs w:val="18"/>
        </w:rPr>
        <w:t>单位：</w:t>
      </w:r>
      <w:r>
        <w:rPr>
          <w:rFonts w:hint="eastAsia"/>
          <w:bCs/>
          <w:color w:val="auto"/>
          <w:sz w:val="18"/>
          <w:szCs w:val="18"/>
          <w:lang w:eastAsia="zh-CN"/>
        </w:rPr>
        <w:t>吨</w:t>
      </w:r>
      <w:r>
        <w:rPr>
          <w:rFonts w:hint="eastAsia"/>
          <w:bCs/>
          <w:color w:val="auto"/>
          <w:sz w:val="18"/>
          <w:szCs w:val="18"/>
        </w:rPr>
        <w:t>，美元</w:t>
      </w:r>
    </w:p>
    <w:p>
      <w:pPr>
        <w:rPr>
          <w:rFonts w:hint="eastAsia" w:eastAsia="宋体"/>
          <w:bCs/>
          <w:color w:val="auto"/>
          <w:szCs w:val="21"/>
          <w:lang w:eastAsia="zh-CN"/>
        </w:rPr>
      </w:pPr>
    </w:p>
    <w:tbl>
      <w:tblPr>
        <w:tblStyle w:val="24"/>
        <w:tblW w:w="4485" w:type="pct"/>
        <w:jc w:val="center"/>
        <w:tblLayout w:type="autofit"/>
        <w:tblCellMar>
          <w:top w:w="0" w:type="dxa"/>
          <w:left w:w="108" w:type="dxa"/>
          <w:bottom w:w="0" w:type="dxa"/>
          <w:right w:w="108" w:type="dxa"/>
        </w:tblCellMar>
      </w:tblPr>
      <w:tblGrid>
        <w:gridCol w:w="2345"/>
        <w:gridCol w:w="1871"/>
        <w:gridCol w:w="2002"/>
        <w:gridCol w:w="2621"/>
      </w:tblGrid>
      <w:tr>
        <w:tblPrEx>
          <w:tblCellMar>
            <w:top w:w="0" w:type="dxa"/>
            <w:left w:w="108" w:type="dxa"/>
            <w:bottom w:w="0" w:type="dxa"/>
            <w:right w:w="108" w:type="dxa"/>
          </w:tblCellMar>
        </w:tblPrEx>
        <w:trPr>
          <w:trHeight w:val="283" w:hRule="atLeast"/>
          <w:tblHeader/>
          <w:jc w:val="center"/>
        </w:trPr>
        <w:tc>
          <w:tcPr>
            <w:tcW w:w="1326"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sz w:val="18"/>
                <w:szCs w:val="18"/>
              </w:rPr>
            </w:pPr>
            <w:bookmarkStart w:id="30" w:name="_Toc20776"/>
            <w:bookmarkStart w:id="31" w:name="_Toc18589"/>
            <w:r>
              <w:rPr>
                <w:rFonts w:hint="eastAsia" w:ascii="宋体" w:hAnsi="宋体" w:eastAsia="宋体" w:cs="宋体"/>
                <w:b/>
                <w:sz w:val="18"/>
                <w:szCs w:val="18"/>
              </w:rPr>
              <w:t>来源国（进口）</w:t>
            </w:r>
          </w:p>
        </w:tc>
        <w:tc>
          <w:tcPr>
            <w:tcW w:w="1058"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sz w:val="18"/>
                <w:szCs w:val="18"/>
              </w:rPr>
            </w:pPr>
            <w:r>
              <w:rPr>
                <w:rFonts w:hint="eastAsia" w:ascii="宋体" w:hAnsi="宋体" w:eastAsia="宋体" w:cs="宋体"/>
                <w:b/>
                <w:sz w:val="18"/>
                <w:szCs w:val="18"/>
              </w:rPr>
              <w:t>万吨</w:t>
            </w:r>
          </w:p>
        </w:tc>
        <w:tc>
          <w:tcPr>
            <w:tcW w:w="113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sz w:val="18"/>
                <w:szCs w:val="18"/>
              </w:rPr>
            </w:pPr>
            <w:r>
              <w:rPr>
                <w:rFonts w:hint="eastAsia" w:ascii="宋体" w:hAnsi="宋体" w:eastAsia="宋体" w:cs="宋体"/>
                <w:b/>
                <w:sz w:val="18"/>
                <w:szCs w:val="18"/>
              </w:rPr>
              <w:t>万美元</w:t>
            </w:r>
          </w:p>
        </w:tc>
        <w:tc>
          <w:tcPr>
            <w:tcW w:w="148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sz w:val="18"/>
                <w:szCs w:val="18"/>
              </w:rPr>
            </w:pPr>
            <w:r>
              <w:rPr>
                <w:rFonts w:hint="eastAsia" w:ascii="宋体" w:hAnsi="宋体" w:eastAsia="宋体" w:cs="宋体"/>
                <w:b/>
                <w:sz w:val="18"/>
                <w:szCs w:val="18"/>
              </w:rPr>
              <w:t>均价（美元/吨）</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沙特阿拉伯</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805.9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437138.22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542.42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俄罗斯联邦</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653.05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348407.58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533.51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伊拉克</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583.72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306968.93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525.88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巴西</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354.85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189539.98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534.14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阿曼</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328.87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174366.71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530.2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安哥拉</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328.15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178149.88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542.9</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阿联酋</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258.22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139623.9</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540.72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科威特</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251.35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134843.85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536.47</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马来西亚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174.7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83971.22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480.65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美国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96.26</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55854.61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580.26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刚果(布)</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91.13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47343.83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519.54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挪威</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69.18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36927.63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533.8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哥伦比亚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68.34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35271.21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516.08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卡塔尔</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64.54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37220.38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576.66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哈萨克斯坦</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45.12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26471.98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586.75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利比亚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23195.14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572.7</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加拿大</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30.03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14370.86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478.62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赤道几内亚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25.09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14486.12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577.45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加纳</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25.05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13970.6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557.72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厄瓜多尔</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19.99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10327.98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516.75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喀麦隆</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14.05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7594.34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540.5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乍得</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13.86</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8080.11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582.96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越南</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13.42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7911.25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589.41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尼日利亚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13.28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7413.75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558.06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墨西哥</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13.14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6625.54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504.06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南苏丹共和国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13.01</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7366.39</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566.23</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加蓬</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12.8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6912.96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540.06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刚果(金)</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12.42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7058.26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568.4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印度尼西亚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10.2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4515.83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442.92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泰国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8.33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4594.73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551.51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埃及</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5.57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3236.05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581.09</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蒙古</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5.22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2117.52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405.41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澳大利亚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3.78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2400.85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635.56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合计</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4453.12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2384278.17</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191919"/>
                <w:sz w:val="18"/>
                <w:szCs w:val="18"/>
              </w:rPr>
            </w:pPr>
            <w:r>
              <w:rPr>
                <w:rFonts w:hint="eastAsia" w:ascii="宋体" w:hAnsi="宋体" w:eastAsia="宋体" w:cs="宋体"/>
                <w:color w:val="191919"/>
                <w:sz w:val="18"/>
                <w:szCs w:val="18"/>
              </w:rPr>
              <w:t>535.42</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tbl>
      <w:tblPr>
        <w:tblStyle w:val="24"/>
        <w:tblW w:w="4490" w:type="pct"/>
        <w:jc w:val="center"/>
        <w:tblLayout w:type="autofit"/>
        <w:tblCellMar>
          <w:top w:w="0" w:type="dxa"/>
          <w:left w:w="108" w:type="dxa"/>
          <w:bottom w:w="0" w:type="dxa"/>
          <w:right w:w="108" w:type="dxa"/>
        </w:tblCellMar>
      </w:tblPr>
      <w:tblGrid>
        <w:gridCol w:w="2854"/>
        <w:gridCol w:w="1871"/>
        <w:gridCol w:w="2002"/>
        <w:gridCol w:w="2122"/>
      </w:tblGrid>
      <w:tr>
        <w:tblPrEx>
          <w:tblCellMar>
            <w:top w:w="0" w:type="dxa"/>
            <w:left w:w="108" w:type="dxa"/>
            <w:bottom w:w="0" w:type="dxa"/>
            <w:right w:w="108" w:type="dxa"/>
          </w:tblCellMar>
        </w:tblPrEx>
        <w:trPr>
          <w:trHeight w:val="283" w:hRule="atLeast"/>
          <w:jc w:val="center"/>
        </w:trPr>
        <w:tc>
          <w:tcPr>
            <w:tcW w:w="1612"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贸易方式</w:t>
            </w:r>
          </w:p>
        </w:tc>
        <w:tc>
          <w:tcPr>
            <w:tcW w:w="1057"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万吨</w:t>
            </w:r>
          </w:p>
        </w:tc>
        <w:tc>
          <w:tcPr>
            <w:tcW w:w="113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万美元</w:t>
            </w:r>
          </w:p>
        </w:tc>
        <w:tc>
          <w:tcPr>
            <w:tcW w:w="119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均价（美元/吨）</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一般贸易</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3504.06</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1880290.73</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536.6</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来料加工贸易</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267.23</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146714.9</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549.01</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保税监管场所进出境货物</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681.83</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357272.54</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523.99</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合计</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4453.12</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2384278.17</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535.42</w:t>
            </w:r>
          </w:p>
        </w:tc>
      </w:tr>
    </w:tbl>
    <w:p>
      <w:pPr>
        <w:widowControl/>
        <w:jc w:val="both"/>
        <w:rPr>
          <w:rFonts w:hint="eastAsia" w:ascii="宋体" w:hAnsi="宋体" w:cs="宋体"/>
          <w:color w:val="auto"/>
          <w:kern w:val="0"/>
          <w:szCs w:val="21"/>
        </w:rPr>
      </w:pP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月份航空煤油进出口统计数据</w:t>
      </w:r>
      <w:bookmarkEnd w:id="30"/>
      <w:bookmarkEnd w:id="31"/>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spacing w:val="0"/>
                <w:sz w:val="18"/>
                <w:szCs w:val="18"/>
              </w:rPr>
              <w:t>出口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8月进口量:118942.7（吨）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8月出口量:921199.72（吨）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累计进口量:988463.351吨）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累计出口量:5307636.876（吨）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当月进口均价:4080.04（元/吨）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当月出口均价:3731.15（元/吨）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累计进口均价：28492.45（元/吨）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累计出口均价:26394.87（元/吨）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进口量环比:99.10%</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出口量环比：39.12%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进口量同比：9.00%</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出口量同比：210.81%</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累计进口量比去年同期：-50.78%</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累计出口量比去年同期：-36.70%</w:t>
            </w:r>
          </w:p>
        </w:tc>
      </w:tr>
    </w:tbl>
    <w:p>
      <w:pPr>
        <w:rPr>
          <w:color w:val="auto"/>
        </w:rPr>
      </w:pPr>
    </w:p>
    <w:p>
      <w:pPr>
        <w:rPr>
          <w:color w:val="auto"/>
        </w:rPr>
      </w:pPr>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AA3B04"/>
    <w:rsid w:val="0CB81916"/>
    <w:rsid w:val="0CD123E3"/>
    <w:rsid w:val="0CD35464"/>
    <w:rsid w:val="0CE32FB8"/>
    <w:rsid w:val="0CE44838"/>
    <w:rsid w:val="0CEA48B8"/>
    <w:rsid w:val="0D206C21"/>
    <w:rsid w:val="0D4A442D"/>
    <w:rsid w:val="0D731CA1"/>
    <w:rsid w:val="0D735A75"/>
    <w:rsid w:val="0D775B07"/>
    <w:rsid w:val="0D79688B"/>
    <w:rsid w:val="0D8323A4"/>
    <w:rsid w:val="0D893BAC"/>
    <w:rsid w:val="0D952410"/>
    <w:rsid w:val="0D9F3354"/>
    <w:rsid w:val="0DA370DA"/>
    <w:rsid w:val="0DA7099A"/>
    <w:rsid w:val="0DB01CE1"/>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9865FB"/>
    <w:rsid w:val="10A277F2"/>
    <w:rsid w:val="10BA0A0E"/>
    <w:rsid w:val="10CE39DE"/>
    <w:rsid w:val="10D36AEF"/>
    <w:rsid w:val="10FA6B68"/>
    <w:rsid w:val="10FF5E5F"/>
    <w:rsid w:val="11027028"/>
    <w:rsid w:val="11153BAA"/>
    <w:rsid w:val="11190B98"/>
    <w:rsid w:val="11230D2F"/>
    <w:rsid w:val="11247901"/>
    <w:rsid w:val="11365062"/>
    <w:rsid w:val="11422692"/>
    <w:rsid w:val="11590029"/>
    <w:rsid w:val="115A59A8"/>
    <w:rsid w:val="115F1C27"/>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E533B9"/>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800EE"/>
    <w:rsid w:val="155B6178"/>
    <w:rsid w:val="15615E0F"/>
    <w:rsid w:val="156D2843"/>
    <w:rsid w:val="15701AB8"/>
    <w:rsid w:val="15786279"/>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46206"/>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1751AE"/>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922FF3"/>
    <w:rsid w:val="25955E96"/>
    <w:rsid w:val="259B6E31"/>
    <w:rsid w:val="259E33E1"/>
    <w:rsid w:val="25A05607"/>
    <w:rsid w:val="25A07C39"/>
    <w:rsid w:val="25AF1FA5"/>
    <w:rsid w:val="25B677AD"/>
    <w:rsid w:val="25B904A8"/>
    <w:rsid w:val="25D93662"/>
    <w:rsid w:val="25DA3A68"/>
    <w:rsid w:val="25E06259"/>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92851"/>
    <w:rsid w:val="339C5454"/>
    <w:rsid w:val="33A258FF"/>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16542"/>
    <w:rsid w:val="35367A72"/>
    <w:rsid w:val="355171EC"/>
    <w:rsid w:val="355E299F"/>
    <w:rsid w:val="355E6D49"/>
    <w:rsid w:val="35671EE7"/>
    <w:rsid w:val="3572663B"/>
    <w:rsid w:val="357D4C50"/>
    <w:rsid w:val="3591419B"/>
    <w:rsid w:val="35925B04"/>
    <w:rsid w:val="35963717"/>
    <w:rsid w:val="35AB2A03"/>
    <w:rsid w:val="35AF3549"/>
    <w:rsid w:val="35C76B42"/>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D80C94"/>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D9763C"/>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C1281"/>
    <w:rsid w:val="3D821B83"/>
    <w:rsid w:val="3D8D1DDC"/>
    <w:rsid w:val="3D8E6A74"/>
    <w:rsid w:val="3D995C7E"/>
    <w:rsid w:val="3DA61EAB"/>
    <w:rsid w:val="3DB60CC1"/>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C04528"/>
    <w:rsid w:val="3FC379D7"/>
    <w:rsid w:val="3FCB012B"/>
    <w:rsid w:val="3FD00447"/>
    <w:rsid w:val="3FD27B2E"/>
    <w:rsid w:val="3FE71238"/>
    <w:rsid w:val="3FEE1DE8"/>
    <w:rsid w:val="3FFE5EFF"/>
    <w:rsid w:val="40171145"/>
    <w:rsid w:val="402104DC"/>
    <w:rsid w:val="402D3537"/>
    <w:rsid w:val="403075F2"/>
    <w:rsid w:val="40395203"/>
    <w:rsid w:val="40480E8F"/>
    <w:rsid w:val="404D32CE"/>
    <w:rsid w:val="40662C29"/>
    <w:rsid w:val="40742438"/>
    <w:rsid w:val="40791098"/>
    <w:rsid w:val="40932E75"/>
    <w:rsid w:val="409865C2"/>
    <w:rsid w:val="40A70377"/>
    <w:rsid w:val="40A97C8F"/>
    <w:rsid w:val="40BC5D67"/>
    <w:rsid w:val="40CA2A6E"/>
    <w:rsid w:val="40CC7CA3"/>
    <w:rsid w:val="40D775A2"/>
    <w:rsid w:val="40DC23A0"/>
    <w:rsid w:val="40EE33BE"/>
    <w:rsid w:val="40F436BC"/>
    <w:rsid w:val="40F61783"/>
    <w:rsid w:val="4100601D"/>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93D8C"/>
    <w:rsid w:val="45CC0EF3"/>
    <w:rsid w:val="45CC763D"/>
    <w:rsid w:val="45CF5AD4"/>
    <w:rsid w:val="45D61E17"/>
    <w:rsid w:val="45DD06D9"/>
    <w:rsid w:val="460D21F2"/>
    <w:rsid w:val="460E0469"/>
    <w:rsid w:val="460E0A15"/>
    <w:rsid w:val="46146FE1"/>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1E0B19"/>
    <w:rsid w:val="482B26B0"/>
    <w:rsid w:val="483A31DC"/>
    <w:rsid w:val="483B02D3"/>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B0365"/>
    <w:rsid w:val="4C7C64A4"/>
    <w:rsid w:val="4C9953D8"/>
    <w:rsid w:val="4C9E0D0B"/>
    <w:rsid w:val="4CBF4AE9"/>
    <w:rsid w:val="4CCA7CF8"/>
    <w:rsid w:val="4CCC299D"/>
    <w:rsid w:val="4CCE1B7D"/>
    <w:rsid w:val="4D0A349B"/>
    <w:rsid w:val="4D0D2E78"/>
    <w:rsid w:val="4D0F04ED"/>
    <w:rsid w:val="4D164C7E"/>
    <w:rsid w:val="4D283FC5"/>
    <w:rsid w:val="4D384A7C"/>
    <w:rsid w:val="4D3A0411"/>
    <w:rsid w:val="4D413BC0"/>
    <w:rsid w:val="4D427C91"/>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CE1AD5"/>
    <w:rsid w:val="55ED37B8"/>
    <w:rsid w:val="55F04C52"/>
    <w:rsid w:val="55F35D23"/>
    <w:rsid w:val="56281CBC"/>
    <w:rsid w:val="562878FA"/>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C5C03"/>
    <w:rsid w:val="59CE313C"/>
    <w:rsid w:val="59E474BD"/>
    <w:rsid w:val="59E869EC"/>
    <w:rsid w:val="59FC6B89"/>
    <w:rsid w:val="5A057FD1"/>
    <w:rsid w:val="5A143012"/>
    <w:rsid w:val="5A261D0E"/>
    <w:rsid w:val="5A2907FC"/>
    <w:rsid w:val="5A2E6A84"/>
    <w:rsid w:val="5A3B0F06"/>
    <w:rsid w:val="5A412A61"/>
    <w:rsid w:val="5A4752E2"/>
    <w:rsid w:val="5A527BDD"/>
    <w:rsid w:val="5A7A7F4C"/>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B28F8"/>
    <w:rsid w:val="5DFE50F6"/>
    <w:rsid w:val="5E026A9A"/>
    <w:rsid w:val="5E050796"/>
    <w:rsid w:val="5E123553"/>
    <w:rsid w:val="5E186B89"/>
    <w:rsid w:val="5E202832"/>
    <w:rsid w:val="5E2D7C7A"/>
    <w:rsid w:val="5E4E3F80"/>
    <w:rsid w:val="5E5F4BD4"/>
    <w:rsid w:val="5E852B0D"/>
    <w:rsid w:val="5E8A7777"/>
    <w:rsid w:val="5E932264"/>
    <w:rsid w:val="5EA1268E"/>
    <w:rsid w:val="5EB029CD"/>
    <w:rsid w:val="5ED20F44"/>
    <w:rsid w:val="5EDF3DC8"/>
    <w:rsid w:val="5EE7073E"/>
    <w:rsid w:val="5EEC61AE"/>
    <w:rsid w:val="5EF641A0"/>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265076"/>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879C5"/>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C34C5"/>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9595A"/>
    <w:rsid w:val="70FA4092"/>
    <w:rsid w:val="70FC3C7A"/>
    <w:rsid w:val="71075B1A"/>
    <w:rsid w:val="710E7F44"/>
    <w:rsid w:val="71193089"/>
    <w:rsid w:val="71211292"/>
    <w:rsid w:val="71243B68"/>
    <w:rsid w:val="712776C4"/>
    <w:rsid w:val="712A41BD"/>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2A199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55415F"/>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10</TotalTime>
  <ScaleCrop>false</ScaleCrop>
  <LinksUpToDate>false</LinksUpToDate>
  <CharactersWithSpaces>26786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2021-09-30T06:41:16Z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2052-11.1.0.10314</vt:lpwstr>
  </property>
  <property fmtid="{D5CDD505-2E9C-101B-9397-08002B2CF9AE}" pid="4" name="ICV">
    <vt:lpwstr>D366F8CEF0B34B9A839F473A36DCA92E</vt:lpwstr>
  </property>
</Properties>
</file>