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19"/>
        <w:gridCol w:w="1214"/>
        <w:gridCol w:w="1328"/>
        <w:gridCol w:w="1739"/>
        <w:gridCol w:w="1328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1927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2021/9/30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2021/9/29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40.75pt;width:487.3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26" o:spt="75" type="#_x0000_t75" style="height:333.2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sz w:val="18"/>
          <w:szCs w:val="18"/>
        </w:rPr>
        <w:t>市场挺价运作。近日部分酚酮企业相继公布降负消息，受此影响，持货商低出意向转淡，早盘挺价高开，下游终端工厂买兴一般，中间商谨慎参与，供方出货平平，交投少闻。原料纯苯继续走软，成本面偏空制约，苯酚下游终端采买多为刚需，持货商虽早盘稳价推进，但出货不畅，窄幅让利出货，交投有限。随着假期临近，持货商出货积极性放缓，让利意向不高，终端刚需入市询盘，递盘意向偏低，但低价商谈不多，午后买气略有提升，供方不乏略高报盘试探，交投追进一般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9500-9550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sz w:val="18"/>
          <w:szCs w:val="18"/>
        </w:rPr>
        <w:t>9600-9650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9400-9500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right="315" w:rightChars="15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挺价过渡，参考9500-9550元/吨。临近国庆假期，场内气氛变化不大，持货商低出意向不强，下游参与程度不高，成交有限。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sz w:val="18"/>
          <w:szCs w:val="18"/>
        </w:rPr>
        <w:t>坚挺运作，预估9600-9650元/吨。临近假期，市场气氛波动有限，持货商挺价过渡为主，下游补货积极性不强，实单成交冷清。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区间盘整，参考9400-9500元/吨。月底且逢假期，市场交投不温不火，业者观望过渡心态，商谈表现多显冷清，实单少闻。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观望整理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</w:t>
      </w:r>
      <w:r>
        <w:rPr>
          <w:rFonts w:hint="eastAsia" w:ascii="宋体" w:hAnsi="宋体" w:cs="宋体"/>
          <w:sz w:val="36"/>
          <w:szCs w:val="36"/>
          <w:lang w:val="zh-CN"/>
        </w:rPr>
        <w:t>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878.9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  <w:tab w:val="right" w:pos="146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  <w:bookmarkStart w:id="32" w:name="_GoBack"/>
            <w:bookmarkEnd w:id="32"/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</w:tbl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lang w:val="zh-CN"/>
        </w:rPr>
      </w:pPr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  <w:tab w:val="right" w:pos="146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1404325"/>
      <w:bookmarkStart w:id="25" w:name="_Toc210271058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0.05pt;width:486.8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65153687"/>
      <w:bookmarkStart w:id="29" w:name="_Toc399511075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0.9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本周，国内丙酮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市场</w:t>
      </w:r>
      <w:r>
        <w:rPr>
          <w:sz w:val="18"/>
          <w:szCs w:val="18"/>
        </w:rPr>
        <w:t>交投气氛略有向好，略有推涨。随着零星下游的入市补货，交投气氛向好，场内持货商心态得到提振，低价出货情绪减弱，而下游采购脚步受限，成交量释放不足，难以支撑市场重心推高。受限电影响，部分酚酮工厂装置降负运作，且有零星下游节前备货，持货商低出情绪减弱，报盘略有探涨，交投气氛转好，然整体成交量释放有限，多等待节后的进一步明朗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6300-6350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6700-6800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6300-6350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整理过渡，参考6300-6350元/吨。临近国庆假期，交投双方操作意向不强，市场商谈进入僵持态势，等待节后明朗，成交偏淡。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区间整理，预估6700-6800元/吨。临近国庆假期，持货商多有稳价观望情绪，下游终端入市补货迹象寥寥，整体成交难有放量。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气氛平平，预估6300-6350元/吨。月底适逢假期，交投双方操作意向减弱，市场商谈进入僵持阶段，实单成交量十分有限。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区间波动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D50A6"/>
    <w:rsid w:val="05D2389C"/>
    <w:rsid w:val="06026C2C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8B6379"/>
    <w:rsid w:val="06912A66"/>
    <w:rsid w:val="06A85529"/>
    <w:rsid w:val="06B21C8C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F419E8"/>
    <w:rsid w:val="3BFB37F3"/>
    <w:rsid w:val="3BFB3940"/>
    <w:rsid w:val="3C067D4B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9312A"/>
    <w:rsid w:val="4A6D387B"/>
    <w:rsid w:val="4A7E52E3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252D2"/>
    <w:rsid w:val="5CA33A30"/>
    <w:rsid w:val="5CA423F0"/>
    <w:rsid w:val="5CAB07D4"/>
    <w:rsid w:val="5CBB57BF"/>
    <w:rsid w:val="5CBF662B"/>
    <w:rsid w:val="5CC41463"/>
    <w:rsid w:val="5CDA556B"/>
    <w:rsid w:val="5CE95BD6"/>
    <w:rsid w:val="5D0E3D13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E87A07"/>
    <w:rsid w:val="70FA1FC7"/>
    <w:rsid w:val="710A6C99"/>
    <w:rsid w:val="712F03A0"/>
    <w:rsid w:val="713A389E"/>
    <w:rsid w:val="713D1C8C"/>
    <w:rsid w:val="71447C02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2021-09-30T05:32:30Z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