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rPr>
      </w:pPr>
      <w:r>
        <w:rPr>
          <w:rFonts w:ascii="宋体" w:hAnsi="宋体"/>
          <w:color w:val="auto"/>
          <w:sz w:val="72"/>
          <w:szCs w:val="72"/>
        </w:rPr>
        <w:drawing>
          <wp:anchor distT="0" distB="0" distL="114300" distR="114300" simplePos="0" relativeHeight="251659264" behindDoc="1" locked="0" layoutInCell="1" allowOverlap="1">
            <wp:simplePos x="0" y="0"/>
            <wp:positionH relativeFrom="column">
              <wp:posOffset>-982345</wp:posOffset>
            </wp:positionH>
            <wp:positionV relativeFrom="paragraph">
              <wp:posOffset>-909955</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95250</wp:posOffset>
                </wp:positionV>
                <wp:extent cx="3093085"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3093085" cy="754380"/>
                        </a:xfrm>
                        <a:prstGeom prst="rect">
                          <a:avLst/>
                        </a:prstGeom>
                        <a:noFill/>
                        <a:ln>
                          <a:noFill/>
                        </a:ln>
                      </wps:spPr>
                      <wps:txbx>
                        <w:txbxContent>
                          <w:p>
                            <w:pPr>
                              <w:pStyle w:val="2"/>
                              <w:jc w:val="center"/>
                              <w:rPr>
                                <w:b/>
                                <w:kern w:val="2"/>
                                <w:sz w:val="36"/>
                                <w:szCs w:val="36"/>
                              </w:rPr>
                            </w:pPr>
                            <w:r>
                              <w:rPr>
                                <w:rFonts w:hint="eastAsia"/>
                                <w:b/>
                                <w:kern w:val="2"/>
                                <w:sz w:val="36"/>
                                <w:szCs w:val="36"/>
                                <w:lang w:eastAsia="zh-CN"/>
                              </w:rPr>
                              <w:t>中</w:t>
                            </w:r>
                            <w:r>
                              <w:rPr>
                                <w:rFonts w:hint="eastAsia"/>
                                <w:b/>
                                <w:kern w:val="2"/>
                                <w:sz w:val="36"/>
                                <w:szCs w:val="36"/>
                                <w:lang w:val="en-US" w:eastAsia="zh-CN"/>
                              </w:rPr>
                              <w:t xml:space="preserve">  </w:t>
                            </w:r>
                            <w:r>
                              <w:rPr>
                                <w:rFonts w:hint="eastAsia"/>
                                <w:b/>
                                <w:kern w:val="2"/>
                                <w:sz w:val="36"/>
                                <w:szCs w:val="36"/>
                                <w:lang w:eastAsia="zh-CN"/>
                              </w:rPr>
                              <w:t>商</w:t>
                            </w:r>
                            <w:r>
                              <w:rPr>
                                <w:rFonts w:hint="eastAsia"/>
                                <w:b/>
                                <w:kern w:val="2"/>
                                <w:sz w:val="36"/>
                                <w:szCs w:val="36"/>
                                <w:lang w:val="en-US" w:eastAsia="zh-CN"/>
                              </w:rPr>
                              <w:t xml:space="preserve">  </w:t>
                            </w:r>
                            <w:r>
                              <w:rPr>
                                <w:rFonts w:hint="eastAsia"/>
                                <w:b/>
                                <w:kern w:val="2"/>
                                <w:sz w:val="36"/>
                                <w:szCs w:val="36"/>
                                <w:lang w:eastAsia="zh-CN"/>
                              </w:rPr>
                              <w:t>网</w:t>
                            </w:r>
                            <w:r>
                              <w:rPr>
                                <w:rFonts w:hint="eastAsia"/>
                                <w:b/>
                                <w:kern w:val="2"/>
                                <w:sz w:val="36"/>
                                <w:szCs w:val="36"/>
                                <w:lang w:val="en-US" w:eastAsia="zh-CN"/>
                              </w:rPr>
                              <w:t xml:space="preserve">  </w:t>
                            </w:r>
                            <w:r>
                              <w:rPr>
                                <w:rFonts w:hint="eastAsia"/>
                                <w:b/>
                                <w:kern w:val="2"/>
                                <w:sz w:val="36"/>
                                <w:szCs w:val="36"/>
                              </w:rPr>
                              <w:t>油  品  周  报</w:t>
                            </w:r>
                          </w:p>
                          <w:p>
                            <w:pPr>
                              <w:rPr>
                                <w:sz w:val="36"/>
                                <w:szCs w:val="36"/>
                              </w:rPr>
                            </w:pPr>
                          </w:p>
                          <w:p/>
                        </w:txbxContent>
                      </wps:txbx>
                      <wps:bodyPr upright="1"/>
                    </wps:wsp>
                  </a:graphicData>
                </a:graphic>
              </wp:anchor>
            </w:drawing>
          </mc:Choice>
          <mc:Fallback>
            <w:pict>
              <v:shape id="文本框 60" o:spid="_x0000_s1026" o:spt="202" type="#_x0000_t202" style="position:absolute;left:0pt;margin-left:119.25pt;margin-top:7.5pt;height:59.4pt;width:243.55pt;z-index:251660288;mso-width-relative:page;mso-height-relative:page;" filled="f" stroked="f" coordsize="21600,21600" o:gfxdata="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9cWvdcA&#10;AAAKAQAADwAAAAAAAAABACAAAAAiAAAAZHJzL2Rvd25yZXYueG1sUEsBAhQAFAAAAAgAh07iQAdb&#10;1N6uAQAATwMAAA4AAAAAAAAAAQAgAAAAJgEAAGRycy9lMm9Eb2MueG1sUEsFBgAAAAAGAAYAWQEA&#10;AEYFAAAAAA==&#10;">
                <v:fill on="f" focussize="0,0"/>
                <v:stroke on="f"/>
                <v:imagedata o:title=""/>
                <o:lock v:ext="edit" aspectratio="f"/>
                <v:textbox>
                  <w:txbxContent>
                    <w:p>
                      <w:pPr>
                        <w:pStyle w:val="2"/>
                        <w:jc w:val="center"/>
                        <w:rPr>
                          <w:b/>
                          <w:kern w:val="2"/>
                          <w:sz w:val="36"/>
                          <w:szCs w:val="36"/>
                        </w:rPr>
                      </w:pPr>
                      <w:r>
                        <w:rPr>
                          <w:rFonts w:hint="eastAsia"/>
                          <w:b/>
                          <w:kern w:val="2"/>
                          <w:sz w:val="36"/>
                          <w:szCs w:val="36"/>
                          <w:lang w:eastAsia="zh-CN"/>
                        </w:rPr>
                        <w:t>中</w:t>
                      </w:r>
                      <w:r>
                        <w:rPr>
                          <w:rFonts w:hint="eastAsia"/>
                          <w:b/>
                          <w:kern w:val="2"/>
                          <w:sz w:val="36"/>
                          <w:szCs w:val="36"/>
                          <w:lang w:val="en-US" w:eastAsia="zh-CN"/>
                        </w:rPr>
                        <w:t xml:space="preserve">  </w:t>
                      </w:r>
                      <w:r>
                        <w:rPr>
                          <w:rFonts w:hint="eastAsia"/>
                          <w:b/>
                          <w:kern w:val="2"/>
                          <w:sz w:val="36"/>
                          <w:szCs w:val="36"/>
                          <w:lang w:eastAsia="zh-CN"/>
                        </w:rPr>
                        <w:t>商</w:t>
                      </w:r>
                      <w:r>
                        <w:rPr>
                          <w:rFonts w:hint="eastAsia"/>
                          <w:b/>
                          <w:kern w:val="2"/>
                          <w:sz w:val="36"/>
                          <w:szCs w:val="36"/>
                          <w:lang w:val="en-US" w:eastAsia="zh-CN"/>
                        </w:rPr>
                        <w:t xml:space="preserve">  </w:t>
                      </w:r>
                      <w:r>
                        <w:rPr>
                          <w:rFonts w:hint="eastAsia"/>
                          <w:b/>
                          <w:kern w:val="2"/>
                          <w:sz w:val="36"/>
                          <w:szCs w:val="36"/>
                          <w:lang w:eastAsia="zh-CN"/>
                        </w:rPr>
                        <w:t>网</w:t>
                      </w:r>
                      <w:r>
                        <w:rPr>
                          <w:rFonts w:hint="eastAsia"/>
                          <w:b/>
                          <w:kern w:val="2"/>
                          <w:sz w:val="36"/>
                          <w:szCs w:val="36"/>
                          <w:lang w:val="en-US" w:eastAsia="zh-CN"/>
                        </w:rPr>
                        <w:t xml:space="preserve">  </w:t>
                      </w:r>
                      <w:r>
                        <w:rPr>
                          <w:rFonts w:hint="eastAsia"/>
                          <w:b/>
                          <w:kern w:val="2"/>
                          <w:sz w:val="36"/>
                          <w:szCs w:val="36"/>
                        </w:rPr>
                        <w:t>油  品  周  报</w:t>
                      </w:r>
                    </w:p>
                    <w:p>
                      <w:pPr>
                        <w:rPr>
                          <w:sz w:val="36"/>
                          <w:szCs w:val="36"/>
                        </w:rPr>
                      </w:pPr>
                    </w:p>
                    <w:p/>
                  </w:txbxContent>
                </v:textbox>
              </v:shape>
            </w:pict>
          </mc:Fallback>
        </mc:AlternateContent>
      </w:r>
    </w:p>
    <w:p>
      <w:pPr>
        <w:rPr>
          <w:rFonts w:ascii="宋体" w:hAnsi="宋体"/>
          <w:color w:val="auto"/>
        </w:rPr>
      </w:pPr>
    </w:p>
    <w:p>
      <w:pPr>
        <w:rPr>
          <w:rFonts w:ascii="宋体" w:hAnsi="宋体"/>
          <w:color w:val="auto"/>
        </w:rPr>
      </w:pPr>
    </w:p>
    <w:p>
      <w:pPr>
        <w:rPr>
          <w:rFonts w:ascii="宋体" w:hAnsi="宋体"/>
          <w:color w:val="auto"/>
        </w:rPr>
      </w:pPr>
    </w:p>
    <w:p>
      <w:pPr>
        <w:jc w:val="center"/>
        <w:rPr>
          <w:rFonts w:hint="default" w:ascii="宋体" w:hAnsi="宋体" w:eastAsia="宋体"/>
          <w:color w:val="auto"/>
          <w:lang w:val="en-US" w:eastAsia="zh-CN"/>
        </w:rPr>
      </w:pPr>
      <w:r>
        <w:rPr>
          <w:rFonts w:hint="eastAsia" w:ascii="宋体" w:hAnsi="宋体"/>
          <w:b/>
          <w:color w:val="auto"/>
          <w:sz w:val="36"/>
          <w:szCs w:val="36"/>
        </w:rPr>
        <w:t>20</w:t>
      </w:r>
      <w:r>
        <w:rPr>
          <w:rFonts w:hint="eastAsia" w:ascii="宋体" w:hAnsi="宋体"/>
          <w:b/>
          <w:color w:val="auto"/>
          <w:sz w:val="36"/>
          <w:szCs w:val="36"/>
          <w:lang w:val="en-US" w:eastAsia="zh-CN"/>
        </w:rPr>
        <w:t>21</w:t>
      </w:r>
      <w:r>
        <w:rPr>
          <w:rFonts w:hint="eastAsia" w:ascii="宋体" w:hAnsi="宋体"/>
          <w:b/>
          <w:color w:val="auto"/>
          <w:sz w:val="36"/>
          <w:szCs w:val="36"/>
        </w:rPr>
        <w:t>.</w:t>
      </w:r>
      <w:r>
        <w:rPr>
          <w:rFonts w:hint="eastAsia" w:ascii="宋体" w:hAnsi="宋体"/>
          <w:b/>
          <w:color w:val="auto"/>
          <w:sz w:val="36"/>
          <w:szCs w:val="36"/>
          <w:lang w:val="en-US" w:eastAsia="zh-CN"/>
        </w:rPr>
        <w:t>9.23</w:t>
      </w:r>
    </w:p>
    <w:p>
      <w:pPr>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60288;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CbeaHX&#10;AAAACgEAAA8AAAAAAAAAAQAgAAAAIgAAAGRycy9kb3ducmV2LnhtbFBLAQIUABQAAAAIAIdO4kDH&#10;CofIrwEAAFADAAAOAAAAAAAAAAEAIAAAACYBAABkcnMvZTJvRG9jLnhtbFBLBQYAAAAABgAGAFkB&#10;AABH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jc w:val="center"/>
        <w:rPr>
          <w:rFonts w:hint="eastAsia" w:ascii="宋体" w:hAnsi="宋体"/>
          <w:b/>
          <w:color w:val="auto"/>
          <w:sz w:val="32"/>
          <w:szCs w:val="32"/>
        </w:rPr>
      </w:pPr>
    </w:p>
    <w:p>
      <w:pPr>
        <w:jc w:val="center"/>
        <w:rPr>
          <w:rFonts w:ascii="宋体" w:hAnsi="宋体"/>
          <w:b/>
          <w:color w:val="auto"/>
          <w:sz w:val="32"/>
          <w:szCs w:val="32"/>
        </w:rPr>
      </w:pPr>
      <w:r>
        <w:rPr>
          <w:rFonts w:hint="eastAsia" w:ascii="宋体" w:hAnsi="宋体"/>
          <w:b/>
          <w:color w:val="auto"/>
          <w:sz w:val="32"/>
          <w:szCs w:val="32"/>
        </w:rPr>
        <w:t>目 录</w:t>
      </w:r>
    </w:p>
    <w:p>
      <w:pPr>
        <w:pStyle w:val="16"/>
        <w:tabs>
          <w:tab w:val="right" w:leader="dot" w:pos="9638"/>
          <w:tab w:val="clear" w:pos="9170"/>
        </w:tabs>
        <w:jc w:val="left"/>
        <w:rPr>
          <w:color w:val="auto"/>
        </w:rPr>
      </w:pPr>
      <w:r>
        <w:rPr>
          <w:rFonts w:hint="eastAsia" w:ascii="宋体" w:hAnsi="宋体" w:eastAsia="宋体" w:cs="宋体"/>
          <w:color w:val="auto"/>
          <w:sz w:val="24"/>
          <w:szCs w:val="21"/>
        </w:rPr>
        <w:fldChar w:fldCharType="begin"/>
      </w:r>
      <w:r>
        <w:rPr>
          <w:rFonts w:hint="eastAsia" w:ascii="宋体" w:hAnsi="宋体" w:eastAsia="宋体" w:cs="宋体"/>
          <w:color w:val="auto"/>
          <w:sz w:val="24"/>
          <w:szCs w:val="21"/>
        </w:rPr>
        <w:instrText xml:space="preserve"> TOC \o "1-3" \h \z </w:instrText>
      </w:r>
      <w:r>
        <w:rPr>
          <w:rFonts w:hint="eastAsia" w:ascii="宋体" w:hAnsi="宋体" w:eastAsia="宋体" w:cs="宋体"/>
          <w:color w:val="auto"/>
          <w:sz w:val="24"/>
          <w:szCs w:val="21"/>
        </w:rPr>
        <w:fldChar w:fldCharType="separate"/>
      </w:r>
      <w:r>
        <w:rPr>
          <w:rFonts w:hint="eastAsia" w:ascii="宋体" w:hAnsi="宋体" w:eastAsia="宋体" w:cs="宋体"/>
          <w:color w:val="auto"/>
          <w:sz w:val="36"/>
          <w:szCs w:val="36"/>
        </w:rPr>
        <w:fldChar w:fldCharType="begin"/>
      </w:r>
      <w:r>
        <w:rPr>
          <w:rFonts w:hint="eastAsia" w:ascii="宋体" w:hAnsi="宋体" w:eastAsia="宋体" w:cs="宋体"/>
          <w:color w:val="auto"/>
          <w:sz w:val="36"/>
          <w:szCs w:val="36"/>
        </w:rPr>
        <w:instrText xml:space="preserve"> HYPERLINK \l _Toc32272 </w:instrText>
      </w:r>
      <w:r>
        <w:rPr>
          <w:rFonts w:hint="eastAsia" w:ascii="宋体" w:hAnsi="宋体" w:eastAsia="宋体" w:cs="宋体"/>
          <w:color w:val="auto"/>
          <w:sz w:val="36"/>
          <w:szCs w:val="36"/>
        </w:rPr>
        <w:fldChar w:fldCharType="separate"/>
      </w:r>
      <w:r>
        <w:rPr>
          <w:rFonts w:hint="eastAsia" w:ascii="宋体" w:hAnsi="宋体" w:eastAsia="宋体" w:cs="宋体"/>
          <w:bCs/>
          <w:color w:val="auto"/>
          <w:kern w:val="0"/>
          <w:sz w:val="36"/>
          <w:szCs w:val="36"/>
        </w:rPr>
        <w:t xml:space="preserve">一、 </w:t>
      </w:r>
      <w:r>
        <w:rPr>
          <w:rFonts w:hint="eastAsia" w:ascii="宋体" w:hAnsi="宋体" w:eastAsia="宋体" w:cs="宋体"/>
          <w:color w:val="auto"/>
          <w:sz w:val="36"/>
          <w:szCs w:val="36"/>
        </w:rPr>
        <w:t>国际原油市场回顾 </w:t>
      </w:r>
      <w:r>
        <w:rPr>
          <w:rFonts w:hint="eastAsia" w:ascii="宋体" w:hAnsi="宋体" w:eastAsia="宋体" w:cs="宋体"/>
          <w:color w:val="auto"/>
          <w:sz w:val="36"/>
          <w:szCs w:val="36"/>
        </w:rPr>
        <w:tab/>
      </w:r>
      <w:r>
        <w:rPr>
          <w:rFonts w:hint="eastAsia" w:ascii="宋体" w:hAnsi="宋体" w:eastAsia="宋体" w:cs="宋体"/>
          <w:color w:val="auto"/>
          <w:sz w:val="36"/>
          <w:szCs w:val="36"/>
        </w:rPr>
        <w:fldChar w:fldCharType="begin"/>
      </w:r>
      <w:r>
        <w:rPr>
          <w:rFonts w:hint="eastAsia" w:ascii="宋体" w:hAnsi="宋体" w:eastAsia="宋体" w:cs="宋体"/>
          <w:color w:val="auto"/>
          <w:sz w:val="36"/>
          <w:szCs w:val="36"/>
        </w:rPr>
        <w:instrText xml:space="preserve"> PAGEREF _Toc32272 </w:instrText>
      </w:r>
      <w:r>
        <w:rPr>
          <w:rFonts w:hint="eastAsia" w:ascii="宋体" w:hAnsi="宋体" w:eastAsia="宋体" w:cs="宋体"/>
          <w:color w:val="auto"/>
          <w:sz w:val="36"/>
          <w:szCs w:val="36"/>
        </w:rPr>
        <w:fldChar w:fldCharType="separate"/>
      </w:r>
      <w:r>
        <w:rPr>
          <w:rFonts w:hint="eastAsia" w:ascii="宋体" w:hAnsi="宋体" w:eastAsia="宋体" w:cs="宋体"/>
          <w:color w:val="auto"/>
          <w:sz w:val="36"/>
          <w:szCs w:val="36"/>
        </w:rPr>
        <w:t>3</w:t>
      </w:r>
      <w:r>
        <w:rPr>
          <w:rFonts w:hint="eastAsia" w:ascii="宋体" w:hAnsi="宋体" w:eastAsia="宋体" w:cs="宋体"/>
          <w:color w:val="auto"/>
          <w:sz w:val="36"/>
          <w:szCs w:val="36"/>
        </w:rPr>
        <w:fldChar w:fldCharType="end"/>
      </w:r>
      <w:r>
        <w:rPr>
          <w:rFonts w:hint="eastAsia" w:ascii="宋体" w:hAnsi="宋体" w:eastAsia="宋体" w:cs="宋体"/>
          <w:color w:val="auto"/>
          <w:sz w:val="36"/>
          <w:szCs w:val="36"/>
        </w:rPr>
        <w:fldChar w:fldCharType="end"/>
      </w:r>
    </w:p>
    <w:p>
      <w:pPr>
        <w:pStyle w:val="20"/>
        <w:tabs>
          <w:tab w:val="right" w:leader="dot" w:pos="9638"/>
          <w:tab w:val="clear" w:pos="9170"/>
        </w:tabs>
        <w:rPr>
          <w:rFonts w:hint="eastAsia" w:ascii="宋体" w:hAnsi="宋体" w:eastAsia="宋体" w:cs="宋体"/>
          <w:b/>
          <w:bCs/>
          <w:color w:val="auto"/>
          <w:sz w:val="32"/>
          <w:szCs w:val="32"/>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_Toc6297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1、国际原油收盘价涨跌情况（单位：美元/桶）</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_Toc6297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3</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color w:val="auto"/>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_Toc5501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2.2021年国际原油价格走势图</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_Toc5501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4</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rFonts w:hint="eastAsia" w:ascii="宋体" w:hAnsi="宋体" w:eastAsia="宋体" w:cs="宋体"/>
          <w:b/>
          <w:bCs/>
          <w:color w:val="auto"/>
          <w:sz w:val="30"/>
          <w:szCs w:val="30"/>
        </w:rPr>
      </w:pPr>
      <w:r>
        <w:rPr>
          <w:rFonts w:hint="eastAsia" w:ascii="宋体" w:hAnsi="宋体" w:eastAsia="宋体" w:cs="宋体"/>
          <w:b/>
          <w:bCs/>
          <w:color w:val="auto"/>
          <w:sz w:val="30"/>
          <w:szCs w:val="30"/>
        </w:rPr>
        <w:fldChar w:fldCharType="begin"/>
      </w:r>
      <w:r>
        <w:rPr>
          <w:rFonts w:hint="eastAsia" w:ascii="宋体" w:hAnsi="宋体" w:eastAsia="宋体" w:cs="宋体"/>
          <w:b/>
          <w:bCs/>
          <w:color w:val="auto"/>
          <w:sz w:val="30"/>
          <w:szCs w:val="30"/>
        </w:rPr>
        <w:instrText xml:space="preserve"> HYPERLINK \l _Toc16647 </w:instrText>
      </w:r>
      <w:r>
        <w:rPr>
          <w:rFonts w:hint="eastAsia" w:ascii="宋体" w:hAnsi="宋体" w:eastAsia="宋体" w:cs="宋体"/>
          <w:b/>
          <w:bCs/>
          <w:color w:val="auto"/>
          <w:sz w:val="30"/>
          <w:szCs w:val="30"/>
        </w:rPr>
        <w:fldChar w:fldCharType="separate"/>
      </w:r>
      <w:r>
        <w:rPr>
          <w:rFonts w:hint="eastAsia" w:ascii="宋体" w:hAnsi="宋体" w:eastAsia="宋体" w:cs="宋体"/>
          <w:b/>
          <w:bCs/>
          <w:color w:val="auto"/>
          <w:sz w:val="30"/>
          <w:szCs w:val="30"/>
          <w:highlight w:val="none"/>
          <w:lang w:val="en-US" w:eastAsia="zh-CN"/>
        </w:rPr>
        <w:t>2.1近期影响国际原油市场的主要因素</w:t>
      </w:r>
      <w:r>
        <w:rPr>
          <w:rFonts w:hint="eastAsia" w:ascii="宋体" w:hAnsi="宋体" w:eastAsia="宋体" w:cs="宋体"/>
          <w:b/>
          <w:bCs/>
          <w:color w:val="auto"/>
          <w:sz w:val="30"/>
          <w:szCs w:val="30"/>
        </w:rPr>
        <w:tab/>
      </w:r>
      <w:r>
        <w:rPr>
          <w:rFonts w:hint="eastAsia" w:ascii="宋体" w:hAnsi="宋体" w:eastAsia="宋体" w:cs="宋体"/>
          <w:b/>
          <w:bCs/>
          <w:color w:val="auto"/>
          <w:sz w:val="30"/>
          <w:szCs w:val="30"/>
        </w:rPr>
        <w:fldChar w:fldCharType="begin"/>
      </w:r>
      <w:r>
        <w:rPr>
          <w:rFonts w:hint="eastAsia" w:ascii="宋体" w:hAnsi="宋体" w:eastAsia="宋体" w:cs="宋体"/>
          <w:b/>
          <w:bCs/>
          <w:color w:val="auto"/>
          <w:sz w:val="30"/>
          <w:szCs w:val="30"/>
        </w:rPr>
        <w:instrText xml:space="preserve"> PAGEREF _Toc16647 </w:instrText>
      </w:r>
      <w:r>
        <w:rPr>
          <w:rFonts w:hint="eastAsia" w:ascii="宋体" w:hAnsi="宋体" w:eastAsia="宋体" w:cs="宋体"/>
          <w:b/>
          <w:bCs/>
          <w:color w:val="auto"/>
          <w:sz w:val="30"/>
          <w:szCs w:val="30"/>
        </w:rPr>
        <w:fldChar w:fldCharType="separate"/>
      </w:r>
      <w:r>
        <w:rPr>
          <w:rFonts w:hint="eastAsia" w:ascii="宋体" w:hAnsi="宋体" w:eastAsia="宋体" w:cs="宋体"/>
          <w:b/>
          <w:bCs/>
          <w:color w:val="auto"/>
          <w:sz w:val="30"/>
          <w:szCs w:val="30"/>
        </w:rPr>
        <w:t>4</w:t>
      </w:r>
      <w:r>
        <w:rPr>
          <w:rFonts w:hint="eastAsia" w:ascii="宋体" w:hAnsi="宋体" w:eastAsia="宋体" w:cs="宋体"/>
          <w:b/>
          <w:bCs/>
          <w:color w:val="auto"/>
          <w:sz w:val="30"/>
          <w:szCs w:val="30"/>
        </w:rPr>
        <w:fldChar w:fldCharType="end"/>
      </w:r>
      <w:r>
        <w:rPr>
          <w:rFonts w:hint="eastAsia" w:ascii="宋体" w:hAnsi="宋体" w:eastAsia="宋体" w:cs="宋体"/>
          <w:b/>
          <w:bCs/>
          <w:color w:val="auto"/>
          <w:sz w:val="30"/>
          <w:szCs w:val="30"/>
        </w:rPr>
        <w:fldChar w:fldCharType="end"/>
      </w:r>
    </w:p>
    <w:p>
      <w:pPr>
        <w:pStyle w:val="20"/>
        <w:tabs>
          <w:tab w:val="right" w:leader="dot" w:pos="9638"/>
          <w:tab w:val="clear" w:pos="9170"/>
        </w:tabs>
        <w:rPr>
          <w:rFonts w:hint="eastAsia" w:ascii="宋体" w:hAnsi="宋体" w:eastAsia="宋体" w:cs="宋体"/>
          <w:b/>
          <w:bCs/>
          <w:color w:val="auto"/>
          <w:sz w:val="32"/>
          <w:szCs w:val="32"/>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_Toc184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1.美国原油库存情况</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_Toc184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4</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rFonts w:hint="eastAsia" w:ascii="宋体" w:hAnsi="宋体" w:eastAsia="宋体" w:cs="宋体"/>
          <w:b/>
          <w:bCs/>
          <w:color w:val="auto"/>
          <w:sz w:val="32"/>
          <w:szCs w:val="32"/>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_Toc16360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2.美国经济形势</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_Toc16360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5</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rFonts w:hint="eastAsia" w:ascii="宋体" w:hAnsi="宋体" w:eastAsia="宋体" w:cs="宋体"/>
          <w:b/>
          <w:bCs/>
          <w:color w:val="auto"/>
          <w:sz w:val="32"/>
          <w:szCs w:val="32"/>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_Toc30724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3.世界经济形势</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_Toc30724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10</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color w:val="auto"/>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_Toc23898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4后市预测</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_Toc23898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15</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_Toc30787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2.2国际市场MTBE价格</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_Toc30787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16</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aps/>
          <w:smallCaps w:val="0"/>
          <w:color w:val="auto"/>
          <w:kern w:val="2"/>
          <w:sz w:val="36"/>
          <w:szCs w:val="36"/>
          <w:lang w:val="en-US" w:eastAsia="zh-CN" w:bidi="ar-SA"/>
        </w:rPr>
      </w:pPr>
      <w:r>
        <w:rPr>
          <w:rFonts w:hint="eastAsia" w:ascii="宋体" w:hAnsi="宋体" w:eastAsia="宋体" w:cs="宋体"/>
          <w:b/>
          <w:bCs/>
          <w:caps/>
          <w:smallCaps w:val="0"/>
          <w:color w:val="auto"/>
          <w:kern w:val="2"/>
          <w:sz w:val="36"/>
          <w:szCs w:val="36"/>
          <w:lang w:val="en-US" w:eastAsia="zh-CN" w:bidi="ar-SA"/>
        </w:rPr>
        <w:fldChar w:fldCharType="begin"/>
      </w:r>
      <w:r>
        <w:rPr>
          <w:rFonts w:hint="eastAsia" w:ascii="宋体" w:hAnsi="宋体" w:eastAsia="宋体" w:cs="宋体"/>
          <w:b/>
          <w:bCs/>
          <w:caps/>
          <w:smallCaps w:val="0"/>
          <w:color w:val="auto"/>
          <w:kern w:val="2"/>
          <w:sz w:val="36"/>
          <w:szCs w:val="36"/>
          <w:lang w:val="en-US" w:eastAsia="zh-CN" w:bidi="ar-SA"/>
        </w:rPr>
        <w:instrText xml:space="preserve"> HYPERLINK \l _Toc11000 </w:instrText>
      </w:r>
      <w:r>
        <w:rPr>
          <w:rFonts w:hint="eastAsia" w:ascii="宋体" w:hAnsi="宋体" w:eastAsia="宋体" w:cs="宋体"/>
          <w:b/>
          <w:bCs/>
          <w:caps/>
          <w:smallCaps w:val="0"/>
          <w:color w:val="auto"/>
          <w:kern w:val="2"/>
          <w:sz w:val="36"/>
          <w:szCs w:val="36"/>
          <w:lang w:val="en-US" w:eastAsia="zh-CN" w:bidi="ar-SA"/>
        </w:rPr>
        <w:fldChar w:fldCharType="separate"/>
      </w:r>
      <w:r>
        <w:rPr>
          <w:rFonts w:hint="eastAsia" w:ascii="宋体" w:hAnsi="宋体" w:eastAsia="宋体" w:cs="宋体"/>
          <w:b/>
          <w:bCs/>
          <w:caps/>
          <w:smallCaps w:val="0"/>
          <w:color w:val="auto"/>
          <w:kern w:val="2"/>
          <w:sz w:val="36"/>
          <w:szCs w:val="36"/>
          <w:lang w:val="en-US" w:eastAsia="zh-CN" w:bidi="ar-SA"/>
        </w:rPr>
        <w:t>三、本周国内市场</w:t>
      </w:r>
      <w:r>
        <w:rPr>
          <w:rFonts w:hint="eastAsia" w:ascii="宋体" w:hAnsi="宋体" w:eastAsia="宋体" w:cs="宋体"/>
          <w:b/>
          <w:bCs/>
          <w:caps/>
          <w:smallCaps w:val="0"/>
          <w:color w:val="auto"/>
          <w:kern w:val="2"/>
          <w:sz w:val="36"/>
          <w:szCs w:val="36"/>
          <w:lang w:val="en-US" w:eastAsia="zh-CN" w:bidi="ar-SA"/>
        </w:rPr>
        <w:tab/>
      </w:r>
      <w:r>
        <w:rPr>
          <w:rFonts w:hint="eastAsia" w:ascii="宋体" w:hAnsi="宋体" w:eastAsia="宋体" w:cs="宋体"/>
          <w:b/>
          <w:bCs/>
          <w:caps/>
          <w:smallCaps w:val="0"/>
          <w:color w:val="auto"/>
          <w:kern w:val="2"/>
          <w:sz w:val="36"/>
          <w:szCs w:val="36"/>
          <w:lang w:val="en-US" w:eastAsia="zh-CN" w:bidi="ar-SA"/>
        </w:rPr>
        <w:fldChar w:fldCharType="begin"/>
      </w:r>
      <w:r>
        <w:rPr>
          <w:rFonts w:hint="eastAsia" w:ascii="宋体" w:hAnsi="宋体" w:eastAsia="宋体" w:cs="宋体"/>
          <w:b/>
          <w:bCs/>
          <w:caps/>
          <w:smallCaps w:val="0"/>
          <w:color w:val="auto"/>
          <w:kern w:val="2"/>
          <w:sz w:val="36"/>
          <w:szCs w:val="36"/>
          <w:lang w:val="en-US" w:eastAsia="zh-CN" w:bidi="ar-SA"/>
        </w:rPr>
        <w:instrText xml:space="preserve"> PAGEREF _Toc11000 </w:instrText>
      </w:r>
      <w:r>
        <w:rPr>
          <w:rFonts w:hint="eastAsia" w:ascii="宋体" w:hAnsi="宋体" w:eastAsia="宋体" w:cs="宋体"/>
          <w:b/>
          <w:bCs/>
          <w:caps/>
          <w:smallCaps w:val="0"/>
          <w:color w:val="auto"/>
          <w:kern w:val="2"/>
          <w:sz w:val="36"/>
          <w:szCs w:val="36"/>
          <w:lang w:val="en-US" w:eastAsia="zh-CN" w:bidi="ar-SA"/>
        </w:rPr>
        <w:fldChar w:fldCharType="separate"/>
      </w:r>
      <w:r>
        <w:rPr>
          <w:rFonts w:hint="eastAsia" w:ascii="宋体" w:hAnsi="宋体" w:eastAsia="宋体" w:cs="宋体"/>
          <w:b/>
          <w:bCs/>
          <w:caps/>
          <w:smallCaps w:val="0"/>
          <w:color w:val="auto"/>
          <w:kern w:val="2"/>
          <w:sz w:val="36"/>
          <w:szCs w:val="36"/>
          <w:lang w:val="en-US" w:eastAsia="zh-CN" w:bidi="ar-SA"/>
        </w:rPr>
        <w:t>16</w:t>
      </w:r>
      <w:r>
        <w:rPr>
          <w:rFonts w:hint="eastAsia" w:ascii="宋体" w:hAnsi="宋体" w:eastAsia="宋体" w:cs="宋体"/>
          <w:b/>
          <w:bCs/>
          <w:caps/>
          <w:smallCaps w:val="0"/>
          <w:color w:val="auto"/>
          <w:kern w:val="2"/>
          <w:sz w:val="36"/>
          <w:szCs w:val="36"/>
          <w:lang w:val="en-US" w:eastAsia="zh-CN" w:bidi="ar-SA"/>
        </w:rPr>
        <w:fldChar w:fldCharType="end"/>
      </w:r>
      <w:r>
        <w:rPr>
          <w:rFonts w:hint="eastAsia" w:ascii="宋体" w:hAnsi="宋体" w:eastAsia="宋体" w:cs="宋体"/>
          <w:b/>
          <w:bCs/>
          <w:caps/>
          <w:smallCaps w:val="0"/>
          <w:color w:val="auto"/>
          <w:kern w:val="2"/>
          <w:sz w:val="36"/>
          <w:szCs w:val="36"/>
          <w:lang w:val="en-US" w:eastAsia="zh-CN" w:bidi="ar-SA"/>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_Toc7167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3.1 国内炼厂装置运行情况</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_Toc7167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16</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_Toc13096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3.2本周成品油市场行情</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_Toc13096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18</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_Toc24031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3.3 国内汽油价格周报</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_Toc24031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21</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_Toc16466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3.4国内柴油价格周报</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_Toc16466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25</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_Toc6052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3.5 山东地炼汽油出厂价格周报</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_Toc6052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27</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color w:val="auto"/>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_Toc25179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3.6 山东地炼柴油出厂价格周报</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_Toc25179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29</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jc w:val="left"/>
        <w:rPr>
          <w:rFonts w:hint="eastAsia" w:ascii="宋体" w:hAnsi="宋体" w:eastAsia="宋体" w:cs="宋体"/>
          <w:b/>
          <w:bCs/>
          <w:caps/>
          <w:smallCaps w:val="0"/>
          <w:color w:val="auto"/>
          <w:kern w:val="2"/>
          <w:sz w:val="36"/>
          <w:szCs w:val="36"/>
          <w:lang w:val="en-US" w:eastAsia="zh-CN" w:bidi="ar-SA"/>
        </w:rPr>
      </w:pPr>
      <w:r>
        <w:rPr>
          <w:rFonts w:hint="eastAsia" w:ascii="宋体" w:hAnsi="宋体" w:eastAsia="宋体" w:cs="宋体"/>
          <w:b/>
          <w:bCs/>
          <w:caps/>
          <w:smallCaps w:val="0"/>
          <w:color w:val="auto"/>
          <w:kern w:val="2"/>
          <w:sz w:val="36"/>
          <w:szCs w:val="36"/>
          <w:lang w:val="en-US" w:eastAsia="zh-CN" w:bidi="ar-SA"/>
        </w:rPr>
        <w:fldChar w:fldCharType="begin"/>
      </w:r>
      <w:r>
        <w:rPr>
          <w:rFonts w:hint="eastAsia" w:ascii="宋体" w:hAnsi="宋体" w:eastAsia="宋体" w:cs="宋体"/>
          <w:b/>
          <w:bCs/>
          <w:caps/>
          <w:smallCaps w:val="0"/>
          <w:color w:val="auto"/>
          <w:kern w:val="2"/>
          <w:sz w:val="36"/>
          <w:szCs w:val="36"/>
          <w:lang w:val="en-US" w:eastAsia="zh-CN" w:bidi="ar-SA"/>
        </w:rPr>
        <w:instrText xml:space="preserve"> HYPERLINK \l _Toc27167 </w:instrText>
      </w:r>
      <w:r>
        <w:rPr>
          <w:rFonts w:hint="eastAsia" w:ascii="宋体" w:hAnsi="宋体" w:eastAsia="宋体" w:cs="宋体"/>
          <w:b/>
          <w:bCs/>
          <w:caps/>
          <w:smallCaps w:val="0"/>
          <w:color w:val="auto"/>
          <w:kern w:val="2"/>
          <w:sz w:val="36"/>
          <w:szCs w:val="36"/>
          <w:lang w:val="en-US" w:eastAsia="zh-CN" w:bidi="ar-SA"/>
        </w:rPr>
        <w:fldChar w:fldCharType="separate"/>
      </w:r>
      <w:r>
        <w:rPr>
          <w:rFonts w:hint="eastAsia" w:ascii="宋体" w:hAnsi="宋体" w:eastAsia="宋体" w:cs="宋体"/>
          <w:b/>
          <w:bCs/>
          <w:caps/>
          <w:smallCaps w:val="0"/>
          <w:color w:val="auto"/>
          <w:kern w:val="2"/>
          <w:sz w:val="36"/>
          <w:szCs w:val="36"/>
          <w:lang w:val="en-US" w:eastAsia="zh-CN" w:bidi="ar-SA"/>
        </w:rPr>
        <w:t>四、2021年7月份进出口统计数据</w:t>
      </w:r>
      <w:r>
        <w:rPr>
          <w:rFonts w:hint="eastAsia" w:ascii="宋体" w:hAnsi="宋体" w:eastAsia="宋体" w:cs="宋体"/>
          <w:b/>
          <w:bCs/>
          <w:caps/>
          <w:smallCaps w:val="0"/>
          <w:color w:val="auto"/>
          <w:kern w:val="2"/>
          <w:sz w:val="36"/>
          <w:szCs w:val="36"/>
          <w:lang w:val="en-US" w:eastAsia="zh-CN" w:bidi="ar-SA"/>
        </w:rPr>
        <w:tab/>
      </w:r>
      <w:r>
        <w:rPr>
          <w:rFonts w:hint="eastAsia" w:ascii="宋体" w:hAnsi="宋体" w:eastAsia="宋体" w:cs="宋体"/>
          <w:b/>
          <w:bCs/>
          <w:caps/>
          <w:smallCaps w:val="0"/>
          <w:color w:val="auto"/>
          <w:kern w:val="2"/>
          <w:sz w:val="36"/>
          <w:szCs w:val="36"/>
          <w:lang w:val="en-US" w:eastAsia="zh-CN" w:bidi="ar-SA"/>
        </w:rPr>
        <w:fldChar w:fldCharType="begin"/>
      </w:r>
      <w:r>
        <w:rPr>
          <w:rFonts w:hint="eastAsia" w:ascii="宋体" w:hAnsi="宋体" w:eastAsia="宋体" w:cs="宋体"/>
          <w:b/>
          <w:bCs/>
          <w:caps/>
          <w:smallCaps w:val="0"/>
          <w:color w:val="auto"/>
          <w:kern w:val="2"/>
          <w:sz w:val="36"/>
          <w:szCs w:val="36"/>
          <w:lang w:val="en-US" w:eastAsia="zh-CN" w:bidi="ar-SA"/>
        </w:rPr>
        <w:instrText xml:space="preserve"> PAGEREF _Toc27167 </w:instrText>
      </w:r>
      <w:r>
        <w:rPr>
          <w:rFonts w:hint="eastAsia" w:ascii="宋体" w:hAnsi="宋体" w:eastAsia="宋体" w:cs="宋体"/>
          <w:b/>
          <w:bCs/>
          <w:caps/>
          <w:smallCaps w:val="0"/>
          <w:color w:val="auto"/>
          <w:kern w:val="2"/>
          <w:sz w:val="36"/>
          <w:szCs w:val="36"/>
          <w:lang w:val="en-US" w:eastAsia="zh-CN" w:bidi="ar-SA"/>
        </w:rPr>
        <w:fldChar w:fldCharType="separate"/>
      </w:r>
      <w:r>
        <w:rPr>
          <w:rFonts w:hint="eastAsia" w:ascii="宋体" w:hAnsi="宋体" w:eastAsia="宋体" w:cs="宋体"/>
          <w:b/>
          <w:bCs/>
          <w:caps/>
          <w:smallCaps w:val="0"/>
          <w:color w:val="auto"/>
          <w:kern w:val="2"/>
          <w:sz w:val="36"/>
          <w:szCs w:val="36"/>
          <w:lang w:val="en-US" w:eastAsia="zh-CN" w:bidi="ar-SA"/>
        </w:rPr>
        <w:t>31</w:t>
      </w:r>
      <w:r>
        <w:rPr>
          <w:rFonts w:hint="eastAsia" w:ascii="宋体" w:hAnsi="宋体" w:eastAsia="宋体" w:cs="宋体"/>
          <w:b/>
          <w:bCs/>
          <w:caps/>
          <w:smallCaps w:val="0"/>
          <w:color w:val="auto"/>
          <w:kern w:val="2"/>
          <w:sz w:val="36"/>
          <w:szCs w:val="36"/>
          <w:lang w:val="en-US" w:eastAsia="zh-CN" w:bidi="ar-SA"/>
        </w:rPr>
        <w:fldChar w:fldCharType="end"/>
      </w:r>
      <w:r>
        <w:rPr>
          <w:rFonts w:hint="eastAsia" w:ascii="宋体" w:hAnsi="宋体" w:eastAsia="宋体" w:cs="宋体"/>
          <w:b/>
          <w:bCs/>
          <w:caps/>
          <w:smallCaps w:val="0"/>
          <w:color w:val="auto"/>
          <w:kern w:val="2"/>
          <w:sz w:val="36"/>
          <w:szCs w:val="36"/>
          <w:lang w:val="en-US" w:eastAsia="zh-CN" w:bidi="ar-SA"/>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_Toc19791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4.1 2021年7份全国车用汽油进出口统计数据</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_Toc19791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31</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_Toc23995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4.2 2021年7月份全国柴油出口统计数据</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_Toc23995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34</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_Toc16942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4.3 2021年7月份全国原油进出口统计数据</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_Toc16942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35</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color w:val="auto"/>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_Toc18589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4.4 2021年7月份航空煤油进出口统计数据</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_Toc18589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36</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rPr>
          <w:color w:val="auto"/>
        </w:rPr>
      </w:pPr>
      <w:r>
        <w:rPr>
          <w:rFonts w:hint="eastAsia" w:ascii="宋体" w:hAnsi="宋体" w:eastAsia="宋体" w:cs="宋体"/>
          <w:color w:val="auto"/>
          <w:szCs w:val="21"/>
        </w:rPr>
        <w:fldChar w:fldCharType="end"/>
      </w:r>
    </w:p>
    <w:p>
      <w:pPr>
        <w:pStyle w:val="2"/>
        <w:numPr>
          <w:ilvl w:val="0"/>
          <w:numId w:val="1"/>
        </w:numPr>
        <w:spacing w:before="120" w:after="0" w:line="240" w:lineRule="auto"/>
        <w:rPr>
          <w:rFonts w:hint="eastAsia" w:asciiTheme="minorEastAsia" w:hAnsiTheme="minorEastAsia" w:eastAsiaTheme="minorEastAsia" w:cstheme="minorEastAsia"/>
          <w:b/>
          <w:bCs/>
          <w:color w:val="auto"/>
          <w:kern w:val="0"/>
          <w:sz w:val="30"/>
          <w:szCs w:val="30"/>
        </w:rPr>
      </w:pPr>
      <w:bookmarkStart w:id="0" w:name="_Toc32272"/>
      <w:r>
        <w:rPr>
          <w:rFonts w:hint="eastAsia" w:ascii="宋体" w:hAnsi="宋体" w:eastAsia="宋体" w:cs="宋体"/>
          <w:b/>
          <w:bCs/>
          <w:color w:val="auto"/>
          <w:kern w:val="2"/>
          <w:sz w:val="36"/>
          <w:szCs w:val="36"/>
          <w:highlight w:val="none"/>
          <w:lang w:val="en-US" w:eastAsia="zh-CN" w:bidi="ar-SA"/>
        </w:rPr>
        <w:t>国际原油市场回顾 </w:t>
      </w:r>
      <w:bookmarkEnd w:id="0"/>
    </w:p>
    <w:p>
      <w:pPr>
        <w:pStyle w:val="3"/>
        <w:numPr>
          <w:ilvl w:val="0"/>
          <w:numId w:val="2"/>
        </w:numPr>
        <w:spacing w:before="120" w:after="120" w:line="240" w:lineRule="auto"/>
        <w:rPr>
          <w:rFonts w:hint="eastAsia" w:ascii="宋体" w:hAnsi="宋体" w:eastAsia="宋体" w:cs="宋体"/>
          <w:b/>
          <w:color w:val="auto"/>
          <w:sz w:val="32"/>
          <w:szCs w:val="32"/>
          <w:highlight w:val="none"/>
          <w:lang w:val="en-US" w:eastAsia="zh-CN"/>
        </w:rPr>
      </w:pPr>
      <w:bookmarkStart w:id="1" w:name="_Toc67556952"/>
      <w:bookmarkStart w:id="2" w:name="_Toc6297"/>
      <w:r>
        <w:rPr>
          <w:rFonts w:hint="eastAsia" w:ascii="宋体" w:hAnsi="宋体" w:eastAsia="宋体" w:cs="宋体"/>
          <w:b/>
          <w:color w:val="auto"/>
          <w:sz w:val="32"/>
          <w:szCs w:val="32"/>
          <w:highlight w:val="none"/>
          <w:lang w:val="en-US" w:eastAsia="zh-CN"/>
        </w:rPr>
        <w:t>国际原油收盘价涨跌情况（单位：美元/桶）</w:t>
      </w:r>
      <w:bookmarkEnd w:id="1"/>
      <w:bookmarkEnd w:id="2"/>
    </w:p>
    <w:tbl>
      <w:tblPr>
        <w:tblStyle w:val="24"/>
        <w:tblW w:w="5000" w:type="pct"/>
        <w:tblInd w:w="0" w:type="dxa"/>
        <w:tblLayout w:type="autofit"/>
        <w:tblCellMar>
          <w:top w:w="15" w:type="dxa"/>
          <w:left w:w="15" w:type="dxa"/>
          <w:bottom w:w="15" w:type="dxa"/>
          <w:right w:w="15" w:type="dxa"/>
        </w:tblCellMar>
      </w:tblPr>
      <w:tblGrid>
        <w:gridCol w:w="1440"/>
        <w:gridCol w:w="791"/>
        <w:gridCol w:w="791"/>
        <w:gridCol w:w="6646"/>
      </w:tblGrid>
      <w:tr>
        <w:tblPrEx>
          <w:tblCellMar>
            <w:top w:w="15" w:type="dxa"/>
            <w:left w:w="15" w:type="dxa"/>
            <w:bottom w:w="15" w:type="dxa"/>
            <w:right w:w="15" w:type="dxa"/>
          </w:tblCellMar>
        </w:tblPrEx>
        <w:trPr>
          <w:trHeight w:val="283" w:hRule="atLeast"/>
          <w:tblHeader/>
        </w:trPr>
        <w:tc>
          <w:tcPr>
            <w:tcW w:w="745"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日期</w:t>
            </w:r>
          </w:p>
        </w:tc>
        <w:tc>
          <w:tcPr>
            <w:tcW w:w="409"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纽交所</w:t>
            </w:r>
          </w:p>
        </w:tc>
        <w:tc>
          <w:tcPr>
            <w:tcW w:w="409"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伦交所</w:t>
            </w:r>
          </w:p>
        </w:tc>
        <w:tc>
          <w:tcPr>
            <w:tcW w:w="3437"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影响因素</w:t>
            </w:r>
          </w:p>
        </w:tc>
      </w:tr>
      <w:tr>
        <w:tblPrEx>
          <w:tblCellMar>
            <w:top w:w="15" w:type="dxa"/>
            <w:left w:w="15" w:type="dxa"/>
            <w:bottom w:w="15" w:type="dxa"/>
            <w:right w:w="15" w:type="dxa"/>
          </w:tblCellMar>
        </w:tblPrEx>
        <w:trPr>
          <w:trHeight w:val="410" w:hRule="atLeast"/>
        </w:trPr>
        <w:tc>
          <w:tcPr>
            <w:tcW w:w="745"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2021/9/16</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72.61</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75.67</w:t>
            </w:r>
          </w:p>
        </w:tc>
        <w:tc>
          <w:tcPr>
            <w:tcW w:w="34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3"/>
              <w:rPr>
                <w:rFonts w:hint="eastAsia"/>
                <w:sz w:val="18"/>
                <w:szCs w:val="18"/>
              </w:rPr>
            </w:pPr>
            <w:r>
              <w:rPr>
                <w:sz w:val="18"/>
                <w:szCs w:val="18"/>
              </w:rPr>
              <w:t>美国受到飓风破坏的油气和炼油生产逐渐恢复，预计10月份美国页岩油产量增加，交易商回吐涨幅，国际油价涨势减弱</w:t>
            </w:r>
            <w:r>
              <w:rPr>
                <w:rFonts w:hint="eastAsia"/>
                <w:sz w:val="18"/>
                <w:szCs w:val="18"/>
              </w:rPr>
              <w:t>。</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2021/9/17</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71.97</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75.34</w:t>
            </w:r>
          </w:p>
        </w:tc>
        <w:tc>
          <w:tcPr>
            <w:tcW w:w="34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3"/>
              <w:rPr>
                <w:rFonts w:hint="eastAsia"/>
                <w:sz w:val="18"/>
                <w:szCs w:val="18"/>
              </w:rPr>
            </w:pPr>
            <w:r>
              <w:rPr>
                <w:sz w:val="18"/>
                <w:szCs w:val="18"/>
              </w:rPr>
              <w:t>遭受飓风艾达破坏的墨西哥湾油气生产缓慢恢复，美国在线石油钻井平台连续2周增加，国际油价从七周高点适度回跌</w:t>
            </w:r>
            <w:r>
              <w:rPr>
                <w:rFonts w:hint="eastAsia"/>
                <w:sz w:val="18"/>
                <w:szCs w:val="18"/>
              </w:rPr>
              <w:t>。</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2021/9/20</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70.29</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73.92</w:t>
            </w:r>
          </w:p>
        </w:tc>
        <w:tc>
          <w:tcPr>
            <w:tcW w:w="34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3"/>
              <w:rPr>
                <w:rFonts w:hint="eastAsia"/>
                <w:sz w:val="18"/>
                <w:szCs w:val="18"/>
              </w:rPr>
            </w:pPr>
            <w:r>
              <w:rPr>
                <w:sz w:val="18"/>
                <w:szCs w:val="18"/>
              </w:rPr>
              <w:t>美元指数创三周以来新高，全球股市下跌，市场对亚洲国家原油需求的担忧情绪增强，国际油价继续下跌。</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2021/9/21</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70.56</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74.36</w:t>
            </w:r>
          </w:p>
        </w:tc>
        <w:tc>
          <w:tcPr>
            <w:tcW w:w="3437"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rPr>
                <w:rFonts w:hint="eastAsia"/>
                <w:sz w:val="18"/>
                <w:szCs w:val="18"/>
              </w:rPr>
            </w:pPr>
            <w:r>
              <w:rPr>
                <w:sz w:val="18"/>
                <w:szCs w:val="18"/>
              </w:rPr>
              <w:t>美国墨西哥湾油气生产恢复缓慢，分析师普遍估计上周美国原油库存继续下降，国际油价小幅上涨，美元汇率走软和替代性燃料成本上升，原油期货市场也受到支撑。</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2021/9/22</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72.23</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76.19</w:t>
            </w:r>
          </w:p>
        </w:tc>
        <w:tc>
          <w:tcPr>
            <w:tcW w:w="3437"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rPr>
                <w:rFonts w:hint="eastAsia"/>
                <w:sz w:val="18"/>
                <w:szCs w:val="18"/>
              </w:rPr>
            </w:pPr>
            <w:r>
              <w:rPr>
                <w:sz w:val="18"/>
                <w:szCs w:val="18"/>
              </w:rPr>
              <w:t>尽管美国汽油库存意外增加，但原油库存连续第七周下降，国际油价大幅度上涨；美元汇率下跌也支撑以美元计价的欧美原油期货市场</w:t>
            </w:r>
            <w:r>
              <w:rPr>
                <w:rFonts w:hint="eastAsia"/>
                <w:sz w:val="18"/>
                <w:szCs w:val="18"/>
              </w:rPr>
              <w:t>。</w:t>
            </w:r>
          </w:p>
        </w:tc>
      </w:tr>
    </w:tbl>
    <w:p>
      <w:pPr>
        <w:numPr>
          <w:ilvl w:val="0"/>
          <w:numId w:val="0"/>
        </w:numPr>
        <w:rPr>
          <w:rFonts w:hint="eastAsia"/>
          <w:color w:val="auto"/>
          <w:lang w:val="en-US" w:eastAsia="zh-CN"/>
        </w:rPr>
      </w:pPr>
    </w:p>
    <w:p>
      <w:pPr>
        <w:rPr>
          <w:rFonts w:hint="eastAsia" w:asciiTheme="minorEastAsia" w:hAnsiTheme="minorEastAsia" w:eastAsiaTheme="minorEastAsia" w:cstheme="minorEastAsia"/>
          <w:color w:val="auto"/>
          <w:kern w:val="0"/>
          <w:szCs w:val="21"/>
        </w:rPr>
      </w:pPr>
    </w:p>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bookmarkStart w:id="3" w:name="_Toc5501"/>
      <w:bookmarkStart w:id="4" w:name="_Toc67556953"/>
      <w:r>
        <w:rPr>
          <w:rFonts w:hint="eastAsia" w:ascii="宋体" w:hAnsi="宋体" w:eastAsia="宋体" w:cs="宋体"/>
          <w:b/>
          <w:color w:val="auto"/>
          <w:sz w:val="32"/>
          <w:szCs w:val="32"/>
          <w:highlight w:val="none"/>
          <w:lang w:val="en-US" w:eastAsia="zh-CN"/>
        </w:rPr>
        <w:t>2.2021年国际原油价格走势图</w:t>
      </w:r>
      <w:bookmarkEnd w:id="3"/>
      <w:bookmarkEnd w:id="4"/>
    </w:p>
    <w:p>
      <w:pPr>
        <w:widowControl/>
        <w:wordWrap w:val="0"/>
        <w:spacing w:after="90" w:line="288" w:lineRule="auto"/>
        <w:jc w:val="center"/>
        <w:rPr>
          <w:rFonts w:hint="eastAsia" w:asciiTheme="minorEastAsia" w:hAnsiTheme="minorEastAsia" w:eastAsiaTheme="minorEastAsia" w:cstheme="minorEastAsia"/>
          <w:b/>
          <w:color w:val="auto"/>
          <w:kern w:val="0"/>
          <w:sz w:val="30"/>
          <w:szCs w:val="30"/>
        </w:rPr>
      </w:pPr>
      <w:r>
        <w:rPr>
          <w:rFonts w:hint="eastAsia" w:ascii="宋体" w:hAnsi="宋体" w:cs="Arial"/>
          <w:b/>
          <w:kern w:val="0"/>
          <w:sz w:val="30"/>
          <w:szCs w:val="30"/>
        </w:rPr>
        <w:drawing>
          <wp:inline distT="0" distB="0" distL="114300" distR="114300">
            <wp:extent cx="4523740" cy="3885565"/>
            <wp:effectExtent l="0" t="0" r="1016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523740" cy="3885565"/>
                    </a:xfrm>
                    <a:prstGeom prst="rect">
                      <a:avLst/>
                    </a:prstGeom>
                    <a:noFill/>
                    <a:ln>
                      <a:noFill/>
                    </a:ln>
                  </pic:spPr>
                </pic:pic>
              </a:graphicData>
            </a:graphic>
          </wp:inline>
        </w:drawing>
      </w:r>
    </w:p>
    <w:p>
      <w:pPr>
        <w:rPr>
          <w:rFonts w:hint="eastAsia" w:asciiTheme="minorEastAsia" w:hAnsiTheme="minorEastAsia" w:eastAsiaTheme="minorEastAsia" w:cstheme="minorEastAsia"/>
          <w:color w:val="auto"/>
        </w:rPr>
      </w:pPr>
    </w:p>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bookmarkStart w:id="5" w:name="_Toc67556954"/>
      <w:bookmarkStart w:id="6" w:name="_Toc16647"/>
      <w:r>
        <w:rPr>
          <w:rFonts w:hint="eastAsia" w:ascii="宋体" w:hAnsi="宋体" w:eastAsia="宋体" w:cs="宋体"/>
          <w:b/>
          <w:color w:val="auto"/>
          <w:sz w:val="32"/>
          <w:szCs w:val="32"/>
          <w:highlight w:val="none"/>
          <w:lang w:val="en-US" w:eastAsia="zh-CN"/>
        </w:rPr>
        <w:t>2.1近期影响国际原油市场的主要因素</w:t>
      </w:r>
      <w:bookmarkEnd w:id="5"/>
      <w:bookmarkEnd w:id="6"/>
    </w:p>
    <w:p>
      <w:pPr>
        <w:pStyle w:val="3"/>
        <w:spacing w:before="120" w:after="120" w:line="240" w:lineRule="auto"/>
        <w:rPr>
          <w:rFonts w:hint="eastAsia" w:ascii="宋体" w:hAnsi="宋体" w:eastAsia="宋体" w:cs="宋体"/>
          <w:b/>
          <w:color w:val="auto"/>
          <w:sz w:val="30"/>
          <w:szCs w:val="30"/>
          <w:highlight w:val="none"/>
          <w:lang w:val="en-US" w:eastAsia="zh-CN"/>
        </w:rPr>
      </w:pPr>
      <w:bookmarkStart w:id="7" w:name="_Toc184"/>
      <w:bookmarkStart w:id="8" w:name="_Toc67556955"/>
      <w:r>
        <w:rPr>
          <w:rFonts w:hint="eastAsia" w:ascii="宋体" w:hAnsi="宋体" w:eastAsia="宋体" w:cs="宋体"/>
          <w:b/>
          <w:color w:val="auto"/>
          <w:sz w:val="30"/>
          <w:szCs w:val="30"/>
          <w:highlight w:val="none"/>
          <w:lang w:val="en-US" w:eastAsia="zh-CN"/>
        </w:rPr>
        <w:t>1.美国原油库存情况</w:t>
      </w:r>
      <w:bookmarkEnd w:id="7"/>
      <w:bookmarkEnd w:id="8"/>
      <w:r>
        <w:rPr>
          <w:rFonts w:hint="eastAsia" w:ascii="宋体" w:hAnsi="宋体" w:eastAsia="宋体" w:cs="宋体"/>
          <w:b/>
          <w:color w:val="auto"/>
          <w:sz w:val="30"/>
          <w:szCs w:val="30"/>
          <w:highlight w:val="none"/>
          <w:lang w:val="en-US" w:eastAsia="zh-CN"/>
        </w:rPr>
        <w:t xml:space="preserve"> </w:t>
      </w:r>
    </w:p>
    <w:p>
      <w:pPr>
        <w:pStyle w:val="23"/>
        <w:ind w:firstLine="360" w:firstLineChars="200"/>
        <w:rPr>
          <w:sz w:val="18"/>
          <w:szCs w:val="18"/>
        </w:rPr>
      </w:pPr>
      <w:bookmarkStart w:id="9" w:name="_Toc69977252"/>
      <w:bookmarkStart w:id="10" w:name="_Toc23898"/>
      <w:r>
        <w:rPr>
          <w:rFonts w:hint="eastAsia"/>
          <w:sz w:val="18"/>
          <w:szCs w:val="18"/>
        </w:rPr>
        <w:t>本周</w:t>
      </w:r>
      <w:r>
        <w:rPr>
          <w:sz w:val="18"/>
          <w:szCs w:val="18"/>
        </w:rPr>
        <w:t>美国EIA公布的数据显示，截至9月10日当周美国原油及成品油、库欣原油库存全线下降，原油库存降幅大超预期。具体数据显示，截至9月10日当周，美国除却战略储备的商业原油库存减少642.2万桶或1.5%，至4.174亿桶，为2019年9月13日当周以来最低。成品油方面，汽油库存下降185.7万桶，预期下降290万桶，精炼油库存下降168.9万桶，预期下降195万桶。EIA报告：美国原油产品四周平均供应量为2112.6万桶/日，较去年同期增加16.9%。美国石油协会(API)最新公布数据显示，上周美国原油、汽油和馏分油库存均下降。截至9月10日当周，美国商业原油库存减少543.7万桶，预期下降390.3万桶;汽油库存减少276.1万桶，预期下降196.7万桶;馏分油库存减少288.8万桶，预期减少126.7万桶。此前飓风艾达导致许多炼厂和海上石油生产设施停产。</w:t>
      </w:r>
    </w:p>
    <w:p>
      <w:pPr>
        <w:pStyle w:val="3"/>
        <w:spacing w:before="120" w:after="120" w:line="240" w:lineRule="auto"/>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2.美国经济形势</w:t>
      </w:r>
      <w:bookmarkEnd w:id="9"/>
    </w:p>
    <w:p>
      <w:pPr>
        <w:pStyle w:val="23"/>
        <w:ind w:firstLine="360" w:firstLineChars="200"/>
        <w:rPr>
          <w:sz w:val="18"/>
          <w:szCs w:val="18"/>
        </w:rPr>
      </w:pPr>
      <w:bookmarkStart w:id="11" w:name="_Toc76629721"/>
      <w:bookmarkStart w:id="12" w:name="_Toc69977253"/>
      <w:r>
        <w:rPr>
          <w:sz w:val="18"/>
          <w:szCs w:val="18"/>
        </w:rPr>
        <w:t>美联储主席鲍威尔在新闻发布会上称，美联储“可能最早在下次政策会议上宣布缩减购债”，同时不排除等待更长时间再启动的可能性。美联储下次政策会议将于11月2-3日举行。</w:t>
      </w:r>
    </w:p>
    <w:p>
      <w:pPr>
        <w:pStyle w:val="23"/>
        <w:ind w:firstLine="360" w:firstLineChars="200"/>
        <w:rPr>
          <w:sz w:val="18"/>
          <w:szCs w:val="18"/>
        </w:rPr>
      </w:pPr>
      <w:r>
        <w:rPr>
          <w:sz w:val="18"/>
          <w:szCs w:val="18"/>
        </w:rPr>
        <w:t>“虽然尚未作出任何决定，但与会者普遍认为，只要经济复苏仍在轨道上，到明年年中左右结束逐步缩减购债的过程，可能是合适的，”鲍威尔说道。</w:t>
      </w:r>
    </w:p>
    <w:p>
      <w:pPr>
        <w:pStyle w:val="23"/>
        <w:ind w:firstLine="360" w:firstLineChars="200"/>
        <w:rPr>
          <w:sz w:val="18"/>
          <w:szCs w:val="18"/>
        </w:rPr>
      </w:pPr>
      <w:r>
        <w:rPr>
          <w:sz w:val="18"/>
          <w:szCs w:val="18"/>
        </w:rPr>
        <w:t>鲍威尔表示，美联储距离实现在通胀和就业方面取得“进一步实质性进展”这个目标越来越近。“通胀方面，我们似乎取得了比重大进展更多的进展，获得了实质性的进一步进展。在我和许多其他人看来，测试的这部分已经实现，”他说。就业方面，鲍威尔指出，“我个人的观点是，就业取得进一步实质性进展的目标几乎已经实现。”他认为，并不需要一份超级强劲的就业数据才能让美联储开始收紧宽松政策，对他而言，一份相当不错的就业报告就能让其觉得就业的实质性进展得到了满足。</w:t>
      </w:r>
    </w:p>
    <w:p>
      <w:pPr>
        <w:pStyle w:val="23"/>
        <w:ind w:firstLine="360" w:firstLineChars="200"/>
        <w:rPr>
          <w:rFonts w:hint="eastAsia"/>
          <w:sz w:val="18"/>
          <w:szCs w:val="18"/>
        </w:rPr>
      </w:pPr>
      <w:r>
        <w:rPr>
          <w:sz w:val="18"/>
          <w:szCs w:val="18"/>
        </w:rPr>
        <w:t>美联储在政策声明中称，如果经济复苏进程大致符合预期，可能很快就会放慢购债步伐。美联储主席鲍威尔在讲话中也确认了这一点，他指出如果经济继续与预期一致，那么最早可以在下次会议后开始Taper计划。</w:t>
      </w:r>
    </w:p>
    <w:p>
      <w:pPr>
        <w:pStyle w:val="23"/>
        <w:ind w:firstLine="360" w:firstLineChars="200"/>
        <w:rPr>
          <w:sz w:val="18"/>
          <w:szCs w:val="18"/>
        </w:rPr>
      </w:pPr>
      <w:r>
        <w:rPr>
          <w:sz w:val="18"/>
          <w:szCs w:val="18"/>
        </w:rPr>
        <w:t>鲍威尔进一步指出，开启Taper的两大前提中的通胀目标已经达到甚至略有超过，而在就业方面，许多委员认为已经取得了实质性进展，其它委员认为即使还未达到、也已接近目标。这样看来，Taper的标准实际上是变低了，接下来一份温和修复的就业报告或已足够推进。这也符合我们关于美联储希望尽早开始Taper的判断。Taper节奏方面，鲍威尔称美联储或将在2022年中结束Taper，缩债的节奏可以相对灵活，可以根据经济形势适当地加快或者放慢。</w:t>
      </w:r>
    </w:p>
    <w:p>
      <w:pPr>
        <w:pStyle w:val="3"/>
        <w:spacing w:before="120" w:after="120" w:line="240" w:lineRule="auto"/>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3.世界经济形势</w:t>
      </w:r>
      <w:bookmarkEnd w:id="11"/>
    </w:p>
    <w:bookmarkEnd w:id="12"/>
    <w:p>
      <w:pPr>
        <w:pStyle w:val="23"/>
        <w:keepNext w:val="0"/>
        <w:keepLines w:val="0"/>
        <w:pageBreakBefore w:val="0"/>
        <w:widowControl/>
        <w:kinsoku/>
        <w:wordWrap/>
        <w:overflowPunct/>
        <w:topLinePunct w:val="0"/>
        <w:autoSpaceDE/>
        <w:autoSpaceDN/>
        <w:bidi w:val="0"/>
        <w:adjustRightInd/>
        <w:snapToGrid/>
        <w:ind w:firstLine="360" w:firstLineChars="200"/>
        <w:textAlignment w:val="auto"/>
        <w:rPr>
          <w:sz w:val="18"/>
          <w:szCs w:val="18"/>
        </w:rPr>
      </w:pPr>
      <w:r>
        <w:rPr>
          <w:sz w:val="18"/>
          <w:szCs w:val="18"/>
        </w:rPr>
        <w:t>国际货币基金组织(IMF)预测，随着世界从一场导致290万人死亡的疫情中复苏，中国将在未来几年继续推动全球经济增长。</w:t>
      </w:r>
    </w:p>
    <w:p>
      <w:pPr>
        <w:pStyle w:val="23"/>
        <w:keepNext w:val="0"/>
        <w:keepLines w:val="0"/>
        <w:pageBreakBefore w:val="0"/>
        <w:widowControl/>
        <w:kinsoku/>
        <w:wordWrap/>
        <w:overflowPunct/>
        <w:topLinePunct w:val="0"/>
        <w:autoSpaceDE/>
        <w:autoSpaceDN/>
        <w:bidi w:val="0"/>
        <w:adjustRightInd/>
        <w:snapToGrid/>
        <w:ind w:firstLine="360" w:firstLineChars="200"/>
        <w:textAlignment w:val="auto"/>
        <w:rPr>
          <w:sz w:val="18"/>
          <w:szCs w:val="18"/>
        </w:rPr>
      </w:pPr>
      <w:r>
        <w:rPr>
          <w:sz w:val="18"/>
          <w:szCs w:val="18"/>
        </w:rPr>
        <w:t>国际货币基金组织周二发布的预测显示，在截至2026年的五年内，中国对全球GDP增长的贡献将超过五分之一。预计同期全球GDP将增长逾28万亿美元至122万亿美元。去年全球GDP下滑2.8万亿美元，是大萧条以来和平时期产出下滑最大的一年。</w:t>
      </w:r>
    </w:p>
    <w:p>
      <w:pPr>
        <w:pStyle w:val="23"/>
        <w:keepNext w:val="0"/>
        <w:keepLines w:val="0"/>
        <w:pageBreakBefore w:val="0"/>
        <w:widowControl/>
        <w:kinsoku/>
        <w:wordWrap/>
        <w:overflowPunct/>
        <w:topLinePunct w:val="0"/>
        <w:autoSpaceDE/>
        <w:autoSpaceDN/>
        <w:bidi w:val="0"/>
        <w:adjustRightInd/>
        <w:snapToGrid/>
        <w:ind w:firstLine="360" w:firstLineChars="200"/>
        <w:textAlignment w:val="auto"/>
        <w:rPr>
          <w:sz w:val="18"/>
          <w:szCs w:val="18"/>
        </w:rPr>
      </w:pPr>
      <w:r>
        <w:rPr>
          <w:sz w:val="18"/>
          <w:szCs w:val="18"/>
        </w:rPr>
        <w:t>国际货币基金组织预计，美国和印度将是第二大和第三大全球经济增长贡献者，日本和德国将在前五名。</w:t>
      </w:r>
    </w:p>
    <w:p>
      <w:pPr>
        <w:pStyle w:val="23"/>
        <w:keepNext w:val="0"/>
        <w:keepLines w:val="0"/>
        <w:pageBreakBefore w:val="0"/>
        <w:widowControl/>
        <w:kinsoku/>
        <w:wordWrap/>
        <w:overflowPunct/>
        <w:topLinePunct w:val="0"/>
        <w:autoSpaceDE/>
        <w:autoSpaceDN/>
        <w:bidi w:val="0"/>
        <w:adjustRightInd/>
        <w:snapToGrid/>
        <w:ind w:firstLine="360" w:firstLineChars="200"/>
        <w:textAlignment w:val="auto"/>
        <w:rPr>
          <w:sz w:val="18"/>
          <w:szCs w:val="18"/>
        </w:rPr>
      </w:pPr>
      <w:r>
        <w:rPr>
          <w:sz w:val="18"/>
          <w:szCs w:val="18"/>
        </w:rPr>
        <w:t>国际货币基金组织预测，全球经济今年将增长6%，到2026年放缓至3%。该机构还警告称，在即将到来的经济扩张中，经济增长的分布可能不均衡，发展中经济体的损失预计将更大，复苏速度将更慢。</w:t>
      </w:r>
    </w:p>
    <w:p>
      <w:pPr>
        <w:pStyle w:val="23"/>
        <w:keepNext w:val="0"/>
        <w:keepLines w:val="0"/>
        <w:pageBreakBefore w:val="0"/>
        <w:widowControl/>
        <w:kinsoku/>
        <w:wordWrap/>
        <w:overflowPunct/>
        <w:topLinePunct w:val="0"/>
        <w:autoSpaceDE/>
        <w:autoSpaceDN/>
        <w:bidi w:val="0"/>
        <w:adjustRightInd/>
        <w:snapToGrid/>
        <w:ind w:firstLine="360" w:firstLineChars="200"/>
        <w:textAlignment w:val="auto"/>
        <w:rPr>
          <w:sz w:val="18"/>
          <w:szCs w:val="18"/>
        </w:rPr>
      </w:pPr>
      <w:r>
        <w:rPr>
          <w:sz w:val="18"/>
          <w:szCs w:val="18"/>
        </w:rPr>
        <w:t>国际货币基金组织在其《世界经济展望》(World Economic Outlook)报告中表示：“受疫情影响，收入不平等可能大幅加剧。”“与疫情前的预测相比，预计将有近9500万人降至极端贫困门槛以下。”</w:t>
      </w:r>
    </w:p>
    <w:p>
      <w:pPr>
        <w:pStyle w:val="23"/>
        <w:keepNext w:val="0"/>
        <w:keepLines w:val="0"/>
        <w:pageBreakBefore w:val="0"/>
        <w:widowControl/>
        <w:kinsoku/>
        <w:wordWrap/>
        <w:overflowPunct/>
        <w:topLinePunct w:val="0"/>
        <w:autoSpaceDE/>
        <w:autoSpaceDN/>
        <w:bidi w:val="0"/>
        <w:adjustRightInd/>
        <w:snapToGrid/>
        <w:ind w:firstLine="360" w:firstLineChars="200"/>
        <w:textAlignment w:val="auto"/>
        <w:rPr>
          <w:sz w:val="18"/>
          <w:szCs w:val="18"/>
        </w:rPr>
      </w:pPr>
      <w:r>
        <w:rPr>
          <w:sz w:val="18"/>
          <w:szCs w:val="18"/>
        </w:rPr>
        <w:t>中国是2020年唯一实现正增长的主要经济体，中国经济的复苏一直迅速。自去年3月以来，在宽松的金融和财政政策以及弹性出口的支持下，中国在2020年录得2.3%的实际GDP增长。</w:t>
      </w:r>
    </w:p>
    <w:p>
      <w:pPr>
        <w:pStyle w:val="23"/>
        <w:keepNext w:val="0"/>
        <w:keepLines w:val="0"/>
        <w:pageBreakBefore w:val="0"/>
        <w:widowControl/>
        <w:kinsoku/>
        <w:wordWrap/>
        <w:overflowPunct/>
        <w:topLinePunct w:val="0"/>
        <w:autoSpaceDE/>
        <w:autoSpaceDN/>
        <w:bidi w:val="0"/>
        <w:adjustRightInd/>
        <w:snapToGrid/>
        <w:ind w:firstLine="360" w:firstLineChars="200"/>
        <w:textAlignment w:val="auto"/>
        <w:rPr>
          <w:sz w:val="18"/>
          <w:szCs w:val="18"/>
        </w:rPr>
      </w:pPr>
      <w:r>
        <w:rPr>
          <w:sz w:val="18"/>
          <w:szCs w:val="18"/>
        </w:rPr>
        <w:t>另外，美国是唯一一个国际货币基金组织对2022年国内生产总值的预测实际上高于疫情爆发前的大型经济体。</w:t>
      </w:r>
    </w:p>
    <w:p>
      <w:pPr>
        <w:pStyle w:val="23"/>
        <w:keepNext w:val="0"/>
        <w:keepLines w:val="0"/>
        <w:pageBreakBefore w:val="0"/>
        <w:widowControl/>
        <w:kinsoku/>
        <w:wordWrap/>
        <w:overflowPunct/>
        <w:topLinePunct w:val="0"/>
        <w:autoSpaceDE/>
        <w:autoSpaceDN/>
        <w:bidi w:val="0"/>
        <w:adjustRightInd/>
        <w:snapToGrid/>
        <w:ind w:firstLine="360" w:firstLineChars="200"/>
        <w:textAlignment w:val="auto"/>
        <w:rPr>
          <w:sz w:val="18"/>
          <w:szCs w:val="18"/>
        </w:rPr>
      </w:pPr>
      <w:r>
        <w:rPr>
          <w:sz w:val="18"/>
          <w:szCs w:val="18"/>
        </w:rPr>
        <w:t>国际货币基金组织首席经济学家Gita Gopinath写道，美国利率上升可能对高杠杆的新兴市场和发展中经济体的复苏构成威胁</w:t>
      </w:r>
    </w:p>
    <w:p>
      <w:pPr>
        <w:pStyle w:val="3"/>
        <w:spacing w:before="120" w:after="120" w:line="24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lang w:val="en-US" w:eastAsia="zh-CN"/>
        </w:rPr>
        <w:t>4后市预测</w:t>
      </w:r>
      <w:bookmarkEnd w:id="10"/>
    </w:p>
    <w:p>
      <w:pPr>
        <w:pStyle w:val="23"/>
        <w:ind w:firstLine="360" w:firstLineChars="200"/>
        <w:rPr>
          <w:sz w:val="18"/>
          <w:szCs w:val="18"/>
        </w:rPr>
      </w:pPr>
      <w:bookmarkStart w:id="13" w:name="_Toc30787"/>
      <w:r>
        <w:rPr>
          <w:rFonts w:hint="eastAsia"/>
          <w:sz w:val="18"/>
          <w:szCs w:val="18"/>
        </w:rPr>
        <w:t>本周美国WTI原油价格在70.29-72.61美元/桶。布伦特原油价格在73.92-76.19美元/桶震荡。周内国际油价震荡上涨。</w:t>
      </w:r>
      <w:r>
        <w:rPr>
          <w:sz w:val="18"/>
          <w:szCs w:val="18"/>
        </w:rPr>
        <w:t>美国EIA原油库存连降七周加剧供应短缺担忧，高盛认为冷冬情景下油价将升至90美元/桶，外盘9月22日欧美原油期货价格涨逾2%。11月WTI：72.23涨1.74;11月布伦特：76.19涨1.83。原油价格周三上涨，纽约原油期货上涨2.5%;之前数据显示美国原油库存降至2018年10月份以来最低水平;根据美国能源信息管理局的报告，美国国内原油库存连续第七周下降，降至约4.14亿桶;与此同时，美国股市上涨;这些利好消息掩盖了美联储暗示可能很快就会开始缩减购债的影响;Price Futures Group Inc.的高级市场分析师Phil Flynn说，市场关注重心回到了供求关系上，市场看起来非常看涨，而且有可能供应不足。随着冬季临近，对供应存在着真正的担忧;高盛表示，如果北半球即将来临的冬季比正常情况更冷，原油价格可能飙升至每桶90美元;11月交割的西德克萨斯中质油期货上涨1.74美元，结算价报每桶72.23美元;11月布伦特原油上涨1.83美元至每桶76.19美元，为7月30日以来最高。</w:t>
      </w:r>
    </w:p>
    <w:p>
      <w:pPr>
        <w:pStyle w:val="23"/>
        <w:ind w:firstLine="360" w:firstLineChars="200"/>
        <w:rPr>
          <w:rFonts w:hint="eastAsia"/>
          <w:sz w:val="18"/>
          <w:szCs w:val="18"/>
        </w:rPr>
      </w:pPr>
      <w:r>
        <w:rPr>
          <w:rFonts w:hint="eastAsia"/>
          <w:sz w:val="18"/>
          <w:szCs w:val="18"/>
        </w:rPr>
        <w:t>预测下周WTI油价将触及69-73美元/桶，布油在之后几个月触及72-77美元/桶。</w:t>
      </w:r>
    </w:p>
    <w:p>
      <w:pPr>
        <w:pStyle w:val="3"/>
        <w:spacing w:before="120" w:after="120" w:line="24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rPr>
        <w:t>2.2国际市场MTBE价格</w:t>
      </w:r>
      <w:bookmarkEnd w:id="13"/>
      <w:r>
        <w:rPr>
          <w:rFonts w:hint="eastAsia" w:ascii="宋体" w:hAnsi="宋体"/>
          <w:b/>
          <w:color w:val="auto"/>
          <w:sz w:val="30"/>
          <w:szCs w:val="30"/>
          <w:highlight w:val="none"/>
          <w:lang w:val="en-US" w:eastAsia="zh-CN"/>
        </w:rPr>
        <w:t xml:space="preserve"> </w:t>
      </w:r>
    </w:p>
    <w:p>
      <w:pPr>
        <w:rPr>
          <w:rFonts w:hint="eastAsia"/>
          <w:color w:val="auto"/>
        </w:rPr>
      </w:pPr>
    </w:p>
    <w:tbl>
      <w:tblPr>
        <w:tblStyle w:val="24"/>
        <w:tblW w:w="7230" w:type="dxa"/>
        <w:jc w:val="center"/>
        <w:shd w:val="clear" w:color="auto" w:fill="auto"/>
        <w:tblLayout w:type="fixed"/>
        <w:tblCellMar>
          <w:top w:w="0" w:type="dxa"/>
          <w:left w:w="0" w:type="dxa"/>
          <w:bottom w:w="0" w:type="dxa"/>
          <w:right w:w="0" w:type="dxa"/>
        </w:tblCellMar>
      </w:tblPr>
      <w:tblGrid>
        <w:gridCol w:w="1365"/>
        <w:gridCol w:w="2085"/>
        <w:gridCol w:w="1950"/>
        <w:gridCol w:w="1830"/>
      </w:tblGrid>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日期</w:t>
            </w:r>
          </w:p>
        </w:tc>
        <w:tc>
          <w:tcPr>
            <w:tcW w:w="208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9月22日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739.00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208.89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783.50 </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9月21日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736.00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207.02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771.75 </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9月20日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727.50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208.05 </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787.00 </w:t>
            </w:r>
          </w:p>
        </w:tc>
      </w:tr>
      <w:tr>
        <w:tblPrEx>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9月17日</w:t>
            </w:r>
          </w:p>
        </w:tc>
        <w:tc>
          <w:tcPr>
            <w:tcW w:w="208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735.00 </w:t>
            </w:r>
          </w:p>
        </w:tc>
        <w:tc>
          <w:tcPr>
            <w:tcW w:w="195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213.66 </w:t>
            </w:r>
          </w:p>
        </w:tc>
        <w:tc>
          <w:tcPr>
            <w:tcW w:w="1830" w:type="dxa"/>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 xml:space="preserve">799.75 </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0"/>
                <w:szCs w:val="20"/>
                <w:u w:val="none"/>
                <w:lang w:val="en-US" w:eastAsia="zh-CN" w:bidi="ar"/>
              </w:rPr>
              <w:t>9月16日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745.00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214.55 </w:t>
            </w:r>
          </w:p>
        </w:tc>
        <w:tc>
          <w:tcPr>
            <w:tcW w:w="183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801.00 </w:t>
            </w:r>
          </w:p>
        </w:tc>
      </w:tr>
    </w:tbl>
    <w:p>
      <w:pPr>
        <w:rPr>
          <w:rFonts w:hint="eastAsia"/>
          <w:color w:val="auto"/>
          <w:lang w:eastAsia="zh-CN"/>
        </w:rPr>
      </w:pPr>
    </w:p>
    <w:p>
      <w:pPr>
        <w:pStyle w:val="2"/>
        <w:numPr>
          <w:ilvl w:val="0"/>
          <w:numId w:val="0"/>
        </w:numPr>
        <w:spacing w:before="120" w:after="0" w:line="240" w:lineRule="auto"/>
        <w:rPr>
          <w:rFonts w:hint="eastAsia"/>
          <w:b/>
          <w:color w:val="auto"/>
          <w:sz w:val="36"/>
          <w:szCs w:val="36"/>
        </w:rPr>
      </w:pPr>
      <w:bookmarkStart w:id="14" w:name="_Toc11000"/>
      <w:r>
        <w:rPr>
          <w:rFonts w:hint="eastAsia"/>
          <w:b/>
          <w:color w:val="auto"/>
          <w:sz w:val="36"/>
          <w:szCs w:val="36"/>
          <w:lang w:eastAsia="zh-CN"/>
        </w:rPr>
        <w:t>三、</w:t>
      </w:r>
      <w:r>
        <w:rPr>
          <w:rFonts w:hint="eastAsia"/>
          <w:b/>
          <w:color w:val="auto"/>
          <w:sz w:val="36"/>
          <w:szCs w:val="36"/>
        </w:rPr>
        <w:t>本周国内市场</w:t>
      </w:r>
      <w:bookmarkEnd w:id="14"/>
    </w:p>
    <w:p>
      <w:pPr>
        <w:numPr>
          <w:ilvl w:val="0"/>
          <w:numId w:val="0"/>
        </w:numPr>
        <w:rPr>
          <w:color w:val="auto"/>
        </w:rPr>
      </w:pPr>
    </w:p>
    <w:p>
      <w:pPr>
        <w:pStyle w:val="3"/>
        <w:spacing w:before="120" w:after="120" w:line="240" w:lineRule="auto"/>
        <w:rPr>
          <w:rFonts w:hint="eastAsia" w:ascii="宋体" w:hAnsi="宋体"/>
          <w:b/>
          <w:color w:val="auto"/>
          <w:sz w:val="32"/>
          <w:szCs w:val="32"/>
          <w:highlight w:val="none"/>
        </w:rPr>
      </w:pPr>
      <w:bookmarkStart w:id="15" w:name="_Toc7167"/>
      <w:r>
        <w:rPr>
          <w:rFonts w:hint="eastAsia" w:ascii="宋体" w:hAnsi="宋体"/>
          <w:b/>
          <w:color w:val="auto"/>
          <w:sz w:val="32"/>
          <w:szCs w:val="32"/>
          <w:highlight w:val="none"/>
        </w:rPr>
        <w:t>3.1 国内炼厂装置运行情况</w:t>
      </w:r>
      <w:bookmarkEnd w:id="15"/>
    </w:p>
    <w:p>
      <w:pPr>
        <w:rPr>
          <w:rFonts w:hint="eastAsia" w:ascii="宋体" w:hAnsi="宋体"/>
          <w:color w:val="auto"/>
          <w:sz w:val="30"/>
          <w:szCs w:val="30"/>
          <w:highlight w:val="none"/>
        </w:rPr>
      </w:pPr>
      <w:r>
        <w:rPr>
          <w:rFonts w:hint="eastAsia" w:ascii="宋体" w:hAnsi="宋体"/>
          <w:color w:val="auto"/>
          <w:sz w:val="30"/>
          <w:szCs w:val="30"/>
          <w:highlight w:val="none"/>
        </w:rPr>
        <w:t>（1）国内主营炼厂装置检修情况</w:t>
      </w:r>
    </w:p>
    <w:tbl>
      <w:tblPr>
        <w:tblStyle w:val="24"/>
        <w:tblW w:w="458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32"/>
        <w:gridCol w:w="831"/>
        <w:gridCol w:w="1073"/>
        <w:gridCol w:w="1071"/>
        <w:gridCol w:w="2068"/>
        <w:gridCol w:w="1306"/>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5000" w:type="pct"/>
            <w:gridSpan w:val="7"/>
            <w:tcBorders>
              <w:top w:val="single" w:color="000000" w:sz="6" w:space="0"/>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中石化旗下炼厂检修计划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炼厂名称</w:t>
            </w:r>
          </w:p>
        </w:tc>
        <w:tc>
          <w:tcPr>
            <w:tcW w:w="46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所在地</w:t>
            </w:r>
          </w:p>
        </w:tc>
        <w:tc>
          <w:tcPr>
            <w:tcW w:w="594"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加工能力</w:t>
            </w:r>
          </w:p>
        </w:tc>
        <w:tc>
          <w:tcPr>
            <w:tcW w:w="593"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检修装置</w:t>
            </w:r>
          </w:p>
        </w:tc>
        <w:tc>
          <w:tcPr>
            <w:tcW w:w="1145"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18"/>
                <w:szCs w:val="18"/>
              </w:rPr>
              <w:t>检修产能（单位：万吨）</w:t>
            </w:r>
          </w:p>
        </w:tc>
        <w:tc>
          <w:tcPr>
            <w:tcW w:w="723"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起始时间</w:t>
            </w:r>
          </w:p>
        </w:tc>
        <w:tc>
          <w:tcPr>
            <w:tcW w:w="79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济南炼化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山东</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800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800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2021/2/19</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金陵石化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江苏</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1800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2#常减压</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300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2021/3/20</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燕山石化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北京</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1350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4#常减压</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1000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2020/3/29</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长岭石化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湖南</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1150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1150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2021/2/20</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塔河石化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新疆</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500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常减压</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350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2021/3</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上海石化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上海</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1600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1600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2021/4/14</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九江石化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江西</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1000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1000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2021/4/8</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沧州炼厂</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河北</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350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350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2021/5/10</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扬子石化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江苏</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1450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焦化装置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茂名石化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广东</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5#常减压</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1000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2021/6/1</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石家庄炼厂</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河北</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1000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1000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2021/8/28</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齐鲁石化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山东</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1300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3#常减压</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400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2021/8/8</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胜利油田</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山东</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300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300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2021/9/15</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2021/10月底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海南炼化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海南</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950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950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2021/11</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5000" w:type="pct"/>
            <w:gridSpan w:val="7"/>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中石油旗下炼厂检修计划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炼厂名称</w:t>
            </w:r>
          </w:p>
        </w:tc>
        <w:tc>
          <w:tcPr>
            <w:tcW w:w="46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所在地</w:t>
            </w:r>
          </w:p>
        </w:tc>
        <w:tc>
          <w:tcPr>
            <w:tcW w:w="594"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加工能力</w:t>
            </w:r>
          </w:p>
        </w:tc>
        <w:tc>
          <w:tcPr>
            <w:tcW w:w="593"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检修装置</w:t>
            </w:r>
          </w:p>
        </w:tc>
        <w:tc>
          <w:tcPr>
            <w:tcW w:w="1145"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18"/>
                <w:szCs w:val="18"/>
              </w:rPr>
              <w:t>检修产能（单位：万吨）</w:t>
            </w:r>
          </w:p>
        </w:tc>
        <w:tc>
          <w:tcPr>
            <w:tcW w:w="723"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起始时间</w:t>
            </w:r>
          </w:p>
        </w:tc>
        <w:tc>
          <w:tcPr>
            <w:tcW w:w="79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云南石化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云南</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1300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1300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2020/12/5</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抚顺石化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辽宁</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1150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1150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2021/4/10</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2021/5月底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吉林石化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吉林</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1000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1000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2021/6</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大港石化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天津</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500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500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2021/4/12</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格尔木炼厂</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青海</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150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150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2021/7/15</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5000" w:type="pct"/>
            <w:gridSpan w:val="7"/>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中海油旗下炼厂检修计划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炼厂名称</w:t>
            </w:r>
          </w:p>
        </w:tc>
        <w:tc>
          <w:tcPr>
            <w:tcW w:w="46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所在地</w:t>
            </w:r>
          </w:p>
        </w:tc>
        <w:tc>
          <w:tcPr>
            <w:tcW w:w="594"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加工能力</w:t>
            </w:r>
          </w:p>
        </w:tc>
        <w:tc>
          <w:tcPr>
            <w:tcW w:w="593"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检修装置</w:t>
            </w:r>
          </w:p>
        </w:tc>
        <w:tc>
          <w:tcPr>
            <w:tcW w:w="1145"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18"/>
                <w:szCs w:val="18"/>
              </w:rPr>
              <w:t>检修产能（单位：万吨）</w:t>
            </w:r>
          </w:p>
        </w:tc>
        <w:tc>
          <w:tcPr>
            <w:tcW w:w="723"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起始时间</w:t>
            </w:r>
          </w:p>
        </w:tc>
        <w:tc>
          <w:tcPr>
            <w:tcW w:w="79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东方石化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海南</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2021/3/4</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惠州炼化</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广东</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2200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二期</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1000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2021/3/4</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2021/4月中旬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683"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宁波大榭</w:t>
            </w:r>
          </w:p>
        </w:tc>
        <w:tc>
          <w:tcPr>
            <w:tcW w:w="46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浙江</w:t>
            </w:r>
          </w:p>
        </w:tc>
        <w:tc>
          <w:tcPr>
            <w:tcW w:w="594"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800</w:t>
            </w:r>
          </w:p>
        </w:tc>
        <w:tc>
          <w:tcPr>
            <w:tcW w:w="59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全厂检修</w:t>
            </w:r>
          </w:p>
        </w:tc>
        <w:tc>
          <w:tcPr>
            <w:tcW w:w="11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800</w:t>
            </w:r>
          </w:p>
        </w:tc>
        <w:tc>
          <w:tcPr>
            <w:tcW w:w="723"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2021/4</w:t>
            </w:r>
          </w:p>
        </w:tc>
        <w:tc>
          <w:tcPr>
            <w:tcW w:w="79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val="0"/>
                <w:bCs w:val="0"/>
                <w:caps w:val="0"/>
                <w:spacing w:val="0"/>
                <w:sz w:val="20"/>
                <w:szCs w:val="20"/>
              </w:rPr>
            </w:pPr>
            <w:r>
              <w:rPr>
                <w:rFonts w:hint="eastAsia" w:asciiTheme="minorEastAsia" w:hAnsiTheme="minorEastAsia" w:eastAsiaTheme="minorEastAsia" w:cstheme="minorEastAsia"/>
                <w:b w:val="0"/>
                <w:bCs w:val="0"/>
                <w:caps w:val="0"/>
                <w:spacing w:val="0"/>
                <w:sz w:val="20"/>
                <w:szCs w:val="20"/>
              </w:rPr>
              <w:t>2021/5/15</w:t>
            </w:r>
          </w:p>
        </w:tc>
      </w:tr>
    </w:tbl>
    <w:p>
      <w:pPr>
        <w:numPr>
          <w:ilvl w:val="0"/>
          <w:numId w:val="0"/>
        </w:numPr>
        <w:rPr>
          <w:rFonts w:hint="eastAsia" w:ascii="宋体" w:hAnsi="宋体"/>
          <w:color w:val="auto"/>
          <w:sz w:val="28"/>
          <w:szCs w:val="28"/>
          <w:highlight w:val="none"/>
        </w:rPr>
      </w:pPr>
    </w:p>
    <w:p>
      <w:pPr>
        <w:numPr>
          <w:ilvl w:val="0"/>
          <w:numId w:val="3"/>
        </w:numPr>
        <w:rPr>
          <w:rFonts w:hint="eastAsia" w:ascii="宋体" w:hAnsi="宋体"/>
          <w:color w:val="auto"/>
          <w:sz w:val="28"/>
          <w:szCs w:val="28"/>
          <w:highlight w:val="none"/>
        </w:rPr>
      </w:pPr>
      <w:r>
        <w:rPr>
          <w:rFonts w:hint="eastAsia" w:ascii="宋体" w:hAnsi="宋体"/>
          <w:color w:val="auto"/>
          <w:sz w:val="28"/>
          <w:szCs w:val="28"/>
          <w:highlight w:val="none"/>
        </w:rPr>
        <w:t>国内地方炼厂装置检修情况</w:t>
      </w:r>
    </w:p>
    <w:tbl>
      <w:tblPr>
        <w:tblStyle w:val="24"/>
        <w:tblW w:w="452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75"/>
        <w:gridCol w:w="1158"/>
        <w:gridCol w:w="1327"/>
        <w:gridCol w:w="1400"/>
        <w:gridCol w:w="877"/>
        <w:gridCol w:w="1620"/>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7" w:hRule="atLeast"/>
          <w:jc w:val="center"/>
        </w:trPr>
        <w:tc>
          <w:tcPr>
            <w:tcW w:w="5000" w:type="pct"/>
            <w:gridSpan w:val="7"/>
            <w:tcBorders>
              <w:top w:val="single" w:color="000000" w:sz="6" w:space="0"/>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caps w:val="0"/>
                <w:spacing w:val="0"/>
                <w:sz w:val="20"/>
                <w:szCs w:val="20"/>
              </w:rPr>
              <w:t>地方炼厂装置检修计划表(单位：万吨)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caps w:val="0"/>
                <w:spacing w:val="0"/>
                <w:sz w:val="20"/>
                <w:szCs w:val="20"/>
              </w:rPr>
              <w:t>区域</w:t>
            </w:r>
          </w:p>
        </w:tc>
        <w:tc>
          <w:tcPr>
            <w:tcW w:w="0" w:type="auto"/>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caps w:val="0"/>
                <w:spacing w:val="0"/>
                <w:sz w:val="20"/>
                <w:szCs w:val="20"/>
              </w:rPr>
              <w:t>省市</w:t>
            </w:r>
          </w:p>
        </w:tc>
        <w:tc>
          <w:tcPr>
            <w:tcW w:w="745"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caps w:val="0"/>
                <w:spacing w:val="0"/>
                <w:sz w:val="20"/>
                <w:szCs w:val="20"/>
              </w:rPr>
              <w:t>炼厂名称</w:t>
            </w:r>
          </w:p>
        </w:tc>
        <w:tc>
          <w:tcPr>
            <w:tcW w:w="786"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caps w:val="0"/>
                <w:spacing w:val="0"/>
                <w:sz w:val="20"/>
                <w:szCs w:val="20"/>
              </w:rPr>
              <w:t>检修装置</w:t>
            </w:r>
          </w:p>
        </w:tc>
        <w:tc>
          <w:tcPr>
            <w:tcW w:w="492"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caps w:val="0"/>
                <w:spacing w:val="0"/>
                <w:sz w:val="20"/>
                <w:szCs w:val="20"/>
              </w:rPr>
              <w:t>产能</w:t>
            </w:r>
          </w:p>
        </w:tc>
        <w:tc>
          <w:tcPr>
            <w:tcW w:w="909"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caps w:val="0"/>
                <w:spacing w:val="0"/>
                <w:sz w:val="20"/>
                <w:szCs w:val="20"/>
              </w:rPr>
              <w:t>起始时间</w:t>
            </w:r>
          </w:p>
        </w:tc>
        <w:tc>
          <w:tcPr>
            <w:tcW w:w="927"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caps w:val="0"/>
                <w:spacing w:val="0"/>
                <w:sz w:val="20"/>
                <w:szCs w:val="20"/>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nil"/>
              <w:left w:val="single" w:color="000000" w:sz="6" w:space="0"/>
              <w:bottom w:val="nil"/>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东营</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齐成石化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重整</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120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新建</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restart"/>
            <w:tcBorders>
              <w:top w:val="nil"/>
              <w:left w:val="single" w:color="000000" w:sz="6" w:space="0"/>
              <w:bottom w:val="nil"/>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山东</w:t>
            </w: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东营</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齐成石化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蜡油加裂</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160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新建</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nil"/>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东营</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联合石化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590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2021/7/15</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2021/9月初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nil"/>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东营</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垦利石化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400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2021/9/10</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nil"/>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东营</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海科瑞林</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230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2021/7/15</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nil"/>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潍坊</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山东海化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240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2021/6/29</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nil"/>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淄博</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方宇石化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520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2021/7/18</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nil"/>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临沂</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清沂山石化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350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2021/7/18</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nil"/>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德州</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恒源石化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350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2021/6/18</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准备拆除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西南</w:t>
            </w: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重庆</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龙海石化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全厂检修</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150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2021/7月底</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东北</w:t>
            </w: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辽宁</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辽宁缘泰</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常减压装置</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300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2021/2/22</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辽宁</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盘锦浩业</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催化</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140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2021/3</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辽宁</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大连锦源</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全厂检修</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2021/5/6</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黑龙江</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大庆中蓝</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全厂检修</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220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2021/7/25</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辽宁</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辽宁华锦</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全厂检修</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600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2021/7/15</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restart"/>
            <w:tcBorders>
              <w:top w:val="nil"/>
              <w:left w:val="single" w:color="000000" w:sz="6" w:space="0"/>
              <w:bottom w:val="nil"/>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西北</w:t>
            </w: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宁夏</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宝利新能源</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全厂检修</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80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2021/8/5</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nil"/>
              <w:right w:val="single" w:color="000000" w:sz="6" w:space="0"/>
            </w:tcBorders>
            <w:shd w:val="clear" w:color="auto" w:fill="auto"/>
            <w:tcMar>
              <w:left w:w="105" w:type="dxa"/>
              <w:right w:w="105" w:type="dxa"/>
            </w:tcMar>
            <w:vAlign w:val="center"/>
          </w:tcPr>
          <w:p>
            <w:pPr>
              <w:rPr>
                <w:rFonts w:hint="eastAsia" w:asciiTheme="minorEastAsia" w:hAnsiTheme="minorEastAsia" w:eastAsiaTheme="minorEastAsia" w:cstheme="minorEastAsia"/>
                <w:caps w:val="0"/>
                <w:spacing w:val="0"/>
                <w:sz w:val="20"/>
                <w:szCs w:val="20"/>
              </w:rPr>
            </w:pP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宁夏</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宁鲁石化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全厂检修</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60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2021/8/18</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华东</w:t>
            </w: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江苏</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新海石化</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全厂检修</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300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2021/3/25</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0" w:type="auto"/>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华北</w:t>
            </w:r>
          </w:p>
        </w:tc>
        <w:tc>
          <w:tcPr>
            <w:tcW w:w="0" w:type="auto"/>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河北</w:t>
            </w:r>
          </w:p>
        </w:tc>
        <w:tc>
          <w:tcPr>
            <w:tcW w:w="74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河北鑫海</w:t>
            </w:r>
          </w:p>
        </w:tc>
        <w:tc>
          <w:tcPr>
            <w:tcW w:w="786"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全厂检修</w:t>
            </w:r>
          </w:p>
        </w:tc>
        <w:tc>
          <w:tcPr>
            <w:tcW w:w="4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600</w:t>
            </w:r>
          </w:p>
        </w:tc>
        <w:tc>
          <w:tcPr>
            <w:tcW w:w="90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2021/7/5</w:t>
            </w:r>
          </w:p>
        </w:tc>
        <w:tc>
          <w:tcPr>
            <w:tcW w:w="927"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2021/8/15</w:t>
            </w:r>
          </w:p>
        </w:tc>
      </w:tr>
    </w:tbl>
    <w:p>
      <w:pPr>
        <w:rPr>
          <w:rFonts w:hint="eastAsia"/>
          <w:color w:val="auto"/>
        </w:rPr>
      </w:pPr>
    </w:p>
    <w:p>
      <w:pPr>
        <w:pStyle w:val="3"/>
        <w:spacing w:before="120" w:after="120" w:line="240" w:lineRule="auto"/>
        <w:rPr>
          <w:rFonts w:hint="eastAsia" w:ascii="宋体" w:hAnsi="宋体"/>
          <w:b/>
          <w:color w:val="auto"/>
          <w:sz w:val="30"/>
          <w:szCs w:val="30"/>
          <w:highlight w:val="none"/>
        </w:rPr>
      </w:pPr>
      <w:bookmarkStart w:id="16" w:name="_Toc13096"/>
      <w:r>
        <w:rPr>
          <w:rFonts w:hint="eastAsia" w:ascii="宋体" w:hAnsi="宋体"/>
          <w:b/>
          <w:color w:val="auto"/>
          <w:sz w:val="30"/>
          <w:szCs w:val="30"/>
          <w:highlight w:val="none"/>
        </w:rPr>
        <w:t>3.2本周成品油市场行情</w:t>
      </w:r>
      <w:bookmarkEnd w:id="16"/>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bookmarkStart w:id="17" w:name="_Toc24031"/>
      <w:r>
        <w:rPr>
          <w:rFonts w:hint="default" w:ascii="宋体" w:hAnsi="宋体" w:eastAsia="宋体" w:cs="宋体"/>
          <w:color w:val="auto"/>
          <w:kern w:val="2"/>
          <w:sz w:val="18"/>
          <w:szCs w:val="18"/>
          <w:shd w:val="clear" w:color="auto" w:fill="FFFFFF"/>
          <w:lang w:eastAsia="zh-CN"/>
        </w:rPr>
        <w:t>本周(9月17日-9月23日)，山东地区汽柴价格多窄幅波动为主，场内价格高挂，贸易商接受程度不高，按需进购。具体分析：中秋节前，业者补货后陆续退市，市场交投气氛不温不火。节后归来，山东地炼在过节期间价格接连下滑影响，主营单位则稳中观望为主。因国庆假期即将来临，汽柴刚需受到一定支撑，市场跌价不易，但另一方面，因上游业者基本都已补货结束，加之前期价格均已涨至高位，步入月下旬，主营销售压力加大，为了促进出货，部分单位实际成交优惠有所扩大。</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(9月17日-9月23日)，华中地区汽柴油价格小幅上行为主，区间调整为辅。具体来看：周内前期，国内成品油零售价格上调预期兑现，中秋佳节带动下，部分业者补仓需求犹存，下游补货需求呈刚需状态，华中地区内汽油价格略有上调，因地炼受到环保税务检查影响调降负荷，区内柴油资源紧张现象仍存，对柴油价格带来支撑。周内后期，新一轮成品油零售价格调整指向不明，消息面缺乏支撑，前期区内油价均已涨至高位，且上游业者基本都已补货结束，柴油资源供应充足，业者抵触情绪渐起，主营压价出货，区内油价小幅回落。</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(9月17日-9月23日)，华东主营汽柴油价格小幅回落。周内，美国商业原油库存连续七周下降且跌至2018年10月以来的最低点，叠加美股上行，国际油价上行。但近日华东地区主营单位多稳价观市，部分单位存降价促销策略。周内国际油价上行，但区内业者对当前高价存抵触情绪，刚需采购为主，市场成交平淡。且进入月下旬，部分主营单位存降价追量策略，汽柴油价格推涨乏力。</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(9月17日-9月23日)，华南地区主营油价小幅上涨，下游市场消化涨幅较好，操作情绪理性，市场购销氛围淡稳，区内汽柴油价格上涨势头较足，海油汽柴油价格出现涨跌互现。具体分析，本周广东地区各主营单位汽柴油价格上涨50-150元/吨;福建地区主营汽柴油价格上涨50-100元/吨;海南地区主营汽柴价格维持稳定。国内成品油零售价格出现上调，且随着中秋佳节的到来，私家车出行率处于相对高位，下游市场心态较好，市场看涨情绪充足，补货需求呈现刚需状态，加之北方地区秋收秋种全面启动，农业用油增加，汽柴油需求面支撑较足。</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(9月17日-9月23日)，华北地区内汽柴油价格较上周宽幅上涨，具体来看，本周国内成品油限价上调落实，消息面利好指引。周内前期，临近“中秋”假期，市民出行意愿强烈，支撑汽柴油需求，但由于山东地炼厂家进行环保检查，柴油调配受阻，致柴油库存紧张，市场紧张氛围不减，因此业者集中补货，市场交投氛围较好，主营推价出货，价格宽幅上涨。周内后期，由于节前涨价使汽柴油价格处于高位，随着“中秋假期”结束，下游节前囤货储备基本到位，刚需采买，市场观望氛围浓，交投气氛清淡，主营挺价意愿强，伴随小幅回落。步入月内后期，主营销售部门销售压力提升，但节前出货尚可，月度任务完成较好，主营多推价保利出售，部分单位限量出售，实际成交优惠可谈。</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(9月17日-9月23日)，西北区域主营油价上涨为主。周前期，主营单位汽油批发价大致持稳，柴油批发价纷纷上调，原油变化率正值拉宽，中下游业者多集中补货，主营单位出货较好。周中期，国内成品油零售价格上调兑现，消息面利好市场，双节带动下，汽柴油价格涨至高位，中下游业者观望气氛变浓。周末期，受零售限价上调落地影响，主营单位汽柴油批发价格稳中有涨，加之假期内，私家车出行频率以及出行半径增加，汽油终端需求有所支撑，秋收秋种启动，农业用油增加，大型户外工程、工矿企业等开工提升，柴油刚性需求，中下游业者按需采购，主营单位成品油直批出货均较一般。</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(9月17日-9月23日)，零售价窗口上调兑现，西南地区内汽柴油价格整体上涨。柴油方面，随着降雨天气减少，厂矿及基建等户外作业开工率上升，柴油价格大幅上涨，价格居于高位。汽油方面，传统佳节“中秋”到来，走亲访友出行半径增加，汽油需求得到一定支撑，下游补货需求呈现刚需状态。具体来看，周期前，柴油部分地区限量销售，主营价格不定时上涨，汽油价格也随柴油价格有一定上涨，业者积极性有所下滑。周期中，柴油价格依然处于高位，柴油资源紧张现象仍存。主营单位出货情况欠佳，挺价意愿增强，中下游业者回归观望态势。周期后，佳节过后，部分主营稳价销售，观察市场情况，区内主营成交优惠政策灵活，终端按需购买，市场成交一般。</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后市预测，国际油价走势震荡，当前需求面对市场影响较大。因中下游前期备货基本到位，再加上当前汽柴油价格已涨至高位，贸易商入市操作谨慎，主营单位以及地炼出货逐步转淡，价格下行压力增加。但考虑到双节带动下，短期内市场需求对后市走势仍有支撑，预计下周山东地区汽柴行情窄幅整理为主。</w:t>
      </w:r>
    </w:p>
    <w:p>
      <w:pPr>
        <w:pStyle w:val="3"/>
        <w:spacing w:before="120" w:after="120" w:line="240" w:lineRule="auto"/>
        <w:rPr>
          <w:rFonts w:ascii="宋体" w:hAnsi="宋体"/>
          <w:b/>
          <w:color w:val="auto"/>
          <w:sz w:val="30"/>
          <w:szCs w:val="30"/>
        </w:rPr>
      </w:pPr>
      <w:bookmarkStart w:id="32" w:name="_GoBack"/>
      <w:bookmarkEnd w:id="32"/>
      <w:r>
        <w:rPr>
          <w:rFonts w:hint="eastAsia" w:ascii="宋体" w:hAnsi="宋体"/>
          <w:b/>
          <w:color w:val="auto"/>
          <w:sz w:val="30"/>
          <w:szCs w:val="30"/>
        </w:rPr>
        <w:t>3.3 国内汽油价格周报</w:t>
      </w:r>
      <w:bookmarkEnd w:id="17"/>
    </w:p>
    <w:p>
      <w:pPr>
        <w:jc w:val="righ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单位：元/吨</w:t>
      </w:r>
    </w:p>
    <w:p>
      <w:pPr>
        <w:rPr>
          <w:rFonts w:hint="eastAsia"/>
          <w:color w:val="auto"/>
        </w:rPr>
      </w:pPr>
    </w:p>
    <w:p>
      <w:pPr>
        <w:rPr>
          <w:rFonts w:hint="eastAsia"/>
          <w:color w:val="auto"/>
        </w:rPr>
      </w:pPr>
    </w:p>
    <w:tbl>
      <w:tblPr>
        <w:tblStyle w:val="24"/>
        <w:tblW w:w="9402" w:type="dxa"/>
        <w:jc w:val="center"/>
        <w:shd w:val="clear" w:color="auto" w:fill="auto"/>
        <w:tblLayout w:type="fixed"/>
        <w:tblCellMar>
          <w:top w:w="0" w:type="dxa"/>
          <w:left w:w="0" w:type="dxa"/>
          <w:bottom w:w="0" w:type="dxa"/>
          <w:right w:w="0" w:type="dxa"/>
        </w:tblCellMar>
      </w:tblPr>
      <w:tblGrid>
        <w:gridCol w:w="870"/>
        <w:gridCol w:w="945"/>
        <w:gridCol w:w="1065"/>
        <w:gridCol w:w="1020"/>
        <w:gridCol w:w="1080"/>
        <w:gridCol w:w="1290"/>
        <w:gridCol w:w="792"/>
        <w:gridCol w:w="1200"/>
        <w:gridCol w:w="1140"/>
      </w:tblGrid>
      <w:tr>
        <w:tblPrEx>
          <w:shd w:val="clear" w:color="auto" w:fill="auto"/>
          <w:tblCellMar>
            <w:top w:w="0" w:type="dxa"/>
            <w:left w:w="0" w:type="dxa"/>
            <w:bottom w:w="0" w:type="dxa"/>
            <w:right w:w="0" w:type="dxa"/>
          </w:tblCellMar>
        </w:tblPrEx>
        <w:trPr>
          <w:trHeight w:val="420" w:hRule="atLeast"/>
          <w:jc w:val="center"/>
        </w:trPr>
        <w:tc>
          <w:tcPr>
            <w:tcW w:w="870" w:type="dxa"/>
            <w:tcBorders>
              <w:top w:val="single" w:color="000000" w:sz="4" w:space="0"/>
              <w:left w:val="single" w:color="000000" w:sz="4" w:space="0"/>
              <w:bottom w:val="single" w:color="000000" w:sz="4" w:space="0"/>
              <w:right w:val="nil"/>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bookmarkStart w:id="18" w:name="_Toc16466"/>
            <w:r>
              <w:rPr>
                <w:rFonts w:hint="eastAsia" w:ascii="宋体" w:hAnsi="宋体" w:eastAsia="宋体" w:cs="宋体"/>
                <w:b/>
                <w:i w:val="0"/>
                <w:color w:val="auto"/>
                <w:kern w:val="0"/>
                <w:sz w:val="18"/>
                <w:szCs w:val="18"/>
                <w:u w:val="none"/>
                <w:lang w:val="en-US" w:eastAsia="zh-CN" w:bidi="ar"/>
              </w:rPr>
              <w:t>地区</w:t>
            </w:r>
          </w:p>
        </w:tc>
        <w:tc>
          <w:tcPr>
            <w:tcW w:w="9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城市</w:t>
            </w:r>
          </w:p>
        </w:tc>
        <w:tc>
          <w:tcPr>
            <w:tcW w:w="10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企业性质</w:t>
            </w:r>
          </w:p>
        </w:tc>
        <w:tc>
          <w:tcPr>
            <w:tcW w:w="102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12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9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涨跌</w:t>
            </w:r>
          </w:p>
        </w:tc>
        <w:tc>
          <w:tcPr>
            <w:tcW w:w="12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2021/9/23</w:t>
            </w:r>
          </w:p>
        </w:tc>
        <w:tc>
          <w:tcPr>
            <w:tcW w:w="11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2021/9/16</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青岛市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7910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吉林中油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8893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8736</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吉林中油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8893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8893</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厦门市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厦门市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8230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惠州市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惠州市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泉州市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泉州市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泉州市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泉州市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海口市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海口市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福州市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福州市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福州市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福州市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粤东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粤东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粤东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粤东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茂名市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茂名市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茂名市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8700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茂名市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临汾市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7915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7935</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临汾市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临汾市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8115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8135</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临汾市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8540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任丘市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E92#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7795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7795</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唐山市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唐山市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唐山市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唐山市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7995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7995</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7880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8080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太原市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太原市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太原市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太原市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8509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8540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开封市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-420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石家庄市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8070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8120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石家庄市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7795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7795</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郑州市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南京市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南京市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南通市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南通市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宁波市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宁波市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宁波市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宁波市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徐州市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E92#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徐州市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徐州市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徐州市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无锡市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无锡市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日照市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8010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日照市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日照市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8210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日照市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杭州市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杭州市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杭州市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杭州市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江阴市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江阴市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江阴市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江阴市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温州市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烟台市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8010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烟台市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烟台市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8210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烟台市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盐城市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E92#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盐城市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E92#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连云港市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8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连云港市</w:t>
            </w:r>
          </w:p>
        </w:tc>
        <w:tc>
          <w:tcPr>
            <w:tcW w:w="106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青岛市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8010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南宁市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南宁市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成都市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成都市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昆明市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昆明市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贵阳市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贵阳市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重庆市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重庆市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九江市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南昌市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南昌市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南昌市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南昌市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合肥市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武汉市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武汉市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长沙市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长沙市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长沙市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8350</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长沙市</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r>
    </w:tbl>
    <w:p>
      <w:pPr>
        <w:pStyle w:val="3"/>
        <w:spacing w:before="120" w:after="120" w:line="240" w:lineRule="auto"/>
        <w:rPr>
          <w:rFonts w:hint="eastAsia" w:ascii="宋体" w:hAnsi="宋体"/>
          <w:b/>
          <w:color w:val="auto"/>
          <w:sz w:val="30"/>
          <w:szCs w:val="30"/>
          <w:lang w:val="en-US" w:eastAsia="zh-CN"/>
        </w:rPr>
      </w:pPr>
      <w:r>
        <w:rPr>
          <w:rFonts w:hint="eastAsia" w:ascii="宋体" w:hAnsi="宋体"/>
          <w:b/>
          <w:color w:val="auto"/>
          <w:sz w:val="30"/>
          <w:szCs w:val="30"/>
          <w:lang w:val="en-US" w:eastAsia="zh-CN"/>
        </w:rPr>
        <w:t>3.4国内柴油价格周报</w:t>
      </w:r>
      <w:bookmarkEnd w:id="18"/>
    </w:p>
    <w:p>
      <w:pPr>
        <w:jc w:val="right"/>
        <w:rPr>
          <w:rFonts w:hint="eastAsia"/>
          <w:color w:val="auto"/>
          <w:lang w:val="en-US" w:eastAsia="zh-CN"/>
        </w:rPr>
      </w:pPr>
      <w:r>
        <w:rPr>
          <w:rFonts w:hint="eastAsia" w:ascii="宋体" w:hAnsi="宋体" w:eastAsia="宋体" w:cs="宋体"/>
          <w:color w:val="auto"/>
          <w:sz w:val="18"/>
          <w:szCs w:val="18"/>
          <w:lang w:val="en-US" w:eastAsia="zh-CN"/>
        </w:rPr>
        <w:t>单位：元/吨</w:t>
      </w:r>
    </w:p>
    <w:tbl>
      <w:tblPr>
        <w:tblStyle w:val="24"/>
        <w:tblW w:w="9357" w:type="dxa"/>
        <w:jc w:val="center"/>
        <w:shd w:val="clear" w:color="auto" w:fill="auto"/>
        <w:tblLayout w:type="fixed"/>
        <w:tblCellMar>
          <w:top w:w="0" w:type="dxa"/>
          <w:left w:w="0" w:type="dxa"/>
          <w:bottom w:w="0" w:type="dxa"/>
          <w:right w:w="0" w:type="dxa"/>
        </w:tblCellMar>
      </w:tblPr>
      <w:tblGrid>
        <w:gridCol w:w="885"/>
        <w:gridCol w:w="1080"/>
        <w:gridCol w:w="990"/>
        <w:gridCol w:w="1095"/>
        <w:gridCol w:w="990"/>
        <w:gridCol w:w="1170"/>
        <w:gridCol w:w="765"/>
        <w:gridCol w:w="1152"/>
        <w:gridCol w:w="1230"/>
      </w:tblGrid>
      <w:tr>
        <w:tblPrEx>
          <w:shd w:val="clear" w:color="auto" w:fill="auto"/>
          <w:tblCellMar>
            <w:top w:w="0" w:type="dxa"/>
            <w:left w:w="0" w:type="dxa"/>
            <w:bottom w:w="0" w:type="dxa"/>
            <w:right w:w="0" w:type="dxa"/>
          </w:tblCellMar>
        </w:tblPrEx>
        <w:trPr>
          <w:trHeight w:val="38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地区</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城市</w:t>
            </w:r>
          </w:p>
        </w:tc>
        <w:tc>
          <w:tcPr>
            <w:tcW w:w="9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企业性质</w:t>
            </w:r>
          </w:p>
        </w:tc>
        <w:tc>
          <w:tcPr>
            <w:tcW w:w="109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产品名称</w:t>
            </w:r>
          </w:p>
        </w:tc>
        <w:tc>
          <w:tcPr>
            <w:tcW w:w="9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型号</w:t>
            </w:r>
          </w:p>
        </w:tc>
        <w:tc>
          <w:tcPr>
            <w:tcW w:w="11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价格类型</w:t>
            </w:r>
          </w:p>
        </w:tc>
        <w:tc>
          <w:tcPr>
            <w:tcW w:w="7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涨跌</w:t>
            </w:r>
          </w:p>
        </w:tc>
        <w:tc>
          <w:tcPr>
            <w:tcW w:w="115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2021/9/23</w:t>
            </w:r>
          </w:p>
        </w:tc>
        <w:tc>
          <w:tcPr>
            <w:tcW w:w="123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2021/9/16</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银川市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银川市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吉林市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吉林市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吉林中油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大连市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大连市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厦门市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厦门市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广州市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中海油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6930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广州市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广州市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惠州市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中海油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惠州市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惠州市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海口市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jc w:val="center"/>
        </w:trPr>
        <w:tc>
          <w:tcPr>
            <w:tcW w:w="88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海口市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福州市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福州市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茂名市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茂名市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任丘市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任丘市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6995</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7115</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7065</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唐山市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中海油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唐山市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7280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唐山市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6995</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商丘市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6980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商丘市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7160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天津市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中海油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天津市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天津市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太原市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太原市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6933</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开封市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6980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7160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开封市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7160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石家庄市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石家庄市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6995</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郑州市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6980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郑州市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7160</w:t>
            </w:r>
          </w:p>
        </w:tc>
      </w:tr>
      <w:tr>
        <w:tblPrEx>
          <w:tblCellMar>
            <w:top w:w="0" w:type="dxa"/>
            <w:left w:w="0" w:type="dxa"/>
            <w:bottom w:w="0" w:type="dxa"/>
            <w:right w:w="0" w:type="dxa"/>
          </w:tblCellMar>
        </w:tblPrEx>
        <w:trPr>
          <w:trHeight w:val="285" w:hRule="atLeast"/>
          <w:jc w:val="center"/>
        </w:trPr>
        <w:tc>
          <w:tcPr>
            <w:tcW w:w="88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上海市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中海油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上海市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沪Ⅳ0#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上海市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沪Ⅳ0#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南通市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南通市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宁波市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宁波市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徐州市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徐州市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无锡市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无锡市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日照市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6780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6910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日照市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杭州市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杭州市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江阴市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江阴市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温州市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温州市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烟台市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6780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6910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烟台市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盐城市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盐城市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连云港市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连云港市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青岛市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6780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6910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青岛市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成都市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成都市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昆明市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6980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昆明市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贵阳市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贵阳市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重庆市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重庆市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九江市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九江市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南昌市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南昌市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合肥市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合肥市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武汉市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武汉市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长沙市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28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长沙市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6950</w:t>
            </w:r>
          </w:p>
        </w:tc>
      </w:tr>
    </w:tbl>
    <w:p>
      <w:pPr>
        <w:rPr>
          <w:rFonts w:hint="eastAsia" w:eastAsia="宋体"/>
          <w:color w:val="auto"/>
          <w:lang w:val="en-US" w:eastAsia="zh-CN"/>
        </w:rPr>
      </w:pPr>
    </w:p>
    <w:p>
      <w:pPr>
        <w:rPr>
          <w:rFonts w:hint="eastAsia" w:eastAsia="宋体"/>
          <w:color w:val="auto"/>
          <w:lang w:val="en-US" w:eastAsia="zh-CN"/>
        </w:rPr>
      </w:pPr>
    </w:p>
    <w:p>
      <w:pPr>
        <w:pStyle w:val="3"/>
        <w:spacing w:before="120" w:after="120" w:line="240" w:lineRule="auto"/>
        <w:rPr>
          <w:rFonts w:hint="eastAsia" w:ascii="宋体" w:hAnsi="宋体"/>
          <w:b/>
          <w:color w:val="auto"/>
          <w:sz w:val="30"/>
          <w:szCs w:val="30"/>
          <w:lang w:val="en-US" w:eastAsia="zh-CN"/>
        </w:rPr>
      </w:pPr>
      <w:bookmarkStart w:id="19" w:name="_Toc6052"/>
      <w:r>
        <w:rPr>
          <w:rFonts w:hint="eastAsia" w:ascii="宋体" w:hAnsi="宋体"/>
          <w:b/>
          <w:color w:val="auto"/>
          <w:sz w:val="30"/>
          <w:szCs w:val="30"/>
          <w:lang w:val="en-US" w:eastAsia="zh-CN"/>
        </w:rPr>
        <w:t>3.5 山东地炼汽油出厂价格周报</w:t>
      </w:r>
      <w:bookmarkEnd w:id="19"/>
    </w:p>
    <w:p>
      <w:pPr>
        <w:jc w:val="righ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单位：元/吨</w:t>
      </w:r>
    </w:p>
    <w:tbl>
      <w:tblPr>
        <w:tblStyle w:val="24"/>
        <w:tblW w:w="8954" w:type="dxa"/>
        <w:jc w:val="center"/>
        <w:shd w:val="clear" w:color="auto" w:fill="auto"/>
        <w:tblLayout w:type="autofit"/>
        <w:tblCellMar>
          <w:top w:w="0" w:type="dxa"/>
          <w:left w:w="0" w:type="dxa"/>
          <w:bottom w:w="0" w:type="dxa"/>
          <w:right w:w="0" w:type="dxa"/>
        </w:tblCellMar>
      </w:tblPr>
      <w:tblGrid>
        <w:gridCol w:w="765"/>
        <w:gridCol w:w="855"/>
        <w:gridCol w:w="1845"/>
        <w:gridCol w:w="1334"/>
        <w:gridCol w:w="975"/>
        <w:gridCol w:w="735"/>
        <w:gridCol w:w="1230"/>
        <w:gridCol w:w="1215"/>
      </w:tblGrid>
      <w:tr>
        <w:tblPrEx>
          <w:shd w:val="clear" w:color="auto" w:fill="auto"/>
          <w:tblCellMar>
            <w:top w:w="0" w:type="dxa"/>
            <w:left w:w="0" w:type="dxa"/>
            <w:bottom w:w="0" w:type="dxa"/>
            <w:right w:w="0" w:type="dxa"/>
          </w:tblCellMar>
        </w:tblPrEx>
        <w:trPr>
          <w:trHeight w:val="440" w:hRule="atLeast"/>
          <w:jc w:val="center"/>
        </w:trPr>
        <w:tc>
          <w:tcPr>
            <w:tcW w:w="765"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省份</w:t>
            </w:r>
          </w:p>
        </w:tc>
        <w:tc>
          <w:tcPr>
            <w:tcW w:w="855"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845"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生产厂家</w:t>
            </w:r>
          </w:p>
        </w:tc>
        <w:tc>
          <w:tcPr>
            <w:tcW w:w="1334"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975"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3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涨跌</w:t>
            </w:r>
          </w:p>
        </w:tc>
        <w:tc>
          <w:tcPr>
            <w:tcW w:w="123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2021/9/23</w:t>
            </w:r>
          </w:p>
        </w:tc>
        <w:tc>
          <w:tcPr>
            <w:tcW w:w="12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2021/9/16</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-340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7590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7930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-390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7690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8080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7980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8080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7990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8240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8170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8420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7793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8063</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8173</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8123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8393</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7960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7845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8075</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-315</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7893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8208</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-316</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7822</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8138</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-306</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8057</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8363</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国VIB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-313</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7975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8288</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国VIB 98#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-318</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8132</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8450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7680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7980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8130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7530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7980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8330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华星石化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垦利石化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8030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7960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8140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7780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7880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8030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8025</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8175</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8175</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8375</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8105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8375</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潍坊弘润</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高标国VI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8140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8010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8510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7810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8040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7735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8035</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7885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8185</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8085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8385</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8585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8885</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7840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7920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7743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8013</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8123</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-330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7830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-330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7580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7910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西安临潼公路</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西安临潼铁路</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汽车运输</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7860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8120</w:t>
            </w:r>
          </w:p>
        </w:tc>
      </w:tr>
      <w:tr>
        <w:tblPrEx>
          <w:tblCellMar>
            <w:top w:w="0" w:type="dxa"/>
            <w:left w:w="0" w:type="dxa"/>
            <w:bottom w:w="0" w:type="dxa"/>
            <w:right w:w="0" w:type="dxa"/>
          </w:tblCellMar>
        </w:tblPrEx>
        <w:trPr>
          <w:trHeight w:val="3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12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8060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8320</w:t>
            </w:r>
          </w:p>
        </w:tc>
      </w:tr>
    </w:tbl>
    <w:p>
      <w:pPr>
        <w:jc w:val="center"/>
        <w:rPr>
          <w:rFonts w:hint="eastAsia"/>
          <w:color w:val="auto"/>
          <w:lang w:val="en-US" w:eastAsia="zh-CN"/>
        </w:rPr>
      </w:pPr>
    </w:p>
    <w:p>
      <w:pPr>
        <w:jc w:val="center"/>
        <w:rPr>
          <w:rFonts w:hint="eastAsia"/>
          <w:color w:val="auto"/>
          <w:lang w:val="en-US" w:eastAsia="zh-CN"/>
        </w:rPr>
      </w:pPr>
    </w:p>
    <w:p>
      <w:pPr>
        <w:pStyle w:val="3"/>
        <w:spacing w:before="120" w:after="120" w:line="240" w:lineRule="auto"/>
        <w:rPr>
          <w:rFonts w:hint="eastAsia" w:ascii="宋体" w:hAnsi="宋体"/>
          <w:b/>
          <w:color w:val="auto"/>
          <w:sz w:val="30"/>
          <w:szCs w:val="30"/>
          <w:lang w:val="en-US" w:eastAsia="zh-CN"/>
        </w:rPr>
      </w:pPr>
      <w:bookmarkStart w:id="20" w:name="_Toc25179"/>
      <w:r>
        <w:rPr>
          <w:rFonts w:hint="eastAsia" w:ascii="宋体" w:hAnsi="宋体"/>
          <w:b/>
          <w:color w:val="auto"/>
          <w:sz w:val="30"/>
          <w:szCs w:val="30"/>
          <w:lang w:val="en-US" w:eastAsia="zh-CN"/>
        </w:rPr>
        <w:t>3.6 山东地炼柴油出厂价格周报</w:t>
      </w:r>
      <w:bookmarkEnd w:id="20"/>
    </w:p>
    <w:p>
      <w:pPr>
        <w:jc w:val="right"/>
        <w:rPr>
          <w:rFonts w:hint="eastAsia" w:ascii="宋体" w:hAnsi="宋体" w:eastAsia="宋体" w:cs="宋体"/>
          <w:b/>
          <w:color w:val="auto"/>
          <w:sz w:val="18"/>
          <w:szCs w:val="18"/>
          <w:lang w:val="en-US" w:eastAsia="zh-CN"/>
        </w:rPr>
      </w:pPr>
      <w:r>
        <w:rPr>
          <w:rFonts w:hint="eastAsia" w:ascii="宋体" w:hAnsi="宋体" w:eastAsia="宋体" w:cs="宋体"/>
          <w:bCs/>
          <w:color w:val="auto"/>
          <w:sz w:val="18"/>
          <w:szCs w:val="18"/>
          <w:lang w:val="en-US" w:eastAsia="zh-CN"/>
        </w:rPr>
        <w:t>单位：元/吨</w:t>
      </w:r>
    </w:p>
    <w:p>
      <w:pPr>
        <w:rPr>
          <w:rFonts w:hint="eastAsia"/>
          <w:b/>
          <w:bCs/>
          <w:color w:val="auto"/>
          <w:lang w:val="en-US" w:eastAsia="zh-CN"/>
        </w:rPr>
      </w:pPr>
    </w:p>
    <w:tbl>
      <w:tblPr>
        <w:tblStyle w:val="24"/>
        <w:tblW w:w="8982" w:type="dxa"/>
        <w:jc w:val="center"/>
        <w:shd w:val="clear" w:color="auto" w:fill="auto"/>
        <w:tblLayout w:type="autofit"/>
        <w:tblCellMar>
          <w:top w:w="0" w:type="dxa"/>
          <w:left w:w="0" w:type="dxa"/>
          <w:bottom w:w="0" w:type="dxa"/>
          <w:right w:w="0" w:type="dxa"/>
        </w:tblCellMar>
      </w:tblPr>
      <w:tblGrid>
        <w:gridCol w:w="810"/>
        <w:gridCol w:w="1065"/>
        <w:gridCol w:w="1545"/>
        <w:gridCol w:w="1395"/>
        <w:gridCol w:w="900"/>
        <w:gridCol w:w="720"/>
        <w:gridCol w:w="1272"/>
        <w:gridCol w:w="1275"/>
      </w:tblGrid>
      <w:tr>
        <w:tblPrEx>
          <w:shd w:val="clear" w:color="auto" w:fill="auto"/>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bookmarkStart w:id="21" w:name="_Toc711"/>
            <w:bookmarkStart w:id="22" w:name="_Toc27167"/>
            <w:bookmarkStart w:id="23" w:name="_Toc23056"/>
            <w:bookmarkStart w:id="24" w:name="_Toc533771879"/>
            <w:r>
              <w:rPr>
                <w:rFonts w:hint="eastAsia" w:ascii="宋体" w:hAnsi="宋体" w:eastAsia="宋体" w:cs="宋体"/>
                <w:b/>
                <w:i w:val="0"/>
                <w:color w:val="auto"/>
                <w:kern w:val="0"/>
                <w:sz w:val="18"/>
                <w:szCs w:val="18"/>
                <w:u w:val="none"/>
                <w:lang w:val="en-US" w:eastAsia="zh-CN" w:bidi="ar"/>
              </w:rPr>
              <w:t>省份</w:t>
            </w:r>
          </w:p>
        </w:tc>
        <w:tc>
          <w:tcPr>
            <w:tcW w:w="10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5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生产厂家</w:t>
            </w:r>
          </w:p>
        </w:tc>
        <w:tc>
          <w:tcPr>
            <w:tcW w:w="139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9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2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涨跌</w:t>
            </w:r>
          </w:p>
        </w:tc>
        <w:tc>
          <w:tcPr>
            <w:tcW w:w="127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2021/9/23</w:t>
            </w:r>
          </w:p>
        </w:tc>
        <w:tc>
          <w:tcPr>
            <w:tcW w:w="127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2021/9/16</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6780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6820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6780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6660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6870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6763</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6973</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6685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6880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-650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6450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6676</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6856</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6731</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6913</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6600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垦利石化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柴油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6880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6510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6710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6650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6705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华星石化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6530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6830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6550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6780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6705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6835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6705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6835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6850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潍坊弘润</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6850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国六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6550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6830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6550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6830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6690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6900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6920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6930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cs="宋体"/>
                <w:i w:val="0"/>
                <w:color w:val="000000"/>
                <w:kern w:val="0"/>
                <w:sz w:val="18"/>
                <w:szCs w:val="18"/>
                <w:u w:val="none"/>
                <w:lang w:val="en-US" w:eastAsia="zh-CN" w:bidi="ar"/>
              </w:rPr>
              <w:t>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6685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6640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6910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海化石化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6723</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6953</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6530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鑫泰石化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鑫泰石化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7130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7350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6980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汽车运输</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铁路运输</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7350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西安临潼铁路</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6800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石大科技石化</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6930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石大科技</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6700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6930</w:t>
            </w:r>
          </w:p>
        </w:tc>
      </w:tr>
    </w:tbl>
    <w:p>
      <w:pPr>
        <w:pStyle w:val="3"/>
        <w:spacing w:before="120" w:after="120" w:line="240" w:lineRule="auto"/>
        <w:jc w:val="left"/>
        <w:rPr>
          <w:rFonts w:hint="eastAsia" w:ascii="宋体" w:hAnsi="宋体" w:eastAsia="宋体" w:cs="宋体"/>
          <w:b/>
          <w:bCs/>
          <w:color w:val="auto"/>
          <w:kern w:val="2"/>
          <w:sz w:val="36"/>
          <w:szCs w:val="36"/>
          <w:highlight w:val="none"/>
          <w:lang w:val="en-US" w:eastAsia="zh-CN" w:bidi="ar-SA"/>
        </w:rPr>
      </w:pPr>
      <w:r>
        <w:rPr>
          <w:rFonts w:hint="eastAsia" w:ascii="宋体" w:hAnsi="宋体" w:eastAsia="宋体" w:cs="宋体"/>
          <w:b/>
          <w:bCs/>
          <w:color w:val="auto"/>
          <w:kern w:val="2"/>
          <w:sz w:val="36"/>
          <w:szCs w:val="36"/>
          <w:highlight w:val="none"/>
          <w:lang w:val="en-US" w:eastAsia="zh-CN" w:bidi="ar-SA"/>
        </w:rPr>
        <w:t>四、2021年7月份进出口统计数据</w:t>
      </w:r>
      <w:bookmarkEnd w:id="21"/>
      <w:bookmarkEnd w:id="22"/>
    </w:p>
    <w:p>
      <w:pPr>
        <w:pStyle w:val="3"/>
        <w:spacing w:before="120" w:after="120" w:line="240" w:lineRule="auto"/>
        <w:rPr>
          <w:rFonts w:hint="eastAsia" w:ascii="宋体" w:hAnsi="宋体"/>
          <w:b/>
          <w:color w:val="auto"/>
          <w:sz w:val="32"/>
          <w:szCs w:val="32"/>
        </w:rPr>
      </w:pPr>
      <w:bookmarkStart w:id="25" w:name="_Toc31314"/>
      <w:bookmarkStart w:id="26" w:name="_Toc19791"/>
      <w:r>
        <w:rPr>
          <w:rFonts w:hint="eastAsia" w:ascii="宋体" w:hAnsi="宋体"/>
          <w:b/>
          <w:color w:val="auto"/>
          <w:sz w:val="32"/>
          <w:szCs w:val="32"/>
        </w:rPr>
        <w:t>4.</w:t>
      </w:r>
      <w:bookmarkEnd w:id="25"/>
      <w:bookmarkEnd w:id="26"/>
      <w:r>
        <w:rPr>
          <w:rFonts w:hint="eastAsia" w:ascii="宋体" w:hAnsi="宋体"/>
          <w:b/>
          <w:color w:val="auto"/>
          <w:sz w:val="32"/>
          <w:szCs w:val="32"/>
          <w:lang w:val="en-US" w:eastAsia="zh-CN"/>
        </w:rPr>
        <w:t xml:space="preserve">1 </w:t>
      </w:r>
      <w:r>
        <w:rPr>
          <w:rFonts w:hint="eastAsia" w:ascii="宋体" w:hAnsi="宋体"/>
          <w:b/>
          <w:color w:val="auto"/>
          <w:sz w:val="32"/>
          <w:szCs w:val="32"/>
        </w:rPr>
        <w:t>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7</w:t>
      </w:r>
      <w:r>
        <w:rPr>
          <w:rFonts w:hint="eastAsia" w:ascii="宋体" w:hAnsi="宋体"/>
          <w:b/>
          <w:color w:val="auto"/>
          <w:sz w:val="32"/>
          <w:szCs w:val="32"/>
        </w:rPr>
        <w:t>份全国车用汽油和航空汽油出口统计数据</w:t>
      </w:r>
    </w:p>
    <w:p>
      <w:pPr>
        <w:rPr>
          <w:rFonts w:hint="eastAsia"/>
          <w:bCs/>
          <w:color w:val="auto"/>
          <w:szCs w:val="21"/>
        </w:rPr>
      </w:pPr>
      <w:r>
        <w:rPr>
          <w:rFonts w:hint="eastAsia"/>
          <w:bCs/>
          <w:color w:val="auto"/>
          <w:szCs w:val="21"/>
        </w:rPr>
        <w:t>单位：</w:t>
      </w:r>
      <w:r>
        <w:rPr>
          <w:rFonts w:hint="eastAsia"/>
          <w:bCs/>
          <w:color w:val="auto"/>
          <w:szCs w:val="21"/>
          <w:lang w:eastAsia="zh-CN"/>
        </w:rPr>
        <w:t>吨</w:t>
      </w:r>
      <w:r>
        <w:rPr>
          <w:rFonts w:hint="eastAsia"/>
          <w:bCs/>
          <w:color w:val="auto"/>
          <w:szCs w:val="21"/>
        </w:rPr>
        <w:t>，美元</w:t>
      </w:r>
    </w:p>
    <w:p>
      <w:pPr>
        <w:rPr>
          <w:rFonts w:hint="eastAsia"/>
          <w:color w:val="auto"/>
        </w:rPr>
      </w:pPr>
    </w:p>
    <w:p>
      <w:pPr>
        <w:rPr>
          <w:rFonts w:hint="eastAsia"/>
          <w:color w:val="auto"/>
        </w:rPr>
      </w:pPr>
    </w:p>
    <w:tbl>
      <w:tblPr>
        <w:tblStyle w:val="24"/>
        <w:tblW w:w="8700" w:type="dxa"/>
        <w:jc w:val="center"/>
        <w:shd w:val="clear" w:color="auto" w:fill="auto"/>
        <w:tblLayout w:type="autofit"/>
        <w:tblCellMar>
          <w:top w:w="0" w:type="dxa"/>
          <w:left w:w="0" w:type="dxa"/>
          <w:bottom w:w="0" w:type="dxa"/>
          <w:right w:w="0" w:type="dxa"/>
        </w:tblCellMar>
      </w:tblPr>
      <w:tblGrid>
        <w:gridCol w:w="3405"/>
        <w:gridCol w:w="1665"/>
        <w:gridCol w:w="1785"/>
        <w:gridCol w:w="1845"/>
      </w:tblGrid>
      <w:tr>
        <w:tblPrEx>
          <w:shd w:val="clear" w:color="auto" w:fill="auto"/>
          <w:tblCellMar>
            <w:top w:w="0" w:type="dxa"/>
            <w:left w:w="0" w:type="dxa"/>
            <w:bottom w:w="0" w:type="dxa"/>
            <w:right w:w="0" w:type="dxa"/>
          </w:tblCellMar>
        </w:tblPrEx>
        <w:trPr>
          <w:trHeight w:val="480"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bookmarkStart w:id="27" w:name="_Toc31064"/>
            <w:bookmarkStart w:id="28" w:name="_Toc23995"/>
            <w:r>
              <w:rPr>
                <w:rFonts w:hint="eastAsia" w:ascii="宋体" w:hAnsi="宋体" w:eastAsia="宋体" w:cs="宋体"/>
                <w:b/>
                <w:i w:val="0"/>
                <w:color w:val="auto"/>
                <w:kern w:val="0"/>
                <w:sz w:val="18"/>
                <w:szCs w:val="18"/>
                <w:u w:val="none"/>
                <w:lang w:val="en-US" w:eastAsia="zh-CN" w:bidi="ar"/>
              </w:rPr>
              <w:t>商品名称</w:t>
            </w:r>
          </w:p>
        </w:tc>
        <w:tc>
          <w:tcPr>
            <w:tcW w:w="16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出口目的地</w:t>
            </w:r>
          </w:p>
        </w:tc>
        <w:tc>
          <w:tcPr>
            <w:tcW w:w="17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单位（吨）</w:t>
            </w:r>
          </w:p>
        </w:tc>
        <w:tc>
          <w:tcPr>
            <w:tcW w:w="18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美元</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巴基斯坦</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50292.857</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33044417</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菲律宾</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34000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17115600</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韩国</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19945.084</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9816300</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马来西亚</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68496.505</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42730427</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蒙古</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2086.021</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1448585</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缅甸</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4510.664</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3080833</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日本</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3951.359</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2617040</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新加坡</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442976.923</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278875133</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印度尼西亚</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91247.283</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56565625</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越南</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17650</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12972999</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中国澳门</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5754.388</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3016000</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车用汽油和航空汽油，不含有生物柴油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740911.084</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461282959</w:t>
            </w:r>
          </w:p>
        </w:tc>
      </w:tr>
    </w:tbl>
    <w:p>
      <w:pPr>
        <w:pStyle w:val="3"/>
        <w:spacing w:before="120" w:after="120" w:line="240" w:lineRule="auto"/>
        <w:rPr>
          <w:rFonts w:hint="eastAsia" w:ascii="宋体" w:hAnsi="宋体"/>
          <w:b/>
          <w:color w:val="auto"/>
          <w:sz w:val="32"/>
          <w:szCs w:val="32"/>
        </w:rPr>
      </w:pPr>
      <w:r>
        <w:rPr>
          <w:rFonts w:hint="eastAsia" w:ascii="宋体" w:hAnsi="宋体"/>
          <w:b/>
          <w:color w:val="auto"/>
          <w:sz w:val="32"/>
          <w:szCs w:val="32"/>
        </w:rPr>
        <w:t>4.2 20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7</w:t>
      </w:r>
      <w:r>
        <w:rPr>
          <w:rFonts w:hint="eastAsia" w:ascii="宋体" w:hAnsi="宋体"/>
          <w:b/>
          <w:color w:val="auto"/>
          <w:sz w:val="32"/>
          <w:szCs w:val="32"/>
        </w:rPr>
        <w:t>月份全国柴油出口统计数据</w:t>
      </w:r>
      <w:bookmarkEnd w:id="27"/>
      <w:bookmarkEnd w:id="28"/>
    </w:p>
    <w:p>
      <w:pPr>
        <w:jc w:val="right"/>
        <w:rPr>
          <w:rFonts w:hint="eastAsia" w:ascii="宋体" w:hAnsi="宋体" w:eastAsia="宋体" w:cs="宋体"/>
          <w:bCs/>
          <w:color w:val="auto"/>
          <w:sz w:val="18"/>
          <w:szCs w:val="18"/>
        </w:rPr>
      </w:pPr>
      <w:r>
        <w:rPr>
          <w:rFonts w:hint="eastAsia" w:ascii="宋体" w:hAnsi="宋体" w:eastAsia="宋体" w:cs="宋体"/>
          <w:bCs/>
          <w:color w:val="auto"/>
          <w:sz w:val="18"/>
          <w:szCs w:val="18"/>
        </w:rPr>
        <w:t>单位：</w:t>
      </w:r>
      <w:r>
        <w:rPr>
          <w:rFonts w:hint="eastAsia" w:ascii="宋体" w:hAnsi="宋体" w:eastAsia="宋体" w:cs="宋体"/>
          <w:bCs/>
          <w:color w:val="auto"/>
          <w:sz w:val="18"/>
          <w:szCs w:val="18"/>
          <w:lang w:eastAsia="zh-CN"/>
        </w:rPr>
        <w:t>吨</w:t>
      </w:r>
      <w:r>
        <w:rPr>
          <w:rFonts w:hint="eastAsia" w:ascii="宋体" w:hAnsi="宋体" w:eastAsia="宋体" w:cs="宋体"/>
          <w:bCs/>
          <w:color w:val="auto"/>
          <w:sz w:val="18"/>
          <w:szCs w:val="18"/>
        </w:rPr>
        <w:t>，美元</w:t>
      </w:r>
    </w:p>
    <w:tbl>
      <w:tblPr>
        <w:tblStyle w:val="24"/>
        <w:tblW w:w="85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16"/>
        <w:gridCol w:w="1410"/>
        <w:gridCol w:w="1050"/>
        <w:gridCol w:w="1688"/>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2516"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bCs/>
                <w:color w:val="auto"/>
                <w:sz w:val="18"/>
                <w:szCs w:val="18"/>
              </w:rPr>
            </w:pPr>
            <w:bookmarkStart w:id="29" w:name="_Toc16942"/>
            <w:r>
              <w:rPr>
                <w:rFonts w:hint="eastAsia" w:ascii="宋体" w:hAnsi="宋体" w:eastAsia="宋体" w:cs="宋体"/>
                <w:b/>
                <w:bCs/>
                <w:i w:val="0"/>
                <w:iCs w:val="0"/>
                <w:color w:val="auto"/>
                <w:kern w:val="0"/>
                <w:sz w:val="18"/>
                <w:szCs w:val="18"/>
                <w:u w:val="none"/>
                <w:lang w:val="en-US" w:eastAsia="zh-CN" w:bidi="ar"/>
              </w:rPr>
              <w:t>贸易伙伴名称</w:t>
            </w:r>
          </w:p>
        </w:tc>
        <w:tc>
          <w:tcPr>
            <w:tcW w:w="141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bCs/>
                <w:color w:val="auto"/>
                <w:sz w:val="18"/>
                <w:szCs w:val="18"/>
              </w:rPr>
            </w:pPr>
            <w:r>
              <w:rPr>
                <w:rFonts w:hint="eastAsia" w:ascii="宋体" w:hAnsi="宋体" w:eastAsia="宋体" w:cs="宋体"/>
                <w:b/>
                <w:bCs/>
                <w:i w:val="0"/>
                <w:iCs w:val="0"/>
                <w:color w:val="auto"/>
                <w:kern w:val="0"/>
                <w:sz w:val="18"/>
                <w:szCs w:val="18"/>
                <w:u w:val="none"/>
                <w:lang w:val="en-US" w:eastAsia="zh-CN" w:bidi="ar"/>
              </w:rPr>
              <w:t>数量（吨）</w:t>
            </w:r>
          </w:p>
        </w:tc>
        <w:tc>
          <w:tcPr>
            <w:tcW w:w="105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bCs/>
                <w:color w:val="auto"/>
                <w:sz w:val="18"/>
                <w:szCs w:val="18"/>
              </w:rPr>
            </w:pPr>
            <w:r>
              <w:rPr>
                <w:rFonts w:hint="eastAsia" w:ascii="宋体" w:hAnsi="宋体" w:eastAsia="宋体" w:cs="宋体"/>
                <w:b/>
                <w:bCs/>
                <w:i w:val="0"/>
                <w:iCs w:val="0"/>
                <w:color w:val="auto"/>
                <w:kern w:val="0"/>
                <w:sz w:val="18"/>
                <w:szCs w:val="18"/>
                <w:u w:val="none"/>
                <w:lang w:val="en-US" w:eastAsia="zh-CN" w:bidi="ar"/>
              </w:rPr>
              <w:t>所占比率</w:t>
            </w:r>
          </w:p>
        </w:tc>
        <w:tc>
          <w:tcPr>
            <w:tcW w:w="1688"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bCs/>
                <w:color w:val="auto"/>
                <w:sz w:val="18"/>
                <w:szCs w:val="18"/>
              </w:rPr>
            </w:pPr>
            <w:r>
              <w:rPr>
                <w:rFonts w:hint="eastAsia" w:ascii="宋体" w:hAnsi="宋体" w:eastAsia="宋体" w:cs="宋体"/>
                <w:b/>
                <w:bCs/>
                <w:i w:val="0"/>
                <w:iCs w:val="0"/>
                <w:color w:val="auto"/>
                <w:kern w:val="0"/>
                <w:sz w:val="18"/>
                <w:szCs w:val="18"/>
                <w:u w:val="none"/>
                <w:lang w:val="en-US" w:eastAsia="zh-CN" w:bidi="ar"/>
              </w:rPr>
              <w:t>当月金额（元）</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bCs/>
                <w:color w:val="auto"/>
                <w:sz w:val="18"/>
                <w:szCs w:val="18"/>
              </w:rPr>
            </w:pPr>
            <w:r>
              <w:rPr>
                <w:rFonts w:hint="eastAsia" w:ascii="宋体" w:hAnsi="宋体" w:eastAsia="宋体" w:cs="宋体"/>
                <w:b/>
                <w:bCs/>
                <w:i w:val="0"/>
                <w:iCs w:val="0"/>
                <w:color w:val="auto"/>
                <w:kern w:val="0"/>
                <w:sz w:val="18"/>
                <w:szCs w:val="18"/>
                <w:u w:val="none"/>
                <w:lang w:val="en-US" w:eastAsia="zh-CN" w:bidi="ar"/>
              </w:rPr>
              <w:t>当月均价（元/吨）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 xml:space="preserve">阿尔及利亚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235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1030625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4385.64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埃塞俄比亚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116.03</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458506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3951.68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安提瓜和巴布达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75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262880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3505.07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澳大利亚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236427.94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17%</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791019367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3345.71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巴哈马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2455.92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9827537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4001.57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巴拿马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15238.21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56424408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3702.82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伯利兹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452.18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1722534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3809.44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丹麦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234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908797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3883.75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多哥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154.65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592738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3832.77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俄罗斯联邦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197001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3940.02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厄瓜多尔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76391.36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269428322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3526.95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法国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978.1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3613162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3694.06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菲律宾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533419.23</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1884946204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3533.71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韩国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46497.68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166071474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3571.61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荷兰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395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1478129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基里巴斯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60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230681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3844.68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吉布提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201.6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761945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3779.49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柬埔寨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16430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62325850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3793.42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喀麦隆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64898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4326.53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开曼群岛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71709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3585.45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克罗地亚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175256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3894.58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利比里亚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8045.76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30358691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3773.25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马耳他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2231.28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8706740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3902.14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马来西亚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4869928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4869.93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马绍尔群岛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5252.86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20177648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3841.27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美国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1268.8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4728301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3726.59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蒙古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1083.64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4155896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3835.14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孟加拉国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94981.03</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7%</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355757857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3745.57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缅甸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10121.02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43832360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4330.83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挪威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417.2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1581461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3790.65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帕劳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171.11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641450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3748.74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葡萄牙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1231.7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4659765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日本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5873.22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22138874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3769.46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塞拉利昂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160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656622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4103.89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塞浦路斯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865.66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3413881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3943.66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沙特阿拉伯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79.4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301009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3791.05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泰国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40202.38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141684828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3524.29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图瓦卢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192234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3844.68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瓦努阿图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94.2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336551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3572.73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希腊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220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843855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新加坡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124744.02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9%</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449070763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3599.94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牙买加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49</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187189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3820.18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意大利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308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1166487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英国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2683.45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9971402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3715.89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越南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96.35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359291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3729.21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智利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39878.36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148716926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3729.26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中国澳门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3425.57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9284902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2710.47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中国台湾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1395.1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5134907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3680.67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 xml:space="preserve">中国香港  </w:t>
            </w:r>
          </w:p>
        </w:tc>
        <w:tc>
          <w:tcPr>
            <w:tcW w:w="141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115600.16</w:t>
            </w:r>
          </w:p>
        </w:tc>
        <w:tc>
          <w:tcPr>
            <w:tcW w:w="105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8%</w:t>
            </w:r>
          </w:p>
        </w:tc>
        <w:tc>
          <w:tcPr>
            <w:tcW w:w="1688"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422028687</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eastAsia" w:ascii="宋体" w:hAnsi="宋体" w:eastAsia="宋体" w:cs="宋体"/>
                <w:i w:val="0"/>
                <w:iCs w:val="0"/>
                <w:color w:val="auto"/>
                <w:kern w:val="0"/>
                <w:sz w:val="18"/>
                <w:szCs w:val="18"/>
                <w:u w:val="none"/>
                <w:lang w:val="en-US" w:eastAsia="zh-CN" w:bidi="ar"/>
              </w:rPr>
              <w:t>3650.76</w:t>
            </w:r>
          </w:p>
        </w:tc>
      </w:tr>
    </w:tbl>
    <w:p>
      <w:pPr>
        <w:pStyle w:val="3"/>
        <w:spacing w:before="120" w:after="120" w:line="240" w:lineRule="auto"/>
        <w:rPr>
          <w:rFonts w:hint="eastAsia"/>
          <w:bCs/>
          <w:color w:val="auto"/>
          <w:sz w:val="30"/>
          <w:szCs w:val="30"/>
        </w:rPr>
      </w:pPr>
      <w:r>
        <w:rPr>
          <w:rFonts w:hint="eastAsia" w:ascii="宋体" w:hAnsi="宋体"/>
          <w:b/>
          <w:color w:val="auto"/>
          <w:sz w:val="30"/>
          <w:szCs w:val="30"/>
        </w:rPr>
        <w:t>4.3 20</w:t>
      </w:r>
      <w:r>
        <w:rPr>
          <w:rFonts w:hint="eastAsia" w:ascii="宋体" w:hAnsi="宋体"/>
          <w:b/>
          <w:color w:val="auto"/>
          <w:sz w:val="30"/>
          <w:szCs w:val="30"/>
          <w:lang w:val="en-US" w:eastAsia="zh-CN"/>
        </w:rPr>
        <w:t>21</w:t>
      </w:r>
      <w:r>
        <w:rPr>
          <w:rFonts w:hint="eastAsia" w:ascii="宋体" w:hAnsi="宋体"/>
          <w:b/>
          <w:color w:val="auto"/>
          <w:sz w:val="30"/>
          <w:szCs w:val="30"/>
        </w:rPr>
        <w:t>年</w:t>
      </w:r>
      <w:r>
        <w:rPr>
          <w:rFonts w:hint="eastAsia" w:ascii="宋体" w:hAnsi="宋体"/>
          <w:b/>
          <w:color w:val="auto"/>
          <w:sz w:val="30"/>
          <w:szCs w:val="30"/>
          <w:lang w:val="en-US" w:eastAsia="zh-CN"/>
        </w:rPr>
        <w:t>7</w:t>
      </w:r>
      <w:r>
        <w:rPr>
          <w:rFonts w:hint="eastAsia" w:ascii="宋体" w:hAnsi="宋体"/>
          <w:b/>
          <w:color w:val="auto"/>
          <w:sz w:val="30"/>
          <w:szCs w:val="30"/>
        </w:rPr>
        <w:t>月份全国原油进出口统计数据</w:t>
      </w:r>
      <w:bookmarkEnd w:id="23"/>
      <w:bookmarkEnd w:id="29"/>
    </w:p>
    <w:p>
      <w:pPr>
        <w:jc w:val="right"/>
        <w:rPr>
          <w:rFonts w:hint="eastAsia"/>
          <w:bCs/>
          <w:color w:val="auto"/>
          <w:sz w:val="18"/>
          <w:szCs w:val="18"/>
        </w:rPr>
      </w:pPr>
      <w:r>
        <w:rPr>
          <w:rFonts w:hint="eastAsia"/>
          <w:bCs/>
          <w:color w:val="auto"/>
          <w:sz w:val="18"/>
          <w:szCs w:val="18"/>
        </w:rPr>
        <w:t>单位：</w:t>
      </w:r>
      <w:r>
        <w:rPr>
          <w:rFonts w:hint="eastAsia"/>
          <w:bCs/>
          <w:color w:val="auto"/>
          <w:sz w:val="18"/>
          <w:szCs w:val="18"/>
          <w:lang w:eastAsia="zh-CN"/>
        </w:rPr>
        <w:t>吨</w:t>
      </w:r>
      <w:r>
        <w:rPr>
          <w:rFonts w:hint="eastAsia"/>
          <w:bCs/>
          <w:color w:val="auto"/>
          <w:sz w:val="18"/>
          <w:szCs w:val="18"/>
        </w:rPr>
        <w:t>，美元</w:t>
      </w:r>
    </w:p>
    <w:p>
      <w:pPr>
        <w:rPr>
          <w:rFonts w:hint="eastAsia" w:eastAsia="宋体"/>
          <w:bCs/>
          <w:color w:val="auto"/>
          <w:szCs w:val="21"/>
          <w:lang w:eastAsia="zh-CN"/>
        </w:rPr>
      </w:pPr>
    </w:p>
    <w:tbl>
      <w:tblPr>
        <w:tblStyle w:val="24"/>
        <w:tblW w:w="4337" w:type="pct"/>
        <w:jc w:val="center"/>
        <w:tblLayout w:type="autofit"/>
        <w:tblCellMar>
          <w:top w:w="0" w:type="dxa"/>
          <w:left w:w="108" w:type="dxa"/>
          <w:bottom w:w="0" w:type="dxa"/>
          <w:right w:w="108" w:type="dxa"/>
        </w:tblCellMar>
      </w:tblPr>
      <w:tblGrid>
        <w:gridCol w:w="2459"/>
        <w:gridCol w:w="1513"/>
        <w:gridCol w:w="1936"/>
        <w:gridCol w:w="2639"/>
      </w:tblGrid>
      <w:tr>
        <w:tblPrEx>
          <w:tblCellMar>
            <w:top w:w="0" w:type="dxa"/>
            <w:left w:w="108" w:type="dxa"/>
            <w:bottom w:w="0" w:type="dxa"/>
            <w:right w:w="108" w:type="dxa"/>
          </w:tblCellMar>
        </w:tblPrEx>
        <w:trPr>
          <w:trHeight w:val="330" w:hRule="atLeast"/>
          <w:jc w:val="center"/>
        </w:trPr>
        <w:tc>
          <w:tcPr>
            <w:tcW w:w="1438" w:type="pct"/>
            <w:tcBorders>
              <w:top w:val="single" w:color="auto" w:sz="4" w:space="0"/>
              <w:left w:val="single" w:color="auto" w:sz="4" w:space="0"/>
              <w:bottom w:val="single" w:color="auto" w:sz="4" w:space="0"/>
              <w:right w:val="single" w:color="auto" w:sz="4" w:space="0"/>
            </w:tcBorders>
            <w:shd w:val="clear" w:color="000000" w:fill="00B0F0"/>
            <w:noWrap w:val="0"/>
            <w:vAlign w:val="bottom"/>
          </w:tcPr>
          <w:p>
            <w:pPr>
              <w:widowControl/>
              <w:jc w:val="center"/>
              <w:rPr>
                <w:rFonts w:hint="eastAsia" w:ascii="宋体" w:hAnsi="宋体" w:eastAsia="宋体" w:cs="宋体"/>
                <w:b/>
                <w:color w:val="auto"/>
                <w:sz w:val="18"/>
                <w:szCs w:val="18"/>
              </w:rPr>
            </w:pPr>
            <w:bookmarkStart w:id="30" w:name="_Toc20776"/>
            <w:bookmarkStart w:id="31" w:name="_Toc18589"/>
            <w:r>
              <w:rPr>
                <w:rFonts w:hint="eastAsia" w:ascii="宋体" w:hAnsi="宋体" w:eastAsia="宋体" w:cs="宋体"/>
                <w:b/>
                <w:color w:val="auto"/>
                <w:sz w:val="18"/>
                <w:szCs w:val="18"/>
              </w:rPr>
              <w:t>来源国（进口）</w:t>
            </w:r>
          </w:p>
        </w:tc>
        <w:tc>
          <w:tcPr>
            <w:tcW w:w="885"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万吨</w:t>
            </w:r>
          </w:p>
        </w:tc>
        <w:tc>
          <w:tcPr>
            <w:tcW w:w="1132"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万美元</w:t>
            </w:r>
          </w:p>
        </w:tc>
        <w:tc>
          <w:tcPr>
            <w:tcW w:w="1543"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均价（美元/吨）</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沙特阿拉伯</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666.85</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349792.58</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524.54</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俄罗斯联邦</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663.94</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345049.46</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519.7</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伊拉克</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467.15</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239822.19</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513.37</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科威特</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416.22</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222526.72</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534.64</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阿曼</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367.47</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194880.23</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530.32</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安哥拉</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291.97</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155834.95</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533.74</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巴西</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243.43</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128460.83</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527.71</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阿联酋</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191.3</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101069.12</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528.34</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马来西亚</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118.21</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57536.69</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486.75</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美国</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78.43</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45614.9</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581.63</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挪威</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69.07</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37212.83</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538.79</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英国</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65.65</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36654.12</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558.3</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卡塔尔</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63.21</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35609.21</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563.32</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厄瓜多尔</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60.8</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29490.07</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485.04</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哥伦比亚</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53.75</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25834.73</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480.67</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哈萨克斯坦</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48.92</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27553.41</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563.2</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尼日利亚</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46.06</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24915.8</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540.99</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加纳</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38.35</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20813.94</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542.68</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利比亚</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26.05</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14259.61</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547.35</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加蓬</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25.8</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14716.95</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570.33</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赤道几内亚</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24.83</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14421.38</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580.78</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加拿大</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21.14</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9851.58</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466.05</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印度尼西亚</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15.45</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8767.4</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567.51</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也门</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13.19</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7451.33</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565</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刚果(布)</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13.01</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6752.67</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519.06</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刚果(金)</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12.46</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6813.5</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546.79</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越南</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7.01</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4058.71</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579.03</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蒙古</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6.63</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2746.9</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414.43</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埃及</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5.94</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3340.12</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562.28</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圭亚那</w:t>
            </w:r>
          </w:p>
        </w:tc>
        <w:tc>
          <w:tcPr>
            <w:tcW w:w="885"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1.98</w:t>
            </w:r>
          </w:p>
        </w:tc>
        <w:tc>
          <w:tcPr>
            <w:tcW w:w="1132"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1021.28</w:t>
            </w:r>
          </w:p>
        </w:tc>
        <w:tc>
          <w:tcPr>
            <w:tcW w:w="1543"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center"/>
              <w:rPr>
                <w:rFonts w:hint="eastAsia" w:ascii="宋体" w:hAnsi="宋体" w:eastAsia="宋体" w:cs="宋体"/>
                <w:color w:val="auto"/>
                <w:sz w:val="18"/>
                <w:szCs w:val="18"/>
              </w:rPr>
            </w:pPr>
            <w:r>
              <w:rPr>
                <w:rFonts w:hint="eastAsia" w:ascii="宋体" w:hAnsi="宋体" w:eastAsia="宋体" w:cs="宋体"/>
                <w:color w:val="auto"/>
                <w:sz w:val="18"/>
                <w:szCs w:val="18"/>
              </w:rPr>
              <w:t>516.22</w:t>
            </w:r>
          </w:p>
        </w:tc>
      </w:tr>
      <w:tr>
        <w:tblPrEx>
          <w:tblCellMar>
            <w:top w:w="0" w:type="dxa"/>
            <w:left w:w="108" w:type="dxa"/>
            <w:bottom w:w="0" w:type="dxa"/>
            <w:right w:w="108" w:type="dxa"/>
          </w:tblCellMar>
        </w:tblPrEx>
        <w:trPr>
          <w:trHeight w:val="270" w:hRule="atLeast"/>
          <w:jc w:val="center"/>
        </w:trPr>
        <w:tc>
          <w:tcPr>
            <w:tcW w:w="1438" w:type="pct"/>
            <w:tcBorders>
              <w:top w:val="nil"/>
              <w:left w:val="single" w:color="auto" w:sz="4" w:space="0"/>
              <w:bottom w:val="single" w:color="auto" w:sz="4" w:space="0"/>
              <w:right w:val="single" w:color="auto" w:sz="4" w:space="0"/>
            </w:tcBorders>
            <w:shd w:val="clear" w:color="auto" w:fill="00B0F0"/>
            <w:noWrap w:val="0"/>
            <w:vAlign w:val="center"/>
          </w:tcPr>
          <w:p>
            <w:pPr>
              <w:widowControl/>
              <w:wordWrap w:val="0"/>
              <w:spacing w:after="90" w:line="288" w:lineRule="auto"/>
              <w:ind w:firstLine="48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合计</w:t>
            </w:r>
          </w:p>
        </w:tc>
        <w:tc>
          <w:tcPr>
            <w:tcW w:w="885" w:type="pct"/>
            <w:tcBorders>
              <w:top w:val="nil"/>
              <w:left w:val="nil"/>
              <w:bottom w:val="single" w:color="auto" w:sz="4" w:space="0"/>
              <w:right w:val="single" w:color="auto" w:sz="4" w:space="0"/>
            </w:tcBorders>
            <w:shd w:val="clear" w:color="auto" w:fill="00B0F0"/>
            <w:noWrap w:val="0"/>
            <w:vAlign w:val="center"/>
          </w:tcPr>
          <w:p>
            <w:pPr>
              <w:widowControl/>
              <w:wordWrap w:val="0"/>
              <w:spacing w:after="90" w:line="288" w:lineRule="auto"/>
              <w:ind w:firstLine="48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4124.27</w:t>
            </w:r>
          </w:p>
        </w:tc>
        <w:tc>
          <w:tcPr>
            <w:tcW w:w="1132" w:type="pct"/>
            <w:tcBorders>
              <w:top w:val="nil"/>
              <w:left w:val="nil"/>
              <w:bottom w:val="single" w:color="auto" w:sz="4" w:space="0"/>
              <w:right w:val="single" w:color="auto" w:sz="4" w:space="0"/>
            </w:tcBorders>
            <w:shd w:val="clear" w:color="auto" w:fill="00B0F0"/>
            <w:noWrap w:val="0"/>
            <w:vAlign w:val="center"/>
          </w:tcPr>
          <w:p>
            <w:pPr>
              <w:widowControl/>
              <w:wordWrap w:val="0"/>
              <w:spacing w:after="90" w:line="288" w:lineRule="auto"/>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2172873.24</w:t>
            </w:r>
          </w:p>
        </w:tc>
        <w:tc>
          <w:tcPr>
            <w:tcW w:w="1543" w:type="pct"/>
            <w:tcBorders>
              <w:top w:val="nil"/>
              <w:left w:val="nil"/>
              <w:bottom w:val="single" w:color="auto" w:sz="4" w:space="0"/>
              <w:right w:val="single" w:color="auto" w:sz="4" w:space="0"/>
            </w:tcBorders>
            <w:shd w:val="clear" w:color="auto" w:fill="00B0F0"/>
            <w:noWrap w:val="0"/>
            <w:vAlign w:val="center"/>
          </w:tcPr>
          <w:p>
            <w:pPr>
              <w:widowControl/>
              <w:wordWrap w:val="0"/>
              <w:spacing w:after="90" w:line="288" w:lineRule="auto"/>
              <w:ind w:firstLine="48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526.85</w:t>
            </w:r>
          </w:p>
        </w:tc>
      </w:tr>
    </w:tbl>
    <w:p>
      <w:pPr>
        <w:widowControl/>
        <w:wordWrap w:val="0"/>
        <w:spacing w:after="90" w:line="288" w:lineRule="auto"/>
        <w:ind w:firstLine="480"/>
        <w:jc w:val="left"/>
        <w:rPr>
          <w:rFonts w:hint="eastAsia" w:asciiTheme="minorEastAsia" w:hAnsiTheme="minorEastAsia" w:eastAsiaTheme="minorEastAsia" w:cstheme="minorEastAsia"/>
          <w:color w:val="auto"/>
          <w:kern w:val="2"/>
          <w:sz w:val="28"/>
          <w:szCs w:val="28"/>
          <w:shd w:val="clear" w:color="auto" w:fill="FFFFFF"/>
          <w:lang w:val="en-US" w:eastAsia="zh-CN" w:bidi="ar-SA"/>
        </w:rPr>
      </w:pPr>
    </w:p>
    <w:tbl>
      <w:tblPr>
        <w:tblStyle w:val="24"/>
        <w:tblW w:w="4342" w:type="pct"/>
        <w:tblInd w:w="645" w:type="dxa"/>
        <w:tblLayout w:type="autofit"/>
        <w:tblCellMar>
          <w:top w:w="0" w:type="dxa"/>
          <w:left w:w="108" w:type="dxa"/>
          <w:bottom w:w="0" w:type="dxa"/>
          <w:right w:w="108" w:type="dxa"/>
        </w:tblCellMar>
      </w:tblPr>
      <w:tblGrid>
        <w:gridCol w:w="2443"/>
        <w:gridCol w:w="1531"/>
        <w:gridCol w:w="1919"/>
        <w:gridCol w:w="2664"/>
      </w:tblGrid>
      <w:tr>
        <w:tblPrEx>
          <w:tblCellMar>
            <w:top w:w="0" w:type="dxa"/>
            <w:left w:w="108" w:type="dxa"/>
            <w:bottom w:w="0" w:type="dxa"/>
            <w:right w:w="108" w:type="dxa"/>
          </w:tblCellMar>
        </w:tblPrEx>
        <w:trPr>
          <w:trHeight w:val="524" w:hRule="atLeast"/>
        </w:trPr>
        <w:tc>
          <w:tcPr>
            <w:tcW w:w="1427" w:type="pct"/>
            <w:tcBorders>
              <w:top w:val="single" w:color="auto" w:sz="4" w:space="0"/>
              <w:left w:val="single" w:color="auto" w:sz="4" w:space="0"/>
              <w:bottom w:val="single" w:color="auto" w:sz="4" w:space="0"/>
              <w:right w:val="single" w:color="auto" w:sz="4" w:space="0"/>
            </w:tcBorders>
            <w:shd w:val="clear" w:color="000000" w:fill="00B0F0"/>
            <w:noWrap w:val="0"/>
            <w:vAlign w:val="bottom"/>
          </w:tcPr>
          <w:p>
            <w:pPr>
              <w:widowControl/>
              <w:wordWrap w:val="0"/>
              <w:spacing w:after="90" w:line="288" w:lineRule="auto"/>
              <w:ind w:firstLine="480"/>
              <w:jc w:val="left"/>
              <w:rPr>
                <w:rFonts w:hint="eastAsia" w:ascii="宋体" w:hAnsi="宋体" w:eastAsia="宋体" w:cs="宋体"/>
                <w:b/>
                <w:color w:val="auto"/>
                <w:sz w:val="18"/>
                <w:szCs w:val="18"/>
              </w:rPr>
            </w:pPr>
            <w:r>
              <w:rPr>
                <w:rFonts w:hint="eastAsia" w:ascii="宋体" w:hAnsi="宋体" w:eastAsia="宋体" w:cs="宋体"/>
                <w:b/>
                <w:color w:val="auto"/>
                <w:sz w:val="18"/>
                <w:szCs w:val="18"/>
              </w:rPr>
              <w:t>出口国家</w:t>
            </w:r>
          </w:p>
        </w:tc>
        <w:tc>
          <w:tcPr>
            <w:tcW w:w="894" w:type="pct"/>
            <w:tcBorders>
              <w:top w:val="single" w:color="auto" w:sz="4" w:space="0"/>
              <w:left w:val="nil"/>
              <w:bottom w:val="single" w:color="auto" w:sz="4" w:space="0"/>
              <w:right w:val="single" w:color="auto" w:sz="4" w:space="0"/>
            </w:tcBorders>
            <w:shd w:val="clear" w:color="000000" w:fill="00B0F0"/>
            <w:noWrap w:val="0"/>
            <w:vAlign w:val="bottom"/>
          </w:tcPr>
          <w:p>
            <w:pPr>
              <w:widowControl/>
              <w:wordWrap w:val="0"/>
              <w:spacing w:after="90" w:line="288" w:lineRule="auto"/>
              <w:ind w:firstLine="480"/>
              <w:jc w:val="left"/>
              <w:rPr>
                <w:rFonts w:hint="eastAsia" w:ascii="宋体" w:hAnsi="宋体" w:eastAsia="宋体" w:cs="宋体"/>
                <w:b/>
                <w:color w:val="auto"/>
                <w:sz w:val="18"/>
                <w:szCs w:val="18"/>
              </w:rPr>
            </w:pPr>
            <w:r>
              <w:rPr>
                <w:rFonts w:hint="eastAsia" w:ascii="宋体" w:hAnsi="宋体" w:eastAsia="宋体" w:cs="宋体"/>
                <w:b/>
                <w:color w:val="auto"/>
                <w:sz w:val="18"/>
                <w:szCs w:val="18"/>
              </w:rPr>
              <w:t>万吨</w:t>
            </w:r>
          </w:p>
        </w:tc>
        <w:tc>
          <w:tcPr>
            <w:tcW w:w="1121" w:type="pct"/>
            <w:tcBorders>
              <w:top w:val="single" w:color="auto" w:sz="4" w:space="0"/>
              <w:left w:val="nil"/>
              <w:bottom w:val="single" w:color="auto" w:sz="4" w:space="0"/>
              <w:right w:val="single" w:color="auto" w:sz="4" w:space="0"/>
            </w:tcBorders>
            <w:shd w:val="clear" w:color="000000" w:fill="00B0F0"/>
            <w:noWrap w:val="0"/>
            <w:vAlign w:val="bottom"/>
          </w:tcPr>
          <w:p>
            <w:pPr>
              <w:widowControl/>
              <w:wordWrap w:val="0"/>
              <w:spacing w:after="90" w:line="288" w:lineRule="auto"/>
              <w:ind w:firstLine="480"/>
              <w:jc w:val="left"/>
              <w:rPr>
                <w:rFonts w:hint="eastAsia" w:ascii="宋体" w:hAnsi="宋体" w:eastAsia="宋体" w:cs="宋体"/>
                <w:b/>
                <w:color w:val="auto"/>
                <w:sz w:val="18"/>
                <w:szCs w:val="18"/>
              </w:rPr>
            </w:pPr>
            <w:r>
              <w:rPr>
                <w:rFonts w:hint="eastAsia" w:ascii="宋体" w:hAnsi="宋体" w:eastAsia="宋体" w:cs="宋体"/>
                <w:b/>
                <w:color w:val="auto"/>
                <w:sz w:val="18"/>
                <w:szCs w:val="18"/>
              </w:rPr>
              <w:t>万美元</w:t>
            </w:r>
          </w:p>
        </w:tc>
        <w:tc>
          <w:tcPr>
            <w:tcW w:w="1556" w:type="pct"/>
            <w:tcBorders>
              <w:top w:val="single" w:color="auto" w:sz="4" w:space="0"/>
              <w:left w:val="nil"/>
              <w:bottom w:val="single" w:color="auto" w:sz="4" w:space="0"/>
              <w:right w:val="single" w:color="auto" w:sz="4" w:space="0"/>
            </w:tcBorders>
            <w:shd w:val="clear" w:color="000000" w:fill="00B0F0"/>
            <w:noWrap w:val="0"/>
            <w:vAlign w:val="bottom"/>
          </w:tcPr>
          <w:p>
            <w:pPr>
              <w:widowControl/>
              <w:wordWrap w:val="0"/>
              <w:spacing w:after="90" w:line="288" w:lineRule="auto"/>
              <w:jc w:val="left"/>
              <w:rPr>
                <w:rFonts w:hint="eastAsia" w:ascii="宋体" w:hAnsi="宋体" w:eastAsia="宋体" w:cs="宋体"/>
                <w:b/>
                <w:color w:val="auto"/>
                <w:sz w:val="18"/>
                <w:szCs w:val="18"/>
              </w:rPr>
            </w:pPr>
            <w:r>
              <w:rPr>
                <w:rFonts w:hint="eastAsia" w:ascii="宋体" w:hAnsi="宋体" w:eastAsia="宋体" w:cs="宋体"/>
                <w:b/>
                <w:color w:val="auto"/>
                <w:sz w:val="18"/>
                <w:szCs w:val="18"/>
              </w:rPr>
              <w:t>均价（美元/吨）</w:t>
            </w:r>
          </w:p>
        </w:tc>
      </w:tr>
      <w:tr>
        <w:tblPrEx>
          <w:tblCellMar>
            <w:top w:w="0" w:type="dxa"/>
            <w:left w:w="108" w:type="dxa"/>
            <w:bottom w:w="0" w:type="dxa"/>
            <w:right w:w="108" w:type="dxa"/>
          </w:tblCellMar>
        </w:tblPrEx>
        <w:trPr>
          <w:trHeight w:val="270" w:hRule="atLeast"/>
        </w:trPr>
        <w:tc>
          <w:tcPr>
            <w:tcW w:w="1427"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left"/>
              <w:rPr>
                <w:rFonts w:hint="eastAsia" w:ascii="宋体" w:hAnsi="宋体" w:eastAsia="宋体" w:cs="宋体"/>
                <w:color w:val="auto"/>
                <w:sz w:val="18"/>
                <w:szCs w:val="18"/>
              </w:rPr>
            </w:pPr>
            <w:r>
              <w:rPr>
                <w:rFonts w:hint="eastAsia" w:ascii="宋体" w:hAnsi="宋体" w:eastAsia="宋体" w:cs="宋体"/>
                <w:color w:val="auto"/>
                <w:sz w:val="18"/>
                <w:szCs w:val="18"/>
              </w:rPr>
              <w:t>缅甸</w:t>
            </w:r>
          </w:p>
        </w:tc>
        <w:tc>
          <w:tcPr>
            <w:tcW w:w="894"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left"/>
              <w:rPr>
                <w:rFonts w:hint="eastAsia" w:ascii="宋体" w:hAnsi="宋体" w:eastAsia="宋体" w:cs="宋体"/>
                <w:color w:val="auto"/>
                <w:sz w:val="18"/>
                <w:szCs w:val="18"/>
              </w:rPr>
            </w:pPr>
            <w:r>
              <w:rPr>
                <w:rFonts w:hint="eastAsia" w:ascii="宋体" w:hAnsi="宋体" w:eastAsia="宋体" w:cs="宋体"/>
                <w:color w:val="auto"/>
                <w:sz w:val="18"/>
                <w:szCs w:val="18"/>
              </w:rPr>
              <w:t>27.66</w:t>
            </w:r>
          </w:p>
        </w:tc>
        <w:tc>
          <w:tcPr>
            <w:tcW w:w="1121"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left"/>
              <w:rPr>
                <w:rFonts w:hint="eastAsia" w:ascii="宋体" w:hAnsi="宋体" w:eastAsia="宋体" w:cs="宋体"/>
                <w:color w:val="auto"/>
                <w:sz w:val="18"/>
                <w:szCs w:val="18"/>
              </w:rPr>
            </w:pPr>
            <w:r>
              <w:rPr>
                <w:rFonts w:hint="eastAsia" w:ascii="宋体" w:hAnsi="宋体" w:eastAsia="宋体" w:cs="宋体"/>
                <w:color w:val="auto"/>
                <w:sz w:val="18"/>
                <w:szCs w:val="18"/>
              </w:rPr>
              <w:t>13.19</w:t>
            </w:r>
          </w:p>
        </w:tc>
        <w:tc>
          <w:tcPr>
            <w:tcW w:w="1556"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left"/>
              <w:rPr>
                <w:rFonts w:hint="eastAsia" w:ascii="宋体" w:hAnsi="宋体" w:eastAsia="宋体" w:cs="宋体"/>
                <w:color w:val="auto"/>
                <w:sz w:val="18"/>
                <w:szCs w:val="18"/>
              </w:rPr>
            </w:pPr>
            <w:r>
              <w:rPr>
                <w:rFonts w:hint="eastAsia" w:ascii="宋体" w:hAnsi="宋体" w:eastAsia="宋体" w:cs="宋体"/>
                <w:color w:val="auto"/>
                <w:sz w:val="18"/>
                <w:szCs w:val="18"/>
              </w:rPr>
              <w:t>476.85</w:t>
            </w:r>
          </w:p>
        </w:tc>
      </w:tr>
      <w:tr>
        <w:tblPrEx>
          <w:tblCellMar>
            <w:top w:w="0" w:type="dxa"/>
            <w:left w:w="108" w:type="dxa"/>
            <w:bottom w:w="0" w:type="dxa"/>
            <w:right w:w="108" w:type="dxa"/>
          </w:tblCellMar>
        </w:tblPrEx>
        <w:trPr>
          <w:trHeight w:val="270" w:hRule="atLeast"/>
        </w:trPr>
        <w:tc>
          <w:tcPr>
            <w:tcW w:w="1427" w:type="pct"/>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after="90" w:line="288" w:lineRule="auto"/>
              <w:ind w:firstLine="480"/>
              <w:jc w:val="left"/>
              <w:rPr>
                <w:rFonts w:hint="eastAsia" w:ascii="宋体" w:hAnsi="宋体" w:eastAsia="宋体" w:cs="宋体"/>
                <w:color w:val="auto"/>
                <w:sz w:val="18"/>
                <w:szCs w:val="18"/>
              </w:rPr>
            </w:pPr>
            <w:r>
              <w:rPr>
                <w:rFonts w:hint="eastAsia" w:ascii="宋体" w:hAnsi="宋体" w:eastAsia="宋体" w:cs="宋体"/>
                <w:color w:val="auto"/>
                <w:sz w:val="18"/>
                <w:szCs w:val="18"/>
              </w:rPr>
              <w:t>韩国</w:t>
            </w:r>
          </w:p>
        </w:tc>
        <w:tc>
          <w:tcPr>
            <w:tcW w:w="894"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left"/>
              <w:rPr>
                <w:rFonts w:hint="eastAsia" w:ascii="宋体" w:hAnsi="宋体" w:eastAsia="宋体" w:cs="宋体"/>
                <w:color w:val="auto"/>
                <w:sz w:val="18"/>
                <w:szCs w:val="18"/>
              </w:rPr>
            </w:pPr>
            <w:r>
              <w:rPr>
                <w:rFonts w:hint="eastAsia" w:ascii="宋体" w:hAnsi="宋体" w:eastAsia="宋体" w:cs="宋体"/>
                <w:color w:val="auto"/>
                <w:sz w:val="18"/>
                <w:szCs w:val="18"/>
              </w:rPr>
              <w:t>31.75</w:t>
            </w:r>
          </w:p>
        </w:tc>
        <w:tc>
          <w:tcPr>
            <w:tcW w:w="1121"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left"/>
              <w:rPr>
                <w:rFonts w:hint="eastAsia" w:ascii="宋体" w:hAnsi="宋体" w:eastAsia="宋体" w:cs="宋体"/>
                <w:color w:val="auto"/>
                <w:sz w:val="18"/>
                <w:szCs w:val="18"/>
              </w:rPr>
            </w:pPr>
            <w:r>
              <w:rPr>
                <w:rFonts w:hint="eastAsia" w:ascii="宋体" w:hAnsi="宋体" w:eastAsia="宋体" w:cs="宋体"/>
                <w:color w:val="auto"/>
                <w:sz w:val="18"/>
                <w:szCs w:val="18"/>
              </w:rPr>
              <w:t>10.45</w:t>
            </w:r>
          </w:p>
        </w:tc>
        <w:tc>
          <w:tcPr>
            <w:tcW w:w="1556" w:type="pct"/>
            <w:tcBorders>
              <w:top w:val="nil"/>
              <w:left w:val="nil"/>
              <w:bottom w:val="single" w:color="auto" w:sz="4" w:space="0"/>
              <w:right w:val="single" w:color="auto" w:sz="4" w:space="0"/>
            </w:tcBorders>
            <w:shd w:val="clear" w:color="auto" w:fill="auto"/>
            <w:noWrap w:val="0"/>
            <w:vAlign w:val="center"/>
          </w:tcPr>
          <w:p>
            <w:pPr>
              <w:widowControl/>
              <w:wordWrap w:val="0"/>
              <w:spacing w:after="90" w:line="288" w:lineRule="auto"/>
              <w:ind w:firstLine="480"/>
              <w:jc w:val="left"/>
              <w:rPr>
                <w:rFonts w:hint="eastAsia" w:ascii="宋体" w:hAnsi="宋体" w:eastAsia="宋体" w:cs="宋体"/>
                <w:color w:val="auto"/>
                <w:sz w:val="18"/>
                <w:szCs w:val="18"/>
              </w:rPr>
            </w:pPr>
            <w:r>
              <w:rPr>
                <w:rFonts w:hint="eastAsia" w:ascii="宋体" w:hAnsi="宋体" w:eastAsia="宋体" w:cs="宋体"/>
                <w:color w:val="auto"/>
                <w:sz w:val="18"/>
                <w:szCs w:val="18"/>
              </w:rPr>
              <w:t>329.01</w:t>
            </w:r>
          </w:p>
        </w:tc>
      </w:tr>
    </w:tbl>
    <w:p>
      <w:pPr>
        <w:widowControl/>
        <w:jc w:val="both"/>
        <w:rPr>
          <w:rFonts w:hint="eastAsia" w:ascii="宋体" w:hAnsi="宋体" w:cs="宋体"/>
          <w:color w:val="auto"/>
          <w:kern w:val="0"/>
          <w:szCs w:val="21"/>
        </w:rPr>
      </w:pPr>
    </w:p>
    <w:p>
      <w:pPr>
        <w:pStyle w:val="3"/>
        <w:spacing w:before="120" w:after="120" w:line="240" w:lineRule="auto"/>
        <w:rPr>
          <w:rFonts w:hint="eastAsia" w:ascii="宋体" w:hAnsi="宋体"/>
          <w:b/>
          <w:color w:val="auto"/>
          <w:sz w:val="32"/>
          <w:szCs w:val="32"/>
        </w:rPr>
      </w:pPr>
      <w:r>
        <w:rPr>
          <w:rFonts w:hint="eastAsia" w:ascii="宋体" w:hAnsi="宋体"/>
          <w:b/>
          <w:color w:val="auto"/>
          <w:sz w:val="32"/>
          <w:szCs w:val="32"/>
        </w:rPr>
        <w:t>4.4 20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7</w:t>
      </w:r>
      <w:r>
        <w:rPr>
          <w:rFonts w:hint="eastAsia" w:ascii="宋体" w:hAnsi="宋体"/>
          <w:b/>
          <w:color w:val="auto"/>
          <w:sz w:val="32"/>
          <w:szCs w:val="32"/>
        </w:rPr>
        <w:t>月份航空煤油进出口统计数据</w:t>
      </w:r>
      <w:bookmarkEnd w:id="30"/>
      <w:bookmarkEnd w:id="31"/>
    </w:p>
    <w:p>
      <w:pPr>
        <w:ind w:firstLine="360" w:firstLineChars="200"/>
        <w:jc w:val="right"/>
        <w:rPr>
          <w:rFonts w:hint="eastAsia" w:ascii="宋体" w:hAnsi="宋体" w:eastAsia="宋体" w:cs="宋体"/>
          <w:color w:val="auto"/>
          <w:sz w:val="18"/>
          <w:szCs w:val="18"/>
        </w:rPr>
      </w:pPr>
      <w:r>
        <w:rPr>
          <w:rFonts w:hint="eastAsia" w:ascii="宋体" w:hAnsi="宋体" w:eastAsia="宋体" w:cs="宋体"/>
          <w:color w:val="auto"/>
          <w:sz w:val="18"/>
          <w:szCs w:val="18"/>
        </w:rPr>
        <w:t>单位：</w:t>
      </w:r>
      <w:r>
        <w:rPr>
          <w:rFonts w:hint="eastAsia" w:ascii="宋体" w:hAnsi="宋体" w:eastAsia="宋体" w:cs="宋体"/>
          <w:color w:val="auto"/>
          <w:sz w:val="18"/>
          <w:szCs w:val="18"/>
          <w:lang w:eastAsia="zh-CN"/>
        </w:rPr>
        <w:t>吨</w:t>
      </w:r>
      <w:r>
        <w:rPr>
          <w:rFonts w:hint="eastAsia" w:ascii="宋体" w:hAnsi="宋体" w:eastAsia="宋体" w:cs="宋体"/>
          <w:color w:val="auto"/>
          <w:sz w:val="18"/>
          <w:szCs w:val="18"/>
        </w:rPr>
        <w:t>，美元</w:t>
      </w:r>
    </w:p>
    <w:p>
      <w:pPr>
        <w:ind w:firstLine="420" w:firstLineChars="200"/>
        <w:jc w:val="left"/>
        <w:rPr>
          <w:rFonts w:hint="eastAsia" w:ascii="宋体" w:hAnsi="宋体"/>
          <w:color w:val="auto"/>
        </w:rPr>
      </w:pPr>
    </w:p>
    <w:bookmarkEnd w:id="24"/>
    <w:tbl>
      <w:tblPr>
        <w:tblStyle w:val="24"/>
        <w:tblW w:w="9036" w:type="dxa"/>
        <w:jc w:val="center"/>
        <w:shd w:val="clear" w:color="auto" w:fill="auto"/>
        <w:tblLayout w:type="fixed"/>
        <w:tblCellMar>
          <w:top w:w="0" w:type="dxa"/>
          <w:left w:w="0" w:type="dxa"/>
          <w:bottom w:w="0" w:type="dxa"/>
          <w:right w:w="0" w:type="dxa"/>
        </w:tblCellMar>
      </w:tblPr>
      <w:tblGrid>
        <w:gridCol w:w="4500"/>
        <w:gridCol w:w="4536"/>
      </w:tblGrid>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
                <w:bCs w:val="0"/>
                <w:color w:val="auto"/>
                <w:kern w:val="0"/>
                <w:sz w:val="18"/>
                <w:szCs w:val="18"/>
              </w:rPr>
            </w:pPr>
            <w:r>
              <w:rPr>
                <w:rFonts w:hint="eastAsia" w:asciiTheme="minorEastAsia" w:hAnsiTheme="minorEastAsia" w:eastAsiaTheme="minorEastAsia" w:cstheme="minorEastAsia"/>
                <w:b/>
                <w:bCs w:val="0"/>
                <w:color w:val="auto"/>
                <w:kern w:val="0"/>
                <w:sz w:val="18"/>
                <w:szCs w:val="18"/>
              </w:rPr>
              <w:t>进口</w:t>
            </w:r>
          </w:p>
        </w:tc>
        <w:tc>
          <w:tcPr>
            <w:tcW w:w="4536"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
                <w:bCs w:val="0"/>
                <w:color w:val="auto"/>
                <w:kern w:val="0"/>
                <w:sz w:val="18"/>
                <w:szCs w:val="18"/>
              </w:rPr>
            </w:pPr>
            <w:r>
              <w:rPr>
                <w:rFonts w:hint="eastAsia" w:asciiTheme="minorEastAsia" w:hAnsiTheme="minorEastAsia" w:eastAsiaTheme="minorEastAsia" w:cstheme="minorEastAsia"/>
                <w:b/>
                <w:bCs w:val="0"/>
                <w:color w:val="auto"/>
                <w:kern w:val="0"/>
                <w:sz w:val="18"/>
                <w:szCs w:val="18"/>
              </w:rPr>
              <w:t>出口</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7月进口量:59741.05（吨）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7月出口量:662170.14（吨）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累计进口量:869520.65(吨）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累计出口量:4386437.157（吨）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当月进口均价:4061.36（元/吨）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当月出口均价:3686.48（元/吨）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累计进口均价：24412.41（元/吨）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累计出口均价:22663.72（元/吨）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进口量环比:-48.67%</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出口量环比：-27.25%</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进口量同比：-75.44%</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出口量同比：108.92%</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累计进口量比去年同期：-54.21%</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Cs/>
                <w:color w:val="auto"/>
                <w:kern w:val="0"/>
                <w:sz w:val="18"/>
                <w:szCs w:val="18"/>
                <w:lang w:val="en-US" w:eastAsia="zh-CN"/>
              </w:rPr>
            </w:pPr>
            <w:r>
              <w:rPr>
                <w:rFonts w:hint="eastAsia" w:asciiTheme="minorEastAsia" w:hAnsiTheme="minorEastAsia" w:eastAsiaTheme="minorEastAsia" w:cstheme="minorEastAsia"/>
                <w:caps w:val="0"/>
                <w:spacing w:val="0"/>
                <w:sz w:val="18"/>
                <w:szCs w:val="18"/>
              </w:rPr>
              <w:t>累计出口量比去年同期：-45.77%</w:t>
            </w:r>
          </w:p>
        </w:tc>
      </w:tr>
    </w:tbl>
    <w:p>
      <w:pPr>
        <w:rPr>
          <w:color w:val="auto"/>
        </w:rPr>
      </w:pPr>
    </w:p>
    <w:p>
      <w:pPr>
        <w:rPr>
          <w:color w:val="auto"/>
        </w:rPr>
      </w:pPr>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E935C49C"/>
    <w:multiLevelType w:val="singleLevel"/>
    <w:tmpl w:val="E935C49C"/>
    <w:lvl w:ilvl="0" w:tentative="0">
      <w:start w:val="1"/>
      <w:numFmt w:val="decimal"/>
      <w:suff w:val="nothing"/>
      <w:lvlText w:val="%1、"/>
      <w:lvlJc w:val="left"/>
    </w:lvl>
  </w:abstractNum>
  <w:abstractNum w:abstractNumId="2">
    <w:nsid w:val="06709E88"/>
    <w:multiLevelType w:val="singleLevel"/>
    <w:tmpl w:val="06709E8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20"/>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72F"/>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2A7B"/>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54C8"/>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36B1"/>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C42"/>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835"/>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669"/>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337"/>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67CBA"/>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689"/>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0E64"/>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75"/>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17E39"/>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0570E4"/>
    <w:rsid w:val="011E5399"/>
    <w:rsid w:val="01533173"/>
    <w:rsid w:val="0174199B"/>
    <w:rsid w:val="0182210D"/>
    <w:rsid w:val="018C042F"/>
    <w:rsid w:val="019139BB"/>
    <w:rsid w:val="01A95B6A"/>
    <w:rsid w:val="01BD1D63"/>
    <w:rsid w:val="01ED4894"/>
    <w:rsid w:val="01F27845"/>
    <w:rsid w:val="01FE2CFE"/>
    <w:rsid w:val="02353D60"/>
    <w:rsid w:val="023C6B28"/>
    <w:rsid w:val="02526173"/>
    <w:rsid w:val="029A6142"/>
    <w:rsid w:val="029A6633"/>
    <w:rsid w:val="029F2908"/>
    <w:rsid w:val="02AC60AA"/>
    <w:rsid w:val="02B87E06"/>
    <w:rsid w:val="02CC135E"/>
    <w:rsid w:val="02CD4EB7"/>
    <w:rsid w:val="02D71373"/>
    <w:rsid w:val="02D85611"/>
    <w:rsid w:val="02E90170"/>
    <w:rsid w:val="02FE589D"/>
    <w:rsid w:val="031824AB"/>
    <w:rsid w:val="031B1C80"/>
    <w:rsid w:val="03211A1D"/>
    <w:rsid w:val="0324523D"/>
    <w:rsid w:val="03331E75"/>
    <w:rsid w:val="034407FB"/>
    <w:rsid w:val="034F6246"/>
    <w:rsid w:val="0353264B"/>
    <w:rsid w:val="03562125"/>
    <w:rsid w:val="035F2635"/>
    <w:rsid w:val="036D5E24"/>
    <w:rsid w:val="037413B6"/>
    <w:rsid w:val="03A57F11"/>
    <w:rsid w:val="03A93E53"/>
    <w:rsid w:val="03C71B14"/>
    <w:rsid w:val="03C968EE"/>
    <w:rsid w:val="03DA6AF5"/>
    <w:rsid w:val="03EC30D3"/>
    <w:rsid w:val="03FD7568"/>
    <w:rsid w:val="04063827"/>
    <w:rsid w:val="040707FC"/>
    <w:rsid w:val="0418413B"/>
    <w:rsid w:val="04242AEB"/>
    <w:rsid w:val="042972F1"/>
    <w:rsid w:val="042B4FB5"/>
    <w:rsid w:val="04331F6D"/>
    <w:rsid w:val="044B7718"/>
    <w:rsid w:val="044D6C9D"/>
    <w:rsid w:val="044E5434"/>
    <w:rsid w:val="045E1E00"/>
    <w:rsid w:val="04684ED7"/>
    <w:rsid w:val="047A62BA"/>
    <w:rsid w:val="048101D3"/>
    <w:rsid w:val="048A2C1B"/>
    <w:rsid w:val="048C7CAA"/>
    <w:rsid w:val="04987F00"/>
    <w:rsid w:val="04A45D71"/>
    <w:rsid w:val="04A8214A"/>
    <w:rsid w:val="04B04E89"/>
    <w:rsid w:val="04BC587D"/>
    <w:rsid w:val="04BF7371"/>
    <w:rsid w:val="04C829A7"/>
    <w:rsid w:val="04E22C17"/>
    <w:rsid w:val="04E47651"/>
    <w:rsid w:val="04EE66C3"/>
    <w:rsid w:val="04F36106"/>
    <w:rsid w:val="04F4133B"/>
    <w:rsid w:val="05021B01"/>
    <w:rsid w:val="051E18E1"/>
    <w:rsid w:val="05292B71"/>
    <w:rsid w:val="052B7720"/>
    <w:rsid w:val="052C0D66"/>
    <w:rsid w:val="052F18F0"/>
    <w:rsid w:val="05314FD7"/>
    <w:rsid w:val="0538191C"/>
    <w:rsid w:val="053B1A3D"/>
    <w:rsid w:val="05500555"/>
    <w:rsid w:val="0558720E"/>
    <w:rsid w:val="057F2A2A"/>
    <w:rsid w:val="05894C8A"/>
    <w:rsid w:val="05920A6B"/>
    <w:rsid w:val="05925B7F"/>
    <w:rsid w:val="05993019"/>
    <w:rsid w:val="05A5238A"/>
    <w:rsid w:val="05A63D05"/>
    <w:rsid w:val="05AA3E69"/>
    <w:rsid w:val="05B377E7"/>
    <w:rsid w:val="05C01E8E"/>
    <w:rsid w:val="05D0127E"/>
    <w:rsid w:val="05D36477"/>
    <w:rsid w:val="05D708A6"/>
    <w:rsid w:val="05F5542B"/>
    <w:rsid w:val="06002DF6"/>
    <w:rsid w:val="06153E6E"/>
    <w:rsid w:val="0618444D"/>
    <w:rsid w:val="06254A25"/>
    <w:rsid w:val="062A6CB4"/>
    <w:rsid w:val="06300679"/>
    <w:rsid w:val="063E0E8C"/>
    <w:rsid w:val="06464EAF"/>
    <w:rsid w:val="06471306"/>
    <w:rsid w:val="06762765"/>
    <w:rsid w:val="067746D4"/>
    <w:rsid w:val="067D4056"/>
    <w:rsid w:val="069C6A8D"/>
    <w:rsid w:val="069D265D"/>
    <w:rsid w:val="06AC42A7"/>
    <w:rsid w:val="06B474E1"/>
    <w:rsid w:val="06B9287B"/>
    <w:rsid w:val="06D15645"/>
    <w:rsid w:val="06DA3028"/>
    <w:rsid w:val="06E3294D"/>
    <w:rsid w:val="06F31CB3"/>
    <w:rsid w:val="06F93008"/>
    <w:rsid w:val="070339A1"/>
    <w:rsid w:val="0718687A"/>
    <w:rsid w:val="071A60E7"/>
    <w:rsid w:val="071C4EDC"/>
    <w:rsid w:val="071D082B"/>
    <w:rsid w:val="07243E5A"/>
    <w:rsid w:val="07252677"/>
    <w:rsid w:val="07272AF3"/>
    <w:rsid w:val="07526E8D"/>
    <w:rsid w:val="0759111C"/>
    <w:rsid w:val="07594F06"/>
    <w:rsid w:val="076C6634"/>
    <w:rsid w:val="07743510"/>
    <w:rsid w:val="07820AB4"/>
    <w:rsid w:val="07836EEE"/>
    <w:rsid w:val="07906BB7"/>
    <w:rsid w:val="079B346A"/>
    <w:rsid w:val="079D7717"/>
    <w:rsid w:val="07B872E0"/>
    <w:rsid w:val="07B939E0"/>
    <w:rsid w:val="07CB2E31"/>
    <w:rsid w:val="07CC2D78"/>
    <w:rsid w:val="07CC4016"/>
    <w:rsid w:val="07D15C8A"/>
    <w:rsid w:val="07E05AA3"/>
    <w:rsid w:val="07E76A1F"/>
    <w:rsid w:val="07F17792"/>
    <w:rsid w:val="080158C0"/>
    <w:rsid w:val="0809715C"/>
    <w:rsid w:val="080A4814"/>
    <w:rsid w:val="0817293A"/>
    <w:rsid w:val="0820276D"/>
    <w:rsid w:val="082B36EF"/>
    <w:rsid w:val="082F1BCD"/>
    <w:rsid w:val="084E29A7"/>
    <w:rsid w:val="08573B5A"/>
    <w:rsid w:val="086F6B65"/>
    <w:rsid w:val="08962616"/>
    <w:rsid w:val="08A4401C"/>
    <w:rsid w:val="08A55AD2"/>
    <w:rsid w:val="08B65C23"/>
    <w:rsid w:val="08CA207E"/>
    <w:rsid w:val="08CD17C0"/>
    <w:rsid w:val="08DE60ED"/>
    <w:rsid w:val="08E13914"/>
    <w:rsid w:val="08E21688"/>
    <w:rsid w:val="08E35E15"/>
    <w:rsid w:val="08EE777D"/>
    <w:rsid w:val="0918731F"/>
    <w:rsid w:val="091D1431"/>
    <w:rsid w:val="09223CDC"/>
    <w:rsid w:val="09371EEF"/>
    <w:rsid w:val="093F6B95"/>
    <w:rsid w:val="09524755"/>
    <w:rsid w:val="095B63CA"/>
    <w:rsid w:val="09701692"/>
    <w:rsid w:val="09717916"/>
    <w:rsid w:val="09812CD8"/>
    <w:rsid w:val="09816B1A"/>
    <w:rsid w:val="098251C0"/>
    <w:rsid w:val="0984738F"/>
    <w:rsid w:val="09853CE2"/>
    <w:rsid w:val="098C4592"/>
    <w:rsid w:val="098C467A"/>
    <w:rsid w:val="09915D75"/>
    <w:rsid w:val="0996332C"/>
    <w:rsid w:val="09BE1AF4"/>
    <w:rsid w:val="09C26D2C"/>
    <w:rsid w:val="09C57689"/>
    <w:rsid w:val="09CB3165"/>
    <w:rsid w:val="09E0028A"/>
    <w:rsid w:val="09E31010"/>
    <w:rsid w:val="09ED009F"/>
    <w:rsid w:val="09F11ACB"/>
    <w:rsid w:val="09F94B23"/>
    <w:rsid w:val="09FB6243"/>
    <w:rsid w:val="0A047BEC"/>
    <w:rsid w:val="0A06506B"/>
    <w:rsid w:val="0A0A6618"/>
    <w:rsid w:val="0A1527C8"/>
    <w:rsid w:val="0A207C84"/>
    <w:rsid w:val="0A29795D"/>
    <w:rsid w:val="0A2A7E86"/>
    <w:rsid w:val="0A2D68BE"/>
    <w:rsid w:val="0A3C22BA"/>
    <w:rsid w:val="0A3D34F3"/>
    <w:rsid w:val="0A3F54A5"/>
    <w:rsid w:val="0A557C07"/>
    <w:rsid w:val="0A5B4AF5"/>
    <w:rsid w:val="0A75433E"/>
    <w:rsid w:val="0A796F7C"/>
    <w:rsid w:val="0A7B7455"/>
    <w:rsid w:val="0A8A7BC2"/>
    <w:rsid w:val="0A906675"/>
    <w:rsid w:val="0A951C4F"/>
    <w:rsid w:val="0A9E4597"/>
    <w:rsid w:val="0AA33DAF"/>
    <w:rsid w:val="0AB608CB"/>
    <w:rsid w:val="0AC60296"/>
    <w:rsid w:val="0AD32487"/>
    <w:rsid w:val="0AD50553"/>
    <w:rsid w:val="0ADB26A0"/>
    <w:rsid w:val="0AE31AD5"/>
    <w:rsid w:val="0B017D09"/>
    <w:rsid w:val="0B0715B1"/>
    <w:rsid w:val="0B0F0B26"/>
    <w:rsid w:val="0B2647B0"/>
    <w:rsid w:val="0B291A84"/>
    <w:rsid w:val="0B2C39A7"/>
    <w:rsid w:val="0B400CB2"/>
    <w:rsid w:val="0B421176"/>
    <w:rsid w:val="0B45016D"/>
    <w:rsid w:val="0B4B49C1"/>
    <w:rsid w:val="0B5D43F5"/>
    <w:rsid w:val="0B721C38"/>
    <w:rsid w:val="0B860805"/>
    <w:rsid w:val="0B945C54"/>
    <w:rsid w:val="0BA91AA1"/>
    <w:rsid w:val="0BB16187"/>
    <w:rsid w:val="0BCB6AF2"/>
    <w:rsid w:val="0BCE6861"/>
    <w:rsid w:val="0BDC4FBC"/>
    <w:rsid w:val="0BDF0A5F"/>
    <w:rsid w:val="0BEB43D6"/>
    <w:rsid w:val="0C08318F"/>
    <w:rsid w:val="0C1C163D"/>
    <w:rsid w:val="0C1E7ABD"/>
    <w:rsid w:val="0C206584"/>
    <w:rsid w:val="0C212EC8"/>
    <w:rsid w:val="0C2444B3"/>
    <w:rsid w:val="0C270CC3"/>
    <w:rsid w:val="0C2A79E8"/>
    <w:rsid w:val="0C3071F1"/>
    <w:rsid w:val="0C3E0441"/>
    <w:rsid w:val="0C586B50"/>
    <w:rsid w:val="0C586E44"/>
    <w:rsid w:val="0C7B6AED"/>
    <w:rsid w:val="0C7F402D"/>
    <w:rsid w:val="0C822A19"/>
    <w:rsid w:val="0C930A24"/>
    <w:rsid w:val="0C9F5640"/>
    <w:rsid w:val="0CAA3B04"/>
    <w:rsid w:val="0CB81916"/>
    <w:rsid w:val="0CD123E3"/>
    <w:rsid w:val="0CD35464"/>
    <w:rsid w:val="0CE32FB8"/>
    <w:rsid w:val="0CE44838"/>
    <w:rsid w:val="0CEA48B8"/>
    <w:rsid w:val="0D206C21"/>
    <w:rsid w:val="0D4A442D"/>
    <w:rsid w:val="0D731CA1"/>
    <w:rsid w:val="0D735A75"/>
    <w:rsid w:val="0D775B07"/>
    <w:rsid w:val="0D79688B"/>
    <w:rsid w:val="0D8323A4"/>
    <w:rsid w:val="0D893BAC"/>
    <w:rsid w:val="0D952410"/>
    <w:rsid w:val="0D9F3354"/>
    <w:rsid w:val="0DA370DA"/>
    <w:rsid w:val="0DA7099A"/>
    <w:rsid w:val="0DB01CE1"/>
    <w:rsid w:val="0DBA1705"/>
    <w:rsid w:val="0DBC2C9E"/>
    <w:rsid w:val="0DC46B30"/>
    <w:rsid w:val="0DC9706D"/>
    <w:rsid w:val="0DD115AA"/>
    <w:rsid w:val="0DD27705"/>
    <w:rsid w:val="0DEA06F6"/>
    <w:rsid w:val="0DEA1ECA"/>
    <w:rsid w:val="0E01030B"/>
    <w:rsid w:val="0E04318C"/>
    <w:rsid w:val="0E222066"/>
    <w:rsid w:val="0E274301"/>
    <w:rsid w:val="0E31785B"/>
    <w:rsid w:val="0E357D47"/>
    <w:rsid w:val="0E467EFB"/>
    <w:rsid w:val="0E5C0982"/>
    <w:rsid w:val="0E730195"/>
    <w:rsid w:val="0E7675E6"/>
    <w:rsid w:val="0E803657"/>
    <w:rsid w:val="0E8B35C9"/>
    <w:rsid w:val="0E96527F"/>
    <w:rsid w:val="0E9742FB"/>
    <w:rsid w:val="0E9E354A"/>
    <w:rsid w:val="0EAF107B"/>
    <w:rsid w:val="0EB4347F"/>
    <w:rsid w:val="0EBE27AA"/>
    <w:rsid w:val="0EBF19BF"/>
    <w:rsid w:val="0EC1627E"/>
    <w:rsid w:val="0ED36950"/>
    <w:rsid w:val="0EDE0257"/>
    <w:rsid w:val="0EE30B65"/>
    <w:rsid w:val="0EED0FC5"/>
    <w:rsid w:val="0EF07619"/>
    <w:rsid w:val="0EF248CA"/>
    <w:rsid w:val="0EFB4176"/>
    <w:rsid w:val="0F034AA6"/>
    <w:rsid w:val="0F08360E"/>
    <w:rsid w:val="0F125E7D"/>
    <w:rsid w:val="0F1F0D30"/>
    <w:rsid w:val="0F26373F"/>
    <w:rsid w:val="0F2C6224"/>
    <w:rsid w:val="0F3E4D2D"/>
    <w:rsid w:val="0F446A41"/>
    <w:rsid w:val="0F4A18F4"/>
    <w:rsid w:val="0F5808CC"/>
    <w:rsid w:val="0F666559"/>
    <w:rsid w:val="0F6B3E79"/>
    <w:rsid w:val="0F790BDF"/>
    <w:rsid w:val="0F7D42FE"/>
    <w:rsid w:val="0F820E85"/>
    <w:rsid w:val="0F895A00"/>
    <w:rsid w:val="0F8A41FA"/>
    <w:rsid w:val="0F962DED"/>
    <w:rsid w:val="0F9B4E2A"/>
    <w:rsid w:val="0FA45D17"/>
    <w:rsid w:val="0FAA2C5D"/>
    <w:rsid w:val="0FB045CC"/>
    <w:rsid w:val="0FC910AB"/>
    <w:rsid w:val="0FCA36AC"/>
    <w:rsid w:val="0FD23F99"/>
    <w:rsid w:val="0FE34C1B"/>
    <w:rsid w:val="0FE35E2C"/>
    <w:rsid w:val="0FEF79AA"/>
    <w:rsid w:val="100354B2"/>
    <w:rsid w:val="101B677C"/>
    <w:rsid w:val="101C7D06"/>
    <w:rsid w:val="101F6270"/>
    <w:rsid w:val="1024515A"/>
    <w:rsid w:val="102F25D7"/>
    <w:rsid w:val="1037062C"/>
    <w:rsid w:val="10446ECE"/>
    <w:rsid w:val="1046198D"/>
    <w:rsid w:val="104E6FC1"/>
    <w:rsid w:val="105F3A71"/>
    <w:rsid w:val="106D475B"/>
    <w:rsid w:val="108362B8"/>
    <w:rsid w:val="108C4660"/>
    <w:rsid w:val="10957382"/>
    <w:rsid w:val="109865FB"/>
    <w:rsid w:val="10A277F2"/>
    <w:rsid w:val="10BA0A0E"/>
    <w:rsid w:val="10CE39DE"/>
    <w:rsid w:val="10D36AEF"/>
    <w:rsid w:val="10FA6B68"/>
    <w:rsid w:val="10FF5E5F"/>
    <w:rsid w:val="11027028"/>
    <w:rsid w:val="11153BAA"/>
    <w:rsid w:val="11190B98"/>
    <w:rsid w:val="11230D2F"/>
    <w:rsid w:val="11247901"/>
    <w:rsid w:val="11365062"/>
    <w:rsid w:val="11422692"/>
    <w:rsid w:val="11590029"/>
    <w:rsid w:val="115A59A8"/>
    <w:rsid w:val="115F1C27"/>
    <w:rsid w:val="11672A0E"/>
    <w:rsid w:val="116E3E23"/>
    <w:rsid w:val="117F7F48"/>
    <w:rsid w:val="11BC3D8A"/>
    <w:rsid w:val="11CA3B0B"/>
    <w:rsid w:val="11F843DE"/>
    <w:rsid w:val="121446A8"/>
    <w:rsid w:val="12162BBD"/>
    <w:rsid w:val="122D7A8C"/>
    <w:rsid w:val="12320E5B"/>
    <w:rsid w:val="124E5846"/>
    <w:rsid w:val="1265739D"/>
    <w:rsid w:val="12662947"/>
    <w:rsid w:val="126A28BA"/>
    <w:rsid w:val="127E2138"/>
    <w:rsid w:val="128771AE"/>
    <w:rsid w:val="12A4558C"/>
    <w:rsid w:val="12A84E60"/>
    <w:rsid w:val="12B66FEE"/>
    <w:rsid w:val="12BE2ADE"/>
    <w:rsid w:val="12D52D83"/>
    <w:rsid w:val="12D61BB4"/>
    <w:rsid w:val="12D8263D"/>
    <w:rsid w:val="12E533B9"/>
    <w:rsid w:val="12F6517F"/>
    <w:rsid w:val="13086577"/>
    <w:rsid w:val="130B0E2B"/>
    <w:rsid w:val="130B16E4"/>
    <w:rsid w:val="13267B35"/>
    <w:rsid w:val="133E41B0"/>
    <w:rsid w:val="134A6D86"/>
    <w:rsid w:val="13594CF7"/>
    <w:rsid w:val="135A728A"/>
    <w:rsid w:val="1367698A"/>
    <w:rsid w:val="13772D89"/>
    <w:rsid w:val="138744BB"/>
    <w:rsid w:val="13985227"/>
    <w:rsid w:val="13A21C4C"/>
    <w:rsid w:val="13AA18EC"/>
    <w:rsid w:val="13B45FC3"/>
    <w:rsid w:val="13BF46FA"/>
    <w:rsid w:val="13C924DB"/>
    <w:rsid w:val="13D07AB0"/>
    <w:rsid w:val="13D72D76"/>
    <w:rsid w:val="13DB164D"/>
    <w:rsid w:val="13E7373B"/>
    <w:rsid w:val="13EC16FF"/>
    <w:rsid w:val="13F712B9"/>
    <w:rsid w:val="13FE142E"/>
    <w:rsid w:val="1402032F"/>
    <w:rsid w:val="14176463"/>
    <w:rsid w:val="141828DA"/>
    <w:rsid w:val="144B6D3F"/>
    <w:rsid w:val="14522844"/>
    <w:rsid w:val="14546EAA"/>
    <w:rsid w:val="147759A4"/>
    <w:rsid w:val="147A75E5"/>
    <w:rsid w:val="14997CF1"/>
    <w:rsid w:val="149C7CF0"/>
    <w:rsid w:val="14AE50EE"/>
    <w:rsid w:val="14BC21CE"/>
    <w:rsid w:val="14BE2339"/>
    <w:rsid w:val="14BF4DCE"/>
    <w:rsid w:val="14CA7D93"/>
    <w:rsid w:val="14CD3607"/>
    <w:rsid w:val="14D0508B"/>
    <w:rsid w:val="14D14395"/>
    <w:rsid w:val="14D56BF6"/>
    <w:rsid w:val="14E36C24"/>
    <w:rsid w:val="14F32D76"/>
    <w:rsid w:val="14F4153D"/>
    <w:rsid w:val="14F5216B"/>
    <w:rsid w:val="14FE7778"/>
    <w:rsid w:val="15060A70"/>
    <w:rsid w:val="151733B8"/>
    <w:rsid w:val="151A00D9"/>
    <w:rsid w:val="151B73F8"/>
    <w:rsid w:val="15211EFF"/>
    <w:rsid w:val="152D4EB7"/>
    <w:rsid w:val="15353F74"/>
    <w:rsid w:val="153A274D"/>
    <w:rsid w:val="154B5C10"/>
    <w:rsid w:val="154F205D"/>
    <w:rsid w:val="155800EE"/>
    <w:rsid w:val="155B6178"/>
    <w:rsid w:val="15615E0F"/>
    <w:rsid w:val="156D2843"/>
    <w:rsid w:val="15701AB8"/>
    <w:rsid w:val="15786279"/>
    <w:rsid w:val="15892652"/>
    <w:rsid w:val="159001BC"/>
    <w:rsid w:val="15965FE2"/>
    <w:rsid w:val="15AA23F1"/>
    <w:rsid w:val="15B1437C"/>
    <w:rsid w:val="15B939D5"/>
    <w:rsid w:val="15D11875"/>
    <w:rsid w:val="15D83B2E"/>
    <w:rsid w:val="15DD70EA"/>
    <w:rsid w:val="15E11AB3"/>
    <w:rsid w:val="15E25134"/>
    <w:rsid w:val="15E8785D"/>
    <w:rsid w:val="15F904C3"/>
    <w:rsid w:val="160025BB"/>
    <w:rsid w:val="16113EF1"/>
    <w:rsid w:val="16116F4B"/>
    <w:rsid w:val="161D05B7"/>
    <w:rsid w:val="162E280E"/>
    <w:rsid w:val="16357D2B"/>
    <w:rsid w:val="164206BE"/>
    <w:rsid w:val="16446BD7"/>
    <w:rsid w:val="16600954"/>
    <w:rsid w:val="166969D8"/>
    <w:rsid w:val="166A7CB7"/>
    <w:rsid w:val="16734EEE"/>
    <w:rsid w:val="168D7B9A"/>
    <w:rsid w:val="1691331C"/>
    <w:rsid w:val="169572E4"/>
    <w:rsid w:val="16AD5D1C"/>
    <w:rsid w:val="16B0271F"/>
    <w:rsid w:val="16C71296"/>
    <w:rsid w:val="16CB2046"/>
    <w:rsid w:val="16D82413"/>
    <w:rsid w:val="16DC7206"/>
    <w:rsid w:val="16E22B33"/>
    <w:rsid w:val="16EB067A"/>
    <w:rsid w:val="16EE237B"/>
    <w:rsid w:val="16EF1899"/>
    <w:rsid w:val="16F85570"/>
    <w:rsid w:val="16FA58EE"/>
    <w:rsid w:val="17116BE2"/>
    <w:rsid w:val="171311C9"/>
    <w:rsid w:val="17194D7A"/>
    <w:rsid w:val="171E22DF"/>
    <w:rsid w:val="172078E9"/>
    <w:rsid w:val="172D12A6"/>
    <w:rsid w:val="17315AA4"/>
    <w:rsid w:val="17350283"/>
    <w:rsid w:val="173C1948"/>
    <w:rsid w:val="173F54B5"/>
    <w:rsid w:val="17464B66"/>
    <w:rsid w:val="175B5D81"/>
    <w:rsid w:val="17652D76"/>
    <w:rsid w:val="177742FF"/>
    <w:rsid w:val="177778D5"/>
    <w:rsid w:val="177C4324"/>
    <w:rsid w:val="17875DDC"/>
    <w:rsid w:val="17994872"/>
    <w:rsid w:val="179E41EC"/>
    <w:rsid w:val="17A21D4F"/>
    <w:rsid w:val="17BD7A6D"/>
    <w:rsid w:val="17BF13B3"/>
    <w:rsid w:val="17FE3268"/>
    <w:rsid w:val="18282C45"/>
    <w:rsid w:val="18296936"/>
    <w:rsid w:val="182A5943"/>
    <w:rsid w:val="182C041C"/>
    <w:rsid w:val="183728F3"/>
    <w:rsid w:val="1842704C"/>
    <w:rsid w:val="18504F2D"/>
    <w:rsid w:val="186022DC"/>
    <w:rsid w:val="186453BA"/>
    <w:rsid w:val="18704C74"/>
    <w:rsid w:val="187F1331"/>
    <w:rsid w:val="18AD026B"/>
    <w:rsid w:val="18B70A2B"/>
    <w:rsid w:val="18CA2202"/>
    <w:rsid w:val="18CA4E8D"/>
    <w:rsid w:val="18F33297"/>
    <w:rsid w:val="18FC46F8"/>
    <w:rsid w:val="190E26FF"/>
    <w:rsid w:val="191B1724"/>
    <w:rsid w:val="19254E9B"/>
    <w:rsid w:val="19383C89"/>
    <w:rsid w:val="193E2598"/>
    <w:rsid w:val="19435347"/>
    <w:rsid w:val="194573ED"/>
    <w:rsid w:val="19550543"/>
    <w:rsid w:val="195D29F2"/>
    <w:rsid w:val="196272D4"/>
    <w:rsid w:val="196465FF"/>
    <w:rsid w:val="19682464"/>
    <w:rsid w:val="196B6E10"/>
    <w:rsid w:val="197004D5"/>
    <w:rsid w:val="198154A5"/>
    <w:rsid w:val="19850C75"/>
    <w:rsid w:val="19856830"/>
    <w:rsid w:val="198A3D94"/>
    <w:rsid w:val="198F27F8"/>
    <w:rsid w:val="199C5ECD"/>
    <w:rsid w:val="19B1121F"/>
    <w:rsid w:val="19C039AF"/>
    <w:rsid w:val="19DC7361"/>
    <w:rsid w:val="19E14ABD"/>
    <w:rsid w:val="19F07148"/>
    <w:rsid w:val="1A031971"/>
    <w:rsid w:val="1A051BC1"/>
    <w:rsid w:val="1A055302"/>
    <w:rsid w:val="1A11011E"/>
    <w:rsid w:val="1A110D84"/>
    <w:rsid w:val="1A2B0F11"/>
    <w:rsid w:val="1A2C43DF"/>
    <w:rsid w:val="1A372CD4"/>
    <w:rsid w:val="1A555BDB"/>
    <w:rsid w:val="1A660755"/>
    <w:rsid w:val="1A703BC4"/>
    <w:rsid w:val="1A7262E8"/>
    <w:rsid w:val="1A7D3881"/>
    <w:rsid w:val="1A882B3D"/>
    <w:rsid w:val="1A896854"/>
    <w:rsid w:val="1A964171"/>
    <w:rsid w:val="1AB162F9"/>
    <w:rsid w:val="1ABE2D20"/>
    <w:rsid w:val="1ACC4B7F"/>
    <w:rsid w:val="1AD34CD1"/>
    <w:rsid w:val="1AD417D6"/>
    <w:rsid w:val="1AE72378"/>
    <w:rsid w:val="1AE7665A"/>
    <w:rsid w:val="1AEB2E88"/>
    <w:rsid w:val="1AF74A59"/>
    <w:rsid w:val="1B111CB0"/>
    <w:rsid w:val="1B1519B4"/>
    <w:rsid w:val="1B393D9E"/>
    <w:rsid w:val="1B3F0566"/>
    <w:rsid w:val="1B5A0EC6"/>
    <w:rsid w:val="1B5C3BD7"/>
    <w:rsid w:val="1B5F0C8F"/>
    <w:rsid w:val="1B743284"/>
    <w:rsid w:val="1B816F9A"/>
    <w:rsid w:val="1B8175D6"/>
    <w:rsid w:val="1B9467E7"/>
    <w:rsid w:val="1B9C1B61"/>
    <w:rsid w:val="1BA36CEF"/>
    <w:rsid w:val="1BB46A20"/>
    <w:rsid w:val="1BB93222"/>
    <w:rsid w:val="1BBC6239"/>
    <w:rsid w:val="1BBD6973"/>
    <w:rsid w:val="1BC65495"/>
    <w:rsid w:val="1BE24098"/>
    <w:rsid w:val="1BE81B85"/>
    <w:rsid w:val="1BF24814"/>
    <w:rsid w:val="1BF27AE1"/>
    <w:rsid w:val="1BFE2971"/>
    <w:rsid w:val="1C01336C"/>
    <w:rsid w:val="1C021382"/>
    <w:rsid w:val="1C081DD0"/>
    <w:rsid w:val="1C082446"/>
    <w:rsid w:val="1C1669BA"/>
    <w:rsid w:val="1C1C3102"/>
    <w:rsid w:val="1C2230E8"/>
    <w:rsid w:val="1C251540"/>
    <w:rsid w:val="1C2E2C8D"/>
    <w:rsid w:val="1C2E3B22"/>
    <w:rsid w:val="1C6973CC"/>
    <w:rsid w:val="1C6C7614"/>
    <w:rsid w:val="1C703F20"/>
    <w:rsid w:val="1C795B0B"/>
    <w:rsid w:val="1CB31F52"/>
    <w:rsid w:val="1CC609D9"/>
    <w:rsid w:val="1CDA4CCE"/>
    <w:rsid w:val="1CDC7753"/>
    <w:rsid w:val="1CE6684D"/>
    <w:rsid w:val="1CEC4A0D"/>
    <w:rsid w:val="1D1712A0"/>
    <w:rsid w:val="1D2B7B9F"/>
    <w:rsid w:val="1D305274"/>
    <w:rsid w:val="1D346A87"/>
    <w:rsid w:val="1D3F5714"/>
    <w:rsid w:val="1D433C2D"/>
    <w:rsid w:val="1D466011"/>
    <w:rsid w:val="1D487015"/>
    <w:rsid w:val="1D5133E5"/>
    <w:rsid w:val="1D547E28"/>
    <w:rsid w:val="1D5B57EE"/>
    <w:rsid w:val="1D606070"/>
    <w:rsid w:val="1D655DB6"/>
    <w:rsid w:val="1D980258"/>
    <w:rsid w:val="1D9C1F14"/>
    <w:rsid w:val="1DB113DA"/>
    <w:rsid w:val="1DD637E3"/>
    <w:rsid w:val="1DD918D5"/>
    <w:rsid w:val="1DFB4E0B"/>
    <w:rsid w:val="1E196DA1"/>
    <w:rsid w:val="1E2278F4"/>
    <w:rsid w:val="1E4062B7"/>
    <w:rsid w:val="1E450B99"/>
    <w:rsid w:val="1E4D2825"/>
    <w:rsid w:val="1E5542CC"/>
    <w:rsid w:val="1E64791C"/>
    <w:rsid w:val="1E6D6ABE"/>
    <w:rsid w:val="1E755624"/>
    <w:rsid w:val="1E764D52"/>
    <w:rsid w:val="1E8C73FA"/>
    <w:rsid w:val="1E9E3D33"/>
    <w:rsid w:val="1EAA616E"/>
    <w:rsid w:val="1EB15364"/>
    <w:rsid w:val="1EB20356"/>
    <w:rsid w:val="1EBE2AB5"/>
    <w:rsid w:val="1EC13441"/>
    <w:rsid w:val="1EC81089"/>
    <w:rsid w:val="1EDD523F"/>
    <w:rsid w:val="1EDD703F"/>
    <w:rsid w:val="1F092A2D"/>
    <w:rsid w:val="1F1162FE"/>
    <w:rsid w:val="1F1C0B32"/>
    <w:rsid w:val="1F352B32"/>
    <w:rsid w:val="1F4A096C"/>
    <w:rsid w:val="1F5814F7"/>
    <w:rsid w:val="1F5A5945"/>
    <w:rsid w:val="1F6B3A34"/>
    <w:rsid w:val="1F751CBE"/>
    <w:rsid w:val="1F7D6B10"/>
    <w:rsid w:val="1F963D6D"/>
    <w:rsid w:val="1F98363F"/>
    <w:rsid w:val="1FA70F8C"/>
    <w:rsid w:val="1FAB4045"/>
    <w:rsid w:val="1FBD1356"/>
    <w:rsid w:val="1FBF488C"/>
    <w:rsid w:val="1FC55B54"/>
    <w:rsid w:val="1FCD7450"/>
    <w:rsid w:val="1FCD7675"/>
    <w:rsid w:val="1FD377B1"/>
    <w:rsid w:val="1FDC18BC"/>
    <w:rsid w:val="1FEB4C55"/>
    <w:rsid w:val="1FED7184"/>
    <w:rsid w:val="1FEF77E1"/>
    <w:rsid w:val="1FFC155B"/>
    <w:rsid w:val="20010BD0"/>
    <w:rsid w:val="200B266C"/>
    <w:rsid w:val="20137C9A"/>
    <w:rsid w:val="20261774"/>
    <w:rsid w:val="202A3AEF"/>
    <w:rsid w:val="202E6386"/>
    <w:rsid w:val="203A3657"/>
    <w:rsid w:val="203A4D2E"/>
    <w:rsid w:val="204030A0"/>
    <w:rsid w:val="205147DC"/>
    <w:rsid w:val="20534ACB"/>
    <w:rsid w:val="205B78B2"/>
    <w:rsid w:val="205C4184"/>
    <w:rsid w:val="206558CE"/>
    <w:rsid w:val="206901B1"/>
    <w:rsid w:val="206B1575"/>
    <w:rsid w:val="2078018B"/>
    <w:rsid w:val="209323D8"/>
    <w:rsid w:val="209327AA"/>
    <w:rsid w:val="20990A3E"/>
    <w:rsid w:val="20AD55FF"/>
    <w:rsid w:val="20C12FDC"/>
    <w:rsid w:val="20C55A62"/>
    <w:rsid w:val="20D06ACE"/>
    <w:rsid w:val="20D80D12"/>
    <w:rsid w:val="20EA7590"/>
    <w:rsid w:val="20F502DE"/>
    <w:rsid w:val="210C5D7F"/>
    <w:rsid w:val="211001E9"/>
    <w:rsid w:val="21147D43"/>
    <w:rsid w:val="2119067D"/>
    <w:rsid w:val="211F5020"/>
    <w:rsid w:val="21216F1B"/>
    <w:rsid w:val="2123407B"/>
    <w:rsid w:val="21320B64"/>
    <w:rsid w:val="21370E12"/>
    <w:rsid w:val="21432F9F"/>
    <w:rsid w:val="214F55E4"/>
    <w:rsid w:val="215329E9"/>
    <w:rsid w:val="215A4604"/>
    <w:rsid w:val="217C7ED4"/>
    <w:rsid w:val="21862B07"/>
    <w:rsid w:val="218757BE"/>
    <w:rsid w:val="218A1EF5"/>
    <w:rsid w:val="21973788"/>
    <w:rsid w:val="219A3406"/>
    <w:rsid w:val="21A70D61"/>
    <w:rsid w:val="21B2244C"/>
    <w:rsid w:val="21C30EF9"/>
    <w:rsid w:val="21CB7C2D"/>
    <w:rsid w:val="21D956E3"/>
    <w:rsid w:val="21E74352"/>
    <w:rsid w:val="21EB64F4"/>
    <w:rsid w:val="21EF7C0A"/>
    <w:rsid w:val="22146206"/>
    <w:rsid w:val="221551D8"/>
    <w:rsid w:val="224441F7"/>
    <w:rsid w:val="224E7428"/>
    <w:rsid w:val="224F414D"/>
    <w:rsid w:val="2261560B"/>
    <w:rsid w:val="227918A6"/>
    <w:rsid w:val="2291582E"/>
    <w:rsid w:val="22944164"/>
    <w:rsid w:val="229674ED"/>
    <w:rsid w:val="22AC485D"/>
    <w:rsid w:val="22BB509A"/>
    <w:rsid w:val="22D174A6"/>
    <w:rsid w:val="22D2551D"/>
    <w:rsid w:val="22E67532"/>
    <w:rsid w:val="22F80176"/>
    <w:rsid w:val="230F16FC"/>
    <w:rsid w:val="231C2E7E"/>
    <w:rsid w:val="232A4048"/>
    <w:rsid w:val="233344E4"/>
    <w:rsid w:val="2337735C"/>
    <w:rsid w:val="23384D61"/>
    <w:rsid w:val="23392A7A"/>
    <w:rsid w:val="23417FB3"/>
    <w:rsid w:val="235336A2"/>
    <w:rsid w:val="23631B13"/>
    <w:rsid w:val="236765E1"/>
    <w:rsid w:val="236905BD"/>
    <w:rsid w:val="23694E38"/>
    <w:rsid w:val="23817C48"/>
    <w:rsid w:val="23850BE5"/>
    <w:rsid w:val="238C513B"/>
    <w:rsid w:val="238E2690"/>
    <w:rsid w:val="239015CD"/>
    <w:rsid w:val="23B946BE"/>
    <w:rsid w:val="23C01773"/>
    <w:rsid w:val="23E71D4D"/>
    <w:rsid w:val="23EF13A7"/>
    <w:rsid w:val="23F7720B"/>
    <w:rsid w:val="24086432"/>
    <w:rsid w:val="240F1052"/>
    <w:rsid w:val="241751AE"/>
    <w:rsid w:val="242A187D"/>
    <w:rsid w:val="24310987"/>
    <w:rsid w:val="24322A62"/>
    <w:rsid w:val="244A14DB"/>
    <w:rsid w:val="24554136"/>
    <w:rsid w:val="245C2B3F"/>
    <w:rsid w:val="24692AC4"/>
    <w:rsid w:val="24836E94"/>
    <w:rsid w:val="24867974"/>
    <w:rsid w:val="248945E2"/>
    <w:rsid w:val="24974A9D"/>
    <w:rsid w:val="24990AB6"/>
    <w:rsid w:val="24A21A55"/>
    <w:rsid w:val="24B92458"/>
    <w:rsid w:val="24BC74B9"/>
    <w:rsid w:val="24BE33B8"/>
    <w:rsid w:val="24CA200A"/>
    <w:rsid w:val="24E234FE"/>
    <w:rsid w:val="24E56E32"/>
    <w:rsid w:val="24F86BA3"/>
    <w:rsid w:val="250D3E66"/>
    <w:rsid w:val="252754C5"/>
    <w:rsid w:val="252D0E2C"/>
    <w:rsid w:val="252D3F69"/>
    <w:rsid w:val="253C0FBD"/>
    <w:rsid w:val="2547370A"/>
    <w:rsid w:val="25585795"/>
    <w:rsid w:val="25740BBD"/>
    <w:rsid w:val="25821561"/>
    <w:rsid w:val="25922FF3"/>
    <w:rsid w:val="25955E96"/>
    <w:rsid w:val="259B6E31"/>
    <w:rsid w:val="259E33E1"/>
    <w:rsid w:val="25A05607"/>
    <w:rsid w:val="25A07C39"/>
    <w:rsid w:val="25AF1FA5"/>
    <w:rsid w:val="25B677AD"/>
    <w:rsid w:val="25B904A8"/>
    <w:rsid w:val="25D93662"/>
    <w:rsid w:val="25E06259"/>
    <w:rsid w:val="25FD0304"/>
    <w:rsid w:val="260517C6"/>
    <w:rsid w:val="2606044C"/>
    <w:rsid w:val="26090E12"/>
    <w:rsid w:val="260D6565"/>
    <w:rsid w:val="261447E7"/>
    <w:rsid w:val="26162D47"/>
    <w:rsid w:val="26313BB1"/>
    <w:rsid w:val="26417898"/>
    <w:rsid w:val="26442276"/>
    <w:rsid w:val="26444B63"/>
    <w:rsid w:val="264D7096"/>
    <w:rsid w:val="26552532"/>
    <w:rsid w:val="26564DF2"/>
    <w:rsid w:val="26671EE8"/>
    <w:rsid w:val="2692422E"/>
    <w:rsid w:val="269F41F0"/>
    <w:rsid w:val="269F6889"/>
    <w:rsid w:val="26AD0D8B"/>
    <w:rsid w:val="26BE4AAC"/>
    <w:rsid w:val="26C17431"/>
    <w:rsid w:val="26C27EC9"/>
    <w:rsid w:val="26C545A4"/>
    <w:rsid w:val="26C94300"/>
    <w:rsid w:val="26CD1AFB"/>
    <w:rsid w:val="26DF7D7C"/>
    <w:rsid w:val="26EE1723"/>
    <w:rsid w:val="26F154C7"/>
    <w:rsid w:val="26FD7030"/>
    <w:rsid w:val="27007370"/>
    <w:rsid w:val="27080E2E"/>
    <w:rsid w:val="270D21C6"/>
    <w:rsid w:val="270D2595"/>
    <w:rsid w:val="27251F41"/>
    <w:rsid w:val="27276FBB"/>
    <w:rsid w:val="27296336"/>
    <w:rsid w:val="273301A4"/>
    <w:rsid w:val="2743251A"/>
    <w:rsid w:val="277E59D2"/>
    <w:rsid w:val="277F5A23"/>
    <w:rsid w:val="279E36DD"/>
    <w:rsid w:val="27A7464B"/>
    <w:rsid w:val="27C37DE6"/>
    <w:rsid w:val="27EA2797"/>
    <w:rsid w:val="28011EB5"/>
    <w:rsid w:val="28092464"/>
    <w:rsid w:val="2810409B"/>
    <w:rsid w:val="281C2044"/>
    <w:rsid w:val="282013B4"/>
    <w:rsid w:val="282B47A7"/>
    <w:rsid w:val="282C5A3A"/>
    <w:rsid w:val="283F32F7"/>
    <w:rsid w:val="2855423F"/>
    <w:rsid w:val="2855440E"/>
    <w:rsid w:val="285E5BE3"/>
    <w:rsid w:val="28611CC2"/>
    <w:rsid w:val="286D2B55"/>
    <w:rsid w:val="28721E59"/>
    <w:rsid w:val="28892109"/>
    <w:rsid w:val="289430A0"/>
    <w:rsid w:val="289A1AAA"/>
    <w:rsid w:val="28A325B7"/>
    <w:rsid w:val="28AB052C"/>
    <w:rsid w:val="28B71571"/>
    <w:rsid w:val="28BA104F"/>
    <w:rsid w:val="28C132F2"/>
    <w:rsid w:val="28D133DE"/>
    <w:rsid w:val="28D37B64"/>
    <w:rsid w:val="28EF11D1"/>
    <w:rsid w:val="290566C3"/>
    <w:rsid w:val="292774FE"/>
    <w:rsid w:val="292B6715"/>
    <w:rsid w:val="29493462"/>
    <w:rsid w:val="295C2D51"/>
    <w:rsid w:val="29A81CD2"/>
    <w:rsid w:val="29A90232"/>
    <w:rsid w:val="29A92B3A"/>
    <w:rsid w:val="29C804D1"/>
    <w:rsid w:val="29CB1410"/>
    <w:rsid w:val="29D0617D"/>
    <w:rsid w:val="29D617AC"/>
    <w:rsid w:val="29D84ABC"/>
    <w:rsid w:val="29F5410D"/>
    <w:rsid w:val="29FD23A5"/>
    <w:rsid w:val="2A091D0A"/>
    <w:rsid w:val="2A0D39C3"/>
    <w:rsid w:val="2A1503FE"/>
    <w:rsid w:val="2A194990"/>
    <w:rsid w:val="2A215E5E"/>
    <w:rsid w:val="2A252C4C"/>
    <w:rsid w:val="2A305C24"/>
    <w:rsid w:val="2A3E7B5A"/>
    <w:rsid w:val="2A516BAC"/>
    <w:rsid w:val="2A6B006B"/>
    <w:rsid w:val="2A6B55C6"/>
    <w:rsid w:val="2A7E61F0"/>
    <w:rsid w:val="2A8475EE"/>
    <w:rsid w:val="2A951C8C"/>
    <w:rsid w:val="2A953E86"/>
    <w:rsid w:val="2A9B26F1"/>
    <w:rsid w:val="2AA81E53"/>
    <w:rsid w:val="2AA82B74"/>
    <w:rsid w:val="2AAB3B9C"/>
    <w:rsid w:val="2AB25451"/>
    <w:rsid w:val="2AB8454A"/>
    <w:rsid w:val="2AC063B7"/>
    <w:rsid w:val="2ACB5B48"/>
    <w:rsid w:val="2ACD0874"/>
    <w:rsid w:val="2AD267B8"/>
    <w:rsid w:val="2AD8059C"/>
    <w:rsid w:val="2B0A5818"/>
    <w:rsid w:val="2B0D737C"/>
    <w:rsid w:val="2B0F004D"/>
    <w:rsid w:val="2B154A20"/>
    <w:rsid w:val="2B1B5BFD"/>
    <w:rsid w:val="2B20017E"/>
    <w:rsid w:val="2B300E60"/>
    <w:rsid w:val="2B380E7B"/>
    <w:rsid w:val="2B574357"/>
    <w:rsid w:val="2B5F5BE1"/>
    <w:rsid w:val="2B6638DE"/>
    <w:rsid w:val="2B691061"/>
    <w:rsid w:val="2B7B4586"/>
    <w:rsid w:val="2B843D59"/>
    <w:rsid w:val="2B84406F"/>
    <w:rsid w:val="2B853CDF"/>
    <w:rsid w:val="2B8B518F"/>
    <w:rsid w:val="2B8F58E2"/>
    <w:rsid w:val="2BA07FAD"/>
    <w:rsid w:val="2BB3259C"/>
    <w:rsid w:val="2BBF0DDA"/>
    <w:rsid w:val="2BC674EF"/>
    <w:rsid w:val="2BE5055C"/>
    <w:rsid w:val="2BED5A7C"/>
    <w:rsid w:val="2BF858F4"/>
    <w:rsid w:val="2BFC3C2B"/>
    <w:rsid w:val="2BFC6315"/>
    <w:rsid w:val="2BFD5564"/>
    <w:rsid w:val="2C054251"/>
    <w:rsid w:val="2C2E0403"/>
    <w:rsid w:val="2C4C1107"/>
    <w:rsid w:val="2C785C6A"/>
    <w:rsid w:val="2C7C5CC5"/>
    <w:rsid w:val="2C811341"/>
    <w:rsid w:val="2C823F4E"/>
    <w:rsid w:val="2C9D3080"/>
    <w:rsid w:val="2CA44349"/>
    <w:rsid w:val="2CAD067B"/>
    <w:rsid w:val="2CBD69A8"/>
    <w:rsid w:val="2CF30447"/>
    <w:rsid w:val="2CFD0FC0"/>
    <w:rsid w:val="2D050EBF"/>
    <w:rsid w:val="2D2009C3"/>
    <w:rsid w:val="2D2A25A1"/>
    <w:rsid w:val="2D2A51E4"/>
    <w:rsid w:val="2D3059BC"/>
    <w:rsid w:val="2D4D17E5"/>
    <w:rsid w:val="2D5A2817"/>
    <w:rsid w:val="2D6F58D8"/>
    <w:rsid w:val="2D892B5C"/>
    <w:rsid w:val="2DAF27D1"/>
    <w:rsid w:val="2DB328B9"/>
    <w:rsid w:val="2DC6450C"/>
    <w:rsid w:val="2DD85082"/>
    <w:rsid w:val="2DE11692"/>
    <w:rsid w:val="2DF24F64"/>
    <w:rsid w:val="2DF5641D"/>
    <w:rsid w:val="2DF644E3"/>
    <w:rsid w:val="2DFC4355"/>
    <w:rsid w:val="2E0D40F5"/>
    <w:rsid w:val="2E220037"/>
    <w:rsid w:val="2E2321BA"/>
    <w:rsid w:val="2E2F56E6"/>
    <w:rsid w:val="2E4A7323"/>
    <w:rsid w:val="2E522812"/>
    <w:rsid w:val="2E682AAC"/>
    <w:rsid w:val="2E6D230F"/>
    <w:rsid w:val="2E7017CC"/>
    <w:rsid w:val="2E7D543E"/>
    <w:rsid w:val="2E8C2DE3"/>
    <w:rsid w:val="2E942C46"/>
    <w:rsid w:val="2E98229F"/>
    <w:rsid w:val="2EA56E95"/>
    <w:rsid w:val="2EA673C9"/>
    <w:rsid w:val="2EA72B33"/>
    <w:rsid w:val="2EAF1D1D"/>
    <w:rsid w:val="2EBF1E9B"/>
    <w:rsid w:val="2EC0096E"/>
    <w:rsid w:val="2ECA710C"/>
    <w:rsid w:val="2ED4404D"/>
    <w:rsid w:val="2ED50475"/>
    <w:rsid w:val="2ED729FB"/>
    <w:rsid w:val="2EE365C8"/>
    <w:rsid w:val="2EED6D43"/>
    <w:rsid w:val="2EF1758E"/>
    <w:rsid w:val="2F090AB4"/>
    <w:rsid w:val="2F13732E"/>
    <w:rsid w:val="2F2F2D16"/>
    <w:rsid w:val="2F336BA3"/>
    <w:rsid w:val="2F5621A6"/>
    <w:rsid w:val="2F66411F"/>
    <w:rsid w:val="2F9E2267"/>
    <w:rsid w:val="2FA5716E"/>
    <w:rsid w:val="2FB44AC5"/>
    <w:rsid w:val="2FB91769"/>
    <w:rsid w:val="2FBE7D06"/>
    <w:rsid w:val="2FCD4219"/>
    <w:rsid w:val="2FD85581"/>
    <w:rsid w:val="2FE37EAB"/>
    <w:rsid w:val="2FE513F6"/>
    <w:rsid w:val="2FE91ED2"/>
    <w:rsid w:val="2FEC28E9"/>
    <w:rsid w:val="2FF22D62"/>
    <w:rsid w:val="30037E76"/>
    <w:rsid w:val="300B0CEC"/>
    <w:rsid w:val="30173C95"/>
    <w:rsid w:val="301B31E2"/>
    <w:rsid w:val="302909D7"/>
    <w:rsid w:val="302C2C6C"/>
    <w:rsid w:val="30320AA9"/>
    <w:rsid w:val="30365256"/>
    <w:rsid w:val="30427218"/>
    <w:rsid w:val="304D2D36"/>
    <w:rsid w:val="304D5CB2"/>
    <w:rsid w:val="305001C5"/>
    <w:rsid w:val="3055125A"/>
    <w:rsid w:val="30664FDE"/>
    <w:rsid w:val="309D4A0F"/>
    <w:rsid w:val="309E4811"/>
    <w:rsid w:val="30A00CB5"/>
    <w:rsid w:val="30AF5F22"/>
    <w:rsid w:val="30C14186"/>
    <w:rsid w:val="30C635C3"/>
    <w:rsid w:val="30D71496"/>
    <w:rsid w:val="30DC0703"/>
    <w:rsid w:val="30E73B0D"/>
    <w:rsid w:val="30F74C53"/>
    <w:rsid w:val="30FC61C2"/>
    <w:rsid w:val="30FD55E0"/>
    <w:rsid w:val="31030DD2"/>
    <w:rsid w:val="31095A3E"/>
    <w:rsid w:val="310F6F60"/>
    <w:rsid w:val="311333E6"/>
    <w:rsid w:val="311467EF"/>
    <w:rsid w:val="311600B8"/>
    <w:rsid w:val="31162712"/>
    <w:rsid w:val="311A24D7"/>
    <w:rsid w:val="31363ABC"/>
    <w:rsid w:val="314614BA"/>
    <w:rsid w:val="31490B7D"/>
    <w:rsid w:val="3153679E"/>
    <w:rsid w:val="315F2471"/>
    <w:rsid w:val="31680602"/>
    <w:rsid w:val="3177458F"/>
    <w:rsid w:val="3189708E"/>
    <w:rsid w:val="318B1F3D"/>
    <w:rsid w:val="3193741E"/>
    <w:rsid w:val="3194005A"/>
    <w:rsid w:val="319434F7"/>
    <w:rsid w:val="31994D00"/>
    <w:rsid w:val="31A65E57"/>
    <w:rsid w:val="31AD16EF"/>
    <w:rsid w:val="31AE660C"/>
    <w:rsid w:val="31B05A1F"/>
    <w:rsid w:val="31B17EF2"/>
    <w:rsid w:val="31D54984"/>
    <w:rsid w:val="31E155AC"/>
    <w:rsid w:val="31E361FB"/>
    <w:rsid w:val="31FC35FB"/>
    <w:rsid w:val="32010D04"/>
    <w:rsid w:val="3202665F"/>
    <w:rsid w:val="320A7836"/>
    <w:rsid w:val="323C3FDE"/>
    <w:rsid w:val="324163CA"/>
    <w:rsid w:val="32427A9A"/>
    <w:rsid w:val="32574FD8"/>
    <w:rsid w:val="325C547C"/>
    <w:rsid w:val="32646DB1"/>
    <w:rsid w:val="326C29F6"/>
    <w:rsid w:val="327B3D21"/>
    <w:rsid w:val="327C3888"/>
    <w:rsid w:val="329338D7"/>
    <w:rsid w:val="32945DAC"/>
    <w:rsid w:val="329B3155"/>
    <w:rsid w:val="329C631F"/>
    <w:rsid w:val="32A24DE0"/>
    <w:rsid w:val="32AB0897"/>
    <w:rsid w:val="32AE266E"/>
    <w:rsid w:val="32CB3A84"/>
    <w:rsid w:val="32CD7010"/>
    <w:rsid w:val="32CE45BC"/>
    <w:rsid w:val="32D9201A"/>
    <w:rsid w:val="32E42D0F"/>
    <w:rsid w:val="32E779A4"/>
    <w:rsid w:val="330D4D94"/>
    <w:rsid w:val="33435E16"/>
    <w:rsid w:val="335F11B3"/>
    <w:rsid w:val="337B12FB"/>
    <w:rsid w:val="33846435"/>
    <w:rsid w:val="33992851"/>
    <w:rsid w:val="339C5454"/>
    <w:rsid w:val="33A258FF"/>
    <w:rsid w:val="33AE7FB3"/>
    <w:rsid w:val="33B1053F"/>
    <w:rsid w:val="33BA507F"/>
    <w:rsid w:val="33D354DF"/>
    <w:rsid w:val="33DD1D83"/>
    <w:rsid w:val="33DF6F7A"/>
    <w:rsid w:val="33E42EF1"/>
    <w:rsid w:val="33F614AE"/>
    <w:rsid w:val="33FC5F9C"/>
    <w:rsid w:val="34005D95"/>
    <w:rsid w:val="340370F4"/>
    <w:rsid w:val="34173060"/>
    <w:rsid w:val="342451AA"/>
    <w:rsid w:val="3425323C"/>
    <w:rsid w:val="34262A2B"/>
    <w:rsid w:val="342E5EA7"/>
    <w:rsid w:val="343E0BAC"/>
    <w:rsid w:val="34474FF1"/>
    <w:rsid w:val="344961AE"/>
    <w:rsid w:val="344B3651"/>
    <w:rsid w:val="34555269"/>
    <w:rsid w:val="346B6657"/>
    <w:rsid w:val="34797C3D"/>
    <w:rsid w:val="34827541"/>
    <w:rsid w:val="348D5209"/>
    <w:rsid w:val="34953EB2"/>
    <w:rsid w:val="34B63281"/>
    <w:rsid w:val="34C105B0"/>
    <w:rsid w:val="34CA39B2"/>
    <w:rsid w:val="34D564C3"/>
    <w:rsid w:val="34DC79C0"/>
    <w:rsid w:val="34E32E56"/>
    <w:rsid w:val="34EC4B86"/>
    <w:rsid w:val="351321CB"/>
    <w:rsid w:val="351B4997"/>
    <w:rsid w:val="35367A72"/>
    <w:rsid w:val="355171EC"/>
    <w:rsid w:val="355E299F"/>
    <w:rsid w:val="355E6D49"/>
    <w:rsid w:val="35671EE7"/>
    <w:rsid w:val="3572663B"/>
    <w:rsid w:val="357D4C50"/>
    <w:rsid w:val="3591419B"/>
    <w:rsid w:val="35925B04"/>
    <w:rsid w:val="35963717"/>
    <w:rsid w:val="35AB2A03"/>
    <w:rsid w:val="35AF3549"/>
    <w:rsid w:val="35CA49CB"/>
    <w:rsid w:val="35DA5213"/>
    <w:rsid w:val="35E542AE"/>
    <w:rsid w:val="35EE7B1B"/>
    <w:rsid w:val="35F65FAD"/>
    <w:rsid w:val="36202050"/>
    <w:rsid w:val="364A7C84"/>
    <w:rsid w:val="36605016"/>
    <w:rsid w:val="366B7A53"/>
    <w:rsid w:val="366D649A"/>
    <w:rsid w:val="368259EE"/>
    <w:rsid w:val="3689301E"/>
    <w:rsid w:val="369C7E5C"/>
    <w:rsid w:val="36A22949"/>
    <w:rsid w:val="36B523AB"/>
    <w:rsid w:val="36C76D40"/>
    <w:rsid w:val="36D75131"/>
    <w:rsid w:val="36F44E23"/>
    <w:rsid w:val="371D2966"/>
    <w:rsid w:val="373062E8"/>
    <w:rsid w:val="375C1AC9"/>
    <w:rsid w:val="37770231"/>
    <w:rsid w:val="37785098"/>
    <w:rsid w:val="377A2F51"/>
    <w:rsid w:val="377E7331"/>
    <w:rsid w:val="379038C8"/>
    <w:rsid w:val="379B1E6C"/>
    <w:rsid w:val="379D002A"/>
    <w:rsid w:val="37A6234C"/>
    <w:rsid w:val="37A907BA"/>
    <w:rsid w:val="37AF1535"/>
    <w:rsid w:val="37B13885"/>
    <w:rsid w:val="37CA63F2"/>
    <w:rsid w:val="37CB57CA"/>
    <w:rsid w:val="37D008E0"/>
    <w:rsid w:val="37D337D1"/>
    <w:rsid w:val="37DD56C2"/>
    <w:rsid w:val="37DE20F8"/>
    <w:rsid w:val="37E731EB"/>
    <w:rsid w:val="37F16302"/>
    <w:rsid w:val="38253136"/>
    <w:rsid w:val="38372548"/>
    <w:rsid w:val="384570A4"/>
    <w:rsid w:val="38467A04"/>
    <w:rsid w:val="386B3F4B"/>
    <w:rsid w:val="38747E42"/>
    <w:rsid w:val="38781C56"/>
    <w:rsid w:val="38931748"/>
    <w:rsid w:val="38A140CE"/>
    <w:rsid w:val="38B54C1A"/>
    <w:rsid w:val="38C30240"/>
    <w:rsid w:val="38C8796D"/>
    <w:rsid w:val="38CF65F7"/>
    <w:rsid w:val="38D113BF"/>
    <w:rsid w:val="38D30895"/>
    <w:rsid w:val="38D5511D"/>
    <w:rsid w:val="38DB4DD5"/>
    <w:rsid w:val="38E80213"/>
    <w:rsid w:val="38E95212"/>
    <w:rsid w:val="38F3691D"/>
    <w:rsid w:val="3909408E"/>
    <w:rsid w:val="391C1C7A"/>
    <w:rsid w:val="39465968"/>
    <w:rsid w:val="394D1A3B"/>
    <w:rsid w:val="394F4D33"/>
    <w:rsid w:val="39514262"/>
    <w:rsid w:val="39600E80"/>
    <w:rsid w:val="39803383"/>
    <w:rsid w:val="399A429F"/>
    <w:rsid w:val="399B72BC"/>
    <w:rsid w:val="39A73391"/>
    <w:rsid w:val="39A95A0D"/>
    <w:rsid w:val="39C70EC1"/>
    <w:rsid w:val="39D80C94"/>
    <w:rsid w:val="39E779C9"/>
    <w:rsid w:val="3A01261A"/>
    <w:rsid w:val="3A1A4CEB"/>
    <w:rsid w:val="3A204DEA"/>
    <w:rsid w:val="3A247020"/>
    <w:rsid w:val="3A34341C"/>
    <w:rsid w:val="3A366570"/>
    <w:rsid w:val="3A41027E"/>
    <w:rsid w:val="3A446ABC"/>
    <w:rsid w:val="3A481E25"/>
    <w:rsid w:val="3A4F03E3"/>
    <w:rsid w:val="3A562007"/>
    <w:rsid w:val="3A632ED3"/>
    <w:rsid w:val="3A693A23"/>
    <w:rsid w:val="3A6F255F"/>
    <w:rsid w:val="3A6F6832"/>
    <w:rsid w:val="3A7431F4"/>
    <w:rsid w:val="3A90237F"/>
    <w:rsid w:val="3AA71752"/>
    <w:rsid w:val="3AAE56BF"/>
    <w:rsid w:val="3AD9763C"/>
    <w:rsid w:val="3AEC01AD"/>
    <w:rsid w:val="3B002E8F"/>
    <w:rsid w:val="3B0A7991"/>
    <w:rsid w:val="3B100A85"/>
    <w:rsid w:val="3B107BEE"/>
    <w:rsid w:val="3B18283A"/>
    <w:rsid w:val="3B336F2F"/>
    <w:rsid w:val="3B567019"/>
    <w:rsid w:val="3B5C777B"/>
    <w:rsid w:val="3B691338"/>
    <w:rsid w:val="3B6B36CF"/>
    <w:rsid w:val="3B96787F"/>
    <w:rsid w:val="3BA60160"/>
    <w:rsid w:val="3BB46CD1"/>
    <w:rsid w:val="3BB6128D"/>
    <w:rsid w:val="3BD11411"/>
    <w:rsid w:val="3BD837A5"/>
    <w:rsid w:val="3BE05196"/>
    <w:rsid w:val="3BED4242"/>
    <w:rsid w:val="3BFC12CF"/>
    <w:rsid w:val="3C173EBE"/>
    <w:rsid w:val="3C211702"/>
    <w:rsid w:val="3C302F03"/>
    <w:rsid w:val="3C317DDD"/>
    <w:rsid w:val="3C336F35"/>
    <w:rsid w:val="3C3D3F09"/>
    <w:rsid w:val="3C457CDF"/>
    <w:rsid w:val="3C61573F"/>
    <w:rsid w:val="3C6E3E60"/>
    <w:rsid w:val="3C742BEB"/>
    <w:rsid w:val="3C744F7F"/>
    <w:rsid w:val="3C857740"/>
    <w:rsid w:val="3C8E02B7"/>
    <w:rsid w:val="3CA732CA"/>
    <w:rsid w:val="3CB004C5"/>
    <w:rsid w:val="3CB35047"/>
    <w:rsid w:val="3CB47F7E"/>
    <w:rsid w:val="3CB603EF"/>
    <w:rsid w:val="3CD00E00"/>
    <w:rsid w:val="3CD82621"/>
    <w:rsid w:val="3CDD69B2"/>
    <w:rsid w:val="3CEA693F"/>
    <w:rsid w:val="3CEF1648"/>
    <w:rsid w:val="3D015E10"/>
    <w:rsid w:val="3D0D0F5F"/>
    <w:rsid w:val="3D0D55A5"/>
    <w:rsid w:val="3D187CD8"/>
    <w:rsid w:val="3D324998"/>
    <w:rsid w:val="3D354C10"/>
    <w:rsid w:val="3D475AFB"/>
    <w:rsid w:val="3D4A4707"/>
    <w:rsid w:val="3D4C43AF"/>
    <w:rsid w:val="3D502422"/>
    <w:rsid w:val="3D5275CE"/>
    <w:rsid w:val="3D5404DD"/>
    <w:rsid w:val="3D5941EB"/>
    <w:rsid w:val="3D5C2503"/>
    <w:rsid w:val="3D6341E4"/>
    <w:rsid w:val="3D6A48AA"/>
    <w:rsid w:val="3D6D23E3"/>
    <w:rsid w:val="3D7C1281"/>
    <w:rsid w:val="3D821B83"/>
    <w:rsid w:val="3D8D1DDC"/>
    <w:rsid w:val="3D8E6A74"/>
    <w:rsid w:val="3D995C7E"/>
    <w:rsid w:val="3DA61EAB"/>
    <w:rsid w:val="3DB60CC1"/>
    <w:rsid w:val="3DBA29C6"/>
    <w:rsid w:val="3DCE2E82"/>
    <w:rsid w:val="3DD2333F"/>
    <w:rsid w:val="3DEC316F"/>
    <w:rsid w:val="3E000E38"/>
    <w:rsid w:val="3E037731"/>
    <w:rsid w:val="3E0F09D9"/>
    <w:rsid w:val="3E1646C1"/>
    <w:rsid w:val="3E247488"/>
    <w:rsid w:val="3E305EE4"/>
    <w:rsid w:val="3E360DF6"/>
    <w:rsid w:val="3E3D25F5"/>
    <w:rsid w:val="3E4E6762"/>
    <w:rsid w:val="3E536D63"/>
    <w:rsid w:val="3E5F5CBB"/>
    <w:rsid w:val="3E616BAF"/>
    <w:rsid w:val="3E70166E"/>
    <w:rsid w:val="3E752011"/>
    <w:rsid w:val="3E8270FA"/>
    <w:rsid w:val="3E8E2505"/>
    <w:rsid w:val="3E8F0C9A"/>
    <w:rsid w:val="3E9953AC"/>
    <w:rsid w:val="3E9D3F84"/>
    <w:rsid w:val="3E9F3605"/>
    <w:rsid w:val="3EAF142E"/>
    <w:rsid w:val="3EB41061"/>
    <w:rsid w:val="3ECE3724"/>
    <w:rsid w:val="3ED14F5F"/>
    <w:rsid w:val="3EEC1C8D"/>
    <w:rsid w:val="3EF15A07"/>
    <w:rsid w:val="3EFC4AE4"/>
    <w:rsid w:val="3F0C0C5D"/>
    <w:rsid w:val="3F152EE5"/>
    <w:rsid w:val="3F1C492B"/>
    <w:rsid w:val="3F2940A4"/>
    <w:rsid w:val="3F310E2B"/>
    <w:rsid w:val="3F3E5B85"/>
    <w:rsid w:val="3F4D19AF"/>
    <w:rsid w:val="3F691A99"/>
    <w:rsid w:val="3F814700"/>
    <w:rsid w:val="3F837DDF"/>
    <w:rsid w:val="3F8B7DD4"/>
    <w:rsid w:val="3F901403"/>
    <w:rsid w:val="3FA21405"/>
    <w:rsid w:val="3FA67914"/>
    <w:rsid w:val="3FA96E5D"/>
    <w:rsid w:val="3FC04528"/>
    <w:rsid w:val="3FC379D7"/>
    <w:rsid w:val="3FCB012B"/>
    <w:rsid w:val="3FD00447"/>
    <w:rsid w:val="3FD27B2E"/>
    <w:rsid w:val="3FE71238"/>
    <w:rsid w:val="3FEE1DE8"/>
    <w:rsid w:val="3FFE5EFF"/>
    <w:rsid w:val="40171145"/>
    <w:rsid w:val="402104DC"/>
    <w:rsid w:val="402D3537"/>
    <w:rsid w:val="403075F2"/>
    <w:rsid w:val="40395203"/>
    <w:rsid w:val="40480E8F"/>
    <w:rsid w:val="404D32CE"/>
    <w:rsid w:val="40662C29"/>
    <w:rsid w:val="40742438"/>
    <w:rsid w:val="40791098"/>
    <w:rsid w:val="40932E75"/>
    <w:rsid w:val="409865C2"/>
    <w:rsid w:val="40A70377"/>
    <w:rsid w:val="40A97C8F"/>
    <w:rsid w:val="40BC5D67"/>
    <w:rsid w:val="40CA2A6E"/>
    <w:rsid w:val="40CC7CA3"/>
    <w:rsid w:val="40D775A2"/>
    <w:rsid w:val="40DC23A0"/>
    <w:rsid w:val="40EE33BE"/>
    <w:rsid w:val="40F436BC"/>
    <w:rsid w:val="40F61783"/>
    <w:rsid w:val="4100601D"/>
    <w:rsid w:val="410D75D5"/>
    <w:rsid w:val="411A76EB"/>
    <w:rsid w:val="411E3000"/>
    <w:rsid w:val="41402C24"/>
    <w:rsid w:val="414E7345"/>
    <w:rsid w:val="41546D3E"/>
    <w:rsid w:val="41591FEE"/>
    <w:rsid w:val="41696F7F"/>
    <w:rsid w:val="416A086A"/>
    <w:rsid w:val="416C21F9"/>
    <w:rsid w:val="417240B9"/>
    <w:rsid w:val="417C0D06"/>
    <w:rsid w:val="417C577C"/>
    <w:rsid w:val="418455DA"/>
    <w:rsid w:val="418B25AA"/>
    <w:rsid w:val="418D33B3"/>
    <w:rsid w:val="418E56CE"/>
    <w:rsid w:val="41925E9B"/>
    <w:rsid w:val="419B0F19"/>
    <w:rsid w:val="419B1BC4"/>
    <w:rsid w:val="419D5169"/>
    <w:rsid w:val="419D7C05"/>
    <w:rsid w:val="41A33A51"/>
    <w:rsid w:val="41A46863"/>
    <w:rsid w:val="41A739EA"/>
    <w:rsid w:val="41B3371C"/>
    <w:rsid w:val="41B4302C"/>
    <w:rsid w:val="41CC67E1"/>
    <w:rsid w:val="41DA3C01"/>
    <w:rsid w:val="41E3266D"/>
    <w:rsid w:val="41E5665C"/>
    <w:rsid w:val="41E70FD1"/>
    <w:rsid w:val="41F604FA"/>
    <w:rsid w:val="41FE6085"/>
    <w:rsid w:val="420068F9"/>
    <w:rsid w:val="42013C9E"/>
    <w:rsid w:val="420F24CA"/>
    <w:rsid w:val="421C0994"/>
    <w:rsid w:val="42475B19"/>
    <w:rsid w:val="424F02B6"/>
    <w:rsid w:val="42523372"/>
    <w:rsid w:val="42672C44"/>
    <w:rsid w:val="42683145"/>
    <w:rsid w:val="427133C0"/>
    <w:rsid w:val="42715180"/>
    <w:rsid w:val="4277762F"/>
    <w:rsid w:val="428E0BFE"/>
    <w:rsid w:val="429D7D7D"/>
    <w:rsid w:val="42B06FDD"/>
    <w:rsid w:val="42B23DF0"/>
    <w:rsid w:val="42B45768"/>
    <w:rsid w:val="42D60862"/>
    <w:rsid w:val="42DD46A8"/>
    <w:rsid w:val="42DD7341"/>
    <w:rsid w:val="42E637C3"/>
    <w:rsid w:val="42E90AC3"/>
    <w:rsid w:val="42FD1410"/>
    <w:rsid w:val="430C488E"/>
    <w:rsid w:val="43184FA0"/>
    <w:rsid w:val="431F563A"/>
    <w:rsid w:val="432151DF"/>
    <w:rsid w:val="43277346"/>
    <w:rsid w:val="432A3E0D"/>
    <w:rsid w:val="432D0CD2"/>
    <w:rsid w:val="4338356A"/>
    <w:rsid w:val="433E24EE"/>
    <w:rsid w:val="43412F21"/>
    <w:rsid w:val="4348259E"/>
    <w:rsid w:val="434C0977"/>
    <w:rsid w:val="434D5EB2"/>
    <w:rsid w:val="43604502"/>
    <w:rsid w:val="436D2D59"/>
    <w:rsid w:val="43705840"/>
    <w:rsid w:val="437E6752"/>
    <w:rsid w:val="43803823"/>
    <w:rsid w:val="438369F4"/>
    <w:rsid w:val="43885FA8"/>
    <w:rsid w:val="438D2FF7"/>
    <w:rsid w:val="43972914"/>
    <w:rsid w:val="43AF6845"/>
    <w:rsid w:val="43C54950"/>
    <w:rsid w:val="43CC31B4"/>
    <w:rsid w:val="43CC79E5"/>
    <w:rsid w:val="43D44FF8"/>
    <w:rsid w:val="441557E3"/>
    <w:rsid w:val="44226F3F"/>
    <w:rsid w:val="4425659D"/>
    <w:rsid w:val="44286453"/>
    <w:rsid w:val="44371554"/>
    <w:rsid w:val="444B4817"/>
    <w:rsid w:val="444C54FC"/>
    <w:rsid w:val="444F2685"/>
    <w:rsid w:val="44615639"/>
    <w:rsid w:val="44762FC6"/>
    <w:rsid w:val="44807EEA"/>
    <w:rsid w:val="4488431A"/>
    <w:rsid w:val="448F5706"/>
    <w:rsid w:val="44944331"/>
    <w:rsid w:val="449A539D"/>
    <w:rsid w:val="44A538D4"/>
    <w:rsid w:val="44B05905"/>
    <w:rsid w:val="44B67F0B"/>
    <w:rsid w:val="44BB1103"/>
    <w:rsid w:val="44E81308"/>
    <w:rsid w:val="451317C4"/>
    <w:rsid w:val="45146D13"/>
    <w:rsid w:val="45252A65"/>
    <w:rsid w:val="45575AD5"/>
    <w:rsid w:val="455907EE"/>
    <w:rsid w:val="457E0115"/>
    <w:rsid w:val="459B774E"/>
    <w:rsid w:val="45B72AB1"/>
    <w:rsid w:val="45BA079F"/>
    <w:rsid w:val="45C13698"/>
    <w:rsid w:val="45C93D8C"/>
    <w:rsid w:val="45CC0EF3"/>
    <w:rsid w:val="45CC763D"/>
    <w:rsid w:val="45CF5AD4"/>
    <w:rsid w:val="45D61E17"/>
    <w:rsid w:val="45DD06D9"/>
    <w:rsid w:val="460D21F2"/>
    <w:rsid w:val="460E0469"/>
    <w:rsid w:val="460E0A15"/>
    <w:rsid w:val="46146FE1"/>
    <w:rsid w:val="461909E8"/>
    <w:rsid w:val="462E79C9"/>
    <w:rsid w:val="4635298E"/>
    <w:rsid w:val="46355D58"/>
    <w:rsid w:val="463C04FA"/>
    <w:rsid w:val="464050BB"/>
    <w:rsid w:val="46405C21"/>
    <w:rsid w:val="465C4E3B"/>
    <w:rsid w:val="466B6702"/>
    <w:rsid w:val="466F037A"/>
    <w:rsid w:val="467737E1"/>
    <w:rsid w:val="467C180C"/>
    <w:rsid w:val="468B577B"/>
    <w:rsid w:val="46A075FA"/>
    <w:rsid w:val="46A359DC"/>
    <w:rsid w:val="46A54FB3"/>
    <w:rsid w:val="46C826C3"/>
    <w:rsid w:val="46D040D1"/>
    <w:rsid w:val="46D47B0B"/>
    <w:rsid w:val="46D7121E"/>
    <w:rsid w:val="46E07671"/>
    <w:rsid w:val="46F84FBA"/>
    <w:rsid w:val="46FF57CE"/>
    <w:rsid w:val="47154F60"/>
    <w:rsid w:val="47162E3C"/>
    <w:rsid w:val="47476572"/>
    <w:rsid w:val="47700BCB"/>
    <w:rsid w:val="47732DB6"/>
    <w:rsid w:val="47B41393"/>
    <w:rsid w:val="47B94CE5"/>
    <w:rsid w:val="47C254B8"/>
    <w:rsid w:val="47DF082A"/>
    <w:rsid w:val="47EB5003"/>
    <w:rsid w:val="48081128"/>
    <w:rsid w:val="480D3EC3"/>
    <w:rsid w:val="48144FED"/>
    <w:rsid w:val="481E0B19"/>
    <w:rsid w:val="482B26B0"/>
    <w:rsid w:val="483A31DC"/>
    <w:rsid w:val="483B02D3"/>
    <w:rsid w:val="48440530"/>
    <w:rsid w:val="484715CC"/>
    <w:rsid w:val="484F6870"/>
    <w:rsid w:val="485D616F"/>
    <w:rsid w:val="4873370F"/>
    <w:rsid w:val="48942C25"/>
    <w:rsid w:val="4898666C"/>
    <w:rsid w:val="489B75DE"/>
    <w:rsid w:val="489C2DFD"/>
    <w:rsid w:val="489F44D2"/>
    <w:rsid w:val="48A82C22"/>
    <w:rsid w:val="48A85054"/>
    <w:rsid w:val="48AB4379"/>
    <w:rsid w:val="48B5305A"/>
    <w:rsid w:val="48B63FE7"/>
    <w:rsid w:val="48C71061"/>
    <w:rsid w:val="48CC7D6E"/>
    <w:rsid w:val="48DD5408"/>
    <w:rsid w:val="48EB5A5C"/>
    <w:rsid w:val="490B579F"/>
    <w:rsid w:val="491F0291"/>
    <w:rsid w:val="4920208E"/>
    <w:rsid w:val="492A1C6E"/>
    <w:rsid w:val="492B563D"/>
    <w:rsid w:val="492C7D33"/>
    <w:rsid w:val="4938162F"/>
    <w:rsid w:val="493A79B5"/>
    <w:rsid w:val="495061AF"/>
    <w:rsid w:val="49575C03"/>
    <w:rsid w:val="495E78EB"/>
    <w:rsid w:val="4969605D"/>
    <w:rsid w:val="496D1F2A"/>
    <w:rsid w:val="4974087A"/>
    <w:rsid w:val="497A3E68"/>
    <w:rsid w:val="497C7394"/>
    <w:rsid w:val="498A3B85"/>
    <w:rsid w:val="498B65AB"/>
    <w:rsid w:val="49AE3287"/>
    <w:rsid w:val="49C65C46"/>
    <w:rsid w:val="49D021B0"/>
    <w:rsid w:val="49D61F4B"/>
    <w:rsid w:val="49D7375C"/>
    <w:rsid w:val="49E81BC9"/>
    <w:rsid w:val="49EC64E1"/>
    <w:rsid w:val="4A11668C"/>
    <w:rsid w:val="4A220874"/>
    <w:rsid w:val="4A3546EB"/>
    <w:rsid w:val="4A443774"/>
    <w:rsid w:val="4A4A48A6"/>
    <w:rsid w:val="4A506B41"/>
    <w:rsid w:val="4A524812"/>
    <w:rsid w:val="4A526073"/>
    <w:rsid w:val="4A56215E"/>
    <w:rsid w:val="4A5D4A40"/>
    <w:rsid w:val="4A63534F"/>
    <w:rsid w:val="4A650700"/>
    <w:rsid w:val="4A6C1B50"/>
    <w:rsid w:val="4A7E40F2"/>
    <w:rsid w:val="4A8561F1"/>
    <w:rsid w:val="4A8D25E3"/>
    <w:rsid w:val="4A943BC6"/>
    <w:rsid w:val="4A977A4A"/>
    <w:rsid w:val="4AA30352"/>
    <w:rsid w:val="4AAF17A9"/>
    <w:rsid w:val="4ABA7840"/>
    <w:rsid w:val="4AE623A4"/>
    <w:rsid w:val="4AE74F60"/>
    <w:rsid w:val="4AFF5CC6"/>
    <w:rsid w:val="4B1D3A51"/>
    <w:rsid w:val="4B280F1E"/>
    <w:rsid w:val="4B2B3281"/>
    <w:rsid w:val="4B2D7893"/>
    <w:rsid w:val="4B3D4E30"/>
    <w:rsid w:val="4B3E3461"/>
    <w:rsid w:val="4B411E5A"/>
    <w:rsid w:val="4B413D26"/>
    <w:rsid w:val="4B6B6050"/>
    <w:rsid w:val="4B6F51B5"/>
    <w:rsid w:val="4B8B446D"/>
    <w:rsid w:val="4B8F6756"/>
    <w:rsid w:val="4BA324C2"/>
    <w:rsid w:val="4BB317A2"/>
    <w:rsid w:val="4BB560B3"/>
    <w:rsid w:val="4BC27F8D"/>
    <w:rsid w:val="4BC97047"/>
    <w:rsid w:val="4BCC6CCE"/>
    <w:rsid w:val="4BE44E6C"/>
    <w:rsid w:val="4BF446B8"/>
    <w:rsid w:val="4C003E2A"/>
    <w:rsid w:val="4C061338"/>
    <w:rsid w:val="4C061EF7"/>
    <w:rsid w:val="4C0B535F"/>
    <w:rsid w:val="4C0E0CF8"/>
    <w:rsid w:val="4C323172"/>
    <w:rsid w:val="4C497215"/>
    <w:rsid w:val="4C4F5F99"/>
    <w:rsid w:val="4C5474C5"/>
    <w:rsid w:val="4C5D0817"/>
    <w:rsid w:val="4C5E08E0"/>
    <w:rsid w:val="4C6B0365"/>
    <w:rsid w:val="4C7C64A4"/>
    <w:rsid w:val="4C9953D8"/>
    <w:rsid w:val="4CBF4AE9"/>
    <w:rsid w:val="4CCA7CF8"/>
    <w:rsid w:val="4CCC299D"/>
    <w:rsid w:val="4CCE1B7D"/>
    <w:rsid w:val="4D0A349B"/>
    <w:rsid w:val="4D0D2E78"/>
    <w:rsid w:val="4D0F04ED"/>
    <w:rsid w:val="4D164C7E"/>
    <w:rsid w:val="4D283FC5"/>
    <w:rsid w:val="4D384A7C"/>
    <w:rsid w:val="4D3A0411"/>
    <w:rsid w:val="4D413BC0"/>
    <w:rsid w:val="4D427C91"/>
    <w:rsid w:val="4D7706F2"/>
    <w:rsid w:val="4D845711"/>
    <w:rsid w:val="4D8A02B7"/>
    <w:rsid w:val="4D8E4163"/>
    <w:rsid w:val="4D951C4E"/>
    <w:rsid w:val="4DB66082"/>
    <w:rsid w:val="4DBE12C2"/>
    <w:rsid w:val="4DCE6ED3"/>
    <w:rsid w:val="4DD41DFF"/>
    <w:rsid w:val="4DEF3575"/>
    <w:rsid w:val="4DF46CF3"/>
    <w:rsid w:val="4E095444"/>
    <w:rsid w:val="4E0E40E2"/>
    <w:rsid w:val="4E333BBB"/>
    <w:rsid w:val="4E346342"/>
    <w:rsid w:val="4E4E04E5"/>
    <w:rsid w:val="4E665F7B"/>
    <w:rsid w:val="4E6A06E9"/>
    <w:rsid w:val="4E715DB2"/>
    <w:rsid w:val="4E776B87"/>
    <w:rsid w:val="4E795FFF"/>
    <w:rsid w:val="4E8E5857"/>
    <w:rsid w:val="4EC206BE"/>
    <w:rsid w:val="4EC31543"/>
    <w:rsid w:val="4EC46EFB"/>
    <w:rsid w:val="4EC7194E"/>
    <w:rsid w:val="4EC951FF"/>
    <w:rsid w:val="4ED04B02"/>
    <w:rsid w:val="4ED346CC"/>
    <w:rsid w:val="4EDD6EFA"/>
    <w:rsid w:val="4EE96853"/>
    <w:rsid w:val="4EEF4121"/>
    <w:rsid w:val="4F105F02"/>
    <w:rsid w:val="4F121BEA"/>
    <w:rsid w:val="4F172396"/>
    <w:rsid w:val="4F1D4181"/>
    <w:rsid w:val="4F3F03C1"/>
    <w:rsid w:val="4F4C2971"/>
    <w:rsid w:val="4F566ACF"/>
    <w:rsid w:val="4F6C2ECB"/>
    <w:rsid w:val="4F704BBC"/>
    <w:rsid w:val="4F8028EE"/>
    <w:rsid w:val="4F8435B4"/>
    <w:rsid w:val="4F854761"/>
    <w:rsid w:val="4F8C7DDC"/>
    <w:rsid w:val="4FAD0DF7"/>
    <w:rsid w:val="4FBC1F04"/>
    <w:rsid w:val="4FBD361C"/>
    <w:rsid w:val="4FBE1CEA"/>
    <w:rsid w:val="4FC15F00"/>
    <w:rsid w:val="4FF17370"/>
    <w:rsid w:val="4FF77C61"/>
    <w:rsid w:val="5003418D"/>
    <w:rsid w:val="50037C0C"/>
    <w:rsid w:val="500F51F9"/>
    <w:rsid w:val="50200CEA"/>
    <w:rsid w:val="502A7546"/>
    <w:rsid w:val="502E1CFA"/>
    <w:rsid w:val="50344D97"/>
    <w:rsid w:val="50371519"/>
    <w:rsid w:val="503D6ACE"/>
    <w:rsid w:val="50447CE3"/>
    <w:rsid w:val="504570EB"/>
    <w:rsid w:val="505A0A75"/>
    <w:rsid w:val="505B05E7"/>
    <w:rsid w:val="507521C1"/>
    <w:rsid w:val="50753DB9"/>
    <w:rsid w:val="509E2BD3"/>
    <w:rsid w:val="50BC2B88"/>
    <w:rsid w:val="50C04426"/>
    <w:rsid w:val="50C7518D"/>
    <w:rsid w:val="50C95413"/>
    <w:rsid w:val="50CA4969"/>
    <w:rsid w:val="50CA58C9"/>
    <w:rsid w:val="50ED0D36"/>
    <w:rsid w:val="50F462DA"/>
    <w:rsid w:val="510B317F"/>
    <w:rsid w:val="51130AD6"/>
    <w:rsid w:val="51147068"/>
    <w:rsid w:val="511B4097"/>
    <w:rsid w:val="51216FB7"/>
    <w:rsid w:val="512452DA"/>
    <w:rsid w:val="5125611E"/>
    <w:rsid w:val="512E023D"/>
    <w:rsid w:val="513764DE"/>
    <w:rsid w:val="514C3C7B"/>
    <w:rsid w:val="515029F4"/>
    <w:rsid w:val="515B22B5"/>
    <w:rsid w:val="51777BA1"/>
    <w:rsid w:val="517A1ADB"/>
    <w:rsid w:val="517C1302"/>
    <w:rsid w:val="51901189"/>
    <w:rsid w:val="51907785"/>
    <w:rsid w:val="51952A88"/>
    <w:rsid w:val="51B23F17"/>
    <w:rsid w:val="51B661F2"/>
    <w:rsid w:val="51BB2EED"/>
    <w:rsid w:val="51E51BA8"/>
    <w:rsid w:val="51EE27E3"/>
    <w:rsid w:val="52040DD8"/>
    <w:rsid w:val="52101F45"/>
    <w:rsid w:val="52125E5B"/>
    <w:rsid w:val="5213342A"/>
    <w:rsid w:val="52163344"/>
    <w:rsid w:val="5216472B"/>
    <w:rsid w:val="52217FFE"/>
    <w:rsid w:val="5234477C"/>
    <w:rsid w:val="523449CA"/>
    <w:rsid w:val="52475C9F"/>
    <w:rsid w:val="52515077"/>
    <w:rsid w:val="525A327C"/>
    <w:rsid w:val="526C3669"/>
    <w:rsid w:val="52806E8B"/>
    <w:rsid w:val="528F3F78"/>
    <w:rsid w:val="52A84489"/>
    <w:rsid w:val="52B118DE"/>
    <w:rsid w:val="52B80D5E"/>
    <w:rsid w:val="52BF77E0"/>
    <w:rsid w:val="52C52078"/>
    <w:rsid w:val="52CB6EC0"/>
    <w:rsid w:val="52D061DA"/>
    <w:rsid w:val="52D211F8"/>
    <w:rsid w:val="52E6495A"/>
    <w:rsid w:val="52F26F28"/>
    <w:rsid w:val="52F6796A"/>
    <w:rsid w:val="53031E61"/>
    <w:rsid w:val="5315442E"/>
    <w:rsid w:val="533907AA"/>
    <w:rsid w:val="5341530E"/>
    <w:rsid w:val="534326DA"/>
    <w:rsid w:val="53434396"/>
    <w:rsid w:val="534D112E"/>
    <w:rsid w:val="535F15E8"/>
    <w:rsid w:val="53654967"/>
    <w:rsid w:val="53761C93"/>
    <w:rsid w:val="537B0A8C"/>
    <w:rsid w:val="538B1A6A"/>
    <w:rsid w:val="5393301A"/>
    <w:rsid w:val="53971518"/>
    <w:rsid w:val="5399073D"/>
    <w:rsid w:val="53991DE0"/>
    <w:rsid w:val="539C05E4"/>
    <w:rsid w:val="539E3677"/>
    <w:rsid w:val="53A84C2D"/>
    <w:rsid w:val="53AB2CD5"/>
    <w:rsid w:val="53AF23D8"/>
    <w:rsid w:val="53B31343"/>
    <w:rsid w:val="53B91D8C"/>
    <w:rsid w:val="53CA7A82"/>
    <w:rsid w:val="53CE2D5A"/>
    <w:rsid w:val="53D82514"/>
    <w:rsid w:val="53E56E6E"/>
    <w:rsid w:val="53EB2495"/>
    <w:rsid w:val="53F17662"/>
    <w:rsid w:val="54010C17"/>
    <w:rsid w:val="540366C1"/>
    <w:rsid w:val="540459D3"/>
    <w:rsid w:val="540522B5"/>
    <w:rsid w:val="542406F9"/>
    <w:rsid w:val="54283548"/>
    <w:rsid w:val="542C2C82"/>
    <w:rsid w:val="543F012A"/>
    <w:rsid w:val="546136C7"/>
    <w:rsid w:val="54635F00"/>
    <w:rsid w:val="54661F54"/>
    <w:rsid w:val="546C3F2D"/>
    <w:rsid w:val="547F46DA"/>
    <w:rsid w:val="54944893"/>
    <w:rsid w:val="549F75FE"/>
    <w:rsid w:val="54A51CC5"/>
    <w:rsid w:val="54AF6C60"/>
    <w:rsid w:val="54B52F94"/>
    <w:rsid w:val="54BD36E4"/>
    <w:rsid w:val="54C547A5"/>
    <w:rsid w:val="54D05C30"/>
    <w:rsid w:val="54DD78BD"/>
    <w:rsid w:val="54E06144"/>
    <w:rsid w:val="54E5258C"/>
    <w:rsid w:val="54F52367"/>
    <w:rsid w:val="550A393D"/>
    <w:rsid w:val="5525121F"/>
    <w:rsid w:val="555900AE"/>
    <w:rsid w:val="555B6E77"/>
    <w:rsid w:val="555E09D9"/>
    <w:rsid w:val="555E54FB"/>
    <w:rsid w:val="556848E1"/>
    <w:rsid w:val="556B7B91"/>
    <w:rsid w:val="556D2811"/>
    <w:rsid w:val="55767F46"/>
    <w:rsid w:val="557821AC"/>
    <w:rsid w:val="55CE1AD5"/>
    <w:rsid w:val="55ED37B8"/>
    <w:rsid w:val="55F04C52"/>
    <w:rsid w:val="55F35D23"/>
    <w:rsid w:val="56281CBC"/>
    <w:rsid w:val="562878FA"/>
    <w:rsid w:val="56333685"/>
    <w:rsid w:val="56540424"/>
    <w:rsid w:val="567466BA"/>
    <w:rsid w:val="567B7B50"/>
    <w:rsid w:val="568F0DF7"/>
    <w:rsid w:val="56A332D5"/>
    <w:rsid w:val="56AD59C6"/>
    <w:rsid w:val="56B85F25"/>
    <w:rsid w:val="56C325A5"/>
    <w:rsid w:val="56C4174F"/>
    <w:rsid w:val="56E326CF"/>
    <w:rsid w:val="56E709F8"/>
    <w:rsid w:val="56EC573B"/>
    <w:rsid w:val="56F10A56"/>
    <w:rsid w:val="56FB32FA"/>
    <w:rsid w:val="570703AF"/>
    <w:rsid w:val="572D602C"/>
    <w:rsid w:val="573221A2"/>
    <w:rsid w:val="57364D30"/>
    <w:rsid w:val="573D71D1"/>
    <w:rsid w:val="574878D2"/>
    <w:rsid w:val="57574216"/>
    <w:rsid w:val="57611DCD"/>
    <w:rsid w:val="57636B03"/>
    <w:rsid w:val="57722EB4"/>
    <w:rsid w:val="5792740A"/>
    <w:rsid w:val="57A21363"/>
    <w:rsid w:val="57A54C20"/>
    <w:rsid w:val="57A71406"/>
    <w:rsid w:val="57B06D46"/>
    <w:rsid w:val="57B937A9"/>
    <w:rsid w:val="57BB4E50"/>
    <w:rsid w:val="57C34B39"/>
    <w:rsid w:val="57C94F80"/>
    <w:rsid w:val="57DE1F69"/>
    <w:rsid w:val="57E116B4"/>
    <w:rsid w:val="58097EA5"/>
    <w:rsid w:val="580C0140"/>
    <w:rsid w:val="580F431F"/>
    <w:rsid w:val="58100035"/>
    <w:rsid w:val="5846168C"/>
    <w:rsid w:val="587B6F7C"/>
    <w:rsid w:val="588D5412"/>
    <w:rsid w:val="58A22BE9"/>
    <w:rsid w:val="58BD6FD7"/>
    <w:rsid w:val="58C72E10"/>
    <w:rsid w:val="58DB6137"/>
    <w:rsid w:val="58E44026"/>
    <w:rsid w:val="58E67C57"/>
    <w:rsid w:val="58E94F10"/>
    <w:rsid w:val="58F965E6"/>
    <w:rsid w:val="58FA15B8"/>
    <w:rsid w:val="58FF06B6"/>
    <w:rsid w:val="59046596"/>
    <w:rsid w:val="591C3F4A"/>
    <w:rsid w:val="591F1CBF"/>
    <w:rsid w:val="592859C8"/>
    <w:rsid w:val="593E6CC6"/>
    <w:rsid w:val="59404EE0"/>
    <w:rsid w:val="594170C2"/>
    <w:rsid w:val="594B0A62"/>
    <w:rsid w:val="594E1B0E"/>
    <w:rsid w:val="594F32F2"/>
    <w:rsid w:val="595461B1"/>
    <w:rsid w:val="59591BB8"/>
    <w:rsid w:val="595C743E"/>
    <w:rsid w:val="595E1551"/>
    <w:rsid w:val="59760077"/>
    <w:rsid w:val="59820786"/>
    <w:rsid w:val="59A774F2"/>
    <w:rsid w:val="59AD15AB"/>
    <w:rsid w:val="59B2781D"/>
    <w:rsid w:val="59BC5C03"/>
    <w:rsid w:val="59CE313C"/>
    <w:rsid w:val="59E474BD"/>
    <w:rsid w:val="59E869EC"/>
    <w:rsid w:val="59FC6B89"/>
    <w:rsid w:val="5A057FD1"/>
    <w:rsid w:val="5A143012"/>
    <w:rsid w:val="5A261D0E"/>
    <w:rsid w:val="5A2907FC"/>
    <w:rsid w:val="5A2E6A84"/>
    <w:rsid w:val="5A3B0F06"/>
    <w:rsid w:val="5A412A61"/>
    <w:rsid w:val="5A4752E2"/>
    <w:rsid w:val="5A527BDD"/>
    <w:rsid w:val="5A7A7F4C"/>
    <w:rsid w:val="5A7D1253"/>
    <w:rsid w:val="5A850E4C"/>
    <w:rsid w:val="5A905E59"/>
    <w:rsid w:val="5A9311E7"/>
    <w:rsid w:val="5AA72593"/>
    <w:rsid w:val="5AA9358C"/>
    <w:rsid w:val="5AD0373D"/>
    <w:rsid w:val="5AF46A20"/>
    <w:rsid w:val="5AF502E2"/>
    <w:rsid w:val="5AF81B7B"/>
    <w:rsid w:val="5AF86253"/>
    <w:rsid w:val="5AF91E46"/>
    <w:rsid w:val="5AFB1569"/>
    <w:rsid w:val="5B047A73"/>
    <w:rsid w:val="5B081862"/>
    <w:rsid w:val="5B0836C5"/>
    <w:rsid w:val="5B0A0B9B"/>
    <w:rsid w:val="5B1140FC"/>
    <w:rsid w:val="5B1C3DCA"/>
    <w:rsid w:val="5B1F176B"/>
    <w:rsid w:val="5B24355B"/>
    <w:rsid w:val="5B2D01BB"/>
    <w:rsid w:val="5B340596"/>
    <w:rsid w:val="5B3F26B3"/>
    <w:rsid w:val="5B467F94"/>
    <w:rsid w:val="5B491028"/>
    <w:rsid w:val="5B4B70AC"/>
    <w:rsid w:val="5B683606"/>
    <w:rsid w:val="5B7D4C61"/>
    <w:rsid w:val="5B7E3A81"/>
    <w:rsid w:val="5B850F8B"/>
    <w:rsid w:val="5B8A7522"/>
    <w:rsid w:val="5B946B5D"/>
    <w:rsid w:val="5B966752"/>
    <w:rsid w:val="5BA53E1C"/>
    <w:rsid w:val="5BA92AAB"/>
    <w:rsid w:val="5BAB0B2E"/>
    <w:rsid w:val="5BB41290"/>
    <w:rsid w:val="5BC22B58"/>
    <w:rsid w:val="5BC50503"/>
    <w:rsid w:val="5BCC4827"/>
    <w:rsid w:val="5BCD464A"/>
    <w:rsid w:val="5BF50EB6"/>
    <w:rsid w:val="5BF92128"/>
    <w:rsid w:val="5BFA7DB5"/>
    <w:rsid w:val="5BFB1F01"/>
    <w:rsid w:val="5C075DA6"/>
    <w:rsid w:val="5C162620"/>
    <w:rsid w:val="5C1D7D30"/>
    <w:rsid w:val="5C275BD4"/>
    <w:rsid w:val="5C491EC9"/>
    <w:rsid w:val="5C4B16FD"/>
    <w:rsid w:val="5C4F2E18"/>
    <w:rsid w:val="5C5028D7"/>
    <w:rsid w:val="5C6D1904"/>
    <w:rsid w:val="5C703E21"/>
    <w:rsid w:val="5C7370A0"/>
    <w:rsid w:val="5C790A6A"/>
    <w:rsid w:val="5C81109C"/>
    <w:rsid w:val="5C922FEE"/>
    <w:rsid w:val="5C9E10E9"/>
    <w:rsid w:val="5C9E40DE"/>
    <w:rsid w:val="5CA11D7F"/>
    <w:rsid w:val="5CAF4CE5"/>
    <w:rsid w:val="5CB22033"/>
    <w:rsid w:val="5CC61088"/>
    <w:rsid w:val="5CC927D0"/>
    <w:rsid w:val="5CD04E1E"/>
    <w:rsid w:val="5CDA6371"/>
    <w:rsid w:val="5CEC54C0"/>
    <w:rsid w:val="5CF30224"/>
    <w:rsid w:val="5CFC64A7"/>
    <w:rsid w:val="5D0014E0"/>
    <w:rsid w:val="5D033124"/>
    <w:rsid w:val="5D1516BF"/>
    <w:rsid w:val="5D1569ED"/>
    <w:rsid w:val="5D1A5C10"/>
    <w:rsid w:val="5D1B2A4F"/>
    <w:rsid w:val="5D1B50AE"/>
    <w:rsid w:val="5D1C7440"/>
    <w:rsid w:val="5D2E6665"/>
    <w:rsid w:val="5D4F34F7"/>
    <w:rsid w:val="5D521435"/>
    <w:rsid w:val="5D6031C3"/>
    <w:rsid w:val="5D623C65"/>
    <w:rsid w:val="5D653EC8"/>
    <w:rsid w:val="5D7636FE"/>
    <w:rsid w:val="5D7F7A77"/>
    <w:rsid w:val="5D810CA8"/>
    <w:rsid w:val="5D864B2F"/>
    <w:rsid w:val="5D8C1819"/>
    <w:rsid w:val="5DC12889"/>
    <w:rsid w:val="5DC477E0"/>
    <w:rsid w:val="5DCA3061"/>
    <w:rsid w:val="5DD05318"/>
    <w:rsid w:val="5DD161BA"/>
    <w:rsid w:val="5DE97207"/>
    <w:rsid w:val="5DEF6C2B"/>
    <w:rsid w:val="5DF22741"/>
    <w:rsid w:val="5DFE50F6"/>
    <w:rsid w:val="5E026A9A"/>
    <w:rsid w:val="5E050796"/>
    <w:rsid w:val="5E123553"/>
    <w:rsid w:val="5E186B89"/>
    <w:rsid w:val="5E202832"/>
    <w:rsid w:val="5E2D7C7A"/>
    <w:rsid w:val="5E4E3F80"/>
    <w:rsid w:val="5E5F4BD4"/>
    <w:rsid w:val="5E852B0D"/>
    <w:rsid w:val="5E8A7777"/>
    <w:rsid w:val="5E932264"/>
    <w:rsid w:val="5EA1268E"/>
    <w:rsid w:val="5EB029CD"/>
    <w:rsid w:val="5ED20F44"/>
    <w:rsid w:val="5EDF3DC8"/>
    <w:rsid w:val="5EE7073E"/>
    <w:rsid w:val="5EEC61AE"/>
    <w:rsid w:val="5EF641A0"/>
    <w:rsid w:val="5EF67A22"/>
    <w:rsid w:val="5EFB4ED5"/>
    <w:rsid w:val="5F0501F2"/>
    <w:rsid w:val="5F123BC6"/>
    <w:rsid w:val="5F184877"/>
    <w:rsid w:val="5F1A7A37"/>
    <w:rsid w:val="5F2E3F46"/>
    <w:rsid w:val="5F406402"/>
    <w:rsid w:val="5F474C09"/>
    <w:rsid w:val="5F475D4B"/>
    <w:rsid w:val="5F63419E"/>
    <w:rsid w:val="5F6B086B"/>
    <w:rsid w:val="5F736746"/>
    <w:rsid w:val="5F7B52AA"/>
    <w:rsid w:val="5F880842"/>
    <w:rsid w:val="5F8B3911"/>
    <w:rsid w:val="5FC1728F"/>
    <w:rsid w:val="5FD27659"/>
    <w:rsid w:val="5FD95A66"/>
    <w:rsid w:val="5FDF2255"/>
    <w:rsid w:val="5FDF7A00"/>
    <w:rsid w:val="5FE12AC5"/>
    <w:rsid w:val="5FF309C7"/>
    <w:rsid w:val="5FFC4765"/>
    <w:rsid w:val="5FFF6DC4"/>
    <w:rsid w:val="60046C0F"/>
    <w:rsid w:val="600E4F7F"/>
    <w:rsid w:val="60131685"/>
    <w:rsid w:val="601327BB"/>
    <w:rsid w:val="60245068"/>
    <w:rsid w:val="60255BE3"/>
    <w:rsid w:val="602717FC"/>
    <w:rsid w:val="602A62F8"/>
    <w:rsid w:val="602C01A9"/>
    <w:rsid w:val="60351EE3"/>
    <w:rsid w:val="603B1B21"/>
    <w:rsid w:val="603F2752"/>
    <w:rsid w:val="603F44BF"/>
    <w:rsid w:val="604270B3"/>
    <w:rsid w:val="60504051"/>
    <w:rsid w:val="607F2EF2"/>
    <w:rsid w:val="60842FF2"/>
    <w:rsid w:val="60AB7543"/>
    <w:rsid w:val="60AF5E00"/>
    <w:rsid w:val="60B1155A"/>
    <w:rsid w:val="60B357B2"/>
    <w:rsid w:val="60B54161"/>
    <w:rsid w:val="60D43BFA"/>
    <w:rsid w:val="60E142BE"/>
    <w:rsid w:val="60E16AB6"/>
    <w:rsid w:val="60E40C2C"/>
    <w:rsid w:val="60F32CD5"/>
    <w:rsid w:val="60FB6994"/>
    <w:rsid w:val="610D2A7D"/>
    <w:rsid w:val="61111BF1"/>
    <w:rsid w:val="61175A9A"/>
    <w:rsid w:val="612129FE"/>
    <w:rsid w:val="61252A50"/>
    <w:rsid w:val="612E0294"/>
    <w:rsid w:val="61375BEC"/>
    <w:rsid w:val="614A2305"/>
    <w:rsid w:val="614E4437"/>
    <w:rsid w:val="615F1F60"/>
    <w:rsid w:val="6182631E"/>
    <w:rsid w:val="61A26760"/>
    <w:rsid w:val="61AF5CD6"/>
    <w:rsid w:val="61BC217C"/>
    <w:rsid w:val="61D9772A"/>
    <w:rsid w:val="61DA1B5D"/>
    <w:rsid w:val="61DB33CF"/>
    <w:rsid w:val="61EB4962"/>
    <w:rsid w:val="61EF0933"/>
    <w:rsid w:val="61F02594"/>
    <w:rsid w:val="61F2327B"/>
    <w:rsid w:val="61F64176"/>
    <w:rsid w:val="61F6471A"/>
    <w:rsid w:val="61FA7AC8"/>
    <w:rsid w:val="62413765"/>
    <w:rsid w:val="625A4915"/>
    <w:rsid w:val="625E2011"/>
    <w:rsid w:val="626E5BD1"/>
    <w:rsid w:val="627803DA"/>
    <w:rsid w:val="627966B2"/>
    <w:rsid w:val="62921FA4"/>
    <w:rsid w:val="62A06349"/>
    <w:rsid w:val="62BF1D8B"/>
    <w:rsid w:val="62C83DFB"/>
    <w:rsid w:val="62CB6DF0"/>
    <w:rsid w:val="62D03FE1"/>
    <w:rsid w:val="62DC2379"/>
    <w:rsid w:val="62DD3EBB"/>
    <w:rsid w:val="62EF16C5"/>
    <w:rsid w:val="62FA52C3"/>
    <w:rsid w:val="62FD5E6F"/>
    <w:rsid w:val="63077DCD"/>
    <w:rsid w:val="630C3818"/>
    <w:rsid w:val="630F08E7"/>
    <w:rsid w:val="63196725"/>
    <w:rsid w:val="631F3FB6"/>
    <w:rsid w:val="63307428"/>
    <w:rsid w:val="63356B20"/>
    <w:rsid w:val="633B4FC0"/>
    <w:rsid w:val="63446C38"/>
    <w:rsid w:val="6349142A"/>
    <w:rsid w:val="634B7547"/>
    <w:rsid w:val="63647D08"/>
    <w:rsid w:val="637B37CB"/>
    <w:rsid w:val="637E69F6"/>
    <w:rsid w:val="63AF3FD8"/>
    <w:rsid w:val="63B47AD6"/>
    <w:rsid w:val="63B55E70"/>
    <w:rsid w:val="63BD1F88"/>
    <w:rsid w:val="63D07482"/>
    <w:rsid w:val="63DE3AA9"/>
    <w:rsid w:val="63E85719"/>
    <w:rsid w:val="63F34E27"/>
    <w:rsid w:val="63FD53D7"/>
    <w:rsid w:val="640D3774"/>
    <w:rsid w:val="64186651"/>
    <w:rsid w:val="64190D1A"/>
    <w:rsid w:val="642E2D6E"/>
    <w:rsid w:val="642F141D"/>
    <w:rsid w:val="64387FCB"/>
    <w:rsid w:val="6439179D"/>
    <w:rsid w:val="643A7D3D"/>
    <w:rsid w:val="644845EE"/>
    <w:rsid w:val="64494CF7"/>
    <w:rsid w:val="644C43F2"/>
    <w:rsid w:val="645E071A"/>
    <w:rsid w:val="64611864"/>
    <w:rsid w:val="6465357A"/>
    <w:rsid w:val="64704226"/>
    <w:rsid w:val="64730B58"/>
    <w:rsid w:val="647E3F09"/>
    <w:rsid w:val="64870014"/>
    <w:rsid w:val="64B42AB0"/>
    <w:rsid w:val="64B76AA3"/>
    <w:rsid w:val="64C61C82"/>
    <w:rsid w:val="64D124DB"/>
    <w:rsid w:val="64EB099D"/>
    <w:rsid w:val="65012AAF"/>
    <w:rsid w:val="65233DA8"/>
    <w:rsid w:val="652860EC"/>
    <w:rsid w:val="652A1A84"/>
    <w:rsid w:val="652A5D21"/>
    <w:rsid w:val="653E034D"/>
    <w:rsid w:val="65480BBE"/>
    <w:rsid w:val="6550438A"/>
    <w:rsid w:val="6554639C"/>
    <w:rsid w:val="65687D20"/>
    <w:rsid w:val="656A7AEB"/>
    <w:rsid w:val="656B1F42"/>
    <w:rsid w:val="656D1690"/>
    <w:rsid w:val="657B264C"/>
    <w:rsid w:val="657C3759"/>
    <w:rsid w:val="659052F9"/>
    <w:rsid w:val="65933B3C"/>
    <w:rsid w:val="65AE026A"/>
    <w:rsid w:val="65B955CA"/>
    <w:rsid w:val="65BE6C54"/>
    <w:rsid w:val="65CC3546"/>
    <w:rsid w:val="65CE71FF"/>
    <w:rsid w:val="65EE73B7"/>
    <w:rsid w:val="65F9071E"/>
    <w:rsid w:val="66087C36"/>
    <w:rsid w:val="660A413F"/>
    <w:rsid w:val="661A0E12"/>
    <w:rsid w:val="66214D7C"/>
    <w:rsid w:val="6624580B"/>
    <w:rsid w:val="6625001A"/>
    <w:rsid w:val="662A15EB"/>
    <w:rsid w:val="66356B67"/>
    <w:rsid w:val="665078F8"/>
    <w:rsid w:val="66760042"/>
    <w:rsid w:val="667B6C3F"/>
    <w:rsid w:val="66823E25"/>
    <w:rsid w:val="66933BD2"/>
    <w:rsid w:val="66B40E42"/>
    <w:rsid w:val="66B56D61"/>
    <w:rsid w:val="66B56D68"/>
    <w:rsid w:val="66D62F3C"/>
    <w:rsid w:val="66DA6071"/>
    <w:rsid w:val="66E9392A"/>
    <w:rsid w:val="66EA1480"/>
    <w:rsid w:val="67056631"/>
    <w:rsid w:val="67126948"/>
    <w:rsid w:val="6715177C"/>
    <w:rsid w:val="67231659"/>
    <w:rsid w:val="6730681F"/>
    <w:rsid w:val="674056F4"/>
    <w:rsid w:val="6745249B"/>
    <w:rsid w:val="674672D3"/>
    <w:rsid w:val="67622FB4"/>
    <w:rsid w:val="676E6425"/>
    <w:rsid w:val="67770DB9"/>
    <w:rsid w:val="67776ADD"/>
    <w:rsid w:val="6779797F"/>
    <w:rsid w:val="6788047B"/>
    <w:rsid w:val="6789047F"/>
    <w:rsid w:val="67A27AF8"/>
    <w:rsid w:val="67A720F6"/>
    <w:rsid w:val="67A85D26"/>
    <w:rsid w:val="67AC1398"/>
    <w:rsid w:val="67E7540E"/>
    <w:rsid w:val="67EA1736"/>
    <w:rsid w:val="67F509D9"/>
    <w:rsid w:val="67FC02AC"/>
    <w:rsid w:val="68006207"/>
    <w:rsid w:val="68070E08"/>
    <w:rsid w:val="680E4CA4"/>
    <w:rsid w:val="682D2C3F"/>
    <w:rsid w:val="682D432C"/>
    <w:rsid w:val="68382592"/>
    <w:rsid w:val="684159B8"/>
    <w:rsid w:val="6844604B"/>
    <w:rsid w:val="684A32DA"/>
    <w:rsid w:val="684F053A"/>
    <w:rsid w:val="68524FFC"/>
    <w:rsid w:val="686541B5"/>
    <w:rsid w:val="68777EDD"/>
    <w:rsid w:val="68784674"/>
    <w:rsid w:val="687C00C8"/>
    <w:rsid w:val="687C4042"/>
    <w:rsid w:val="68A742AD"/>
    <w:rsid w:val="68B71B00"/>
    <w:rsid w:val="68B87F12"/>
    <w:rsid w:val="68C25CFA"/>
    <w:rsid w:val="68C731B8"/>
    <w:rsid w:val="68D536DE"/>
    <w:rsid w:val="68E62895"/>
    <w:rsid w:val="69044A5D"/>
    <w:rsid w:val="691052CA"/>
    <w:rsid w:val="69194464"/>
    <w:rsid w:val="691D05F7"/>
    <w:rsid w:val="69256624"/>
    <w:rsid w:val="69312B59"/>
    <w:rsid w:val="69446209"/>
    <w:rsid w:val="694E271E"/>
    <w:rsid w:val="6950021E"/>
    <w:rsid w:val="69534859"/>
    <w:rsid w:val="69726337"/>
    <w:rsid w:val="69787B08"/>
    <w:rsid w:val="698B1B24"/>
    <w:rsid w:val="6994580C"/>
    <w:rsid w:val="69A66C99"/>
    <w:rsid w:val="69B75241"/>
    <w:rsid w:val="69BB0755"/>
    <w:rsid w:val="69CD6D6F"/>
    <w:rsid w:val="69FB0A5B"/>
    <w:rsid w:val="6A017D36"/>
    <w:rsid w:val="6A0D79AA"/>
    <w:rsid w:val="6A115C81"/>
    <w:rsid w:val="6A162FAD"/>
    <w:rsid w:val="6A165F97"/>
    <w:rsid w:val="6A22015C"/>
    <w:rsid w:val="6A265076"/>
    <w:rsid w:val="6A6E45DE"/>
    <w:rsid w:val="6A7A60F7"/>
    <w:rsid w:val="6A7E417E"/>
    <w:rsid w:val="6A9C36E2"/>
    <w:rsid w:val="6AAC2E76"/>
    <w:rsid w:val="6AB90DA9"/>
    <w:rsid w:val="6AD73CE6"/>
    <w:rsid w:val="6AE03E44"/>
    <w:rsid w:val="6AEE1969"/>
    <w:rsid w:val="6AF4494F"/>
    <w:rsid w:val="6B0A125F"/>
    <w:rsid w:val="6B1834FD"/>
    <w:rsid w:val="6B23484A"/>
    <w:rsid w:val="6B2E5652"/>
    <w:rsid w:val="6B30457A"/>
    <w:rsid w:val="6B375D75"/>
    <w:rsid w:val="6B3B1CB3"/>
    <w:rsid w:val="6B43702A"/>
    <w:rsid w:val="6B446AE6"/>
    <w:rsid w:val="6B524C27"/>
    <w:rsid w:val="6B5A1EC9"/>
    <w:rsid w:val="6B670A05"/>
    <w:rsid w:val="6B7308B4"/>
    <w:rsid w:val="6B744505"/>
    <w:rsid w:val="6B7B26EC"/>
    <w:rsid w:val="6B990784"/>
    <w:rsid w:val="6BA2498F"/>
    <w:rsid w:val="6BB93C93"/>
    <w:rsid w:val="6BBC51E6"/>
    <w:rsid w:val="6BBF609A"/>
    <w:rsid w:val="6BC012E3"/>
    <w:rsid w:val="6BC33B55"/>
    <w:rsid w:val="6BCA0F7D"/>
    <w:rsid w:val="6BDE4DDD"/>
    <w:rsid w:val="6BE04A25"/>
    <w:rsid w:val="6BE07242"/>
    <w:rsid w:val="6BE5514A"/>
    <w:rsid w:val="6BE82C3E"/>
    <w:rsid w:val="6BE972DB"/>
    <w:rsid w:val="6BFE0452"/>
    <w:rsid w:val="6C0F2440"/>
    <w:rsid w:val="6C176418"/>
    <w:rsid w:val="6C247F63"/>
    <w:rsid w:val="6C392A9F"/>
    <w:rsid w:val="6C452784"/>
    <w:rsid w:val="6C4D097B"/>
    <w:rsid w:val="6C524744"/>
    <w:rsid w:val="6C531367"/>
    <w:rsid w:val="6C5973BD"/>
    <w:rsid w:val="6C5F452A"/>
    <w:rsid w:val="6C762792"/>
    <w:rsid w:val="6C7D1213"/>
    <w:rsid w:val="6C801375"/>
    <w:rsid w:val="6C822E35"/>
    <w:rsid w:val="6CA31B9D"/>
    <w:rsid w:val="6CA714E6"/>
    <w:rsid w:val="6CEF6EBD"/>
    <w:rsid w:val="6CF01C95"/>
    <w:rsid w:val="6CF542B7"/>
    <w:rsid w:val="6CFA3A07"/>
    <w:rsid w:val="6D0071CD"/>
    <w:rsid w:val="6D18295E"/>
    <w:rsid w:val="6D1A13F6"/>
    <w:rsid w:val="6D1F12FA"/>
    <w:rsid w:val="6D206AE2"/>
    <w:rsid w:val="6D2236B9"/>
    <w:rsid w:val="6D497025"/>
    <w:rsid w:val="6D5941BB"/>
    <w:rsid w:val="6D5B0CBD"/>
    <w:rsid w:val="6D6D33F8"/>
    <w:rsid w:val="6D6F3AB1"/>
    <w:rsid w:val="6D72010C"/>
    <w:rsid w:val="6D73256C"/>
    <w:rsid w:val="6D760430"/>
    <w:rsid w:val="6D76784D"/>
    <w:rsid w:val="6D8A08D8"/>
    <w:rsid w:val="6D9541F5"/>
    <w:rsid w:val="6D961017"/>
    <w:rsid w:val="6D9F05AA"/>
    <w:rsid w:val="6DBF3CF2"/>
    <w:rsid w:val="6DCD4F84"/>
    <w:rsid w:val="6DCE3EDB"/>
    <w:rsid w:val="6DD23F1E"/>
    <w:rsid w:val="6DD4500A"/>
    <w:rsid w:val="6DDB4275"/>
    <w:rsid w:val="6DEE2081"/>
    <w:rsid w:val="6E0135EB"/>
    <w:rsid w:val="6E0A26D3"/>
    <w:rsid w:val="6E1B7D7D"/>
    <w:rsid w:val="6E210E7D"/>
    <w:rsid w:val="6E336938"/>
    <w:rsid w:val="6E360304"/>
    <w:rsid w:val="6E4C0EF4"/>
    <w:rsid w:val="6E4E028C"/>
    <w:rsid w:val="6E4E2CC7"/>
    <w:rsid w:val="6E565A56"/>
    <w:rsid w:val="6E5C1E9E"/>
    <w:rsid w:val="6E5D68D3"/>
    <w:rsid w:val="6E6611F0"/>
    <w:rsid w:val="6E682450"/>
    <w:rsid w:val="6E6A511F"/>
    <w:rsid w:val="6E720DA7"/>
    <w:rsid w:val="6E7251F0"/>
    <w:rsid w:val="6E757524"/>
    <w:rsid w:val="6E7934F3"/>
    <w:rsid w:val="6E9C5623"/>
    <w:rsid w:val="6E9E05A5"/>
    <w:rsid w:val="6EAD6286"/>
    <w:rsid w:val="6EB147D3"/>
    <w:rsid w:val="6EB24C59"/>
    <w:rsid w:val="6EBD3CCD"/>
    <w:rsid w:val="6EC9468F"/>
    <w:rsid w:val="6ECD60E1"/>
    <w:rsid w:val="6EDB6C60"/>
    <w:rsid w:val="6EE64158"/>
    <w:rsid w:val="6F0F28B8"/>
    <w:rsid w:val="6F2428C0"/>
    <w:rsid w:val="6F350CF1"/>
    <w:rsid w:val="6F3A17D7"/>
    <w:rsid w:val="6F433285"/>
    <w:rsid w:val="6F5437E3"/>
    <w:rsid w:val="6F5879C5"/>
    <w:rsid w:val="6F591B5D"/>
    <w:rsid w:val="6F6127DE"/>
    <w:rsid w:val="6F746E24"/>
    <w:rsid w:val="6F7E65DB"/>
    <w:rsid w:val="6F7F6D3A"/>
    <w:rsid w:val="6F8D476D"/>
    <w:rsid w:val="6F9016E6"/>
    <w:rsid w:val="6F981073"/>
    <w:rsid w:val="6FA172A4"/>
    <w:rsid w:val="6FAE5CE6"/>
    <w:rsid w:val="6FE07DD0"/>
    <w:rsid w:val="6FEC6F26"/>
    <w:rsid w:val="6FF72D78"/>
    <w:rsid w:val="6FFF65EB"/>
    <w:rsid w:val="701A7D3E"/>
    <w:rsid w:val="702C34C5"/>
    <w:rsid w:val="702D3A00"/>
    <w:rsid w:val="70341230"/>
    <w:rsid w:val="70342FAD"/>
    <w:rsid w:val="7034472B"/>
    <w:rsid w:val="704310F0"/>
    <w:rsid w:val="705A14E5"/>
    <w:rsid w:val="705A4D1B"/>
    <w:rsid w:val="705F37D3"/>
    <w:rsid w:val="707A4F0F"/>
    <w:rsid w:val="7084369E"/>
    <w:rsid w:val="708B108A"/>
    <w:rsid w:val="709143C4"/>
    <w:rsid w:val="70930271"/>
    <w:rsid w:val="70CB3DC2"/>
    <w:rsid w:val="70DB5146"/>
    <w:rsid w:val="70E51B6F"/>
    <w:rsid w:val="70E561EA"/>
    <w:rsid w:val="70F40322"/>
    <w:rsid w:val="70F9595A"/>
    <w:rsid w:val="70FA4092"/>
    <w:rsid w:val="70FC3C7A"/>
    <w:rsid w:val="71075B1A"/>
    <w:rsid w:val="710E7F44"/>
    <w:rsid w:val="71193089"/>
    <w:rsid w:val="71211292"/>
    <w:rsid w:val="71243B68"/>
    <w:rsid w:val="712776C4"/>
    <w:rsid w:val="712A41BD"/>
    <w:rsid w:val="71371DE7"/>
    <w:rsid w:val="714344B4"/>
    <w:rsid w:val="71594A7F"/>
    <w:rsid w:val="71654226"/>
    <w:rsid w:val="716F3057"/>
    <w:rsid w:val="7181738B"/>
    <w:rsid w:val="71820038"/>
    <w:rsid w:val="71860B86"/>
    <w:rsid w:val="718B1478"/>
    <w:rsid w:val="71945B7D"/>
    <w:rsid w:val="71990145"/>
    <w:rsid w:val="719E164B"/>
    <w:rsid w:val="71A6693A"/>
    <w:rsid w:val="71AD6080"/>
    <w:rsid w:val="71BB33A2"/>
    <w:rsid w:val="71C01671"/>
    <w:rsid w:val="71C12788"/>
    <w:rsid w:val="71C90ED8"/>
    <w:rsid w:val="71D72430"/>
    <w:rsid w:val="71E12038"/>
    <w:rsid w:val="720A6753"/>
    <w:rsid w:val="720F4AFB"/>
    <w:rsid w:val="72112B83"/>
    <w:rsid w:val="72143F3C"/>
    <w:rsid w:val="721F61D9"/>
    <w:rsid w:val="722A1999"/>
    <w:rsid w:val="72356373"/>
    <w:rsid w:val="723D42BE"/>
    <w:rsid w:val="72412901"/>
    <w:rsid w:val="72553DBC"/>
    <w:rsid w:val="72777556"/>
    <w:rsid w:val="72887B37"/>
    <w:rsid w:val="72910320"/>
    <w:rsid w:val="72A53302"/>
    <w:rsid w:val="72B3410C"/>
    <w:rsid w:val="72BD6DA9"/>
    <w:rsid w:val="72C374FB"/>
    <w:rsid w:val="72CB01B8"/>
    <w:rsid w:val="72CB5E1F"/>
    <w:rsid w:val="72D95B00"/>
    <w:rsid w:val="72F66709"/>
    <w:rsid w:val="730554B3"/>
    <w:rsid w:val="73092FAA"/>
    <w:rsid w:val="73272012"/>
    <w:rsid w:val="732C3102"/>
    <w:rsid w:val="73413694"/>
    <w:rsid w:val="734608F5"/>
    <w:rsid w:val="7365663A"/>
    <w:rsid w:val="736D4BAC"/>
    <w:rsid w:val="736F1AFC"/>
    <w:rsid w:val="739B5B15"/>
    <w:rsid w:val="73A37548"/>
    <w:rsid w:val="73B36872"/>
    <w:rsid w:val="73BA58B5"/>
    <w:rsid w:val="73BE1114"/>
    <w:rsid w:val="73C315CB"/>
    <w:rsid w:val="73C76141"/>
    <w:rsid w:val="73CA3FB8"/>
    <w:rsid w:val="73E63732"/>
    <w:rsid w:val="73EC345F"/>
    <w:rsid w:val="73F34510"/>
    <w:rsid w:val="73FD1118"/>
    <w:rsid w:val="74090510"/>
    <w:rsid w:val="740E2D2D"/>
    <w:rsid w:val="7410282D"/>
    <w:rsid w:val="741752A2"/>
    <w:rsid w:val="74223A5C"/>
    <w:rsid w:val="742661E9"/>
    <w:rsid w:val="746075B0"/>
    <w:rsid w:val="746B6757"/>
    <w:rsid w:val="747228EA"/>
    <w:rsid w:val="74780C44"/>
    <w:rsid w:val="7479294A"/>
    <w:rsid w:val="74794607"/>
    <w:rsid w:val="747B5C9D"/>
    <w:rsid w:val="747F1177"/>
    <w:rsid w:val="748028C0"/>
    <w:rsid w:val="748431AE"/>
    <w:rsid w:val="7499003B"/>
    <w:rsid w:val="74A471EE"/>
    <w:rsid w:val="74AB58BC"/>
    <w:rsid w:val="74AF159B"/>
    <w:rsid w:val="74C111AB"/>
    <w:rsid w:val="74C768EE"/>
    <w:rsid w:val="74CA493F"/>
    <w:rsid w:val="74E97F38"/>
    <w:rsid w:val="74ED6920"/>
    <w:rsid w:val="74F13E40"/>
    <w:rsid w:val="75065956"/>
    <w:rsid w:val="750B1697"/>
    <w:rsid w:val="751509C7"/>
    <w:rsid w:val="7525120A"/>
    <w:rsid w:val="752A3F7B"/>
    <w:rsid w:val="7533655A"/>
    <w:rsid w:val="754222FC"/>
    <w:rsid w:val="75444F15"/>
    <w:rsid w:val="75485488"/>
    <w:rsid w:val="75692896"/>
    <w:rsid w:val="75733C39"/>
    <w:rsid w:val="758516A2"/>
    <w:rsid w:val="758D195C"/>
    <w:rsid w:val="759176D7"/>
    <w:rsid w:val="759A2104"/>
    <w:rsid w:val="75B35E00"/>
    <w:rsid w:val="75CD1343"/>
    <w:rsid w:val="75EB2F64"/>
    <w:rsid w:val="75F04A64"/>
    <w:rsid w:val="76090780"/>
    <w:rsid w:val="7609404D"/>
    <w:rsid w:val="760F1847"/>
    <w:rsid w:val="76192C32"/>
    <w:rsid w:val="761D1573"/>
    <w:rsid w:val="761F64EF"/>
    <w:rsid w:val="76281DF8"/>
    <w:rsid w:val="762825F1"/>
    <w:rsid w:val="7638029A"/>
    <w:rsid w:val="763929C4"/>
    <w:rsid w:val="764F131A"/>
    <w:rsid w:val="765B6CE9"/>
    <w:rsid w:val="765D3DA8"/>
    <w:rsid w:val="7661178C"/>
    <w:rsid w:val="766740C2"/>
    <w:rsid w:val="766852F0"/>
    <w:rsid w:val="766A6521"/>
    <w:rsid w:val="766C7968"/>
    <w:rsid w:val="766E7DAC"/>
    <w:rsid w:val="7675564C"/>
    <w:rsid w:val="76836254"/>
    <w:rsid w:val="76936F16"/>
    <w:rsid w:val="76993FC0"/>
    <w:rsid w:val="76A10D28"/>
    <w:rsid w:val="76A64EB2"/>
    <w:rsid w:val="76BC1014"/>
    <w:rsid w:val="76D7331B"/>
    <w:rsid w:val="7701474F"/>
    <w:rsid w:val="77025DC3"/>
    <w:rsid w:val="772354E1"/>
    <w:rsid w:val="77276E30"/>
    <w:rsid w:val="772C68C6"/>
    <w:rsid w:val="773E0DC5"/>
    <w:rsid w:val="77594BC8"/>
    <w:rsid w:val="77652DD1"/>
    <w:rsid w:val="77690AA9"/>
    <w:rsid w:val="776C53FF"/>
    <w:rsid w:val="776E3681"/>
    <w:rsid w:val="777E5705"/>
    <w:rsid w:val="7781654E"/>
    <w:rsid w:val="77881C4F"/>
    <w:rsid w:val="779231D8"/>
    <w:rsid w:val="77A618BC"/>
    <w:rsid w:val="77AD55DB"/>
    <w:rsid w:val="77B92312"/>
    <w:rsid w:val="77BC08A0"/>
    <w:rsid w:val="77CC68FE"/>
    <w:rsid w:val="77DE5CDB"/>
    <w:rsid w:val="77E81BC6"/>
    <w:rsid w:val="77F67883"/>
    <w:rsid w:val="781C7B42"/>
    <w:rsid w:val="78205658"/>
    <w:rsid w:val="7827423F"/>
    <w:rsid w:val="78341E10"/>
    <w:rsid w:val="783719D4"/>
    <w:rsid w:val="78386307"/>
    <w:rsid w:val="783A63BE"/>
    <w:rsid w:val="78493B6B"/>
    <w:rsid w:val="7850391E"/>
    <w:rsid w:val="78586B5B"/>
    <w:rsid w:val="78597E32"/>
    <w:rsid w:val="78703EBE"/>
    <w:rsid w:val="78805A36"/>
    <w:rsid w:val="78830880"/>
    <w:rsid w:val="78970F49"/>
    <w:rsid w:val="78A51D8F"/>
    <w:rsid w:val="78AE0946"/>
    <w:rsid w:val="78D02D1A"/>
    <w:rsid w:val="78D1727E"/>
    <w:rsid w:val="78D17516"/>
    <w:rsid w:val="78D96E40"/>
    <w:rsid w:val="78F51C9B"/>
    <w:rsid w:val="78FE038B"/>
    <w:rsid w:val="7911644D"/>
    <w:rsid w:val="79122DD3"/>
    <w:rsid w:val="791465DF"/>
    <w:rsid w:val="791E0B4D"/>
    <w:rsid w:val="792078D7"/>
    <w:rsid w:val="79304E12"/>
    <w:rsid w:val="79331EC1"/>
    <w:rsid w:val="79404911"/>
    <w:rsid w:val="794D0D3C"/>
    <w:rsid w:val="7967360B"/>
    <w:rsid w:val="79781473"/>
    <w:rsid w:val="798348F7"/>
    <w:rsid w:val="7986601A"/>
    <w:rsid w:val="79905B9B"/>
    <w:rsid w:val="79905EB8"/>
    <w:rsid w:val="7993616D"/>
    <w:rsid w:val="799D69BF"/>
    <w:rsid w:val="799F3A31"/>
    <w:rsid w:val="79AE14B2"/>
    <w:rsid w:val="79B1687C"/>
    <w:rsid w:val="79B22738"/>
    <w:rsid w:val="79CE4B72"/>
    <w:rsid w:val="79FE0269"/>
    <w:rsid w:val="7A055366"/>
    <w:rsid w:val="7A0F46EB"/>
    <w:rsid w:val="7A292C38"/>
    <w:rsid w:val="7A49541C"/>
    <w:rsid w:val="7A5E6715"/>
    <w:rsid w:val="7A5F22B4"/>
    <w:rsid w:val="7A680094"/>
    <w:rsid w:val="7A7508D5"/>
    <w:rsid w:val="7A80455C"/>
    <w:rsid w:val="7A81102C"/>
    <w:rsid w:val="7A845487"/>
    <w:rsid w:val="7A8D6BBC"/>
    <w:rsid w:val="7AA37ECA"/>
    <w:rsid w:val="7AB16073"/>
    <w:rsid w:val="7ABB5514"/>
    <w:rsid w:val="7AC2458A"/>
    <w:rsid w:val="7ADE3222"/>
    <w:rsid w:val="7AE33058"/>
    <w:rsid w:val="7AF037CB"/>
    <w:rsid w:val="7AF04DB0"/>
    <w:rsid w:val="7AFA759D"/>
    <w:rsid w:val="7B0D28AD"/>
    <w:rsid w:val="7B133363"/>
    <w:rsid w:val="7B1C1737"/>
    <w:rsid w:val="7B1C6082"/>
    <w:rsid w:val="7B2F5379"/>
    <w:rsid w:val="7B322761"/>
    <w:rsid w:val="7B3C2640"/>
    <w:rsid w:val="7B41164E"/>
    <w:rsid w:val="7B4443D1"/>
    <w:rsid w:val="7B55415F"/>
    <w:rsid w:val="7B69789C"/>
    <w:rsid w:val="7B875C60"/>
    <w:rsid w:val="7BA76397"/>
    <w:rsid w:val="7BB151FD"/>
    <w:rsid w:val="7BB43296"/>
    <w:rsid w:val="7BBE12F2"/>
    <w:rsid w:val="7BC94EE7"/>
    <w:rsid w:val="7BD075CC"/>
    <w:rsid w:val="7BDE6C84"/>
    <w:rsid w:val="7BE07A81"/>
    <w:rsid w:val="7BE81B8B"/>
    <w:rsid w:val="7BE97D38"/>
    <w:rsid w:val="7BED162A"/>
    <w:rsid w:val="7BF01170"/>
    <w:rsid w:val="7C272B3E"/>
    <w:rsid w:val="7C2A73E7"/>
    <w:rsid w:val="7C471D4F"/>
    <w:rsid w:val="7C573A0C"/>
    <w:rsid w:val="7C5A71C2"/>
    <w:rsid w:val="7C615DCB"/>
    <w:rsid w:val="7C7A6596"/>
    <w:rsid w:val="7CA76A22"/>
    <w:rsid w:val="7CB167D6"/>
    <w:rsid w:val="7CBF18D6"/>
    <w:rsid w:val="7CCC4E54"/>
    <w:rsid w:val="7CE669EE"/>
    <w:rsid w:val="7CEB2ACD"/>
    <w:rsid w:val="7CEF6F65"/>
    <w:rsid w:val="7CF41D8D"/>
    <w:rsid w:val="7D04426F"/>
    <w:rsid w:val="7D0E7370"/>
    <w:rsid w:val="7D187F51"/>
    <w:rsid w:val="7D2745EF"/>
    <w:rsid w:val="7D2D2CA0"/>
    <w:rsid w:val="7D5607A5"/>
    <w:rsid w:val="7D5C29E8"/>
    <w:rsid w:val="7D6C69AF"/>
    <w:rsid w:val="7D7A7BC6"/>
    <w:rsid w:val="7D995EB0"/>
    <w:rsid w:val="7DA26A7F"/>
    <w:rsid w:val="7DA90065"/>
    <w:rsid w:val="7DBB08B6"/>
    <w:rsid w:val="7DBC7173"/>
    <w:rsid w:val="7DC815C9"/>
    <w:rsid w:val="7DD90B59"/>
    <w:rsid w:val="7DEF15A6"/>
    <w:rsid w:val="7DFC511B"/>
    <w:rsid w:val="7E0565F6"/>
    <w:rsid w:val="7E221AFC"/>
    <w:rsid w:val="7E2A514E"/>
    <w:rsid w:val="7E2C4E20"/>
    <w:rsid w:val="7E2D20BE"/>
    <w:rsid w:val="7E35355F"/>
    <w:rsid w:val="7E4306A6"/>
    <w:rsid w:val="7E51117D"/>
    <w:rsid w:val="7E5733E1"/>
    <w:rsid w:val="7E660C33"/>
    <w:rsid w:val="7E6637F7"/>
    <w:rsid w:val="7E707801"/>
    <w:rsid w:val="7E733B66"/>
    <w:rsid w:val="7E7E43B5"/>
    <w:rsid w:val="7E8A121F"/>
    <w:rsid w:val="7EA36680"/>
    <w:rsid w:val="7EAA0237"/>
    <w:rsid w:val="7EAD5A3E"/>
    <w:rsid w:val="7EBD2CC5"/>
    <w:rsid w:val="7EBF15D0"/>
    <w:rsid w:val="7EC12AAE"/>
    <w:rsid w:val="7EC52141"/>
    <w:rsid w:val="7EC73D34"/>
    <w:rsid w:val="7ED12FEE"/>
    <w:rsid w:val="7EFD03F7"/>
    <w:rsid w:val="7F1648D6"/>
    <w:rsid w:val="7F1A7CDF"/>
    <w:rsid w:val="7F21639D"/>
    <w:rsid w:val="7F23784E"/>
    <w:rsid w:val="7F3A0E31"/>
    <w:rsid w:val="7F442E56"/>
    <w:rsid w:val="7F457080"/>
    <w:rsid w:val="7F4734EB"/>
    <w:rsid w:val="7F486BDC"/>
    <w:rsid w:val="7F493BBB"/>
    <w:rsid w:val="7F4C71A0"/>
    <w:rsid w:val="7F5124CE"/>
    <w:rsid w:val="7F5653E5"/>
    <w:rsid w:val="7F5E7B7A"/>
    <w:rsid w:val="7F6347A3"/>
    <w:rsid w:val="7F6F44D4"/>
    <w:rsid w:val="7F7B4335"/>
    <w:rsid w:val="7F8805ED"/>
    <w:rsid w:val="7FA3192C"/>
    <w:rsid w:val="7FAB42E7"/>
    <w:rsid w:val="7FB745D2"/>
    <w:rsid w:val="7FC4182D"/>
    <w:rsid w:val="7FC44AED"/>
    <w:rsid w:val="7FC459AC"/>
    <w:rsid w:val="7FD55C75"/>
    <w:rsid w:val="7FD603DF"/>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15</TotalTime>
  <ScaleCrop>false</ScaleCrop>
  <LinksUpToDate>false</LinksUpToDate>
  <CharactersWithSpaces>26786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2021-09-23T07:58:29Z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2052-11.1.0.10314</vt:lpwstr>
  </property>
  <property fmtid="{D5CDD505-2E9C-101B-9397-08002B2CF9AE}" pid="4" name="ICV">
    <vt:lpwstr>D366F8CEF0B34B9A839F473A36DCA92E</vt:lpwstr>
  </property>
</Properties>
</file>