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-982345</wp:posOffset>
            </wp:positionH>
            <wp:positionV relativeFrom="paragraph">
              <wp:posOffset>-909955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95250</wp:posOffset>
                </wp:positionV>
                <wp:extent cx="3093085"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093085" cy="754380"/>
                        </a:xfrm>
                        <a:prstGeom prst="rect">
                          <a:avLst/>
                        </a:prstGeom>
                        <a:noFill/>
                        <a:ln>
                          <a:noFill/>
                        </a:ln>
                      </wps:spPr>
                      <wps:txb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19.25pt;margin-top:7.5pt;height:59.4pt;width:243.55pt;z-index:251660288;mso-width-relative:page;mso-height-relative:page;" filled="f" stroked="f" coordsize="21600,21600" o:gfxdata="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9cWvdcA&#10;AAAKAQAADwAAAAAAAAABACAAAAAiAAAAZHJzL2Rvd25yZXYueG1sUEsBAhQAFAAAAAgAh07iQAdb&#10;1N6uAQAATwMAAA4AAAAAAAAAAQAgAAAAJgEAAGRycy9lMm9Eb2MueG1sUEsFBgAAAAAGAAYAWQEA&#10;AEYFAAAAAA==&#10;">
                <v:fill on="f" focussize="0,0"/>
                <v:stroke on="f"/>
                <v:imagedata o:title=""/>
                <o:lock v:ext="edit" aspectratio="f"/>
                <v:textbo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jc w:val="center"/>
        <w:rPr>
          <w:rFonts w:hint="default" w:ascii="宋体" w:hAnsi="宋体" w:eastAsia="宋体"/>
          <w:color w:val="auto"/>
          <w:lang w:val="en-US" w:eastAsia="zh-CN"/>
        </w:rPr>
      </w:pPr>
      <w:r>
        <w:rPr>
          <w:rFonts w:hint="eastAsia" w:ascii="宋体" w:hAnsi="宋体"/>
          <w:b/>
          <w:color w:val="auto"/>
          <w:sz w:val="30"/>
          <w:szCs w:val="30"/>
        </w:rPr>
        <w:t>20</w:t>
      </w:r>
      <w:r>
        <w:rPr>
          <w:rFonts w:hint="eastAsia" w:ascii="宋体" w:hAnsi="宋体"/>
          <w:b/>
          <w:color w:val="auto"/>
          <w:sz w:val="30"/>
          <w:szCs w:val="30"/>
          <w:lang w:val="en-US" w:eastAsia="zh-CN"/>
        </w:rPr>
        <w:t>21</w:t>
      </w:r>
      <w:r>
        <w:rPr>
          <w:rFonts w:hint="eastAsia" w:ascii="宋体" w:hAnsi="宋体"/>
          <w:b/>
          <w:color w:val="auto"/>
          <w:sz w:val="30"/>
          <w:szCs w:val="30"/>
        </w:rPr>
        <w:t>.</w:t>
      </w:r>
      <w:r>
        <w:rPr>
          <w:rFonts w:hint="eastAsia" w:ascii="宋体" w:hAnsi="宋体"/>
          <w:b/>
          <w:color w:val="auto"/>
          <w:sz w:val="30"/>
          <w:szCs w:val="30"/>
          <w:lang w:val="en-US" w:eastAsia="zh-CN"/>
        </w:rPr>
        <w:t>9.16</w:t>
      </w: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目 录</w:t>
      </w:r>
    </w:p>
    <w:p>
      <w:pPr>
        <w:pStyle w:val="16"/>
        <w:tabs>
          <w:tab w:val="right" w:leader="dot" w:pos="9638"/>
          <w:tab w:val="clear" w:pos="9170"/>
        </w:tabs>
        <w:rPr>
          <w:color w:val="auto"/>
        </w:rPr>
      </w:pPr>
      <w:r>
        <w:rPr>
          <w:rFonts w:hint="eastAsia" w:ascii="宋体" w:hAnsi="宋体" w:eastAsia="宋体" w:cs="宋体"/>
          <w:color w:val="auto"/>
          <w:sz w:val="24"/>
          <w:szCs w:val="21"/>
        </w:rPr>
        <w:fldChar w:fldCharType="begin"/>
      </w:r>
      <w:r>
        <w:rPr>
          <w:rFonts w:hint="eastAsia" w:ascii="宋体" w:hAnsi="宋体" w:eastAsia="宋体" w:cs="宋体"/>
          <w:color w:val="auto"/>
          <w:sz w:val="24"/>
          <w:szCs w:val="21"/>
        </w:rPr>
        <w:instrText xml:space="preserve"> TOC \o "1-3" \h \z </w:instrText>
      </w:r>
      <w:r>
        <w:rPr>
          <w:rFonts w:hint="eastAsia" w:ascii="宋体" w:hAnsi="宋体" w:eastAsia="宋体" w:cs="宋体"/>
          <w:color w:val="auto"/>
          <w:sz w:val="24"/>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_Toc32272 </w:instrText>
      </w:r>
      <w:r>
        <w:rPr>
          <w:rFonts w:hint="eastAsia" w:ascii="宋体" w:hAnsi="宋体" w:eastAsia="宋体" w:cs="宋体"/>
          <w:color w:val="auto"/>
          <w:szCs w:val="21"/>
        </w:rPr>
        <w:fldChar w:fldCharType="separate"/>
      </w:r>
      <w:r>
        <w:rPr>
          <w:rFonts w:hint="eastAsia" w:asciiTheme="minorEastAsia" w:hAnsiTheme="minorEastAsia" w:eastAsiaTheme="minorEastAsia" w:cstheme="minorEastAsia"/>
          <w:bCs/>
          <w:color w:val="auto"/>
          <w:kern w:val="0"/>
          <w:szCs w:val="30"/>
        </w:rPr>
        <w:t xml:space="preserve">一、 </w:t>
      </w:r>
      <w:r>
        <w:rPr>
          <w:rFonts w:hint="eastAsia"/>
          <w:color w:val="auto"/>
        </w:rPr>
        <w:t>国际原油市场回顾 </w:t>
      </w:r>
      <w:r>
        <w:rPr>
          <w:color w:val="auto"/>
        </w:rPr>
        <w:tab/>
      </w:r>
      <w:r>
        <w:rPr>
          <w:color w:val="auto"/>
        </w:rPr>
        <w:fldChar w:fldCharType="begin"/>
      </w:r>
      <w:r>
        <w:rPr>
          <w:color w:val="auto"/>
        </w:rPr>
        <w:instrText xml:space="preserve"> PAGEREF _Toc32272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_Toc6297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1、国际原油收盘价涨跌情况（单位：美元/桶）</w:t>
      </w:r>
      <w:r>
        <w:rPr>
          <w:color w:val="auto"/>
        </w:rPr>
        <w:tab/>
      </w:r>
      <w:r>
        <w:rPr>
          <w:color w:val="auto"/>
        </w:rPr>
        <w:fldChar w:fldCharType="begin"/>
      </w:r>
      <w:r>
        <w:rPr>
          <w:color w:val="auto"/>
        </w:rPr>
        <w:instrText xml:space="preserve"> PAGEREF _Toc6297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_Toc5501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2.2021年国际原油价格走势图</w:t>
      </w:r>
      <w:r>
        <w:rPr>
          <w:color w:val="auto"/>
        </w:rPr>
        <w:tab/>
      </w:r>
      <w:r>
        <w:rPr>
          <w:color w:val="auto"/>
        </w:rPr>
        <w:fldChar w:fldCharType="begin"/>
      </w:r>
      <w:r>
        <w:rPr>
          <w:color w:val="auto"/>
        </w:rPr>
        <w:instrText xml:space="preserve"> PAGEREF _Toc5501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_Toc16647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2.1近期影响国际原油市场的主要因素</w:t>
      </w:r>
      <w:r>
        <w:rPr>
          <w:color w:val="auto"/>
        </w:rPr>
        <w:tab/>
      </w:r>
      <w:r>
        <w:rPr>
          <w:color w:val="auto"/>
        </w:rPr>
        <w:fldChar w:fldCharType="begin"/>
      </w:r>
      <w:r>
        <w:rPr>
          <w:color w:val="auto"/>
        </w:rPr>
        <w:instrText xml:space="preserve"> PAGEREF _Toc16647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_Toc184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1.美国原油库存情况</w:t>
      </w:r>
      <w:r>
        <w:rPr>
          <w:color w:val="auto"/>
        </w:rPr>
        <w:tab/>
      </w:r>
      <w:r>
        <w:rPr>
          <w:color w:val="auto"/>
        </w:rPr>
        <w:fldChar w:fldCharType="begin"/>
      </w:r>
      <w:r>
        <w:rPr>
          <w:color w:val="auto"/>
        </w:rPr>
        <w:instrText xml:space="preserve"> PAGEREF _Toc184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_Toc16360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2.美国经济形势</w:t>
      </w:r>
      <w:r>
        <w:rPr>
          <w:color w:val="auto"/>
        </w:rPr>
        <w:tab/>
      </w:r>
      <w:r>
        <w:rPr>
          <w:color w:val="auto"/>
        </w:rPr>
        <w:fldChar w:fldCharType="begin"/>
      </w:r>
      <w:r>
        <w:rPr>
          <w:color w:val="auto"/>
        </w:rPr>
        <w:instrText xml:space="preserve"> PAGEREF _Toc16360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_Toc30724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3.世界经济形势</w:t>
      </w:r>
      <w:r>
        <w:rPr>
          <w:color w:val="auto"/>
        </w:rPr>
        <w:tab/>
      </w:r>
      <w:r>
        <w:rPr>
          <w:color w:val="auto"/>
        </w:rPr>
        <w:fldChar w:fldCharType="begin"/>
      </w:r>
      <w:r>
        <w:rPr>
          <w:color w:val="auto"/>
        </w:rPr>
        <w:instrText xml:space="preserve"> PAGEREF _Toc30724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_Toc23898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4后市预测</w:t>
      </w:r>
      <w:r>
        <w:rPr>
          <w:color w:val="auto"/>
        </w:rPr>
        <w:tab/>
      </w:r>
      <w:r>
        <w:rPr>
          <w:color w:val="auto"/>
        </w:rPr>
        <w:fldChar w:fldCharType="begin"/>
      </w:r>
      <w:r>
        <w:rPr>
          <w:color w:val="auto"/>
        </w:rPr>
        <w:instrText xml:space="preserve"> PAGEREF _Toc23898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_Toc30787 </w:instrText>
      </w:r>
      <w:r>
        <w:rPr>
          <w:rFonts w:hint="eastAsia" w:ascii="宋体" w:hAnsi="宋体" w:eastAsia="宋体" w:cs="宋体"/>
          <w:color w:val="auto"/>
          <w:szCs w:val="21"/>
        </w:rPr>
        <w:fldChar w:fldCharType="separate"/>
      </w:r>
      <w:r>
        <w:rPr>
          <w:rFonts w:hint="eastAsia" w:ascii="宋体" w:hAnsi="宋体"/>
          <w:color w:val="auto"/>
          <w:szCs w:val="30"/>
          <w:highlight w:val="none"/>
        </w:rPr>
        <w:t>2.2国际市场MTBE价格</w:t>
      </w:r>
      <w:r>
        <w:rPr>
          <w:color w:val="auto"/>
        </w:rPr>
        <w:tab/>
      </w:r>
      <w:r>
        <w:rPr>
          <w:color w:val="auto"/>
        </w:rPr>
        <w:fldChar w:fldCharType="begin"/>
      </w:r>
      <w:r>
        <w:rPr>
          <w:color w:val="auto"/>
        </w:rPr>
        <w:instrText xml:space="preserve"> PAGEREF _Toc30787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rFonts w:hint="eastAsia" w:ascii="宋体" w:hAnsi="宋体"/>
          <w:color w:val="auto"/>
          <w:szCs w:val="30"/>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_Toc11000 </w:instrText>
      </w:r>
      <w:r>
        <w:rPr>
          <w:rFonts w:hint="eastAsia" w:ascii="宋体" w:hAnsi="宋体"/>
          <w:color w:val="auto"/>
          <w:szCs w:val="30"/>
          <w:highlight w:val="none"/>
        </w:rPr>
        <w:fldChar w:fldCharType="separate"/>
      </w:r>
      <w:r>
        <w:rPr>
          <w:rFonts w:hint="eastAsia" w:ascii="宋体" w:hAnsi="宋体"/>
          <w:color w:val="auto"/>
          <w:szCs w:val="30"/>
          <w:highlight w:val="none"/>
          <w:lang w:eastAsia="zh-CN"/>
        </w:rPr>
        <w:t>三、</w:t>
      </w:r>
      <w:r>
        <w:rPr>
          <w:rFonts w:hint="eastAsia" w:ascii="宋体" w:hAnsi="宋体"/>
          <w:color w:val="auto"/>
          <w:szCs w:val="30"/>
          <w:highlight w:val="none"/>
        </w:rPr>
        <w:t>本周国内市场</w:t>
      </w:r>
      <w:r>
        <w:rPr>
          <w:rFonts w:hint="eastAsia" w:ascii="宋体" w:hAnsi="宋体"/>
          <w:color w:val="auto"/>
          <w:szCs w:val="30"/>
          <w:highlight w:val="none"/>
        </w:rPr>
        <w:tab/>
      </w: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PAGEREF _Toc11000 </w:instrText>
      </w:r>
      <w:r>
        <w:rPr>
          <w:rFonts w:hint="eastAsia" w:ascii="宋体" w:hAnsi="宋体"/>
          <w:color w:val="auto"/>
          <w:szCs w:val="30"/>
          <w:highlight w:val="none"/>
        </w:rPr>
        <w:fldChar w:fldCharType="separate"/>
      </w:r>
      <w:r>
        <w:rPr>
          <w:rFonts w:hint="eastAsia" w:ascii="宋体" w:hAnsi="宋体"/>
          <w:color w:val="auto"/>
          <w:szCs w:val="30"/>
          <w:highlight w:val="none"/>
        </w:rPr>
        <w:t>16</w:t>
      </w:r>
      <w:r>
        <w:rPr>
          <w:rFonts w:hint="eastAsia" w:ascii="宋体" w:hAnsi="宋体"/>
          <w:color w:val="auto"/>
          <w:szCs w:val="30"/>
          <w:highlight w:val="none"/>
        </w:rPr>
        <w:fldChar w:fldCharType="end"/>
      </w:r>
      <w:r>
        <w:rPr>
          <w:rFonts w:hint="eastAsia" w:ascii="宋体" w:hAnsi="宋体"/>
          <w:color w:val="auto"/>
          <w:szCs w:val="30"/>
          <w:highlight w:val="none"/>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_Toc7167 </w:instrText>
      </w:r>
      <w:r>
        <w:rPr>
          <w:rFonts w:hint="eastAsia" w:ascii="宋体" w:hAnsi="宋体" w:eastAsia="宋体" w:cs="宋体"/>
          <w:color w:val="auto"/>
          <w:szCs w:val="21"/>
        </w:rPr>
        <w:fldChar w:fldCharType="separate"/>
      </w:r>
      <w:r>
        <w:rPr>
          <w:rFonts w:hint="eastAsia" w:ascii="宋体" w:hAnsi="宋体"/>
          <w:color w:val="auto"/>
          <w:szCs w:val="30"/>
          <w:highlight w:val="none"/>
        </w:rPr>
        <w:t>3.1 国内炼厂装置运行情况</w:t>
      </w:r>
      <w:r>
        <w:rPr>
          <w:color w:val="auto"/>
        </w:rPr>
        <w:tab/>
      </w:r>
      <w:r>
        <w:rPr>
          <w:color w:val="auto"/>
        </w:rPr>
        <w:fldChar w:fldCharType="begin"/>
      </w:r>
      <w:r>
        <w:rPr>
          <w:color w:val="auto"/>
        </w:rPr>
        <w:instrText xml:space="preserve"> PAGEREF _Toc7167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_Toc13096 </w:instrText>
      </w:r>
      <w:r>
        <w:rPr>
          <w:rFonts w:hint="eastAsia" w:ascii="宋体" w:hAnsi="宋体" w:eastAsia="宋体" w:cs="宋体"/>
          <w:color w:val="auto"/>
          <w:szCs w:val="21"/>
        </w:rPr>
        <w:fldChar w:fldCharType="separate"/>
      </w:r>
      <w:r>
        <w:rPr>
          <w:rFonts w:hint="eastAsia" w:ascii="宋体" w:hAnsi="宋体"/>
          <w:color w:val="auto"/>
          <w:szCs w:val="30"/>
          <w:highlight w:val="none"/>
        </w:rPr>
        <w:t>3.2本周成品油市场行情</w:t>
      </w:r>
      <w:r>
        <w:rPr>
          <w:color w:val="auto"/>
        </w:rPr>
        <w:tab/>
      </w:r>
      <w:r>
        <w:rPr>
          <w:color w:val="auto"/>
        </w:rPr>
        <w:fldChar w:fldCharType="begin"/>
      </w:r>
      <w:r>
        <w:rPr>
          <w:color w:val="auto"/>
        </w:rPr>
        <w:instrText xml:space="preserve"> PAGEREF _Toc13096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_Toc24031 </w:instrText>
      </w:r>
      <w:r>
        <w:rPr>
          <w:rFonts w:hint="eastAsia" w:ascii="宋体" w:hAnsi="宋体" w:eastAsia="宋体" w:cs="宋体"/>
          <w:color w:val="auto"/>
          <w:szCs w:val="21"/>
        </w:rPr>
        <w:fldChar w:fldCharType="separate"/>
      </w:r>
      <w:r>
        <w:rPr>
          <w:rFonts w:hint="eastAsia" w:ascii="宋体" w:hAnsi="宋体"/>
          <w:color w:val="auto"/>
          <w:szCs w:val="30"/>
        </w:rPr>
        <w:t>3.3 国内汽油价格周报</w:t>
      </w:r>
      <w:r>
        <w:rPr>
          <w:color w:val="auto"/>
        </w:rPr>
        <w:tab/>
      </w:r>
      <w:r>
        <w:rPr>
          <w:color w:val="auto"/>
        </w:rPr>
        <w:fldChar w:fldCharType="begin"/>
      </w:r>
      <w:r>
        <w:rPr>
          <w:color w:val="auto"/>
        </w:rPr>
        <w:instrText xml:space="preserve"> PAGEREF _Toc24031 </w:instrText>
      </w:r>
      <w:r>
        <w:rPr>
          <w:color w:val="auto"/>
        </w:rPr>
        <w:fldChar w:fldCharType="separate"/>
      </w:r>
      <w:r>
        <w:rPr>
          <w:color w:val="auto"/>
        </w:rPr>
        <w:t>21</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_Toc16466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3.4国内柴油价格周报</w:t>
      </w:r>
      <w:r>
        <w:rPr>
          <w:color w:val="auto"/>
        </w:rPr>
        <w:tab/>
      </w:r>
      <w:r>
        <w:rPr>
          <w:color w:val="auto"/>
        </w:rPr>
        <w:fldChar w:fldCharType="begin"/>
      </w:r>
      <w:r>
        <w:rPr>
          <w:color w:val="auto"/>
        </w:rPr>
        <w:instrText xml:space="preserve"> PAGEREF _Toc16466 </w:instrText>
      </w:r>
      <w:r>
        <w:rPr>
          <w:color w:val="auto"/>
        </w:rPr>
        <w:fldChar w:fldCharType="separate"/>
      </w:r>
      <w:r>
        <w:rPr>
          <w:color w:val="auto"/>
        </w:rPr>
        <w:t>25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_Toc6052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3.5 山东地炼汽油出厂价格周报</w:t>
      </w:r>
      <w:r>
        <w:rPr>
          <w:color w:val="auto"/>
        </w:rPr>
        <w:tab/>
      </w:r>
      <w:r>
        <w:rPr>
          <w:color w:val="auto"/>
        </w:rPr>
        <w:fldChar w:fldCharType="begin"/>
      </w:r>
      <w:r>
        <w:rPr>
          <w:color w:val="auto"/>
        </w:rPr>
        <w:instrText xml:space="preserve"> PAGEREF _Toc6052 </w:instrText>
      </w:r>
      <w:r>
        <w:rPr>
          <w:color w:val="auto"/>
        </w:rPr>
        <w:fldChar w:fldCharType="separate"/>
      </w:r>
      <w:r>
        <w:rPr>
          <w:color w:val="auto"/>
        </w:rPr>
        <w:t>27</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_Toc25179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3.6 山东地炼柴油出厂价格周报</w:t>
      </w:r>
      <w:r>
        <w:rPr>
          <w:color w:val="auto"/>
        </w:rPr>
        <w:tab/>
      </w:r>
      <w:r>
        <w:rPr>
          <w:color w:val="auto"/>
        </w:rPr>
        <w:fldChar w:fldCharType="begin"/>
      </w:r>
      <w:r>
        <w:rPr>
          <w:color w:val="auto"/>
        </w:rPr>
        <w:instrText xml:space="preserve"> PAGEREF _Toc25179 </w:instrText>
      </w:r>
      <w:r>
        <w:rPr>
          <w:color w:val="auto"/>
        </w:rPr>
        <w:fldChar w:fldCharType="separate"/>
      </w:r>
      <w:r>
        <w:rPr>
          <w:color w:val="auto"/>
        </w:rPr>
        <w:t>29</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_Toc27167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四、2021年7月份进出口统计数据</w:t>
      </w:r>
      <w:r>
        <w:rPr>
          <w:color w:val="auto"/>
        </w:rPr>
        <w:tab/>
      </w:r>
      <w:r>
        <w:rPr>
          <w:color w:val="auto"/>
        </w:rPr>
        <w:fldChar w:fldCharType="begin"/>
      </w:r>
      <w:r>
        <w:rPr>
          <w:color w:val="auto"/>
        </w:rPr>
        <w:instrText xml:space="preserve"> PAGEREF _Toc27167 </w:instrText>
      </w:r>
      <w:r>
        <w:rPr>
          <w:color w:val="auto"/>
        </w:rPr>
        <w:fldChar w:fldCharType="separate"/>
      </w:r>
      <w:r>
        <w:rPr>
          <w:color w:val="auto"/>
        </w:rPr>
        <w:t>31</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_Toc19791 </w:instrText>
      </w:r>
      <w:r>
        <w:rPr>
          <w:rFonts w:hint="eastAsia" w:ascii="宋体" w:hAnsi="宋体" w:eastAsia="宋体" w:cs="宋体"/>
          <w:color w:val="auto"/>
          <w:szCs w:val="21"/>
        </w:rPr>
        <w:fldChar w:fldCharType="separate"/>
      </w:r>
      <w:r>
        <w:rPr>
          <w:rFonts w:hint="eastAsia" w:ascii="宋体" w:hAnsi="宋体"/>
          <w:color w:val="auto"/>
          <w:szCs w:val="30"/>
        </w:rPr>
        <w:t>4.1 20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7</w:t>
      </w:r>
      <w:r>
        <w:rPr>
          <w:rFonts w:hint="eastAsia" w:ascii="宋体" w:hAnsi="宋体"/>
          <w:color w:val="auto"/>
          <w:szCs w:val="30"/>
        </w:rPr>
        <w:t>份全国车用汽油</w:t>
      </w:r>
      <w:r>
        <w:rPr>
          <w:rFonts w:hint="eastAsia" w:ascii="宋体" w:hAnsi="宋体"/>
          <w:color w:val="auto"/>
          <w:szCs w:val="30"/>
          <w:lang w:eastAsia="zh-CN"/>
        </w:rPr>
        <w:t>进</w:t>
      </w:r>
      <w:r>
        <w:rPr>
          <w:rFonts w:hint="eastAsia" w:ascii="宋体" w:hAnsi="宋体"/>
          <w:color w:val="auto"/>
          <w:szCs w:val="30"/>
        </w:rPr>
        <w:t>出口统计数据</w:t>
      </w:r>
      <w:r>
        <w:rPr>
          <w:color w:val="auto"/>
        </w:rPr>
        <w:tab/>
      </w:r>
      <w:r>
        <w:rPr>
          <w:color w:val="auto"/>
        </w:rPr>
        <w:fldChar w:fldCharType="begin"/>
      </w:r>
      <w:r>
        <w:rPr>
          <w:color w:val="auto"/>
        </w:rPr>
        <w:instrText xml:space="preserve"> PAGEREF _Toc19791 </w:instrText>
      </w:r>
      <w:r>
        <w:rPr>
          <w:color w:val="auto"/>
        </w:rPr>
        <w:fldChar w:fldCharType="separate"/>
      </w:r>
      <w:r>
        <w:rPr>
          <w:color w:val="auto"/>
        </w:rPr>
        <w:t>31</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_Toc23995 </w:instrText>
      </w:r>
      <w:r>
        <w:rPr>
          <w:rFonts w:hint="eastAsia" w:ascii="宋体" w:hAnsi="宋体" w:eastAsia="宋体" w:cs="宋体"/>
          <w:color w:val="auto"/>
          <w:szCs w:val="21"/>
        </w:rPr>
        <w:fldChar w:fldCharType="separate"/>
      </w:r>
      <w:r>
        <w:rPr>
          <w:rFonts w:hint="eastAsia" w:ascii="宋体" w:hAnsi="宋体"/>
          <w:color w:val="auto"/>
          <w:szCs w:val="30"/>
        </w:rPr>
        <w:t>4.2 20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7</w:t>
      </w:r>
      <w:r>
        <w:rPr>
          <w:rFonts w:hint="eastAsia" w:ascii="宋体" w:hAnsi="宋体"/>
          <w:color w:val="auto"/>
          <w:szCs w:val="30"/>
        </w:rPr>
        <w:t>月份全国柴油出口统计数据</w:t>
      </w:r>
      <w:r>
        <w:rPr>
          <w:color w:val="auto"/>
        </w:rPr>
        <w:tab/>
      </w:r>
      <w:r>
        <w:rPr>
          <w:color w:val="auto"/>
        </w:rPr>
        <w:fldChar w:fldCharType="begin"/>
      </w:r>
      <w:r>
        <w:rPr>
          <w:color w:val="auto"/>
        </w:rPr>
        <w:instrText xml:space="preserve"> PAGEREF _Toc23995 </w:instrText>
      </w:r>
      <w:r>
        <w:rPr>
          <w:color w:val="auto"/>
        </w:rPr>
        <w:fldChar w:fldCharType="separate"/>
      </w:r>
      <w:r>
        <w:rPr>
          <w:color w:val="auto"/>
        </w:rPr>
        <w:t>34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_Toc16942 </w:instrText>
      </w:r>
      <w:r>
        <w:rPr>
          <w:rFonts w:hint="eastAsia" w:ascii="宋体" w:hAnsi="宋体" w:eastAsia="宋体" w:cs="宋体"/>
          <w:color w:val="auto"/>
          <w:szCs w:val="21"/>
        </w:rPr>
        <w:fldChar w:fldCharType="separate"/>
      </w:r>
      <w:r>
        <w:rPr>
          <w:rFonts w:hint="eastAsia" w:ascii="宋体" w:hAnsi="宋体"/>
          <w:color w:val="auto"/>
          <w:szCs w:val="30"/>
        </w:rPr>
        <w:t>4.3 20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7</w:t>
      </w:r>
      <w:r>
        <w:rPr>
          <w:rFonts w:hint="eastAsia" w:ascii="宋体" w:hAnsi="宋体"/>
          <w:color w:val="auto"/>
          <w:szCs w:val="30"/>
        </w:rPr>
        <w:t>月份全国原油进出口统计数据</w:t>
      </w:r>
      <w:r>
        <w:rPr>
          <w:color w:val="auto"/>
        </w:rPr>
        <w:tab/>
      </w:r>
      <w:r>
        <w:rPr>
          <w:color w:val="auto"/>
        </w:rPr>
        <w:fldChar w:fldCharType="begin"/>
      </w:r>
      <w:r>
        <w:rPr>
          <w:color w:val="auto"/>
        </w:rPr>
        <w:instrText xml:space="preserve"> PAGEREF _Toc16942 </w:instrText>
      </w:r>
      <w:r>
        <w:rPr>
          <w:color w:val="auto"/>
        </w:rPr>
        <w:fldChar w:fldCharType="separate"/>
      </w:r>
      <w:r>
        <w:rPr>
          <w:color w:val="auto"/>
        </w:rPr>
        <w:t>35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_Toc18589 </w:instrText>
      </w:r>
      <w:r>
        <w:rPr>
          <w:rFonts w:hint="eastAsia" w:ascii="宋体" w:hAnsi="宋体" w:eastAsia="宋体" w:cs="宋体"/>
          <w:color w:val="auto"/>
          <w:szCs w:val="21"/>
        </w:rPr>
        <w:fldChar w:fldCharType="separate"/>
      </w:r>
      <w:r>
        <w:rPr>
          <w:rFonts w:hint="eastAsia" w:ascii="宋体" w:hAnsi="宋体"/>
          <w:color w:val="auto"/>
          <w:szCs w:val="30"/>
        </w:rPr>
        <w:t>4.4 20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7</w:t>
      </w:r>
      <w:r>
        <w:rPr>
          <w:rFonts w:hint="eastAsia" w:ascii="宋体" w:hAnsi="宋体"/>
          <w:color w:val="auto"/>
          <w:szCs w:val="30"/>
        </w:rPr>
        <w:t>月份航空煤油进出口统计数据</w:t>
      </w:r>
      <w:r>
        <w:rPr>
          <w:color w:val="auto"/>
        </w:rPr>
        <w:tab/>
      </w:r>
      <w:r>
        <w:rPr>
          <w:color w:val="auto"/>
        </w:rPr>
        <w:fldChar w:fldCharType="begin"/>
      </w:r>
      <w:r>
        <w:rPr>
          <w:color w:val="auto"/>
        </w:rPr>
        <w:instrText xml:space="preserve"> PAGEREF _Toc18589 </w:instrText>
      </w:r>
      <w:r>
        <w:rPr>
          <w:color w:val="auto"/>
        </w:rPr>
        <w:fldChar w:fldCharType="separate"/>
      </w:r>
      <w:r>
        <w:rPr>
          <w:color w:val="auto"/>
        </w:rPr>
        <w:t>36</w:t>
      </w:r>
      <w:r>
        <w:rPr>
          <w:color w:val="auto"/>
        </w:rPr>
        <w:fldChar w:fldCharType="end"/>
      </w:r>
      <w:r>
        <w:rPr>
          <w:rFonts w:hint="eastAsia" w:ascii="宋体" w:hAnsi="宋体" w:eastAsia="宋体" w:cs="宋体"/>
          <w:color w:val="auto"/>
          <w:szCs w:val="21"/>
        </w:rPr>
        <w:fldChar w:fldCharType="end"/>
      </w:r>
    </w:p>
    <w:p>
      <w:pPr>
        <w:pStyle w:val="16"/>
        <w:tabs>
          <w:tab w:val="right" w:leader="dot" w:pos="9746"/>
          <w:tab w:val="clear" w:pos="9170"/>
        </w:tabs>
        <w:rPr>
          <w:rFonts w:hint="eastAsia" w:ascii="宋体" w:hAnsi="宋体" w:eastAsia="宋体" w:cs="宋体"/>
          <w:color w:val="auto"/>
          <w:sz w:val="24"/>
          <w:szCs w:val="21"/>
        </w:rPr>
      </w:pPr>
      <w:r>
        <w:rPr>
          <w:rFonts w:hint="eastAsia" w:ascii="宋体" w:hAnsi="宋体" w:eastAsia="宋体" w:cs="宋体"/>
          <w:color w:val="auto"/>
          <w:szCs w:val="21"/>
        </w:rPr>
        <w:fldChar w:fldCharType="end"/>
      </w:r>
    </w:p>
    <w:p>
      <w:pPr>
        <w:pStyle w:val="16"/>
        <w:tabs>
          <w:tab w:val="right" w:leader="dot" w:pos="9746"/>
          <w:tab w:val="clear" w:pos="9170"/>
        </w:tabs>
        <w:rPr>
          <w:rFonts w:hint="eastAsia" w:ascii="宋体" w:hAnsi="宋体" w:eastAsia="宋体" w:cs="宋体"/>
          <w:color w:val="auto"/>
          <w:sz w:val="24"/>
          <w:szCs w:val="21"/>
        </w:rPr>
      </w:pPr>
    </w:p>
    <w:p>
      <w:pPr>
        <w:pStyle w:val="2"/>
        <w:spacing w:before="120" w:after="0" w:line="240" w:lineRule="auto"/>
        <w:rPr>
          <w:rFonts w:ascii="宋体" w:hAnsi="宋体"/>
          <w:b/>
          <w:color w:val="auto"/>
          <w:sz w:val="24"/>
          <w:szCs w:val="24"/>
        </w:rPr>
      </w:pPr>
    </w:p>
    <w:p>
      <w:pPr>
        <w:pStyle w:val="2"/>
        <w:spacing w:before="120" w:after="0" w:line="240" w:lineRule="auto"/>
        <w:rPr>
          <w:rFonts w:ascii="宋体" w:hAnsi="宋体"/>
          <w:b/>
          <w:color w:val="auto"/>
          <w:sz w:val="24"/>
          <w:szCs w:val="24"/>
        </w:rPr>
      </w:pPr>
    </w:p>
    <w:p>
      <w:pPr>
        <w:rPr>
          <w:color w:val="auto"/>
        </w:rPr>
      </w:pPr>
    </w:p>
    <w:p>
      <w:pPr>
        <w:rPr>
          <w:color w:val="auto"/>
        </w:rPr>
      </w:pPr>
    </w:p>
    <w:p>
      <w:pPr>
        <w:rPr>
          <w:color w:val="auto"/>
        </w:rPr>
      </w:pPr>
    </w:p>
    <w:p>
      <w:pPr>
        <w:rPr>
          <w:color w:val="auto"/>
        </w:rPr>
      </w:pPr>
    </w:p>
    <w:p>
      <w:pPr>
        <w:rPr>
          <w:color w:val="auto"/>
        </w:rPr>
      </w:pP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32272"/>
      <w:r>
        <w:rPr>
          <w:rFonts w:hint="eastAsia"/>
          <w:color w:val="auto"/>
        </w:rPr>
        <w:t>国际原油市场回顾 </w:t>
      </w:r>
      <w:bookmarkEnd w:id="0"/>
    </w:p>
    <w:p>
      <w:pPr>
        <w:pStyle w:val="3"/>
        <w:numPr>
          <w:ilvl w:val="0"/>
          <w:numId w:val="2"/>
        </w:numPr>
        <w:spacing w:before="120" w:after="120" w:line="240" w:lineRule="auto"/>
        <w:rPr>
          <w:rFonts w:hint="eastAsia" w:ascii="宋体" w:hAnsi="宋体"/>
          <w:b/>
          <w:color w:val="auto"/>
          <w:sz w:val="30"/>
          <w:szCs w:val="30"/>
          <w:highlight w:val="none"/>
          <w:lang w:val="en-US" w:eastAsia="zh-CN"/>
        </w:rPr>
      </w:pPr>
      <w:bookmarkStart w:id="1" w:name="_Toc6297"/>
      <w:bookmarkStart w:id="2" w:name="_Toc67556952"/>
      <w:r>
        <w:rPr>
          <w:rFonts w:hint="eastAsia" w:ascii="宋体" w:hAnsi="宋体"/>
          <w:b/>
          <w:color w:val="auto"/>
          <w:sz w:val="30"/>
          <w:szCs w:val="30"/>
          <w:highlight w:val="none"/>
          <w:lang w:val="en-US" w:eastAsia="zh-CN"/>
        </w:rPr>
        <w:t>国际原油收盘价涨跌情况（单位：美元/桶）</w:t>
      </w:r>
      <w:bookmarkEnd w:id="1"/>
      <w:bookmarkEnd w:id="2"/>
    </w:p>
    <w:tbl>
      <w:tblPr>
        <w:tblStyle w:val="24"/>
        <w:tblW w:w="8662" w:type="dxa"/>
        <w:jc w:val="center"/>
        <w:tblLayout w:type="fixed"/>
        <w:tblCellMar>
          <w:top w:w="15" w:type="dxa"/>
          <w:left w:w="15" w:type="dxa"/>
          <w:bottom w:w="15" w:type="dxa"/>
          <w:right w:w="15" w:type="dxa"/>
        </w:tblCellMar>
      </w:tblPr>
      <w:tblGrid>
        <w:gridCol w:w="1291"/>
        <w:gridCol w:w="1091"/>
        <w:gridCol w:w="900"/>
        <w:gridCol w:w="5380"/>
      </w:tblGrid>
      <w:tr>
        <w:tblPrEx>
          <w:tblCellMar>
            <w:top w:w="15" w:type="dxa"/>
            <w:left w:w="15" w:type="dxa"/>
            <w:bottom w:w="15" w:type="dxa"/>
            <w:right w:w="15" w:type="dxa"/>
          </w:tblCellMar>
        </w:tblPrEx>
        <w:trPr>
          <w:trHeight w:val="286"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日期</w:t>
            </w:r>
          </w:p>
        </w:tc>
        <w:tc>
          <w:tcPr>
            <w:tcW w:w="10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纽交所</w:t>
            </w:r>
          </w:p>
        </w:tc>
        <w:tc>
          <w:tcPr>
            <w:tcW w:w="90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伦交所</w:t>
            </w:r>
          </w:p>
        </w:tc>
        <w:tc>
          <w:tcPr>
            <w:tcW w:w="538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影响因素</w:t>
            </w:r>
          </w:p>
        </w:tc>
      </w:tr>
      <w:tr>
        <w:tblPrEx>
          <w:tblCellMar>
            <w:top w:w="15" w:type="dxa"/>
            <w:left w:w="15" w:type="dxa"/>
            <w:bottom w:w="15" w:type="dxa"/>
            <w:right w:w="15" w:type="dxa"/>
          </w:tblCellMar>
        </w:tblPrEx>
        <w:trPr>
          <w:trHeight w:val="60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2021/9/9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68.14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71.45</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尽管美国原油及成品油库存全面下降，但原油库存降幅不及预期，炼油厂开工率逐渐恢复，国际油价回跌。</w:t>
            </w:r>
          </w:p>
        </w:tc>
      </w:tr>
      <w:tr>
        <w:tblPrEx>
          <w:tblCellMar>
            <w:top w:w="15" w:type="dxa"/>
            <w:left w:w="15" w:type="dxa"/>
            <w:bottom w:w="15" w:type="dxa"/>
            <w:right w:w="15"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2021/9/10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69.72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72.92</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美国海湾地区油气生产恢复缓慢，国际油价反弹。</w:t>
            </w:r>
          </w:p>
        </w:tc>
      </w:tr>
      <w:tr>
        <w:tblPrEx>
          <w:tblCellMar>
            <w:top w:w="15" w:type="dxa"/>
            <w:left w:w="15" w:type="dxa"/>
            <w:bottom w:w="15" w:type="dxa"/>
            <w:right w:w="15" w:type="dxa"/>
          </w:tblCellMar>
        </w:tblPrEx>
        <w:trPr>
          <w:trHeight w:val="57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2021/9/13</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70.45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73.51</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美国海湾地区油气生产恢复缓慢，担心另一场风暴接踵而来，国际油价继续上涨，WTI六周以来首次突破每桶70美元。</w:t>
            </w:r>
          </w:p>
        </w:tc>
      </w:tr>
      <w:tr>
        <w:tblPrEx>
          <w:tblCellMar>
            <w:top w:w="15" w:type="dxa"/>
            <w:left w:w="15" w:type="dxa"/>
            <w:bottom w:w="15" w:type="dxa"/>
            <w:right w:w="15" w:type="dxa"/>
          </w:tblCellMar>
        </w:tblPrEx>
        <w:trPr>
          <w:trHeight w:val="43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2021/9/14</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70.46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73.6</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墨西哥湾另一场风暴尼古拉斯对油气生产的影响远低于预期，加之国际能源署下调今年油价预测，国际油价涨势趋缓。</w:t>
            </w:r>
          </w:p>
        </w:tc>
      </w:tr>
      <w:tr>
        <w:tblPrEx>
          <w:tblCellMar>
            <w:top w:w="15" w:type="dxa"/>
            <w:left w:w="15" w:type="dxa"/>
            <w:bottom w:w="15" w:type="dxa"/>
            <w:right w:w="15" w:type="dxa"/>
          </w:tblCellMar>
        </w:tblPrEx>
        <w:trPr>
          <w:trHeight w:val="55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2021/9/15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72.61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75.46</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shd w:val="clea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美国飓风艾达过去后，炼油厂恢复运行快于油气生产，且出口量大于进口量，原油库存连续第六周减少，且降幅大于预期，国际油价连续四个交易日上涨至7月30日以来最高。</w:t>
            </w:r>
          </w:p>
        </w:tc>
      </w:tr>
    </w:tbl>
    <w:p>
      <w:pPr>
        <w:numPr>
          <w:ilvl w:val="0"/>
          <w:numId w:val="0"/>
        </w:numPr>
        <w:rPr>
          <w:rFonts w:hint="eastAsia"/>
          <w:color w:val="auto"/>
          <w:lang w:val="en-US" w:eastAsia="zh-CN"/>
        </w:rPr>
      </w:pPr>
    </w:p>
    <w:p>
      <w:pPr>
        <w:rPr>
          <w:rFonts w:hint="eastAsia" w:asciiTheme="minorEastAsia" w:hAnsiTheme="minorEastAsia" w:eastAsiaTheme="minorEastAsia" w:cstheme="minorEastAsia"/>
          <w:color w:val="auto"/>
          <w:kern w:val="0"/>
          <w:szCs w:val="21"/>
        </w:rPr>
      </w:pPr>
    </w:p>
    <w:p>
      <w:pPr>
        <w:pStyle w:val="3"/>
        <w:spacing w:before="120" w:after="120" w:line="240" w:lineRule="auto"/>
        <w:rPr>
          <w:rFonts w:hint="eastAsia" w:ascii="宋体" w:hAnsi="宋体"/>
          <w:b/>
          <w:color w:val="auto"/>
          <w:sz w:val="30"/>
          <w:szCs w:val="30"/>
          <w:highlight w:val="none"/>
          <w:lang w:val="en-US" w:eastAsia="zh-CN"/>
        </w:rPr>
      </w:pPr>
      <w:bookmarkStart w:id="3" w:name="_Toc5501"/>
      <w:bookmarkStart w:id="4" w:name="_Toc67556953"/>
      <w:r>
        <w:rPr>
          <w:rFonts w:hint="eastAsia" w:ascii="宋体" w:hAnsi="宋体"/>
          <w:b/>
          <w:color w:val="auto"/>
          <w:sz w:val="30"/>
          <w:szCs w:val="30"/>
          <w:highlight w:val="none"/>
          <w:lang w:val="en-US" w:eastAsia="zh-CN"/>
        </w:rPr>
        <w:t>2.2021年国际原油价格走势图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rPr>
          <w:rFonts w:hint="eastAsia" w:asciiTheme="minorEastAsia" w:hAnsiTheme="minorEastAsia" w:eastAsiaTheme="minorEastAsia" w:cstheme="minorEastAsia"/>
          <w:b/>
          <w:color w:val="auto"/>
          <w:kern w:val="0"/>
          <w:sz w:val="28"/>
          <w:szCs w:val="28"/>
        </w:rPr>
        <w:drawing>
          <wp:inline distT="0" distB="0" distL="114300" distR="114300">
            <wp:extent cx="4552315" cy="3733165"/>
            <wp:effectExtent l="0" t="0" r="635"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552315" cy="373316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3"/>
        <w:spacing w:before="120" w:after="120" w:line="240" w:lineRule="auto"/>
        <w:rPr>
          <w:rFonts w:hint="eastAsia" w:asciiTheme="minorEastAsia" w:hAnsiTheme="minorEastAsia" w:eastAsiaTheme="minorEastAsia" w:cstheme="minorEastAsia"/>
          <w:b/>
          <w:color w:val="auto"/>
          <w:sz w:val="28"/>
          <w:szCs w:val="28"/>
        </w:rPr>
      </w:pPr>
      <w:bookmarkStart w:id="5" w:name="_Toc67556954"/>
      <w:bookmarkStart w:id="6" w:name="_Toc16647"/>
      <w:r>
        <w:rPr>
          <w:rFonts w:hint="eastAsia" w:ascii="宋体" w:hAnsi="宋体"/>
          <w:b/>
          <w:color w:val="auto"/>
          <w:sz w:val="30"/>
          <w:szCs w:val="30"/>
          <w:highlight w:val="none"/>
          <w:lang w:val="en-US" w:eastAsia="zh-CN"/>
        </w:rPr>
        <w:t>2.1近期影响国际原油市场的主要因素</w:t>
      </w:r>
      <w:bookmarkEnd w:id="5"/>
      <w:bookmarkEnd w:id="6"/>
    </w:p>
    <w:p>
      <w:pPr>
        <w:pStyle w:val="3"/>
        <w:spacing w:before="120" w:after="120" w:line="240" w:lineRule="auto"/>
        <w:rPr>
          <w:rFonts w:hint="eastAsia" w:ascii="宋体" w:hAnsi="宋体"/>
          <w:b/>
          <w:color w:val="auto"/>
          <w:sz w:val="30"/>
          <w:szCs w:val="30"/>
          <w:highlight w:val="none"/>
          <w:lang w:val="en-US" w:eastAsia="zh-CN"/>
        </w:rPr>
      </w:pPr>
      <w:bookmarkStart w:id="7" w:name="_Toc184"/>
      <w:bookmarkStart w:id="8" w:name="_Toc67556955"/>
      <w:r>
        <w:rPr>
          <w:rFonts w:hint="eastAsia" w:ascii="宋体" w:hAnsi="宋体"/>
          <w:b/>
          <w:color w:val="auto"/>
          <w:sz w:val="30"/>
          <w:szCs w:val="30"/>
          <w:highlight w:val="none"/>
          <w:lang w:val="en-US" w:eastAsia="zh-CN"/>
        </w:rPr>
        <w:t>1.美国原油库存情况</w:t>
      </w:r>
      <w:bookmarkEnd w:id="7"/>
      <w:bookmarkEnd w:id="8"/>
      <w:r>
        <w:rPr>
          <w:rFonts w:hint="eastAsia" w:ascii="宋体" w:hAnsi="宋体"/>
          <w:b/>
          <w:color w:val="auto"/>
          <w:sz w:val="30"/>
          <w:szCs w:val="30"/>
          <w:highlight w:val="none"/>
          <w:lang w:val="en-US" w:eastAsia="zh-CN"/>
        </w:rPr>
        <w:t xml:space="preserve"> </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9" w:name="_Toc69977252"/>
      <w:bookmarkStart w:id="10" w:name="_Toc23898"/>
      <w:r>
        <w:rPr>
          <w:rFonts w:hint="eastAsia" w:asciiTheme="minorEastAsia" w:hAnsiTheme="minorEastAsia" w:eastAsiaTheme="minorEastAsia" w:cstheme="minorEastAsia"/>
          <w:color w:val="auto"/>
          <w:kern w:val="2"/>
          <w:sz w:val="28"/>
          <w:szCs w:val="28"/>
          <w:shd w:val="clear" w:color="auto" w:fill="FFFFFF"/>
        </w:rPr>
        <w:t>本周美国EIA公布的数据显示，截至9月3日当周美国除却战略储备的商业原油库存降幅不及预期，精炼油库存降幅不及预期，汽油库存降幅大超预期。具体数据显示，美国截至9月3日当周EIA原油库存变动实际公布减少152.80万桶，预期减少475万桶，前值减少716.9万桶。此外，美国截至9月3当周EIA汽油库存实际公布减少721.50万桶，预期减少330万桶，前值增加129万桶;美国截至9月3日当周EIA精炼油库存实际公布减少314.10万桶，预期减少350万桶，前值减少173.2万桶。EIA报告显示，美国至9月3日当周EIA精炼油库存降幅录得2021年4月23日当周以来最大。美国至9月3日当周EIA汽油库存降幅录得2021年3月5日当周以来最大。美国至9月3日当周国内原油产量为2021年2月19日当周以来最低。美国至9月3日当周国内原油产量减少150万桶/日，降幅为有纪录以来最大。据美国石油协会(API)统计，截至9月3日当周美国商业原油库存減少288.2万桶，汽油库存減少641.4万桶，蒸馏油库存则減少173.2万桶。</w:t>
      </w:r>
    </w:p>
    <w:p>
      <w:pPr>
        <w:pStyle w:val="23"/>
        <w:spacing w:line="360" w:lineRule="auto"/>
        <w:ind w:firstLine="562" w:firstLineChars="200"/>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2.美国经济形势</w:t>
      </w:r>
      <w:bookmarkEnd w:id="9"/>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1" w:name="_Toc76629721"/>
      <w:bookmarkStart w:id="12" w:name="_Toc69977253"/>
      <w:r>
        <w:rPr>
          <w:rFonts w:hint="eastAsia" w:asciiTheme="minorEastAsia" w:hAnsiTheme="minorEastAsia" w:eastAsiaTheme="minorEastAsia" w:cstheme="minorEastAsia"/>
          <w:color w:val="auto"/>
          <w:kern w:val="2"/>
          <w:sz w:val="28"/>
          <w:szCs w:val="28"/>
          <w:shd w:val="clear" w:color="auto" w:fill="FFFFFF"/>
        </w:rPr>
        <w:t>由于在股市连续下跌后投资者逢低买入，纽约股市三大股指在15日收盘时均上涨。</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截至当天收盘，道琼斯工业平均指数上涨236.82点，收于34814.39点，涨幅为0.68%;标准普尔500种股票指数上涨37.65点，收于4480.70点，涨幅为0.85%;纳斯达克综合指数则上涨了123.77点，收于15161.53点，涨幅为0.82%。</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纽约联储银行在当日盘前公布的数据显示，纽约州9月份制造业景气指数为34.3，显著高于8月份的18.3和市场预期的18.6。</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美联储在当日上午公布的数据显示，美国8月份工业生产指数环比涨幅为0.4%，低于市场预期的0.5%，而7月份环比涨幅则从0.9%被修订为0.8%。8月份产能利用率为76.4%，略高于7月份向上修订后的76.2%，符合市场预期。</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摩根大通首席美国股票策略师杜布拉科·拉科斯·布加斯15日表示，尽管对近期经济和商业周期动能下降存在担忧，但仍然有信心认为后市仍有强劲的增长，经济活动将会再次加速。摩根士丹利首席美国证券策略师迈克·威尔逊表示，经济周期中段的转换始终会导致标普500指数的回调，这可能发生在本周，也可能在一个月以后。</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亚特兰大联储银行当日公布的数据显示，9月份企业对一年以后的通胀预期为3.1%，略高于8月份的3%。</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国劳工部当日早间公布的数据显示，美国8月份进口物价环比下降了0.3%，而市场预期为环比上涨0.3%，7月份环比涨幅则从0.3%被修订为0.4%。而8月份出口价格环比涨幅则为16.8%，略低于市场预期的17%，7月份环比涨幅则从17.2%被修订为17%。</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荷兰国际集团宏观研究部负责人卡斯滕·布热斯基表示，很难说物价上涨都是过渡性的，预计物价会在明年1月回到正常水平。每有一个数据显示通胀不只是过渡性的，距离缩小购债规模就更近一步。</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截至当天收盘，纽约商品交易所10月交货的轻质原油期货价格上涨2.15美元，收于每桶72.61美元，涨幅为3.05%;11月交货的伦敦布伦特原油期货价格上涨1.86美元，收于每桶75.46美元，涨幅为2.53%。</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美国能源信息局15日公布的数据显示，上周美国商业原油库存为4.174亿桶，环比下降640万桶，降幅大于市场预期。</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数据还显示，上周美国炼厂日均原油加工量为1440万桶，环比增加了8.5万桶;炼厂平均开工率为82.1%，高于前一周的81.9%;上周美国日均原油进口量为313.7万桶，环比减少了33.1万桶。</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美国石油学会在14日晚些时候公布的数据显示，上周美国商业原油库存环比下降了543.7万桶，库欣地区商业原油库存环比降幅为134.5万桶，汽油和蒸馏油库存环比降幅则分别为276.1万桶和288万桶。</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国价格期货集团高级市场分析师菲尔·弗林表示，美国石油学会公布的这些库存下降只是开始，今后几周汽油和蒸馏油库存应该会有更大的降幅。如果美国能源信息局15日公布的库存数据降幅更大，预计原油和成品油的价格将进一步上涨。</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国安全与环境执法局(BSEE)公布的数据显示，截至15日午间，美国有29.52%的墨西哥湾海上原油产能因飓风“艾达”影响而处于关停之中，明显低于前一日的39.57%;该地区天然气产能关闭的比例为39.4%，低于前一日的48.2%。</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纽约商品交易所黄金期货市场交投最活跃的12月黄金期价15日比前一交易日下跌12.3美元，收于每盎司1794.8美元，跌幅为0.68%。当天，12月交割的白银期货价格下跌8.4美分，收于每盎司23.801美元，跌幅为0.35%;10月交割的白金期货价格下跌8.2美元，收于每盎司930.5美元，跌幅为0.87%。</w:t>
      </w:r>
    </w:p>
    <w:p>
      <w:pPr>
        <w:pStyle w:val="23"/>
        <w:ind w:firstLine="560" w:firstLineChars="200"/>
        <w:outlineLvl w:val="1"/>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元指数15日下跌。衡量美元对六种主要货币的美元指数当天下跌0.09%，在汇市尾市收于92.5425。截至纽约汇市尾市，1欧元兑换1.1808美元，高于前一交易日的1.1807美元;1英镑兑换1.3833美元，高于前一交易日的1.3814美元;1美元兑换109.39日元，低于前一交易日的109.61日元。</w:t>
      </w:r>
    </w:p>
    <w:p>
      <w:pPr>
        <w:pStyle w:val="23"/>
        <w:ind w:firstLine="643" w:firstLineChars="200"/>
        <w:outlineLvl w:val="1"/>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3.世界经济形势</w:t>
      </w:r>
      <w:bookmarkEnd w:id="11"/>
    </w:p>
    <w:bookmarkEnd w:id="12"/>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9月15日消息，根据联合国贸易和发展会议(UNCTAD)的数据，今年全球经济预计将出现反弹，增长率为5.3%，为近50年来最快。但该机构表示，区域、部门和收入各条曲线的反弹非常不均衡。</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报告称，虽然许多发达国家的公共支出限制已经结束，但国际规则和目前的做法已将发展中国家锁定在新冠大流行前的应对措施中，并处于半永久性的经济压力状态。</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报告指出，缺乏货币自主权和有限的疫苗获取机会，也阻碍了许多发展中经济体的发展，扩大了与发达经济体的差距，并有可能迎来另一个“失落的十年”。</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贸发会议秘书长丽贝卡·格林斯潘(Rebeca Grynspan)说：“这些不断扩大的国内和国际差距提醒人们，如果状况不进行根本性改变，将使反弹和增长成为越来越少的特权人士享有的奢侈品。”</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0"/>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3" w:name="_Toc30787"/>
      <w:r>
        <w:rPr>
          <w:rFonts w:hint="eastAsia" w:asciiTheme="minorEastAsia" w:hAnsiTheme="minorEastAsia" w:eastAsiaTheme="minorEastAsia" w:cstheme="minorEastAsia"/>
          <w:color w:val="auto"/>
          <w:kern w:val="2"/>
          <w:sz w:val="28"/>
          <w:szCs w:val="28"/>
          <w:shd w:val="clear" w:color="auto" w:fill="FFFFFF"/>
        </w:rPr>
        <w:t>本周美国WTI原油价格在68.14-72.61美元/桶。布伦特原油价格在71.45-75.46美元/桶震荡。周内国际油价上行。EIA周三公布除却战略储备的商业原油库存减少642.2万桶，9月15日WTI原油期货收盘跳升3%。10月WTI：72.61涨2.15;11月布伦特：75.46涨1.86。EIA报告还显示，美国海湾沿岸原油库存跌至2020年1月以来的最低水平，中西部原油库存跌至2018年10月以来的最低水平。商业原油上周进口576.1万桶/日，较前一周减少4.9万桶/日;出口增加28.2万桶/日至262.4万桶/日。金融博客零对冲分析师评论称，EIA的官方数据证实了原油、汽油和馏分以及库欣存储设施的巨大需求。美国原油生产从飓风“艾达”的导致的生产中断中恢复缓慢。根据美国安全与环境执法局(BSEE)的数据，上周平均每天有超过150万桶的石油生产被停止。由于由于飓风“艾达”的影响，加上国际能源署本周的报告称，石油输出国组织及其盟友提高产量，但全球石油供应应该等到10月份才会增加，在API和EIA报告石油库存全面减少后，国际油价继续上涨。OANDA高级分析师Edward Moya表示，“飓风的影响比许多人预期的要大得多，该地区的产量可能近期难以恢复。”BSEE称美国墨西哥湾地区关闭了29.52%的原油产量(或53.71万桶/日)及39.4%的天然气产量(或870.70百万立方英尺/日)。能源记者Javier Blas指出，美国墨西哥湾地区自8月27日以来累计减产约2730万桶。Tortoise策略师Matt Sallee表示，“没有足量新的原油供应进入市场，所以市场感觉非常紧张。这使原油价格继续走高，需求的担忧使得新冠病毒的担忧退居二线。”欧佩克的分析师预计，与今年的预期水平相比，2022年全球石油需求将每天增加415万桶，比他们一个月前的预测上调了86万桶。Sallee补充称，“自飓风以来，海上天然气的产出也回复缓慢。使得很多电力公司购买石油产品来发电，这也成为原油价格上涨的另一个动力。”</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预测下周WTI油价将触及67-73美元/桶，布油在之后几个月触及70-76美元/桶。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3"/>
      <w:r>
        <w:rPr>
          <w:rFonts w:hint="eastAsia" w:ascii="宋体" w:hAnsi="宋体"/>
          <w:b/>
          <w:color w:val="auto"/>
          <w:sz w:val="30"/>
          <w:szCs w:val="30"/>
          <w:highlight w:val="none"/>
          <w:lang w:val="en-US" w:eastAsia="zh-CN"/>
        </w:rPr>
        <w:t xml:space="preserve"> </w:t>
      </w: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9月15日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744.00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220.79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806.75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9月14日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726.69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216.61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793.25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9月13日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709.00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215.46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789.75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9月10日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701.00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214.77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784.00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9月9日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705.20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215.66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772.00 </w:t>
            </w:r>
          </w:p>
        </w:tc>
      </w:tr>
    </w:tbl>
    <w:p>
      <w:pPr>
        <w:rPr>
          <w:rFonts w:hint="eastAsia"/>
          <w:color w:val="auto"/>
          <w:lang w:eastAsia="zh-CN"/>
        </w:rPr>
      </w:pPr>
    </w:p>
    <w:p>
      <w:pPr>
        <w:pStyle w:val="2"/>
        <w:numPr>
          <w:ilvl w:val="0"/>
          <w:numId w:val="0"/>
        </w:numPr>
        <w:spacing w:before="120" w:after="0" w:line="240" w:lineRule="auto"/>
        <w:rPr>
          <w:rFonts w:hint="eastAsia"/>
          <w:b/>
          <w:color w:val="auto"/>
        </w:rPr>
      </w:pPr>
      <w:bookmarkStart w:id="14" w:name="_Toc11000"/>
      <w:r>
        <w:rPr>
          <w:rFonts w:hint="eastAsia"/>
          <w:b/>
          <w:color w:val="auto"/>
          <w:lang w:eastAsia="zh-CN"/>
        </w:rPr>
        <w:t>三、</w:t>
      </w:r>
      <w:r>
        <w:rPr>
          <w:rFonts w:hint="eastAsia"/>
          <w:b/>
          <w:color w:val="auto"/>
        </w:rPr>
        <w:t>本周国内市场</w:t>
      </w:r>
      <w:bookmarkEnd w:id="14"/>
    </w:p>
    <w:p>
      <w:pPr>
        <w:numPr>
          <w:ilvl w:val="0"/>
          <w:numId w:val="0"/>
        </w:numPr>
        <w:rPr>
          <w:color w:val="auto"/>
        </w:rPr>
      </w:pPr>
    </w:p>
    <w:p>
      <w:pPr>
        <w:pStyle w:val="3"/>
        <w:spacing w:before="120" w:after="120" w:line="240" w:lineRule="auto"/>
        <w:rPr>
          <w:rFonts w:hint="eastAsia" w:ascii="宋体" w:hAnsi="宋体"/>
          <w:b/>
          <w:color w:val="auto"/>
          <w:sz w:val="30"/>
          <w:szCs w:val="30"/>
          <w:highlight w:val="none"/>
        </w:rPr>
      </w:pPr>
      <w:bookmarkStart w:id="15" w:name="_Toc7167"/>
      <w:r>
        <w:rPr>
          <w:rFonts w:hint="eastAsia" w:ascii="宋体" w:hAnsi="宋体"/>
          <w:b/>
          <w:color w:val="auto"/>
          <w:sz w:val="30"/>
          <w:szCs w:val="30"/>
          <w:highlight w:val="none"/>
        </w:rPr>
        <w:t>3.1 国内炼厂装置运行情况</w:t>
      </w:r>
      <w:bookmarkEnd w:id="15"/>
    </w:p>
    <w:p>
      <w:pPr>
        <w:rPr>
          <w:rFonts w:hint="eastAsia" w:ascii="宋体" w:hAnsi="宋体"/>
          <w:color w:val="auto"/>
          <w:sz w:val="28"/>
          <w:szCs w:val="28"/>
          <w:highlight w:val="none"/>
        </w:rPr>
      </w:pPr>
      <w:r>
        <w:rPr>
          <w:rFonts w:hint="eastAsia" w:ascii="宋体" w:hAnsi="宋体"/>
          <w:color w:val="auto"/>
          <w:sz w:val="28"/>
          <w:szCs w:val="28"/>
          <w:highlight w:val="none"/>
        </w:rPr>
        <w:t>（1）国内主营炼厂装置检修情况</w:t>
      </w:r>
    </w:p>
    <w:tbl>
      <w:tblPr>
        <w:tblStyle w:val="24"/>
        <w:tblW w:w="45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2"/>
        <w:gridCol w:w="831"/>
        <w:gridCol w:w="1073"/>
        <w:gridCol w:w="1071"/>
        <w:gridCol w:w="2068"/>
        <w:gridCol w:w="1306"/>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炼厂名称</w:t>
            </w:r>
          </w:p>
        </w:tc>
        <w:tc>
          <w:tcPr>
            <w:tcW w:w="46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所在地</w:t>
            </w:r>
          </w:p>
        </w:tc>
        <w:tc>
          <w:tcPr>
            <w:tcW w:w="594"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加工能力</w:t>
            </w:r>
          </w:p>
        </w:tc>
        <w:tc>
          <w:tcPr>
            <w:tcW w:w="59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检修装置</w:t>
            </w:r>
          </w:p>
        </w:tc>
        <w:tc>
          <w:tcPr>
            <w:tcW w:w="11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18"/>
                <w:szCs w:val="18"/>
              </w:rPr>
              <w:t>检修产能（单位：万吨）</w:t>
            </w:r>
          </w:p>
        </w:tc>
        <w:tc>
          <w:tcPr>
            <w:tcW w:w="72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起始时间</w:t>
            </w:r>
          </w:p>
        </w:tc>
        <w:tc>
          <w:tcPr>
            <w:tcW w:w="79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济南炼化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山东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2021/2/19</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金陵石化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江苏</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1800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2021/3/20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燕山石化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北京</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4#常减压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2020/3/29</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长岭石化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湖南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2021/2/20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塔河石化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新疆</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上海石化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上海</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1600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1600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九江石化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江西</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2021/4/8</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沧州炼厂</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河北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扬子石化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江苏</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1450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焦化装置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茂名石化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广东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2021/6/1</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石家庄炼厂</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河北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2021/8/28</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齐鲁石化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山东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400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2021/8/8</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胜利油田</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山东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2021/9/15</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2021/10月底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海南炼化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海南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950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950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2021/11</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炼厂名称</w:t>
            </w:r>
          </w:p>
        </w:tc>
        <w:tc>
          <w:tcPr>
            <w:tcW w:w="46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所在地</w:t>
            </w:r>
          </w:p>
        </w:tc>
        <w:tc>
          <w:tcPr>
            <w:tcW w:w="594"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加工能力</w:t>
            </w:r>
          </w:p>
        </w:tc>
        <w:tc>
          <w:tcPr>
            <w:tcW w:w="59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检修装置</w:t>
            </w:r>
          </w:p>
        </w:tc>
        <w:tc>
          <w:tcPr>
            <w:tcW w:w="11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18"/>
                <w:szCs w:val="18"/>
              </w:rPr>
              <w:t>检修产能（单位：万吨）</w:t>
            </w:r>
          </w:p>
        </w:tc>
        <w:tc>
          <w:tcPr>
            <w:tcW w:w="72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起始时间</w:t>
            </w:r>
          </w:p>
        </w:tc>
        <w:tc>
          <w:tcPr>
            <w:tcW w:w="79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云南石化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云南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2020/12/5</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抚顺石化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辽宁</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吉林石化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吉林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大港石化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天津</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2021/4/12</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格尔木炼厂</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青海</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2021/7/15</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中海油旗下炼厂检修计划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炼厂名称</w:t>
            </w:r>
          </w:p>
        </w:tc>
        <w:tc>
          <w:tcPr>
            <w:tcW w:w="46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所在地</w:t>
            </w:r>
          </w:p>
        </w:tc>
        <w:tc>
          <w:tcPr>
            <w:tcW w:w="594"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加工能力</w:t>
            </w:r>
          </w:p>
        </w:tc>
        <w:tc>
          <w:tcPr>
            <w:tcW w:w="59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检修装置</w:t>
            </w:r>
          </w:p>
        </w:tc>
        <w:tc>
          <w:tcPr>
            <w:tcW w:w="11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18"/>
                <w:szCs w:val="18"/>
              </w:rPr>
              <w:t>检修产能（单位：万吨）</w:t>
            </w:r>
          </w:p>
        </w:tc>
        <w:tc>
          <w:tcPr>
            <w:tcW w:w="72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起始时间</w:t>
            </w:r>
          </w:p>
        </w:tc>
        <w:tc>
          <w:tcPr>
            <w:tcW w:w="79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东方石化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海南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惠州炼化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广东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2200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二期</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宁波大榭</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浙江</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2021/5/15</w:t>
            </w:r>
          </w:p>
        </w:tc>
      </w:tr>
    </w:tbl>
    <w:p>
      <w:pPr>
        <w:numPr>
          <w:ilvl w:val="0"/>
          <w:numId w:val="0"/>
        </w:numPr>
        <w:rPr>
          <w:rFonts w:hint="eastAsia" w:ascii="宋体" w:hAnsi="宋体"/>
          <w:color w:val="auto"/>
          <w:sz w:val="28"/>
          <w:szCs w:val="28"/>
          <w:highlight w:val="none"/>
        </w:rPr>
      </w:pPr>
    </w:p>
    <w:p>
      <w:pPr>
        <w:numPr>
          <w:ilvl w:val="0"/>
          <w:numId w:val="3"/>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45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5"/>
        <w:gridCol w:w="1158"/>
        <w:gridCol w:w="1327"/>
        <w:gridCol w:w="1400"/>
        <w:gridCol w:w="877"/>
        <w:gridCol w:w="1620"/>
        <w:gridCol w:w="1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地方炼厂装置检修计划表(单位：万吨)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区域</w:t>
            </w:r>
          </w:p>
        </w:tc>
        <w:tc>
          <w:tcPr>
            <w:tcW w:w="0" w:type="auto"/>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省市</w:t>
            </w:r>
          </w:p>
        </w:tc>
        <w:tc>
          <w:tcPr>
            <w:tcW w:w="7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炼厂名称</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检修装置</w:t>
            </w:r>
          </w:p>
        </w:tc>
        <w:tc>
          <w:tcPr>
            <w:tcW w:w="49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产能</w:t>
            </w:r>
          </w:p>
        </w:tc>
        <w:tc>
          <w:tcPr>
            <w:tcW w:w="90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起始时间</w:t>
            </w:r>
          </w:p>
        </w:tc>
        <w:tc>
          <w:tcPr>
            <w:tcW w:w="927"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single" w:color="000000" w:sz="6" w:space="0"/>
              <w:bottom w:val="nil"/>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齐成石化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重整</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120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新建</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restart"/>
            <w:tcBorders>
              <w:top w:val="nil"/>
              <w:left w:val="single" w:color="000000" w:sz="6" w:space="0"/>
              <w:bottom w:val="nil"/>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山东</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齐成石化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蜡油加裂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160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新建</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联合石化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590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垦利石化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400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2021/9/10</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海科瑞林</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230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潍坊</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山东海化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240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2021/6/29</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淄博</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方宇石化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520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临沂</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清沂山石化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350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德州</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恒源石化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350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2021/6/18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准备拆除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西南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重庆</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龙海石化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150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2021/7月底</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辽宁缘泰</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常减压装置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2021/2/22</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盘锦浩业</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催化</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140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2021/3</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大连锦源</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2021/5/6</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黑龙江</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大庆中蓝</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220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2021/7/25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辽宁华锦</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600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restart"/>
            <w:tcBorders>
              <w:top w:val="nil"/>
              <w:left w:val="single" w:color="000000" w:sz="6" w:space="0"/>
              <w:bottom w:val="nil"/>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西北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宁夏</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宝利新能源</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80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宁夏</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宁鲁石化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60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华东</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江苏</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新海石化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2021/3/25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华北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河北</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河北鑫海</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600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2021/8/15</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6" w:name="_Toc13096"/>
      <w:r>
        <w:rPr>
          <w:rFonts w:hint="eastAsia" w:ascii="宋体" w:hAnsi="宋体"/>
          <w:b/>
          <w:color w:val="auto"/>
          <w:sz w:val="30"/>
          <w:szCs w:val="30"/>
          <w:highlight w:val="none"/>
        </w:rPr>
        <w:t>3.2本周成品油市场行情</w:t>
      </w:r>
      <w:bookmarkEnd w:id="16"/>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bookmarkStart w:id="17" w:name="_Toc24031"/>
      <w:r>
        <w:rPr>
          <w:rFonts w:hint="default" w:asciiTheme="minorEastAsia" w:hAnsiTheme="minorEastAsia" w:eastAsiaTheme="minorEastAsia" w:cstheme="minorEastAsia"/>
          <w:color w:val="auto"/>
          <w:kern w:val="2"/>
          <w:sz w:val="28"/>
          <w:szCs w:val="28"/>
          <w:shd w:val="clear" w:color="auto" w:fill="FFFFFF"/>
          <w:lang w:eastAsia="zh-CN"/>
        </w:rPr>
        <w:t>本周(9月10日-9月16日)，国际油价走势震荡，山东成品油价格受终端供求关系影响较大。具体分析：周前期，因终端刚需还未完全释放，贸易商补货心态谨慎，主营单位</w:t>
      </w:r>
      <w:bookmarkStart w:id="32" w:name="_GoBack"/>
      <w:bookmarkEnd w:id="32"/>
      <w:r>
        <w:rPr>
          <w:rFonts w:hint="default" w:asciiTheme="minorEastAsia" w:hAnsiTheme="minorEastAsia" w:eastAsiaTheme="minorEastAsia" w:cstheme="minorEastAsia"/>
          <w:color w:val="auto"/>
          <w:kern w:val="2"/>
          <w:sz w:val="28"/>
          <w:szCs w:val="28"/>
          <w:shd w:val="clear" w:color="auto" w:fill="FFFFFF"/>
          <w:lang w:eastAsia="zh-CN"/>
        </w:rPr>
        <w:t>汽柴行情多守稳为主。周后期，山东地炼因环保检查，炼厂装车出货受到一定限制，加上下游需求向好发展，故部分单位汽柴价格在上周末突发性暴涨，连锁反应之下，周边炼厂价格皆爆发性上涨。</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(9月10日-9月16日)，华中地区柴油价格大幅上调，汽油价格紧跟上行。周内前期，国内成品油零售价格调整尚未明确，居民出行意愿仍旧偏低，汽油市场活跃度偏低，需求增长不及预期，主营价格略有小升，国内工矿、基建项目开工率较高，柴油需求恢复较好，但区内市场船期延后，导致柴油的资源调度造成困难。周内后期，新一轮零售价格或呈上调预期，天气转凉，车内空调用油减少，汽油需求面支撑有限，户外作业开工率增加及运输车辆需求增加，在消息面及需求面共同作用下，主营单位月内出货进度普遍较好，库存紧缺，柴油价格大幅上调。</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(9月10日-9月16日)，国际油价高位震荡，且国内本轮限价或大概率小幅上调，对于华东地区成品油市场皆形成支撑。周一归来，华东地区主营单位汽柴价格也应声暴涨，单日累计涨幅可达300-400元/吨，而且受买涨不买跌心态刺激，市场交投气氛稍有活跃，不过因当前价格已涨至高位，且社会单位库存量较高，主营出货量有所下降。中下游经过前期低价集中补货后，回归观望态势，理性待市。随着中秋和国庆节假日陆续来临，终端需求稳步向好发展，预计近期华东地区主营成品油价格延续上涨趋势，不过因为目前价格已经处于高位，故接下来涨幅较为有限，各单位根据实际成交情况调节优惠幅度。</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(9月10日-9月16日)，国际原油价格高位震荡，上涨势头较足，逐渐步入月中旬，华南地区内外多重利好因素共振，且下游消化涨幅较好，需求面对市场支撑充足，下游市场操作情绪理性，购销氛围热烈，华南地区内汽柴油价格上涨势头较足，且柴油上涨幅度较汽油更大。具体分析，本周广东地区各主营单位汽柴油价格上涨250-400元/吨;福建地区主营汽柴油价格上涨200-350元/吨;海南地区主营汽柴价格上涨550-650元/吨。国内成品油零售价格或将出现上调预期，且“双节”将至，私家车出行率或处于相对高位，下游市场心态较好，市场看涨情绪充足，加之国内降雨逐渐结束，厂矿及基建等户外作业开工率出现明显上升现象，需求面支撑较足。</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(9月10日-9月16日)，国际原油价格高位震荡，华北地区内汽柴油价格较上周有所上涨，具体来看，伴随“金九银十”传统销售旺季的到来，同时临近“中秋假期”，民众出行意愿强烈，多方面利好消息支撑，区内汽柴油需求有所提振。汽油方面，随着天气转凉，车载空调使用率下降，汽油消耗微幅上涨。柴油方面，秋季属于柴油消耗高峰期，农业用油，基建开工，货物运输等方面提振明显，柴油需求大大改善，整体库存多有消耗。目前汽柴油社会库存处于低位，业者入市采买积极性有所提升，结合“买涨不买跌”心态，业者集中补货，市场成交量提升。步入月内中旬，主营销售出货尚可，价格接连推涨，实际成交优惠政策缩减。</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(9月10日-9月16日)，西北区域主营油价稳中上涨。周前期，西北区域主营汽油批发价格小幅承压小跌后反弹，主营柴油批发价格维稳，成品油零售价格调整尚未明确，消息面指引不明，终端业者补货操作谨慎。周中期，原油收盘上涨，原油变化率正向延伸，国内工况、基建项目开工率较高，区内主营柴油价格走势高涨。周末期，陕西地炼成品油价格上涨，带动周边市场气氛，主营柴油批发价格受此影响稳中上涨，幅度在50-350元/吨，“双节”来临，业者补货意愿增强，区内汽柴油需求稳定，较有支撑，市场氛围较好。</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(9月10日-9月16日)，近期开学季，出行增加，西南地区目前正处于传统的成品油需求旺季，且“双节”将至，私家车出行率处于相对高位;同时休渔期结束，工地基建开工，汽柴油需求有上升趋势。加之月初主营单位销售压力小，柴油出货较为顺畅，主营价格大多上涨。具体来说，前期主营价格涨跌互现，但整体呈上行走势，业者按需补货，市场氛围一般。中期，周一山东地炼汽柴价格疯狂上涨，受此影响，区内汽柴宽幅上涨，推涨情绪高涨，下游积极入市。后期，柴油价格处于高位，部分地区柴油资源紧张，业者观望心态浓重。整体市场呈现有价无市的局面，需求淡稳，业者操作以需为主。部分主营单位在柴油价格大涨后，出货量有所下降，有降价销售。</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后市预测：后期国际原油价格高位区间震荡为主，国内成品油零售价格或出现上调预期，消息面指引不明。汽油方面，随着入秋以后气温下降，车用空调逐渐减少，汽油需求或有所下滑，终端用户按需补货为主;柴油方面，随着雨季结束，户外基建开工率增加，需求向好发展，市场看涨氛围好转。故预计后期主营单位汽柴油价格继续上涨，但涨幅有限。</w:t>
      </w:r>
    </w:p>
    <w:p>
      <w:pPr>
        <w:pStyle w:val="3"/>
        <w:spacing w:before="120" w:after="120" w:line="240" w:lineRule="auto"/>
        <w:rPr>
          <w:rFonts w:ascii="宋体" w:hAnsi="宋体"/>
          <w:b/>
          <w:color w:val="auto"/>
          <w:sz w:val="30"/>
          <w:szCs w:val="30"/>
        </w:rPr>
      </w:pPr>
      <w:r>
        <w:rPr>
          <w:rFonts w:hint="eastAsia" w:ascii="宋体" w:hAnsi="宋体"/>
          <w:b/>
          <w:color w:val="auto"/>
          <w:sz w:val="30"/>
          <w:szCs w:val="30"/>
        </w:rPr>
        <w:t>3.3 国内汽油价格周报</w:t>
      </w:r>
      <w:bookmarkEnd w:id="17"/>
    </w:p>
    <w:p>
      <w:pPr>
        <w:rPr>
          <w:rFonts w:hint="eastAsia"/>
          <w:color w:val="auto"/>
        </w:rPr>
      </w:pPr>
      <w:r>
        <w:rPr>
          <w:rFonts w:hint="eastAsia"/>
          <w:color w:val="auto"/>
        </w:rPr>
        <w:t>单位：元/吨</w:t>
      </w:r>
    </w:p>
    <w:p>
      <w:pPr>
        <w:rPr>
          <w:rFonts w:hint="eastAsia"/>
          <w:color w:val="auto"/>
        </w:rPr>
      </w:pPr>
    </w:p>
    <w:p>
      <w:pPr>
        <w:rPr>
          <w:rFonts w:hint="eastAsia"/>
          <w:color w:val="auto"/>
        </w:rPr>
      </w:pPr>
    </w:p>
    <w:tbl>
      <w:tblPr>
        <w:tblStyle w:val="24"/>
        <w:tblW w:w="9402" w:type="dxa"/>
        <w:jc w:val="center"/>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shd w:val="clear" w:color="auto" w:fill="auto"/>
          <w:tblCellMar>
            <w:top w:w="0" w:type="dxa"/>
            <w:left w:w="0" w:type="dxa"/>
            <w:bottom w:w="0" w:type="dxa"/>
            <w:right w:w="0" w:type="dxa"/>
          </w:tblCellMar>
        </w:tblPrEx>
        <w:trPr>
          <w:trHeight w:val="420" w:hRule="atLeast"/>
          <w:jc w:val="center"/>
        </w:trPr>
        <w:tc>
          <w:tcPr>
            <w:tcW w:w="870" w:type="dxa"/>
            <w:tcBorders>
              <w:top w:val="single" w:color="000000" w:sz="4" w:space="0"/>
              <w:left w:val="single" w:color="000000" w:sz="4" w:space="0"/>
              <w:bottom w:val="single" w:color="000000" w:sz="4" w:space="0"/>
              <w:right w:val="nil"/>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bookmarkStart w:id="18" w:name="_Toc16466"/>
            <w:r>
              <w:rPr>
                <w:rFonts w:hint="eastAsia" w:ascii="宋体" w:hAnsi="宋体" w:eastAsia="宋体" w:cs="宋体"/>
                <w:b/>
                <w:i w:val="0"/>
                <w:color w:val="auto"/>
                <w:kern w:val="0"/>
                <w:sz w:val="20"/>
                <w:szCs w:val="20"/>
                <w:u w:val="none"/>
                <w:lang w:val="en-US" w:eastAsia="zh-CN" w:bidi="ar"/>
              </w:rPr>
              <w:t>地区</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城市</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企业性质</w:t>
            </w:r>
          </w:p>
        </w:tc>
        <w:tc>
          <w:tcPr>
            <w:tcW w:w="10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w:t>
            </w:r>
          </w:p>
        </w:tc>
        <w:tc>
          <w:tcPr>
            <w:tcW w:w="12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价格类型</w:t>
            </w:r>
          </w:p>
        </w:tc>
        <w:tc>
          <w:tcPr>
            <w:tcW w:w="79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2021/9/16</w:t>
            </w:r>
          </w:p>
        </w:tc>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2021/9/9</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7910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8736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8736</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8893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8893</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7657</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8540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任丘市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7795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7995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7657</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8540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开封市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7860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7795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郑州市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徐州市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连云港市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连云港市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r>
    </w:tbl>
    <w:p>
      <w:pPr>
        <w:pStyle w:val="3"/>
        <w:spacing w:before="120" w:after="120" w:line="240" w:lineRule="auto"/>
        <w:rPr>
          <w:rFonts w:hint="eastAsia" w:ascii="宋体" w:hAnsi="宋体"/>
          <w:b/>
          <w:color w:val="auto"/>
          <w:sz w:val="30"/>
          <w:szCs w:val="30"/>
          <w:lang w:val="en-US" w:eastAsia="zh-CN"/>
        </w:rPr>
      </w:pPr>
      <w:r>
        <w:rPr>
          <w:rFonts w:hint="eastAsia" w:ascii="宋体" w:hAnsi="宋体"/>
          <w:b/>
          <w:color w:val="auto"/>
          <w:sz w:val="30"/>
          <w:szCs w:val="30"/>
          <w:lang w:val="en-US" w:eastAsia="zh-CN"/>
        </w:rPr>
        <w:t>3.4国内柴油价格周报</w:t>
      </w:r>
      <w:bookmarkEnd w:id="18"/>
    </w:p>
    <w:p>
      <w:pPr>
        <w:rPr>
          <w:rFonts w:hint="eastAsia"/>
          <w:color w:val="auto"/>
          <w:lang w:val="en-US" w:eastAsia="zh-CN"/>
        </w:rPr>
      </w:pPr>
      <w:r>
        <w:rPr>
          <w:rFonts w:hint="eastAsia"/>
          <w:color w:val="auto"/>
          <w:lang w:val="en-US" w:eastAsia="zh-CN"/>
        </w:rPr>
        <w:t>单位：元/吨</w:t>
      </w:r>
    </w:p>
    <w:tbl>
      <w:tblPr>
        <w:tblStyle w:val="24"/>
        <w:tblW w:w="9357" w:type="dxa"/>
        <w:jc w:val="center"/>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shd w:val="clear" w:color="auto" w:fill="auto"/>
          <w:tblCellMar>
            <w:top w:w="0" w:type="dxa"/>
            <w:left w:w="0" w:type="dxa"/>
            <w:bottom w:w="0" w:type="dxa"/>
            <w:right w:w="0" w:type="dxa"/>
          </w:tblCellMar>
        </w:tblPrEx>
        <w:trPr>
          <w:trHeight w:val="38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城市</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企业性质</w:t>
            </w:r>
          </w:p>
        </w:tc>
        <w:tc>
          <w:tcPr>
            <w:tcW w:w="10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产品名称</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价格类型</w:t>
            </w:r>
          </w:p>
        </w:tc>
        <w:tc>
          <w:tcPr>
            <w:tcW w:w="7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15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2021/9/16</w:t>
            </w:r>
          </w:p>
        </w:tc>
        <w:tc>
          <w:tcPr>
            <w:tcW w:w="12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2021/9/9</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银川市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银川市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吉林中油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海口市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海口市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6610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565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7115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565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7065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6590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6570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479</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6933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6454</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6560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6610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6570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6490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6490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6490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6550</w:t>
            </w:r>
          </w:p>
        </w:tc>
      </w:tr>
    </w:tbl>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19" w:name="_Toc6052"/>
      <w:r>
        <w:rPr>
          <w:rFonts w:hint="eastAsia" w:ascii="宋体" w:hAnsi="宋体"/>
          <w:b/>
          <w:color w:val="auto"/>
          <w:sz w:val="30"/>
          <w:szCs w:val="30"/>
          <w:lang w:val="en-US" w:eastAsia="zh-CN"/>
        </w:rPr>
        <w:t>3.5 山东地炼汽油出厂价格周报</w:t>
      </w:r>
      <w:bookmarkEnd w:id="19"/>
    </w:p>
    <w:p>
      <w:pPr>
        <w:rPr>
          <w:rFonts w:hint="eastAsia"/>
          <w:color w:val="auto"/>
          <w:lang w:val="en-US" w:eastAsia="zh-CN"/>
        </w:rPr>
      </w:pPr>
      <w:r>
        <w:rPr>
          <w:rFonts w:hint="eastAsia"/>
          <w:color w:val="auto"/>
          <w:lang w:val="en-US" w:eastAsia="zh-CN"/>
        </w:rPr>
        <w:t>单位：元/吨</w:t>
      </w:r>
    </w:p>
    <w:tbl>
      <w:tblPr>
        <w:tblStyle w:val="24"/>
        <w:tblW w:w="8954" w:type="dxa"/>
        <w:jc w:val="center"/>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shd w:val="clear" w:color="auto" w:fill="auto"/>
          <w:tblCellMar>
            <w:top w:w="0" w:type="dxa"/>
            <w:left w:w="0" w:type="dxa"/>
            <w:bottom w:w="0" w:type="dxa"/>
            <w:right w:w="0" w:type="dxa"/>
          </w:tblCellMar>
        </w:tblPrEx>
        <w:trPr>
          <w:trHeight w:val="440" w:hRule="atLeast"/>
          <w:jc w:val="center"/>
        </w:trPr>
        <w:tc>
          <w:tcPr>
            <w:tcW w:w="76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省份</w:t>
            </w:r>
          </w:p>
        </w:tc>
        <w:tc>
          <w:tcPr>
            <w:tcW w:w="85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产品名称</w:t>
            </w:r>
          </w:p>
        </w:tc>
        <w:tc>
          <w:tcPr>
            <w:tcW w:w="184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生产厂家</w:t>
            </w:r>
          </w:p>
        </w:tc>
        <w:tc>
          <w:tcPr>
            <w:tcW w:w="1334"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w:t>
            </w:r>
          </w:p>
        </w:tc>
        <w:tc>
          <w:tcPr>
            <w:tcW w:w="97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价格类型</w:t>
            </w:r>
          </w:p>
        </w:tc>
        <w:tc>
          <w:tcPr>
            <w:tcW w:w="7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2021/9/16</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2021/9/9</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亚通石化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万通化工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万通化工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7340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东方华龙</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东方华龙</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8063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7323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8173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7433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8393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中海石油东营石化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735</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7225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中海石油东营石化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755</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8075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亚通石化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687</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8208</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7521</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693</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8138</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7445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京VI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688</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8363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7675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国VIB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684</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8288</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7604</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国VIB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7765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910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华星石化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垦利石化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万达天弘</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万达天弘</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7680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寿光联盟</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寿光联盟</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7460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寿光鲁清</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寿光鲁清</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8025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7355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山东海科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8175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8175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山东海科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8375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8375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弘润石化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弘润石化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潍坊弘润</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高标国VI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昌邑石化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昌邑石化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广饶正和</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广饶正和</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永鑫化工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永鑫化工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990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8510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101#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8035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7375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7525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7725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101#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8885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8225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神驰化工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7240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神驰化工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联合石化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8013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7273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联合石化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8123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7383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7910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7280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榆林炼厂公路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榆林炼厂公路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永坪炼厂公路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延安炼厂公路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延安炼厂公路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西安临潼公路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西安临潼铁路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汽车运输</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金澳科技</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8120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7530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金澳科技</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8320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7730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0" w:name="_Toc25179"/>
      <w:r>
        <w:rPr>
          <w:rFonts w:hint="eastAsia" w:ascii="宋体" w:hAnsi="宋体"/>
          <w:b/>
          <w:color w:val="auto"/>
          <w:sz w:val="30"/>
          <w:szCs w:val="30"/>
          <w:lang w:val="en-US" w:eastAsia="zh-CN"/>
        </w:rPr>
        <w:t>3.6 山东地炼柴油出厂价格周报</w:t>
      </w:r>
      <w:bookmarkEnd w:id="20"/>
    </w:p>
    <w:p>
      <w:pPr>
        <w:rPr>
          <w:rFonts w:hint="eastAsia" w:ascii="宋体" w:hAnsi="宋体"/>
          <w:b/>
          <w:color w:val="auto"/>
          <w:sz w:val="10"/>
          <w:szCs w:val="10"/>
          <w:lang w:val="en-US" w:eastAsia="zh-CN"/>
        </w:rPr>
      </w:pPr>
      <w:r>
        <w:rPr>
          <w:rFonts w:hint="eastAsia"/>
          <w:bCs/>
          <w:color w:val="auto"/>
          <w:szCs w:val="21"/>
          <w:lang w:val="en-US" w:eastAsia="zh-CN"/>
        </w:rPr>
        <w:t>单位：元/吨</w:t>
      </w:r>
    </w:p>
    <w:p>
      <w:pPr>
        <w:rPr>
          <w:rFonts w:hint="eastAsia"/>
          <w:b/>
          <w:bCs/>
          <w:color w:val="auto"/>
          <w:lang w:val="en-US" w:eastAsia="zh-CN"/>
        </w:rPr>
      </w:pPr>
    </w:p>
    <w:tbl>
      <w:tblPr>
        <w:tblStyle w:val="24"/>
        <w:tblW w:w="8982" w:type="dxa"/>
        <w:jc w:val="center"/>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shd w:val="clear" w:color="auto" w:fill="auto"/>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bookmarkStart w:id="21" w:name="_Toc711"/>
            <w:bookmarkStart w:id="22" w:name="_Toc27167"/>
            <w:bookmarkStart w:id="23" w:name="_Toc23056"/>
            <w:bookmarkStart w:id="24" w:name="_Toc533771879"/>
            <w:r>
              <w:rPr>
                <w:rFonts w:hint="eastAsia" w:ascii="宋体" w:hAnsi="宋体" w:eastAsia="宋体" w:cs="宋体"/>
                <w:b/>
                <w:i w:val="0"/>
                <w:color w:val="auto"/>
                <w:kern w:val="0"/>
                <w:sz w:val="20"/>
                <w:szCs w:val="20"/>
                <w:u w:val="none"/>
                <w:lang w:val="en-US" w:eastAsia="zh-CN" w:bidi="ar"/>
              </w:rPr>
              <w:t>省份</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产品名称</w:t>
            </w:r>
          </w:p>
        </w:tc>
        <w:tc>
          <w:tcPr>
            <w:tcW w:w="15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生产厂家</w:t>
            </w:r>
          </w:p>
        </w:tc>
        <w:tc>
          <w:tcPr>
            <w:tcW w:w="13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w:t>
            </w:r>
          </w:p>
        </w:tc>
        <w:tc>
          <w:tcPr>
            <w:tcW w:w="9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价格类型</w:t>
            </w:r>
          </w:p>
        </w:tc>
        <w:tc>
          <w:tcPr>
            <w:tcW w:w="7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7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2021/9/16</w:t>
            </w:r>
          </w:p>
        </w:tc>
        <w:tc>
          <w:tcPr>
            <w:tcW w:w="12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0"/>
                <w:szCs w:val="20"/>
                <w:u w:val="none"/>
                <w:lang w:val="en-US" w:eastAsia="zh-CN" w:bidi="ar"/>
              </w:rPr>
              <w:t>2021/9/9</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6190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6870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6973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6293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544</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6312</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548</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6913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6365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6175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6830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6835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6285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6835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6285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520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6285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6953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6283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6180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7350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6690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560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6290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640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6930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6290</w:t>
            </w:r>
          </w:p>
        </w:tc>
      </w:tr>
    </w:tbl>
    <w:p>
      <w:pPr>
        <w:pStyle w:val="3"/>
        <w:spacing w:before="120" w:after="120" w:line="240" w:lineRule="auto"/>
        <w:rPr>
          <w:rFonts w:hint="eastAsia" w:ascii="宋体" w:hAnsi="宋体"/>
          <w:b/>
          <w:color w:val="auto"/>
          <w:sz w:val="30"/>
          <w:szCs w:val="30"/>
          <w:lang w:val="en-US" w:eastAsia="zh-CN"/>
        </w:rPr>
      </w:pPr>
      <w:r>
        <w:rPr>
          <w:rFonts w:hint="eastAsia" w:ascii="宋体" w:hAnsi="宋体"/>
          <w:b/>
          <w:color w:val="auto"/>
          <w:sz w:val="30"/>
          <w:szCs w:val="30"/>
          <w:lang w:val="en-US" w:eastAsia="zh-CN"/>
        </w:rPr>
        <w:t>四、2021年7月份进出口统计数据</w:t>
      </w:r>
      <w:bookmarkEnd w:id="21"/>
      <w:bookmarkEnd w:id="22"/>
    </w:p>
    <w:p>
      <w:pPr>
        <w:pStyle w:val="3"/>
        <w:spacing w:before="120" w:after="120" w:line="240" w:lineRule="auto"/>
        <w:rPr>
          <w:rFonts w:hint="eastAsia" w:ascii="宋体" w:hAnsi="宋体"/>
          <w:b/>
          <w:color w:val="auto"/>
          <w:sz w:val="30"/>
          <w:szCs w:val="30"/>
        </w:rPr>
      </w:pPr>
      <w:bookmarkStart w:id="25" w:name="_Toc31314"/>
      <w:bookmarkStart w:id="26" w:name="_Toc19791"/>
      <w:r>
        <w:rPr>
          <w:rFonts w:hint="eastAsia" w:ascii="宋体" w:hAnsi="宋体"/>
          <w:b/>
          <w:color w:val="auto"/>
          <w:sz w:val="30"/>
          <w:szCs w:val="30"/>
        </w:rPr>
        <w:t>4.</w:t>
      </w:r>
      <w:bookmarkEnd w:id="25"/>
      <w:bookmarkEnd w:id="26"/>
      <w:r>
        <w:rPr>
          <w:rFonts w:hint="eastAsia" w:ascii="宋体" w:hAnsi="宋体"/>
          <w:b/>
          <w:color w:val="auto"/>
          <w:sz w:val="30"/>
          <w:szCs w:val="30"/>
          <w:lang w:val="en-US" w:eastAsia="zh-CN"/>
        </w:rPr>
        <w:t xml:space="preserve">1 </w:t>
      </w:r>
      <w:r>
        <w:rPr>
          <w:rFonts w:hint="eastAsia" w:ascii="宋体" w:hAnsi="宋体"/>
          <w:b/>
          <w:color w:val="auto"/>
          <w:sz w:val="30"/>
          <w:szCs w:val="30"/>
        </w:rPr>
        <w:t>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7</w:t>
      </w:r>
      <w:r>
        <w:rPr>
          <w:rFonts w:hint="eastAsia" w:ascii="宋体" w:hAnsi="宋体"/>
          <w:b/>
          <w:color w:val="auto"/>
          <w:sz w:val="30"/>
          <w:szCs w:val="30"/>
        </w:rPr>
        <w:t>份全国车用汽油和航空汽油出口统计数据</w:t>
      </w:r>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color w:val="auto"/>
        </w:rPr>
      </w:pPr>
    </w:p>
    <w:p>
      <w:pPr>
        <w:rPr>
          <w:rFonts w:hint="eastAsia"/>
          <w:color w:val="auto"/>
        </w:rPr>
      </w:pPr>
    </w:p>
    <w:tbl>
      <w:tblPr>
        <w:tblStyle w:val="24"/>
        <w:tblW w:w="8700" w:type="dxa"/>
        <w:jc w:val="center"/>
        <w:shd w:val="clear" w:color="auto" w:fill="auto"/>
        <w:tblLayout w:type="autofit"/>
        <w:tblCellMar>
          <w:top w:w="0" w:type="dxa"/>
          <w:left w:w="0" w:type="dxa"/>
          <w:bottom w:w="0" w:type="dxa"/>
          <w:right w:w="0" w:type="dxa"/>
        </w:tblCellMar>
      </w:tblPr>
      <w:tblGrid>
        <w:gridCol w:w="3405"/>
        <w:gridCol w:w="1665"/>
        <w:gridCol w:w="1785"/>
        <w:gridCol w:w="1845"/>
      </w:tblGrid>
      <w:tr>
        <w:tblPrEx>
          <w:shd w:val="clear" w:color="auto" w:fill="auto"/>
          <w:tblCellMar>
            <w:top w:w="0" w:type="dxa"/>
            <w:left w:w="0" w:type="dxa"/>
            <w:bottom w:w="0" w:type="dxa"/>
            <w:right w:w="0" w:type="dxa"/>
          </w:tblCellMar>
        </w:tblPrEx>
        <w:trPr>
          <w:trHeight w:val="48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bookmarkStart w:id="27" w:name="_Toc31064"/>
            <w:bookmarkStart w:id="28" w:name="_Toc23995"/>
            <w:r>
              <w:rPr>
                <w:rFonts w:hint="eastAsia" w:ascii="宋体" w:hAnsi="宋体" w:eastAsia="宋体" w:cs="宋体"/>
                <w:b/>
                <w:i w:val="0"/>
                <w:color w:val="auto"/>
                <w:kern w:val="0"/>
                <w:sz w:val="20"/>
                <w:szCs w:val="20"/>
                <w:u w:val="none"/>
                <w:lang w:val="en-US" w:eastAsia="zh-CN" w:bidi="ar"/>
              </w:rPr>
              <w:t>商品名称</w:t>
            </w:r>
          </w:p>
        </w:tc>
        <w:tc>
          <w:tcPr>
            <w:tcW w:w="16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出口目的地</w:t>
            </w:r>
          </w:p>
        </w:tc>
        <w:tc>
          <w:tcPr>
            <w:tcW w:w="17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单位（吨）</w:t>
            </w:r>
          </w:p>
        </w:tc>
        <w:tc>
          <w:tcPr>
            <w:tcW w:w="1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美元</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巴基斯坦</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50292.857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33044417</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菲律宾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34000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17115600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韩国</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19945.084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9816300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马来西亚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68496.505</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42730427</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蒙古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2086.021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1448585</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缅甸</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4510.664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3080833</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日本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3951.359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2617040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新加坡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442976.923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278875133</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印度尼西亚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91247.283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56565625</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越南</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17650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12972999</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中国澳门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5754.388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3016000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740911.084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461282959</w:t>
            </w:r>
          </w:p>
        </w:tc>
      </w:tr>
    </w:tbl>
    <w:p>
      <w:pPr>
        <w:pStyle w:val="3"/>
        <w:spacing w:before="120" w:after="120" w:line="240" w:lineRule="auto"/>
        <w:rPr>
          <w:rFonts w:hint="eastAsia" w:ascii="宋体" w:hAnsi="宋体"/>
          <w:b/>
          <w:color w:val="auto"/>
          <w:sz w:val="30"/>
          <w:szCs w:val="30"/>
        </w:rPr>
      </w:pPr>
      <w:r>
        <w:rPr>
          <w:rFonts w:hint="eastAsia" w:ascii="宋体" w:hAnsi="宋体"/>
          <w:b/>
          <w:color w:val="auto"/>
          <w:sz w:val="30"/>
          <w:szCs w:val="30"/>
        </w:rPr>
        <w:t>4.2 20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7</w:t>
      </w:r>
      <w:r>
        <w:rPr>
          <w:rFonts w:hint="eastAsia" w:ascii="宋体" w:hAnsi="宋体"/>
          <w:b/>
          <w:color w:val="auto"/>
          <w:sz w:val="30"/>
          <w:szCs w:val="30"/>
        </w:rPr>
        <w:t>月份全国柴油出口统计数据</w:t>
      </w:r>
      <w:bookmarkEnd w:id="27"/>
      <w:bookmarkEnd w:id="28"/>
    </w:p>
    <w:p>
      <w:pPr>
        <w:rPr>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bookmarkStart w:id="29" w:name="_Toc16942"/>
            <w:r>
              <w:rPr>
                <w:rFonts w:hint="eastAsia" w:asciiTheme="minorEastAsia" w:hAnsiTheme="minorEastAsia" w:eastAsiaTheme="minorEastAsia" w:cstheme="minorEastAsia"/>
                <w:b/>
                <w:bCs/>
                <w:i w:val="0"/>
                <w:iCs w:val="0"/>
                <w:color w:val="auto"/>
                <w:kern w:val="0"/>
                <w:sz w:val="20"/>
                <w:szCs w:val="20"/>
                <w:u w:val="none"/>
                <w:lang w:val="en-US" w:eastAsia="zh-CN" w:bidi="ar"/>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i w:val="0"/>
                <w:iCs w:val="0"/>
                <w:color w:val="auto"/>
                <w:kern w:val="0"/>
                <w:sz w:val="20"/>
                <w:szCs w:val="20"/>
                <w:u w:val="none"/>
                <w:lang w:val="en-US" w:eastAsia="zh-CN" w:bidi="ar"/>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i w:val="0"/>
                <w:iCs w:val="0"/>
                <w:color w:val="auto"/>
                <w:kern w:val="0"/>
                <w:sz w:val="20"/>
                <w:szCs w:val="20"/>
                <w:u w:val="none"/>
                <w:lang w:val="en-US" w:eastAsia="zh-CN" w:bidi="ar"/>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i w:val="0"/>
                <w:iCs w:val="0"/>
                <w:color w:val="auto"/>
                <w:kern w:val="0"/>
                <w:sz w:val="20"/>
                <w:szCs w:val="20"/>
                <w:u w:val="none"/>
                <w:lang w:val="en-US" w:eastAsia="zh-CN" w:bidi="ar"/>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i w:val="0"/>
                <w:iCs w:val="0"/>
                <w:color w:val="auto"/>
                <w:kern w:val="0"/>
                <w:sz w:val="20"/>
                <w:szCs w:val="20"/>
                <w:u w:val="none"/>
                <w:lang w:val="en-US" w:eastAsia="zh-CN" w:bidi="ar"/>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阿尔及利亚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235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1030625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4385.64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埃塞俄比亚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116.03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458506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安提瓜和巴布达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262880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澳大利亚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236427.94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791019367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3345.71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巴哈马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2455.92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9827537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4001.57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巴拿马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15238.21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56424408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3702.82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伯利兹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452.18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1722534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3809.44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丹麦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234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908797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3883.75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多哥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154.65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592738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3832.77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俄罗斯联邦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197001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厄瓜多尔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76391.36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269428322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3526.95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法国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978.1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3613162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3694.06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菲律宾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533419.23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1884946204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3533.71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韩国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46497.68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166071474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3571.61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荷兰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1478129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基里巴斯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230681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3844.68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吉布提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201.6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761945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3779.49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柬埔寨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16430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62325850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喀麦隆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64898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4326.53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开曼群岛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71709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3585.45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克罗地亚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175256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3894.58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利比里亚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8045.76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30358691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3773.25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马耳他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2231.28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8706740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马来西亚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4869928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4869.93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马绍尔群岛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5252.86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20177648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美国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1268.8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4728301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3726.59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蒙古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1083.64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4155896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孟加拉国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94981.03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355757857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3745.57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缅甸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10121.02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43832360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4330.83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挪威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417.2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1581461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3790.65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帕劳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171.11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641450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3748.74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葡萄牙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1231.7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4659765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日本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5873.22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22138874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3769.46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塞拉利昂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656622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4103.89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塞浦路斯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865.66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3413881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3943.66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沙特阿拉伯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79.4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301009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3791.05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泰国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40202.38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141684828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图瓦卢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192234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3844.68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瓦努阿图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94.2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336551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3572.73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希腊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843855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新加坡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124744.02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449070763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3599.94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牙买加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187189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意大利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1166487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英国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2683.45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9971402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3715.89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越南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96.35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359291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3729.21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智利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39878.36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148716926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中国澳门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3425.57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9284902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2710.47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中国台湾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1395.1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5134907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3680.67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中国香港  </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115600.16</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422028687</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3650.76</w:t>
            </w:r>
          </w:p>
        </w:tc>
      </w:tr>
    </w:tbl>
    <w:p>
      <w:pPr>
        <w:pStyle w:val="3"/>
        <w:spacing w:before="120" w:after="120" w:line="240" w:lineRule="auto"/>
        <w:rPr>
          <w:rFonts w:hint="eastAsia"/>
          <w:bCs/>
          <w:color w:val="auto"/>
          <w:szCs w:val="21"/>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7</w:t>
      </w:r>
      <w:r>
        <w:rPr>
          <w:rFonts w:hint="eastAsia" w:ascii="宋体" w:hAnsi="宋体"/>
          <w:b/>
          <w:color w:val="auto"/>
          <w:sz w:val="30"/>
          <w:szCs w:val="30"/>
        </w:rPr>
        <w:t>月份全国原油进出口统计数据</w:t>
      </w:r>
      <w:bookmarkEnd w:id="23"/>
      <w:bookmarkEnd w:id="29"/>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eastAsia="宋体"/>
          <w:bCs/>
          <w:color w:val="auto"/>
          <w:szCs w:val="21"/>
          <w:lang w:eastAsia="zh-CN"/>
        </w:rPr>
      </w:pPr>
    </w:p>
    <w:tbl>
      <w:tblPr>
        <w:tblStyle w:val="24"/>
        <w:tblW w:w="4337" w:type="pct"/>
        <w:jc w:val="center"/>
        <w:tblLayout w:type="autofit"/>
        <w:tblCellMar>
          <w:top w:w="0" w:type="dxa"/>
          <w:left w:w="108" w:type="dxa"/>
          <w:bottom w:w="0" w:type="dxa"/>
          <w:right w:w="108" w:type="dxa"/>
        </w:tblCellMar>
      </w:tblPr>
      <w:tblGrid>
        <w:gridCol w:w="2459"/>
        <w:gridCol w:w="1513"/>
        <w:gridCol w:w="1936"/>
        <w:gridCol w:w="2639"/>
      </w:tblGrid>
      <w:tr>
        <w:tblPrEx>
          <w:tblCellMar>
            <w:top w:w="0" w:type="dxa"/>
            <w:left w:w="108" w:type="dxa"/>
            <w:bottom w:w="0" w:type="dxa"/>
            <w:right w:w="108" w:type="dxa"/>
          </w:tblCellMar>
        </w:tblPrEx>
        <w:trPr>
          <w:trHeight w:val="330" w:hRule="atLeast"/>
          <w:jc w:val="center"/>
        </w:trPr>
        <w:tc>
          <w:tcPr>
            <w:tcW w:w="1438"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hint="eastAsia" w:asciiTheme="minorEastAsia" w:hAnsiTheme="minorEastAsia" w:eastAsiaTheme="minorEastAsia" w:cstheme="minorEastAsia"/>
                <w:b/>
                <w:color w:val="auto"/>
                <w:sz w:val="20"/>
                <w:szCs w:val="20"/>
              </w:rPr>
            </w:pPr>
            <w:bookmarkStart w:id="30" w:name="_Toc20776"/>
            <w:bookmarkStart w:id="31" w:name="_Toc18589"/>
            <w:r>
              <w:rPr>
                <w:rFonts w:hint="eastAsia" w:asciiTheme="minorEastAsia" w:hAnsiTheme="minorEastAsia" w:eastAsiaTheme="minorEastAsia" w:cstheme="minorEastAsia"/>
                <w:b/>
                <w:color w:val="auto"/>
                <w:sz w:val="20"/>
                <w:szCs w:val="20"/>
              </w:rPr>
              <w:t>来源国（进口）</w:t>
            </w:r>
          </w:p>
        </w:tc>
        <w:tc>
          <w:tcPr>
            <w:tcW w:w="885"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万吨</w:t>
            </w:r>
          </w:p>
        </w:tc>
        <w:tc>
          <w:tcPr>
            <w:tcW w:w="1132"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万美元</w:t>
            </w:r>
          </w:p>
        </w:tc>
        <w:tc>
          <w:tcPr>
            <w:tcW w:w="1543"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均价（美元/吨）</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沙特阿拉伯</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666.85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349792.58</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524.54</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俄罗斯联邦</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663.94</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345049.46</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519.7</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伊拉克</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467.15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239822.19</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513.37</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科威特</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416.22</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222526.72</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534.64</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阿曼</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367.47</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194880.23</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530.32</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安哥拉</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291.97</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155834.95</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533.74</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巴西</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243.43</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128460.83</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527.71</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阿联酋</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191.3</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101069.12</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528.34</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马来西亚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118.21</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57536.69</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486.75</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美国</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78.43</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45614.9</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581.63</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挪威</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69.07</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37212.83</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538.79</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英国</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65.65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36654.12</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558.3</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卡塔尔</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63.21</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35609.21</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563.32</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厄瓜多尔</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60.8</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29490.07</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485.04</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哥伦比亚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53.75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25834.73</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480.67</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哈萨克斯坦</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48.92</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27553.41</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563.2</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尼日利亚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46.06</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24915.8</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540.99</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加纳</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38.35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20813.94</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542.68</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利比亚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26.05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14259.61</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547.35</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加蓬</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25.8</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14716.95</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570.33</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赤道几内亚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24.83</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14421.38</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580.78</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加拿大</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21.14</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9851.58</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466.05</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印度尼西亚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15.45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8767.4</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567.51</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也门</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13.19</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7451.33</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565</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刚果(布)</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13.01</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6752.67</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519.06</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刚果(金)</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12.46</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6813.5</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546.79</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越南</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7.01</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4058.71</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579.03</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蒙古</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6.63</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2746.9</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414.43</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埃及</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5.94</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3340.12</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562.28</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圭亚那</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1.98</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1021.28</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516.22</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00B0F0"/>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合计</w:t>
            </w:r>
          </w:p>
        </w:tc>
        <w:tc>
          <w:tcPr>
            <w:tcW w:w="885" w:type="pct"/>
            <w:tcBorders>
              <w:top w:val="nil"/>
              <w:left w:val="nil"/>
              <w:bottom w:val="single" w:color="auto" w:sz="4" w:space="0"/>
              <w:right w:val="single" w:color="auto" w:sz="4" w:space="0"/>
            </w:tcBorders>
            <w:shd w:val="clear" w:color="auto" w:fill="00B0F0"/>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4124.27</w:t>
            </w:r>
          </w:p>
        </w:tc>
        <w:tc>
          <w:tcPr>
            <w:tcW w:w="1132" w:type="pct"/>
            <w:tcBorders>
              <w:top w:val="nil"/>
              <w:left w:val="nil"/>
              <w:bottom w:val="single" w:color="auto" w:sz="4" w:space="0"/>
              <w:right w:val="single" w:color="auto" w:sz="4" w:space="0"/>
            </w:tcBorders>
            <w:shd w:val="clear" w:color="auto" w:fill="00B0F0"/>
            <w:noWrap w:val="0"/>
            <w:vAlign w:val="center"/>
          </w:tcPr>
          <w:p>
            <w:pPr>
              <w:widowControl/>
              <w:wordWrap w:val="0"/>
              <w:spacing w:after="90" w:line="288" w:lineRule="auto"/>
              <w:jc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2172873.24</w:t>
            </w:r>
          </w:p>
        </w:tc>
        <w:tc>
          <w:tcPr>
            <w:tcW w:w="1543" w:type="pct"/>
            <w:tcBorders>
              <w:top w:val="nil"/>
              <w:left w:val="nil"/>
              <w:bottom w:val="single" w:color="auto" w:sz="4" w:space="0"/>
              <w:right w:val="single" w:color="auto" w:sz="4" w:space="0"/>
            </w:tcBorders>
            <w:shd w:val="clear" w:color="auto" w:fill="00B0F0"/>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526.85</w:t>
            </w:r>
          </w:p>
        </w:tc>
      </w:tr>
    </w:tbl>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p>
    <w:tbl>
      <w:tblPr>
        <w:tblStyle w:val="24"/>
        <w:tblW w:w="4342" w:type="pct"/>
        <w:tblInd w:w="645" w:type="dxa"/>
        <w:tblLayout w:type="autofit"/>
        <w:tblCellMar>
          <w:top w:w="0" w:type="dxa"/>
          <w:left w:w="108" w:type="dxa"/>
          <w:bottom w:w="0" w:type="dxa"/>
          <w:right w:w="108" w:type="dxa"/>
        </w:tblCellMar>
      </w:tblPr>
      <w:tblGrid>
        <w:gridCol w:w="2443"/>
        <w:gridCol w:w="1531"/>
        <w:gridCol w:w="1919"/>
        <w:gridCol w:w="2664"/>
      </w:tblGrid>
      <w:tr>
        <w:tblPrEx>
          <w:tblCellMar>
            <w:top w:w="0" w:type="dxa"/>
            <w:left w:w="108" w:type="dxa"/>
            <w:bottom w:w="0" w:type="dxa"/>
            <w:right w:w="108" w:type="dxa"/>
          </w:tblCellMar>
        </w:tblPrEx>
        <w:trPr>
          <w:trHeight w:val="524" w:hRule="atLeast"/>
        </w:trPr>
        <w:tc>
          <w:tcPr>
            <w:tcW w:w="1427"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wordWrap w:val="0"/>
              <w:spacing w:after="90" w:line="288" w:lineRule="auto"/>
              <w:ind w:firstLine="480"/>
              <w:jc w:val="left"/>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出口国家</w:t>
            </w:r>
          </w:p>
        </w:tc>
        <w:tc>
          <w:tcPr>
            <w:tcW w:w="894" w:type="pct"/>
            <w:tcBorders>
              <w:top w:val="single" w:color="auto" w:sz="4" w:space="0"/>
              <w:left w:val="nil"/>
              <w:bottom w:val="single" w:color="auto" w:sz="4" w:space="0"/>
              <w:right w:val="single" w:color="auto" w:sz="4" w:space="0"/>
            </w:tcBorders>
            <w:shd w:val="clear" w:color="000000" w:fill="00B0F0"/>
            <w:noWrap w:val="0"/>
            <w:vAlign w:val="bottom"/>
          </w:tcPr>
          <w:p>
            <w:pPr>
              <w:widowControl/>
              <w:wordWrap w:val="0"/>
              <w:spacing w:after="90" w:line="288" w:lineRule="auto"/>
              <w:ind w:firstLine="480"/>
              <w:jc w:val="left"/>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万吨</w:t>
            </w:r>
          </w:p>
        </w:tc>
        <w:tc>
          <w:tcPr>
            <w:tcW w:w="1121" w:type="pct"/>
            <w:tcBorders>
              <w:top w:val="single" w:color="auto" w:sz="4" w:space="0"/>
              <w:left w:val="nil"/>
              <w:bottom w:val="single" w:color="auto" w:sz="4" w:space="0"/>
              <w:right w:val="single" w:color="auto" w:sz="4" w:space="0"/>
            </w:tcBorders>
            <w:shd w:val="clear" w:color="000000" w:fill="00B0F0"/>
            <w:noWrap w:val="0"/>
            <w:vAlign w:val="bottom"/>
          </w:tcPr>
          <w:p>
            <w:pPr>
              <w:widowControl/>
              <w:wordWrap w:val="0"/>
              <w:spacing w:after="90" w:line="288" w:lineRule="auto"/>
              <w:ind w:firstLine="480"/>
              <w:jc w:val="left"/>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万美元</w:t>
            </w:r>
          </w:p>
        </w:tc>
        <w:tc>
          <w:tcPr>
            <w:tcW w:w="1556" w:type="pct"/>
            <w:tcBorders>
              <w:top w:val="single" w:color="auto" w:sz="4" w:space="0"/>
              <w:left w:val="nil"/>
              <w:bottom w:val="single" w:color="auto" w:sz="4" w:space="0"/>
              <w:right w:val="single" w:color="auto" w:sz="4" w:space="0"/>
            </w:tcBorders>
            <w:shd w:val="clear" w:color="000000" w:fill="00B0F0"/>
            <w:noWrap w:val="0"/>
            <w:vAlign w:val="bottom"/>
          </w:tcPr>
          <w:p>
            <w:pPr>
              <w:widowControl/>
              <w:wordWrap w:val="0"/>
              <w:spacing w:after="90" w:line="288" w:lineRule="auto"/>
              <w:jc w:val="left"/>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均价（美元/吨）</w:t>
            </w:r>
          </w:p>
        </w:tc>
      </w:tr>
      <w:tr>
        <w:tblPrEx>
          <w:tblCellMar>
            <w:top w:w="0" w:type="dxa"/>
            <w:left w:w="108" w:type="dxa"/>
            <w:bottom w:w="0" w:type="dxa"/>
            <w:right w:w="108" w:type="dxa"/>
          </w:tblCellMar>
        </w:tblPrEx>
        <w:trPr>
          <w:trHeight w:val="270" w:hRule="atLeast"/>
        </w:trPr>
        <w:tc>
          <w:tcPr>
            <w:tcW w:w="1427"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缅甸</w:t>
            </w:r>
          </w:p>
        </w:tc>
        <w:tc>
          <w:tcPr>
            <w:tcW w:w="894"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27.66</w:t>
            </w:r>
          </w:p>
        </w:tc>
        <w:tc>
          <w:tcPr>
            <w:tcW w:w="1121"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13.19</w:t>
            </w:r>
          </w:p>
        </w:tc>
        <w:tc>
          <w:tcPr>
            <w:tcW w:w="1556"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476.85</w:t>
            </w:r>
          </w:p>
        </w:tc>
      </w:tr>
      <w:tr>
        <w:tblPrEx>
          <w:tblCellMar>
            <w:top w:w="0" w:type="dxa"/>
            <w:left w:w="108" w:type="dxa"/>
            <w:bottom w:w="0" w:type="dxa"/>
            <w:right w:w="108" w:type="dxa"/>
          </w:tblCellMar>
        </w:tblPrEx>
        <w:trPr>
          <w:trHeight w:val="270" w:hRule="atLeast"/>
        </w:trPr>
        <w:tc>
          <w:tcPr>
            <w:tcW w:w="1427"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韩国</w:t>
            </w:r>
          </w:p>
        </w:tc>
        <w:tc>
          <w:tcPr>
            <w:tcW w:w="894"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31.75</w:t>
            </w:r>
          </w:p>
        </w:tc>
        <w:tc>
          <w:tcPr>
            <w:tcW w:w="1121"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10.45</w:t>
            </w:r>
          </w:p>
        </w:tc>
        <w:tc>
          <w:tcPr>
            <w:tcW w:w="1556"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329.01</w:t>
            </w:r>
          </w:p>
        </w:tc>
      </w:tr>
    </w:tbl>
    <w:p>
      <w:pPr>
        <w:widowControl/>
        <w:jc w:val="both"/>
        <w:rPr>
          <w:rFonts w:hint="eastAsia" w:ascii="宋体" w:hAnsi="宋体" w:cs="宋体"/>
          <w:color w:val="auto"/>
          <w:kern w:val="0"/>
          <w:szCs w:val="21"/>
        </w:rPr>
      </w:pPr>
    </w:p>
    <w:p>
      <w:pPr>
        <w:pStyle w:val="3"/>
        <w:spacing w:before="120" w:after="120" w:line="240" w:lineRule="auto"/>
        <w:rPr>
          <w:rFonts w:hint="eastAsia" w:ascii="宋体" w:hAnsi="宋体"/>
          <w:b/>
          <w:color w:val="auto"/>
          <w:sz w:val="30"/>
          <w:szCs w:val="30"/>
        </w:rPr>
      </w:pPr>
      <w:r>
        <w:rPr>
          <w:rFonts w:hint="eastAsia" w:ascii="宋体" w:hAnsi="宋体"/>
          <w:b/>
          <w:color w:val="auto"/>
          <w:sz w:val="30"/>
          <w:szCs w:val="30"/>
        </w:rPr>
        <w:t>4.4 20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7</w:t>
      </w:r>
      <w:r>
        <w:rPr>
          <w:rFonts w:hint="eastAsia" w:ascii="宋体" w:hAnsi="宋体"/>
          <w:b/>
          <w:color w:val="auto"/>
          <w:sz w:val="30"/>
          <w:szCs w:val="30"/>
        </w:rPr>
        <w:t>月份航空煤油进出口统计数据</w:t>
      </w:r>
      <w:bookmarkEnd w:id="30"/>
      <w:bookmarkEnd w:id="31"/>
    </w:p>
    <w:p>
      <w:pPr>
        <w:ind w:firstLine="420" w:firstLineChars="200"/>
        <w:jc w:val="left"/>
        <w:rPr>
          <w:rFonts w:hint="eastAsia" w:ascii="宋体" w:hAnsi="宋体"/>
          <w:color w:val="auto"/>
        </w:rPr>
      </w:pPr>
      <w:r>
        <w:rPr>
          <w:rFonts w:hint="eastAsia" w:ascii="宋体" w:hAnsi="宋体"/>
          <w:color w:val="auto"/>
        </w:rPr>
        <w:t>单位：</w:t>
      </w:r>
      <w:r>
        <w:rPr>
          <w:rFonts w:hint="eastAsia" w:ascii="宋体" w:hAnsi="宋体"/>
          <w:color w:val="auto"/>
          <w:lang w:eastAsia="zh-CN"/>
        </w:rPr>
        <w:t>吨</w:t>
      </w:r>
      <w:r>
        <w:rPr>
          <w:rFonts w:hint="eastAsia" w:ascii="宋体" w:hAnsi="宋体"/>
          <w:color w:val="auto"/>
        </w:rPr>
        <w:t>，美元</w:t>
      </w:r>
    </w:p>
    <w:p>
      <w:pPr>
        <w:ind w:firstLine="420" w:firstLineChars="200"/>
        <w:jc w:val="left"/>
        <w:rPr>
          <w:rFonts w:hint="eastAsia" w:ascii="宋体" w:hAnsi="宋体"/>
          <w:color w:val="auto"/>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
                <w:bCs w:val="0"/>
                <w:color w:val="auto"/>
                <w:kern w:val="0"/>
                <w:sz w:val="20"/>
                <w:szCs w:val="20"/>
              </w:rPr>
            </w:pPr>
            <w:r>
              <w:rPr>
                <w:rFonts w:hint="eastAsia" w:asciiTheme="minorEastAsia" w:hAnsiTheme="minorEastAsia" w:eastAsiaTheme="minorEastAsia" w:cstheme="minorEastAsia"/>
                <w:b/>
                <w:bCs w:val="0"/>
                <w:color w:val="auto"/>
                <w:kern w:val="0"/>
                <w:sz w:val="20"/>
                <w:szCs w:val="20"/>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
                <w:bCs w:val="0"/>
                <w:color w:val="auto"/>
                <w:kern w:val="0"/>
                <w:sz w:val="20"/>
                <w:szCs w:val="20"/>
              </w:rPr>
            </w:pPr>
            <w:r>
              <w:rPr>
                <w:rFonts w:hint="eastAsia" w:asciiTheme="minorEastAsia" w:hAnsiTheme="minorEastAsia" w:eastAsiaTheme="minorEastAsia" w:cstheme="minorEastAsia"/>
                <w:b/>
                <w:bCs w:val="0"/>
                <w:color w:val="auto"/>
                <w:kern w:val="0"/>
                <w:sz w:val="20"/>
                <w:szCs w:val="20"/>
              </w:rPr>
              <w:t>出口</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7月进口量:59741.05（吨）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7月出口量:662170.14（吨）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累计进口量:869520.65(吨）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累计出口量:4386437.157（吨）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当月进口均价:4061.36（元/吨）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当月出口均价:3686.48（元/吨）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累计进口均价：24412.41（元/吨）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累计出口均价:22663.72（元/吨）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进口量环比:-48.67%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出口量环比：-27.25%</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进口量同比：-75.44%</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出口量同比：108.92%</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累计进口量比去年同期：-54.21%</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累计出口量比去年同期：-45.77%</w:t>
            </w:r>
          </w:p>
        </w:tc>
      </w:tr>
    </w:tbl>
    <w:p>
      <w:pPr>
        <w:rPr>
          <w:color w:val="auto"/>
        </w:rPr>
      </w:pPr>
    </w:p>
    <w:p>
      <w:pPr>
        <w:rPr>
          <w:color w:val="auto"/>
        </w:rPr>
      </w:pPr>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E935C49C"/>
    <w:multiLevelType w:val="singleLevel"/>
    <w:tmpl w:val="E935C49C"/>
    <w:lvl w:ilvl="0" w:tentative="0">
      <w:start w:val="1"/>
      <w:numFmt w:val="decimal"/>
      <w:suff w:val="nothing"/>
      <w:lvlText w:val="%1、"/>
      <w:lvlJc w:val="left"/>
    </w:lvl>
  </w:abstractNum>
  <w:abstractNum w:abstractNumId="2">
    <w:nsid w:val="06709E88"/>
    <w:multiLevelType w:val="singleLevel"/>
    <w:tmpl w:val="06709E8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2210D"/>
    <w:rsid w:val="018C042F"/>
    <w:rsid w:val="019139BB"/>
    <w:rsid w:val="01A95B6A"/>
    <w:rsid w:val="01BD1D63"/>
    <w:rsid w:val="01ED4894"/>
    <w:rsid w:val="01F27845"/>
    <w:rsid w:val="01FE2CFE"/>
    <w:rsid w:val="02353D60"/>
    <w:rsid w:val="023C6B28"/>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84ED7"/>
    <w:rsid w:val="047A62BA"/>
    <w:rsid w:val="048101D3"/>
    <w:rsid w:val="048A2C1B"/>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B7720"/>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0339A1"/>
    <w:rsid w:val="0718687A"/>
    <w:rsid w:val="071A60E7"/>
    <w:rsid w:val="071C4EDC"/>
    <w:rsid w:val="071D082B"/>
    <w:rsid w:val="07243E5A"/>
    <w:rsid w:val="07252677"/>
    <w:rsid w:val="07272AF3"/>
    <w:rsid w:val="07526E8D"/>
    <w:rsid w:val="0759111C"/>
    <w:rsid w:val="07594F06"/>
    <w:rsid w:val="076C6634"/>
    <w:rsid w:val="07743510"/>
    <w:rsid w:val="07820AB4"/>
    <w:rsid w:val="07836EEE"/>
    <w:rsid w:val="07906BB7"/>
    <w:rsid w:val="079B346A"/>
    <w:rsid w:val="079D7717"/>
    <w:rsid w:val="07B872E0"/>
    <w:rsid w:val="07B939E0"/>
    <w:rsid w:val="07CB2E31"/>
    <w:rsid w:val="07CC2D78"/>
    <w:rsid w:val="07CC4016"/>
    <w:rsid w:val="07D15C8A"/>
    <w:rsid w:val="07E05AA3"/>
    <w:rsid w:val="07E76A1F"/>
    <w:rsid w:val="07F17792"/>
    <w:rsid w:val="080158C0"/>
    <w:rsid w:val="0809715C"/>
    <w:rsid w:val="080A4814"/>
    <w:rsid w:val="0817293A"/>
    <w:rsid w:val="0820276D"/>
    <w:rsid w:val="082F1BCD"/>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CB3165"/>
    <w:rsid w:val="09E0028A"/>
    <w:rsid w:val="09E31010"/>
    <w:rsid w:val="09ED009F"/>
    <w:rsid w:val="09F11ACB"/>
    <w:rsid w:val="09F94B23"/>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721C38"/>
    <w:rsid w:val="0B860805"/>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7B6AED"/>
    <w:rsid w:val="0C7F402D"/>
    <w:rsid w:val="0C822A19"/>
    <w:rsid w:val="0C930A24"/>
    <w:rsid w:val="0C9F5640"/>
    <w:rsid w:val="0CAA3B04"/>
    <w:rsid w:val="0CB81916"/>
    <w:rsid w:val="0CD123E3"/>
    <w:rsid w:val="0CD35464"/>
    <w:rsid w:val="0CE32FB8"/>
    <w:rsid w:val="0CE44838"/>
    <w:rsid w:val="0CEA48B8"/>
    <w:rsid w:val="0D206C21"/>
    <w:rsid w:val="0D4A442D"/>
    <w:rsid w:val="0D731CA1"/>
    <w:rsid w:val="0D735A75"/>
    <w:rsid w:val="0D775B07"/>
    <w:rsid w:val="0D79688B"/>
    <w:rsid w:val="0D8323A4"/>
    <w:rsid w:val="0D893BAC"/>
    <w:rsid w:val="0D952410"/>
    <w:rsid w:val="0D9F3354"/>
    <w:rsid w:val="0DA370DA"/>
    <w:rsid w:val="0DA7099A"/>
    <w:rsid w:val="0DB01CE1"/>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6527F"/>
    <w:rsid w:val="0E9742FB"/>
    <w:rsid w:val="0E9E354A"/>
    <w:rsid w:val="0EAF107B"/>
    <w:rsid w:val="0EB4347F"/>
    <w:rsid w:val="0EBE27AA"/>
    <w:rsid w:val="0EBF19BF"/>
    <w:rsid w:val="0EC1627E"/>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C4660"/>
    <w:rsid w:val="10957382"/>
    <w:rsid w:val="109865FB"/>
    <w:rsid w:val="10A277F2"/>
    <w:rsid w:val="10BA0A0E"/>
    <w:rsid w:val="10CE39DE"/>
    <w:rsid w:val="10D36AEF"/>
    <w:rsid w:val="10FA6B68"/>
    <w:rsid w:val="10FF5E5F"/>
    <w:rsid w:val="11153BAA"/>
    <w:rsid w:val="11190B98"/>
    <w:rsid w:val="11230D2F"/>
    <w:rsid w:val="11247901"/>
    <w:rsid w:val="11365062"/>
    <w:rsid w:val="11422692"/>
    <w:rsid w:val="11590029"/>
    <w:rsid w:val="115A59A8"/>
    <w:rsid w:val="115F1C27"/>
    <w:rsid w:val="11672A0E"/>
    <w:rsid w:val="116E3E23"/>
    <w:rsid w:val="117F7F48"/>
    <w:rsid w:val="11BC3D8A"/>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E533B9"/>
    <w:rsid w:val="12F6517F"/>
    <w:rsid w:val="13086577"/>
    <w:rsid w:val="130B0E2B"/>
    <w:rsid w:val="130B16E4"/>
    <w:rsid w:val="13267B35"/>
    <w:rsid w:val="133E41B0"/>
    <w:rsid w:val="134A6D86"/>
    <w:rsid w:val="13594CF7"/>
    <w:rsid w:val="135A728A"/>
    <w:rsid w:val="1367698A"/>
    <w:rsid w:val="13772D89"/>
    <w:rsid w:val="138744BB"/>
    <w:rsid w:val="13985227"/>
    <w:rsid w:val="13A21C4C"/>
    <w:rsid w:val="13AA18EC"/>
    <w:rsid w:val="13B45FC3"/>
    <w:rsid w:val="13BF46FA"/>
    <w:rsid w:val="13C924DB"/>
    <w:rsid w:val="13D07AB0"/>
    <w:rsid w:val="13D72D76"/>
    <w:rsid w:val="13DB164D"/>
    <w:rsid w:val="13E7373B"/>
    <w:rsid w:val="13EC16FF"/>
    <w:rsid w:val="13F712B9"/>
    <w:rsid w:val="13FE142E"/>
    <w:rsid w:val="1402032F"/>
    <w:rsid w:val="14176463"/>
    <w:rsid w:val="141828DA"/>
    <w:rsid w:val="144B6D3F"/>
    <w:rsid w:val="14522844"/>
    <w:rsid w:val="14546EAA"/>
    <w:rsid w:val="147759A4"/>
    <w:rsid w:val="147A75E5"/>
    <w:rsid w:val="14997CF1"/>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5800EE"/>
    <w:rsid w:val="155B6178"/>
    <w:rsid w:val="15615E0F"/>
    <w:rsid w:val="156D2843"/>
    <w:rsid w:val="15701AB8"/>
    <w:rsid w:val="15786279"/>
    <w:rsid w:val="15892652"/>
    <w:rsid w:val="159001BC"/>
    <w:rsid w:val="15965FE2"/>
    <w:rsid w:val="15AA23F1"/>
    <w:rsid w:val="15B1437C"/>
    <w:rsid w:val="15B939D5"/>
    <w:rsid w:val="15D1187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94D7A"/>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F1331"/>
    <w:rsid w:val="18AD026B"/>
    <w:rsid w:val="18B70A2B"/>
    <w:rsid w:val="18CA2202"/>
    <w:rsid w:val="18CA4E8D"/>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EB2E88"/>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1669BA"/>
    <w:rsid w:val="1C1C3102"/>
    <w:rsid w:val="1C2230E8"/>
    <w:rsid w:val="1C251540"/>
    <w:rsid w:val="1C2E2C8D"/>
    <w:rsid w:val="1C2E3B22"/>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4062B7"/>
    <w:rsid w:val="1E450B99"/>
    <w:rsid w:val="1E4D2825"/>
    <w:rsid w:val="1E5542CC"/>
    <w:rsid w:val="1E64791C"/>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8018B"/>
    <w:rsid w:val="209323D8"/>
    <w:rsid w:val="209327AA"/>
    <w:rsid w:val="20990A3E"/>
    <w:rsid w:val="20AD55FF"/>
    <w:rsid w:val="20C12FDC"/>
    <w:rsid w:val="20C55A62"/>
    <w:rsid w:val="20D06ACE"/>
    <w:rsid w:val="20D80D12"/>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C30EF9"/>
    <w:rsid w:val="21CB7C2D"/>
    <w:rsid w:val="21D956E3"/>
    <w:rsid w:val="21E74352"/>
    <w:rsid w:val="21EB64F4"/>
    <w:rsid w:val="21EF7C0A"/>
    <w:rsid w:val="22146206"/>
    <w:rsid w:val="221551D8"/>
    <w:rsid w:val="224441F7"/>
    <w:rsid w:val="224E7428"/>
    <w:rsid w:val="224F414D"/>
    <w:rsid w:val="2261560B"/>
    <w:rsid w:val="227918A6"/>
    <w:rsid w:val="2291582E"/>
    <w:rsid w:val="22944164"/>
    <w:rsid w:val="229674ED"/>
    <w:rsid w:val="22AC485D"/>
    <w:rsid w:val="22BB509A"/>
    <w:rsid w:val="22D174A6"/>
    <w:rsid w:val="22D2551D"/>
    <w:rsid w:val="22E67532"/>
    <w:rsid w:val="22F80176"/>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E71D4D"/>
    <w:rsid w:val="23EF13A7"/>
    <w:rsid w:val="23F7720B"/>
    <w:rsid w:val="24086432"/>
    <w:rsid w:val="240F1052"/>
    <w:rsid w:val="241751AE"/>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922FF3"/>
    <w:rsid w:val="25955E96"/>
    <w:rsid w:val="259B6E31"/>
    <w:rsid w:val="259E33E1"/>
    <w:rsid w:val="25A05607"/>
    <w:rsid w:val="25A07C39"/>
    <w:rsid w:val="25AF1FA5"/>
    <w:rsid w:val="25B677AD"/>
    <w:rsid w:val="25B904A8"/>
    <w:rsid w:val="25D93662"/>
    <w:rsid w:val="25E06259"/>
    <w:rsid w:val="25FD0304"/>
    <w:rsid w:val="260517C6"/>
    <w:rsid w:val="2606044C"/>
    <w:rsid w:val="26090E12"/>
    <w:rsid w:val="260D6565"/>
    <w:rsid w:val="261447E7"/>
    <w:rsid w:val="26162D47"/>
    <w:rsid w:val="26313BB1"/>
    <w:rsid w:val="26417898"/>
    <w:rsid w:val="26442276"/>
    <w:rsid w:val="26444B63"/>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D7030"/>
    <w:rsid w:val="27007370"/>
    <w:rsid w:val="27080E2E"/>
    <w:rsid w:val="270D21C6"/>
    <w:rsid w:val="270D2595"/>
    <w:rsid w:val="27251F41"/>
    <w:rsid w:val="27296336"/>
    <w:rsid w:val="273301A4"/>
    <w:rsid w:val="2743251A"/>
    <w:rsid w:val="277E59D2"/>
    <w:rsid w:val="277F5A23"/>
    <w:rsid w:val="279E36DD"/>
    <w:rsid w:val="27A7464B"/>
    <w:rsid w:val="27C37DE6"/>
    <w:rsid w:val="27EA2797"/>
    <w:rsid w:val="28011EB5"/>
    <w:rsid w:val="28092464"/>
    <w:rsid w:val="2810409B"/>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B3259C"/>
    <w:rsid w:val="2BBF0DDA"/>
    <w:rsid w:val="2BC674EF"/>
    <w:rsid w:val="2BE5055C"/>
    <w:rsid w:val="2BED5A7C"/>
    <w:rsid w:val="2BF858F4"/>
    <w:rsid w:val="2BFC3C2B"/>
    <w:rsid w:val="2BFC6315"/>
    <w:rsid w:val="2BFD5564"/>
    <w:rsid w:val="2C054251"/>
    <w:rsid w:val="2C2E0403"/>
    <w:rsid w:val="2C4C1107"/>
    <w:rsid w:val="2C785C6A"/>
    <w:rsid w:val="2C7C5CC5"/>
    <w:rsid w:val="2C811341"/>
    <w:rsid w:val="2C823F4E"/>
    <w:rsid w:val="2C9D3080"/>
    <w:rsid w:val="2CA44349"/>
    <w:rsid w:val="2CAD067B"/>
    <w:rsid w:val="2CBD69A8"/>
    <w:rsid w:val="2CF30447"/>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65256"/>
    <w:rsid w:val="30427218"/>
    <w:rsid w:val="304D2D36"/>
    <w:rsid w:val="304D5CB2"/>
    <w:rsid w:val="305001C5"/>
    <w:rsid w:val="3055125A"/>
    <w:rsid w:val="30664FDE"/>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77458F"/>
    <w:rsid w:val="3189708E"/>
    <w:rsid w:val="318B1F3D"/>
    <w:rsid w:val="3193741E"/>
    <w:rsid w:val="3194005A"/>
    <w:rsid w:val="319434F7"/>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427A9A"/>
    <w:rsid w:val="32574FD8"/>
    <w:rsid w:val="325C547C"/>
    <w:rsid w:val="32646DB1"/>
    <w:rsid w:val="326C29F6"/>
    <w:rsid w:val="327B3D21"/>
    <w:rsid w:val="327C3888"/>
    <w:rsid w:val="329338D7"/>
    <w:rsid w:val="32945DAC"/>
    <w:rsid w:val="329B3155"/>
    <w:rsid w:val="329C631F"/>
    <w:rsid w:val="32A24DE0"/>
    <w:rsid w:val="32AB0897"/>
    <w:rsid w:val="32AE266E"/>
    <w:rsid w:val="32CB3A84"/>
    <w:rsid w:val="32CD7010"/>
    <w:rsid w:val="32CE45BC"/>
    <w:rsid w:val="32D9201A"/>
    <w:rsid w:val="32E42D0F"/>
    <w:rsid w:val="32E779A4"/>
    <w:rsid w:val="330D4D94"/>
    <w:rsid w:val="33435E16"/>
    <w:rsid w:val="335F11B3"/>
    <w:rsid w:val="337B12FB"/>
    <w:rsid w:val="33846435"/>
    <w:rsid w:val="339C5454"/>
    <w:rsid w:val="33A258FF"/>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C79C0"/>
    <w:rsid w:val="34E32E56"/>
    <w:rsid w:val="34EC4B86"/>
    <w:rsid w:val="351321CB"/>
    <w:rsid w:val="351B4997"/>
    <w:rsid w:val="35367A72"/>
    <w:rsid w:val="355171EC"/>
    <w:rsid w:val="355E299F"/>
    <w:rsid w:val="355E6D49"/>
    <w:rsid w:val="35671EE7"/>
    <w:rsid w:val="3572663B"/>
    <w:rsid w:val="357D4C50"/>
    <w:rsid w:val="3591419B"/>
    <w:rsid w:val="35925B04"/>
    <w:rsid w:val="35963717"/>
    <w:rsid w:val="35AB2A03"/>
    <w:rsid w:val="35AF3549"/>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253136"/>
    <w:rsid w:val="38372548"/>
    <w:rsid w:val="384570A4"/>
    <w:rsid w:val="38467A04"/>
    <w:rsid w:val="386B3F4B"/>
    <w:rsid w:val="38747E42"/>
    <w:rsid w:val="38781C56"/>
    <w:rsid w:val="38931748"/>
    <w:rsid w:val="38A140CE"/>
    <w:rsid w:val="38B54C1A"/>
    <w:rsid w:val="38C30240"/>
    <w:rsid w:val="38C8796D"/>
    <w:rsid w:val="38CF65F7"/>
    <w:rsid w:val="38D113BF"/>
    <w:rsid w:val="38D30895"/>
    <w:rsid w:val="38D5511D"/>
    <w:rsid w:val="38DB4DD5"/>
    <w:rsid w:val="38E80213"/>
    <w:rsid w:val="38E95212"/>
    <w:rsid w:val="38F3691D"/>
    <w:rsid w:val="3909408E"/>
    <w:rsid w:val="391C1C7A"/>
    <w:rsid w:val="39465968"/>
    <w:rsid w:val="394D1A3B"/>
    <w:rsid w:val="394F4D33"/>
    <w:rsid w:val="39514262"/>
    <w:rsid w:val="39600E80"/>
    <w:rsid w:val="39803383"/>
    <w:rsid w:val="399A429F"/>
    <w:rsid w:val="399B72BC"/>
    <w:rsid w:val="39A73391"/>
    <w:rsid w:val="39A95A0D"/>
    <w:rsid w:val="39C70EC1"/>
    <w:rsid w:val="39D80C94"/>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D9763C"/>
    <w:rsid w:val="3AEC01AD"/>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BFC12CF"/>
    <w:rsid w:val="3C173EBE"/>
    <w:rsid w:val="3C211702"/>
    <w:rsid w:val="3C302F03"/>
    <w:rsid w:val="3C317DDD"/>
    <w:rsid w:val="3C336F35"/>
    <w:rsid w:val="3C3D3F09"/>
    <w:rsid w:val="3C457CDF"/>
    <w:rsid w:val="3C61573F"/>
    <w:rsid w:val="3C6E3E60"/>
    <w:rsid w:val="3C742BEB"/>
    <w:rsid w:val="3C744F7F"/>
    <w:rsid w:val="3C857740"/>
    <w:rsid w:val="3C8E02B7"/>
    <w:rsid w:val="3CA732CA"/>
    <w:rsid w:val="3CB004C5"/>
    <w:rsid w:val="3CB35047"/>
    <w:rsid w:val="3CB47F7E"/>
    <w:rsid w:val="3CB603EF"/>
    <w:rsid w:val="3CD00E00"/>
    <w:rsid w:val="3CD82621"/>
    <w:rsid w:val="3CDD69B2"/>
    <w:rsid w:val="3CEA693F"/>
    <w:rsid w:val="3CEF1648"/>
    <w:rsid w:val="3D015E10"/>
    <w:rsid w:val="3D0D0F5F"/>
    <w:rsid w:val="3D0D55A5"/>
    <w:rsid w:val="3D187CD8"/>
    <w:rsid w:val="3D324998"/>
    <w:rsid w:val="3D354C10"/>
    <w:rsid w:val="3D475AFB"/>
    <w:rsid w:val="3D4C43AF"/>
    <w:rsid w:val="3D502422"/>
    <w:rsid w:val="3D5275CE"/>
    <w:rsid w:val="3D5404DD"/>
    <w:rsid w:val="3D5941EB"/>
    <w:rsid w:val="3D5C2503"/>
    <w:rsid w:val="3D6341E4"/>
    <w:rsid w:val="3D6A48AA"/>
    <w:rsid w:val="3D6D23E3"/>
    <w:rsid w:val="3D7C1281"/>
    <w:rsid w:val="3D821B83"/>
    <w:rsid w:val="3D8D1DDC"/>
    <w:rsid w:val="3D8E6A74"/>
    <w:rsid w:val="3D995C7E"/>
    <w:rsid w:val="3DA61EAB"/>
    <w:rsid w:val="3DB60CC1"/>
    <w:rsid w:val="3DBA29C6"/>
    <w:rsid w:val="3DCE2E82"/>
    <w:rsid w:val="3DD2333F"/>
    <w:rsid w:val="3DEC316F"/>
    <w:rsid w:val="3E000E38"/>
    <w:rsid w:val="3E037731"/>
    <w:rsid w:val="3E0F09D9"/>
    <w:rsid w:val="3E1646C1"/>
    <w:rsid w:val="3E247488"/>
    <w:rsid w:val="3E305EE4"/>
    <w:rsid w:val="3E360DF6"/>
    <w:rsid w:val="3E3D25F5"/>
    <w:rsid w:val="3E4E6762"/>
    <w:rsid w:val="3E536D63"/>
    <w:rsid w:val="3E5F5CBB"/>
    <w:rsid w:val="3E616BAF"/>
    <w:rsid w:val="3E70166E"/>
    <w:rsid w:val="3E752011"/>
    <w:rsid w:val="3E8270FA"/>
    <w:rsid w:val="3E8E2505"/>
    <w:rsid w:val="3E8F0C9A"/>
    <w:rsid w:val="3E9953AC"/>
    <w:rsid w:val="3E9D3F84"/>
    <w:rsid w:val="3E9F3605"/>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14700"/>
    <w:rsid w:val="3F837DDF"/>
    <w:rsid w:val="3F8B7DD4"/>
    <w:rsid w:val="3F901403"/>
    <w:rsid w:val="3FA21405"/>
    <w:rsid w:val="3FA67914"/>
    <w:rsid w:val="3FA96E5D"/>
    <w:rsid w:val="3FC04528"/>
    <w:rsid w:val="3FC379D7"/>
    <w:rsid w:val="3FCB012B"/>
    <w:rsid w:val="3FD00447"/>
    <w:rsid w:val="3FD27B2E"/>
    <w:rsid w:val="3FE71238"/>
    <w:rsid w:val="3FEE1DE8"/>
    <w:rsid w:val="3FFE5EFF"/>
    <w:rsid w:val="40171145"/>
    <w:rsid w:val="402104DC"/>
    <w:rsid w:val="402D3537"/>
    <w:rsid w:val="403075F2"/>
    <w:rsid w:val="40395203"/>
    <w:rsid w:val="40480E8F"/>
    <w:rsid w:val="404D32CE"/>
    <w:rsid w:val="40662C29"/>
    <w:rsid w:val="40742438"/>
    <w:rsid w:val="40791098"/>
    <w:rsid w:val="40932E75"/>
    <w:rsid w:val="409865C2"/>
    <w:rsid w:val="40A70377"/>
    <w:rsid w:val="40A97C8F"/>
    <w:rsid w:val="40BC5D67"/>
    <w:rsid w:val="40CA2A6E"/>
    <w:rsid w:val="40CC7CA3"/>
    <w:rsid w:val="40D775A2"/>
    <w:rsid w:val="40DC23A0"/>
    <w:rsid w:val="40EE33BE"/>
    <w:rsid w:val="40F436BC"/>
    <w:rsid w:val="40F61783"/>
    <w:rsid w:val="4100601D"/>
    <w:rsid w:val="410D75D5"/>
    <w:rsid w:val="411A76EB"/>
    <w:rsid w:val="411E3000"/>
    <w:rsid w:val="41402C24"/>
    <w:rsid w:val="414E7345"/>
    <w:rsid w:val="41546D3E"/>
    <w:rsid w:val="41591FEE"/>
    <w:rsid w:val="41696F7F"/>
    <w:rsid w:val="416A086A"/>
    <w:rsid w:val="416C21F9"/>
    <w:rsid w:val="417240B9"/>
    <w:rsid w:val="417C0D06"/>
    <w:rsid w:val="417C577C"/>
    <w:rsid w:val="418455DA"/>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068F9"/>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C54950"/>
    <w:rsid w:val="43CC31B4"/>
    <w:rsid w:val="43CC79E5"/>
    <w:rsid w:val="43D44FF8"/>
    <w:rsid w:val="441557E3"/>
    <w:rsid w:val="44226F3F"/>
    <w:rsid w:val="4425659D"/>
    <w:rsid w:val="44286453"/>
    <w:rsid w:val="44371554"/>
    <w:rsid w:val="444B4817"/>
    <w:rsid w:val="444C54FC"/>
    <w:rsid w:val="444F2685"/>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13698"/>
    <w:rsid w:val="45C93D8C"/>
    <w:rsid w:val="45CC0EF3"/>
    <w:rsid w:val="45CC763D"/>
    <w:rsid w:val="45CF5AD4"/>
    <w:rsid w:val="45D61E17"/>
    <w:rsid w:val="45DD06D9"/>
    <w:rsid w:val="460D21F2"/>
    <w:rsid w:val="460E0469"/>
    <w:rsid w:val="460E0A15"/>
    <w:rsid w:val="46146FE1"/>
    <w:rsid w:val="461909E8"/>
    <w:rsid w:val="462E79C9"/>
    <w:rsid w:val="4635298E"/>
    <w:rsid w:val="46355D58"/>
    <w:rsid w:val="463C04FA"/>
    <w:rsid w:val="464050BB"/>
    <w:rsid w:val="46405C21"/>
    <w:rsid w:val="465C4E3B"/>
    <w:rsid w:val="466B6702"/>
    <w:rsid w:val="466F037A"/>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1E0B19"/>
    <w:rsid w:val="482B26B0"/>
    <w:rsid w:val="483A31DC"/>
    <w:rsid w:val="483B02D3"/>
    <w:rsid w:val="48440530"/>
    <w:rsid w:val="484715CC"/>
    <w:rsid w:val="484F6870"/>
    <w:rsid w:val="485D616F"/>
    <w:rsid w:val="4873370F"/>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B560B3"/>
    <w:rsid w:val="4BC27F8D"/>
    <w:rsid w:val="4BC97047"/>
    <w:rsid w:val="4BCC6CCE"/>
    <w:rsid w:val="4BE44E6C"/>
    <w:rsid w:val="4BF446B8"/>
    <w:rsid w:val="4C003E2A"/>
    <w:rsid w:val="4C061338"/>
    <w:rsid w:val="4C061EF7"/>
    <w:rsid w:val="4C0B535F"/>
    <w:rsid w:val="4C323172"/>
    <w:rsid w:val="4C497215"/>
    <w:rsid w:val="4C4F5F99"/>
    <w:rsid w:val="4C5474C5"/>
    <w:rsid w:val="4C5D0817"/>
    <w:rsid w:val="4C5E08E0"/>
    <w:rsid w:val="4C6B0365"/>
    <w:rsid w:val="4C7C64A4"/>
    <w:rsid w:val="4C9953D8"/>
    <w:rsid w:val="4CBF4AE9"/>
    <w:rsid w:val="4CCA7CF8"/>
    <w:rsid w:val="4CCC299D"/>
    <w:rsid w:val="4CCE1B7D"/>
    <w:rsid w:val="4D0A349B"/>
    <w:rsid w:val="4D0D2E78"/>
    <w:rsid w:val="4D0F04ED"/>
    <w:rsid w:val="4D164C7E"/>
    <w:rsid w:val="4D283FC5"/>
    <w:rsid w:val="4D384A7C"/>
    <w:rsid w:val="4D3A0411"/>
    <w:rsid w:val="4D413BC0"/>
    <w:rsid w:val="4D427C91"/>
    <w:rsid w:val="4D7706F2"/>
    <w:rsid w:val="4D845711"/>
    <w:rsid w:val="4D8A02B7"/>
    <w:rsid w:val="4D8E4163"/>
    <w:rsid w:val="4DB66082"/>
    <w:rsid w:val="4DBE12C2"/>
    <w:rsid w:val="4DCE6ED3"/>
    <w:rsid w:val="4DD41DFF"/>
    <w:rsid w:val="4DEF3575"/>
    <w:rsid w:val="4DF46CF3"/>
    <w:rsid w:val="4E095444"/>
    <w:rsid w:val="4E0E40E2"/>
    <w:rsid w:val="4E333BBB"/>
    <w:rsid w:val="4E346342"/>
    <w:rsid w:val="4E4E04E5"/>
    <w:rsid w:val="4E665F7B"/>
    <w:rsid w:val="4E6A06E9"/>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E2BD3"/>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16472B"/>
    <w:rsid w:val="52217FFE"/>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6136C7"/>
    <w:rsid w:val="54635F00"/>
    <w:rsid w:val="54661F54"/>
    <w:rsid w:val="546C3F2D"/>
    <w:rsid w:val="547F46DA"/>
    <w:rsid w:val="54944893"/>
    <w:rsid w:val="549F75FE"/>
    <w:rsid w:val="54A51CC5"/>
    <w:rsid w:val="54AF6C60"/>
    <w:rsid w:val="54B52F94"/>
    <w:rsid w:val="54BD36E4"/>
    <w:rsid w:val="54C547A5"/>
    <w:rsid w:val="54D05C30"/>
    <w:rsid w:val="54DD78BD"/>
    <w:rsid w:val="54E06144"/>
    <w:rsid w:val="54E5258C"/>
    <w:rsid w:val="54F52367"/>
    <w:rsid w:val="550A393D"/>
    <w:rsid w:val="5525121F"/>
    <w:rsid w:val="555900AE"/>
    <w:rsid w:val="555B6E77"/>
    <w:rsid w:val="555E09D9"/>
    <w:rsid w:val="555E54FB"/>
    <w:rsid w:val="556848E1"/>
    <w:rsid w:val="556B7B91"/>
    <w:rsid w:val="556D2811"/>
    <w:rsid w:val="55767F46"/>
    <w:rsid w:val="557821AC"/>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A21363"/>
    <w:rsid w:val="57A54C20"/>
    <w:rsid w:val="57A71406"/>
    <w:rsid w:val="57B06D46"/>
    <w:rsid w:val="57B937A9"/>
    <w:rsid w:val="57BB4E50"/>
    <w:rsid w:val="57C34B39"/>
    <w:rsid w:val="57C94F80"/>
    <w:rsid w:val="57DE1F69"/>
    <w:rsid w:val="57E116B4"/>
    <w:rsid w:val="58097EA5"/>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BC5C03"/>
    <w:rsid w:val="59CE313C"/>
    <w:rsid w:val="59E474BD"/>
    <w:rsid w:val="59E869EC"/>
    <w:rsid w:val="59FC6B89"/>
    <w:rsid w:val="5A057FD1"/>
    <w:rsid w:val="5A143012"/>
    <w:rsid w:val="5A261D0E"/>
    <w:rsid w:val="5A2907FC"/>
    <w:rsid w:val="5A2E6A84"/>
    <w:rsid w:val="5A3B0F06"/>
    <w:rsid w:val="5A412A61"/>
    <w:rsid w:val="5A4752E2"/>
    <w:rsid w:val="5A527BDD"/>
    <w:rsid w:val="5A7A7F4C"/>
    <w:rsid w:val="5A7D1253"/>
    <w:rsid w:val="5A850E4C"/>
    <w:rsid w:val="5A905E59"/>
    <w:rsid w:val="5A9311E7"/>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F30224"/>
    <w:rsid w:val="5CFC64A7"/>
    <w:rsid w:val="5D0014E0"/>
    <w:rsid w:val="5D033124"/>
    <w:rsid w:val="5D1516BF"/>
    <w:rsid w:val="5D1569ED"/>
    <w:rsid w:val="5D1A5C10"/>
    <w:rsid w:val="5D1B2A4F"/>
    <w:rsid w:val="5D1B50AE"/>
    <w:rsid w:val="5D1C7440"/>
    <w:rsid w:val="5D2E6665"/>
    <w:rsid w:val="5D4F34F7"/>
    <w:rsid w:val="5D521435"/>
    <w:rsid w:val="5D6031C3"/>
    <w:rsid w:val="5D623C65"/>
    <w:rsid w:val="5D653EC8"/>
    <w:rsid w:val="5D7636FE"/>
    <w:rsid w:val="5D7F7A77"/>
    <w:rsid w:val="5D810CA8"/>
    <w:rsid w:val="5D864B2F"/>
    <w:rsid w:val="5D8C1819"/>
    <w:rsid w:val="5DC12889"/>
    <w:rsid w:val="5DC477E0"/>
    <w:rsid w:val="5DCA3061"/>
    <w:rsid w:val="5DD05318"/>
    <w:rsid w:val="5DD161BA"/>
    <w:rsid w:val="5DE97207"/>
    <w:rsid w:val="5DEF6C2B"/>
    <w:rsid w:val="5DF22741"/>
    <w:rsid w:val="5DFE50F6"/>
    <w:rsid w:val="5E026A9A"/>
    <w:rsid w:val="5E050796"/>
    <w:rsid w:val="5E123553"/>
    <w:rsid w:val="5E186B89"/>
    <w:rsid w:val="5E202832"/>
    <w:rsid w:val="5E2D7C7A"/>
    <w:rsid w:val="5E4E3F80"/>
    <w:rsid w:val="5E5F4BD4"/>
    <w:rsid w:val="5E852B0D"/>
    <w:rsid w:val="5E8A7777"/>
    <w:rsid w:val="5E932264"/>
    <w:rsid w:val="5EA1268E"/>
    <w:rsid w:val="5EB029CD"/>
    <w:rsid w:val="5ED20F44"/>
    <w:rsid w:val="5EDF3DC8"/>
    <w:rsid w:val="5EE7073E"/>
    <w:rsid w:val="5EEC61AE"/>
    <w:rsid w:val="5EF641A0"/>
    <w:rsid w:val="5EF67A22"/>
    <w:rsid w:val="5EFB4ED5"/>
    <w:rsid w:val="5F0501F2"/>
    <w:rsid w:val="5F123BC6"/>
    <w:rsid w:val="5F184877"/>
    <w:rsid w:val="5F1A7A3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C4765"/>
    <w:rsid w:val="5FFF6DC4"/>
    <w:rsid w:val="60046C0F"/>
    <w:rsid w:val="600E4F7F"/>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52A50"/>
    <w:rsid w:val="612E0294"/>
    <w:rsid w:val="61375BEC"/>
    <w:rsid w:val="614A2305"/>
    <w:rsid w:val="614E4437"/>
    <w:rsid w:val="615F1F60"/>
    <w:rsid w:val="6182631E"/>
    <w:rsid w:val="61A26760"/>
    <w:rsid w:val="61AF5CD6"/>
    <w:rsid w:val="61BC217C"/>
    <w:rsid w:val="61D9772A"/>
    <w:rsid w:val="61DA1B5D"/>
    <w:rsid w:val="61DB33CF"/>
    <w:rsid w:val="61EB4962"/>
    <w:rsid w:val="61EF0933"/>
    <w:rsid w:val="61F02594"/>
    <w:rsid w:val="61F2327B"/>
    <w:rsid w:val="61F64176"/>
    <w:rsid w:val="61F6471A"/>
    <w:rsid w:val="61FA7AC8"/>
    <w:rsid w:val="62413765"/>
    <w:rsid w:val="625A4915"/>
    <w:rsid w:val="625E2011"/>
    <w:rsid w:val="626E5BD1"/>
    <w:rsid w:val="627803DA"/>
    <w:rsid w:val="627966B2"/>
    <w:rsid w:val="62921FA4"/>
    <w:rsid w:val="62A06349"/>
    <w:rsid w:val="62BF1D8B"/>
    <w:rsid w:val="62C83DFB"/>
    <w:rsid w:val="62CB6DF0"/>
    <w:rsid w:val="62D03FE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622FB4"/>
    <w:rsid w:val="676E642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22015C"/>
    <w:rsid w:val="6A265076"/>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DDD"/>
    <w:rsid w:val="6BE04A25"/>
    <w:rsid w:val="6BE07242"/>
    <w:rsid w:val="6BE5514A"/>
    <w:rsid w:val="6BE82C3E"/>
    <w:rsid w:val="6BE972DB"/>
    <w:rsid w:val="6BFE0452"/>
    <w:rsid w:val="6C0F2440"/>
    <w:rsid w:val="6C176418"/>
    <w:rsid w:val="6C247F63"/>
    <w:rsid w:val="6C392A9F"/>
    <w:rsid w:val="6C452784"/>
    <w:rsid w:val="6C4D097B"/>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F05AA"/>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4E2CC7"/>
    <w:rsid w:val="6E565A56"/>
    <w:rsid w:val="6E5C1E9E"/>
    <w:rsid w:val="6E5D68D3"/>
    <w:rsid w:val="6E6611F0"/>
    <w:rsid w:val="6E682450"/>
    <w:rsid w:val="6E6A511F"/>
    <w:rsid w:val="6E720DA7"/>
    <w:rsid w:val="6E7251F0"/>
    <w:rsid w:val="6E757524"/>
    <w:rsid w:val="6E7934F3"/>
    <w:rsid w:val="6E9C5623"/>
    <w:rsid w:val="6E9E05A5"/>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879C5"/>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7D3E"/>
    <w:rsid w:val="702C34C5"/>
    <w:rsid w:val="702D3A00"/>
    <w:rsid w:val="70341230"/>
    <w:rsid w:val="70342FAD"/>
    <w:rsid w:val="7034472B"/>
    <w:rsid w:val="704310F0"/>
    <w:rsid w:val="705A14E5"/>
    <w:rsid w:val="705A4D1B"/>
    <w:rsid w:val="705F37D3"/>
    <w:rsid w:val="707A4F0F"/>
    <w:rsid w:val="7084369E"/>
    <w:rsid w:val="708B108A"/>
    <w:rsid w:val="709143C4"/>
    <w:rsid w:val="70930271"/>
    <w:rsid w:val="70CB3DC2"/>
    <w:rsid w:val="70DB5146"/>
    <w:rsid w:val="70E51B6F"/>
    <w:rsid w:val="70E561EA"/>
    <w:rsid w:val="70F40322"/>
    <w:rsid w:val="70F9595A"/>
    <w:rsid w:val="70FA4092"/>
    <w:rsid w:val="70FC3C7A"/>
    <w:rsid w:val="71075B1A"/>
    <w:rsid w:val="710E7F44"/>
    <w:rsid w:val="71193089"/>
    <w:rsid w:val="71211292"/>
    <w:rsid w:val="71243B68"/>
    <w:rsid w:val="712776C4"/>
    <w:rsid w:val="712A41BD"/>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228EA"/>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1509C7"/>
    <w:rsid w:val="7525120A"/>
    <w:rsid w:val="752A3F7B"/>
    <w:rsid w:val="7533655A"/>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936F16"/>
    <w:rsid w:val="76993FC0"/>
    <w:rsid w:val="76A10D28"/>
    <w:rsid w:val="76A64EB2"/>
    <w:rsid w:val="76BC1014"/>
    <w:rsid w:val="76D7331B"/>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205658"/>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55415F"/>
    <w:rsid w:val="7B69789C"/>
    <w:rsid w:val="7B875C60"/>
    <w:rsid w:val="7BA76397"/>
    <w:rsid w:val="7BB151FD"/>
    <w:rsid w:val="7BB43296"/>
    <w:rsid w:val="7BBE12F2"/>
    <w:rsid w:val="7BC94EE7"/>
    <w:rsid w:val="7BD075CC"/>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A26A7F"/>
    <w:rsid w:val="7DA90065"/>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20</TotalTime>
  <ScaleCrop>false</ScaleCrop>
  <LinksUpToDate>false</LinksUpToDate>
  <CharactersWithSpaces>26786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2021-09-16T07:17:25Z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2052-11.1.0.10314</vt:lpwstr>
  </property>
  <property fmtid="{D5CDD505-2E9C-101B-9397-08002B2CF9AE}" pid="4" name="ICV">
    <vt:lpwstr>D366F8CEF0B34B9A839F473A36DCA92E</vt:lpwstr>
  </property>
</Properties>
</file>