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-982345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9cWvdcA&#10;AAAKAQAADwAAAAAAAAABACAAAAAiAAAAZHJzL2Rvd25yZXYueG1sUEsBAhQAFAAAAAgAh07iQAdb&#10;1N6uAQAATwMAAA4AAAAAAAAAAQAgAAAAJgEAAGRycy9lMm9Eb2MueG1sUEsFBgAAAAAGAAYAWQEA&#10;AEYFA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jc w:val="center"/>
        <w:rPr>
          <w:rFonts w:hint="default" w:ascii="宋体" w:hAnsi="宋体" w:eastAsia="宋体"/>
          <w:color w:val="auto"/>
          <w:lang w:val="en-US" w:eastAsia="zh-CN"/>
        </w:rPr>
      </w:pP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w:t>
      </w:r>
      <w:r>
        <w:rPr>
          <w:rFonts w:hint="eastAsia" w:ascii="宋体" w:hAnsi="宋体"/>
          <w:b/>
          <w:color w:val="auto"/>
          <w:sz w:val="30"/>
          <w:szCs w:val="30"/>
          <w:lang w:val="en-US" w:eastAsia="zh-CN"/>
        </w:rPr>
        <w:t>9.2</w:t>
      </w: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32"/>
          <w:szCs w:val="32"/>
        </w:rPr>
      </w:pPr>
      <w:r>
        <w:rPr>
          <w:rFonts w:hint="eastAsia" w:ascii="宋体" w:hAnsi="宋体"/>
          <w:b/>
          <w:color w:val="auto"/>
          <w:sz w:val="32"/>
          <w:szCs w:val="32"/>
        </w:rPr>
        <w:t>目 录</w:t>
      </w:r>
    </w:p>
    <w:p>
      <w:pPr>
        <w:pStyle w:val="16"/>
        <w:tabs>
          <w:tab w:val="right" w:leader="dot" w:pos="9638"/>
          <w:tab w:val="clear" w:pos="9170"/>
        </w:tabs>
        <w:rPr>
          <w:color w:val="auto"/>
        </w:rPr>
      </w:pPr>
      <w:r>
        <w:rPr>
          <w:rFonts w:hint="eastAsia" w:ascii="宋体" w:hAnsi="宋体" w:eastAsia="宋体" w:cs="宋体"/>
          <w:color w:val="auto"/>
          <w:sz w:val="24"/>
          <w:szCs w:val="21"/>
        </w:rPr>
        <w:fldChar w:fldCharType="begin"/>
      </w:r>
      <w:r>
        <w:rPr>
          <w:rFonts w:hint="eastAsia" w:ascii="宋体" w:hAnsi="宋体" w:eastAsia="宋体" w:cs="宋体"/>
          <w:color w:val="auto"/>
          <w:sz w:val="24"/>
          <w:szCs w:val="21"/>
        </w:rPr>
        <w:instrText xml:space="preserve"> TOC \o "1-3" \h \z </w:instrText>
      </w:r>
      <w:r>
        <w:rPr>
          <w:rFonts w:hint="eastAsia" w:ascii="宋体" w:hAnsi="宋体" w:eastAsia="宋体" w:cs="宋体"/>
          <w:color w:val="auto"/>
          <w:sz w:val="24"/>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_Toc32272 </w:instrText>
      </w:r>
      <w:r>
        <w:rPr>
          <w:rFonts w:hint="eastAsia" w:ascii="宋体" w:hAnsi="宋体" w:eastAsia="宋体" w:cs="宋体"/>
          <w:color w:val="auto"/>
          <w:szCs w:val="21"/>
        </w:rPr>
        <w:fldChar w:fldCharType="separate"/>
      </w:r>
      <w:r>
        <w:rPr>
          <w:rFonts w:hint="eastAsia" w:asciiTheme="minorEastAsia" w:hAnsiTheme="minorEastAsia" w:eastAsiaTheme="minorEastAsia" w:cstheme="minorEastAsia"/>
          <w:bCs/>
          <w:color w:val="auto"/>
          <w:kern w:val="0"/>
          <w:szCs w:val="30"/>
        </w:rPr>
        <w:t xml:space="preserve">一、 </w:t>
      </w:r>
      <w:r>
        <w:rPr>
          <w:rFonts w:hint="eastAsia"/>
          <w:color w:val="auto"/>
        </w:rPr>
        <w:t>国际原油市场回顾 </w:t>
      </w:r>
      <w:r>
        <w:rPr>
          <w:color w:val="auto"/>
        </w:rPr>
        <w:tab/>
      </w:r>
      <w:r>
        <w:rPr>
          <w:color w:val="auto"/>
        </w:rPr>
        <w:fldChar w:fldCharType="begin"/>
      </w:r>
      <w:r>
        <w:rPr>
          <w:color w:val="auto"/>
        </w:rPr>
        <w:instrText xml:space="preserve"> PAGEREF _Toc32272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_Toc6297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1、国际原油收盘价涨跌情况（单位：美元/桶）</w:t>
      </w:r>
      <w:r>
        <w:rPr>
          <w:color w:val="auto"/>
        </w:rPr>
        <w:tab/>
      </w:r>
      <w:r>
        <w:rPr>
          <w:color w:val="auto"/>
        </w:rPr>
        <w:fldChar w:fldCharType="begin"/>
      </w:r>
      <w:r>
        <w:rPr>
          <w:color w:val="auto"/>
        </w:rPr>
        <w:instrText xml:space="preserve"> PAGEREF _Toc6297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_Toc5501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2.2021年国际原油价格走势图</w:t>
      </w:r>
      <w:r>
        <w:rPr>
          <w:color w:val="auto"/>
        </w:rPr>
        <w:tab/>
      </w:r>
      <w:r>
        <w:rPr>
          <w:color w:val="auto"/>
        </w:rPr>
        <w:fldChar w:fldCharType="begin"/>
      </w:r>
      <w:r>
        <w:rPr>
          <w:color w:val="auto"/>
        </w:rPr>
        <w:instrText xml:space="preserve"> PAGEREF _Toc5501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_Toc16647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2.1近期影响国际原油市场的主要因素</w:t>
      </w:r>
      <w:r>
        <w:rPr>
          <w:color w:val="auto"/>
        </w:rPr>
        <w:tab/>
      </w:r>
      <w:r>
        <w:rPr>
          <w:color w:val="auto"/>
        </w:rPr>
        <w:fldChar w:fldCharType="begin"/>
      </w:r>
      <w:r>
        <w:rPr>
          <w:color w:val="auto"/>
        </w:rPr>
        <w:instrText xml:space="preserve"> PAGEREF _Toc16647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1.美国原油库存情况</w:t>
      </w:r>
      <w:r>
        <w:rPr>
          <w:color w:val="auto"/>
        </w:rPr>
        <w:tab/>
      </w:r>
      <w:r>
        <w:rPr>
          <w:color w:val="auto"/>
        </w:rPr>
        <w:fldChar w:fldCharType="begin"/>
      </w:r>
      <w:r>
        <w:rPr>
          <w:color w:val="auto"/>
        </w:rPr>
        <w:instrText xml:space="preserve"> PAGEREF _Toc184 </w:instrText>
      </w:r>
      <w:r>
        <w:rPr>
          <w:color w:val="auto"/>
        </w:rPr>
        <w:fldChar w:fldCharType="separate"/>
      </w:r>
      <w:r>
        <w:rPr>
          <w:color w:val="auto"/>
        </w:rPr>
        <w:t>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_Toc16360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2.美国经济形势</w:t>
      </w:r>
      <w:r>
        <w:rPr>
          <w:color w:val="auto"/>
        </w:rPr>
        <w:tab/>
      </w:r>
      <w:r>
        <w:rPr>
          <w:color w:val="auto"/>
        </w:rPr>
        <w:fldChar w:fldCharType="begin"/>
      </w:r>
      <w:r>
        <w:rPr>
          <w:color w:val="auto"/>
        </w:rPr>
        <w:instrText xml:space="preserve"> PAGEREF _Toc16360 </w:instrText>
      </w:r>
      <w:r>
        <w:rPr>
          <w:color w:val="auto"/>
        </w:rPr>
        <w:fldChar w:fldCharType="separate"/>
      </w:r>
      <w:r>
        <w:rPr>
          <w:color w:val="auto"/>
        </w:rPr>
        <w:t>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_Toc30724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3.世界经济形势</w:t>
      </w:r>
      <w:r>
        <w:rPr>
          <w:color w:val="auto"/>
        </w:rPr>
        <w:tab/>
      </w:r>
      <w:r>
        <w:rPr>
          <w:color w:val="auto"/>
        </w:rPr>
        <w:fldChar w:fldCharType="begin"/>
      </w:r>
      <w:r>
        <w:rPr>
          <w:color w:val="auto"/>
        </w:rPr>
        <w:instrText xml:space="preserve"> PAGEREF _Toc30724 </w:instrText>
      </w:r>
      <w:r>
        <w:rPr>
          <w:color w:val="auto"/>
        </w:rPr>
        <w:fldChar w:fldCharType="separate"/>
      </w:r>
      <w:r>
        <w:rPr>
          <w:color w:val="auto"/>
        </w:rPr>
        <w:t>10</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_Toc23898 </w:instrText>
      </w:r>
      <w:r>
        <w:rPr>
          <w:rFonts w:hint="eastAsia" w:ascii="宋体" w:hAnsi="宋体" w:eastAsia="宋体" w:cs="宋体"/>
          <w:color w:val="auto"/>
          <w:szCs w:val="21"/>
        </w:rPr>
        <w:fldChar w:fldCharType="separate"/>
      </w:r>
      <w:r>
        <w:rPr>
          <w:rFonts w:hint="eastAsia" w:ascii="宋体" w:hAnsi="宋体"/>
          <w:color w:val="auto"/>
          <w:szCs w:val="30"/>
          <w:highlight w:val="none"/>
          <w:lang w:val="en-US" w:eastAsia="zh-CN"/>
        </w:rPr>
        <w:t>4后市预测</w:t>
      </w:r>
      <w:r>
        <w:rPr>
          <w:color w:val="auto"/>
        </w:rPr>
        <w:tab/>
      </w:r>
      <w:r>
        <w:rPr>
          <w:color w:val="auto"/>
        </w:rPr>
        <w:fldChar w:fldCharType="begin"/>
      </w:r>
      <w:r>
        <w:rPr>
          <w:color w:val="auto"/>
        </w:rPr>
        <w:instrText xml:space="preserve"> PAGEREF _Toc23898 </w:instrText>
      </w:r>
      <w:r>
        <w:rPr>
          <w:color w:val="auto"/>
        </w:rPr>
        <w:fldChar w:fldCharType="separate"/>
      </w:r>
      <w:r>
        <w:rPr>
          <w:color w:val="auto"/>
        </w:rPr>
        <w:t>15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_Toc30787 </w:instrText>
      </w:r>
      <w:r>
        <w:rPr>
          <w:rFonts w:hint="eastAsia" w:ascii="宋体" w:hAnsi="宋体" w:eastAsia="宋体" w:cs="宋体"/>
          <w:color w:val="auto"/>
          <w:szCs w:val="21"/>
        </w:rPr>
        <w:fldChar w:fldCharType="separate"/>
      </w:r>
      <w:r>
        <w:rPr>
          <w:rFonts w:hint="eastAsia" w:ascii="宋体" w:hAnsi="宋体"/>
          <w:color w:val="auto"/>
          <w:szCs w:val="30"/>
          <w:highlight w:val="none"/>
        </w:rPr>
        <w:t>2.2国际市场MTBE价格</w:t>
      </w:r>
      <w:r>
        <w:rPr>
          <w:color w:val="auto"/>
        </w:rPr>
        <w:tab/>
      </w:r>
      <w:r>
        <w:rPr>
          <w:color w:val="auto"/>
        </w:rPr>
        <w:fldChar w:fldCharType="begin"/>
      </w:r>
      <w:r>
        <w:rPr>
          <w:color w:val="auto"/>
        </w:rPr>
        <w:instrText xml:space="preserve"> PAGEREF _Toc30787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rFonts w:hint="eastAsia" w:ascii="宋体" w:hAnsi="宋体"/>
          <w:color w:val="auto"/>
          <w:szCs w:val="30"/>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_Toc11000 </w:instrText>
      </w:r>
      <w:r>
        <w:rPr>
          <w:rFonts w:hint="eastAsia" w:ascii="宋体" w:hAnsi="宋体"/>
          <w:color w:val="auto"/>
          <w:szCs w:val="30"/>
          <w:highlight w:val="none"/>
        </w:rPr>
        <w:fldChar w:fldCharType="separate"/>
      </w:r>
      <w:r>
        <w:rPr>
          <w:rFonts w:hint="eastAsia" w:ascii="宋体" w:hAnsi="宋体"/>
          <w:color w:val="auto"/>
          <w:szCs w:val="30"/>
          <w:highlight w:val="none"/>
          <w:lang w:eastAsia="zh-CN"/>
        </w:rPr>
        <w:t>三、</w:t>
      </w:r>
      <w:r>
        <w:rPr>
          <w:rFonts w:hint="eastAsia" w:ascii="宋体" w:hAnsi="宋体"/>
          <w:color w:val="auto"/>
          <w:szCs w:val="30"/>
          <w:highlight w:val="none"/>
        </w:rPr>
        <w:t>本周国内市场</w:t>
      </w:r>
      <w:r>
        <w:rPr>
          <w:rFonts w:hint="eastAsia" w:ascii="宋体" w:hAnsi="宋体"/>
          <w:color w:val="auto"/>
          <w:szCs w:val="30"/>
          <w:highlight w:val="none"/>
        </w:rPr>
        <w:tab/>
      </w: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PAGEREF _Toc11000 </w:instrText>
      </w:r>
      <w:r>
        <w:rPr>
          <w:rFonts w:hint="eastAsia" w:ascii="宋体" w:hAnsi="宋体"/>
          <w:color w:val="auto"/>
          <w:szCs w:val="30"/>
          <w:highlight w:val="none"/>
        </w:rPr>
        <w:fldChar w:fldCharType="separate"/>
      </w:r>
      <w:r>
        <w:rPr>
          <w:rFonts w:hint="eastAsia" w:ascii="宋体" w:hAnsi="宋体"/>
          <w:color w:val="auto"/>
          <w:szCs w:val="30"/>
          <w:highlight w:val="none"/>
        </w:rPr>
        <w:t>16</w:t>
      </w:r>
      <w:r>
        <w:rPr>
          <w:rFonts w:hint="eastAsia" w:ascii="宋体" w:hAnsi="宋体"/>
          <w:color w:val="auto"/>
          <w:szCs w:val="30"/>
          <w:highlight w:val="none"/>
        </w:rPr>
        <w:fldChar w:fldCharType="end"/>
      </w:r>
      <w:r>
        <w:rPr>
          <w:rFonts w:hint="eastAsia" w:ascii="宋体" w:hAnsi="宋体"/>
          <w:color w:val="auto"/>
          <w:szCs w:val="30"/>
          <w:highlight w:val="none"/>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_Toc7167 </w:instrText>
      </w:r>
      <w:r>
        <w:rPr>
          <w:rFonts w:hint="eastAsia" w:ascii="宋体" w:hAnsi="宋体" w:eastAsia="宋体" w:cs="宋体"/>
          <w:color w:val="auto"/>
          <w:szCs w:val="21"/>
        </w:rPr>
        <w:fldChar w:fldCharType="separate"/>
      </w:r>
      <w:r>
        <w:rPr>
          <w:rFonts w:hint="eastAsia" w:ascii="宋体" w:hAnsi="宋体"/>
          <w:color w:val="auto"/>
          <w:szCs w:val="30"/>
          <w:highlight w:val="none"/>
        </w:rPr>
        <w:t>3.1 国内炼厂装置运行情况</w:t>
      </w:r>
      <w:r>
        <w:rPr>
          <w:color w:val="auto"/>
        </w:rPr>
        <w:tab/>
      </w:r>
      <w:r>
        <w:rPr>
          <w:color w:val="auto"/>
        </w:rPr>
        <w:fldChar w:fldCharType="begin"/>
      </w:r>
      <w:r>
        <w:rPr>
          <w:color w:val="auto"/>
        </w:rPr>
        <w:instrText xml:space="preserve"> PAGEREF _Toc7167 </w:instrText>
      </w:r>
      <w:r>
        <w:rPr>
          <w:color w:val="auto"/>
        </w:rPr>
        <w:fldChar w:fldCharType="separate"/>
      </w:r>
      <w:r>
        <w:rPr>
          <w:color w:val="auto"/>
        </w:rPr>
        <w:t>16</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_Toc13096 </w:instrText>
      </w:r>
      <w:r>
        <w:rPr>
          <w:rFonts w:hint="eastAsia" w:ascii="宋体" w:hAnsi="宋体" w:eastAsia="宋体" w:cs="宋体"/>
          <w:color w:val="auto"/>
          <w:szCs w:val="21"/>
        </w:rPr>
        <w:fldChar w:fldCharType="separate"/>
      </w:r>
      <w:r>
        <w:rPr>
          <w:rFonts w:hint="eastAsia" w:ascii="宋体" w:hAnsi="宋体"/>
          <w:color w:val="auto"/>
          <w:szCs w:val="30"/>
          <w:highlight w:val="none"/>
        </w:rPr>
        <w:t>3.2本周成品油市场行情</w:t>
      </w:r>
      <w:r>
        <w:rPr>
          <w:color w:val="auto"/>
        </w:rPr>
        <w:tab/>
      </w:r>
      <w:r>
        <w:rPr>
          <w:color w:val="auto"/>
        </w:rPr>
        <w:fldChar w:fldCharType="begin"/>
      </w:r>
      <w:r>
        <w:rPr>
          <w:color w:val="auto"/>
        </w:rPr>
        <w:instrText xml:space="preserve"> PAGEREF _Toc13096 </w:instrText>
      </w:r>
      <w:r>
        <w:rPr>
          <w:color w:val="auto"/>
        </w:rPr>
        <w:fldChar w:fldCharType="separate"/>
      </w:r>
      <w:r>
        <w:rPr>
          <w:color w:val="auto"/>
        </w:rPr>
        <w:t>18</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_Toc24031 </w:instrText>
      </w:r>
      <w:r>
        <w:rPr>
          <w:rFonts w:hint="eastAsia" w:ascii="宋体" w:hAnsi="宋体" w:eastAsia="宋体" w:cs="宋体"/>
          <w:color w:val="auto"/>
          <w:szCs w:val="21"/>
        </w:rPr>
        <w:fldChar w:fldCharType="separate"/>
      </w:r>
      <w:r>
        <w:rPr>
          <w:rFonts w:hint="eastAsia" w:ascii="宋体" w:hAnsi="宋体"/>
          <w:color w:val="auto"/>
          <w:szCs w:val="30"/>
        </w:rPr>
        <w:t>3.3 国内汽油价格周报</w:t>
      </w:r>
      <w:r>
        <w:rPr>
          <w:color w:val="auto"/>
        </w:rPr>
        <w:tab/>
      </w:r>
      <w:r>
        <w:rPr>
          <w:color w:val="auto"/>
        </w:rPr>
        <w:fldChar w:fldCharType="begin"/>
      </w:r>
      <w:r>
        <w:rPr>
          <w:color w:val="auto"/>
        </w:rPr>
        <w:instrText xml:space="preserve"> PAGEREF _Toc24031 </w:instrText>
      </w:r>
      <w:r>
        <w:rPr>
          <w:color w:val="auto"/>
        </w:rPr>
        <w:fldChar w:fldCharType="separate"/>
      </w:r>
      <w:r>
        <w:rPr>
          <w:color w:val="auto"/>
        </w:rPr>
        <w:t>21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_Toc16466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3.4国内柴油价格周报</w:t>
      </w:r>
      <w:r>
        <w:rPr>
          <w:color w:val="auto"/>
        </w:rPr>
        <w:tab/>
      </w:r>
      <w:r>
        <w:rPr>
          <w:color w:val="auto"/>
        </w:rPr>
        <w:fldChar w:fldCharType="begin"/>
      </w:r>
      <w:r>
        <w:rPr>
          <w:color w:val="auto"/>
        </w:rPr>
        <w:instrText xml:space="preserve"> PAGEREF _Toc16466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_Toc6052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3.5 山东地炼汽油出厂价格周报</w:t>
      </w:r>
      <w:r>
        <w:rPr>
          <w:color w:val="auto"/>
        </w:rPr>
        <w:tab/>
      </w:r>
      <w:r>
        <w:rPr>
          <w:color w:val="auto"/>
        </w:rPr>
        <w:fldChar w:fldCharType="begin"/>
      </w:r>
      <w:r>
        <w:rPr>
          <w:color w:val="auto"/>
        </w:rPr>
        <w:instrText xml:space="preserve"> PAGEREF _Toc6052 </w:instrText>
      </w:r>
      <w:r>
        <w:rPr>
          <w:color w:val="auto"/>
        </w:rPr>
        <w:fldChar w:fldCharType="separate"/>
      </w:r>
      <w:r>
        <w:rPr>
          <w:color w:val="auto"/>
        </w:rPr>
        <w:t>27</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_Toc25179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3.6 山东地炼柴油出厂价格周报</w:t>
      </w:r>
      <w:r>
        <w:rPr>
          <w:color w:val="auto"/>
        </w:rPr>
        <w:tab/>
      </w:r>
      <w:r>
        <w:rPr>
          <w:color w:val="auto"/>
        </w:rPr>
        <w:fldChar w:fldCharType="begin"/>
      </w:r>
      <w:r>
        <w:rPr>
          <w:color w:val="auto"/>
        </w:rPr>
        <w:instrText xml:space="preserve"> PAGEREF _Toc25179 </w:instrText>
      </w:r>
      <w:r>
        <w:rPr>
          <w:color w:val="auto"/>
        </w:rPr>
        <w:fldChar w:fldCharType="separate"/>
      </w:r>
      <w:r>
        <w:rPr>
          <w:color w:val="auto"/>
        </w:rPr>
        <w:t>29</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_Toc27167 </w:instrText>
      </w:r>
      <w:r>
        <w:rPr>
          <w:rFonts w:hint="eastAsia" w:ascii="宋体" w:hAnsi="宋体" w:eastAsia="宋体" w:cs="宋体"/>
          <w:color w:val="auto"/>
          <w:szCs w:val="21"/>
        </w:rPr>
        <w:fldChar w:fldCharType="separate"/>
      </w:r>
      <w:r>
        <w:rPr>
          <w:rFonts w:hint="eastAsia" w:ascii="宋体" w:hAnsi="宋体"/>
          <w:color w:val="auto"/>
          <w:szCs w:val="30"/>
          <w:lang w:val="en-US" w:eastAsia="zh-CN"/>
        </w:rPr>
        <w:t>四、2021年7月份进出口统计数据</w:t>
      </w:r>
      <w:r>
        <w:rPr>
          <w:color w:val="auto"/>
        </w:rPr>
        <w:tab/>
      </w:r>
      <w:r>
        <w:rPr>
          <w:color w:val="auto"/>
        </w:rPr>
        <w:fldChar w:fldCharType="begin"/>
      </w:r>
      <w:r>
        <w:rPr>
          <w:color w:val="auto"/>
        </w:rPr>
        <w:instrText xml:space="preserve"> PAGEREF _Toc27167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_Toc19791 </w:instrText>
      </w:r>
      <w:r>
        <w:rPr>
          <w:rFonts w:hint="eastAsia" w:ascii="宋体" w:hAnsi="宋体" w:eastAsia="宋体" w:cs="宋体"/>
          <w:color w:val="auto"/>
          <w:szCs w:val="21"/>
        </w:rPr>
        <w:fldChar w:fldCharType="separate"/>
      </w:r>
      <w:r>
        <w:rPr>
          <w:rFonts w:hint="eastAsia" w:ascii="宋体" w:hAnsi="宋体"/>
          <w:color w:val="auto"/>
          <w:szCs w:val="30"/>
        </w:rPr>
        <w:t>4.1 20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份全国车用汽油</w:t>
      </w:r>
      <w:r>
        <w:rPr>
          <w:rFonts w:hint="eastAsia" w:ascii="宋体" w:hAnsi="宋体"/>
          <w:color w:val="auto"/>
          <w:szCs w:val="30"/>
          <w:lang w:eastAsia="zh-CN"/>
        </w:rPr>
        <w:t>进</w:t>
      </w:r>
      <w:r>
        <w:rPr>
          <w:rFonts w:hint="eastAsia" w:ascii="宋体" w:hAnsi="宋体"/>
          <w:color w:val="auto"/>
          <w:szCs w:val="30"/>
        </w:rPr>
        <w:t>出口统计数据</w:t>
      </w:r>
      <w:r>
        <w:rPr>
          <w:color w:val="auto"/>
        </w:rPr>
        <w:tab/>
      </w:r>
      <w:r>
        <w:rPr>
          <w:color w:val="auto"/>
        </w:rPr>
        <w:fldChar w:fldCharType="begin"/>
      </w:r>
      <w:r>
        <w:rPr>
          <w:color w:val="auto"/>
        </w:rPr>
        <w:instrText xml:space="preserve"> PAGEREF _Toc19791 </w:instrText>
      </w:r>
      <w:r>
        <w:rPr>
          <w:color w:val="auto"/>
        </w:rPr>
        <w:fldChar w:fldCharType="separate"/>
      </w:r>
      <w:r>
        <w:rPr>
          <w:color w:val="auto"/>
        </w:rPr>
        <w:t>31</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_Toc23995 </w:instrText>
      </w:r>
      <w:r>
        <w:rPr>
          <w:rFonts w:hint="eastAsia" w:ascii="宋体" w:hAnsi="宋体" w:eastAsia="宋体" w:cs="宋体"/>
          <w:color w:val="auto"/>
          <w:szCs w:val="21"/>
        </w:rPr>
        <w:fldChar w:fldCharType="separate"/>
      </w:r>
      <w:r>
        <w:rPr>
          <w:rFonts w:hint="eastAsia" w:ascii="宋体" w:hAnsi="宋体"/>
          <w:color w:val="auto"/>
          <w:szCs w:val="30"/>
        </w:rPr>
        <w:t>4.2 20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月份全国柴油出口统计数据</w:t>
      </w:r>
      <w:r>
        <w:rPr>
          <w:color w:val="auto"/>
        </w:rPr>
        <w:tab/>
      </w:r>
      <w:r>
        <w:rPr>
          <w:color w:val="auto"/>
        </w:rPr>
        <w:fldChar w:fldCharType="begin"/>
      </w:r>
      <w:r>
        <w:rPr>
          <w:color w:val="auto"/>
        </w:rPr>
        <w:instrText xml:space="preserve"> PAGEREF _Toc23995 </w:instrText>
      </w:r>
      <w:r>
        <w:rPr>
          <w:color w:val="auto"/>
        </w:rPr>
        <w:fldChar w:fldCharType="separate"/>
      </w:r>
      <w:r>
        <w:rPr>
          <w:color w:val="auto"/>
        </w:rPr>
        <w:t>34</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_Toc16942 </w:instrText>
      </w:r>
      <w:r>
        <w:rPr>
          <w:rFonts w:hint="eastAsia" w:ascii="宋体" w:hAnsi="宋体" w:eastAsia="宋体" w:cs="宋体"/>
          <w:color w:val="auto"/>
          <w:szCs w:val="21"/>
        </w:rPr>
        <w:fldChar w:fldCharType="separate"/>
      </w:r>
      <w:r>
        <w:rPr>
          <w:rFonts w:hint="eastAsia" w:ascii="宋体" w:hAnsi="宋体"/>
          <w:color w:val="auto"/>
          <w:szCs w:val="30"/>
        </w:rPr>
        <w:t>4.3 20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月份全国原油进出口统计数据</w:t>
      </w:r>
      <w:r>
        <w:rPr>
          <w:color w:val="auto"/>
        </w:rPr>
        <w:tab/>
      </w:r>
      <w:r>
        <w:rPr>
          <w:color w:val="auto"/>
        </w:rPr>
        <w:fldChar w:fldCharType="begin"/>
      </w:r>
      <w:r>
        <w:rPr>
          <w:color w:val="auto"/>
        </w:rPr>
        <w:instrText xml:space="preserve"> PAGEREF _Toc16942 </w:instrText>
      </w:r>
      <w:r>
        <w:rPr>
          <w:color w:val="auto"/>
        </w:rPr>
        <w:fldChar w:fldCharType="separate"/>
      </w:r>
      <w:r>
        <w:rPr>
          <w:color w:val="auto"/>
        </w:rPr>
        <w:t>35</w:t>
      </w:r>
      <w:r>
        <w:rPr>
          <w:color w:val="auto"/>
        </w:rPr>
        <w:fldChar w:fldCharType="end"/>
      </w:r>
      <w:r>
        <w:rPr>
          <w:rFonts w:hint="eastAsia" w:ascii="宋体" w:hAnsi="宋体" w:eastAsia="宋体" w:cs="宋体"/>
          <w:color w:val="auto"/>
          <w:szCs w:val="21"/>
        </w:rPr>
        <w:fldChar w:fldCharType="end"/>
      </w:r>
    </w:p>
    <w:p>
      <w:pPr>
        <w:pStyle w:val="20"/>
        <w:tabs>
          <w:tab w:val="right" w:leader="dot" w:pos="9638"/>
          <w:tab w:val="clear" w:pos="9170"/>
        </w:tabs>
        <w:rPr>
          <w:color w:val="auto"/>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\l _Toc18589 </w:instrText>
      </w:r>
      <w:r>
        <w:rPr>
          <w:rFonts w:hint="eastAsia" w:ascii="宋体" w:hAnsi="宋体" w:eastAsia="宋体" w:cs="宋体"/>
          <w:color w:val="auto"/>
          <w:szCs w:val="21"/>
        </w:rPr>
        <w:fldChar w:fldCharType="separate"/>
      </w:r>
      <w:r>
        <w:rPr>
          <w:rFonts w:hint="eastAsia" w:ascii="宋体" w:hAnsi="宋体"/>
          <w:color w:val="auto"/>
          <w:szCs w:val="30"/>
        </w:rPr>
        <w:t>4.4 20</w:t>
      </w:r>
      <w:r>
        <w:rPr>
          <w:rFonts w:hint="eastAsia" w:ascii="宋体" w:hAnsi="宋体"/>
          <w:color w:val="auto"/>
          <w:szCs w:val="30"/>
          <w:lang w:val="en-US" w:eastAsia="zh-CN"/>
        </w:rPr>
        <w:t>21</w:t>
      </w:r>
      <w:r>
        <w:rPr>
          <w:rFonts w:hint="eastAsia" w:ascii="宋体" w:hAnsi="宋体"/>
          <w:color w:val="auto"/>
          <w:szCs w:val="30"/>
        </w:rPr>
        <w:t>年</w:t>
      </w:r>
      <w:r>
        <w:rPr>
          <w:rFonts w:hint="eastAsia" w:ascii="宋体" w:hAnsi="宋体"/>
          <w:color w:val="auto"/>
          <w:szCs w:val="30"/>
          <w:lang w:val="en-US" w:eastAsia="zh-CN"/>
        </w:rPr>
        <w:t>7</w:t>
      </w:r>
      <w:r>
        <w:rPr>
          <w:rFonts w:hint="eastAsia" w:ascii="宋体" w:hAnsi="宋体"/>
          <w:color w:val="auto"/>
          <w:szCs w:val="30"/>
        </w:rPr>
        <w:t>月份航空煤油进出口统计数据</w:t>
      </w:r>
      <w:r>
        <w:rPr>
          <w:color w:val="auto"/>
        </w:rPr>
        <w:tab/>
      </w:r>
      <w:r>
        <w:rPr>
          <w:color w:val="auto"/>
        </w:rPr>
        <w:fldChar w:fldCharType="begin"/>
      </w:r>
      <w:r>
        <w:rPr>
          <w:color w:val="auto"/>
        </w:rPr>
        <w:instrText xml:space="preserve"> PAGEREF _Toc18589 </w:instrText>
      </w:r>
      <w:r>
        <w:rPr>
          <w:color w:val="auto"/>
        </w:rPr>
        <w:fldChar w:fldCharType="separate"/>
      </w:r>
      <w:r>
        <w:rPr>
          <w:color w:val="auto"/>
        </w:rPr>
        <w:t>36</w:t>
      </w:r>
      <w:r>
        <w:rPr>
          <w:color w:val="auto"/>
        </w:rPr>
        <w:fldChar w:fldCharType="end"/>
      </w: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r>
        <w:rPr>
          <w:rFonts w:hint="eastAsia" w:ascii="宋体" w:hAnsi="宋体" w:eastAsia="宋体" w:cs="宋体"/>
          <w:color w:val="auto"/>
          <w:szCs w:val="21"/>
        </w:rPr>
        <w:fldChar w:fldCharType="end"/>
      </w:r>
    </w:p>
    <w:p>
      <w:pPr>
        <w:pStyle w:val="16"/>
        <w:tabs>
          <w:tab w:val="right" w:leader="dot" w:pos="9746"/>
          <w:tab w:val="clear" w:pos="9170"/>
        </w:tabs>
        <w:rPr>
          <w:rFonts w:hint="eastAsia" w:ascii="宋体" w:hAnsi="宋体" w:eastAsia="宋体" w:cs="宋体"/>
          <w:color w:val="auto"/>
          <w:sz w:val="24"/>
          <w:szCs w:val="21"/>
        </w:rPr>
      </w:pPr>
    </w:p>
    <w:p>
      <w:pPr>
        <w:pStyle w:val="2"/>
        <w:spacing w:before="120" w:after="0" w:line="240" w:lineRule="auto"/>
        <w:rPr>
          <w:rFonts w:ascii="宋体" w:hAnsi="宋体"/>
          <w:b/>
          <w:color w:val="auto"/>
          <w:sz w:val="24"/>
          <w:szCs w:val="24"/>
        </w:rPr>
      </w:pPr>
    </w:p>
    <w:p>
      <w:pPr>
        <w:pStyle w:val="2"/>
        <w:spacing w:before="120" w:after="0" w:line="240" w:lineRule="auto"/>
        <w:rPr>
          <w:rFonts w:ascii="宋体" w:hAnsi="宋体"/>
          <w:b/>
          <w:color w:val="auto"/>
          <w:sz w:val="24"/>
          <w:szCs w:val="24"/>
        </w:rPr>
      </w:pPr>
    </w:p>
    <w:p>
      <w:pPr>
        <w:rPr>
          <w:color w:val="auto"/>
        </w:rPr>
      </w:pPr>
    </w:p>
    <w:p>
      <w:pPr>
        <w:rPr>
          <w:color w:val="auto"/>
        </w:rPr>
      </w:pPr>
    </w:p>
    <w:p>
      <w:pPr>
        <w:rPr>
          <w:color w:val="auto"/>
        </w:rPr>
      </w:pPr>
    </w:p>
    <w:p>
      <w:pPr>
        <w:rPr>
          <w:color w:val="auto"/>
        </w:rPr>
      </w:pPr>
    </w:p>
    <w:p>
      <w:pPr>
        <w:rPr>
          <w:color w:val="auto"/>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32272"/>
      <w:r>
        <w:rPr>
          <w:rFonts w:hint="eastAsia"/>
          <w:color w:val="auto"/>
        </w:rPr>
        <w:t>国际原油市场回顾 </w:t>
      </w:r>
      <w:bookmarkEnd w:id="0"/>
    </w:p>
    <w:p>
      <w:pPr>
        <w:pStyle w:val="3"/>
        <w:numPr>
          <w:ilvl w:val="0"/>
          <w:numId w:val="2"/>
        </w:numPr>
        <w:spacing w:before="120" w:after="120" w:line="240" w:lineRule="auto"/>
        <w:rPr>
          <w:rFonts w:hint="eastAsia" w:ascii="宋体" w:hAnsi="宋体"/>
          <w:b/>
          <w:color w:val="auto"/>
          <w:sz w:val="30"/>
          <w:szCs w:val="30"/>
          <w:highlight w:val="none"/>
          <w:lang w:val="en-US" w:eastAsia="zh-CN"/>
        </w:rPr>
      </w:pPr>
      <w:bookmarkStart w:id="1" w:name="_Toc6297"/>
      <w:bookmarkStart w:id="2" w:name="_Toc67556952"/>
      <w:r>
        <w:rPr>
          <w:rFonts w:hint="eastAsia" w:ascii="宋体" w:hAnsi="宋体"/>
          <w:b/>
          <w:color w:val="auto"/>
          <w:sz w:val="30"/>
          <w:szCs w:val="30"/>
          <w:highlight w:val="none"/>
          <w:lang w:val="en-US" w:eastAsia="zh-CN"/>
        </w:rPr>
        <w:t>国际原油收盘价涨跌情况（单位：美元/桶）</w:t>
      </w:r>
      <w:bookmarkEnd w:id="1"/>
      <w:bookmarkEnd w:id="2"/>
    </w:p>
    <w:p>
      <w:pPr>
        <w:numPr>
          <w:ilvl w:val="0"/>
          <w:numId w:val="0"/>
        </w:numPr>
        <w:rPr>
          <w:rFonts w:hint="eastAsia"/>
          <w:color w:val="auto"/>
          <w:lang w:val="en-US" w:eastAsia="zh-CN"/>
        </w:rPr>
      </w:pPr>
    </w:p>
    <w:tbl>
      <w:tblPr>
        <w:tblStyle w:val="24"/>
        <w:tblW w:w="8662" w:type="dxa"/>
        <w:jc w:val="center"/>
        <w:tblLayout w:type="fixed"/>
        <w:tblCellMar>
          <w:top w:w="15" w:type="dxa"/>
          <w:left w:w="15" w:type="dxa"/>
          <w:bottom w:w="15" w:type="dxa"/>
          <w:right w:w="15" w:type="dxa"/>
        </w:tblCellMar>
      </w:tblPr>
      <w:tblGrid>
        <w:gridCol w:w="1291"/>
        <w:gridCol w:w="995"/>
        <w:gridCol w:w="1035"/>
        <w:gridCol w:w="5341"/>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99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103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34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2021/8/26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67.42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71.07</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国际油价在振荡中收低，结束三天连涨。交易商获利回吐，周四早盘国际油价大幅度回跌，随后受到喀布尔机场事件影响，欧美原油期货缩窄跌幅，墨西哥因火灾停转的石油生产平台将在月底恢复正常，石油市场气氛也受到打压。</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2021/8/27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68.74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72.7</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飓风艾达威胁美国墨西哥湾沿岸,可能会破坏墨西哥湾油气生产平台，国际油价应声强劲上涨。</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2021/8/30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69.21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73.41</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飓风艾达重创美国海湾地区油气和炼油基础设施，国际油价继续上涨。</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2021/8/31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72.99</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市场关注飓风艾达过后美国墨西哥湾炼油厂的恢复工作，以及欧佩克及减产同盟国将于周三召开的会议。</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2021/9/1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68.59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71.59</w:t>
            </w:r>
          </w:p>
        </w:tc>
        <w:tc>
          <w:tcPr>
            <w:tcW w:w="534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pStyle w:val="23"/>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欧佩克维持10月份产量计划不变，美国原油库存继续下降，但是汽油库存意外增加，欧美原油期货稳定。</w:t>
            </w:r>
          </w:p>
        </w:tc>
      </w:tr>
    </w:tbl>
    <w:p>
      <w:pPr>
        <w:rPr>
          <w:rFonts w:hint="eastAsia" w:asciiTheme="minorEastAsia" w:hAnsiTheme="minorEastAsia" w:eastAsiaTheme="minorEastAsia" w:cstheme="minorEastAsia"/>
          <w:color w:val="auto"/>
          <w:kern w:val="0"/>
          <w:szCs w:val="21"/>
        </w:rPr>
      </w:pPr>
    </w:p>
    <w:p>
      <w:pPr>
        <w:pStyle w:val="3"/>
        <w:spacing w:before="120" w:after="120" w:line="240" w:lineRule="auto"/>
        <w:rPr>
          <w:rFonts w:hint="eastAsia" w:ascii="宋体" w:hAnsi="宋体"/>
          <w:b/>
          <w:color w:val="auto"/>
          <w:sz w:val="30"/>
          <w:szCs w:val="30"/>
          <w:highlight w:val="none"/>
          <w:lang w:val="en-US" w:eastAsia="zh-CN"/>
        </w:rPr>
      </w:pPr>
      <w:bookmarkStart w:id="3" w:name="_Toc67556953"/>
      <w:bookmarkStart w:id="4" w:name="_Toc5501"/>
      <w:r>
        <w:rPr>
          <w:rFonts w:hint="eastAsia" w:ascii="宋体" w:hAnsi="宋体"/>
          <w:b/>
          <w:color w:val="auto"/>
          <w:sz w:val="30"/>
          <w:szCs w:val="30"/>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kern w:val="0"/>
          <w:sz w:val="28"/>
          <w:szCs w:val="28"/>
        </w:rPr>
        <w:drawing>
          <wp:inline distT="0" distB="0" distL="114300" distR="114300">
            <wp:extent cx="4857115" cy="3942715"/>
            <wp:effectExtent l="0" t="0" r="63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4857115" cy="394271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3"/>
        <w:spacing w:before="120" w:after="120" w:line="240" w:lineRule="auto"/>
        <w:rPr>
          <w:rFonts w:hint="eastAsia" w:asciiTheme="minorEastAsia" w:hAnsiTheme="minorEastAsia" w:eastAsiaTheme="minorEastAsia" w:cstheme="minorEastAsia"/>
          <w:b/>
          <w:color w:val="auto"/>
          <w:sz w:val="28"/>
          <w:szCs w:val="28"/>
        </w:rPr>
      </w:pPr>
      <w:bookmarkStart w:id="5" w:name="_Toc67556954"/>
      <w:bookmarkStart w:id="6" w:name="_Toc16647"/>
      <w:r>
        <w:rPr>
          <w:rFonts w:hint="eastAsia" w:ascii="宋体" w:hAnsi="宋体"/>
          <w:b/>
          <w:color w:val="auto"/>
          <w:sz w:val="30"/>
          <w:szCs w:val="30"/>
          <w:highlight w:val="none"/>
          <w:lang w:val="en-US" w:eastAsia="zh-CN"/>
        </w:rPr>
        <w:t>2.1近期影响国际原油市场的主要因素</w:t>
      </w:r>
      <w:bookmarkEnd w:id="5"/>
      <w:bookmarkEnd w:id="6"/>
    </w:p>
    <w:p>
      <w:pPr>
        <w:pStyle w:val="3"/>
        <w:spacing w:before="120" w:after="120" w:line="240" w:lineRule="auto"/>
        <w:rPr>
          <w:rFonts w:hint="eastAsia" w:ascii="宋体" w:hAnsi="宋体"/>
          <w:b/>
          <w:color w:val="auto"/>
          <w:sz w:val="30"/>
          <w:szCs w:val="30"/>
          <w:highlight w:val="none"/>
          <w:lang w:val="en-US" w:eastAsia="zh-CN"/>
        </w:rPr>
      </w:pPr>
      <w:bookmarkStart w:id="7" w:name="_Toc184"/>
      <w:bookmarkStart w:id="8" w:name="_Toc67556955"/>
      <w:r>
        <w:rPr>
          <w:rFonts w:hint="eastAsia" w:ascii="宋体" w:hAnsi="宋体"/>
          <w:b/>
          <w:color w:val="auto"/>
          <w:sz w:val="30"/>
          <w:szCs w:val="30"/>
          <w:highlight w:val="none"/>
          <w:lang w:val="en-US" w:eastAsia="zh-CN"/>
        </w:rPr>
        <w:t>1.美国原油库存情况</w:t>
      </w:r>
      <w:bookmarkEnd w:id="7"/>
      <w:bookmarkEnd w:id="8"/>
      <w:r>
        <w:rPr>
          <w:rFonts w:hint="eastAsia" w:ascii="宋体" w:hAnsi="宋体"/>
          <w:b/>
          <w:color w:val="auto"/>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9" w:name="_Toc69977252"/>
      <w:bookmarkStart w:id="10"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本周美国EIA公布的数据显示，截至8月20日当周美国除却战略储备的商业原油库存降幅超预期，精炼油库存增幅预期，汽油库存降幅超预期。　具体数据显示，美国截至8月20日当周EIA原油库存变动实际公布减少298万桶，预期减少200万桶，前值减少323.3万桶。此外，美国截至8月20日当周EIA汽油库存实际公布减少224.10万桶，预期减少110万桶，前值增加69.6万桶;美国截至8月20日当周EIA精炼油库存实际公布增加64.50万桶，预期减少90万桶，前值减少269.7万桶。EIA报告显示，美国原油上周库存跌至2020年1月以来的最低水平。美国至8月20日当周除却战略储备的商业原油库存为2020年1月24日当周以来最低。美国东海岸汽油库存上周跌至2018年3月以来的最低水平。API数据显示，截至8月20日当周API全美商业原油库存减少162.2万桶,预期减少236.7万桶,前值减少116.3万桶,库欣原油库存减少48.5万桶;汽油库存减少98.5万桶,预期减少166.7万桶;精炼油库存减少24.5万桶,预期+76.7万桶。</w:t>
      </w:r>
    </w:p>
    <w:p>
      <w:pPr>
        <w:pStyle w:val="23"/>
        <w:spacing w:line="360" w:lineRule="auto"/>
        <w:ind w:firstLine="562" w:firstLineChars="200"/>
        <w:outlineLvl w:val="1"/>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2.美国经济形势</w:t>
      </w:r>
      <w:bookmarkEnd w:id="9"/>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1" w:name="_Toc76629721"/>
      <w:bookmarkStart w:id="12" w:name="_Toc69977253"/>
      <w:r>
        <w:rPr>
          <w:rFonts w:hint="eastAsia" w:asciiTheme="minorEastAsia" w:hAnsiTheme="minorEastAsia" w:eastAsiaTheme="minorEastAsia" w:cstheme="minorEastAsia"/>
          <w:color w:val="auto"/>
          <w:kern w:val="2"/>
          <w:sz w:val="28"/>
          <w:szCs w:val="28"/>
          <w:shd w:val="clear" w:color="auto" w:fill="FFFFFF"/>
        </w:rPr>
        <w:t>周三，美国零售联合会(NRF)经济学家Jack Kleinhenz表示，今年至今为止，儿童税收抵免及政府刺激支票帮助促进了消费支出，但经济增长的下一步将更多地依赖于就业。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Kleinhenz在最新发表的文章中表示：“随着美国经济进入2021年晚期，联邦援助将逐渐减少，人们将重点关注劳动力市场的增长是否能够支持消费。美国消费者仍然有心情消费，但创造就业将在消费能力方面发挥越来越大的作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美国劳动力市场一直非常紧张。根据劳工部的职位空缺和劳动力流动调查，截至6月，有1007万个非农业职位空缺，只有948万人在找工作。根据就业成本指数，在截至6月30日的12个月里，这种不平衡促使工资和薪金同比增长3.2%。</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Kleinhenz称，雇主为了在目前的劳动力市场上保持竞争力而不得不支付更高的工资，这可能导致未来几个月出现更多的通货膨胀。</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餐馆老板和零售商已经表达了他们在寻找员工方面的困难。在劳动节假期之前，沃尔玛(WMT.US)宣布计划雇用20,000名长期工人，该公司最近通过支付特别奖金和为员工支付100%的大学学费和教科书费用。塔吉特(TGT.US)上个月也宣布扩大了其大学学费福利。</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工资也一直在上涨。连锁药店Walgreens(WBA.US)和CVS Health(CVS.US)表示将在未来几个月将起薪提高到每小时15美元。此前，从Chipotle(CMG.US)、麦当劳(MCD.US)到好市多(COST.US)、百思买(BBY.US)等公司都提高了工资。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但Kleinhenz表示，他不认为这些更高的工资和福利会被纳入消费者一直看到的更高价格中。他指出：“高劳动力成本往往被转嫁给消费者，并被认为是更广泛的通货膨胀的前兆，但最近美国通货膨胀率的上升主要是由供应链瓶颈和低水平的库存推动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Kleinhenz还预计，新冠变种病毒Delta不会促使美国零售联合会削减其对零售业的预测，尽管它可能适度扰乱零售业。NRF预计，今年的零售额将增长10.5%至13.5%。</w:t>
      </w:r>
    </w:p>
    <w:p>
      <w:pPr>
        <w:pStyle w:val="23"/>
        <w:ind w:firstLine="643" w:firstLineChars="200"/>
        <w:outlineLvl w:val="1"/>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3.世界经济形势</w:t>
      </w:r>
      <w:bookmarkEnd w:id="11"/>
    </w:p>
    <w:bookmarkEnd w:id="12"/>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目前，在世界经济复苏进程受到新冠病毒德尔塔变异株影响的背景下，中国经济各项宏观指标保持在合理区间，继续成为世界经济复苏的稳定器。意中基金会企业研究中心近日发布的《中国2021年度报告》显示，2020年和2021年前几个月，意大利对华出口和意大利企业对华投资均大幅增长，中国是现在和未来数年内引领全球经济疫后复苏的主角之一。</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从2010年起，意中基金会每年都会发布一份关于中国经济走势的年度报告，到今年已经是第12份报告。关于中国经济的走势，报告认为在2020年尽管受到了新冠疫情的冲击，但中国率先实现复工复产，对外贸易仍然保持了增长的态势。这在一定程度上推动了中意贸易的增长，全年双边贸易额达551亿美元，其中意大利对华出口222亿，贸易逆差从2019年的119亿美元缩减至107亿美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而在今年前4个月，意大利对华出口增长的势头进一步加强，同比增长55.3%。中国成为意大利出口增长最快的市场。意中基金会企业研究中心主任菲利普·法苏罗认为，出现这样的情况是因为中国拉动内需的发展战略正在发挥作用。“现在比起出口和投资，中国现在更倾向于消费和创新，这是一种暂时的行情还是结构性的趋势呢?显然是结构性趋势。最近6个月(中国)的消费增长非常稳健，要知道中国的以消费为导向的战略是从调整经济结构的角度出发的。”</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外贸易是意大利经济的重要支柱。日前，国际货币基金组织发布最新一期世界经济展望，预计意大利经济在2021年将增长4.9%，高于德国的3.6%。有分析人士认为，其中一个重要的原因是两国出口产品结构不同，意大利的主要出口产品：服装、装饰和食品能够更快地抓住消费市场复苏的机遇，而海外的消费复苏主要源自中国。</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对此，意大利LP Attitude咨询公司联合创始人达尔·桑托表示从事对华贸易的意大利企业要及时制定专门市场策略以服务好中国市场：“(多个意大利品牌)2020年在华销售都实现了50%，甚至翻番的增长。很多观点都认为要在中国成功就必须给消费者提供持续服务。”</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根据中国海关总署公布的数据，今年上半年中意双边贸易额接近400亿美元，同比增长53%。全年有望突破600亿美元，再创历史新高。面对良好的发展势头，意大利驻华外交机构正在努力为推动两国贸易往来提供协助。意大利驻华使馆经济商务处参赞德玛睿说：“中国今年上半年的经济增长达到了12.7%，这是非常振奋人心的数字。国际货币基金组织预测中国今年的增长将达到8.4%，也是非常令人振奋的一个数字。我们作为使馆现在正在积极的帮助一些意大利的企业界人士获得中国方面的一些邀请，使他们能够来中国开展他们的业务。”</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67.42-69.21美元/桶。布伦特原油价格在71.07-73.41美元/桶震荡。周内国际油价窄幅震荡。OPEC+将按计划增产，EIA汽油库存意外增加抵消原油库存大降利好，外盘时间9月1日原油期货价格微幅调整。10月WTI：68.59涨0.09;11月布伦特：71.59跌0.04。油价周三持稳，此前OPEC+同意坚持现有的逐步增加石油产量的政策;布伦特原油期货下跌0.04美元，结算价报每桶71.59美元;美油上涨0.09美元，结算价报每桶68.59美元;盘中稍早，布油一度低见每桶70.42美元，美油低见每桶67.12美元;OPEC+同意坚持其逐步增加石油产量的现有政策，7月该联盟同意逐步削减创纪录的减产计划，逐月增加40万桶/日石油产量;OPEC+上调了2022年的需求预期，且面临美国要求其更快提高产量的压力。OPEC+在一份声明中表示，尽管新冠大流行的影响继续带来一些不确定性，但市场基本面已经加强，随着复苏加速，经合组织国家的石油库存继续下跌;俄罗斯副总理诺瓦克表示，OPEC+已经实现了一项移除全球市场过剩石油的目标，保持市场平衡至关重要;美国能源信息署(EIA)周三公布，上周汽油库存意外增加130万桶，至2.272亿桶，预估为减少160万桶?。新病例数上升可能会在未来几周抑制美国需求，且夏季驾车旺季结束后，也会出现季节性下降?;随着墨西哥湾沿岸的油气生产逐步复苏，预计美国原油价格仍将承压，重启因飓风艾达而关闭的路易斯安那州炼厂可能需要数周时间。</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预测下周WTI油价将触及66-70美元/桶，布油在之后几个月触及70-74美元/桶。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3"/>
      <w:r>
        <w:rPr>
          <w:rFonts w:hint="eastAsia" w:ascii="宋体" w:hAnsi="宋体"/>
          <w:b/>
          <w:color w:val="auto"/>
          <w:sz w:val="30"/>
          <w:szCs w:val="30"/>
          <w:highlight w:val="none"/>
          <w:lang w:val="en-US" w:eastAsia="zh-CN"/>
        </w:rPr>
        <w:t xml:space="preserve"> </w:t>
      </w: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9月1日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718.00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215.27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787.00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8月31日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721.00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221.16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801.50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8月30日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721.50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222.35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8月27日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724.00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218.93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 xml:space="preserve">793.25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8月26日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723.00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209.10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783.25 </w:t>
            </w:r>
          </w:p>
        </w:tc>
      </w:tr>
    </w:tbl>
    <w:p>
      <w:pPr>
        <w:rPr>
          <w:rFonts w:hint="eastAsia"/>
          <w:color w:val="auto"/>
          <w:lang w:eastAsia="zh-CN"/>
        </w:rPr>
      </w:pPr>
    </w:p>
    <w:p>
      <w:pPr>
        <w:pStyle w:val="2"/>
        <w:numPr>
          <w:ilvl w:val="0"/>
          <w:numId w:val="0"/>
        </w:numPr>
        <w:spacing w:before="120" w:after="0" w:line="240" w:lineRule="auto"/>
        <w:rPr>
          <w:rFonts w:hint="eastAsia"/>
          <w:b/>
          <w:color w:val="auto"/>
        </w:rPr>
      </w:pPr>
      <w:bookmarkStart w:id="14" w:name="_Toc11000"/>
      <w:r>
        <w:rPr>
          <w:rFonts w:hint="eastAsia"/>
          <w:b/>
          <w:color w:val="auto"/>
          <w:lang w:eastAsia="zh-CN"/>
        </w:rPr>
        <w:t>三、</w:t>
      </w:r>
      <w:r>
        <w:rPr>
          <w:rFonts w:hint="eastAsia"/>
          <w:b/>
          <w:color w:val="auto"/>
        </w:rPr>
        <w:t>本周国内市场</w:t>
      </w:r>
      <w:bookmarkEnd w:id="14"/>
    </w:p>
    <w:p>
      <w:pPr>
        <w:numPr>
          <w:ilvl w:val="0"/>
          <w:numId w:val="0"/>
        </w:numPr>
        <w:rPr>
          <w:color w:val="auto"/>
        </w:rPr>
      </w:pPr>
    </w:p>
    <w:p>
      <w:pPr>
        <w:pStyle w:val="3"/>
        <w:spacing w:before="120" w:after="120" w:line="240" w:lineRule="auto"/>
        <w:rPr>
          <w:rFonts w:hint="eastAsia" w:ascii="宋体" w:hAnsi="宋体"/>
          <w:b/>
          <w:color w:val="auto"/>
          <w:sz w:val="30"/>
          <w:szCs w:val="30"/>
          <w:highlight w:val="none"/>
        </w:rPr>
      </w:pPr>
      <w:bookmarkStart w:id="15" w:name="_Toc7167"/>
      <w:r>
        <w:rPr>
          <w:rFonts w:hint="eastAsia" w:ascii="宋体" w:hAnsi="宋体"/>
          <w:b/>
          <w:color w:val="auto"/>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458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2"/>
        <w:gridCol w:w="831"/>
        <w:gridCol w:w="1073"/>
        <w:gridCol w:w="1071"/>
        <w:gridCol w:w="2068"/>
        <w:gridCol w:w="1306"/>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济南炼化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2021/2/19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金陵石化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燕山石化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北京</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2020/3/29</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长岭石化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湖南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2021/2/20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塔河石化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新疆</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上海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1600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九江石化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江西</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沧州炼厂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扬子石化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江苏</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1450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焦化装置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茂名石化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石家庄炼厂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河北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齐鲁石化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3#常减压</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400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2021/8/8</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胜利油田</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山东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2021/9/15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2021/10月底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950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2021/11</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云南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1300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2020/12/5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抚顺石化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辽宁</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2021/4/10</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吉林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大港石化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天津</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500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2021/4/12</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格尔木炼厂</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青海</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150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2021/7/15</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炼厂名称</w:t>
            </w:r>
          </w:p>
        </w:tc>
        <w:tc>
          <w:tcPr>
            <w:tcW w:w="46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所在地</w:t>
            </w:r>
          </w:p>
        </w:tc>
        <w:tc>
          <w:tcPr>
            <w:tcW w:w="594"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加工能力</w:t>
            </w:r>
          </w:p>
        </w:tc>
        <w:tc>
          <w:tcPr>
            <w:tcW w:w="59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检修装置</w:t>
            </w:r>
          </w:p>
        </w:tc>
        <w:tc>
          <w:tcPr>
            <w:tcW w:w="11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18"/>
                <w:szCs w:val="18"/>
              </w:rPr>
              <w:t>检修产能（单位：万吨）</w:t>
            </w:r>
          </w:p>
        </w:tc>
        <w:tc>
          <w:tcPr>
            <w:tcW w:w="723"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起始时间</w:t>
            </w:r>
          </w:p>
        </w:tc>
        <w:tc>
          <w:tcPr>
            <w:tcW w:w="79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caps w:val="0"/>
                <w:spacing w:val="0"/>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东方石化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海南</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惠州炼化</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广东</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2200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二期</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1000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2021/3/4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83"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宁波大榭</w:t>
            </w:r>
          </w:p>
        </w:tc>
        <w:tc>
          <w:tcPr>
            <w:tcW w:w="46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浙江</w:t>
            </w:r>
          </w:p>
        </w:tc>
        <w:tc>
          <w:tcPr>
            <w:tcW w:w="594"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59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全厂检修</w:t>
            </w:r>
          </w:p>
        </w:tc>
        <w:tc>
          <w:tcPr>
            <w:tcW w:w="11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800</w:t>
            </w:r>
          </w:p>
        </w:tc>
        <w:tc>
          <w:tcPr>
            <w:tcW w:w="72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2021/4</w:t>
            </w:r>
          </w:p>
        </w:tc>
        <w:tc>
          <w:tcPr>
            <w:tcW w:w="79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val="0"/>
                <w:bCs w:val="0"/>
                <w:caps w:val="0"/>
                <w:spacing w:val="0"/>
                <w:sz w:val="20"/>
                <w:szCs w:val="20"/>
              </w:rPr>
            </w:pPr>
            <w:r>
              <w:rPr>
                <w:rFonts w:hint="eastAsia" w:asciiTheme="minorEastAsia" w:hAnsiTheme="minorEastAsia" w:eastAsiaTheme="minorEastAsia" w:cstheme="minorEastAsia"/>
                <w:b w:val="0"/>
                <w:bCs w:val="0"/>
                <w:caps w:val="0"/>
                <w:spacing w:val="0"/>
                <w:sz w:val="20"/>
                <w:szCs w:val="20"/>
              </w:rPr>
              <w:t>2021/5/15</w:t>
            </w:r>
          </w:p>
        </w:tc>
      </w:tr>
    </w:tbl>
    <w:p>
      <w:pPr>
        <w:numPr>
          <w:ilvl w:val="0"/>
          <w:numId w:val="0"/>
        </w:numPr>
        <w:rPr>
          <w:rFonts w:hint="eastAsia" w:ascii="宋体" w:hAnsi="宋体"/>
          <w:color w:val="auto"/>
          <w:sz w:val="28"/>
          <w:szCs w:val="28"/>
          <w:highlight w:val="none"/>
        </w:rPr>
      </w:pPr>
    </w:p>
    <w:p>
      <w:pPr>
        <w:numPr>
          <w:ilvl w:val="0"/>
          <w:numId w:val="3"/>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45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5"/>
        <w:gridCol w:w="1158"/>
        <w:gridCol w:w="1327"/>
        <w:gridCol w:w="1400"/>
        <w:gridCol w:w="877"/>
        <w:gridCol w:w="1620"/>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地方炼厂装置检修计划表(单位：万吨)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区域</w:t>
            </w:r>
          </w:p>
        </w:tc>
        <w:tc>
          <w:tcPr>
            <w:tcW w:w="0" w:type="auto"/>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省市</w:t>
            </w:r>
          </w:p>
        </w:tc>
        <w:tc>
          <w:tcPr>
            <w:tcW w:w="74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炼厂名称</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检修装置</w:t>
            </w:r>
          </w:p>
        </w:tc>
        <w:tc>
          <w:tcPr>
            <w:tcW w:w="49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产能</w:t>
            </w:r>
          </w:p>
        </w:tc>
        <w:tc>
          <w:tcPr>
            <w:tcW w:w="909"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起始时间</w:t>
            </w:r>
          </w:p>
        </w:tc>
        <w:tc>
          <w:tcPr>
            <w:tcW w:w="92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caps w:val="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nil"/>
              <w:right w:val="single" w:color="000000"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重整</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齐成石化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蜡油加裂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新建</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联合石化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590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垦利石化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400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东营</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海科瑞林</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230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潍坊</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山东海化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2021/6/29</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淄博</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方宇石化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520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临沂</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清沂山石化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德州</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恒源石化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准备拆除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重庆</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龙海石化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150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2021/7月底</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东北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辽宁缘泰</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常减压装置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2021/2/22</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盘锦浩业</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催化</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140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大连锦源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2021/5/6</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黑龙江</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大庆中蓝</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220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辽宁华锦</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2021/7/15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restart"/>
            <w:tcBorders>
              <w:top w:val="nil"/>
              <w:left w:val="single" w:color="000000" w:sz="6" w:space="0"/>
              <w:bottom w:val="nil"/>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西北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宝利新能源</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80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vMerge w:val="continue"/>
            <w:tcBorders>
              <w:top w:val="nil"/>
              <w:left w:val="single" w:color="000000" w:sz="6" w:space="0"/>
              <w:bottom w:val="nil"/>
              <w:right w:val="single" w:color="000000" w:sz="6" w:space="0"/>
            </w:tcBorders>
            <w:shd w:val="clear" w:color="auto" w:fill="auto"/>
            <w:tcMar>
              <w:left w:w="105" w:type="dxa"/>
              <w:right w:w="105" w:type="dxa"/>
            </w:tcMar>
            <w:vAlign w:val="center"/>
          </w:tcPr>
          <w:p>
            <w:pPr>
              <w:rPr>
                <w:rFonts w:hint="eastAsia" w:asciiTheme="minorEastAsia" w:hAnsiTheme="minorEastAsia" w:eastAsiaTheme="minorEastAsia" w:cstheme="minorEastAsia"/>
                <w:caps w:val="0"/>
                <w:spacing w:val="0"/>
                <w:sz w:val="20"/>
                <w:szCs w:val="20"/>
              </w:rPr>
            </w:pP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宁鲁石化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2021/8/18</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华东</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江苏</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新海石化</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300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2021/3/25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华北</w:t>
            </w:r>
          </w:p>
        </w:tc>
        <w:tc>
          <w:tcPr>
            <w:tcW w:w="0" w:type="auto"/>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w:t>
            </w:r>
          </w:p>
        </w:tc>
        <w:tc>
          <w:tcPr>
            <w:tcW w:w="74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河北鑫海</w:t>
            </w:r>
          </w:p>
        </w:tc>
        <w:tc>
          <w:tcPr>
            <w:tcW w:w="786"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全厂检修</w:t>
            </w:r>
          </w:p>
        </w:tc>
        <w:tc>
          <w:tcPr>
            <w:tcW w:w="49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600</w:t>
            </w:r>
          </w:p>
        </w:tc>
        <w:tc>
          <w:tcPr>
            <w:tcW w:w="909"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2021/7/5</w:t>
            </w:r>
          </w:p>
        </w:tc>
        <w:tc>
          <w:tcPr>
            <w:tcW w:w="927"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aps w:val="0"/>
                <w:spacing w:val="0"/>
                <w:sz w:val="20"/>
                <w:szCs w:val="20"/>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6" w:name="_Toc13096"/>
      <w:r>
        <w:rPr>
          <w:rFonts w:hint="eastAsia" w:ascii="宋体" w:hAnsi="宋体"/>
          <w:b/>
          <w:color w:val="auto"/>
          <w:sz w:val="30"/>
          <w:szCs w:val="30"/>
          <w:highlight w:val="none"/>
        </w:rPr>
        <w:t>3.2本周成品油市场行情</w:t>
      </w:r>
      <w:bookmarkEnd w:id="16"/>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bookmarkStart w:id="17" w:name="_Toc24031"/>
      <w:r>
        <w:rPr>
          <w:rFonts w:hint="default" w:asciiTheme="minorEastAsia" w:hAnsiTheme="minorEastAsia" w:eastAsiaTheme="minorEastAsia" w:cstheme="minorEastAsia"/>
          <w:color w:val="auto"/>
          <w:kern w:val="2"/>
          <w:sz w:val="28"/>
          <w:szCs w:val="28"/>
          <w:shd w:val="clear" w:color="auto" w:fill="FFFFFF"/>
          <w:lang w:eastAsia="zh-CN"/>
        </w:rPr>
        <w:t>本周(8月27日-9月2日)，原油价格维持震荡运行，维持在70美元附近。山东地区因之前汽柴价格处于低位</w:t>
      </w:r>
      <w:r>
        <w:rPr>
          <w:rFonts w:hint="eastAsia" w:asciiTheme="minorEastAsia" w:hAnsiTheme="minorEastAsia" w:eastAsiaTheme="minorEastAsia" w:cstheme="minorEastAsia"/>
          <w:color w:val="auto"/>
          <w:kern w:val="2"/>
          <w:sz w:val="28"/>
          <w:szCs w:val="28"/>
          <w:shd w:val="clear" w:color="auto" w:fill="FFFFFF"/>
          <w:lang w:eastAsia="zh-CN"/>
        </w:rPr>
        <w:t>，</w:t>
      </w:r>
      <w:r>
        <w:rPr>
          <w:rFonts w:hint="default" w:asciiTheme="minorEastAsia" w:hAnsiTheme="minorEastAsia" w:eastAsiaTheme="minorEastAsia" w:cstheme="minorEastAsia"/>
          <w:color w:val="auto"/>
          <w:kern w:val="2"/>
          <w:sz w:val="28"/>
          <w:szCs w:val="28"/>
          <w:shd w:val="clear" w:color="auto" w:fill="FFFFFF"/>
          <w:lang w:eastAsia="zh-CN"/>
        </w:rPr>
        <w:t>下游业者补货情绪高涨，因此8月份各销售单位任务量完成情况较好。随后部分单位汽柴价格开始回涨，多数业者补货后退出市场，市场观望气氛不减。不过受下游终端需求逐步恢复支撑，整体市场交投气氛亦有所改善。周后期，随着进入新的销售周期，主营销售暂无压力，区内汽柴价格也多保持坚挺。具体分析：因8月份出货量较多，社会库存量有所增加，成交价格较前期优惠缩窄。山东地区，受周边炼厂价格不断下滑影响，近几日汽柴价格也有所下滑，不过幅度较小。</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国际油价微幅波动,华中地区汽油价格大致维稳，仅个别主营单位试探性的涨跌。具体来看：周内前期，成品油调价窗口转为上调预期，对低迷的成品油市场形成利好支撑，再加之国内疫情基本控制，区内主营油价以稳为主，主营销售单位出货量尚可，业者看跌情绪缓解。周内后期，开学季和新的销售周期提振汽柴油需求，但区内市场活跃度仍旧不高，区内部分主营单位适度涨跌，优惠政策或有收窄。</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国际油价微幅波动,华东主营汽油价格小幅下跌，柴油价格窄幅上涨。目前来看，OPEC维持10月产量计划不变，美国原油库存继续下降，但汽油库存意外增加，国际油价走势仍不明确，或以弱势震荡为主。下周国内成品油零售限价存上调预期，对市场利好支撑，且月初主营挺价意愿强烈。学生开学带动私家车出行频率增加，汽油需求逐步回暖;柴油受轻循等征税政策实施后市场柴油资源被动收紧，且柴油需求处于恢复阶段，柴油价格存利好支撑。综上所述，预计短期内华东汽柴油价格仍有上行空间。</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国际原油价格涨跌互现，华南地区内行情上行，购销氛围淡稳。步入九月初，汽油消费旺季将至，在开学季节以及中秋、国庆假期带动之下国内汽油需求面有较好支撑，华南地区主营汽柴油价格总体呈现稳定状态，下游市场操作情绪冷静，购销氛围一般，区内汽柴油价格虽然本周后期略有回落，但总体保持较好上涨势头。具体分析，本周广东地区各主营单位汽柴油价格上涨50-250元/吨;福建地区石化汽柴油价格上涨100元/吨;海南地区主营汽柴价格上涨150-200元/吨。成品油零售价格预估上调且幅度拉宽，月初主营单位销售压力较少，挺价保利意愿较强，上涨预期较强，传统销售旺季“金九”来临，需求面支撑较足。</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w:t>
      </w:r>
      <w:bookmarkStart w:id="32" w:name="_GoBack"/>
      <w:bookmarkEnd w:id="32"/>
      <w:r>
        <w:rPr>
          <w:rFonts w:hint="default" w:asciiTheme="minorEastAsia" w:hAnsiTheme="minorEastAsia" w:eastAsiaTheme="minorEastAsia" w:cstheme="minorEastAsia"/>
          <w:color w:val="auto"/>
          <w:kern w:val="2"/>
          <w:sz w:val="28"/>
          <w:szCs w:val="28"/>
          <w:shd w:val="clear" w:color="auto" w:fill="FFFFFF"/>
          <w:lang w:eastAsia="zh-CN"/>
        </w:rPr>
        <w:t>原油期货收盘价格震荡上涨，消息面支撑有限，华北地区内汽柴油价格较涨跌互现，具体来看，原油期货价格震荡上行，消息面利好指引。汽油方面，随着开学季的到来，汽油终端市场需求有所提升，但由于汽油价格前期多处于高位，实际成交量提振不多。柴油方面，柴油销售逐渐脱离淡季，伴随着天气转凉，户外基建货运出行增加，以及休渔期的结束等利好消息，柴油市场需求有所上涨。业者采买积极性提升，少量囤货，月末主营销售完成情况尚可，马上步入“金九”主营挺价意愿明显，区内价格小幅调整，实际成交优惠可谈。</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西北区域主营油价稳中有涨。周前期，原油价格先涨后跌，呼市，西宁及西安部分汽柴油价格上涨，幅度在50元/吨，中下游业者持观望心态，多以销定购。周中期，原油收盘上涨，消息面利好支撑，西安，呼市及乌鲁木齐柴油价格有所上调，幅度在50-100元/吨，随着户外开工率提升，柴油市场需求逐渐转好，终端按需补货仍占多数。周末期，本轮成品油零售价仍存上调预期，呼市及银川部分汽柴油价格上调，幅度在50-100元，市场提振有限，主营单位成品油出货一般，市场成交平稳。</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本周(8月27日-9月2日)，国际原油期价先跌后涨再跌，以震荡为主，西南地区内成交一般。原油变化率持续位于正值向上区间波动，本轮零售价仍存上调预期。周期前，临近月底，西南地区主营单位停销核算，汽柴油低价出货意愿不高。周期中，原油收盘三连上涨，消息面开始偏好支撑，同时随着“金九”和开学季的到来，区域雨季的减少、休渔期结束等利好因素提振，中下游逢低补仓需求又有所增加，汽柴需求市场有所好转。周期后，进入九月，主营单位销售压力较少，挺价保利意愿较强，终端备货积极性提升，市场成交小幅放量。主营守稳出货，实际成交优惠可谈。</w:t>
      </w:r>
    </w:p>
    <w:p>
      <w:pPr>
        <w:pStyle w:val="23"/>
        <w:spacing w:line="360" w:lineRule="auto"/>
        <w:ind w:firstLine="560" w:firstLineChars="200"/>
        <w:rPr>
          <w:rFonts w:hint="default" w:asciiTheme="minorEastAsia" w:hAnsiTheme="minorEastAsia" w:eastAsiaTheme="minorEastAsia" w:cstheme="minorEastAsia"/>
          <w:color w:val="auto"/>
          <w:kern w:val="2"/>
          <w:sz w:val="28"/>
          <w:szCs w:val="28"/>
          <w:shd w:val="clear" w:color="auto" w:fill="FFFFFF"/>
          <w:lang w:eastAsia="zh-CN"/>
        </w:rPr>
      </w:pPr>
      <w:r>
        <w:rPr>
          <w:rFonts w:hint="default" w:asciiTheme="minorEastAsia" w:hAnsiTheme="minorEastAsia" w:eastAsiaTheme="minorEastAsia" w:cstheme="minorEastAsia"/>
          <w:color w:val="auto"/>
          <w:kern w:val="2"/>
          <w:sz w:val="28"/>
          <w:szCs w:val="28"/>
          <w:shd w:val="clear" w:color="auto" w:fill="FFFFFF"/>
          <w:lang w:eastAsia="zh-CN"/>
        </w:rPr>
        <w:t>后市预测：国际原油或维持震荡上行走势，本轮零售价或将开启上调窗口。传统销售旺季“金九”来临，伴随这全国高温酷暑天气逐渐减少，下游基建工程、物流运输行业需求量逐步增加，贸易商及终端企业后期备货积极性提升。本月上旬，主营单位销售压力不大，挺价意愿增强，加之上调预期对市场心态仍有支撑，预计下周国内汽柴油价格或稳中小涨。</w:t>
      </w:r>
    </w:p>
    <w:p>
      <w:pPr>
        <w:pStyle w:val="3"/>
        <w:spacing w:before="120" w:after="120" w:line="240" w:lineRule="auto"/>
        <w:rPr>
          <w:rFonts w:ascii="宋体" w:hAnsi="宋体"/>
          <w:b/>
          <w:color w:val="auto"/>
          <w:sz w:val="30"/>
          <w:szCs w:val="30"/>
        </w:rPr>
      </w:pPr>
      <w:r>
        <w:rPr>
          <w:rFonts w:hint="eastAsia" w:ascii="宋体" w:hAnsi="宋体"/>
          <w:b/>
          <w:color w:val="auto"/>
          <w:sz w:val="30"/>
          <w:szCs w:val="30"/>
        </w:rPr>
        <w:t>3.3 国内汽油价格周报</w:t>
      </w:r>
      <w:bookmarkEnd w:id="17"/>
    </w:p>
    <w:p>
      <w:pPr>
        <w:rPr>
          <w:rFonts w:hint="eastAsia"/>
          <w:color w:val="auto"/>
        </w:rPr>
      </w:pPr>
      <w:r>
        <w:rPr>
          <w:rFonts w:hint="eastAsia"/>
          <w:color w:val="auto"/>
        </w:rPr>
        <w:t>单位：元/吨</w:t>
      </w:r>
    </w:p>
    <w:p>
      <w:pPr>
        <w:rPr>
          <w:rFonts w:hint="eastAsia"/>
          <w:color w:val="auto"/>
        </w:rPr>
      </w:pPr>
    </w:p>
    <w:p>
      <w:pPr>
        <w:rPr>
          <w:rFonts w:hint="eastAsia"/>
          <w:color w:val="auto"/>
        </w:rPr>
      </w:pPr>
    </w:p>
    <w:tbl>
      <w:tblPr>
        <w:tblStyle w:val="24"/>
        <w:tblW w:w="9402" w:type="dxa"/>
        <w:jc w:val="center"/>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18" w:name="_Toc16466"/>
            <w:r>
              <w:rPr>
                <w:rFonts w:hint="eastAsia" w:ascii="宋体" w:hAnsi="宋体" w:eastAsia="宋体" w:cs="宋体"/>
                <w:b/>
                <w:i w:val="0"/>
                <w:color w:val="auto"/>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9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涨跌</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2021/9/2</w:t>
            </w:r>
          </w:p>
        </w:tc>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2021/8/26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8736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8736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8736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8736</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惠州市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泉州市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粤东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7595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7795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临汾市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8188</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7775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唐山市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7925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8188</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7775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宁波市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E92#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7900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3.4国内柴油价格周报</w:t>
      </w:r>
      <w:bookmarkEnd w:id="18"/>
    </w:p>
    <w:p>
      <w:pPr>
        <w:rPr>
          <w:rFonts w:hint="eastAsia"/>
          <w:color w:val="auto"/>
          <w:lang w:val="en-US" w:eastAsia="zh-CN"/>
        </w:rPr>
      </w:pPr>
      <w:r>
        <w:rPr>
          <w:rFonts w:hint="eastAsia"/>
          <w:color w:val="auto"/>
          <w:lang w:val="en-US" w:eastAsia="zh-CN"/>
        </w:rPr>
        <w:t>单位：元/吨</w:t>
      </w:r>
    </w:p>
    <w:tbl>
      <w:tblPr>
        <w:tblStyle w:val="24"/>
        <w:tblW w:w="9357" w:type="dxa"/>
        <w:jc w:val="center"/>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shd w:val="clear" w:color="auto" w:fill="auto"/>
          <w:tblCellMar>
            <w:top w:w="0" w:type="dxa"/>
            <w:left w:w="0" w:type="dxa"/>
            <w:bottom w:w="0" w:type="dxa"/>
            <w:right w:w="0" w:type="dxa"/>
          </w:tblCellMar>
        </w:tblPrEx>
        <w:trPr>
          <w:trHeight w:val="38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涨跌</w:t>
            </w:r>
          </w:p>
        </w:tc>
        <w:tc>
          <w:tcPr>
            <w:tcW w:w="115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2021/9/2</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2021/8/26</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银川市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6470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6380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6360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6235</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批发价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19" w:name="_Toc6052"/>
      <w:r>
        <w:rPr>
          <w:rFonts w:hint="eastAsia" w:ascii="宋体" w:hAnsi="宋体"/>
          <w:b/>
          <w:color w:val="auto"/>
          <w:sz w:val="30"/>
          <w:szCs w:val="30"/>
          <w:lang w:val="en-US" w:eastAsia="zh-CN"/>
        </w:rPr>
        <w:t>3.5 山东地炼汽油出厂价格周报</w:t>
      </w:r>
      <w:bookmarkEnd w:id="19"/>
    </w:p>
    <w:p>
      <w:pPr>
        <w:rPr>
          <w:rFonts w:hint="eastAsia"/>
          <w:color w:val="auto"/>
          <w:lang w:val="en-US" w:eastAsia="zh-CN"/>
        </w:rPr>
      </w:pPr>
      <w:r>
        <w:rPr>
          <w:rFonts w:hint="eastAsia"/>
          <w:color w:val="auto"/>
          <w:lang w:val="en-US" w:eastAsia="zh-CN"/>
        </w:rPr>
        <w:t>单位：元/吨</w:t>
      </w:r>
    </w:p>
    <w:tbl>
      <w:tblPr>
        <w:tblStyle w:val="24"/>
        <w:tblW w:w="8954" w:type="dxa"/>
        <w:jc w:val="center"/>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shd w:val="clear" w:color="auto" w:fill="auto"/>
          <w:tblCellMar>
            <w:top w:w="0" w:type="dxa"/>
            <w:left w:w="0" w:type="dxa"/>
            <w:bottom w:w="0" w:type="dxa"/>
            <w:right w:w="0" w:type="dxa"/>
          </w:tblCellMar>
        </w:tblPrEx>
        <w:trPr>
          <w:trHeight w:val="440" w:hRule="atLeast"/>
          <w:jc w:val="center"/>
        </w:trPr>
        <w:tc>
          <w:tcPr>
            <w:tcW w:w="7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省份</w:t>
            </w:r>
          </w:p>
        </w:tc>
        <w:tc>
          <w:tcPr>
            <w:tcW w:w="85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84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生产厂家</w:t>
            </w:r>
          </w:p>
        </w:tc>
        <w:tc>
          <w:tcPr>
            <w:tcW w:w="1334"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97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涨跌</w:t>
            </w:r>
          </w:p>
        </w:tc>
        <w:tc>
          <w:tcPr>
            <w:tcW w:w="12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2021/9/2</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2021/8/26</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万通化工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东方华龙</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东明石化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7363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7383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7473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华联石化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7693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中海石油东营石化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7365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亚通石化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7418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7344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7418</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京VI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7574</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7666</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国VIB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7498</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7576</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京博石化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国VIB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7666</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7738</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利津石化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华星石化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垦利石化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万达天弘</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寿光联盟</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7460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7460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寿光鲁清</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7230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富宇化工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89#</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6900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7295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7365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7445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7515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7445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7515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山东海科</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7645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7715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7645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7715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弘润石化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潍坊弘润</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高标国VI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恒源石化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7250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昌邑石化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广饶正和</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7320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永鑫化工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7420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7540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汇丰石化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7385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7465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7535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98#</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7665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7735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海科瑞林</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101#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8165</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8235</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7210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神驰化工</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7290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7370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7223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联合石化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7333</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7423</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7310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金诚石化</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7280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7390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榆林炼厂公路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永坪炼厂公路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延安炼厂公路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西安临潼公路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西安临潼铁路</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汽车运输</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金澳科技</w:t>
            </w:r>
          </w:p>
        </w:tc>
        <w:tc>
          <w:tcPr>
            <w:tcW w:w="1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国Ⅵ 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出厂价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1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7700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0" w:name="_Toc25179"/>
      <w:r>
        <w:rPr>
          <w:rFonts w:hint="eastAsia" w:ascii="宋体" w:hAnsi="宋体"/>
          <w:b/>
          <w:color w:val="auto"/>
          <w:sz w:val="30"/>
          <w:szCs w:val="30"/>
          <w:lang w:val="en-US" w:eastAsia="zh-CN"/>
        </w:rPr>
        <w:t>3.6 山东地炼柴油出厂价格周报</w:t>
      </w:r>
      <w:bookmarkEnd w:id="20"/>
    </w:p>
    <w:p>
      <w:pPr>
        <w:rPr>
          <w:rFonts w:hint="eastAsia" w:ascii="宋体" w:hAnsi="宋体"/>
          <w:b/>
          <w:color w:val="auto"/>
          <w:sz w:val="10"/>
          <w:szCs w:val="10"/>
          <w:lang w:val="en-US" w:eastAsia="zh-CN"/>
        </w:rPr>
      </w:pPr>
      <w:r>
        <w:rPr>
          <w:rFonts w:hint="eastAsia"/>
          <w:bCs/>
          <w:color w:val="auto"/>
          <w:szCs w:val="21"/>
          <w:lang w:val="en-US" w:eastAsia="zh-CN"/>
        </w:rPr>
        <w:t>单位：元/吨</w:t>
      </w:r>
    </w:p>
    <w:p>
      <w:pPr>
        <w:rPr>
          <w:rFonts w:hint="eastAsia"/>
          <w:b/>
          <w:bCs/>
          <w:color w:val="auto"/>
          <w:lang w:val="en-US" w:eastAsia="zh-CN"/>
        </w:rPr>
      </w:pPr>
    </w:p>
    <w:tbl>
      <w:tblPr>
        <w:tblStyle w:val="24"/>
        <w:tblW w:w="8982" w:type="dxa"/>
        <w:jc w:val="center"/>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auto"/>
                <w:kern w:val="0"/>
                <w:sz w:val="20"/>
                <w:szCs w:val="20"/>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产品名称</w:t>
            </w:r>
          </w:p>
        </w:tc>
        <w:tc>
          <w:tcPr>
            <w:tcW w:w="15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生产厂家</w:t>
            </w:r>
          </w:p>
        </w:tc>
        <w:tc>
          <w:tcPr>
            <w:tcW w:w="13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型号</w:t>
            </w:r>
          </w:p>
        </w:tc>
        <w:tc>
          <w:tcPr>
            <w:tcW w:w="9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价格类型</w:t>
            </w:r>
          </w:p>
        </w:tc>
        <w:tc>
          <w:tcPr>
            <w:tcW w:w="7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涨跌</w:t>
            </w:r>
          </w:p>
        </w:tc>
        <w:tc>
          <w:tcPr>
            <w:tcW w:w="127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2021/9/2</w:t>
            </w:r>
          </w:p>
        </w:tc>
        <w:tc>
          <w:tcPr>
            <w:tcW w:w="12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2021/8/26</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6133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6193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6284</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6266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6338</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6145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6145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6145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6090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6270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6143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6183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6180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6290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6540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6850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6250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6470</w:t>
            </w:r>
          </w:p>
        </w:tc>
      </w:tr>
    </w:tbl>
    <w:p>
      <w:pPr>
        <w:pStyle w:val="3"/>
        <w:spacing w:before="120" w:after="120" w:line="240" w:lineRule="auto"/>
        <w:rPr>
          <w:rFonts w:hint="eastAsia" w:ascii="宋体" w:hAnsi="宋体"/>
          <w:b/>
          <w:color w:val="auto"/>
          <w:sz w:val="30"/>
          <w:szCs w:val="30"/>
          <w:lang w:val="en-US" w:eastAsia="zh-CN"/>
        </w:rPr>
      </w:pPr>
      <w:r>
        <w:rPr>
          <w:rFonts w:hint="eastAsia" w:ascii="宋体" w:hAnsi="宋体"/>
          <w:b/>
          <w:color w:val="auto"/>
          <w:sz w:val="30"/>
          <w:szCs w:val="30"/>
          <w:lang w:val="en-US" w:eastAsia="zh-CN"/>
        </w:rPr>
        <w:t>四、2021年7月份进出口统计数据</w:t>
      </w:r>
      <w:bookmarkEnd w:id="21"/>
      <w:bookmarkEnd w:id="22"/>
    </w:p>
    <w:p>
      <w:pPr>
        <w:pStyle w:val="3"/>
        <w:spacing w:before="120" w:after="120" w:line="240" w:lineRule="auto"/>
        <w:rPr>
          <w:rFonts w:hint="eastAsia" w:ascii="宋体" w:hAnsi="宋体"/>
          <w:b/>
          <w:color w:val="auto"/>
          <w:sz w:val="30"/>
          <w:szCs w:val="30"/>
        </w:rPr>
      </w:pPr>
      <w:bookmarkStart w:id="25" w:name="_Toc19791"/>
      <w:bookmarkStart w:id="26" w:name="_Toc31314"/>
      <w:r>
        <w:rPr>
          <w:rFonts w:hint="eastAsia" w:ascii="宋体" w:hAnsi="宋体"/>
          <w:b/>
          <w:color w:val="auto"/>
          <w:sz w:val="30"/>
          <w:szCs w:val="30"/>
        </w:rPr>
        <w:t>4.</w:t>
      </w:r>
      <w:bookmarkEnd w:id="25"/>
      <w:bookmarkEnd w:id="26"/>
      <w:r>
        <w:rPr>
          <w:rFonts w:hint="eastAsia" w:ascii="宋体" w:hAnsi="宋体"/>
          <w:b/>
          <w:color w:val="auto"/>
          <w:sz w:val="30"/>
          <w:szCs w:val="30"/>
          <w:lang w:val="en-US" w:eastAsia="zh-CN"/>
        </w:rPr>
        <w:t xml:space="preserve">1 </w:t>
      </w:r>
      <w:r>
        <w:rPr>
          <w:rFonts w:hint="eastAsia" w:ascii="宋体" w:hAnsi="宋体"/>
          <w:b/>
          <w:color w:val="auto"/>
          <w:sz w:val="30"/>
          <w:szCs w:val="30"/>
        </w:rPr>
        <w:t>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份全国车用汽油和航空汽油出口统计数据</w:t>
      </w:r>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bookmarkStart w:id="27" w:name="_Toc23995"/>
            <w:bookmarkStart w:id="28" w:name="_Toc31064"/>
            <w:r>
              <w:rPr>
                <w:rFonts w:hint="eastAsia" w:ascii="宋体" w:hAnsi="宋体" w:eastAsia="宋体" w:cs="宋体"/>
                <w:b/>
                <w:i w:val="0"/>
                <w:color w:val="auto"/>
                <w:kern w:val="0"/>
                <w:sz w:val="20"/>
                <w:szCs w:val="20"/>
                <w:u w:val="none"/>
                <w:lang w:val="en-US" w:eastAsia="zh-CN" w:bidi="ar"/>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单位（吨）</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美元</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巴基斯坦</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50292.857</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33044417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34000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17115600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韩国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19945.084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9816300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68496.505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42730427</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2086.021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1448585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4510.664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3080833</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日本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3951.359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2617040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442976.923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278875133</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印度尼西亚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91247.283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56565625</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17650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12972999</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5754.388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3016000</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车用汽油和航空汽油，不含有生物柴油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740911.084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461282959</w:t>
            </w:r>
          </w:p>
        </w:tc>
      </w:tr>
    </w:tbl>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4.2 20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月份全国柴油出口统计数据</w:t>
      </w:r>
      <w:bookmarkEnd w:id="27"/>
      <w:bookmarkEnd w:id="28"/>
    </w:p>
    <w:p>
      <w:pPr>
        <w:rPr>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bookmarkStart w:id="29" w:name="_Toc16942"/>
            <w:r>
              <w:rPr>
                <w:rFonts w:hint="eastAsia" w:asciiTheme="minorEastAsia" w:hAnsiTheme="minorEastAsia" w:eastAsiaTheme="minorEastAsia" w:cstheme="minorEastAsia"/>
                <w:b/>
                <w:bCs/>
                <w:i w:val="0"/>
                <w:iCs w:val="0"/>
                <w:color w:val="auto"/>
                <w:kern w:val="0"/>
                <w:sz w:val="20"/>
                <w:szCs w:val="20"/>
                <w:u w:val="none"/>
                <w:lang w:val="en-US" w:eastAsia="zh-CN" w:bidi="ar"/>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i w:val="0"/>
                <w:iCs w:val="0"/>
                <w:color w:val="auto"/>
                <w:kern w:val="0"/>
                <w:sz w:val="20"/>
                <w:szCs w:val="20"/>
                <w:u w:val="none"/>
                <w:lang w:val="en-US" w:eastAsia="zh-CN" w:bidi="ar"/>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阿尔及利亚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235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1030625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0"/>
                <w:szCs w:val="20"/>
                <w:lang w:val="en-US" w:eastAsia="zh-CN" w:bidi="ar-SA"/>
              </w:rPr>
            </w:pPr>
            <w:r>
              <w:rPr>
                <w:rFonts w:hint="eastAsia" w:asciiTheme="minorEastAsia" w:hAnsiTheme="minorEastAsia" w:eastAsiaTheme="minorEastAsia" w:cstheme="minorEastAsia"/>
                <w:i w:val="0"/>
                <w:iCs w:val="0"/>
                <w:color w:val="auto"/>
                <w:kern w:val="0"/>
                <w:sz w:val="20"/>
                <w:szCs w:val="20"/>
                <w:u w:val="none"/>
                <w:lang w:val="en-US" w:eastAsia="zh-CN" w:bidi="ar"/>
              </w:rPr>
              <w:t>4385.64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埃塞俄比亚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116.03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458506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262880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澳大利亚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236427.94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791019367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3345.71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2455.92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9827537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4001.57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15238.21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56424408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452.18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1722534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908797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3883.75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多哥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154.65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592738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197001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厄瓜多尔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76391.36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269428322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3526.95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法国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978.1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3613162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3694.06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533419.23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1884946204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3533.71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46497.68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166071474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3571.61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1478129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基里巴斯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230681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吉布提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201.6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761945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3779.49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柬埔寨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16430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62325850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喀麦隆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64898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开曼群岛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71709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3585.45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175256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3894.58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8045.76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30358691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3773.25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2231.28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8706740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4869928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4869.93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5252.86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20177648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1268.8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4728301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1083.64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4155896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孟加拉国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94981.03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355757857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10121.02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43832360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4330.83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1581461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171.11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641450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3748.74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1231.7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4659765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5873.22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22138874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3769.46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塞拉利昂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160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656622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4103.89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865.66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3413881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3943.66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沙特阿拉伯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79.4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301009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40202.38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141684828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图瓦卢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192234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瓦努阿图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94.2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336551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3572.73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843855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124744.02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449070763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187189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3820.18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意大利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1166487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2683.45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9971402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3715.89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96.35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359291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智利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39878.36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148716926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3729.26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中国澳门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3425.57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9284902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2710.47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中国台湾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1395.1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5134907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 xml:space="preserve">中国香港  </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115600.16</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8%</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422028687</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i w:val="0"/>
                <w:iCs w:val="0"/>
                <w:color w:val="auto"/>
                <w:kern w:val="0"/>
                <w:sz w:val="20"/>
                <w:szCs w:val="20"/>
                <w:u w:val="none"/>
                <w:lang w:val="en-US" w:eastAsia="zh-CN" w:bidi="ar"/>
              </w:rPr>
              <w:t>3650.76</w:t>
            </w:r>
          </w:p>
        </w:tc>
      </w:tr>
    </w:tbl>
    <w:p>
      <w:pPr>
        <w:pStyle w:val="3"/>
        <w:spacing w:before="120" w:after="120" w:line="240" w:lineRule="auto"/>
        <w:rPr>
          <w:rFonts w:hint="eastAsia"/>
          <w:bCs/>
          <w:color w:val="auto"/>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月份全国原油进出口统计数据</w:t>
      </w:r>
      <w:bookmarkEnd w:id="23"/>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eastAsia="宋体"/>
          <w:bCs/>
          <w:color w:val="auto"/>
          <w:szCs w:val="21"/>
          <w:lang w:eastAsia="zh-CN"/>
        </w:rPr>
      </w:pPr>
    </w:p>
    <w:tbl>
      <w:tblPr>
        <w:tblStyle w:val="24"/>
        <w:tblW w:w="4337" w:type="pct"/>
        <w:jc w:val="center"/>
        <w:tblLayout w:type="autofit"/>
        <w:tblCellMar>
          <w:top w:w="0" w:type="dxa"/>
          <w:left w:w="108" w:type="dxa"/>
          <w:bottom w:w="0" w:type="dxa"/>
          <w:right w:w="108" w:type="dxa"/>
        </w:tblCellMar>
      </w:tblPr>
      <w:tblGrid>
        <w:gridCol w:w="2459"/>
        <w:gridCol w:w="1513"/>
        <w:gridCol w:w="1936"/>
        <w:gridCol w:w="2639"/>
      </w:tblGrid>
      <w:tr>
        <w:tblPrEx>
          <w:tblCellMar>
            <w:top w:w="0" w:type="dxa"/>
            <w:left w:w="108" w:type="dxa"/>
            <w:bottom w:w="0" w:type="dxa"/>
            <w:right w:w="108" w:type="dxa"/>
          </w:tblCellMar>
        </w:tblPrEx>
        <w:trPr>
          <w:trHeight w:val="330" w:hRule="atLeast"/>
          <w:jc w:val="center"/>
        </w:trPr>
        <w:tc>
          <w:tcPr>
            <w:tcW w:w="143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bookmarkStart w:id="30" w:name="_Toc18589"/>
            <w:bookmarkStart w:id="31" w:name="_Toc20776"/>
            <w:r>
              <w:rPr>
                <w:rFonts w:hint="eastAsia" w:asciiTheme="minorEastAsia" w:hAnsiTheme="minorEastAsia" w:eastAsiaTheme="minorEastAsia" w:cstheme="minorEastAsia"/>
                <w:b/>
                <w:color w:val="auto"/>
                <w:sz w:val="20"/>
                <w:szCs w:val="20"/>
              </w:rPr>
              <w:t>来源国（进口）</w:t>
            </w:r>
          </w:p>
        </w:tc>
        <w:tc>
          <w:tcPr>
            <w:tcW w:w="885"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万吨</w:t>
            </w:r>
          </w:p>
        </w:tc>
        <w:tc>
          <w:tcPr>
            <w:tcW w:w="113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万美元</w:t>
            </w:r>
          </w:p>
        </w:tc>
        <w:tc>
          <w:tcPr>
            <w:tcW w:w="1543"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均价（美元/吨）</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沙特阿拉伯</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666.85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349792.58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524.54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俄罗斯联邦</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663.94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345049.46</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519.7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伊拉克</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467.15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239822.19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513.37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科威特</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416.22</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222526.72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534.64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阿曼</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367.47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194880.23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530.32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安哥拉</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291.97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155834.95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533.74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巴西</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243.43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128460.83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527.71</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阿联酋</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191.3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101069.12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528.34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马来西亚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118.21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57536.69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486.75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美国</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78.43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45614.9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581.63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挪威</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69.07</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37212.83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538.79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英国</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65.65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36654.12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558.3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卡塔尔</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63.21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35609.21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563.32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厄瓜多尔</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60.8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29490.07</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485.04</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哥伦比亚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53.75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25834.73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480.67</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哈萨克斯坦</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48.92</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27553.41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563.2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尼日利亚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46.06</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24915.8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540.99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加纳</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38.35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20813.94</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542.68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利比亚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26.05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14259.61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547.35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加蓬</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25.8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14716.95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570.33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赤道几内亚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24.83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14421.38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580.78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加拿大</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21.14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9851.58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466.05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印度尼西亚</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15.45</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8767.4</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567.51</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也门</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13.19</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7451.33</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565</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刚果(布)</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13.01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6752.67</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519.06</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刚果(金)</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12.46</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6813.5</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546.79</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越南</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7.01</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4058.71</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579.03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蒙古</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6.63</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2746.9</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414.43</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埃及</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5.94</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3340.12</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562.28</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圭亚那</w:t>
            </w:r>
          </w:p>
        </w:tc>
        <w:tc>
          <w:tcPr>
            <w:tcW w:w="885"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1.98</w:t>
            </w:r>
          </w:p>
        </w:tc>
        <w:tc>
          <w:tcPr>
            <w:tcW w:w="1132"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1021.28</w:t>
            </w:r>
          </w:p>
        </w:tc>
        <w:tc>
          <w:tcPr>
            <w:tcW w:w="1543"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516.22</w:t>
            </w:r>
          </w:p>
        </w:tc>
      </w:tr>
      <w:tr>
        <w:tblPrEx>
          <w:tblCellMar>
            <w:top w:w="0" w:type="dxa"/>
            <w:left w:w="108" w:type="dxa"/>
            <w:bottom w:w="0" w:type="dxa"/>
            <w:right w:w="108" w:type="dxa"/>
          </w:tblCellMar>
        </w:tblPrEx>
        <w:trPr>
          <w:trHeight w:val="270" w:hRule="atLeast"/>
          <w:jc w:val="center"/>
        </w:trPr>
        <w:tc>
          <w:tcPr>
            <w:tcW w:w="1438" w:type="pct"/>
            <w:tcBorders>
              <w:top w:val="nil"/>
              <w:left w:val="single" w:color="auto" w:sz="4" w:space="0"/>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合计</w:t>
            </w:r>
          </w:p>
        </w:tc>
        <w:tc>
          <w:tcPr>
            <w:tcW w:w="885"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4124.27</w:t>
            </w:r>
          </w:p>
        </w:tc>
        <w:tc>
          <w:tcPr>
            <w:tcW w:w="1132"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2172873.24</w:t>
            </w:r>
          </w:p>
        </w:tc>
        <w:tc>
          <w:tcPr>
            <w:tcW w:w="1543" w:type="pct"/>
            <w:tcBorders>
              <w:top w:val="nil"/>
              <w:left w:val="nil"/>
              <w:bottom w:val="single" w:color="auto" w:sz="4" w:space="0"/>
              <w:right w:val="single" w:color="auto" w:sz="4" w:space="0"/>
            </w:tcBorders>
            <w:shd w:val="clear" w:color="auto" w:fill="00B0F0"/>
            <w:noWrap w:val="0"/>
            <w:vAlign w:val="center"/>
          </w:tcPr>
          <w:p>
            <w:pPr>
              <w:widowControl/>
              <w:wordWrap w:val="0"/>
              <w:spacing w:after="90" w:line="288" w:lineRule="auto"/>
              <w:ind w:firstLine="480"/>
              <w:jc w:val="center"/>
              <w:rPr>
                <w:rFonts w:hint="eastAsia"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0"/>
                <w:szCs w:val="20"/>
              </w:rPr>
              <w:t>526.85</w:t>
            </w:r>
          </w:p>
        </w:tc>
      </w:tr>
    </w:tbl>
    <w:p>
      <w:pPr>
        <w:widowControl/>
        <w:wordWrap w:val="0"/>
        <w:spacing w:after="90" w:line="288" w:lineRule="auto"/>
        <w:ind w:firstLine="480"/>
        <w:jc w:val="left"/>
        <w:rPr>
          <w:rFonts w:hint="eastAsia" w:asciiTheme="minorEastAsia" w:hAnsiTheme="minorEastAsia" w:eastAsiaTheme="minorEastAsia" w:cstheme="minorEastAsia"/>
          <w:color w:val="auto"/>
          <w:kern w:val="2"/>
          <w:sz w:val="28"/>
          <w:szCs w:val="28"/>
          <w:shd w:val="clear" w:color="auto" w:fill="FFFFFF"/>
          <w:lang w:val="en-US" w:eastAsia="zh-CN" w:bidi="ar-SA"/>
        </w:rPr>
      </w:pPr>
    </w:p>
    <w:tbl>
      <w:tblPr>
        <w:tblStyle w:val="24"/>
        <w:tblW w:w="4342" w:type="pct"/>
        <w:tblInd w:w="645" w:type="dxa"/>
        <w:tblLayout w:type="autofit"/>
        <w:tblCellMar>
          <w:top w:w="0" w:type="dxa"/>
          <w:left w:w="108" w:type="dxa"/>
          <w:bottom w:w="0" w:type="dxa"/>
          <w:right w:w="108" w:type="dxa"/>
        </w:tblCellMar>
      </w:tblPr>
      <w:tblGrid>
        <w:gridCol w:w="2443"/>
        <w:gridCol w:w="1531"/>
        <w:gridCol w:w="1919"/>
        <w:gridCol w:w="2664"/>
      </w:tblGrid>
      <w:tr>
        <w:tblPrEx>
          <w:tblCellMar>
            <w:top w:w="0" w:type="dxa"/>
            <w:left w:w="108" w:type="dxa"/>
            <w:bottom w:w="0" w:type="dxa"/>
            <w:right w:w="108" w:type="dxa"/>
          </w:tblCellMar>
        </w:tblPrEx>
        <w:trPr>
          <w:trHeight w:val="524" w:hRule="atLeast"/>
        </w:trPr>
        <w:tc>
          <w:tcPr>
            <w:tcW w:w="1427"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出口国家</w:t>
            </w:r>
          </w:p>
        </w:tc>
        <w:tc>
          <w:tcPr>
            <w:tcW w:w="894"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万吨</w:t>
            </w:r>
          </w:p>
        </w:tc>
        <w:tc>
          <w:tcPr>
            <w:tcW w:w="1121"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ind w:firstLine="480"/>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万美元</w:t>
            </w:r>
          </w:p>
        </w:tc>
        <w:tc>
          <w:tcPr>
            <w:tcW w:w="1556" w:type="pct"/>
            <w:tcBorders>
              <w:top w:val="single" w:color="auto" w:sz="4" w:space="0"/>
              <w:left w:val="nil"/>
              <w:bottom w:val="single" w:color="auto" w:sz="4" w:space="0"/>
              <w:right w:val="single" w:color="auto" w:sz="4" w:space="0"/>
            </w:tcBorders>
            <w:shd w:val="clear" w:color="000000" w:fill="00B0F0"/>
            <w:noWrap w:val="0"/>
            <w:vAlign w:val="bottom"/>
          </w:tcPr>
          <w:p>
            <w:pPr>
              <w:widowControl/>
              <w:wordWrap w:val="0"/>
              <w:spacing w:after="90" w:line="288" w:lineRule="auto"/>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均价（美元/吨）</w:t>
            </w:r>
          </w:p>
        </w:tc>
      </w:tr>
      <w:tr>
        <w:tblPrEx>
          <w:tblCellMar>
            <w:top w:w="0" w:type="dxa"/>
            <w:left w:w="108" w:type="dxa"/>
            <w:bottom w:w="0" w:type="dxa"/>
            <w:right w:w="108" w:type="dxa"/>
          </w:tblCellMar>
        </w:tblPrEx>
        <w:trPr>
          <w:trHeight w:val="270" w:hRule="atLeast"/>
        </w:trPr>
        <w:tc>
          <w:tcPr>
            <w:tcW w:w="1427"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缅甸</w:t>
            </w:r>
          </w:p>
        </w:tc>
        <w:tc>
          <w:tcPr>
            <w:tcW w:w="894"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27.66</w:t>
            </w:r>
          </w:p>
        </w:tc>
        <w:tc>
          <w:tcPr>
            <w:tcW w:w="1121"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13.19</w:t>
            </w:r>
          </w:p>
        </w:tc>
        <w:tc>
          <w:tcPr>
            <w:tcW w:w="1556"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476.85</w:t>
            </w:r>
          </w:p>
        </w:tc>
      </w:tr>
      <w:tr>
        <w:tblPrEx>
          <w:tblCellMar>
            <w:top w:w="0" w:type="dxa"/>
            <w:left w:w="108" w:type="dxa"/>
            <w:bottom w:w="0" w:type="dxa"/>
            <w:right w:w="108" w:type="dxa"/>
          </w:tblCellMar>
        </w:tblPrEx>
        <w:trPr>
          <w:trHeight w:val="270" w:hRule="atLeast"/>
        </w:trPr>
        <w:tc>
          <w:tcPr>
            <w:tcW w:w="1427" w:type="pct"/>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韩国</w:t>
            </w:r>
          </w:p>
        </w:tc>
        <w:tc>
          <w:tcPr>
            <w:tcW w:w="894"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31.75</w:t>
            </w:r>
          </w:p>
        </w:tc>
        <w:tc>
          <w:tcPr>
            <w:tcW w:w="1121"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10.45</w:t>
            </w:r>
          </w:p>
        </w:tc>
        <w:tc>
          <w:tcPr>
            <w:tcW w:w="1556" w:type="pct"/>
            <w:tcBorders>
              <w:top w:val="nil"/>
              <w:left w:val="nil"/>
              <w:bottom w:val="single" w:color="auto" w:sz="4" w:space="0"/>
              <w:right w:val="single" w:color="auto" w:sz="4" w:space="0"/>
            </w:tcBorders>
            <w:shd w:val="clear" w:color="auto" w:fill="auto"/>
            <w:noWrap w:val="0"/>
            <w:vAlign w:val="center"/>
          </w:tcPr>
          <w:p>
            <w:pPr>
              <w:widowControl/>
              <w:wordWrap w:val="0"/>
              <w:spacing w:after="90" w:line="288" w:lineRule="auto"/>
              <w:ind w:firstLine="48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329.01</w:t>
            </w:r>
          </w:p>
        </w:tc>
      </w:tr>
    </w:tbl>
    <w:p>
      <w:pPr>
        <w:widowControl/>
        <w:jc w:val="both"/>
        <w:rPr>
          <w:rFonts w:hint="eastAsia" w:ascii="宋体" w:hAnsi="宋体" w:cs="宋体"/>
          <w:color w:val="auto"/>
          <w:kern w:val="0"/>
          <w:szCs w:val="21"/>
        </w:rPr>
      </w:pPr>
    </w:p>
    <w:p>
      <w:pPr>
        <w:pStyle w:val="3"/>
        <w:spacing w:before="120" w:after="120" w:line="240" w:lineRule="auto"/>
        <w:rPr>
          <w:rFonts w:hint="eastAsia" w:ascii="宋体" w:hAnsi="宋体"/>
          <w:b/>
          <w:color w:val="auto"/>
          <w:sz w:val="30"/>
          <w:szCs w:val="30"/>
        </w:rPr>
      </w:pPr>
      <w:r>
        <w:rPr>
          <w:rFonts w:hint="eastAsia" w:ascii="宋体" w:hAnsi="宋体"/>
          <w:b/>
          <w:color w:val="auto"/>
          <w:sz w:val="30"/>
          <w:szCs w:val="30"/>
        </w:rPr>
        <w:t>4.4 20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月份航空煤油进出口统计数据</w:t>
      </w:r>
      <w:bookmarkEnd w:id="30"/>
      <w:bookmarkEnd w:id="31"/>
    </w:p>
    <w:p>
      <w:pPr>
        <w:ind w:firstLine="420" w:firstLineChars="200"/>
        <w:jc w:val="left"/>
        <w:rPr>
          <w:rFonts w:hint="eastAsia" w:ascii="宋体" w:hAnsi="宋体"/>
          <w:color w:val="auto"/>
        </w:rPr>
      </w:pPr>
      <w:r>
        <w:rPr>
          <w:rFonts w:hint="eastAsia" w:ascii="宋体" w:hAnsi="宋体"/>
          <w:color w:val="auto"/>
        </w:rPr>
        <w:t>单位：</w:t>
      </w:r>
      <w:r>
        <w:rPr>
          <w:rFonts w:hint="eastAsia" w:ascii="宋体" w:hAnsi="宋体"/>
          <w:color w:val="auto"/>
          <w:lang w:eastAsia="zh-CN"/>
        </w:rPr>
        <w:t>吨</w:t>
      </w:r>
      <w:r>
        <w:rPr>
          <w:rFonts w:hint="eastAsia" w:ascii="宋体" w:hAnsi="宋体"/>
          <w:color w:val="auto"/>
        </w:rPr>
        <w:t>，美元</w:t>
      </w:r>
    </w:p>
    <w:p>
      <w:pPr>
        <w:ind w:firstLine="420" w:firstLineChars="200"/>
        <w:jc w:val="left"/>
        <w:rPr>
          <w:rFonts w:hint="eastAsia" w:ascii="宋体" w:hAnsi="宋体"/>
          <w:color w:val="auto"/>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widowControl/>
              <w:wordWrap w:val="0"/>
              <w:spacing w:line="288" w:lineRule="auto"/>
              <w:jc w:val="center"/>
              <w:rPr>
                <w:rFonts w:hint="eastAsia" w:asciiTheme="minorEastAsia" w:hAnsiTheme="minorEastAsia" w:eastAsiaTheme="minorEastAsia" w:cstheme="minorEastAsia"/>
                <w:b/>
                <w:bCs w:val="0"/>
                <w:color w:val="auto"/>
                <w:kern w:val="0"/>
                <w:sz w:val="20"/>
                <w:szCs w:val="20"/>
              </w:rPr>
            </w:pPr>
            <w:r>
              <w:rPr>
                <w:rFonts w:hint="eastAsia" w:asciiTheme="minorEastAsia" w:hAnsiTheme="minorEastAsia" w:eastAsiaTheme="minorEastAsia" w:cstheme="minorEastAsia"/>
                <w:b/>
                <w:bCs w:val="0"/>
                <w:color w:val="auto"/>
                <w:kern w:val="0"/>
                <w:sz w:val="20"/>
                <w:szCs w:val="20"/>
              </w:rPr>
              <w:t>出口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7月进口量:59741.05（吨）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7月出口量:662170.14（吨）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累计进口量:869520.65(吨）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累计出口量:4386437.157（吨）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当月进口均价:4061.36（元/吨）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当月出口均价:3686.48（元/吨）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累计进口均价：24412.41（元/吨）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累计出口均价:22663.72（元/吨）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进口量环比:-48.67%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出口量环比：-27.25%</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进口量同比：-75.44%</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出口量同比：108.92%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累计进口量比去年同期：-54.21%</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Cs/>
                <w:color w:val="auto"/>
                <w:kern w:val="0"/>
                <w:sz w:val="20"/>
                <w:szCs w:val="20"/>
                <w:lang w:val="en-US" w:eastAsia="zh-CN"/>
              </w:rPr>
            </w:pPr>
            <w:r>
              <w:rPr>
                <w:rFonts w:hint="eastAsia" w:asciiTheme="minorEastAsia" w:hAnsiTheme="minorEastAsia" w:eastAsiaTheme="minorEastAsia" w:cstheme="minorEastAsia"/>
                <w:caps w:val="0"/>
                <w:spacing w:val="0"/>
                <w:sz w:val="20"/>
                <w:szCs w:val="20"/>
              </w:rPr>
              <w:t>累计出口量比去年同期：-45.77%</w:t>
            </w:r>
          </w:p>
        </w:tc>
      </w:tr>
    </w:tbl>
    <w:p>
      <w:pPr>
        <w:rPr>
          <w:color w:val="auto"/>
        </w:rPr>
      </w:pPr>
    </w:p>
    <w:p>
      <w:pPr>
        <w:rPr>
          <w:color w:val="auto"/>
        </w:rPr>
      </w:pPr>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E935C49C"/>
    <w:multiLevelType w:val="singleLevel"/>
    <w:tmpl w:val="E935C49C"/>
    <w:lvl w:ilvl="0" w:tentative="0">
      <w:start w:val="1"/>
      <w:numFmt w:val="decimal"/>
      <w:suff w:val="nothing"/>
      <w:lvlText w:val="%1、"/>
      <w:lvlJc w:val="left"/>
    </w:lvl>
  </w:abstractNum>
  <w:abstractNum w:abstractNumId="2">
    <w:nsid w:val="06709E88"/>
    <w:multiLevelType w:val="singleLevel"/>
    <w:tmpl w:val="06709E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AA3B04"/>
    <w:rsid w:val="0CB81916"/>
    <w:rsid w:val="0CD123E3"/>
    <w:rsid w:val="0CE32FB8"/>
    <w:rsid w:val="0CE44838"/>
    <w:rsid w:val="0CEA48B8"/>
    <w:rsid w:val="0D206C21"/>
    <w:rsid w:val="0D4A442D"/>
    <w:rsid w:val="0D731CA1"/>
    <w:rsid w:val="0D735A75"/>
    <w:rsid w:val="0D775B07"/>
    <w:rsid w:val="0D79688B"/>
    <w:rsid w:val="0D8323A4"/>
    <w:rsid w:val="0D893BAC"/>
    <w:rsid w:val="0D952410"/>
    <w:rsid w:val="0D9F3354"/>
    <w:rsid w:val="0DA370DA"/>
    <w:rsid w:val="0DA7099A"/>
    <w:rsid w:val="0DB01CE1"/>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5F1C27"/>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E533B9"/>
    <w:rsid w:val="12F6517F"/>
    <w:rsid w:val="13086577"/>
    <w:rsid w:val="130B0E2B"/>
    <w:rsid w:val="130B16E4"/>
    <w:rsid w:val="13267B35"/>
    <w:rsid w:val="133E41B0"/>
    <w:rsid w:val="134A6D86"/>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1669BA"/>
    <w:rsid w:val="1C1C3102"/>
    <w:rsid w:val="1C2230E8"/>
    <w:rsid w:val="1C251540"/>
    <w:rsid w:val="1C2E2C8D"/>
    <w:rsid w:val="1C2E3B22"/>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46206"/>
    <w:rsid w:val="221551D8"/>
    <w:rsid w:val="224441F7"/>
    <w:rsid w:val="224E7428"/>
    <w:rsid w:val="224F414D"/>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720B"/>
    <w:rsid w:val="24086432"/>
    <w:rsid w:val="240F1052"/>
    <w:rsid w:val="241751AE"/>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43251A"/>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005A"/>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427A9A"/>
    <w:rsid w:val="32574FD8"/>
    <w:rsid w:val="325C547C"/>
    <w:rsid w:val="32646DB1"/>
    <w:rsid w:val="326C29F6"/>
    <w:rsid w:val="327B3D21"/>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6B3F4B"/>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C70EC1"/>
    <w:rsid w:val="39D80C94"/>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D9763C"/>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BFC12CF"/>
    <w:rsid w:val="3C173EBE"/>
    <w:rsid w:val="3C211702"/>
    <w:rsid w:val="3C302F03"/>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21B83"/>
    <w:rsid w:val="3D8D1DDC"/>
    <w:rsid w:val="3D8E6A74"/>
    <w:rsid w:val="3D995C7E"/>
    <w:rsid w:val="3DA61EAB"/>
    <w:rsid w:val="3DB60CC1"/>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37DDF"/>
    <w:rsid w:val="3F8B7DD4"/>
    <w:rsid w:val="3F901403"/>
    <w:rsid w:val="3FA21405"/>
    <w:rsid w:val="3FA67914"/>
    <w:rsid w:val="3FA96E5D"/>
    <w:rsid w:val="3FC04528"/>
    <w:rsid w:val="3FCB012B"/>
    <w:rsid w:val="3FD00447"/>
    <w:rsid w:val="3FD27B2E"/>
    <w:rsid w:val="3FE71238"/>
    <w:rsid w:val="3FEE1DE8"/>
    <w:rsid w:val="3FFE5EFF"/>
    <w:rsid w:val="40171145"/>
    <w:rsid w:val="402104DC"/>
    <w:rsid w:val="402D3537"/>
    <w:rsid w:val="403075F2"/>
    <w:rsid w:val="40395203"/>
    <w:rsid w:val="40480E8F"/>
    <w:rsid w:val="404D32CE"/>
    <w:rsid w:val="40662C29"/>
    <w:rsid w:val="40742438"/>
    <w:rsid w:val="40791098"/>
    <w:rsid w:val="40932E75"/>
    <w:rsid w:val="409865C2"/>
    <w:rsid w:val="40A70377"/>
    <w:rsid w:val="40A97C8F"/>
    <w:rsid w:val="40BC5D67"/>
    <w:rsid w:val="40CA2A6E"/>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7C577C"/>
    <w:rsid w:val="418455DA"/>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93D8C"/>
    <w:rsid w:val="45CC0EF3"/>
    <w:rsid w:val="45CC763D"/>
    <w:rsid w:val="45CF5AD4"/>
    <w:rsid w:val="45D61E17"/>
    <w:rsid w:val="45DD06D9"/>
    <w:rsid w:val="460D21F2"/>
    <w:rsid w:val="460E0469"/>
    <w:rsid w:val="460E0A15"/>
    <w:rsid w:val="46146FE1"/>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1E0B19"/>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CCE1B7D"/>
    <w:rsid w:val="4D0A349B"/>
    <w:rsid w:val="4D0D2E78"/>
    <w:rsid w:val="4D0F04ED"/>
    <w:rsid w:val="4D164C7E"/>
    <w:rsid w:val="4D283FC5"/>
    <w:rsid w:val="4D384A7C"/>
    <w:rsid w:val="4D3A0411"/>
    <w:rsid w:val="4D413BC0"/>
    <w:rsid w:val="4D427C91"/>
    <w:rsid w:val="4D7706F2"/>
    <w:rsid w:val="4D845711"/>
    <w:rsid w:val="4D8A02B7"/>
    <w:rsid w:val="4D8E4163"/>
    <w:rsid w:val="4DB66082"/>
    <w:rsid w:val="4DBE12C2"/>
    <w:rsid w:val="4DCE6ED3"/>
    <w:rsid w:val="4DD41DFF"/>
    <w:rsid w:val="4DEF3575"/>
    <w:rsid w:val="4DF46CF3"/>
    <w:rsid w:val="4E095444"/>
    <w:rsid w:val="4E0E40E2"/>
    <w:rsid w:val="4E333BBB"/>
    <w:rsid w:val="4E346342"/>
    <w:rsid w:val="4E4E04E5"/>
    <w:rsid w:val="4E665F7B"/>
    <w:rsid w:val="4E6A06E9"/>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16472B"/>
    <w:rsid w:val="52217FFE"/>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C547A5"/>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CE313C"/>
    <w:rsid w:val="59E474BD"/>
    <w:rsid w:val="59E869EC"/>
    <w:rsid w:val="59FC6B89"/>
    <w:rsid w:val="5A057FD1"/>
    <w:rsid w:val="5A143012"/>
    <w:rsid w:val="5A261D0E"/>
    <w:rsid w:val="5A2907FC"/>
    <w:rsid w:val="5A2E6A84"/>
    <w:rsid w:val="5A3B0F06"/>
    <w:rsid w:val="5A412A61"/>
    <w:rsid w:val="5A4752E2"/>
    <w:rsid w:val="5A527BDD"/>
    <w:rsid w:val="5A7A7F4C"/>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F30224"/>
    <w:rsid w:val="5CFC64A7"/>
    <w:rsid w:val="5D0014E0"/>
    <w:rsid w:val="5D033124"/>
    <w:rsid w:val="5D1516BF"/>
    <w:rsid w:val="5D1569ED"/>
    <w:rsid w:val="5D1A5C10"/>
    <w:rsid w:val="5D1B2A4F"/>
    <w:rsid w:val="5D1B50AE"/>
    <w:rsid w:val="5D1C7440"/>
    <w:rsid w:val="5D2E6665"/>
    <w:rsid w:val="5D4F34F7"/>
    <w:rsid w:val="5D521435"/>
    <w:rsid w:val="5D6031C3"/>
    <w:rsid w:val="5D623C65"/>
    <w:rsid w:val="5D653EC8"/>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050796"/>
    <w:rsid w:val="5E123553"/>
    <w:rsid w:val="5E186B89"/>
    <w:rsid w:val="5E202832"/>
    <w:rsid w:val="5E2D7C7A"/>
    <w:rsid w:val="5E4E3F80"/>
    <w:rsid w:val="5E5F4BD4"/>
    <w:rsid w:val="5E852B0D"/>
    <w:rsid w:val="5E8A7777"/>
    <w:rsid w:val="5E932264"/>
    <w:rsid w:val="5EA1268E"/>
    <w:rsid w:val="5EB029CD"/>
    <w:rsid w:val="5ED20F44"/>
    <w:rsid w:val="5EDF3DC8"/>
    <w:rsid w:val="5EE7073E"/>
    <w:rsid w:val="5EEC61AE"/>
    <w:rsid w:val="5EF641A0"/>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26760"/>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DDD"/>
    <w:rsid w:val="6BE04A25"/>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C34C5"/>
    <w:rsid w:val="702D3A00"/>
    <w:rsid w:val="70341230"/>
    <w:rsid w:val="70342FAD"/>
    <w:rsid w:val="7034472B"/>
    <w:rsid w:val="704310F0"/>
    <w:rsid w:val="705A14E5"/>
    <w:rsid w:val="705A4D1B"/>
    <w:rsid w:val="705F37D3"/>
    <w:rsid w:val="707A4F0F"/>
    <w:rsid w:val="7084369E"/>
    <w:rsid w:val="708B108A"/>
    <w:rsid w:val="709143C4"/>
    <w:rsid w:val="70930271"/>
    <w:rsid w:val="70CB3DC2"/>
    <w:rsid w:val="70DB5146"/>
    <w:rsid w:val="70E51B6F"/>
    <w:rsid w:val="70E561EA"/>
    <w:rsid w:val="70F40322"/>
    <w:rsid w:val="70F9595A"/>
    <w:rsid w:val="70FA4092"/>
    <w:rsid w:val="70FC3C7A"/>
    <w:rsid w:val="71075B1A"/>
    <w:rsid w:val="710E7F44"/>
    <w:rsid w:val="71193089"/>
    <w:rsid w:val="71211292"/>
    <w:rsid w:val="71243B68"/>
    <w:rsid w:val="712776C4"/>
    <w:rsid w:val="712A41BD"/>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26</TotalTime>
  <ScaleCrop>false</ScaleCrop>
  <LinksUpToDate>false</LinksUpToDate>
  <CharactersWithSpaces>26786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2021-09-02T08:09:19Z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2052-11.1.0.10700</vt:lpwstr>
  </property>
  <property fmtid="{D5CDD505-2E9C-101B-9397-08002B2CF9AE}" pid="4" name="ICV">
    <vt:lpwstr>D366F8CEF0B34B9A839F473A36DCA92E</vt:lpwstr>
  </property>
</Properties>
</file>