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PXFr3XAAAACgEAAA8AAAAAAAAAAQAgAAAAIgAAAGRycy9k&#10;b3ducmV2LnhtbFBLAQIUABQAAAAIAIdO4kB5PeIVkQEAAAEDAAAOAAAAAAAAAAEAIAAAACYBAABk&#10;cnMvZTJvRG9jLnhtbFBLBQYAAAAABgAGAFkBAAApBQ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7.15</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_Toc32272 </w:instrText>
      </w:r>
      <w:r>
        <w:rPr>
          <w:rFonts w:hint="eastAsia" w:ascii="宋体" w:hAnsi="宋体" w:eastAsia="宋体" w:cs="宋体"/>
          <w:szCs w:val="21"/>
        </w:rPr>
        <w:fldChar w:fldCharType="separate"/>
      </w:r>
      <w:r>
        <w:rPr>
          <w:rFonts w:hint="eastAsia" w:asciiTheme="minorEastAsia" w:hAnsiTheme="minorEastAsia" w:eastAsiaTheme="minorEastAsia" w:cstheme="minorEastAsia"/>
          <w:bCs/>
          <w:kern w:val="0"/>
          <w:szCs w:val="30"/>
        </w:rPr>
        <w:t xml:space="preserve">一、 </w:t>
      </w:r>
      <w:r>
        <w:rPr>
          <w:rFonts w:hint="eastAsia"/>
        </w:rPr>
        <w:t>国际原油市场回顾 </w:t>
      </w:r>
      <w:r>
        <w:tab/>
      </w:r>
      <w:r>
        <w:fldChar w:fldCharType="begin"/>
      </w:r>
      <w:r>
        <w:instrText xml:space="preserve"> PAGEREF _Toc32272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_Toc6297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_Toc6297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_Toc5501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_Toc5501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_Toc16647 </w:instrText>
      </w:r>
      <w:r>
        <w:rPr>
          <w:rFonts w:hint="eastAsia" w:ascii="宋体" w:hAnsi="宋体" w:eastAsia="宋体" w:cs="宋体"/>
          <w:szCs w:val="21"/>
        </w:rPr>
        <w:fldChar w:fldCharType="separate"/>
      </w:r>
      <w:r>
        <w:rPr>
          <w:rFonts w:hint="eastAsia" w:ascii="宋体" w:hAnsi="宋体"/>
          <w:szCs w:val="30"/>
          <w:highlight w:val="none"/>
          <w:lang w:val="en-US" w:eastAsia="zh-CN"/>
        </w:rPr>
        <w:t>2.1近期影响国际原油市场的主要因素</w:t>
      </w:r>
      <w:r>
        <w:tab/>
      </w:r>
      <w:r>
        <w:fldChar w:fldCharType="begin"/>
      </w:r>
      <w:r>
        <w:instrText xml:space="preserve"> PAGEREF _Toc16647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_Toc184 </w:instrText>
      </w:r>
      <w:r>
        <w:rPr>
          <w:rFonts w:hint="eastAsia" w:ascii="宋体" w:hAnsi="宋体" w:eastAsia="宋体" w:cs="宋体"/>
          <w:szCs w:val="21"/>
        </w:rPr>
        <w:fldChar w:fldCharType="separate"/>
      </w:r>
      <w:r>
        <w:rPr>
          <w:rFonts w:hint="eastAsia" w:ascii="宋体" w:hAnsi="宋体"/>
          <w:szCs w:val="30"/>
          <w:highlight w:val="none"/>
          <w:lang w:val="en-US" w:eastAsia="zh-CN"/>
        </w:rPr>
        <w:t>1.美国原油库存情况</w:t>
      </w:r>
      <w:r>
        <w:tab/>
      </w:r>
      <w:r>
        <w:fldChar w:fldCharType="begin"/>
      </w:r>
      <w:r>
        <w:instrText xml:space="preserve"> PAGEREF _Toc184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_Toc16360 </w:instrText>
      </w:r>
      <w:r>
        <w:rPr>
          <w:rFonts w:hint="eastAsia" w:ascii="宋体" w:hAnsi="宋体" w:eastAsia="宋体" w:cs="宋体"/>
          <w:szCs w:val="21"/>
        </w:rPr>
        <w:fldChar w:fldCharType="separate"/>
      </w:r>
      <w:r>
        <w:rPr>
          <w:rFonts w:hint="eastAsia" w:ascii="宋体" w:hAnsi="宋体"/>
          <w:szCs w:val="30"/>
          <w:highlight w:val="none"/>
          <w:lang w:val="en-US" w:eastAsia="zh-CN"/>
        </w:rPr>
        <w:t>2.美国经济形势</w:t>
      </w:r>
      <w:r>
        <w:tab/>
      </w:r>
      <w:r>
        <w:fldChar w:fldCharType="begin"/>
      </w:r>
      <w:r>
        <w:instrText xml:space="preserve"> PAGEREF _Toc16360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_Toc30724 </w:instrText>
      </w:r>
      <w:r>
        <w:rPr>
          <w:rFonts w:hint="eastAsia" w:ascii="宋体" w:hAnsi="宋体" w:eastAsia="宋体" w:cs="宋体"/>
          <w:szCs w:val="21"/>
        </w:rPr>
        <w:fldChar w:fldCharType="separate"/>
      </w:r>
      <w:r>
        <w:rPr>
          <w:rFonts w:hint="eastAsia" w:ascii="宋体" w:hAnsi="宋体"/>
          <w:szCs w:val="30"/>
          <w:highlight w:val="none"/>
          <w:lang w:val="en-US" w:eastAsia="zh-CN"/>
        </w:rPr>
        <w:t>3.世界经济形势</w:t>
      </w:r>
      <w:r>
        <w:tab/>
      </w:r>
      <w:r>
        <w:fldChar w:fldCharType="begin"/>
      </w:r>
      <w:r>
        <w:instrText xml:space="preserve"> PAGEREF _Toc30724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_Toc23898 </w:instrText>
      </w:r>
      <w:r>
        <w:rPr>
          <w:rFonts w:hint="eastAsia" w:ascii="宋体" w:hAnsi="宋体" w:eastAsia="宋体" w:cs="宋体"/>
          <w:szCs w:val="21"/>
        </w:rPr>
        <w:fldChar w:fldCharType="separate"/>
      </w:r>
      <w:r>
        <w:rPr>
          <w:rFonts w:hint="eastAsia" w:ascii="宋体" w:hAnsi="宋体"/>
          <w:szCs w:val="30"/>
          <w:highlight w:val="none"/>
          <w:lang w:val="en-US" w:eastAsia="zh-CN"/>
        </w:rPr>
        <w:t>4后市预测</w:t>
      </w:r>
      <w:r>
        <w:tab/>
      </w:r>
      <w:r>
        <w:fldChar w:fldCharType="begin"/>
      </w:r>
      <w:r>
        <w:instrText xml:space="preserve"> PAGEREF _Toc23898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_Toc30787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_Toc30787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rPr>
          <w:rFonts w:hint="eastAsia" w:ascii="宋体" w:hAnsi="宋体"/>
          <w:szCs w:val="30"/>
          <w:highlight w:val="none"/>
        </w:rPr>
      </w:pPr>
      <w:r>
        <w:rPr>
          <w:rFonts w:hint="eastAsia" w:ascii="宋体" w:hAnsi="宋体"/>
          <w:szCs w:val="30"/>
          <w:highlight w:val="none"/>
        </w:rPr>
        <w:fldChar w:fldCharType="begin"/>
      </w:r>
      <w:r>
        <w:rPr>
          <w:rFonts w:hint="eastAsia" w:ascii="宋体" w:hAnsi="宋体"/>
          <w:szCs w:val="30"/>
          <w:highlight w:val="none"/>
        </w:rPr>
        <w:instrText xml:space="preserve"> HYPERLINK \l _Toc11000 </w:instrText>
      </w:r>
      <w:r>
        <w:rPr>
          <w:rFonts w:hint="eastAsia" w:ascii="宋体" w:hAnsi="宋体"/>
          <w:szCs w:val="30"/>
          <w:highlight w:val="none"/>
        </w:rPr>
        <w:fldChar w:fldCharType="separate"/>
      </w:r>
      <w:r>
        <w:rPr>
          <w:rFonts w:hint="eastAsia" w:ascii="宋体" w:hAnsi="宋体"/>
          <w:szCs w:val="30"/>
          <w:highlight w:val="none"/>
          <w:lang w:eastAsia="zh-CN"/>
        </w:rPr>
        <w:t>三、</w:t>
      </w:r>
      <w:r>
        <w:rPr>
          <w:rFonts w:hint="eastAsia" w:ascii="宋体" w:hAnsi="宋体"/>
          <w:szCs w:val="30"/>
          <w:highlight w:val="none"/>
        </w:rPr>
        <w:t>本周国内市场</w:t>
      </w:r>
      <w:r>
        <w:rPr>
          <w:rFonts w:hint="eastAsia" w:ascii="宋体" w:hAnsi="宋体"/>
          <w:szCs w:val="30"/>
          <w:highlight w:val="none"/>
        </w:rPr>
        <w:tab/>
      </w:r>
      <w:r>
        <w:rPr>
          <w:rFonts w:hint="eastAsia" w:ascii="宋体" w:hAnsi="宋体"/>
          <w:szCs w:val="30"/>
          <w:highlight w:val="none"/>
        </w:rPr>
        <w:fldChar w:fldCharType="begin"/>
      </w:r>
      <w:r>
        <w:rPr>
          <w:rFonts w:hint="eastAsia" w:ascii="宋体" w:hAnsi="宋体"/>
          <w:szCs w:val="30"/>
          <w:highlight w:val="none"/>
        </w:rPr>
        <w:instrText xml:space="preserve"> PAGEREF _Toc11000 </w:instrText>
      </w:r>
      <w:r>
        <w:rPr>
          <w:rFonts w:hint="eastAsia" w:ascii="宋体" w:hAnsi="宋体"/>
          <w:szCs w:val="30"/>
          <w:highlight w:val="none"/>
        </w:rPr>
        <w:fldChar w:fldCharType="separate"/>
      </w:r>
      <w:r>
        <w:rPr>
          <w:rFonts w:hint="eastAsia" w:ascii="宋体" w:hAnsi="宋体"/>
          <w:szCs w:val="30"/>
          <w:highlight w:val="none"/>
        </w:rPr>
        <w:t>16</w:t>
      </w:r>
      <w:r>
        <w:rPr>
          <w:rFonts w:hint="eastAsia" w:ascii="宋体" w:hAnsi="宋体"/>
          <w:szCs w:val="30"/>
          <w:highlight w:val="none"/>
        </w:rPr>
        <w:fldChar w:fldCharType="end"/>
      </w:r>
      <w:r>
        <w:rPr>
          <w:rFonts w:hint="eastAsia" w:ascii="宋体" w:hAnsi="宋体"/>
          <w:szCs w:val="30"/>
          <w:highlight w:val="none"/>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_Toc7167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_Toc7167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_Toc13096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_Toc13096 </w:instrText>
      </w:r>
      <w:r>
        <w:fldChar w:fldCharType="separate"/>
      </w:r>
      <w:r>
        <w:t>18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_Toc24031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_Toc24031 </w:instrText>
      </w:r>
      <w:r>
        <w:fldChar w:fldCharType="separate"/>
      </w:r>
      <w:r>
        <w:t>21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_Toc16466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_Toc16466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_Toc6052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_Toc6052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_Toc25179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_Toc25179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_Toc27167 </w:instrText>
      </w:r>
      <w:r>
        <w:rPr>
          <w:rFonts w:hint="eastAsia" w:ascii="宋体" w:hAnsi="宋体" w:eastAsia="宋体" w:cs="宋体"/>
          <w:szCs w:val="21"/>
        </w:rPr>
        <w:fldChar w:fldCharType="separate"/>
      </w:r>
      <w:r>
        <w:rPr>
          <w:rFonts w:hint="eastAsia" w:ascii="宋体" w:hAnsi="宋体"/>
          <w:szCs w:val="30"/>
          <w:lang w:val="en-US" w:eastAsia="zh-CN"/>
        </w:rPr>
        <w:t>四、2021年5月份进出口统计数据</w:t>
      </w:r>
      <w:r>
        <w:tab/>
      </w:r>
      <w:r>
        <w:fldChar w:fldCharType="begin"/>
      </w:r>
      <w:r>
        <w:instrText xml:space="preserve"> PAGEREF _Toc27167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_Toc19791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_Toc19791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_Toc23995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月份全国柴油出口统计数据</w:t>
      </w:r>
      <w:r>
        <w:tab/>
      </w:r>
      <w:r>
        <w:fldChar w:fldCharType="begin"/>
      </w:r>
      <w:r>
        <w:instrText xml:space="preserve"> PAGEREF _Toc23995 </w:instrText>
      </w:r>
      <w:r>
        <w:fldChar w:fldCharType="separate"/>
      </w:r>
      <w:r>
        <w:t>34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_Toc16942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月份全国原油进出口统计数据</w:t>
      </w:r>
      <w:r>
        <w:tab/>
      </w:r>
      <w:r>
        <w:fldChar w:fldCharType="begin"/>
      </w:r>
      <w:r>
        <w:instrText xml:space="preserve"> PAGEREF _Toc16942 </w:instrText>
      </w:r>
      <w:r>
        <w:fldChar w:fldCharType="separate"/>
      </w:r>
      <w:r>
        <w:t>35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_Toc18589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5</w:t>
      </w:r>
      <w:r>
        <w:rPr>
          <w:rFonts w:hint="eastAsia" w:ascii="宋体" w:hAnsi="宋体"/>
          <w:szCs w:val="30"/>
        </w:rPr>
        <w:t>月份航空煤油进出口统计数据</w:t>
      </w:r>
      <w:r>
        <w:tab/>
      </w:r>
      <w:r>
        <w:fldChar w:fldCharType="begin"/>
      </w:r>
      <w:r>
        <w:instrText xml:space="preserve"> PAGEREF _Toc18589 </w:instrText>
      </w:r>
      <w:r>
        <w:fldChar w:fldCharType="separate"/>
      </w:r>
      <w:r>
        <w:t>36</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Pr>
        <w:pStyle w:val="2"/>
        <w:numPr>
          <w:ilvl w:val="0"/>
          <w:numId w:val="1"/>
        </w:numPr>
        <w:spacing w:before="120" w:after="0" w:line="240" w:lineRule="auto"/>
        <w:rPr>
          <w:rFonts w:hint="eastAsia" w:asciiTheme="minorEastAsia" w:hAnsiTheme="minorEastAsia" w:eastAsiaTheme="minorEastAsia" w:cstheme="minorEastAsia"/>
          <w:b/>
          <w:bCs/>
          <w:kern w:val="0"/>
          <w:sz w:val="30"/>
          <w:szCs w:val="30"/>
        </w:rPr>
      </w:pPr>
      <w:bookmarkStart w:id="0" w:name="_Toc32272"/>
      <w:r>
        <w:rPr>
          <w:rFonts w:hint="eastAsia"/>
        </w:rPr>
        <w:t>国际原油市场回顾 </w:t>
      </w:r>
      <w:bookmarkEnd w:id="0"/>
    </w:p>
    <w:p>
      <w:pPr>
        <w:pStyle w:val="3"/>
        <w:numPr>
          <w:ilvl w:val="0"/>
          <w:numId w:val="2"/>
        </w:numPr>
        <w:spacing w:before="120" w:after="120" w:line="240" w:lineRule="auto"/>
        <w:rPr>
          <w:rFonts w:hint="eastAsia" w:ascii="宋体" w:hAnsi="宋体"/>
          <w:b/>
          <w:sz w:val="30"/>
          <w:szCs w:val="30"/>
          <w:highlight w:val="none"/>
          <w:lang w:val="en-US" w:eastAsia="zh-CN"/>
        </w:rPr>
      </w:pPr>
      <w:bookmarkStart w:id="1" w:name="_Toc6297"/>
      <w:bookmarkStart w:id="2" w:name="_Toc67556952"/>
      <w:r>
        <w:rPr>
          <w:rFonts w:hint="eastAsia" w:ascii="宋体" w:hAnsi="宋体"/>
          <w:b/>
          <w:sz w:val="30"/>
          <w:szCs w:val="30"/>
          <w:highlight w:val="none"/>
          <w:lang w:val="en-US" w:eastAsia="zh-CN"/>
        </w:rPr>
        <w:t>国际原油收盘价涨跌情况（单位：美元/桶）</w:t>
      </w:r>
      <w:bookmarkEnd w:id="1"/>
      <w:bookmarkEnd w:id="2"/>
    </w:p>
    <w:p>
      <w:pPr>
        <w:numPr>
          <w:ilvl w:val="0"/>
          <w:numId w:val="0"/>
        </w:numPr>
        <w:rPr>
          <w:rFonts w:hint="eastAsia"/>
          <w:lang w:val="en-US" w:eastAsia="zh-CN"/>
        </w:rPr>
      </w:pPr>
    </w:p>
    <w:tbl>
      <w:tblPr>
        <w:tblStyle w:val="24"/>
        <w:tblW w:w="8662" w:type="dxa"/>
        <w:jc w:val="center"/>
        <w:tblLayout w:type="fixed"/>
        <w:tblCellMar>
          <w:top w:w="15" w:type="dxa"/>
          <w:left w:w="15" w:type="dxa"/>
          <w:bottom w:w="15" w:type="dxa"/>
          <w:right w:w="15" w:type="dxa"/>
        </w:tblCellMar>
      </w:tblPr>
      <w:tblGrid>
        <w:gridCol w:w="1291"/>
        <w:gridCol w:w="1055"/>
        <w:gridCol w:w="1155"/>
        <w:gridCol w:w="5161"/>
      </w:tblGrid>
      <w:tr>
        <w:tblPrEx>
          <w:tblCellMar>
            <w:top w:w="15" w:type="dxa"/>
            <w:left w:w="15" w:type="dxa"/>
            <w:bottom w:w="15" w:type="dxa"/>
            <w:right w:w="15" w:type="dxa"/>
          </w:tblCellMar>
        </w:tblPrEx>
        <w:trPr>
          <w:trHeight w:val="286"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日期</w:t>
            </w:r>
          </w:p>
        </w:tc>
        <w:tc>
          <w:tcPr>
            <w:tcW w:w="105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纽交所</w:t>
            </w:r>
          </w:p>
        </w:tc>
        <w:tc>
          <w:tcPr>
            <w:tcW w:w="115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伦交所</w:t>
            </w:r>
          </w:p>
        </w:tc>
        <w:tc>
          <w:tcPr>
            <w:tcW w:w="516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影响因素</w:t>
            </w:r>
          </w:p>
        </w:tc>
      </w:tr>
      <w:tr>
        <w:tblPrEx>
          <w:tblCellMar>
            <w:top w:w="15" w:type="dxa"/>
            <w:left w:w="15" w:type="dxa"/>
            <w:bottom w:w="15" w:type="dxa"/>
            <w:right w:w="15"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2021/7/8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72.94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74.12</w:t>
            </w:r>
          </w:p>
        </w:tc>
        <w:tc>
          <w:tcPr>
            <w:tcW w:w="5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原油收盘上涨，EIA数据显示原油库存与汽油库存均超预期减少，需求复苏预期仍提振油价。</w:t>
            </w:r>
          </w:p>
        </w:tc>
      </w:tr>
      <w:tr>
        <w:tblPrEx>
          <w:tblCellMar>
            <w:top w:w="15" w:type="dxa"/>
            <w:left w:w="15" w:type="dxa"/>
            <w:bottom w:w="15" w:type="dxa"/>
            <w:right w:w="15"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2021/7/9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74.56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75.55</w:t>
            </w:r>
          </w:p>
        </w:tc>
        <w:tc>
          <w:tcPr>
            <w:tcW w:w="5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原油收盘上涨，EIA库存下降，能源需求前景良好，以及市场对原油供不应求的担忧对油价起支撑作用。</w:t>
            </w:r>
          </w:p>
        </w:tc>
      </w:tr>
      <w:tr>
        <w:tblPrEx>
          <w:tblCellMar>
            <w:top w:w="15" w:type="dxa"/>
            <w:left w:w="15" w:type="dxa"/>
            <w:bottom w:w="15" w:type="dxa"/>
            <w:right w:w="15" w:type="dxa"/>
          </w:tblCellMar>
        </w:tblPrEx>
        <w:trPr>
          <w:trHeight w:val="5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2021/7/12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74.1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75.16</w:t>
            </w:r>
          </w:p>
        </w:tc>
        <w:tc>
          <w:tcPr>
            <w:tcW w:w="51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原油收盘下跌，需求复苏仍存隐忧以及OPEC产量政策仍未达成一致令油价面临一定利空压力。</w:t>
            </w:r>
          </w:p>
        </w:tc>
      </w:tr>
      <w:tr>
        <w:tblPrEx>
          <w:tblCellMar>
            <w:top w:w="15" w:type="dxa"/>
            <w:left w:w="15" w:type="dxa"/>
            <w:bottom w:w="15" w:type="dxa"/>
            <w:right w:w="15" w:type="dxa"/>
          </w:tblCellMar>
        </w:tblPrEx>
        <w:trPr>
          <w:trHeight w:val="43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2021/7/13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75.25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76.49</w:t>
            </w:r>
          </w:p>
        </w:tc>
        <w:tc>
          <w:tcPr>
            <w:tcW w:w="516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由于消息显示OPEC或将放弃达成8月产量协议，市场预期供应短期内将会进一步收紧，油价受此提振收盘大涨。</w:t>
            </w:r>
          </w:p>
        </w:tc>
      </w:tr>
      <w:tr>
        <w:tblPrEx>
          <w:tblCellMar>
            <w:top w:w="15" w:type="dxa"/>
            <w:left w:w="15" w:type="dxa"/>
            <w:bottom w:w="15" w:type="dxa"/>
            <w:right w:w="15" w:type="dxa"/>
          </w:tblCellMar>
        </w:tblPrEx>
        <w:trPr>
          <w:trHeight w:val="55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2021/7/14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73.13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74.76</w:t>
            </w:r>
          </w:p>
        </w:tc>
        <w:tc>
          <w:tcPr>
            <w:tcW w:w="516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沙特与阿联酋仍有望就产量政策达成妥协，市场对供应回升的担忧导致油价承压大跌。</w:t>
            </w:r>
          </w:p>
        </w:tc>
      </w:tr>
    </w:tbl>
    <w:p>
      <w:pPr>
        <w:rPr>
          <w:rFonts w:hint="eastAsia" w:asciiTheme="minorEastAsia" w:hAnsiTheme="minorEastAsia" w:eastAsiaTheme="minorEastAsia" w:cstheme="minorEastAsia"/>
          <w:kern w:val="0"/>
          <w:szCs w:val="21"/>
        </w:rPr>
      </w:pPr>
    </w:p>
    <w:p>
      <w:pPr>
        <w:pStyle w:val="3"/>
        <w:spacing w:before="120" w:after="120" w:line="240" w:lineRule="auto"/>
        <w:rPr>
          <w:rFonts w:hint="eastAsia" w:ascii="宋体" w:hAnsi="宋体"/>
          <w:b/>
          <w:sz w:val="30"/>
          <w:szCs w:val="30"/>
          <w:highlight w:val="none"/>
          <w:lang w:val="en-US" w:eastAsia="zh-CN"/>
        </w:rPr>
      </w:pPr>
      <w:bookmarkStart w:id="3" w:name="_Toc67556953"/>
      <w:bookmarkStart w:id="4" w:name="_Toc5501"/>
      <w:r>
        <w:rPr>
          <w:rFonts w:hint="eastAsia" w:ascii="宋体" w:hAnsi="宋体"/>
          <w:b/>
          <w:sz w:val="30"/>
          <w:szCs w:val="30"/>
          <w:highlight w:val="none"/>
          <w:lang w:val="en-US" w:eastAsia="zh-CN"/>
        </w:rPr>
        <w:t>2.2021年国际原油价格走势图</w:t>
      </w:r>
      <w:bookmarkEnd w:id="3"/>
      <w:bookmarkEnd w:id="4"/>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color w:val="auto"/>
          <w:kern w:val="0"/>
          <w:sz w:val="30"/>
          <w:szCs w:val="30"/>
        </w:rPr>
        <w:drawing>
          <wp:inline distT="0" distB="0" distL="114300" distR="114300">
            <wp:extent cx="4514215" cy="3904615"/>
            <wp:effectExtent l="0" t="0" r="635"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4514215" cy="3904615"/>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pStyle w:val="3"/>
        <w:spacing w:before="120" w:after="120" w:line="240" w:lineRule="auto"/>
        <w:rPr>
          <w:rFonts w:hint="eastAsia" w:asciiTheme="minorEastAsia" w:hAnsiTheme="minorEastAsia" w:eastAsiaTheme="minorEastAsia" w:cstheme="minorEastAsia"/>
          <w:b/>
          <w:sz w:val="28"/>
          <w:szCs w:val="28"/>
        </w:rPr>
      </w:pPr>
      <w:bookmarkStart w:id="5" w:name="_Toc16647"/>
      <w:bookmarkStart w:id="6" w:name="_Toc67556954"/>
      <w:r>
        <w:rPr>
          <w:rFonts w:hint="eastAsia" w:ascii="宋体" w:hAnsi="宋体"/>
          <w:b/>
          <w:sz w:val="30"/>
          <w:szCs w:val="30"/>
          <w:highlight w:val="none"/>
          <w:lang w:val="en-US" w:eastAsia="zh-CN"/>
        </w:rPr>
        <w:t>2.1近期影响国际原油市场的主要因素</w:t>
      </w:r>
      <w:bookmarkEnd w:id="5"/>
      <w:bookmarkEnd w:id="6"/>
    </w:p>
    <w:p>
      <w:pPr>
        <w:pStyle w:val="3"/>
        <w:spacing w:before="120" w:after="120" w:line="240" w:lineRule="auto"/>
        <w:rPr>
          <w:rFonts w:hint="eastAsia" w:ascii="宋体" w:hAnsi="宋体"/>
          <w:b/>
          <w:sz w:val="30"/>
          <w:szCs w:val="30"/>
          <w:highlight w:val="none"/>
          <w:lang w:val="en-US" w:eastAsia="zh-CN"/>
        </w:rPr>
      </w:pPr>
      <w:bookmarkStart w:id="7" w:name="_Toc184"/>
      <w:bookmarkStart w:id="8" w:name="_Toc67556955"/>
      <w:r>
        <w:rPr>
          <w:rFonts w:hint="eastAsia" w:ascii="宋体" w:hAnsi="宋体"/>
          <w:b/>
          <w:sz w:val="30"/>
          <w:szCs w:val="30"/>
          <w:highlight w:val="none"/>
          <w:lang w:val="en-US" w:eastAsia="zh-CN"/>
        </w:rPr>
        <w:t>1.美国原油库存情况</w:t>
      </w:r>
      <w:bookmarkEnd w:id="7"/>
      <w:bookmarkEnd w:id="8"/>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9" w:name="_Toc69977252"/>
      <w:bookmarkStart w:id="10" w:name="_Toc23898"/>
      <w:r>
        <w:rPr>
          <w:rFonts w:hint="eastAsia" w:asciiTheme="minorEastAsia" w:hAnsiTheme="minorEastAsia" w:eastAsiaTheme="minorEastAsia" w:cstheme="minorEastAsia"/>
          <w:color w:val="auto"/>
          <w:kern w:val="2"/>
          <w:sz w:val="28"/>
          <w:szCs w:val="28"/>
          <w:shd w:val="clear" w:color="auto" w:fill="FFFFFF"/>
        </w:rPr>
        <w:t>本周美国能源信息署数据显示，截止2021年7月2当周，炼油厂开工率上升，净进口量减少，美国商业原油库存连续第六周下降。美国商业原油库存(不含石油战略储备) 4.45476亿桶，比前一周下降687万桶，原油库存比过去五年同期低约7%;美国汽油库存总量2.35497亿桶，比前一周下降608万桶,汽油库存比过去五年同期低2%;其中新配方汽油库存增加1万桶,常规汽油库存下降111万桶,混合汽油库存下降497万桶,燃料乙醇库存下降42万桶。馏分油库存1.38692亿桶，比前一周增加162万桶，库存量比过去五年同期低6%，其中取暖油库存下降37万桶。丙烷/丙烯库存增长49万桶。美国石油战略储备6.21304亿桶，下降了118万桶。美国商业库存总量下降991万桶。最近四周美国石油产品日平均供应总量2094.3万桶，比去年同期高17.8%;其中车用汽油需求四周日均数950.4万桶, 比去年同期高12.5%，馏分油需求四周日均量407.3万桶，比去年同期高17.9%。煤油型航空燃料需求四周日均数比去年同期高81.9%。上周美国汽油日需求量1004.3桶，比前一周高87.0万桶;馏分油日均需求量384万桶，比前一周日均低33万桶。美国石油学会数据显示，截止7月2日当周，美国原油库存4.211亿桶，比前周减少800万桶，汽油库存减少270万桶，馏分油库存增加110万桶。截止7月2日当周，美国原油库存4.211亿桶，比前周减少800万桶，汽油库存减少270万桶，馏分油库存增加110万桶。</w:t>
      </w: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2.美国经济形势</w:t>
      </w:r>
      <w:bookmarkEnd w:id="9"/>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1" w:name="_Toc69977253"/>
      <w:r>
        <w:rPr>
          <w:rFonts w:hint="eastAsia" w:asciiTheme="minorEastAsia" w:hAnsiTheme="minorEastAsia" w:eastAsiaTheme="minorEastAsia" w:cstheme="minorEastAsia"/>
          <w:color w:val="auto"/>
          <w:kern w:val="2"/>
          <w:sz w:val="28"/>
          <w:szCs w:val="28"/>
          <w:shd w:val="clear" w:color="auto" w:fill="FFFFFF"/>
        </w:rPr>
        <w:t>周三，美联储主席鲍威尔在美国国会众议院举行的听证会上重申将维持现有的宽松政策不变，美国股市三大股指在当天收盘时涨跌不一，但波动幅度都不大。</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受银行类股以及和经济复苏相关的周期性股票上涨提振，道指和标普500指数分别微幅上涨0.13%和0.12%，而纳指则在特斯拉、英伟达等科技类股的领跌下走弱，跌幅为0.22%。</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周三，市场继续关注企业财报。美国银行的财报显示，利率下调导致公司收入下降，今年二季度美国银行营收同比下滑4%，不及市场预期，受此影响，美国银行股价应声大跌2.51%。而富国银行第二季度业绩转亏为盈，营收同比大涨11%，股价当天大涨3.98%。</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数据方面，周三，美国劳工部公布的最新数据显示，美国6月生产者物价指数(PPI)同比大涨7.3%，创下历史最高纪录并且远超市场此前预期。这表明，随着原材料价格飙升，美国企业将升高的生产成本传导给消费者的压力越来越大。数据显示，6月美国PPI的上涨很大程度上是由于二手车与卡车价格上涨，6月份美国二手车和卡车指数环比大涨10.5%，创下有史以来最大的月度涨幅。其主要原因是疫情打乱了全球供应链，导致芯片等汽车配件的供给不足，新车产量下降，二手车市场火爆。</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对于不断增长的通胀压力，美联储主席鲍威尔周三在出席美国国会听证会的时候表示：目前美国经济的复苏还没有达到可以开始缩减购债规模的程度，未来几个月美国通胀率仍将继续攀升，之后逐渐趋于平缓。他还表示，2021年美国经济有望实现几十年来最快的增长。</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周三，欧佩克+的一位代表表示，就此前的谈判僵局，阿联酋已与欧佩克+达成一项折衷协议，将会设定新的石油产量配额，消息传出后国际油价出现显著下跌。截至当天收盘，纽约商品交易所8月交货的轻质原油期货价格下跌2.12美元，收于每桶73.13美元，跌幅为2.82%;9月交货的伦敦布伦特原油期货价格下跌1.73美元，收于每桶74.76美元，跌幅为2.26%。</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纽约商品交易所黄金期货市场交投最活跃的8月黄金期价14日比前一交易日上涨15.1美元，收于每盎司1825美元，涨幅为0.83%。市场分析人士认为，美元走弱是当天金价上涨的主要原因。</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p>
    <w:p>
      <w:pPr>
        <w:pStyle w:val="23"/>
        <w:ind w:firstLine="643" w:firstLineChars="200"/>
        <w:outlineLvl w:val="1"/>
        <w:rPr>
          <w:rFonts w:hint="eastAsia" w:asciiTheme="minorEastAsia" w:hAnsiTheme="minorEastAsia" w:eastAsiaTheme="minorEastAsia" w:cstheme="minorEastAsia"/>
          <w:b/>
          <w:bCs/>
          <w:color w:val="auto"/>
          <w:sz w:val="32"/>
          <w:szCs w:val="32"/>
        </w:rPr>
      </w:pPr>
      <w:bookmarkStart w:id="12" w:name="_Toc76629721"/>
      <w:r>
        <w:rPr>
          <w:rFonts w:hint="eastAsia" w:asciiTheme="minorEastAsia" w:hAnsiTheme="minorEastAsia" w:eastAsiaTheme="minorEastAsia" w:cstheme="minorEastAsia"/>
          <w:b/>
          <w:bCs/>
          <w:color w:val="auto"/>
          <w:sz w:val="32"/>
          <w:szCs w:val="32"/>
        </w:rPr>
        <w:t>3.世界经济形势</w:t>
      </w:r>
      <w:bookmarkEnd w:id="12"/>
    </w:p>
    <w:bookmarkEnd w:id="11"/>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2021年7月14日，苏黎世-瑞士再保险瑞再研究院最新一期sigma报告《世界保险业: 加速复苏》显示，受益于刺激措施和疫苗接种，全球经济将稳健复苏，中国也将继续领跑全球复苏之路。保险行业发展前景乐观，全球保费收入预计今明两年相继增长3.3%和3.9%，高于历史趋势水平，全球保险市场规模在2022年首次达到7万 亿美元。新兴市场继续成为全球保险保费增长的主要驱动，中国在全球保费总额中的份额将持续扩大，总保费收入预计在2024年之前超过1万亿美元。</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瑞士再保险集团首席经济学家安仁礼(Jerome Jean Haegeli)博士表示：“2021及2022年，世界经济将迎来强势回升，这也将带动全球保费增长。中国的经济复苏仍值得期待。新冠疫情带来的消费者风险意识提升将成为驱动保险市场发展的重要因素。无论是涉及到个人医疗还是商业供应链，人们对于保险作用的认知逐渐提高，越来越认可在危机中保险对于提升韧性的重要价值。”</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目前，疫苗接种及财政刺激是经济增长的两大主要驱动力，但全球财政计划中用于可持续性基础设施的比例显著偏低。因此，今明两年强劲反弹后，鉴于潜在产出增速依然温和、劳动力增长缓慢、且债务水平显著攀升，我们预计未来增长将有所趋缓。未来可持续增长要求各国减少既有模式的刺激举措，增加更多提振增长的措施，以提高经济韧性，具体表现为投资于具有可持续性的基础设施，促进数字经济发展、扩充财政空间以应对未来危机、采取应对全球气候变化广泛风险的经济政策、以及降低收入不平等。</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得益于有效的疫情管控措施、强有力的公共应急响应机制、及央行提供的流动性支持，中国在去年已恢复到疫情前的增速水平，并将将继续引领全球复苏。安仁礼博士认为，随着金融市场开放、人民币资产在全球主要指数中的权重不断提升，人民币或渐进走强。保险业方面，2020年，在全球保额下降1.3%的背景下，中国保险市场保费逆势增长3.6%。</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2021年，由于监管趋严，中国保险保费收入预计增长6.3%，低于趋势增速;但中国的总保费收入预计在2024年之前超过1万亿美元，全球份额持续提升。</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国经济作为推动全球经济复苏发展的重要引擎，将带动中国保险行业的发展，促进社会韧性的进一步提升，推动保险业及整体经济高质量发展。”瑞士再保险中国总裁陈东辉表示：“‘十四五’规划和2035年远景目标纲要为中国保险业提供了广阔的创新空间和发展机遇。</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‘30·60’双碳目标的设定，也将促进保险业在可持续发展领域发挥更为重要的作用。瑞再将继续与广大客户及合作伙伴携手合作，为提升社会保障、增强社会韧性而不懈努力。”</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利好因素多于新增风险，全球保险市场保费反弹动力强劲得益于良好的经济发展势头、非寿险领域的利率上涨与风险意识的不断增强，保险行业发展前景积极，预计全球保费市场2021年同比增长3.3%，2022年增长3.9%，全球2021年直保保费预计将比2019年疫情前水平高出10%。全球保险市场规模在2022年首次达到7万亿美元。</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新兴市场的增长将继续高于发达市场，成为全球保险保费增长的主要驱动，这也反映出经济实力正在从西方向东方转移。预计新兴市场2021年保费收入增长5.6%，2022年增长7.4%，发达市场在 2021/22年预计增长2.7%和3.0%。</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在2020年的严峻形势下，非寿险业务展现出强大的抗风险能力，保费增长了1.6%。寿险行业受到严重影响，收缩4.5%。未来保险市场利好因素强于新增风险，利率持续上涨为非寿险增长提供动力，预计全球保费将在 2021及2022年分别增长2.8%和3.7%;风险意识提升与数字化进程支撑寿险业务，寿险全球保费将在2021和2022年分别增长3.8%和4.0%。</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字化正在改变寿险和非寿险公司的销售和服务。消费者迅速适应了线上方式，并逐渐在所有的保险触点进行线上交易。保险公司不断加大对保险科技的投资，持续改进并拓展线上服务范畴，将功能逐步从获取新客户、提供咨询建议拓展到保险产品定价和承保、生成保单、处理付款和售后服务等环节的线上化。社交媒体(例如中国的微信)和健康追踪应用程序等更广泛应用的在线平台将成为寿险销售的主要来源。在全球范围内，拥有最佳数字化基础设施、数字化程度高以及能够满足在线购买保险单的地区可能会迎来寿险保费的最大增长。安仁礼博士认为，中国设定的到2022年80%的财险业务线上化目标，以及加速对大数据、云计算、物联网、人工智能等核心科技的投入，将成为中国促进保险业数字化、科技化转型的关键因素之一。</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4后市预测</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72.94-75.25美元/桶。布伦特原油价格在74.12-76.49美元/桶震荡。周内国际油价窄幅震荡不稳。油价周三下跌超过2%，此前有消息称opec或与阿联酋就供应问题达成妥协，且美国数据显示上周汽油需求放缓。8月WTI：73.13跌2.12;9月布伦特：74.76跌1.73。原油价格此前一度升至近三年来最高，但由于对供应回升的担忧，最近一直较为震荡。布兰特原油期货下跌1.73美元，或2.26%，结算价报每桶74.76美元。美国原油期货下跌2.12美元，结算价报每桶73.13美元，跌幅2.82%。路孚特Eikon数据显示，布兰特原油较美国原油升水扩大至7月6日以来最阔。美国原油跌幅更大，因需求担忧。路透稍早报导称沙特和阿联酋已就石油输出国组织(OPEC)和其盟友组成的OPEC+联盟政策达成妥协，此举应有助于达成向紧张的石油市场供应更多原油的协议。随后，油价下跌。在美国政府数据显示上周隐含汽油需求大幅下降后，两大原油指标进一步下跌。美国能源信息署(EIA)周三表示，上周美国原油库存连续第八周下降，但汽油需求减少盖过了原油库存下降的影响。Lipow Oil Associates总裁Andrew Lipow表示，“汽油和柴油需求大幅下降令价格承压，尽管原油库存持续下降。”上周美国成品油库存上升，尽管炼厂炼油量小幅减少。汽油库存意外增加100万桶，预期为减少180万桶。消息人士称，同意上调阿联酋的产量基线，为将OPEC整体协议延长至2022年底铺平了道路。不过，在一份声明中，阿联酋能源部表示，与OPEC+的产量基线协议尚未达成，讨论仍在继续。</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预测下周WTI油价将触及71-76美元/桶，布油在之后几个月触及73-77美元/桶。</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rPr>
        <w:t>2.2国际市场MTBE价格</w:t>
      </w:r>
      <w:bookmarkEnd w:id="13"/>
      <w:r>
        <w:rPr>
          <w:rFonts w:hint="eastAsia" w:ascii="宋体" w:hAnsi="宋体"/>
          <w:b/>
          <w:sz w:val="30"/>
          <w:szCs w:val="30"/>
          <w:highlight w:val="none"/>
          <w:lang w:val="en-US" w:eastAsia="zh-CN"/>
        </w:rPr>
        <w:t xml:space="preserve"> </w:t>
      </w:r>
    </w:p>
    <w:p>
      <w:pPr>
        <w:rPr>
          <w:rFonts w:hint="eastAsia"/>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767.00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229.04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828.25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772.00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235.48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821.25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7月12日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231.37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818.00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7月9日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771.00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232.85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821.00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7月8日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741.50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228.97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800.50 </w:t>
            </w:r>
          </w:p>
        </w:tc>
      </w:tr>
    </w:tbl>
    <w:p>
      <w:pPr>
        <w:rPr>
          <w:rFonts w:hint="eastAsia"/>
          <w:lang w:eastAsia="zh-CN"/>
        </w:rPr>
      </w:pPr>
    </w:p>
    <w:p>
      <w:pPr>
        <w:pStyle w:val="2"/>
        <w:numPr>
          <w:ilvl w:val="0"/>
          <w:numId w:val="0"/>
        </w:numPr>
        <w:spacing w:before="120" w:after="0" w:line="240" w:lineRule="auto"/>
        <w:rPr>
          <w:rFonts w:hint="eastAsia"/>
          <w:b/>
        </w:rPr>
      </w:pPr>
      <w:bookmarkStart w:id="14" w:name="_Toc11000"/>
      <w:r>
        <w:rPr>
          <w:rFonts w:hint="eastAsia"/>
          <w:b/>
          <w:lang w:eastAsia="zh-CN"/>
        </w:rPr>
        <w:t>三、</w:t>
      </w:r>
      <w:r>
        <w:rPr>
          <w:rFonts w:hint="eastAsia"/>
          <w:b/>
        </w:rPr>
        <w:t>本周国内市场</w:t>
      </w:r>
      <w:bookmarkEnd w:id="14"/>
    </w:p>
    <w:p>
      <w:pPr>
        <w:numPr>
          <w:ilvl w:val="0"/>
          <w:numId w:val="0"/>
        </w:numPr>
      </w:pPr>
    </w:p>
    <w:p>
      <w:pPr>
        <w:pStyle w:val="3"/>
        <w:spacing w:before="120" w:after="120" w:line="240" w:lineRule="auto"/>
        <w:rPr>
          <w:rFonts w:hint="eastAsia" w:ascii="宋体" w:hAnsi="宋体"/>
          <w:b/>
          <w:sz w:val="30"/>
          <w:szCs w:val="30"/>
          <w:highlight w:val="none"/>
        </w:rPr>
      </w:pPr>
      <w:bookmarkStart w:id="15" w:name="_Toc7167"/>
      <w:r>
        <w:rPr>
          <w:rFonts w:hint="eastAsia" w:ascii="宋体" w:hAnsi="宋体"/>
          <w:b/>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9058" w:type="dxa"/>
        <w:jc w:val="center"/>
        <w:shd w:val="clear" w:color="auto" w:fill="auto"/>
        <w:tblLayout w:type="autofit"/>
        <w:tblCellMar>
          <w:top w:w="0" w:type="dxa"/>
          <w:left w:w="0" w:type="dxa"/>
          <w:bottom w:w="0" w:type="dxa"/>
          <w:right w:w="0" w:type="dxa"/>
        </w:tblCellMar>
      </w:tblPr>
      <w:tblGrid>
        <w:gridCol w:w="1140"/>
        <w:gridCol w:w="780"/>
        <w:gridCol w:w="877"/>
        <w:gridCol w:w="1035"/>
        <w:gridCol w:w="2196"/>
        <w:gridCol w:w="1500"/>
        <w:gridCol w:w="1530"/>
      </w:tblGrid>
      <w:tr>
        <w:tblPrEx>
          <w:shd w:val="clear" w:color="auto" w:fill="auto"/>
          <w:tblCellMar>
            <w:top w:w="0" w:type="dxa"/>
            <w:left w:w="0" w:type="dxa"/>
            <w:bottom w:w="0" w:type="dxa"/>
            <w:right w:w="0" w:type="dxa"/>
          </w:tblCellMar>
        </w:tblPrEx>
        <w:trPr>
          <w:trHeight w:val="45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中石化旗下炼厂检修计划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济南炼化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2021/2/19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2021/4/15</w:t>
            </w:r>
          </w:p>
        </w:tc>
      </w:tr>
      <w:tr>
        <w:tblPrEx>
          <w:tblCellMar>
            <w:top w:w="0" w:type="dxa"/>
            <w:left w:w="0" w:type="dxa"/>
            <w:bottom w:w="0" w:type="dxa"/>
            <w:right w:w="0" w:type="dxa"/>
          </w:tblCellMar>
        </w:tblPrEx>
        <w:trPr>
          <w:trHeight w:val="3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金陵石化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2021/3/20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2021/4/22</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燕山石化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北京</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4#常减压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2020/3/29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2021/5/14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长岭石化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湖南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2021/2/20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塔河石化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新疆</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上海石化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上海</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1600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2021/4/14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2021/6/18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九江石化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江西</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2021/5/15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沧州炼厂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2021/5/10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扬子石化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焦化装置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茂名石化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石家庄炼厂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2021/10/28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齐鲁石化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2021/9/19</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胜利油田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2021/9/15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海南炼化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950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950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2021/12</w:t>
            </w:r>
          </w:p>
        </w:tc>
      </w:tr>
      <w:tr>
        <w:tblPrEx>
          <w:tblCellMar>
            <w:top w:w="0" w:type="dxa"/>
            <w:left w:w="0" w:type="dxa"/>
            <w:bottom w:w="0" w:type="dxa"/>
            <w:right w:w="0" w:type="dxa"/>
          </w:tblCellMar>
        </w:tblPrEx>
        <w:trPr>
          <w:trHeight w:val="33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中石油旗下炼厂检修计划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云南石化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云南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1300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2020/12/5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2021/1/24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抚顺石化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辽宁</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2021/4/10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2021/5月底</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吉林石化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吉林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大港石化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天津</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2021/6/7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格尔木炼厂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青海</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2021/7/1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2021/8/15</w:t>
            </w:r>
          </w:p>
        </w:tc>
      </w:tr>
      <w:tr>
        <w:tblPrEx>
          <w:tblCellMar>
            <w:top w:w="0" w:type="dxa"/>
            <w:left w:w="0" w:type="dxa"/>
            <w:bottom w:w="0" w:type="dxa"/>
            <w:right w:w="0" w:type="dxa"/>
          </w:tblCellMar>
        </w:tblPrEx>
        <w:trPr>
          <w:trHeight w:val="38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w:t>
            </w:r>
            <w:r>
              <w:rPr>
                <w:rFonts w:hint="eastAsia" w:ascii="宋体" w:hAnsi="宋体" w:cs="宋体"/>
                <w:b/>
                <w:i w:val="0"/>
                <w:color w:val="000000"/>
                <w:kern w:val="0"/>
                <w:sz w:val="24"/>
                <w:szCs w:val="24"/>
                <w:u w:val="none"/>
                <w:lang w:val="en-US" w:eastAsia="zh-CN" w:bidi="ar"/>
              </w:rPr>
              <w:t>海</w:t>
            </w:r>
            <w:r>
              <w:rPr>
                <w:rFonts w:hint="eastAsia" w:ascii="宋体" w:hAnsi="宋体" w:eastAsia="宋体" w:cs="宋体"/>
                <w:b/>
                <w:i w:val="0"/>
                <w:color w:val="000000"/>
                <w:kern w:val="0"/>
                <w:sz w:val="24"/>
                <w:szCs w:val="24"/>
                <w:u w:val="none"/>
                <w:lang w:val="en-US" w:eastAsia="zh-CN" w:bidi="ar"/>
              </w:rPr>
              <w:t>油旗下炼厂检修计划</w:t>
            </w:r>
          </w:p>
        </w:tc>
      </w:tr>
      <w:tr>
        <w:tblPrEx>
          <w:tblCellMar>
            <w:top w:w="0" w:type="dxa"/>
            <w:left w:w="0" w:type="dxa"/>
            <w:bottom w:w="0" w:type="dxa"/>
            <w:right w:w="0" w:type="dxa"/>
          </w:tblCellMar>
        </w:tblPrEx>
        <w:trPr>
          <w:trHeight w:val="4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东方石化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2021/4/20</w:t>
            </w:r>
          </w:p>
        </w:tc>
      </w:tr>
      <w:tr>
        <w:tblPrEx>
          <w:tblCellMar>
            <w:top w:w="0" w:type="dxa"/>
            <w:left w:w="0" w:type="dxa"/>
            <w:bottom w:w="0" w:type="dxa"/>
            <w:right w:w="0" w:type="dxa"/>
          </w:tblCellMar>
        </w:tblPrEx>
        <w:trPr>
          <w:trHeight w:val="257"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惠州炼化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二期</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rPr>
              <w:t>2021/4月中旬</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宁波大榭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浙江</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aps w:val="0"/>
                <w:spacing w:val="0"/>
                <w:sz w:val="20"/>
                <w:szCs w:val="20"/>
                <w:lang w:val="en-US" w:eastAsia="zh-CN"/>
              </w:rPr>
            </w:pPr>
            <w:r>
              <w:rPr>
                <w:rFonts w:hint="eastAsia" w:asciiTheme="minorEastAsia" w:hAnsiTheme="minorEastAsia" w:eastAsiaTheme="minorEastAsia" w:cstheme="minorEastAsia"/>
                <w:caps w:val="0"/>
                <w:spacing w:val="0"/>
                <w:sz w:val="20"/>
                <w:szCs w:val="20"/>
              </w:rPr>
              <w:t>2021/5/15</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030" w:type="dxa"/>
        <w:jc w:val="center"/>
        <w:shd w:val="clear" w:color="auto" w:fill="auto"/>
        <w:tblLayout w:type="autofit"/>
        <w:tblCellMar>
          <w:top w:w="0" w:type="dxa"/>
          <w:left w:w="0" w:type="dxa"/>
          <w:bottom w:w="0" w:type="dxa"/>
          <w:right w:w="0" w:type="dxa"/>
        </w:tblCellMar>
      </w:tblPr>
      <w:tblGrid>
        <w:gridCol w:w="1247"/>
        <w:gridCol w:w="1247"/>
        <w:gridCol w:w="1247"/>
        <w:gridCol w:w="1247"/>
        <w:gridCol w:w="1247"/>
        <w:gridCol w:w="1393"/>
        <w:gridCol w:w="1402"/>
      </w:tblGrid>
      <w:tr>
        <w:tblPrEx>
          <w:shd w:val="clear" w:color="auto" w:fill="auto"/>
          <w:tblCellMar>
            <w:top w:w="0" w:type="dxa"/>
            <w:left w:w="0" w:type="dxa"/>
            <w:bottom w:w="0" w:type="dxa"/>
            <w:right w:w="0" w:type="dxa"/>
          </w:tblCellMar>
        </w:tblPrEx>
        <w:trPr>
          <w:trHeight w:val="550" w:hRule="atLeast"/>
          <w:jc w:val="center"/>
        </w:trPr>
        <w:tc>
          <w:tcPr>
            <w:tcW w:w="9030"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地方炼厂装置检修计划表(单位：万吨)</w:t>
            </w:r>
          </w:p>
        </w:tc>
      </w:tr>
      <w:tr>
        <w:tblPrEx>
          <w:tblCellMar>
            <w:top w:w="0" w:type="dxa"/>
            <w:left w:w="0" w:type="dxa"/>
            <w:bottom w:w="0" w:type="dxa"/>
            <w:right w:w="0" w:type="dxa"/>
          </w:tblCellMar>
        </w:tblPrEx>
        <w:trPr>
          <w:trHeight w:val="392"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区域</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省市</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124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产能</w:t>
            </w:r>
          </w:p>
        </w:tc>
        <w:tc>
          <w:tcPr>
            <w:tcW w:w="139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40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24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山东</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德州</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恒源石化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2021/6/18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准备拆除</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日照</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中海外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2021/4/15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2021/6/6</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正和石化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2021/4/22</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2021/6/1</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滨州</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博兴永鑫</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常减压</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2021/4/20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2021/5/27</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尚能石化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海科瑞林</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2021/7月中旬</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联合石化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潍坊</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弘润石化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轮检</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日照</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海右石化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2021/1</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2021/6</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齐成石化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轮检</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24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东营</w:t>
            </w: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垦利石化</w:t>
            </w: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w:t>
            </w:r>
          </w:p>
        </w:tc>
        <w:tc>
          <w:tcPr>
            <w:tcW w:w="12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3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2021/8月底</w:t>
            </w:r>
          </w:p>
        </w:tc>
        <w:tc>
          <w:tcPr>
            <w:tcW w:w="14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西南</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重庆</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龙海石化</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2021/2/2</w:t>
            </w:r>
          </w:p>
        </w:tc>
        <w:tc>
          <w:tcPr>
            <w:tcW w:w="1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2021/3月底</w:t>
            </w:r>
          </w:p>
        </w:tc>
      </w:tr>
      <w:tr>
        <w:tblPrEx>
          <w:tblCellMar>
            <w:top w:w="0" w:type="dxa"/>
            <w:left w:w="0" w:type="dxa"/>
            <w:bottom w:w="0" w:type="dxa"/>
            <w:right w:w="0" w:type="dxa"/>
          </w:tblCellMar>
        </w:tblPrEx>
        <w:trPr>
          <w:trHeight w:val="300" w:hRule="atLeast"/>
          <w:jc w:val="center"/>
        </w:trPr>
        <w:tc>
          <w:tcPr>
            <w:tcW w:w="124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东北</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辽宁缘泰</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常减压装置</w:t>
            </w:r>
          </w:p>
        </w:tc>
        <w:tc>
          <w:tcPr>
            <w:tcW w:w="12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2021/2/22</w:t>
            </w:r>
          </w:p>
        </w:tc>
        <w:tc>
          <w:tcPr>
            <w:tcW w:w="14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盘锦浩业</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催化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w:t>
            </w:r>
          </w:p>
        </w:tc>
      </w:tr>
      <w:tr>
        <w:tblPrEx>
          <w:tblCellMar>
            <w:top w:w="0" w:type="dxa"/>
            <w:left w:w="0" w:type="dxa"/>
            <w:bottom w:w="0" w:type="dxa"/>
            <w:right w:w="0" w:type="dxa"/>
          </w:tblCellMar>
        </w:tblPrEx>
        <w:trPr>
          <w:trHeight w:val="270"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大连锦源</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2021/5/6</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44355</w:t>
            </w:r>
          </w:p>
        </w:tc>
      </w:tr>
      <w:tr>
        <w:tblPrEx>
          <w:tblCellMar>
            <w:top w:w="0" w:type="dxa"/>
            <w:left w:w="0" w:type="dxa"/>
            <w:bottom w:w="0" w:type="dxa"/>
            <w:right w:w="0" w:type="dxa"/>
          </w:tblCellMar>
        </w:tblPrEx>
        <w:trPr>
          <w:trHeight w:val="270" w:hRule="atLeast"/>
          <w:jc w:val="center"/>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黑龙江</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大庆中蓝</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2021/8/30</w:t>
            </w:r>
          </w:p>
        </w:tc>
      </w:tr>
      <w:tr>
        <w:tblPrEx>
          <w:tblCellMar>
            <w:top w:w="0" w:type="dxa"/>
            <w:left w:w="0" w:type="dxa"/>
            <w:bottom w:w="0" w:type="dxa"/>
            <w:right w:w="0" w:type="dxa"/>
          </w:tblCellMar>
        </w:tblPrEx>
        <w:trPr>
          <w:trHeight w:val="2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辽宁华锦</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2021/7/15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2021/8/15</w:t>
            </w:r>
          </w:p>
        </w:tc>
      </w:tr>
      <w:tr>
        <w:tblPrEx>
          <w:tblCellMar>
            <w:top w:w="0" w:type="dxa"/>
            <w:left w:w="0" w:type="dxa"/>
            <w:bottom w:w="0" w:type="dxa"/>
            <w:right w:w="0" w:type="dxa"/>
          </w:tblCellMar>
        </w:tblPrEx>
        <w:trPr>
          <w:trHeight w:val="2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华东</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江苏</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新海石化</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全厂检修</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2021/3/25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2021/5/14</w:t>
            </w:r>
          </w:p>
        </w:tc>
      </w:tr>
    </w:tbl>
    <w:p>
      <w:pPr>
        <w:rPr>
          <w:rFonts w:hint="eastAsia"/>
        </w:rPr>
      </w:pPr>
    </w:p>
    <w:p>
      <w:pPr>
        <w:pStyle w:val="3"/>
        <w:spacing w:before="120" w:after="120" w:line="240" w:lineRule="auto"/>
        <w:rPr>
          <w:rFonts w:hint="eastAsia" w:ascii="宋体" w:hAnsi="宋体"/>
          <w:b/>
          <w:sz w:val="30"/>
          <w:szCs w:val="30"/>
          <w:highlight w:val="none"/>
        </w:rPr>
      </w:pPr>
      <w:bookmarkStart w:id="16" w:name="_Toc13096"/>
      <w:r>
        <w:rPr>
          <w:rFonts w:hint="eastAsia" w:ascii="宋体" w:hAnsi="宋体"/>
          <w:b/>
          <w:sz w:val="30"/>
          <w:szCs w:val="30"/>
          <w:highlight w:val="none"/>
        </w:rPr>
        <w:t>3.2本周成品油市场行情</w:t>
      </w:r>
      <w:bookmarkEnd w:id="16"/>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bookmarkStart w:id="17" w:name="_Toc24031"/>
      <w:r>
        <w:rPr>
          <w:rFonts w:hint="eastAsia" w:asciiTheme="minorEastAsia" w:hAnsiTheme="minorEastAsia" w:eastAsiaTheme="minorEastAsia" w:cstheme="minorEastAsia"/>
          <w:color w:val="auto"/>
          <w:kern w:val="2"/>
          <w:sz w:val="28"/>
          <w:szCs w:val="28"/>
          <w:shd w:val="clear" w:color="auto" w:fill="FFFFFF"/>
          <w:lang w:eastAsia="zh-CN"/>
        </w:rPr>
        <w:t>本周(7月9日-7月15日)，受国际原油冲高后大幅回落影响，山东地炼成品油行情呈现涨后回落趋势。近期北方普遍进入高温天气，工矿、基建等行业开工率受抑，导致柴油需求表现平淡。汽车空调使用频率增加，且暑假模式开启，汽油消费速度加快。但山东省本周迎来持续大雨天气，导致运输受到一定限制。另外，周内国际原油宽幅震荡，后市不确定性增强，令市场谨慎情绪加重，采购难有持续性，多数逢低进行适量补仓，追涨购进者寥寥，行情缺乏成交支撑，本周山东地炼汽柴油价格震荡小幅下行为主。</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9日-7月15日)，受国际原油影响，华中地区价格走势偏弱，部分主营销售公司让利以促进成交，价格承压下行，市场成交一般，成交保持优惠，贸易商出货为主。短期内江内价格将维持现有状态。预计，下周华中区域成品油价格下行，建议业者根据自身实际情况合理调整备货周期。</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9日-7月15日)，华东地区成品油行情低迷下行，市场交投气氛愈加冷清。具体来看，国际原油期货震荡下跌，变化率正向区间收窄，消息方面支撑减弱。与此同时，下游需求平淡，业者普遍场外消库观望，主营单位整体出货不畅，汽柴油价格普遍承压下滑。下周来看，国际原油期货震荡整理为主，消息方面利好难寻。与此同时，步入中下旬，主营单位销售压力增大，部分单位或加大优惠力度出货赶量。预计下周华东地区汽柴油行情依然承压。</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9日-7月15日)，国际原油市场走势缺乏稳定性，华南地区业者观望气氛不断升温，实单成交量稀少。具体来看，本周国际原油呈现涨跌交替的盘整走势，消息面利好支撑有限，华南地区汽柴油市场整体维持平稳走势，中石油销售公司依据原油涨跌灵活调整，但由于下游需求情况低迷，市场成交价格基本保持量大优惠政策，刺激出货为主。其他主营公司保持平稳走势，终端企业消耗量减少，业者采购热情难以提振，多消耗前期库存，成交气氛清淡难改。近期国际原油走势充满不确定性，成品油调价窗口处于搁浅预期，市场缺乏明确的政策性导向，预计短期内受低迷的需求情况抑制，整体行情将维持弱势下行走势。</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本周(7月9日-7月15日)，原油走势宽幅波动 华北地区内汽柴趋弱运行本周国际油价走势震荡上涨，周初原油走势延续涨势，国内调价小涨预期落实，主营单位为刺激出货报价稳中小幅下行，市场需求暂无明显提升，成交气氛整体受限。上调预期落实后适逢原油走势大幅走跌，部分单位继续小幅走跌刺激出货，下游入市心态谨慎，购销气氛维持清淡。周内原油走势反弹，新一轮变化率正值拉宽，部分地区河南、河北等地加大优惠力度刺激出货，下游逢低刚需为主，市场观望气氛仍存。临近周末原油走势再度转跌，区内油价走势稳中小幅趋弱，下游接货心态不高，成交气氛淡稳。后市来看，国际市场消息面市场等待沙特和阿联酋达成一致意见，在OPEC+的产量协议未明朗化之前，国际油价或继续保持震荡态势，本轮调价最终方向仍存不确定性。区内市场来看，消息面支撑受限，价格因素波动因素趋向需求主导，北方多雨天气继续限制柴油需求，汽油需求受暑期带动相对平稳，因此短期内柴油走势承压较重，加之月度中旬商家出货压力较大，预计区内油价走势将继续稳中下行。</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9日-7月15日)，西北地炼汽柴行情维持淡稳，西北地区市场成交气氛平平。分析来看：本周一成品油零售价上调兑现，且周内国际油价维持宽幅震荡，新一轮变化率正向小幅度运行，本轮调价方向暂不明朗，消息面对市场难有明显支撑。此外，柴油正值消费淡季，前期库存消耗缓慢，业者补货有限，市场成交量淡;汽油方面，暑期私家车出行增多，且车用空调用油提升，终端需求较有支撑，但消息面转弱，且当前汽油价格仍处于高位，业者补货谨慎，市场成交亦无明显改善。销售公司近期出货不畅，汽柴价格均无变化。就后市而言，国际油价或将保持区间震荡，变化率窄幅波动，消息面对市场指引有限。业者观望情绪难消，入市补货刚需为主，市场成交难见活跃。预计短线西北地炼汽柴行情下行压力加大。</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(7月9日-7月15日)，西南汽柴行情维持震荡下行趋势，市场成交气氛清淡。分析来看：周一零售价上调兑现“三连涨”，但周内国际油价宽幅震荡，新一轮变化率正向小幅开端，本轮调价变数增加，消息面对市场难有支撑。此外，本月主营单位销售不畅，成交价格逐步下移。不过，高温多雨天气影响下，部分户外用油企业开工受限，柴油需求疲软;汽油方面，暑期私家车出行半径扩大，且车用空调试用频繁，汽油需求表现尚可。需求面上汽强柴弱，不过，消息面缺乏利好提振，业者补货心态谨慎，市场成交刚需为主。就后市而言，国际油价或维持高位震荡，变化率窄幅波动，本轮调价方向暂无明朗，市场观望气氛难以消除。业者操作心态谨慎，消库之余按需补货为主，市场成交难有提升。主营单位出货不畅，优惠促销力度不减，预计短线西南地区汽柴行情弱势震荡为主。</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后市前瞻：预计下周，市场等待沙特和阿联酋达成一致意见，在OPEC+的产量协议未明朗化之前，国际油价或继续保持震荡态势。以WTI为例，预计下周的主流运行区间在72-76(均值74)美元/桶之间，环比持平。后期柴油操作仍保持谨慎为主，预计价格仍存小幅回落空间。汽油需求尚可，有望支撑行情震荡为主。</w:t>
      </w:r>
    </w:p>
    <w:p>
      <w:pPr>
        <w:pStyle w:val="3"/>
        <w:spacing w:before="120" w:after="120" w:line="240" w:lineRule="auto"/>
        <w:rPr>
          <w:rFonts w:ascii="宋体" w:hAnsi="宋体"/>
          <w:b/>
          <w:sz w:val="30"/>
          <w:szCs w:val="30"/>
        </w:rPr>
      </w:pPr>
      <w:bookmarkStart w:id="32" w:name="_GoBack"/>
      <w:bookmarkEnd w:id="32"/>
      <w:r>
        <w:rPr>
          <w:rFonts w:hint="eastAsia" w:ascii="宋体" w:hAnsi="宋体"/>
          <w:b/>
          <w:sz w:val="30"/>
          <w:szCs w:val="30"/>
        </w:rPr>
        <w:t>3.3 国内汽油价格周报</w:t>
      </w:r>
      <w:bookmarkEnd w:id="17"/>
    </w:p>
    <w:p>
      <w:pPr>
        <w:rPr>
          <w:rFonts w:hint="eastAsia"/>
        </w:rPr>
      </w:pPr>
      <w:r>
        <w:rPr>
          <w:rFonts w:hint="eastAsia"/>
        </w:rPr>
        <w:t>单位：元/吨</w:t>
      </w:r>
    </w:p>
    <w:p>
      <w:pPr>
        <w:rPr>
          <w:rFonts w:hint="eastAsia"/>
        </w:rPr>
      </w:pPr>
    </w:p>
    <w:p>
      <w:pPr>
        <w:rPr>
          <w:rFonts w:hint="eastAsia"/>
        </w:rPr>
      </w:pPr>
    </w:p>
    <w:tbl>
      <w:tblPr>
        <w:tblStyle w:val="24"/>
        <w:tblW w:w="8910" w:type="dxa"/>
        <w:tblInd w:w="417" w:type="dxa"/>
        <w:shd w:val="clear" w:color="auto" w:fill="auto"/>
        <w:tblLayout w:type="fixed"/>
        <w:tblCellMar>
          <w:top w:w="0" w:type="dxa"/>
          <w:left w:w="0" w:type="dxa"/>
          <w:bottom w:w="0" w:type="dxa"/>
          <w:right w:w="0" w:type="dxa"/>
        </w:tblCellMar>
      </w:tblPr>
      <w:tblGrid>
        <w:gridCol w:w="750"/>
        <w:gridCol w:w="930"/>
        <w:gridCol w:w="1080"/>
        <w:gridCol w:w="960"/>
        <w:gridCol w:w="1095"/>
        <w:gridCol w:w="1035"/>
        <w:gridCol w:w="843"/>
        <w:gridCol w:w="1092"/>
        <w:gridCol w:w="1125"/>
      </w:tblGrid>
      <w:tr>
        <w:tblPrEx>
          <w:shd w:val="clear" w:color="auto" w:fill="auto"/>
          <w:tblCellMar>
            <w:top w:w="0" w:type="dxa"/>
            <w:left w:w="0" w:type="dxa"/>
            <w:bottom w:w="0" w:type="dxa"/>
            <w:right w:w="0" w:type="dxa"/>
          </w:tblCellMar>
        </w:tblPrEx>
        <w:trPr>
          <w:trHeight w:val="420" w:hRule="atLeast"/>
        </w:trPr>
        <w:tc>
          <w:tcPr>
            <w:tcW w:w="75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地区</w:t>
            </w:r>
          </w:p>
        </w:tc>
        <w:tc>
          <w:tcPr>
            <w:tcW w:w="9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企业性质</w:t>
            </w:r>
          </w:p>
        </w:tc>
        <w:tc>
          <w:tcPr>
            <w:tcW w:w="9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产品名称</w:t>
            </w:r>
          </w:p>
        </w:tc>
        <w:tc>
          <w:tcPr>
            <w:tcW w:w="10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型号</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价格类型</w:t>
            </w:r>
          </w:p>
        </w:tc>
        <w:tc>
          <w:tcPr>
            <w:tcW w:w="84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9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2021/7/15</w:t>
            </w:r>
          </w:p>
        </w:tc>
        <w:tc>
          <w:tcPr>
            <w:tcW w:w="112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2021/7/8</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89#</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9050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9100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8008</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8258</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8571</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8145</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8220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8470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8190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8390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沪Ⅳ93#</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8295</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沪Ⅳ93#</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沪Ⅳ97#</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沪Ⅳ97#</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8571</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8240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8145</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E92#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E92#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连云港市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国IV 97#</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trPr>
        <w:tc>
          <w:tcPr>
            <w:tcW w:w="75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103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bl>
    <w:p>
      <w:pPr>
        <w:pStyle w:val="3"/>
        <w:spacing w:before="120" w:after="120" w:line="240" w:lineRule="auto"/>
        <w:rPr>
          <w:rFonts w:hint="eastAsia" w:ascii="宋体" w:hAnsi="宋体"/>
          <w:b/>
          <w:sz w:val="30"/>
          <w:szCs w:val="30"/>
          <w:lang w:val="en-US" w:eastAsia="zh-CN"/>
        </w:rPr>
      </w:pPr>
      <w:bookmarkStart w:id="18" w:name="_Toc16466"/>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3.4国内柴油价格周报</w:t>
      </w:r>
      <w:bookmarkEnd w:id="18"/>
    </w:p>
    <w:p>
      <w:pPr>
        <w:rPr>
          <w:rFonts w:hint="eastAsia"/>
          <w:lang w:val="en-US" w:eastAsia="zh-CN"/>
        </w:rPr>
      </w:pPr>
      <w:r>
        <w:rPr>
          <w:rFonts w:hint="eastAsia"/>
          <w:lang w:val="en-US" w:eastAsia="zh-CN"/>
        </w:rPr>
        <w:t>单位：元/吨</w:t>
      </w:r>
    </w:p>
    <w:tbl>
      <w:tblPr>
        <w:tblStyle w:val="24"/>
        <w:tblW w:w="8830" w:type="dxa"/>
        <w:jc w:val="center"/>
        <w:shd w:val="clear" w:color="auto" w:fill="auto"/>
        <w:tblLayout w:type="fixed"/>
        <w:tblCellMar>
          <w:top w:w="0" w:type="dxa"/>
          <w:left w:w="0" w:type="dxa"/>
          <w:bottom w:w="0" w:type="dxa"/>
          <w:right w:w="0" w:type="dxa"/>
        </w:tblCellMar>
      </w:tblPr>
      <w:tblGrid>
        <w:gridCol w:w="705"/>
        <w:gridCol w:w="987"/>
        <w:gridCol w:w="990"/>
        <w:gridCol w:w="897"/>
        <w:gridCol w:w="915"/>
        <w:gridCol w:w="1005"/>
        <w:gridCol w:w="849"/>
        <w:gridCol w:w="1185"/>
        <w:gridCol w:w="1297"/>
      </w:tblGrid>
      <w:tr>
        <w:tblPrEx>
          <w:shd w:val="clear" w:color="auto" w:fill="auto"/>
          <w:tblCellMar>
            <w:top w:w="0" w:type="dxa"/>
            <w:left w:w="0" w:type="dxa"/>
            <w:bottom w:w="0" w:type="dxa"/>
            <w:right w:w="0" w:type="dxa"/>
          </w:tblCellMar>
        </w:tblPrEx>
        <w:trPr>
          <w:trHeight w:val="3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地区</w:t>
            </w:r>
          </w:p>
        </w:tc>
        <w:tc>
          <w:tcPr>
            <w:tcW w:w="98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城市</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企业性质</w:t>
            </w:r>
          </w:p>
        </w:tc>
        <w:tc>
          <w:tcPr>
            <w:tcW w:w="89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产品名称</w:t>
            </w:r>
          </w:p>
        </w:tc>
        <w:tc>
          <w:tcPr>
            <w:tcW w:w="9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型号</w:t>
            </w:r>
          </w:p>
        </w:tc>
        <w:tc>
          <w:tcPr>
            <w:tcW w:w="10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价格类型</w:t>
            </w:r>
          </w:p>
        </w:tc>
        <w:tc>
          <w:tcPr>
            <w:tcW w:w="849"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2021/7/15</w:t>
            </w:r>
          </w:p>
        </w:tc>
        <w:tc>
          <w:tcPr>
            <w:tcW w:w="129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2021/7/8</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7345</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7280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6580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6830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6830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6610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6620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6425</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6495</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6570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6425</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6495</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6580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8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6468</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6470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6610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6620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6425</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6495</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8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6690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6690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衢州市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衢州市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舟山市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70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8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舟山市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9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bl>
    <w:p>
      <w:pPr>
        <w:rPr>
          <w:rFonts w:hint="eastAsia" w:eastAsia="宋体"/>
          <w:lang w:val="en-US" w:eastAsia="zh-CN"/>
        </w:rPr>
      </w:pPr>
    </w:p>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9" w:name="_Toc6052"/>
      <w:r>
        <w:rPr>
          <w:rFonts w:hint="eastAsia" w:ascii="宋体" w:hAnsi="宋体"/>
          <w:b/>
          <w:sz w:val="30"/>
          <w:szCs w:val="30"/>
          <w:lang w:val="en-US" w:eastAsia="zh-CN"/>
        </w:rPr>
        <w:t>3.5 山东地炼汽油出厂价格周报</w:t>
      </w:r>
      <w:bookmarkEnd w:id="19"/>
    </w:p>
    <w:p>
      <w:pPr>
        <w:rPr>
          <w:rFonts w:hint="eastAsia"/>
          <w:lang w:val="en-US" w:eastAsia="zh-CN"/>
        </w:rPr>
      </w:pPr>
      <w:r>
        <w:rPr>
          <w:rFonts w:hint="eastAsia"/>
          <w:lang w:val="en-US" w:eastAsia="zh-CN"/>
        </w:rPr>
        <w:t>单位：元/吨</w:t>
      </w:r>
    </w:p>
    <w:tbl>
      <w:tblPr>
        <w:tblStyle w:val="24"/>
        <w:tblW w:w="8737" w:type="dxa"/>
        <w:jc w:val="center"/>
        <w:shd w:val="clear" w:color="auto" w:fill="auto"/>
        <w:tblLayout w:type="autofit"/>
        <w:tblCellMar>
          <w:top w:w="0" w:type="dxa"/>
          <w:left w:w="0" w:type="dxa"/>
          <w:bottom w:w="0" w:type="dxa"/>
          <w:right w:w="0" w:type="dxa"/>
        </w:tblCellMar>
      </w:tblPr>
      <w:tblGrid>
        <w:gridCol w:w="705"/>
        <w:gridCol w:w="945"/>
        <w:gridCol w:w="1717"/>
        <w:gridCol w:w="1310"/>
        <w:gridCol w:w="939"/>
        <w:gridCol w:w="691"/>
        <w:gridCol w:w="1215"/>
        <w:gridCol w:w="1215"/>
      </w:tblGrid>
      <w:tr>
        <w:tblPrEx>
          <w:shd w:val="clear" w:color="auto" w:fill="auto"/>
          <w:tblCellMar>
            <w:top w:w="0" w:type="dxa"/>
            <w:left w:w="0" w:type="dxa"/>
            <w:bottom w:w="0" w:type="dxa"/>
            <w:right w:w="0" w:type="dxa"/>
          </w:tblCellMar>
        </w:tblPrEx>
        <w:trPr>
          <w:trHeight w:val="440" w:hRule="atLeast"/>
          <w:jc w:val="center"/>
        </w:trPr>
        <w:tc>
          <w:tcPr>
            <w:tcW w:w="70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省份</w:t>
            </w:r>
          </w:p>
        </w:tc>
        <w:tc>
          <w:tcPr>
            <w:tcW w:w="94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71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生产厂家</w:t>
            </w:r>
          </w:p>
        </w:tc>
        <w:tc>
          <w:tcPr>
            <w:tcW w:w="1310"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39"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69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2021/7/15</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2021/7/8</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7963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8057</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8217</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8156</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8138</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8309</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8301</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高标国VI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8725</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8033</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8160</w:t>
            </w:r>
          </w:p>
        </w:tc>
      </w:tr>
      <w:tr>
        <w:tblPrEx>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8460</w:t>
            </w:r>
          </w:p>
        </w:tc>
      </w:tr>
    </w:tbl>
    <w:p>
      <w:pPr>
        <w:jc w:val="center"/>
        <w:rPr>
          <w:rFonts w:hint="eastAsia"/>
          <w:lang w:val="en-US" w:eastAsia="zh-CN"/>
        </w:rPr>
      </w:pPr>
    </w:p>
    <w:p>
      <w:pPr>
        <w:jc w:val="cente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20" w:name="_Toc25179"/>
      <w:r>
        <w:rPr>
          <w:rFonts w:hint="eastAsia" w:ascii="宋体" w:hAnsi="宋体"/>
          <w:b/>
          <w:sz w:val="30"/>
          <w:szCs w:val="30"/>
          <w:lang w:val="en-US" w:eastAsia="zh-CN"/>
        </w:rPr>
        <w:t>3.6 山东地炼柴油出厂价格周报</w:t>
      </w:r>
      <w:bookmarkEnd w:id="20"/>
    </w:p>
    <w:p>
      <w:pPr>
        <w:rPr>
          <w:rFonts w:hint="eastAsia" w:ascii="宋体" w:hAnsi="宋体"/>
          <w:b/>
          <w:sz w:val="10"/>
          <w:szCs w:val="10"/>
          <w:lang w:val="en-US" w:eastAsia="zh-CN"/>
        </w:rPr>
      </w:pPr>
      <w:r>
        <w:rPr>
          <w:rFonts w:hint="eastAsia"/>
          <w:bCs/>
          <w:szCs w:val="21"/>
          <w:lang w:val="en-US" w:eastAsia="zh-CN"/>
        </w:rPr>
        <w:t>单位：元/吨</w:t>
      </w:r>
    </w:p>
    <w:p>
      <w:pPr>
        <w:rPr>
          <w:rFonts w:hint="eastAsia"/>
          <w:b/>
          <w:bCs/>
          <w:lang w:val="en-US" w:eastAsia="zh-CN"/>
        </w:rPr>
      </w:pPr>
    </w:p>
    <w:tbl>
      <w:tblPr>
        <w:tblW w:w="8888" w:type="dxa"/>
        <w:jc w:val="center"/>
        <w:shd w:val="clear"/>
        <w:tblLayout w:type="autofit"/>
        <w:tblCellMar>
          <w:top w:w="0" w:type="dxa"/>
          <w:left w:w="0" w:type="dxa"/>
          <w:bottom w:w="0" w:type="dxa"/>
          <w:right w:w="0" w:type="dxa"/>
        </w:tblCellMar>
      </w:tblPr>
      <w:tblGrid>
        <w:gridCol w:w="810"/>
        <w:gridCol w:w="1002"/>
        <w:gridCol w:w="1845"/>
        <w:gridCol w:w="1158"/>
        <w:gridCol w:w="900"/>
        <w:gridCol w:w="822"/>
        <w:gridCol w:w="1170"/>
        <w:gridCol w:w="1181"/>
      </w:tblGrid>
      <w:tr>
        <w:tblPrEx>
          <w:shd w:val="clear"/>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1" w:name="_Toc711"/>
            <w:bookmarkStart w:id="22" w:name="_Toc27167"/>
            <w:bookmarkStart w:id="23" w:name="_Toc23056"/>
            <w:bookmarkStart w:id="24" w:name="_Toc533771879"/>
            <w:r>
              <w:rPr>
                <w:rFonts w:hint="eastAsia" w:ascii="宋体" w:hAnsi="宋体" w:eastAsia="宋体" w:cs="宋体"/>
                <w:b/>
                <w:i w:val="0"/>
                <w:color w:val="000000"/>
                <w:kern w:val="0"/>
                <w:sz w:val="20"/>
                <w:szCs w:val="20"/>
                <w:u w:val="none"/>
                <w:bdr w:val="none" w:color="auto" w:sz="0" w:space="0"/>
                <w:lang w:val="en-US" w:eastAsia="zh-CN" w:bidi="ar"/>
              </w:rPr>
              <w:t>省份</w:t>
            </w:r>
          </w:p>
        </w:tc>
        <w:tc>
          <w:tcPr>
            <w:tcW w:w="100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产品名称</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生产厂家</w:t>
            </w:r>
          </w:p>
        </w:tc>
        <w:tc>
          <w:tcPr>
            <w:tcW w:w="115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型号</w:t>
            </w:r>
          </w:p>
        </w:tc>
        <w:tc>
          <w:tcPr>
            <w:tcW w:w="9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价格类型</w:t>
            </w:r>
          </w:p>
        </w:tc>
        <w:tc>
          <w:tcPr>
            <w:tcW w:w="82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涨跌</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2021/7/15</w:t>
            </w:r>
          </w:p>
        </w:tc>
        <w:tc>
          <w:tcPr>
            <w:tcW w:w="118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2021/7/8</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万通化工</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东方华龙</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6390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东明石化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6210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华联石化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6333</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6223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中海石油东营石化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6205</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6195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亚通石化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6130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亚通石化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6130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6330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6321</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6383</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6365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利津石化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6110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垦利石化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柴油</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6120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万达天弘</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寿光联盟</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6230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寿光鲁清</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6120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富宇化工</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山东海科</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6195</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海科化工</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6195</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弘润石化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潍坊弘润</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恒源石化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昌邑石化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国六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广饶正和</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w:t>
            </w:r>
            <w:r>
              <w:rPr>
                <w:rFonts w:hint="eastAsia" w:ascii="宋体" w:hAnsi="宋体" w:eastAsia="宋体" w:cs="宋体"/>
                <w:i w:val="0"/>
                <w:color w:val="000000"/>
                <w:kern w:val="0"/>
                <w:sz w:val="20"/>
                <w:szCs w:val="20"/>
                <w:u w:val="none"/>
                <w:bdr w:val="none" w:color="auto" w:sz="0" w:space="0"/>
                <w:lang w:val="en-US" w:eastAsia="zh-CN" w:bidi="ar"/>
              </w:rPr>
              <w:t>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永鑫化工</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6210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汇丰石化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6230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海科瑞林</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6175</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神驰化工</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6160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联合石化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6323</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6223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金诚石化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6160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鑫泰石化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鑫泰石化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6390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华星石化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海化石化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石大科技石化</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6220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石大科技</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6220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7150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铁路运输</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铁路运输</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7050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西安临潼公路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榆林炼厂铁路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永坪炼厂铁路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延安炼厂铁路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西安临潼铁路</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r>
      <w:tr>
        <w:tblPrEx>
          <w:tblCellMar>
            <w:top w:w="0" w:type="dxa"/>
            <w:left w:w="0" w:type="dxa"/>
            <w:bottom w:w="0" w:type="dxa"/>
            <w:right w:w="0" w:type="dxa"/>
          </w:tblCellMar>
        </w:tblPrEx>
        <w:trPr>
          <w:trHeight w:val="3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w:t>
            </w:r>
          </w:p>
        </w:tc>
        <w:tc>
          <w:tcPr>
            <w:tcW w:w="10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金澳科技</w:t>
            </w:r>
          </w:p>
        </w:tc>
        <w:tc>
          <w:tcPr>
            <w:tcW w:w="11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6560</w:t>
            </w:r>
          </w:p>
        </w:tc>
        <w:tc>
          <w:tcPr>
            <w:tcW w:w="11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6630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四、2021年5月份进出口统计数据</w:t>
      </w:r>
      <w:bookmarkEnd w:id="21"/>
      <w:bookmarkEnd w:id="22"/>
    </w:p>
    <w:p>
      <w:pPr>
        <w:pStyle w:val="3"/>
        <w:spacing w:before="120" w:after="120" w:line="240" w:lineRule="auto"/>
        <w:rPr>
          <w:rFonts w:hint="eastAsia" w:ascii="宋体" w:hAnsi="宋体"/>
          <w:b/>
          <w:sz w:val="30"/>
          <w:szCs w:val="30"/>
        </w:rPr>
      </w:pPr>
      <w:bookmarkStart w:id="25" w:name="_Toc19791"/>
      <w:bookmarkStart w:id="26" w:name="_Toc31314"/>
      <w:r>
        <w:rPr>
          <w:rFonts w:hint="eastAsia" w:ascii="宋体" w:hAnsi="宋体"/>
          <w:b/>
          <w:sz w:val="30"/>
          <w:szCs w:val="30"/>
        </w:rPr>
        <w:t>4.</w:t>
      </w:r>
      <w:bookmarkEnd w:id="25"/>
      <w:bookmarkEnd w:id="26"/>
      <w:r>
        <w:rPr>
          <w:rFonts w:hint="eastAsia" w:ascii="宋体" w:hAnsi="宋体"/>
          <w:b/>
          <w:sz w:val="30"/>
          <w:szCs w:val="30"/>
          <w:lang w:val="en-US" w:eastAsia="zh-CN"/>
        </w:rPr>
        <w:t xml:space="preserve">1 </w:t>
      </w: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份全国车用汽油和航空汽油进出口统计数据</w:t>
      </w: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rPr>
          <w:rFonts w:hint="eastAsia"/>
        </w:rPr>
      </w:pPr>
    </w:p>
    <w:tbl>
      <w:tblPr>
        <w:tblStyle w:val="24"/>
        <w:tblW w:w="8507" w:type="dxa"/>
        <w:jc w:val="center"/>
        <w:shd w:val="clear" w:color="auto" w:fill="auto"/>
        <w:tblLayout w:type="autofit"/>
        <w:tblCellMar>
          <w:top w:w="0" w:type="dxa"/>
          <w:left w:w="0" w:type="dxa"/>
          <w:bottom w:w="0" w:type="dxa"/>
          <w:right w:w="0" w:type="dxa"/>
        </w:tblCellMar>
      </w:tblPr>
      <w:tblGrid>
        <w:gridCol w:w="4032"/>
        <w:gridCol w:w="1440"/>
        <w:gridCol w:w="1410"/>
        <w:gridCol w:w="1625"/>
      </w:tblGrid>
      <w:tr>
        <w:tblPrEx>
          <w:shd w:val="clear" w:color="auto" w:fill="auto"/>
          <w:tblCellMar>
            <w:top w:w="0" w:type="dxa"/>
            <w:left w:w="0" w:type="dxa"/>
            <w:bottom w:w="0" w:type="dxa"/>
            <w:right w:w="0" w:type="dxa"/>
          </w:tblCellMar>
        </w:tblPrEx>
        <w:trPr>
          <w:trHeight w:val="540"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bookmarkStart w:id="27" w:name="_Toc23995"/>
            <w:bookmarkStart w:id="28" w:name="_Toc31064"/>
            <w:r>
              <w:rPr>
                <w:rFonts w:hint="eastAsia" w:asciiTheme="minorEastAsia" w:hAnsiTheme="minorEastAsia" w:eastAsiaTheme="minorEastAsia" w:cstheme="minorEastAsia"/>
                <w:b/>
                <w:bCs/>
                <w:caps w:val="0"/>
                <w:spacing w:val="0"/>
                <w:sz w:val="20"/>
                <w:szCs w:val="20"/>
                <w:lang w:val="en-US" w:eastAsia="zh-CN"/>
              </w:rPr>
              <w:t>商品名称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lang w:val="en-US" w:eastAsia="zh-CN"/>
              </w:rPr>
              <w:t>出口目的地</w:t>
            </w:r>
          </w:p>
        </w:tc>
        <w:tc>
          <w:tcPr>
            <w:tcW w:w="14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lang w:val="en-US" w:eastAsia="zh-CN"/>
              </w:rPr>
              <w:t>数量（吨）</w:t>
            </w:r>
          </w:p>
        </w:tc>
        <w:tc>
          <w:tcPr>
            <w:tcW w:w="162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lang w:val="en-US" w:eastAsia="zh-CN"/>
              </w:rPr>
              <w:t>出口金额（元）</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澳大利亚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89916.07</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44654630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巴基斯坦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174258.5</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104374200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菲律宾</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218023.4</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130361743</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韩国</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89888.83</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53979577</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马来西亚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8480</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5478080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蒙古</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1888.212</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1145940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缅甸</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4792.778</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3129641</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墨西哥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34486.82</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20073947</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日本</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171826.6</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94885041</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文莱</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36000</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18122400</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新加坡</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601706.7</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345313727</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印度尼西亚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110769</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61783585</w:t>
            </w:r>
          </w:p>
        </w:tc>
      </w:tr>
      <w:tr>
        <w:tblPrEx>
          <w:tblCellMar>
            <w:top w:w="0" w:type="dxa"/>
            <w:left w:w="0" w:type="dxa"/>
            <w:bottom w:w="0" w:type="dxa"/>
            <w:right w:w="0" w:type="dxa"/>
          </w:tblCellMar>
        </w:tblPrEx>
        <w:trPr>
          <w:trHeight w:val="495" w:hRule="atLeast"/>
          <w:jc w:val="center"/>
        </w:trPr>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车用汽油和航空汽油,不含有生物柴油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中国澳门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8788.701</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caps w:val="0"/>
                <w:spacing w:val="0"/>
                <w:sz w:val="20"/>
                <w:szCs w:val="20"/>
              </w:rPr>
            </w:pPr>
            <w:r>
              <w:rPr>
                <w:rFonts w:hint="eastAsia" w:asciiTheme="minorEastAsia" w:hAnsiTheme="minorEastAsia" w:eastAsiaTheme="minorEastAsia" w:cstheme="minorEastAsia"/>
                <w:caps w:val="0"/>
                <w:spacing w:val="0"/>
                <w:sz w:val="20"/>
                <w:szCs w:val="20"/>
                <w:lang w:val="en-US" w:eastAsia="zh-CN"/>
              </w:rPr>
              <w:t>4680000</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r>
        <w:rPr>
          <w:rFonts w:hint="eastAsia" w:ascii="宋体" w:hAnsi="宋体"/>
          <w:b/>
          <w:sz w:val="30"/>
          <w:szCs w:val="30"/>
        </w:rPr>
        <w:t>4.2 20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月份全国柴油出口统计数据</w:t>
      </w:r>
      <w:bookmarkEnd w:id="27"/>
      <w:bookmarkEnd w:id="2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0"/>
        <w:gridCol w:w="1755"/>
        <w:gridCol w:w="1130"/>
        <w:gridCol w:w="1889"/>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18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bookmarkStart w:id="29" w:name="_Toc16942"/>
            <w:r>
              <w:rPr>
                <w:rFonts w:hint="eastAsia" w:asciiTheme="minorEastAsia" w:hAnsiTheme="minorEastAsia" w:eastAsiaTheme="minorEastAsia" w:cstheme="minorEastAsia"/>
                <w:b/>
                <w:i w:val="0"/>
                <w:color w:val="000000"/>
                <w:kern w:val="0"/>
                <w:sz w:val="20"/>
                <w:szCs w:val="20"/>
                <w:u w:val="none"/>
                <w:lang w:val="en-US" w:eastAsia="zh-CN" w:bidi="ar"/>
              </w:rPr>
              <w:t>贸易伙伴名称</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数量（吨）</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所占比率</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spacing w:val="0"/>
                <w:sz w:val="20"/>
                <w:szCs w:val="20"/>
              </w:rPr>
              <w:t>安提瓜和巴布达</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295.27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1028894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caps w:val="0"/>
                <w:color w:val="000000"/>
                <w:spacing w:val="0"/>
                <w:sz w:val="20"/>
                <w:szCs w:val="20"/>
              </w:rPr>
              <w:t>3484.59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澳大利亚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155843.46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526927843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3381.14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巴巴多斯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103.00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368811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巴哈马</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944.31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3424235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3626.18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巴基斯坦</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249.08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873975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巴拿马</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18915.99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63507614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百慕大</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36.80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143471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3898.67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比利时</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112.09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384546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3430.84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伯利兹</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296.87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1065875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3590.40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丹麦</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153.50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524189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德国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501.20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1665068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多哥</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29.35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97358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俄罗斯联邦</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147.20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519120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厄瓜多尔</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38002.31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124120145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法国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1210831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菲律宾</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457128.74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1504624284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3291.47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芬兰</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34763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3476.30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韩国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120054.99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342337694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2851.51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基里巴斯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219.98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789021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喀麦隆</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199.98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679012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3395.40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开曼群岛</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197.10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692311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克罗地亚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24.00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81958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库克群岛</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99.00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353532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3571.03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利比里亚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5872.65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21156301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马耳他</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1513.36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5245550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马来西亚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19946.76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54638640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2739.22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马绍尔群岛</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4460.32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16250105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3643.26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蒙古</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168602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3746.71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孟加拉国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259192.29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15%</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880972106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3398.91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缅甸</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11538.51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41267001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南非</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77.98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276866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3550.47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挪威</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576.30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2030044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帕劳</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161145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葡萄牙</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1041.10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3536234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3396.63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日本</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176.50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682982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3869.59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塞拉利昂</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109.00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426289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3910.91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塞浦路斯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1383.50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4904034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3544.66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沙特阿拉伯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197127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3584.13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圣其茨和尼维斯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96593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3512.47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泰国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39892.98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130354826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3267.61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图瓦卢</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276836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危地马拉</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34640.00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105789381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3053.97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希腊</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437.90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1602921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3660.47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新加坡</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361296.53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1206870791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3340.39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牙买加</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93487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3739.48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印度尼西亚</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65.00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238610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3670.92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英国</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2418.54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8124918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3359.43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越南</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20628.10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56476241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2737.83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中国澳门</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8032.09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21855455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2721.02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中国台湾</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98.70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332558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3369.38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中国香港</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115144.98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7%</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370808548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color w:val="000000"/>
                <w:spacing w:val="0"/>
                <w:sz w:val="20"/>
                <w:szCs w:val="20"/>
              </w:rPr>
              <w:t>3220.36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8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合计</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1682724.79</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100%</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5510288741.00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3274.62</w:t>
            </w:r>
          </w:p>
        </w:tc>
      </w:tr>
    </w:tbl>
    <w:p>
      <w:pPr>
        <w:pStyle w:val="3"/>
        <w:spacing w:before="120" w:after="120" w:line="240" w:lineRule="auto"/>
        <w:rPr>
          <w:rFonts w:hint="eastAsia" w:ascii="宋体" w:hAnsi="宋体"/>
          <w:b/>
          <w:color w:val="auto"/>
          <w:sz w:val="30"/>
          <w:szCs w:val="30"/>
        </w:rPr>
      </w:pPr>
    </w:p>
    <w:p>
      <w:pPr>
        <w:pStyle w:val="3"/>
        <w:spacing w:before="120" w:after="120" w:line="240" w:lineRule="auto"/>
        <w:rPr>
          <w:rFonts w:hint="eastAsia"/>
          <w:bCs/>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5</w:t>
      </w:r>
      <w:r>
        <w:rPr>
          <w:rFonts w:hint="eastAsia" w:ascii="宋体" w:hAnsi="宋体"/>
          <w:b/>
          <w:color w:val="auto"/>
          <w:sz w:val="30"/>
          <w:szCs w:val="30"/>
        </w:rPr>
        <w:t>月份全国原油进出口统计数据</w:t>
      </w:r>
      <w:bookmarkEnd w:id="23"/>
      <w:bookmarkEnd w:id="29"/>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eastAsia="宋体"/>
          <w:bCs/>
          <w:szCs w:val="21"/>
          <w:lang w:eastAsia="zh-CN"/>
        </w:rPr>
      </w:pPr>
    </w:p>
    <w:tbl>
      <w:tblPr>
        <w:tblStyle w:val="24"/>
        <w:tblW w:w="8440" w:type="dxa"/>
        <w:jc w:val="center"/>
        <w:tblLayout w:type="autofit"/>
        <w:tblCellMar>
          <w:top w:w="0" w:type="dxa"/>
          <w:left w:w="0" w:type="dxa"/>
          <w:bottom w:w="0" w:type="dxa"/>
          <w:right w:w="0" w:type="dxa"/>
        </w:tblCellMar>
      </w:tblPr>
      <w:tblGrid>
        <w:gridCol w:w="4220"/>
        <w:gridCol w:w="4220"/>
      </w:tblGrid>
      <w:tr>
        <w:tblPrEx>
          <w:tblCellMar>
            <w:top w:w="0" w:type="dxa"/>
            <w:left w:w="0" w:type="dxa"/>
            <w:bottom w:w="0" w:type="dxa"/>
            <w:right w:w="0" w:type="dxa"/>
          </w:tblCellMar>
        </w:tblPrEx>
        <w:trPr>
          <w:trHeight w:val="402" w:hRule="atLeast"/>
          <w:jc w:val="center"/>
        </w:trPr>
        <w:tc>
          <w:tcPr>
            <w:tcW w:w="4220"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kern w:val="0"/>
                <w:sz w:val="20"/>
                <w:szCs w:val="20"/>
              </w:rPr>
            </w:pPr>
            <w:bookmarkStart w:id="30" w:name="_Toc20776"/>
            <w:bookmarkStart w:id="31" w:name="_Toc18589"/>
            <w:r>
              <w:rPr>
                <w:rFonts w:hint="eastAsia" w:asciiTheme="minorEastAsia" w:hAnsiTheme="minorEastAsia" w:eastAsiaTheme="minorEastAsia" w:cstheme="minorEastAsia"/>
                <w:b/>
                <w:bCs/>
                <w:color w:val="191919"/>
                <w:kern w:val="0"/>
                <w:sz w:val="20"/>
                <w:szCs w:val="20"/>
              </w:rPr>
              <w:t>进口</w:t>
            </w:r>
          </w:p>
        </w:tc>
        <w:tc>
          <w:tcPr>
            <w:tcW w:w="4220"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bCs/>
                <w:color w:val="191919"/>
                <w:kern w:val="0"/>
                <w:sz w:val="20"/>
                <w:szCs w:val="20"/>
              </w:rPr>
              <w:t>出口</w:t>
            </w:r>
          </w:p>
        </w:tc>
      </w:tr>
      <w:tr>
        <w:tblPrEx>
          <w:tblCellMar>
            <w:top w:w="0" w:type="dxa"/>
            <w:left w:w="0" w:type="dxa"/>
            <w:bottom w:w="0" w:type="dxa"/>
            <w:right w:w="0" w:type="dxa"/>
          </w:tblCellMar>
        </w:tblPrEx>
        <w:trPr>
          <w:trHeight w:val="402" w:hRule="atLeast"/>
          <w:jc w:val="center"/>
        </w:trPr>
        <w:tc>
          <w:tcPr>
            <w:tcW w:w="4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当月进口量: 40967831.1(吨)</w:t>
            </w:r>
          </w:p>
        </w:tc>
        <w:tc>
          <w:tcPr>
            <w:tcW w:w="4220" w:type="dxa"/>
            <w:tcBorders>
              <w:top w:val="single" w:color="auto" w:sz="4" w:space="0"/>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当月出口量: / (吨)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累计进口量: 220551939.5(吨)</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累计出口量: / (吨)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当月进口均价:474.0（美元/吨)</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当月出口均价:/美元/吨)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进口量环比：1.51%</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出口量环比：/%</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进口量同比：-14.6%</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出口量同比：/%</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累计进口量比去年同期：2.3%</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累计出口量比去年同期：/%</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r>
        <w:rPr>
          <w:rFonts w:hint="eastAsia" w:asciiTheme="minorEastAsia" w:hAnsiTheme="minorEastAsia" w:eastAsiaTheme="minorEastAsia" w:cstheme="minorEastAsia"/>
          <w:color w:val="auto"/>
          <w:kern w:val="2"/>
          <w:sz w:val="28"/>
          <w:szCs w:val="28"/>
          <w:shd w:val="clear" w:color="auto" w:fill="FFFFFF"/>
          <w:lang w:val="en-US" w:eastAsia="zh-CN" w:bidi="ar-SA"/>
        </w:rPr>
        <w:t>据海关统计，2021年5月我国原油进口量为40967831.1吨，累计进口量为220551939.5吨， 当月进口金额为1941889.4万美元，累计进口金额为9445304.7万美元，当月进口均价为474美元/吨，累计进口均价428.3美元/吨，与上年同期数量相比下降14.6%。</w:t>
      </w:r>
    </w:p>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r>
        <w:rPr>
          <w:rFonts w:hint="eastAsia" w:asciiTheme="minorEastAsia" w:hAnsiTheme="minorEastAsia" w:eastAsiaTheme="minorEastAsia" w:cstheme="minorEastAsia"/>
          <w:color w:val="auto"/>
          <w:kern w:val="2"/>
          <w:sz w:val="28"/>
          <w:szCs w:val="28"/>
          <w:shd w:val="clear" w:color="auto" w:fill="FFFFFF"/>
          <w:lang w:val="en-US" w:eastAsia="zh-CN" w:bidi="ar-SA"/>
        </w:rPr>
        <w:t>2021年5月我国原油出口量暂无数据。</w:t>
      </w: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月份航空煤油进出口统计数据</w:t>
      </w:r>
      <w:bookmarkEnd w:id="30"/>
      <w:bookmarkEnd w:id="31"/>
    </w:p>
    <w:p>
      <w:pPr>
        <w:ind w:firstLine="420" w:firstLineChars="200"/>
        <w:jc w:val="left"/>
        <w:rPr>
          <w:rFonts w:hint="eastAsia" w:ascii="宋体" w:hAnsi="宋体"/>
        </w:rPr>
      </w:pPr>
      <w:r>
        <w:rPr>
          <w:rFonts w:hint="eastAsia" w:ascii="宋体" w:hAnsi="宋体"/>
        </w:rPr>
        <w:t>单位：</w:t>
      </w:r>
      <w:r>
        <w:rPr>
          <w:rFonts w:hint="eastAsia" w:ascii="宋体" w:hAnsi="宋体"/>
          <w:lang w:eastAsia="zh-CN"/>
        </w:rPr>
        <w:t>吨</w:t>
      </w:r>
      <w:r>
        <w:rPr>
          <w:rFonts w:hint="eastAsia" w:ascii="宋体" w:hAnsi="宋体"/>
        </w:rPr>
        <w:t>，美元</w:t>
      </w:r>
    </w:p>
    <w:p>
      <w:pPr>
        <w:ind w:firstLine="420" w:firstLineChars="200"/>
        <w:jc w:val="left"/>
        <w:rPr>
          <w:rFonts w:hint="eastAsia" w:ascii="宋体" w:hAnsi="宋体"/>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191919"/>
                <w:kern w:val="0"/>
                <w:sz w:val="20"/>
                <w:szCs w:val="20"/>
              </w:rPr>
            </w:pPr>
            <w:r>
              <w:rPr>
                <w:rFonts w:hint="eastAsia" w:asciiTheme="minorEastAsia" w:hAnsiTheme="minorEastAsia" w:eastAsiaTheme="minorEastAsia" w:cstheme="minorEastAsia"/>
                <w:b/>
                <w:bCs w:val="0"/>
                <w:color w:val="191919"/>
                <w:kern w:val="0"/>
                <w:sz w:val="20"/>
                <w:szCs w:val="20"/>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191919"/>
                <w:kern w:val="0"/>
                <w:sz w:val="20"/>
                <w:szCs w:val="20"/>
              </w:rPr>
            </w:pPr>
            <w:r>
              <w:rPr>
                <w:rFonts w:hint="eastAsia" w:asciiTheme="minorEastAsia" w:hAnsiTheme="minorEastAsia" w:eastAsiaTheme="minorEastAsia" w:cstheme="minorEastAsia"/>
                <w:b/>
                <w:bCs w:val="0"/>
                <w:color w:val="191919"/>
                <w:kern w:val="0"/>
                <w:sz w:val="20"/>
                <w:szCs w:val="20"/>
              </w:rPr>
              <w:t>出口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当月进口量:192110.043（吨）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当月出口量:565119.927（吨）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累计进口量:693402.37（吨）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累计出口量:2814015.149（吨）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当月进口均价:3642.57（元/吨）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当月出口均价: 3509.99（元/吨）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累计进口均价：3302.65（元/吨）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累计出口均价:3090.55（元/吨）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进口量环比：50.89%</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出口量环比：-14.13%</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进口量同比：-57.39%</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出口量同比：-62.20%</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累计进口量比去年同期：-41.65%</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lang w:val="en-US" w:eastAsia="zh-CN"/>
              </w:rPr>
            </w:pPr>
            <w:r>
              <w:rPr>
                <w:rFonts w:hint="eastAsia" w:asciiTheme="minorEastAsia" w:hAnsiTheme="minorEastAsia" w:eastAsiaTheme="minorEastAsia" w:cstheme="minorEastAsia"/>
                <w:bCs/>
                <w:color w:val="191919"/>
                <w:kern w:val="0"/>
                <w:sz w:val="20"/>
                <w:szCs w:val="20"/>
              </w:rPr>
              <w:t>累计出口量比去年同期：-59.82%</w:t>
            </w:r>
          </w:p>
        </w:tc>
      </w:tr>
    </w:tbl>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EC30D3"/>
    <w:rsid w:val="03FD7568"/>
    <w:rsid w:val="04063827"/>
    <w:rsid w:val="040707FC"/>
    <w:rsid w:val="0418413B"/>
    <w:rsid w:val="04242AEB"/>
    <w:rsid w:val="042972F1"/>
    <w:rsid w:val="042B4FB5"/>
    <w:rsid w:val="04331F6D"/>
    <w:rsid w:val="044D6C9D"/>
    <w:rsid w:val="044E5434"/>
    <w:rsid w:val="045E1E00"/>
    <w:rsid w:val="04684ED7"/>
    <w:rsid w:val="047A62BA"/>
    <w:rsid w:val="048101D3"/>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25B7F"/>
    <w:rsid w:val="05993019"/>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E0028A"/>
    <w:rsid w:val="09E31010"/>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51C4F"/>
    <w:rsid w:val="0AA33DAF"/>
    <w:rsid w:val="0AB608CB"/>
    <w:rsid w:val="0AC60296"/>
    <w:rsid w:val="0AD32487"/>
    <w:rsid w:val="0AD50553"/>
    <w:rsid w:val="0ADB26A0"/>
    <w:rsid w:val="0AE31AD5"/>
    <w:rsid w:val="0B017D09"/>
    <w:rsid w:val="0B0715B1"/>
    <w:rsid w:val="0B0F0B26"/>
    <w:rsid w:val="0B2647B0"/>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E0441"/>
    <w:rsid w:val="0C586B50"/>
    <w:rsid w:val="0C586E44"/>
    <w:rsid w:val="0C7F402D"/>
    <w:rsid w:val="0C822A19"/>
    <w:rsid w:val="0C930A24"/>
    <w:rsid w:val="0C9F5640"/>
    <w:rsid w:val="0CAA3B04"/>
    <w:rsid w:val="0CB81916"/>
    <w:rsid w:val="0CD123E3"/>
    <w:rsid w:val="0CE32FB8"/>
    <w:rsid w:val="0CE44838"/>
    <w:rsid w:val="0CEA48B8"/>
    <w:rsid w:val="0D206C21"/>
    <w:rsid w:val="0D731CA1"/>
    <w:rsid w:val="0D735A75"/>
    <w:rsid w:val="0D775B07"/>
    <w:rsid w:val="0D79688B"/>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A277F2"/>
    <w:rsid w:val="10BA0A0E"/>
    <w:rsid w:val="10CE39DE"/>
    <w:rsid w:val="10D36AEF"/>
    <w:rsid w:val="10FA6B68"/>
    <w:rsid w:val="10FF5E5F"/>
    <w:rsid w:val="11153BAA"/>
    <w:rsid w:val="11190B98"/>
    <w:rsid w:val="11230D2F"/>
    <w:rsid w:val="11247901"/>
    <w:rsid w:val="11365062"/>
    <w:rsid w:val="11422692"/>
    <w:rsid w:val="11590029"/>
    <w:rsid w:val="115A59A8"/>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E22DF"/>
    <w:rsid w:val="172078E9"/>
    <w:rsid w:val="172D12A6"/>
    <w:rsid w:val="17315AA4"/>
    <w:rsid w:val="17350283"/>
    <w:rsid w:val="173C1948"/>
    <w:rsid w:val="173F54B5"/>
    <w:rsid w:val="17464B66"/>
    <w:rsid w:val="175B5D81"/>
    <w:rsid w:val="17652D76"/>
    <w:rsid w:val="177742FF"/>
    <w:rsid w:val="177778D5"/>
    <w:rsid w:val="177C4324"/>
    <w:rsid w:val="17994872"/>
    <w:rsid w:val="179E41EC"/>
    <w:rsid w:val="17A21D4F"/>
    <w:rsid w:val="17BD7A6D"/>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D6973"/>
    <w:rsid w:val="1BC65495"/>
    <w:rsid w:val="1BE24098"/>
    <w:rsid w:val="1BE81B85"/>
    <w:rsid w:val="1BF27AE1"/>
    <w:rsid w:val="1BFE2971"/>
    <w:rsid w:val="1C01336C"/>
    <w:rsid w:val="1C021382"/>
    <w:rsid w:val="1C081DD0"/>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EA7590"/>
    <w:rsid w:val="20F502DE"/>
    <w:rsid w:val="210C5D7F"/>
    <w:rsid w:val="211001E9"/>
    <w:rsid w:val="21147D43"/>
    <w:rsid w:val="2119067D"/>
    <w:rsid w:val="211F5020"/>
    <w:rsid w:val="21216F1B"/>
    <w:rsid w:val="2123407B"/>
    <w:rsid w:val="21320B64"/>
    <w:rsid w:val="21370E12"/>
    <w:rsid w:val="21432F9F"/>
    <w:rsid w:val="214F55E4"/>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F86BA3"/>
    <w:rsid w:val="250D3E66"/>
    <w:rsid w:val="252754C5"/>
    <w:rsid w:val="252D0E2C"/>
    <w:rsid w:val="252D3F69"/>
    <w:rsid w:val="253C0FBD"/>
    <w:rsid w:val="2547370A"/>
    <w:rsid w:val="25585795"/>
    <w:rsid w:val="25740BBD"/>
    <w:rsid w:val="25821561"/>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1447E7"/>
    <w:rsid w:val="26162D47"/>
    <w:rsid w:val="26313BB1"/>
    <w:rsid w:val="26417898"/>
    <w:rsid w:val="26442276"/>
    <w:rsid w:val="26444B63"/>
    <w:rsid w:val="264D7096"/>
    <w:rsid w:val="26552532"/>
    <w:rsid w:val="26671EE8"/>
    <w:rsid w:val="2692422E"/>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8475EE"/>
    <w:rsid w:val="2A951C8C"/>
    <w:rsid w:val="2A953E86"/>
    <w:rsid w:val="2A9B26F1"/>
    <w:rsid w:val="2AA81E53"/>
    <w:rsid w:val="2AA82B74"/>
    <w:rsid w:val="2AAB3B9C"/>
    <w:rsid w:val="2AB25451"/>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BA507F"/>
    <w:rsid w:val="33D354DF"/>
    <w:rsid w:val="33DD1D83"/>
    <w:rsid w:val="33DF6F7A"/>
    <w:rsid w:val="33E42EF1"/>
    <w:rsid w:val="33FC5F9C"/>
    <w:rsid w:val="34005D95"/>
    <w:rsid w:val="340370F4"/>
    <w:rsid w:val="34173060"/>
    <w:rsid w:val="342451AA"/>
    <w:rsid w:val="3425323C"/>
    <w:rsid w:val="34262A2B"/>
    <w:rsid w:val="342E5EA7"/>
    <w:rsid w:val="343E0BAC"/>
    <w:rsid w:val="34474FF1"/>
    <w:rsid w:val="344961AE"/>
    <w:rsid w:val="344B3651"/>
    <w:rsid w:val="34555269"/>
    <w:rsid w:val="346B6657"/>
    <w:rsid w:val="34827541"/>
    <w:rsid w:val="348D5209"/>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C30240"/>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21B83"/>
    <w:rsid w:val="3D8D1DDC"/>
    <w:rsid w:val="3D995C7E"/>
    <w:rsid w:val="3DA61EAB"/>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EC1C8D"/>
    <w:rsid w:val="3EF15A07"/>
    <w:rsid w:val="3EFC4AE4"/>
    <w:rsid w:val="3F0C0C5D"/>
    <w:rsid w:val="3F152EE5"/>
    <w:rsid w:val="3F1C492B"/>
    <w:rsid w:val="3F310E2B"/>
    <w:rsid w:val="3F3E5B85"/>
    <w:rsid w:val="3F4D19AF"/>
    <w:rsid w:val="3F691A99"/>
    <w:rsid w:val="3F837DDF"/>
    <w:rsid w:val="3F8B7DD4"/>
    <w:rsid w:val="3F901403"/>
    <w:rsid w:val="3FA21405"/>
    <w:rsid w:val="3FA96E5D"/>
    <w:rsid w:val="3FC04528"/>
    <w:rsid w:val="3FCB012B"/>
    <w:rsid w:val="3FD00447"/>
    <w:rsid w:val="3FD27B2E"/>
    <w:rsid w:val="3FE71238"/>
    <w:rsid w:val="3FEE1DE8"/>
    <w:rsid w:val="3FFE5EFF"/>
    <w:rsid w:val="40171145"/>
    <w:rsid w:val="402104DC"/>
    <w:rsid w:val="402D3537"/>
    <w:rsid w:val="403075F2"/>
    <w:rsid w:val="40395203"/>
    <w:rsid w:val="40480E8F"/>
    <w:rsid w:val="404D32CE"/>
    <w:rsid w:val="40662C29"/>
    <w:rsid w:val="40742438"/>
    <w:rsid w:val="40791098"/>
    <w:rsid w:val="40932E75"/>
    <w:rsid w:val="409865C2"/>
    <w:rsid w:val="40A70377"/>
    <w:rsid w:val="40BC5D67"/>
    <w:rsid w:val="40CA2A6E"/>
    <w:rsid w:val="40CC7CA3"/>
    <w:rsid w:val="40D775A2"/>
    <w:rsid w:val="40DC23A0"/>
    <w:rsid w:val="40EE33BE"/>
    <w:rsid w:val="40F61783"/>
    <w:rsid w:val="4100601D"/>
    <w:rsid w:val="410D75D5"/>
    <w:rsid w:val="411A76EB"/>
    <w:rsid w:val="411E3000"/>
    <w:rsid w:val="41402C24"/>
    <w:rsid w:val="414E7345"/>
    <w:rsid w:val="41546D3E"/>
    <w:rsid w:val="41591FEE"/>
    <w:rsid w:val="41696F7F"/>
    <w:rsid w:val="416A086A"/>
    <w:rsid w:val="417240B9"/>
    <w:rsid w:val="417C0D06"/>
    <w:rsid w:val="417C577C"/>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7341"/>
    <w:rsid w:val="42E637C3"/>
    <w:rsid w:val="42E90A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6D2D59"/>
    <w:rsid w:val="43705840"/>
    <w:rsid w:val="437E6752"/>
    <w:rsid w:val="43803823"/>
    <w:rsid w:val="43885FA8"/>
    <w:rsid w:val="438D2FF7"/>
    <w:rsid w:val="43972914"/>
    <w:rsid w:val="43AF6845"/>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C0EF3"/>
    <w:rsid w:val="45CF5AD4"/>
    <w:rsid w:val="45D61E17"/>
    <w:rsid w:val="45DD06D9"/>
    <w:rsid w:val="460D21F2"/>
    <w:rsid w:val="460E0469"/>
    <w:rsid w:val="460E0A15"/>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1E0B19"/>
    <w:rsid w:val="482B26B0"/>
    <w:rsid w:val="483A31DC"/>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06B41"/>
    <w:rsid w:val="4A524812"/>
    <w:rsid w:val="4A526073"/>
    <w:rsid w:val="4A56215E"/>
    <w:rsid w:val="4A5D4A40"/>
    <w:rsid w:val="4A63534F"/>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D0A349B"/>
    <w:rsid w:val="4D0D2E78"/>
    <w:rsid w:val="4D0F04ED"/>
    <w:rsid w:val="4D164C7E"/>
    <w:rsid w:val="4D283FC5"/>
    <w:rsid w:val="4D384A7C"/>
    <w:rsid w:val="4D3A0411"/>
    <w:rsid w:val="4D413BC0"/>
    <w:rsid w:val="4D427C91"/>
    <w:rsid w:val="4D7706F2"/>
    <w:rsid w:val="4D845711"/>
    <w:rsid w:val="4D8A02B7"/>
    <w:rsid w:val="4DB66082"/>
    <w:rsid w:val="4DBE12C2"/>
    <w:rsid w:val="4DCE6ED3"/>
    <w:rsid w:val="4DD41DFF"/>
    <w:rsid w:val="4DEF3575"/>
    <w:rsid w:val="4DF46CF3"/>
    <w:rsid w:val="4E095444"/>
    <w:rsid w:val="4E0E40E2"/>
    <w:rsid w:val="4E333BBB"/>
    <w:rsid w:val="4E4E04E5"/>
    <w:rsid w:val="4E665F7B"/>
    <w:rsid w:val="4E6A06E9"/>
    <w:rsid w:val="4E715DB2"/>
    <w:rsid w:val="4E776B87"/>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A84489"/>
    <w:rsid w:val="52B118DE"/>
    <w:rsid w:val="52B80D5E"/>
    <w:rsid w:val="52BF77E0"/>
    <w:rsid w:val="52C52078"/>
    <w:rsid w:val="52CB6EC0"/>
    <w:rsid w:val="52D061DA"/>
    <w:rsid w:val="52D211F8"/>
    <w:rsid w:val="52E6495A"/>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E5258C"/>
    <w:rsid w:val="54F52367"/>
    <w:rsid w:val="550A393D"/>
    <w:rsid w:val="5525121F"/>
    <w:rsid w:val="555900AE"/>
    <w:rsid w:val="555B6E77"/>
    <w:rsid w:val="555E09D9"/>
    <w:rsid w:val="555E54FB"/>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057FD1"/>
    <w:rsid w:val="5A143012"/>
    <w:rsid w:val="5A261D0E"/>
    <w:rsid w:val="5A2907FC"/>
    <w:rsid w:val="5A2E6A84"/>
    <w:rsid w:val="5A3B0F06"/>
    <w:rsid w:val="5A412A61"/>
    <w:rsid w:val="5A4752E2"/>
    <w:rsid w:val="5A527BDD"/>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927D0"/>
    <w:rsid w:val="5CDA6371"/>
    <w:rsid w:val="5CF30224"/>
    <w:rsid w:val="5CFC64A7"/>
    <w:rsid w:val="5D033124"/>
    <w:rsid w:val="5D1516BF"/>
    <w:rsid w:val="5D1569ED"/>
    <w:rsid w:val="5D1A5C10"/>
    <w:rsid w:val="5D1B2A4F"/>
    <w:rsid w:val="5D1B50AE"/>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123553"/>
    <w:rsid w:val="5E186B89"/>
    <w:rsid w:val="5E2D7C7A"/>
    <w:rsid w:val="5E4E3F80"/>
    <w:rsid w:val="5E5F4BD4"/>
    <w:rsid w:val="5E852B0D"/>
    <w:rsid w:val="5E8A7777"/>
    <w:rsid w:val="5E932264"/>
    <w:rsid w:val="5EA1268E"/>
    <w:rsid w:val="5EB029CD"/>
    <w:rsid w:val="5ED20F44"/>
    <w:rsid w:val="5EE7073E"/>
    <w:rsid w:val="5EEC61AE"/>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60046C0F"/>
    <w:rsid w:val="600E4F7F"/>
    <w:rsid w:val="60131685"/>
    <w:rsid w:val="601327BB"/>
    <w:rsid w:val="60245068"/>
    <w:rsid w:val="60255BE3"/>
    <w:rsid w:val="602717FC"/>
    <w:rsid w:val="602A62F8"/>
    <w:rsid w:val="602C01A9"/>
    <w:rsid w:val="60351EE3"/>
    <w:rsid w:val="603B1B21"/>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E0294"/>
    <w:rsid w:val="61375BEC"/>
    <w:rsid w:val="614A2305"/>
    <w:rsid w:val="614E4437"/>
    <w:rsid w:val="615F1F60"/>
    <w:rsid w:val="6182631E"/>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DDD"/>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A4092"/>
    <w:rsid w:val="70FC3C7A"/>
    <w:rsid w:val="71075B1A"/>
    <w:rsid w:val="710E7F44"/>
    <w:rsid w:val="71193089"/>
    <w:rsid w:val="71211292"/>
    <w:rsid w:val="71243B68"/>
    <w:rsid w:val="712776C4"/>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38029A"/>
    <w:rsid w:val="763929C4"/>
    <w:rsid w:val="764F131A"/>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25DC3"/>
    <w:rsid w:val="772354E1"/>
    <w:rsid w:val="77276E30"/>
    <w:rsid w:val="772C68C6"/>
    <w:rsid w:val="773E0DC5"/>
    <w:rsid w:val="77594BC8"/>
    <w:rsid w:val="77652DD1"/>
    <w:rsid w:val="776C53FF"/>
    <w:rsid w:val="776E3681"/>
    <w:rsid w:val="777E5705"/>
    <w:rsid w:val="7781654E"/>
    <w:rsid w:val="77881C4F"/>
    <w:rsid w:val="779231D8"/>
    <w:rsid w:val="77A618BC"/>
    <w:rsid w:val="77AD55DB"/>
    <w:rsid w:val="77B92312"/>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25</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2021-07-15T08:36:56Z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