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r>
        <w:rPr>
          <w:rFonts w:ascii="宋体" w:hAnsi="宋体"/>
          <w:sz w:val="72"/>
          <w:szCs w:val="72"/>
        </w:rPr>
        <w:drawing>
          <wp:anchor distT="0" distB="0" distL="114300" distR="114300" simplePos="0" relativeHeight="251659264" behindDoc="1" locked="0" layoutInCell="1" allowOverlap="1">
            <wp:simplePos x="0" y="0"/>
            <wp:positionH relativeFrom="column">
              <wp:posOffset>-982345</wp:posOffset>
            </wp:positionH>
            <wp:positionV relativeFrom="paragraph">
              <wp:posOffset>-919480</wp:posOffset>
            </wp:positionV>
            <wp:extent cx="7842250" cy="11095990"/>
            <wp:effectExtent l="0" t="0" r="6350" b="10160"/>
            <wp:wrapNone/>
            <wp:docPr id="48"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封面.jpg"/>
                    <pic:cNvPicPr>
                      <a:picLocks noChangeAspect="1" noChangeArrowheads="1"/>
                    </pic:cNvPicPr>
                  </pic:nvPicPr>
                  <pic:blipFill>
                    <a:blip r:embed="rId7"/>
                    <a:srcRect/>
                    <a:stretch>
                      <a:fillRect/>
                    </a:stretch>
                  </pic:blipFill>
                  <pic:spPr>
                    <a:xfrm>
                      <a:off x="0" y="0"/>
                      <a:ext cx="7842250" cy="11095990"/>
                    </a:xfrm>
                    <a:prstGeom prst="rect">
                      <a:avLst/>
                    </a:prstGeom>
                    <a:noFill/>
                    <a:ln w="9525">
                      <a:noFill/>
                      <a:miter lim="800000"/>
                      <a:headEnd/>
                      <a:tailEnd/>
                    </a:ln>
                  </pic:spPr>
                </pic:pic>
              </a:graphicData>
            </a:graphic>
          </wp:anchor>
        </w:drawing>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1514475</wp:posOffset>
                </wp:positionH>
                <wp:positionV relativeFrom="paragraph">
                  <wp:posOffset>95250</wp:posOffset>
                </wp:positionV>
                <wp:extent cx="3093085" cy="754380"/>
                <wp:effectExtent l="0" t="0" r="0" b="0"/>
                <wp:wrapNone/>
                <wp:docPr id="2" name="文本框 60"/>
                <wp:cNvGraphicFramePr/>
                <a:graphic xmlns:a="http://schemas.openxmlformats.org/drawingml/2006/main">
                  <a:graphicData uri="http://schemas.microsoft.com/office/word/2010/wordprocessingShape">
                    <wps:wsp>
                      <wps:cNvSpPr txBox="1"/>
                      <wps:spPr>
                        <a:xfrm>
                          <a:off x="0" y="0"/>
                          <a:ext cx="3093085" cy="754380"/>
                        </a:xfrm>
                        <a:prstGeom prst="rect">
                          <a:avLst/>
                        </a:prstGeom>
                        <a:noFill/>
                        <a:ln>
                          <a:noFill/>
                        </a:ln>
                      </wps:spPr>
                      <wps:txbx>
                        <w:txbxContent>
                          <w:p>
                            <w:pPr>
                              <w:pStyle w:val="2"/>
                              <w:jc w:val="center"/>
                              <w:rPr>
                                <w:b/>
                                <w:kern w:val="2"/>
                              </w:rPr>
                            </w:pPr>
                            <w:r>
                              <w:rPr>
                                <w:rFonts w:hint="eastAsia"/>
                                <w:b/>
                                <w:kern w:val="2"/>
                                <w:lang w:eastAsia="zh-CN"/>
                              </w:rPr>
                              <w:t>中</w:t>
                            </w:r>
                            <w:r>
                              <w:rPr>
                                <w:rFonts w:hint="eastAsia"/>
                                <w:b/>
                                <w:kern w:val="2"/>
                                <w:lang w:val="en-US" w:eastAsia="zh-CN"/>
                              </w:rPr>
                              <w:t xml:space="preserve">  </w:t>
                            </w:r>
                            <w:r>
                              <w:rPr>
                                <w:rFonts w:hint="eastAsia"/>
                                <w:b/>
                                <w:kern w:val="2"/>
                                <w:lang w:eastAsia="zh-CN"/>
                              </w:rPr>
                              <w:t>商</w:t>
                            </w:r>
                            <w:r>
                              <w:rPr>
                                <w:rFonts w:hint="eastAsia"/>
                                <w:b/>
                                <w:kern w:val="2"/>
                                <w:lang w:val="en-US" w:eastAsia="zh-CN"/>
                              </w:rPr>
                              <w:t xml:space="preserve">  </w:t>
                            </w:r>
                            <w:r>
                              <w:rPr>
                                <w:rFonts w:hint="eastAsia"/>
                                <w:b/>
                                <w:kern w:val="2"/>
                                <w:lang w:eastAsia="zh-CN"/>
                              </w:rPr>
                              <w:t>网</w:t>
                            </w:r>
                            <w:r>
                              <w:rPr>
                                <w:rFonts w:hint="eastAsia"/>
                                <w:b/>
                                <w:kern w:val="2"/>
                                <w:lang w:val="en-US" w:eastAsia="zh-CN"/>
                              </w:rPr>
                              <w:t xml:space="preserve">  </w:t>
                            </w:r>
                            <w:r>
                              <w:rPr>
                                <w:rFonts w:hint="eastAsia"/>
                                <w:b/>
                                <w:kern w:val="2"/>
                              </w:rPr>
                              <w:t>油  品  周  报</w:t>
                            </w:r>
                          </w:p>
                          <w:p/>
                          <w:p/>
                        </w:txbxContent>
                      </wps:txbx>
                      <wps:bodyPr upright="1"/>
                    </wps:wsp>
                  </a:graphicData>
                </a:graphic>
              </wp:anchor>
            </w:drawing>
          </mc:Choice>
          <mc:Fallback>
            <w:pict>
              <v:shape id="文本框 60" o:spid="_x0000_s1026" o:spt="202" type="#_x0000_t202" style="position:absolute;left:0pt;margin-left:119.25pt;margin-top:7.5pt;height:59.4pt;width:243.55pt;z-index:251660288;mso-width-relative:page;mso-height-relative:page;" filled="f" stroked="f" coordsize="21600,21600" o:gfxdata="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FPXFr3XAAAACgEAAA8AAAAAAAAAAQAgAAAAIgAAAGRycy9k&#10;b3ducmV2LnhtbFBLAQIUABQAAAAIAIdO4kB5PeIVkQEAAAEDAAAOAAAAAAAAAAEAIAAAACYBAABk&#10;cnMvZTJvRG9jLnhtbFBLBQYAAAAABgAGAFkBAAApBQAAAAA=&#10;">
                <v:fill on="f" focussize="0,0"/>
                <v:stroke on="f"/>
                <v:imagedata o:title=""/>
                <o:lock v:ext="edit" aspectratio="f"/>
                <v:textbox>
                  <w:txbxContent>
                    <w:p>
                      <w:pPr>
                        <w:pStyle w:val="2"/>
                        <w:jc w:val="center"/>
                        <w:rPr>
                          <w:b/>
                          <w:kern w:val="2"/>
                        </w:rPr>
                      </w:pPr>
                      <w:r>
                        <w:rPr>
                          <w:rFonts w:hint="eastAsia"/>
                          <w:b/>
                          <w:kern w:val="2"/>
                          <w:lang w:eastAsia="zh-CN"/>
                        </w:rPr>
                        <w:t>中</w:t>
                      </w:r>
                      <w:r>
                        <w:rPr>
                          <w:rFonts w:hint="eastAsia"/>
                          <w:b/>
                          <w:kern w:val="2"/>
                          <w:lang w:val="en-US" w:eastAsia="zh-CN"/>
                        </w:rPr>
                        <w:t xml:space="preserve">  </w:t>
                      </w:r>
                      <w:r>
                        <w:rPr>
                          <w:rFonts w:hint="eastAsia"/>
                          <w:b/>
                          <w:kern w:val="2"/>
                          <w:lang w:eastAsia="zh-CN"/>
                        </w:rPr>
                        <w:t>商</w:t>
                      </w:r>
                      <w:r>
                        <w:rPr>
                          <w:rFonts w:hint="eastAsia"/>
                          <w:b/>
                          <w:kern w:val="2"/>
                          <w:lang w:val="en-US" w:eastAsia="zh-CN"/>
                        </w:rPr>
                        <w:t xml:space="preserve">  </w:t>
                      </w:r>
                      <w:r>
                        <w:rPr>
                          <w:rFonts w:hint="eastAsia"/>
                          <w:b/>
                          <w:kern w:val="2"/>
                          <w:lang w:eastAsia="zh-CN"/>
                        </w:rPr>
                        <w:t>网</w:t>
                      </w:r>
                      <w:r>
                        <w:rPr>
                          <w:rFonts w:hint="eastAsia"/>
                          <w:b/>
                          <w:kern w:val="2"/>
                          <w:lang w:val="en-US" w:eastAsia="zh-CN"/>
                        </w:rPr>
                        <w:t xml:space="preserve">  </w:t>
                      </w:r>
                      <w:r>
                        <w:rPr>
                          <w:rFonts w:hint="eastAsia"/>
                          <w:b/>
                          <w:kern w:val="2"/>
                        </w:rPr>
                        <w:t>油  品  周  报</w:t>
                      </w:r>
                    </w:p>
                    <w:p/>
                    <w:p/>
                  </w:txbxContent>
                </v:textbox>
              </v:shape>
            </w:pict>
          </mc:Fallback>
        </mc:AlternateContent>
      </w:r>
    </w:p>
    <w:p>
      <w:pPr>
        <w:rPr>
          <w:rFonts w:ascii="宋体" w:hAnsi="宋体"/>
        </w:rPr>
      </w:pPr>
    </w:p>
    <w:p>
      <w:pPr>
        <w:rPr>
          <w:rFonts w:ascii="宋体" w:hAnsi="宋体"/>
        </w:rPr>
      </w:pPr>
    </w:p>
    <w:p>
      <w:pPr>
        <w:rPr>
          <w:rFonts w:ascii="宋体" w:hAnsi="宋体"/>
        </w:rPr>
      </w:pPr>
    </w:p>
    <w:p>
      <w:pPr>
        <w:jc w:val="center"/>
        <w:rPr>
          <w:rFonts w:hint="default" w:ascii="宋体" w:hAnsi="宋体" w:eastAsia="宋体"/>
          <w:lang w:val="en-US" w:eastAsia="zh-CN"/>
        </w:rPr>
      </w:pPr>
      <w:r>
        <w:rPr>
          <w:rFonts w:hint="eastAsia" w:ascii="宋体" w:hAnsi="宋体"/>
          <w:b/>
          <w:sz w:val="30"/>
          <w:szCs w:val="30"/>
        </w:rPr>
        <w:t>20</w:t>
      </w:r>
      <w:r>
        <w:rPr>
          <w:rFonts w:hint="eastAsia" w:ascii="宋体" w:hAnsi="宋体"/>
          <w:b/>
          <w:sz w:val="30"/>
          <w:szCs w:val="30"/>
          <w:lang w:val="en-US" w:eastAsia="zh-CN"/>
        </w:rPr>
        <w:t>21</w:t>
      </w:r>
      <w:r>
        <w:rPr>
          <w:rFonts w:hint="eastAsia" w:ascii="宋体" w:hAnsi="宋体"/>
          <w:b/>
          <w:sz w:val="30"/>
          <w:szCs w:val="30"/>
        </w:rPr>
        <w:t>.</w:t>
      </w:r>
      <w:r>
        <w:rPr>
          <w:rFonts w:hint="eastAsia" w:ascii="宋体" w:hAnsi="宋体"/>
          <w:b/>
          <w:sz w:val="30"/>
          <w:szCs w:val="30"/>
          <w:lang w:val="en-US" w:eastAsia="zh-CN"/>
        </w:rPr>
        <w:t>7.15</w:t>
      </w:r>
    </w:p>
    <w:p>
      <w:pPr>
        <w:rPr>
          <w:rFonts w:ascii="宋体" w:hAnsi="宋体"/>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99060</wp:posOffset>
                </wp:positionV>
                <wp:extent cx="5322570" cy="1127760"/>
                <wp:effectExtent l="0" t="0" r="0" b="0"/>
                <wp:wrapNone/>
                <wp:docPr id="3" name="文本框 51"/>
                <wp:cNvGraphicFramePr/>
                <a:graphic xmlns:a="http://schemas.openxmlformats.org/drawingml/2006/main">
                  <a:graphicData uri="http://schemas.microsoft.com/office/word/2010/wordprocessingShape">
                    <wps:wsp>
                      <wps:cNvSpPr txBox="1"/>
                      <wps:spPr>
                        <a:xfrm>
                          <a:off x="0" y="0"/>
                          <a:ext cx="5322570" cy="1127760"/>
                        </a:xfrm>
                        <a:prstGeom prst="rect">
                          <a:avLst/>
                        </a:prstGeom>
                        <a:noFill/>
                        <a:ln>
                          <a:noFill/>
                        </a:ln>
                      </wps:spPr>
                      <wps:txb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wps:txbx>
                      <wps:bodyPr upright="1"/>
                    </wps:wsp>
                  </a:graphicData>
                </a:graphic>
              </wp:anchor>
            </w:drawing>
          </mc:Choice>
          <mc:Fallback>
            <w:pict>
              <v:shape id="文本框 51" o:spid="_x0000_s1026" o:spt="202" type="#_x0000_t202" style="position:absolute;left:0pt;margin-left:-9pt;margin-top:7.8pt;height:88.8pt;width:419.1pt;z-index:251660288;mso-width-relative:page;mso-height-relative:page;" filled="f" stroked="f" coordsize="21600,21600" o:gfxdata="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CbeaHXAAAACgEAAA8AAAAAAAAAAQAgAAAAIgAAAGRy&#10;cy9kb3ducmV2LnhtbFBLAQIUABQAAAAIAIdO4kCaYPF/lAEAAAIDAAAOAAAAAAAAAAEAIAAAACYB&#10;AABkcnMvZTJvRG9jLnhtbFBLBQYAAAAABgAGAFkBAAAsBQAAAAA=&#10;">
                <v:fill on="f" focussize="0,0"/>
                <v:stroke on="f"/>
                <v:imagedata o:title=""/>
                <o:lock v:ext="edit" aspectratio="f"/>
                <v:textbo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v:textbox>
              </v:shape>
            </w:pict>
          </mc:Fallback>
        </mc:AlternateConten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hint="eastAsia" w:ascii="宋体" w:hAnsi="宋体"/>
          <w:b/>
          <w:sz w:val="32"/>
          <w:szCs w:val="32"/>
        </w:rPr>
      </w:pPr>
    </w:p>
    <w:p>
      <w:pPr>
        <w:jc w:val="center"/>
        <w:rPr>
          <w:rFonts w:ascii="宋体" w:hAnsi="宋体"/>
          <w:b/>
          <w:sz w:val="32"/>
          <w:szCs w:val="32"/>
        </w:rPr>
      </w:pPr>
      <w:r>
        <w:rPr>
          <w:rFonts w:hint="eastAsia" w:ascii="宋体" w:hAnsi="宋体"/>
          <w:b/>
          <w:sz w:val="32"/>
          <w:szCs w:val="32"/>
        </w:rPr>
        <w:t>目 录</w:t>
      </w:r>
    </w:p>
    <w:p>
      <w:pPr>
        <w:pStyle w:val="16"/>
        <w:tabs>
          <w:tab w:val="right" w:leader="dot" w:pos="9638"/>
          <w:tab w:val="clear" w:pos="9170"/>
        </w:tabs>
      </w:pPr>
      <w:r>
        <w:rPr>
          <w:rFonts w:hint="eastAsia" w:ascii="宋体" w:hAnsi="宋体" w:eastAsia="宋体" w:cs="宋体"/>
          <w:color w:val="000000"/>
          <w:sz w:val="24"/>
          <w:szCs w:val="21"/>
        </w:rPr>
        <w:fldChar w:fldCharType="begin"/>
      </w:r>
      <w:r>
        <w:rPr>
          <w:rFonts w:hint="eastAsia" w:ascii="宋体" w:hAnsi="宋体" w:eastAsia="宋体" w:cs="宋体"/>
          <w:color w:val="000000"/>
          <w:sz w:val="24"/>
          <w:szCs w:val="21"/>
        </w:rPr>
        <w:instrText xml:space="preserve"> TOC \o "1-3" \h \z </w:instrText>
      </w:r>
      <w:r>
        <w:rPr>
          <w:rFonts w:hint="eastAsia" w:ascii="宋体" w:hAnsi="宋体" w:eastAsia="宋体" w:cs="宋体"/>
          <w:color w:val="000000"/>
          <w:sz w:val="24"/>
          <w:szCs w:val="21"/>
        </w:rPr>
        <w:fldChar w:fldCharType="separate"/>
      </w: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_Toc32272 </w:instrText>
      </w:r>
      <w:r>
        <w:rPr>
          <w:rFonts w:hint="eastAsia" w:ascii="宋体" w:hAnsi="宋体" w:eastAsia="宋体" w:cs="宋体"/>
          <w:szCs w:val="21"/>
        </w:rPr>
        <w:fldChar w:fldCharType="separate"/>
      </w:r>
      <w:r>
        <w:rPr>
          <w:rFonts w:hint="eastAsia" w:asciiTheme="minorEastAsia" w:hAnsiTheme="minorEastAsia" w:eastAsiaTheme="minorEastAsia" w:cstheme="minorEastAsia"/>
          <w:bCs/>
          <w:kern w:val="0"/>
          <w:szCs w:val="30"/>
        </w:rPr>
        <w:t xml:space="preserve">一、 </w:t>
      </w:r>
      <w:r>
        <w:rPr>
          <w:rFonts w:hint="eastAsia"/>
        </w:rPr>
        <w:t>国际原油市场回顾 </w:t>
      </w:r>
      <w:r>
        <w:tab/>
      </w:r>
      <w:r>
        <w:fldChar w:fldCharType="begin"/>
      </w:r>
      <w:r>
        <w:instrText xml:space="preserve"> PAGEREF _Toc32272 </w:instrText>
      </w:r>
      <w:r>
        <w:fldChar w:fldCharType="separate"/>
      </w:r>
      <w:r>
        <w:t>3</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_Toc6297 </w:instrText>
      </w:r>
      <w:r>
        <w:rPr>
          <w:rFonts w:hint="eastAsia" w:ascii="宋体" w:hAnsi="宋体" w:eastAsia="宋体" w:cs="宋体"/>
          <w:szCs w:val="21"/>
        </w:rPr>
        <w:fldChar w:fldCharType="separate"/>
      </w:r>
      <w:r>
        <w:rPr>
          <w:rFonts w:hint="eastAsia" w:ascii="宋体" w:hAnsi="宋体"/>
          <w:szCs w:val="30"/>
          <w:highlight w:val="none"/>
          <w:lang w:val="en-US" w:eastAsia="zh-CN"/>
        </w:rPr>
        <w:t>1、国际原油收盘价涨跌情况（单位：美元/桶）</w:t>
      </w:r>
      <w:r>
        <w:tab/>
      </w:r>
      <w:r>
        <w:fldChar w:fldCharType="begin"/>
      </w:r>
      <w:r>
        <w:instrText xml:space="preserve"> PAGEREF _Toc6297 </w:instrText>
      </w:r>
      <w:r>
        <w:fldChar w:fldCharType="separate"/>
      </w:r>
      <w:r>
        <w:t>3</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_Toc5501 </w:instrText>
      </w:r>
      <w:r>
        <w:rPr>
          <w:rFonts w:hint="eastAsia" w:ascii="宋体" w:hAnsi="宋体" w:eastAsia="宋体" w:cs="宋体"/>
          <w:szCs w:val="21"/>
        </w:rPr>
        <w:fldChar w:fldCharType="separate"/>
      </w:r>
      <w:r>
        <w:rPr>
          <w:rFonts w:hint="eastAsia" w:ascii="宋体" w:hAnsi="宋体"/>
          <w:szCs w:val="30"/>
          <w:highlight w:val="none"/>
          <w:lang w:val="en-US" w:eastAsia="zh-CN"/>
        </w:rPr>
        <w:t>2.2021年国际原油价格走势图</w:t>
      </w:r>
      <w:r>
        <w:tab/>
      </w:r>
      <w:r>
        <w:fldChar w:fldCharType="begin"/>
      </w:r>
      <w:r>
        <w:instrText xml:space="preserve"> PAGEREF _Toc5501 </w:instrText>
      </w:r>
      <w:r>
        <w:fldChar w:fldCharType="separate"/>
      </w:r>
      <w:r>
        <w:t>4</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_Toc16647 </w:instrText>
      </w:r>
      <w:r>
        <w:rPr>
          <w:rFonts w:hint="eastAsia" w:ascii="宋体" w:hAnsi="宋体" w:eastAsia="宋体" w:cs="宋体"/>
          <w:szCs w:val="21"/>
        </w:rPr>
        <w:fldChar w:fldCharType="separate"/>
      </w:r>
      <w:r>
        <w:rPr>
          <w:rFonts w:hint="eastAsia" w:ascii="宋体" w:hAnsi="宋体"/>
          <w:szCs w:val="30"/>
          <w:highlight w:val="none"/>
          <w:lang w:val="en-US" w:eastAsia="zh-CN"/>
        </w:rPr>
        <w:t>2.1近期影响国际原油市场的主要因素</w:t>
      </w:r>
      <w:r>
        <w:tab/>
      </w:r>
      <w:r>
        <w:fldChar w:fldCharType="begin"/>
      </w:r>
      <w:r>
        <w:instrText xml:space="preserve"> PAGEREF _Toc16647 </w:instrText>
      </w:r>
      <w:r>
        <w:fldChar w:fldCharType="separate"/>
      </w:r>
      <w:r>
        <w:t>4</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_Toc184 </w:instrText>
      </w:r>
      <w:r>
        <w:rPr>
          <w:rFonts w:hint="eastAsia" w:ascii="宋体" w:hAnsi="宋体" w:eastAsia="宋体" w:cs="宋体"/>
          <w:szCs w:val="21"/>
        </w:rPr>
        <w:fldChar w:fldCharType="separate"/>
      </w:r>
      <w:r>
        <w:rPr>
          <w:rFonts w:hint="eastAsia" w:ascii="宋体" w:hAnsi="宋体"/>
          <w:szCs w:val="30"/>
          <w:highlight w:val="none"/>
          <w:lang w:val="en-US" w:eastAsia="zh-CN"/>
        </w:rPr>
        <w:t>1.美国原油库存情况</w:t>
      </w:r>
      <w:r>
        <w:tab/>
      </w:r>
      <w:r>
        <w:fldChar w:fldCharType="begin"/>
      </w:r>
      <w:r>
        <w:instrText xml:space="preserve"> PAGEREF _Toc184 </w:instrText>
      </w:r>
      <w:r>
        <w:fldChar w:fldCharType="separate"/>
      </w:r>
      <w:r>
        <w:t>4</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_Toc16360 </w:instrText>
      </w:r>
      <w:r>
        <w:rPr>
          <w:rFonts w:hint="eastAsia" w:ascii="宋体" w:hAnsi="宋体" w:eastAsia="宋体" w:cs="宋体"/>
          <w:szCs w:val="21"/>
        </w:rPr>
        <w:fldChar w:fldCharType="separate"/>
      </w:r>
      <w:r>
        <w:rPr>
          <w:rFonts w:hint="eastAsia" w:ascii="宋体" w:hAnsi="宋体"/>
          <w:szCs w:val="30"/>
          <w:highlight w:val="none"/>
          <w:lang w:val="en-US" w:eastAsia="zh-CN"/>
        </w:rPr>
        <w:t>2.美国经济形势</w:t>
      </w:r>
      <w:r>
        <w:tab/>
      </w:r>
      <w:r>
        <w:fldChar w:fldCharType="begin"/>
      </w:r>
      <w:r>
        <w:instrText xml:space="preserve"> PAGEREF _Toc16360 </w:instrText>
      </w:r>
      <w:r>
        <w:fldChar w:fldCharType="separate"/>
      </w:r>
      <w:r>
        <w:t>5</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_Toc30724 </w:instrText>
      </w:r>
      <w:r>
        <w:rPr>
          <w:rFonts w:hint="eastAsia" w:ascii="宋体" w:hAnsi="宋体" w:eastAsia="宋体" w:cs="宋体"/>
          <w:szCs w:val="21"/>
        </w:rPr>
        <w:fldChar w:fldCharType="separate"/>
      </w:r>
      <w:r>
        <w:rPr>
          <w:rFonts w:hint="eastAsia" w:ascii="宋体" w:hAnsi="宋体"/>
          <w:szCs w:val="30"/>
          <w:highlight w:val="none"/>
          <w:lang w:val="en-US" w:eastAsia="zh-CN"/>
        </w:rPr>
        <w:t>3.世界经济形势</w:t>
      </w:r>
      <w:r>
        <w:tab/>
      </w:r>
      <w:r>
        <w:fldChar w:fldCharType="begin"/>
      </w:r>
      <w:r>
        <w:instrText xml:space="preserve"> PAGEREF _Toc30724 </w:instrText>
      </w:r>
      <w:r>
        <w:fldChar w:fldCharType="separate"/>
      </w:r>
      <w:r>
        <w:t>10</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_Toc23898 </w:instrText>
      </w:r>
      <w:r>
        <w:rPr>
          <w:rFonts w:hint="eastAsia" w:ascii="宋体" w:hAnsi="宋体" w:eastAsia="宋体" w:cs="宋体"/>
          <w:szCs w:val="21"/>
        </w:rPr>
        <w:fldChar w:fldCharType="separate"/>
      </w:r>
      <w:r>
        <w:rPr>
          <w:rFonts w:hint="eastAsia" w:ascii="宋体" w:hAnsi="宋体"/>
          <w:szCs w:val="30"/>
          <w:highlight w:val="none"/>
          <w:lang w:val="en-US" w:eastAsia="zh-CN"/>
        </w:rPr>
        <w:t>4后市预测</w:t>
      </w:r>
      <w:r>
        <w:tab/>
      </w:r>
      <w:r>
        <w:fldChar w:fldCharType="begin"/>
      </w:r>
      <w:r>
        <w:instrText xml:space="preserve"> PAGEREF _Toc23898 </w:instrText>
      </w:r>
      <w:r>
        <w:fldChar w:fldCharType="separate"/>
      </w:r>
      <w:r>
        <w:t>15</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_Toc30787 </w:instrText>
      </w:r>
      <w:r>
        <w:rPr>
          <w:rFonts w:hint="eastAsia" w:ascii="宋体" w:hAnsi="宋体" w:eastAsia="宋体" w:cs="宋体"/>
          <w:szCs w:val="21"/>
        </w:rPr>
        <w:fldChar w:fldCharType="separate"/>
      </w:r>
      <w:r>
        <w:rPr>
          <w:rFonts w:hint="eastAsia" w:ascii="宋体" w:hAnsi="宋体"/>
          <w:szCs w:val="30"/>
          <w:highlight w:val="none"/>
        </w:rPr>
        <w:t>2.2国际市场MTBE价格</w:t>
      </w:r>
      <w:r>
        <w:tab/>
      </w:r>
      <w:r>
        <w:fldChar w:fldCharType="begin"/>
      </w:r>
      <w:r>
        <w:instrText xml:space="preserve"> PAGEREF _Toc30787 </w:instrText>
      </w:r>
      <w:r>
        <w:fldChar w:fldCharType="separate"/>
      </w:r>
      <w:r>
        <w:t>16</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rPr>
          <w:rFonts w:hint="eastAsia" w:ascii="宋体" w:hAnsi="宋体"/>
          <w:szCs w:val="30"/>
          <w:highlight w:val="none"/>
        </w:rPr>
      </w:pPr>
      <w:r>
        <w:rPr>
          <w:rFonts w:hint="eastAsia" w:ascii="宋体" w:hAnsi="宋体"/>
          <w:szCs w:val="30"/>
          <w:highlight w:val="none"/>
        </w:rPr>
        <w:fldChar w:fldCharType="begin"/>
      </w:r>
      <w:r>
        <w:rPr>
          <w:rFonts w:hint="eastAsia" w:ascii="宋体" w:hAnsi="宋体"/>
          <w:szCs w:val="30"/>
          <w:highlight w:val="none"/>
        </w:rPr>
        <w:instrText xml:space="preserve"> HYPERLINK \l _Toc11000 </w:instrText>
      </w:r>
      <w:r>
        <w:rPr>
          <w:rFonts w:hint="eastAsia" w:ascii="宋体" w:hAnsi="宋体"/>
          <w:szCs w:val="30"/>
          <w:highlight w:val="none"/>
        </w:rPr>
        <w:fldChar w:fldCharType="separate"/>
      </w:r>
      <w:r>
        <w:rPr>
          <w:rFonts w:hint="eastAsia" w:ascii="宋体" w:hAnsi="宋体"/>
          <w:szCs w:val="30"/>
          <w:highlight w:val="none"/>
          <w:lang w:eastAsia="zh-CN"/>
        </w:rPr>
        <w:t>三、</w:t>
      </w:r>
      <w:r>
        <w:rPr>
          <w:rFonts w:hint="eastAsia" w:ascii="宋体" w:hAnsi="宋体"/>
          <w:szCs w:val="30"/>
          <w:highlight w:val="none"/>
        </w:rPr>
        <w:t>本周国内市场</w:t>
      </w:r>
      <w:r>
        <w:rPr>
          <w:rFonts w:hint="eastAsia" w:ascii="宋体" w:hAnsi="宋体"/>
          <w:szCs w:val="30"/>
          <w:highlight w:val="none"/>
        </w:rPr>
        <w:tab/>
      </w:r>
      <w:r>
        <w:rPr>
          <w:rFonts w:hint="eastAsia" w:ascii="宋体" w:hAnsi="宋体"/>
          <w:szCs w:val="30"/>
          <w:highlight w:val="none"/>
        </w:rPr>
        <w:fldChar w:fldCharType="begin"/>
      </w:r>
      <w:r>
        <w:rPr>
          <w:rFonts w:hint="eastAsia" w:ascii="宋体" w:hAnsi="宋体"/>
          <w:szCs w:val="30"/>
          <w:highlight w:val="none"/>
        </w:rPr>
        <w:instrText xml:space="preserve"> PAGEREF _Toc11000 </w:instrText>
      </w:r>
      <w:r>
        <w:rPr>
          <w:rFonts w:hint="eastAsia" w:ascii="宋体" w:hAnsi="宋体"/>
          <w:szCs w:val="30"/>
          <w:highlight w:val="none"/>
        </w:rPr>
        <w:fldChar w:fldCharType="separate"/>
      </w:r>
      <w:r>
        <w:rPr>
          <w:rFonts w:hint="eastAsia" w:ascii="宋体" w:hAnsi="宋体"/>
          <w:szCs w:val="30"/>
          <w:highlight w:val="none"/>
        </w:rPr>
        <w:t>16</w:t>
      </w:r>
      <w:r>
        <w:rPr>
          <w:rFonts w:hint="eastAsia" w:ascii="宋体" w:hAnsi="宋体"/>
          <w:szCs w:val="30"/>
          <w:highlight w:val="none"/>
        </w:rPr>
        <w:fldChar w:fldCharType="end"/>
      </w:r>
      <w:r>
        <w:rPr>
          <w:rFonts w:hint="eastAsia" w:ascii="宋体" w:hAnsi="宋体"/>
          <w:szCs w:val="30"/>
          <w:highlight w:val="none"/>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_Toc7167 </w:instrText>
      </w:r>
      <w:r>
        <w:rPr>
          <w:rFonts w:hint="eastAsia" w:ascii="宋体" w:hAnsi="宋体" w:eastAsia="宋体" w:cs="宋体"/>
          <w:szCs w:val="21"/>
        </w:rPr>
        <w:fldChar w:fldCharType="separate"/>
      </w:r>
      <w:r>
        <w:rPr>
          <w:rFonts w:hint="eastAsia" w:ascii="宋体" w:hAnsi="宋体"/>
          <w:szCs w:val="30"/>
          <w:highlight w:val="none"/>
        </w:rPr>
        <w:t>3.1 国内炼厂装置运行情况</w:t>
      </w:r>
      <w:r>
        <w:tab/>
      </w:r>
      <w:r>
        <w:fldChar w:fldCharType="begin"/>
      </w:r>
      <w:r>
        <w:instrText xml:space="preserve"> PAGEREF _Toc7167 </w:instrText>
      </w:r>
      <w:r>
        <w:fldChar w:fldCharType="separate"/>
      </w:r>
      <w:r>
        <w:t>16</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_Toc13096 </w:instrText>
      </w:r>
      <w:r>
        <w:rPr>
          <w:rFonts w:hint="eastAsia" w:ascii="宋体" w:hAnsi="宋体" w:eastAsia="宋体" w:cs="宋体"/>
          <w:szCs w:val="21"/>
        </w:rPr>
        <w:fldChar w:fldCharType="separate"/>
      </w:r>
      <w:r>
        <w:rPr>
          <w:rFonts w:hint="eastAsia" w:ascii="宋体" w:hAnsi="宋体"/>
          <w:szCs w:val="30"/>
          <w:highlight w:val="none"/>
        </w:rPr>
        <w:t>3.2本周成品油市场行情</w:t>
      </w:r>
      <w:r>
        <w:tab/>
      </w:r>
      <w:r>
        <w:fldChar w:fldCharType="begin"/>
      </w:r>
      <w:r>
        <w:instrText xml:space="preserve"> PAGEREF _Toc13096 </w:instrText>
      </w:r>
      <w:r>
        <w:fldChar w:fldCharType="separate"/>
      </w:r>
      <w:r>
        <w:t>18</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_Toc24031 </w:instrText>
      </w:r>
      <w:r>
        <w:rPr>
          <w:rFonts w:hint="eastAsia" w:ascii="宋体" w:hAnsi="宋体" w:eastAsia="宋体" w:cs="宋体"/>
          <w:szCs w:val="21"/>
        </w:rPr>
        <w:fldChar w:fldCharType="separate"/>
      </w:r>
      <w:r>
        <w:rPr>
          <w:rFonts w:hint="eastAsia" w:ascii="宋体" w:hAnsi="宋体"/>
          <w:szCs w:val="30"/>
        </w:rPr>
        <w:t>3.3 国内汽油价格周报</w:t>
      </w:r>
      <w:r>
        <w:tab/>
      </w:r>
      <w:r>
        <w:fldChar w:fldCharType="begin"/>
      </w:r>
      <w:r>
        <w:instrText xml:space="preserve"> PAGEREF _Toc24031 </w:instrText>
      </w:r>
      <w:r>
        <w:fldChar w:fldCharType="separate"/>
      </w:r>
      <w:r>
        <w:t>21</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_Toc16466 </w:instrText>
      </w:r>
      <w:r>
        <w:rPr>
          <w:rFonts w:hint="eastAsia" w:ascii="宋体" w:hAnsi="宋体" w:eastAsia="宋体" w:cs="宋体"/>
          <w:szCs w:val="21"/>
        </w:rPr>
        <w:fldChar w:fldCharType="separate"/>
      </w:r>
      <w:r>
        <w:rPr>
          <w:rFonts w:hint="eastAsia" w:ascii="宋体" w:hAnsi="宋体"/>
          <w:szCs w:val="30"/>
          <w:lang w:val="en-US" w:eastAsia="zh-CN"/>
        </w:rPr>
        <w:t>3.4国内柴油价格周报</w:t>
      </w:r>
      <w:r>
        <w:tab/>
      </w:r>
      <w:r>
        <w:fldChar w:fldCharType="begin"/>
      </w:r>
      <w:r>
        <w:instrText xml:space="preserve"> PAGEREF _Toc16466 </w:instrText>
      </w:r>
      <w:r>
        <w:fldChar w:fldCharType="separate"/>
      </w:r>
      <w:r>
        <w:t>25</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_Toc6052 </w:instrText>
      </w:r>
      <w:r>
        <w:rPr>
          <w:rFonts w:hint="eastAsia" w:ascii="宋体" w:hAnsi="宋体" w:eastAsia="宋体" w:cs="宋体"/>
          <w:szCs w:val="21"/>
        </w:rPr>
        <w:fldChar w:fldCharType="separate"/>
      </w:r>
      <w:r>
        <w:rPr>
          <w:rFonts w:hint="eastAsia" w:ascii="宋体" w:hAnsi="宋体"/>
          <w:szCs w:val="30"/>
          <w:lang w:val="en-US" w:eastAsia="zh-CN"/>
        </w:rPr>
        <w:t>3.5 山东地炼汽油出厂价格周报</w:t>
      </w:r>
      <w:r>
        <w:tab/>
      </w:r>
      <w:r>
        <w:fldChar w:fldCharType="begin"/>
      </w:r>
      <w:r>
        <w:instrText xml:space="preserve"> PAGEREF _Toc6052 </w:instrText>
      </w:r>
      <w:r>
        <w:fldChar w:fldCharType="separate"/>
      </w:r>
      <w:r>
        <w:t>27</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_Toc25179 </w:instrText>
      </w:r>
      <w:r>
        <w:rPr>
          <w:rFonts w:hint="eastAsia" w:ascii="宋体" w:hAnsi="宋体" w:eastAsia="宋体" w:cs="宋体"/>
          <w:szCs w:val="21"/>
        </w:rPr>
        <w:fldChar w:fldCharType="separate"/>
      </w:r>
      <w:r>
        <w:rPr>
          <w:rFonts w:hint="eastAsia" w:ascii="宋体" w:hAnsi="宋体"/>
          <w:szCs w:val="30"/>
          <w:lang w:val="en-US" w:eastAsia="zh-CN"/>
        </w:rPr>
        <w:t>3.6 山东地炼柴油出厂价格周报</w:t>
      </w:r>
      <w:r>
        <w:tab/>
      </w:r>
      <w:r>
        <w:fldChar w:fldCharType="begin"/>
      </w:r>
      <w:r>
        <w:instrText xml:space="preserve"> PAGEREF _Toc25179 </w:instrText>
      </w:r>
      <w:r>
        <w:fldChar w:fldCharType="separate"/>
      </w:r>
      <w:r>
        <w:t>29</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_Toc27167 </w:instrText>
      </w:r>
      <w:r>
        <w:rPr>
          <w:rFonts w:hint="eastAsia" w:ascii="宋体" w:hAnsi="宋体" w:eastAsia="宋体" w:cs="宋体"/>
          <w:szCs w:val="21"/>
        </w:rPr>
        <w:fldChar w:fldCharType="separate"/>
      </w:r>
      <w:r>
        <w:rPr>
          <w:rFonts w:hint="eastAsia" w:ascii="宋体" w:hAnsi="宋体"/>
          <w:szCs w:val="30"/>
          <w:lang w:val="en-US" w:eastAsia="zh-CN"/>
        </w:rPr>
        <w:t>四、2021年5月份进出口统计数据</w:t>
      </w:r>
      <w:r>
        <w:tab/>
      </w:r>
      <w:r>
        <w:fldChar w:fldCharType="begin"/>
      </w:r>
      <w:r>
        <w:instrText xml:space="preserve"> PAGEREF _Toc27167 </w:instrText>
      </w:r>
      <w:r>
        <w:fldChar w:fldCharType="separate"/>
      </w:r>
      <w:r>
        <w:t>31</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_Toc19791 </w:instrText>
      </w:r>
      <w:r>
        <w:rPr>
          <w:rFonts w:hint="eastAsia" w:ascii="宋体" w:hAnsi="宋体" w:eastAsia="宋体" w:cs="宋体"/>
          <w:szCs w:val="21"/>
        </w:rPr>
        <w:fldChar w:fldCharType="separate"/>
      </w:r>
      <w:r>
        <w:rPr>
          <w:rFonts w:hint="eastAsia" w:ascii="宋体" w:hAnsi="宋体"/>
          <w:szCs w:val="30"/>
        </w:rPr>
        <w:t>4.1 20</w:t>
      </w:r>
      <w:r>
        <w:rPr>
          <w:rFonts w:hint="eastAsia" w:ascii="宋体" w:hAnsi="宋体"/>
          <w:szCs w:val="30"/>
          <w:lang w:val="en-US" w:eastAsia="zh-CN"/>
        </w:rPr>
        <w:t>21</w:t>
      </w:r>
      <w:r>
        <w:rPr>
          <w:rFonts w:hint="eastAsia" w:ascii="宋体" w:hAnsi="宋体"/>
          <w:szCs w:val="30"/>
        </w:rPr>
        <w:t>年</w:t>
      </w:r>
      <w:r>
        <w:rPr>
          <w:rFonts w:hint="eastAsia" w:ascii="宋体" w:hAnsi="宋体"/>
          <w:szCs w:val="30"/>
          <w:lang w:val="en-US" w:eastAsia="zh-CN"/>
        </w:rPr>
        <w:t>5</w:t>
      </w:r>
      <w:r>
        <w:rPr>
          <w:rFonts w:hint="eastAsia" w:ascii="宋体" w:hAnsi="宋体"/>
          <w:szCs w:val="30"/>
        </w:rPr>
        <w:t>份全国车用汽油</w:t>
      </w:r>
      <w:r>
        <w:rPr>
          <w:rFonts w:hint="eastAsia" w:ascii="宋体" w:hAnsi="宋体"/>
          <w:szCs w:val="30"/>
          <w:lang w:eastAsia="zh-CN"/>
        </w:rPr>
        <w:t>进</w:t>
      </w:r>
      <w:r>
        <w:rPr>
          <w:rFonts w:hint="eastAsia" w:ascii="宋体" w:hAnsi="宋体"/>
          <w:szCs w:val="30"/>
        </w:rPr>
        <w:t>出口统计数据</w:t>
      </w:r>
      <w:r>
        <w:tab/>
      </w:r>
      <w:r>
        <w:fldChar w:fldCharType="begin"/>
      </w:r>
      <w:r>
        <w:instrText xml:space="preserve"> PAGEREF _Toc19791 </w:instrText>
      </w:r>
      <w:r>
        <w:fldChar w:fldCharType="separate"/>
      </w:r>
      <w:r>
        <w:t>31</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_Toc23995 </w:instrText>
      </w:r>
      <w:r>
        <w:rPr>
          <w:rFonts w:hint="eastAsia" w:ascii="宋体" w:hAnsi="宋体" w:eastAsia="宋体" w:cs="宋体"/>
          <w:szCs w:val="21"/>
        </w:rPr>
        <w:fldChar w:fldCharType="separate"/>
      </w:r>
      <w:r>
        <w:rPr>
          <w:rFonts w:hint="eastAsia" w:ascii="宋体" w:hAnsi="宋体"/>
          <w:szCs w:val="30"/>
        </w:rPr>
        <w:t>4.2 20</w:t>
      </w:r>
      <w:r>
        <w:rPr>
          <w:rFonts w:hint="eastAsia" w:ascii="宋体" w:hAnsi="宋体"/>
          <w:szCs w:val="30"/>
          <w:lang w:val="en-US" w:eastAsia="zh-CN"/>
        </w:rPr>
        <w:t>21</w:t>
      </w:r>
      <w:r>
        <w:rPr>
          <w:rFonts w:hint="eastAsia" w:ascii="宋体" w:hAnsi="宋体"/>
          <w:szCs w:val="30"/>
        </w:rPr>
        <w:t>年</w:t>
      </w:r>
      <w:r>
        <w:rPr>
          <w:rFonts w:hint="eastAsia" w:ascii="宋体" w:hAnsi="宋体"/>
          <w:szCs w:val="30"/>
          <w:lang w:val="en-US" w:eastAsia="zh-CN"/>
        </w:rPr>
        <w:t>5</w:t>
      </w:r>
      <w:r>
        <w:rPr>
          <w:rFonts w:hint="eastAsia" w:ascii="宋体" w:hAnsi="宋体"/>
          <w:szCs w:val="30"/>
        </w:rPr>
        <w:t>月份全国柴油出口统计数据</w:t>
      </w:r>
      <w:r>
        <w:tab/>
      </w:r>
      <w:r>
        <w:fldChar w:fldCharType="begin"/>
      </w:r>
      <w:r>
        <w:instrText xml:space="preserve"> PAGEREF _Toc23995 </w:instrText>
      </w:r>
      <w:r>
        <w:fldChar w:fldCharType="separate"/>
      </w:r>
      <w:r>
        <w:t>34</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_Toc16942 </w:instrText>
      </w:r>
      <w:r>
        <w:rPr>
          <w:rFonts w:hint="eastAsia" w:ascii="宋体" w:hAnsi="宋体" w:eastAsia="宋体" w:cs="宋体"/>
          <w:szCs w:val="21"/>
        </w:rPr>
        <w:fldChar w:fldCharType="separate"/>
      </w:r>
      <w:r>
        <w:rPr>
          <w:rFonts w:hint="eastAsia" w:ascii="宋体" w:hAnsi="宋体"/>
          <w:szCs w:val="30"/>
        </w:rPr>
        <w:t>4.3 20</w:t>
      </w:r>
      <w:r>
        <w:rPr>
          <w:rFonts w:hint="eastAsia" w:ascii="宋体" w:hAnsi="宋体"/>
          <w:szCs w:val="30"/>
          <w:lang w:val="en-US" w:eastAsia="zh-CN"/>
        </w:rPr>
        <w:t>21</w:t>
      </w:r>
      <w:r>
        <w:rPr>
          <w:rFonts w:hint="eastAsia" w:ascii="宋体" w:hAnsi="宋体"/>
          <w:szCs w:val="30"/>
        </w:rPr>
        <w:t>年</w:t>
      </w:r>
      <w:r>
        <w:rPr>
          <w:rFonts w:hint="eastAsia" w:ascii="宋体" w:hAnsi="宋体"/>
          <w:szCs w:val="30"/>
          <w:lang w:val="en-US" w:eastAsia="zh-CN"/>
        </w:rPr>
        <w:t>5</w:t>
      </w:r>
      <w:r>
        <w:rPr>
          <w:rFonts w:hint="eastAsia" w:ascii="宋体" w:hAnsi="宋体"/>
          <w:szCs w:val="30"/>
        </w:rPr>
        <w:t>月份全国原油进出口统计数据</w:t>
      </w:r>
      <w:r>
        <w:tab/>
      </w:r>
      <w:r>
        <w:fldChar w:fldCharType="begin"/>
      </w:r>
      <w:r>
        <w:instrText xml:space="preserve"> PAGEREF _Toc16942 </w:instrText>
      </w:r>
      <w:r>
        <w:fldChar w:fldCharType="separate"/>
      </w:r>
      <w:r>
        <w:t>35</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_Toc18589 </w:instrText>
      </w:r>
      <w:r>
        <w:rPr>
          <w:rFonts w:hint="eastAsia" w:ascii="宋体" w:hAnsi="宋体" w:eastAsia="宋体" w:cs="宋体"/>
          <w:szCs w:val="21"/>
        </w:rPr>
        <w:fldChar w:fldCharType="separate"/>
      </w:r>
      <w:r>
        <w:rPr>
          <w:rFonts w:hint="eastAsia" w:ascii="宋体" w:hAnsi="宋体"/>
          <w:szCs w:val="30"/>
        </w:rPr>
        <w:t>4.4 20</w:t>
      </w:r>
      <w:r>
        <w:rPr>
          <w:rFonts w:hint="eastAsia" w:ascii="宋体" w:hAnsi="宋体"/>
          <w:szCs w:val="30"/>
          <w:lang w:val="en-US" w:eastAsia="zh-CN"/>
        </w:rPr>
        <w:t>21</w:t>
      </w:r>
      <w:r>
        <w:rPr>
          <w:rFonts w:hint="eastAsia" w:ascii="宋体" w:hAnsi="宋体"/>
          <w:szCs w:val="30"/>
        </w:rPr>
        <w:t>年</w:t>
      </w:r>
      <w:r>
        <w:rPr>
          <w:rFonts w:hint="eastAsia" w:ascii="宋体" w:hAnsi="宋体"/>
          <w:szCs w:val="30"/>
          <w:lang w:val="en-US" w:eastAsia="zh-CN"/>
        </w:rPr>
        <w:t>5</w:t>
      </w:r>
      <w:r>
        <w:rPr>
          <w:rFonts w:hint="eastAsia" w:ascii="宋体" w:hAnsi="宋体"/>
          <w:szCs w:val="30"/>
        </w:rPr>
        <w:t>月份航空煤油进出口统计数据</w:t>
      </w:r>
      <w:r>
        <w:tab/>
      </w:r>
      <w:r>
        <w:fldChar w:fldCharType="begin"/>
      </w:r>
      <w:r>
        <w:instrText xml:space="preserve"> PAGEREF _Toc18589 </w:instrText>
      </w:r>
      <w:r>
        <w:fldChar w:fldCharType="separate"/>
      </w:r>
      <w:r>
        <w:t>36</w:t>
      </w:r>
      <w:r>
        <w:fldChar w:fldCharType="end"/>
      </w:r>
      <w:r>
        <w:rPr>
          <w:rFonts w:hint="eastAsia" w:ascii="宋体" w:hAnsi="宋体" w:eastAsia="宋体" w:cs="宋体"/>
          <w:color w:val="000000"/>
          <w:szCs w:val="21"/>
        </w:rPr>
        <w:fldChar w:fldCharType="end"/>
      </w:r>
    </w:p>
    <w:p>
      <w:pPr>
        <w:pStyle w:val="16"/>
        <w:tabs>
          <w:tab w:val="right" w:leader="dot" w:pos="9746"/>
          <w:tab w:val="clear" w:pos="9170"/>
        </w:tabs>
        <w:rPr>
          <w:rFonts w:hint="eastAsia" w:ascii="宋体" w:hAnsi="宋体" w:eastAsia="宋体" w:cs="宋体"/>
          <w:color w:val="000000"/>
          <w:sz w:val="24"/>
          <w:szCs w:val="21"/>
        </w:rPr>
      </w:pPr>
      <w:r>
        <w:rPr>
          <w:rFonts w:hint="eastAsia" w:ascii="宋体" w:hAnsi="宋体" w:eastAsia="宋体" w:cs="宋体"/>
          <w:color w:val="000000"/>
          <w:szCs w:val="21"/>
        </w:rPr>
        <w:fldChar w:fldCharType="end"/>
      </w:r>
    </w:p>
    <w:p>
      <w:pPr>
        <w:pStyle w:val="16"/>
        <w:tabs>
          <w:tab w:val="right" w:leader="dot" w:pos="9746"/>
          <w:tab w:val="clear" w:pos="9170"/>
        </w:tabs>
        <w:rPr>
          <w:rFonts w:hint="eastAsia" w:ascii="宋体" w:hAnsi="宋体" w:eastAsia="宋体" w:cs="宋体"/>
          <w:color w:val="000000"/>
          <w:sz w:val="24"/>
          <w:szCs w:val="21"/>
        </w:rPr>
      </w:pP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
    <w:p/>
    <w:p/>
    <w:p/>
    <w:p>
      <w:pPr>
        <w:pStyle w:val="2"/>
        <w:numPr>
          <w:ilvl w:val="0"/>
          <w:numId w:val="1"/>
        </w:numPr>
        <w:spacing w:before="120" w:after="0" w:line="240" w:lineRule="auto"/>
        <w:rPr>
          <w:rFonts w:hint="eastAsia" w:asciiTheme="minorEastAsia" w:hAnsiTheme="minorEastAsia" w:eastAsiaTheme="minorEastAsia" w:cstheme="minorEastAsia"/>
          <w:b/>
          <w:bCs/>
          <w:kern w:val="0"/>
          <w:sz w:val="30"/>
          <w:szCs w:val="30"/>
        </w:rPr>
      </w:pPr>
      <w:bookmarkStart w:id="0" w:name="_Toc32272"/>
      <w:r>
        <w:rPr>
          <w:rFonts w:hint="eastAsia"/>
        </w:rPr>
        <w:t>国际原油市场回顾 </w:t>
      </w:r>
      <w:bookmarkEnd w:id="0"/>
    </w:p>
    <w:p>
      <w:pPr>
        <w:pStyle w:val="3"/>
        <w:numPr>
          <w:ilvl w:val="0"/>
          <w:numId w:val="2"/>
        </w:numPr>
        <w:spacing w:before="120" w:after="120" w:line="240" w:lineRule="auto"/>
        <w:rPr>
          <w:rFonts w:hint="eastAsia" w:ascii="宋体" w:hAnsi="宋体"/>
          <w:b/>
          <w:sz w:val="30"/>
          <w:szCs w:val="30"/>
          <w:highlight w:val="none"/>
          <w:lang w:val="en-US" w:eastAsia="zh-CN"/>
        </w:rPr>
      </w:pPr>
      <w:bookmarkStart w:id="1" w:name="_Toc6297"/>
      <w:bookmarkStart w:id="2" w:name="_Toc67556952"/>
      <w:r>
        <w:rPr>
          <w:rFonts w:hint="eastAsia" w:ascii="宋体" w:hAnsi="宋体"/>
          <w:b/>
          <w:sz w:val="30"/>
          <w:szCs w:val="30"/>
          <w:highlight w:val="none"/>
          <w:lang w:val="en-US" w:eastAsia="zh-CN"/>
        </w:rPr>
        <w:t>国际原油收盘价涨跌情况（单位：美元/桶）</w:t>
      </w:r>
      <w:bookmarkEnd w:id="1"/>
      <w:bookmarkEnd w:id="2"/>
    </w:p>
    <w:p>
      <w:pPr>
        <w:numPr>
          <w:ilvl w:val="0"/>
          <w:numId w:val="0"/>
        </w:numPr>
        <w:rPr>
          <w:rFonts w:hint="eastAsia"/>
          <w:lang w:val="en-US" w:eastAsia="zh-CN"/>
        </w:rPr>
      </w:pPr>
    </w:p>
    <w:tbl>
      <w:tblPr>
        <w:tblStyle w:val="24"/>
        <w:tblW w:w="8662" w:type="dxa"/>
        <w:jc w:val="center"/>
        <w:tblLayout w:type="fixed"/>
        <w:tblCellMar>
          <w:top w:w="15" w:type="dxa"/>
          <w:left w:w="15" w:type="dxa"/>
          <w:bottom w:w="15" w:type="dxa"/>
          <w:right w:w="15" w:type="dxa"/>
        </w:tblCellMar>
      </w:tblPr>
      <w:tblGrid>
        <w:gridCol w:w="1291"/>
        <w:gridCol w:w="1055"/>
        <w:gridCol w:w="1155"/>
        <w:gridCol w:w="5161"/>
      </w:tblGrid>
      <w:tr>
        <w:tblPrEx>
          <w:tblCellMar>
            <w:top w:w="15" w:type="dxa"/>
            <w:left w:w="15" w:type="dxa"/>
            <w:bottom w:w="15" w:type="dxa"/>
            <w:right w:w="15" w:type="dxa"/>
          </w:tblCellMar>
        </w:tblPrEx>
        <w:trPr>
          <w:trHeight w:val="286" w:hRule="atLeast"/>
          <w:jc w:val="center"/>
        </w:trPr>
        <w:tc>
          <w:tcPr>
            <w:tcW w:w="1291"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kern w:val="0"/>
                <w:sz w:val="28"/>
                <w:szCs w:val="28"/>
                <w:lang w:bidi="ar"/>
              </w:rPr>
              <w:t>日期</w:t>
            </w:r>
          </w:p>
        </w:tc>
        <w:tc>
          <w:tcPr>
            <w:tcW w:w="1055"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kern w:val="0"/>
                <w:sz w:val="28"/>
                <w:szCs w:val="28"/>
                <w:lang w:bidi="ar"/>
              </w:rPr>
              <w:t>纽交所</w:t>
            </w:r>
          </w:p>
        </w:tc>
        <w:tc>
          <w:tcPr>
            <w:tcW w:w="1155"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kern w:val="0"/>
                <w:sz w:val="28"/>
                <w:szCs w:val="28"/>
                <w:lang w:bidi="ar"/>
              </w:rPr>
              <w:t>伦交所</w:t>
            </w:r>
          </w:p>
        </w:tc>
        <w:tc>
          <w:tcPr>
            <w:tcW w:w="5161"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kern w:val="0"/>
                <w:sz w:val="28"/>
                <w:szCs w:val="28"/>
                <w:lang w:bidi="ar"/>
              </w:rPr>
              <w:t>影响因素</w:t>
            </w:r>
          </w:p>
        </w:tc>
      </w:tr>
      <w:tr>
        <w:tblPrEx>
          <w:tblCellMar>
            <w:top w:w="15" w:type="dxa"/>
            <w:left w:w="15" w:type="dxa"/>
            <w:bottom w:w="15" w:type="dxa"/>
            <w:right w:w="15" w:type="dxa"/>
          </w:tblCellMar>
        </w:tblPrEx>
        <w:trPr>
          <w:trHeight w:val="600" w:hRule="atLeast"/>
          <w:jc w:val="center"/>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2021/7/8</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72.94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74.12</w:t>
            </w:r>
          </w:p>
        </w:tc>
        <w:tc>
          <w:tcPr>
            <w:tcW w:w="51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3"/>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原油收盘上涨，EIA数据显示原油库存与汽油库存均超预期减少，需求复苏预期仍提振油价。</w:t>
            </w:r>
          </w:p>
        </w:tc>
      </w:tr>
      <w:tr>
        <w:tblPrEx>
          <w:tblCellMar>
            <w:top w:w="15" w:type="dxa"/>
            <w:left w:w="15" w:type="dxa"/>
            <w:bottom w:w="15" w:type="dxa"/>
            <w:right w:w="15" w:type="dxa"/>
          </w:tblCellMar>
        </w:tblPrEx>
        <w:trPr>
          <w:trHeight w:val="540" w:hRule="atLeast"/>
          <w:jc w:val="center"/>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2021/7/9</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74.56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75.55</w:t>
            </w:r>
          </w:p>
        </w:tc>
        <w:tc>
          <w:tcPr>
            <w:tcW w:w="51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3"/>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原油收盘上涨，EIA库存下降，能源需求前景良好，以及市场对原油供不应求的担忧对油价起支撑作用。</w:t>
            </w:r>
          </w:p>
        </w:tc>
      </w:tr>
      <w:tr>
        <w:tblPrEx>
          <w:tblCellMar>
            <w:top w:w="15" w:type="dxa"/>
            <w:left w:w="15" w:type="dxa"/>
            <w:bottom w:w="15" w:type="dxa"/>
            <w:right w:w="15" w:type="dxa"/>
          </w:tblCellMar>
        </w:tblPrEx>
        <w:trPr>
          <w:trHeight w:val="570" w:hRule="atLeast"/>
          <w:jc w:val="center"/>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2021/7/12</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74.1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75.16</w:t>
            </w:r>
          </w:p>
        </w:tc>
        <w:tc>
          <w:tcPr>
            <w:tcW w:w="51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3"/>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原油收盘下跌，需求复苏仍存隐忧以及OPEC产量政策仍未达成一致令油价面临一定利空压力。</w:t>
            </w:r>
          </w:p>
        </w:tc>
      </w:tr>
      <w:tr>
        <w:tblPrEx>
          <w:tblCellMar>
            <w:top w:w="15" w:type="dxa"/>
            <w:left w:w="15" w:type="dxa"/>
            <w:bottom w:w="15" w:type="dxa"/>
            <w:right w:w="15" w:type="dxa"/>
          </w:tblCellMar>
        </w:tblPrEx>
        <w:trPr>
          <w:trHeight w:val="435" w:hRule="atLeast"/>
          <w:jc w:val="center"/>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2021/7/13</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75.25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76.49</w:t>
            </w:r>
          </w:p>
        </w:tc>
        <w:tc>
          <w:tcPr>
            <w:tcW w:w="5161"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由于消息显示OPEC或将放弃达成8月产量协议，市场预期供应短期内将会进一步收紧，油价受此提振收盘大涨。</w:t>
            </w:r>
          </w:p>
        </w:tc>
      </w:tr>
      <w:tr>
        <w:tblPrEx>
          <w:tblCellMar>
            <w:top w:w="15" w:type="dxa"/>
            <w:left w:w="15" w:type="dxa"/>
            <w:bottom w:w="15" w:type="dxa"/>
            <w:right w:w="15" w:type="dxa"/>
          </w:tblCellMar>
        </w:tblPrEx>
        <w:trPr>
          <w:trHeight w:val="555" w:hRule="atLeast"/>
          <w:jc w:val="center"/>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2021/7/14</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73.13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74.76</w:t>
            </w:r>
          </w:p>
        </w:tc>
        <w:tc>
          <w:tcPr>
            <w:tcW w:w="5161"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pStyle w:val="23"/>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沙特与阿联酋仍有望就产量政策达成妥协，市场对供应回升的担忧导致油价承压大跌。</w:t>
            </w:r>
          </w:p>
        </w:tc>
      </w:tr>
    </w:tbl>
    <w:p>
      <w:pPr>
        <w:rPr>
          <w:rFonts w:hint="eastAsia" w:asciiTheme="minorEastAsia" w:hAnsiTheme="minorEastAsia" w:eastAsiaTheme="minorEastAsia" w:cstheme="minorEastAsia"/>
          <w:kern w:val="0"/>
          <w:szCs w:val="21"/>
        </w:rPr>
      </w:pPr>
    </w:p>
    <w:p>
      <w:pPr>
        <w:pStyle w:val="3"/>
        <w:spacing w:before="120" w:after="120" w:line="240" w:lineRule="auto"/>
        <w:rPr>
          <w:rFonts w:hint="eastAsia" w:ascii="宋体" w:hAnsi="宋体"/>
          <w:b/>
          <w:sz w:val="30"/>
          <w:szCs w:val="30"/>
          <w:highlight w:val="none"/>
          <w:lang w:val="en-US" w:eastAsia="zh-CN"/>
        </w:rPr>
      </w:pPr>
      <w:bookmarkStart w:id="3" w:name="_Toc67556953"/>
      <w:bookmarkStart w:id="4" w:name="_Toc5501"/>
      <w:r>
        <w:rPr>
          <w:rFonts w:hint="eastAsia" w:ascii="宋体" w:hAnsi="宋体"/>
          <w:b/>
          <w:sz w:val="30"/>
          <w:szCs w:val="30"/>
          <w:highlight w:val="none"/>
          <w:lang w:val="en-US" w:eastAsia="zh-CN"/>
        </w:rPr>
        <w:t>2.2021年国际原油价格走势图</w:t>
      </w:r>
      <w:bookmarkEnd w:id="3"/>
      <w:bookmarkEnd w:id="4"/>
    </w:p>
    <w:p>
      <w:pPr>
        <w:widowControl/>
        <w:wordWrap w:val="0"/>
        <w:spacing w:after="90" w:line="288" w:lineRule="auto"/>
        <w:jc w:val="left"/>
        <w:rPr>
          <w:rFonts w:hint="eastAsia" w:asciiTheme="minorEastAsia" w:hAnsiTheme="minorEastAsia" w:eastAsiaTheme="minorEastAsia" w:cstheme="minorEastAsia"/>
          <w:b/>
          <w:kern w:val="0"/>
          <w:sz w:val="30"/>
          <w:szCs w:val="30"/>
        </w:rPr>
      </w:pPr>
      <w:r>
        <w:rPr>
          <w:rFonts w:hint="eastAsia" w:asciiTheme="minorEastAsia" w:hAnsiTheme="minorEastAsia" w:eastAsiaTheme="minorEastAsia" w:cstheme="minorEastAsia"/>
          <w:b/>
          <w:color w:val="auto"/>
          <w:kern w:val="0"/>
          <w:sz w:val="30"/>
          <w:szCs w:val="30"/>
        </w:rPr>
        <w:drawing>
          <wp:inline distT="0" distB="0" distL="114300" distR="114300">
            <wp:extent cx="4514215" cy="3904615"/>
            <wp:effectExtent l="0" t="0" r="635" b="63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8"/>
                    <a:stretch>
                      <a:fillRect/>
                    </a:stretch>
                  </pic:blipFill>
                  <pic:spPr>
                    <a:xfrm>
                      <a:off x="0" y="0"/>
                      <a:ext cx="4514215" cy="3904615"/>
                    </a:xfrm>
                    <a:prstGeom prst="rect">
                      <a:avLst/>
                    </a:prstGeom>
                    <a:noFill/>
                    <a:ln>
                      <a:noFill/>
                    </a:ln>
                  </pic:spPr>
                </pic:pic>
              </a:graphicData>
            </a:graphic>
          </wp:inline>
        </w:drawing>
      </w:r>
    </w:p>
    <w:p>
      <w:pPr>
        <w:rPr>
          <w:rFonts w:hint="eastAsia" w:asciiTheme="minorEastAsia" w:hAnsiTheme="minorEastAsia" w:eastAsiaTheme="minorEastAsia" w:cstheme="minorEastAsia"/>
        </w:rPr>
      </w:pPr>
    </w:p>
    <w:p>
      <w:pPr>
        <w:pStyle w:val="3"/>
        <w:spacing w:before="120" w:after="120" w:line="240" w:lineRule="auto"/>
        <w:rPr>
          <w:rFonts w:hint="eastAsia" w:asciiTheme="minorEastAsia" w:hAnsiTheme="minorEastAsia" w:eastAsiaTheme="minorEastAsia" w:cstheme="minorEastAsia"/>
          <w:b/>
          <w:sz w:val="28"/>
          <w:szCs w:val="28"/>
        </w:rPr>
      </w:pPr>
      <w:bookmarkStart w:id="5" w:name="_Toc16647"/>
      <w:bookmarkStart w:id="6" w:name="_Toc67556954"/>
      <w:r>
        <w:rPr>
          <w:rFonts w:hint="eastAsia" w:ascii="宋体" w:hAnsi="宋体"/>
          <w:b/>
          <w:sz w:val="30"/>
          <w:szCs w:val="30"/>
          <w:highlight w:val="none"/>
          <w:lang w:val="en-US" w:eastAsia="zh-CN"/>
        </w:rPr>
        <w:t>2.1近期影响国际原油市场的主要因素</w:t>
      </w:r>
      <w:bookmarkEnd w:id="5"/>
      <w:bookmarkEnd w:id="6"/>
    </w:p>
    <w:p>
      <w:pPr>
        <w:pStyle w:val="3"/>
        <w:spacing w:before="120" w:after="120" w:line="240" w:lineRule="auto"/>
        <w:rPr>
          <w:rFonts w:hint="eastAsia" w:ascii="宋体" w:hAnsi="宋体"/>
          <w:b/>
          <w:sz w:val="30"/>
          <w:szCs w:val="30"/>
          <w:highlight w:val="none"/>
          <w:lang w:val="en-US" w:eastAsia="zh-CN"/>
        </w:rPr>
      </w:pPr>
      <w:bookmarkStart w:id="7" w:name="_Toc184"/>
      <w:bookmarkStart w:id="8" w:name="_Toc67556955"/>
      <w:r>
        <w:rPr>
          <w:rFonts w:hint="eastAsia" w:ascii="宋体" w:hAnsi="宋体"/>
          <w:b/>
          <w:sz w:val="30"/>
          <w:szCs w:val="30"/>
          <w:highlight w:val="none"/>
          <w:lang w:val="en-US" w:eastAsia="zh-CN"/>
        </w:rPr>
        <w:t>1.美国原油库存情况</w:t>
      </w:r>
      <w:bookmarkEnd w:id="7"/>
      <w:bookmarkEnd w:id="8"/>
      <w:r>
        <w:rPr>
          <w:rFonts w:hint="eastAsia" w:ascii="宋体" w:hAnsi="宋体"/>
          <w:b/>
          <w:sz w:val="30"/>
          <w:szCs w:val="30"/>
          <w:highlight w:val="none"/>
          <w:lang w:val="en-US" w:eastAsia="zh-CN"/>
        </w:rPr>
        <w:t xml:space="preserve"> </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bookmarkStart w:id="9" w:name="_Toc69977252"/>
      <w:bookmarkStart w:id="10" w:name="_Toc23898"/>
      <w:r>
        <w:rPr>
          <w:rFonts w:hint="eastAsia" w:asciiTheme="minorEastAsia" w:hAnsiTheme="minorEastAsia" w:eastAsiaTheme="minorEastAsia" w:cstheme="minorEastAsia"/>
          <w:color w:val="auto"/>
          <w:kern w:val="2"/>
          <w:sz w:val="28"/>
          <w:szCs w:val="28"/>
          <w:shd w:val="clear" w:color="auto" w:fill="FFFFFF"/>
        </w:rPr>
        <w:t>本周美国能源信息署数据显示，截止2021年7月2当周，炼油厂开工率上升，净进口量减少，美国商业原油库存连续第六周下降。美国商业原油库存(不含石油战略储备) 4.45476亿桶，比前一周下降687万桶，原油库存比过去五年同期低约7%;美国汽油库存总量2.35497亿桶，比前一周下降608万桶,汽油库存比过去五年同期低2%;其中新配方汽油库存增加1万桶,常规汽油库存下降111万桶,混合汽油库存下降497万桶,燃料乙醇库存下降42万桶。馏分油库存1.38692亿桶，比前一周增加162万桶，库存量比过去五年同期低6%，其中取暖油库存下降37万桶。丙烷/丙烯库存增长49万桶。美国石油战略储备6.21304亿桶，下降了118万桶。美国商业库存总量下降991万桶。最近四周美国石油产品日平均供应总量2094.3万桶，比去年同期高17.8%;其中车用汽油需求四周日均数950.4万桶, 比去年同期高12.5%，馏分油需求四周日均量407.3万桶，比去年同期高17.9%。煤油型航空燃料需求四周日均数比去年同期高81.9%。上周美国汽油日需求量1004.3桶，比前一周高87.0万桶;馏分油日均需求量384万桶，比前一周日均低33万桶。美国石油学会数据显示，截止7月2日当周，美国原油库存4.211亿桶，比前周减少800万桶，汽油库存减少270万桶，馏分油库存增加110万桶。截止7月2日当周，美国原油库存4.211亿桶，比前周减少800万桶，汽油库存减少270万桶，馏分油库存增加110万桶。</w:t>
      </w:r>
    </w:p>
    <w:p>
      <w:pPr>
        <w:pStyle w:val="23"/>
        <w:spacing w:line="360" w:lineRule="auto"/>
        <w:ind w:firstLine="562" w:firstLineChars="200"/>
        <w:outlineLvl w:val="1"/>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2.美国经济形势</w:t>
      </w:r>
      <w:bookmarkEnd w:id="9"/>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bookmarkStart w:id="11" w:name="_Toc69977253"/>
      <w:r>
        <w:rPr>
          <w:rFonts w:hint="eastAsia" w:asciiTheme="minorEastAsia" w:hAnsiTheme="minorEastAsia" w:eastAsiaTheme="minorEastAsia" w:cstheme="minorEastAsia"/>
          <w:color w:val="auto"/>
          <w:kern w:val="2"/>
          <w:sz w:val="28"/>
          <w:szCs w:val="28"/>
          <w:shd w:val="clear" w:color="auto" w:fill="FFFFFF"/>
        </w:rPr>
        <w:t>周三，美联储主席鲍威尔在美国国会众议院举行的听证会上重申将维持现有的宽松政策不变，美国股市三大股指在当天收盘时涨跌不一，但波动幅度都不大。</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受银行类股以及和经济复苏相关的周期性股票上涨提振，道指和标普500指数分别微幅上涨0.13%和0.12%，而纳指则在特斯拉、英伟达等科技类股的领跌下走弱，跌幅为0.22%。</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周三，市场继续关注企业财报。美国银行的财报显示，利率下调导致公司收入下降，今年二季度美国银行营收同比下滑4%，不及市场预期，受此影响，美国银行股价应声大跌2.51%。而富国银行第二季度业绩转亏为盈，营收同比大涨11%，股价当天大涨3.98%。</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数据方面，周三，美国劳工部公布的最新数据显示，美国6月生产者物价指数(PPI)同比大涨7.3%，创下历史最高纪录并且远超市场此前预期。这表明，随着原材料价格飙升，美国企业将升高的生产成本传导给消费者的压力越来越大。数据显示，6月美国PPI的上涨很大程度上是由于二手车与卡车价格上涨，6月份美国二手车和卡车指数环比大涨10.5%，创下有史以来最大的月度涨幅。其主要原因是疫情打乱了全球供应链，导致芯片等汽车配件的供给不足，新车产量下降，二手车市场火爆。</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对于不断增长的通胀压力，美联储主席鲍威尔周三在出席美国国会听证会的时候表示：目前美国经济的复苏还没有达到可以开始缩减购债规模的程度，未来几个月美国通胀率仍将继续攀升，之后逐渐趋于平缓。他还表示，2021年美国经济有望实现几十年来最快的增长。</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周三，欧佩克+的一位代表表示，就此前的谈判僵局，阿联酋已与欧佩克+达成一项折衷协议，将会设定新的石油产量配额，消息传出后国际油价出现显著下跌。截至当天收盘，纽约商品交易所8月交货的轻质原油期货价格下跌2.12美元，收于每桶73.13美元，跌幅为2.82%;9月交货的伦敦布伦特原油期货价格下跌1.73美元，收于每桶74.76美元，跌幅为2.26%。</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纽约商品交易所黄金期货市场交投最活跃的8月黄金期价14日比前一交易日上涨15.1美元，收于每盎司1825美元，涨幅为0.83%。市场分析人士认为，美元走弱是当天金价上涨的主要原因。</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p>
    <w:p>
      <w:pPr>
        <w:pStyle w:val="23"/>
        <w:ind w:firstLine="643" w:firstLineChars="200"/>
        <w:outlineLvl w:val="1"/>
        <w:rPr>
          <w:rFonts w:hint="eastAsia" w:asciiTheme="minorEastAsia" w:hAnsiTheme="minorEastAsia" w:eastAsiaTheme="minorEastAsia" w:cstheme="minorEastAsia"/>
          <w:b/>
          <w:bCs/>
          <w:color w:val="auto"/>
          <w:sz w:val="32"/>
          <w:szCs w:val="32"/>
        </w:rPr>
      </w:pPr>
      <w:bookmarkStart w:id="12" w:name="_Toc76629721"/>
      <w:r>
        <w:rPr>
          <w:rFonts w:hint="eastAsia" w:asciiTheme="minorEastAsia" w:hAnsiTheme="minorEastAsia" w:eastAsiaTheme="minorEastAsia" w:cstheme="minorEastAsia"/>
          <w:b/>
          <w:bCs/>
          <w:color w:val="auto"/>
          <w:sz w:val="32"/>
          <w:szCs w:val="32"/>
        </w:rPr>
        <w:t>3.世界经济形势</w:t>
      </w:r>
      <w:bookmarkEnd w:id="12"/>
    </w:p>
    <w:bookmarkEnd w:id="11"/>
    <w:p>
      <w:pPr>
        <w:pStyle w:val="23"/>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2021年7月14日，苏黎世-瑞士再保险瑞再研究院最新一期sigma报告《世界保险业: 加速复苏》显示，受益于刺激措施和疫苗接种，全球经济将稳健复苏，中国也将继续领跑全球复苏之路。保险行业发展前景乐观，全球保费收入预计今明两年相继增长3.3%和3.9%，高于历史趋势水平，全球保险市场规模在2022年首次达到7万 亿美元。新兴市场继续成为全球保险保费增长的主要驱动，中国在全球保费总额中的份额将持续扩大，总保费收入预计在2024年之前超过1万亿美元。</w:t>
      </w:r>
    </w:p>
    <w:p>
      <w:pPr>
        <w:pStyle w:val="23"/>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瑞士再保险集团首席经济学家安仁礼(Jerome Jean Haegeli)博士表示：“2021及2022年，世界经济将迎来强势回升，这也将带动全球保费增长。中国的经济复苏仍值得期待。新冠疫情带来的消费者风险意识提升将成为驱动保险市场发展的重要因素。无论是涉及到个人医疗还是商业供应链，人们对于保险作用的认知逐渐提高，越来越认可在危机中保险对于提升韧性的重要价值。”</w:t>
      </w:r>
    </w:p>
    <w:p>
      <w:pPr>
        <w:pStyle w:val="23"/>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目前，疫苗接种及财政刺激是经济增长的两大主要驱动力，但全球财政计划中用于可持续性基础设施的比例显著偏低。因此，今明两年强劲反弹后，鉴于潜在产出增速依然温和、劳动力增长缓慢、且债务水平显著攀升，我们预计未来增长将有所趋缓。未来可持续增长要求各国减少既有模式的刺激举措，增加更多提振增长的措施，以提高经济韧性，具体表现为投资于具有可持续性的基础设施，促进数字经济发展、扩充财政空间以应对未来危机、采取应对全球气候变化广泛风险的经济政策、以及降低收入不平等。</w:t>
      </w:r>
    </w:p>
    <w:p>
      <w:pPr>
        <w:pStyle w:val="23"/>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得益于有效的疫情管控措施、强有力的公共应急响应机制、及央行提供的流动性支持，中国在去年已恢复到疫情前的增速水平，并将将继续引领全球复苏。安仁礼博士认为，随着金融市场开放、人民币资产在全球主要指数中的权重不断提升，人民币或渐进走强。保险业方面，2020年，在全球保额下降1.3%的背景下，中国保险市场保费逆势增长3.6%。</w:t>
      </w:r>
    </w:p>
    <w:p>
      <w:pPr>
        <w:pStyle w:val="23"/>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2021年，由于监管趋严，中国保险保费收入预计增长6.3%，低于趋势增速;但中国的总保费收入预计在2024年之前超过1万亿美元，全球份额持续提升。</w:t>
      </w:r>
    </w:p>
    <w:p>
      <w:pPr>
        <w:pStyle w:val="23"/>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中国经济作为推动全球经济复苏发展的重要引擎，将带动中国保险行业的发展，促进社会韧性的进一步提升，推动保险业及整体经济高质量发展。”瑞士再保险中国总裁陈东辉表示：“‘十四五’规划和2035年远景目标纲要为中国保险业提供了广阔的创新空间和发展机遇。</w:t>
      </w:r>
    </w:p>
    <w:p>
      <w:pPr>
        <w:pStyle w:val="23"/>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‘30·60’双碳目标的设定，也将促进保险业在可持续发展领域发挥更为重要的作用。瑞再将继续与广大客户及合作伙伴携手合作，为提升社会保障、增强社会韧性而不懈努力。”</w:t>
      </w:r>
    </w:p>
    <w:p>
      <w:pPr>
        <w:pStyle w:val="23"/>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利好因素多于新增风险，全球保险市场保费反弹动力强劲得益于良好的经济发展势头、非寿险领域的利率上涨与风险意识的不断增强，保险行业发展前景积极，预计全球保费市场2021年同比增长3.3%，2022年增长3.9%，全球2021年直保保费预计将比2019年疫情前水平高出10%。全球保险市场规模在2022年首次达到7万亿美元。</w:t>
      </w:r>
    </w:p>
    <w:p>
      <w:pPr>
        <w:pStyle w:val="23"/>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新兴市场的增长将继续高于发达市场，成为全球保险保费增长的主要驱动，这也反映出经济实力正在从西方向东方转移。预计新兴市场2021年保费收入增长5.6%，2022年增长7.4%，发达市场在 2021/22年预计增长2.7%和3.0%。</w:t>
      </w:r>
    </w:p>
    <w:p>
      <w:pPr>
        <w:pStyle w:val="23"/>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在2020年的严峻形势下，非寿险业务展现出强大的抗风险能力，保费增长了1.6%。寿险行业受到严重影响，收缩4.5%。未来保险市场利好因素强于新增风险，利率持续上涨为非寿险增长提供动力，预计全球保费将在 2021及2022年分别增长2.8%和3.7%;风险意识提升与数字化进程支撑寿险业务，寿险全球保费将在2021和2022年分别增长3.8%和4.0%。</w:t>
      </w:r>
    </w:p>
    <w:p>
      <w:pPr>
        <w:pStyle w:val="23"/>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数字化正在改变寿险和非寿险公司的销售和服务。消费者迅速适应了线上方式，并逐渐在所有的保险触点进行线上交易。保险公司不断加大对保险科技的投资，持续改进并拓展线上服务范畴，将功能逐步从获取新客户、提供咨询建议拓展到保险产品定价和承保、生成保单、处理付款和售后服务等环节的线上化。社交媒体(例如中国的微信)和健康追踪应用程序等更广泛应用的在线平台将成为寿险销售的主要来源。在全球范围内，拥有最佳数字化基础设施、数字化程度高以及能够满足在线购买保险单的地区可能会迎来寿险保费的最大增长。安仁礼博士认为，中国设定的到2022年80%的财险业务线上化目标，以及加速对大数据、云计算、物联网、人工智能等核心科技的投入，将成为中国促进保险业数字化、科技化转型的关键因素之一。</w:t>
      </w:r>
    </w:p>
    <w:p>
      <w:pPr>
        <w:pStyle w:val="3"/>
        <w:spacing w:before="120" w:after="120" w:line="240" w:lineRule="auto"/>
        <w:rPr>
          <w:rFonts w:hint="eastAsia" w:ascii="宋体" w:hAnsi="宋体"/>
          <w:b/>
          <w:sz w:val="30"/>
          <w:szCs w:val="30"/>
          <w:highlight w:val="none"/>
          <w:lang w:val="en-US" w:eastAsia="zh-CN"/>
        </w:rPr>
      </w:pPr>
      <w:r>
        <w:rPr>
          <w:rFonts w:hint="eastAsia" w:ascii="宋体" w:hAnsi="宋体"/>
          <w:b/>
          <w:sz w:val="30"/>
          <w:szCs w:val="30"/>
          <w:highlight w:val="none"/>
          <w:lang w:val="en-US" w:eastAsia="zh-CN"/>
        </w:rPr>
        <w:t>4后市预测</w:t>
      </w:r>
      <w:bookmarkEnd w:id="10"/>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bookmarkStart w:id="13" w:name="_Toc30787"/>
      <w:r>
        <w:rPr>
          <w:rFonts w:hint="eastAsia" w:asciiTheme="minorEastAsia" w:hAnsiTheme="minorEastAsia" w:eastAsiaTheme="minorEastAsia" w:cstheme="minorEastAsia"/>
          <w:color w:val="auto"/>
          <w:kern w:val="2"/>
          <w:sz w:val="28"/>
          <w:szCs w:val="28"/>
          <w:shd w:val="clear" w:color="auto" w:fill="FFFFFF"/>
        </w:rPr>
        <w:t>本周美国WTI原油价格在72.94-75.25美元/桶。布伦特原油价格在74.12-76.49美元/桶震荡。周内国际油价窄幅震荡不稳。油价周三下跌超过2%，此前有消息称opec或与阿联酋就供应问题达成妥协，且美国数据显示上周汽油需求放缓。8月WTI：73.13跌2.12;9月布伦特：74.76跌1.73。原油价格此前一度升至近三年来最高，但由于对供应回升的担忧，最近一直较为震荡。布兰特原油期货下跌1.73美元，或2.26%，结算价报每桶74.76美元。美国原油期货下跌2.12美元，结算价报每桶73.13美元，跌幅2.82%。路孚特Eikon数据显示，布兰特原油较美国原油升水扩大至7月6日以来最阔。美国原油跌幅更大，因需求担忧。路透稍早报导称沙特和阿联酋已就石油输出国组织(OPEC)和其盟友组成的OPEC+联盟政策达成妥协，此举应有助于达成向紧张的石油市场供应更多原油的协议。随后，油价下跌。在美国政府数据显示上周隐含汽油需求大幅下降后，两大原油指标进一步下跌。美国能源信息署(EIA)周三表示，上周美国原油库存连续第八周下降，但汽油需求减少盖过了原油库存下降的影响。Lipow Oil Associates总裁Andrew Lipow表示，“汽油和柴油需求大幅下降令价格承压，尽管原油库存持续下降。”上周美国成品油库存上升，尽管炼厂炼油量小幅减少。汽油库存意外增加100万桶，预期为减少180万桶。消息人士称，同意上调阿联酋的产量基线，为将OPEC整体协议延长至2022年底铺平了道路。不过，在一份声明中，阿联酋能源部表示，与OPEC+的产量基线协议尚未达成，讨论仍在继续。</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预测下周WTI油价将触及71-76美元/桶，布油在之后几个月触及73-77美元/桶。</w:t>
      </w:r>
    </w:p>
    <w:p>
      <w:pPr>
        <w:pStyle w:val="3"/>
        <w:spacing w:before="120" w:after="120" w:line="240" w:lineRule="auto"/>
        <w:rPr>
          <w:rFonts w:hint="eastAsia" w:ascii="宋体" w:hAnsi="宋体"/>
          <w:b/>
          <w:sz w:val="30"/>
          <w:szCs w:val="30"/>
          <w:highlight w:val="none"/>
          <w:lang w:val="en-US" w:eastAsia="zh-CN"/>
        </w:rPr>
      </w:pPr>
      <w:r>
        <w:rPr>
          <w:rFonts w:hint="eastAsia" w:ascii="宋体" w:hAnsi="宋体"/>
          <w:b/>
          <w:sz w:val="30"/>
          <w:szCs w:val="30"/>
          <w:highlight w:val="none"/>
        </w:rPr>
        <w:t>2.2国际市场MTBE价格</w:t>
      </w:r>
      <w:bookmarkEnd w:id="13"/>
      <w:r>
        <w:rPr>
          <w:rFonts w:hint="eastAsia" w:ascii="宋体" w:hAnsi="宋体"/>
          <w:b/>
          <w:sz w:val="30"/>
          <w:szCs w:val="30"/>
          <w:highlight w:val="none"/>
          <w:lang w:val="en-US" w:eastAsia="zh-CN"/>
        </w:rPr>
        <w:t xml:space="preserve"> </w:t>
      </w:r>
    </w:p>
    <w:p>
      <w:pPr>
        <w:rPr>
          <w:rFonts w:hint="eastAsia"/>
        </w:rPr>
      </w:pPr>
    </w:p>
    <w:tbl>
      <w:tblPr>
        <w:tblStyle w:val="24"/>
        <w:tblW w:w="7230" w:type="dxa"/>
        <w:jc w:val="center"/>
        <w:shd w:val="clear" w:color="auto" w:fill="auto"/>
        <w:tblLayout w:type="fixed"/>
        <w:tblCellMar>
          <w:top w:w="0" w:type="dxa"/>
          <w:left w:w="0" w:type="dxa"/>
          <w:bottom w:w="0" w:type="dxa"/>
          <w:right w:w="0" w:type="dxa"/>
        </w:tblCellMar>
      </w:tblPr>
      <w:tblGrid>
        <w:gridCol w:w="1365"/>
        <w:gridCol w:w="2085"/>
        <w:gridCol w:w="1950"/>
        <w:gridCol w:w="1830"/>
      </w:tblGrid>
      <w:tr>
        <w:tblPrEx>
          <w:shd w:val="clear" w:color="auto" w:fill="auto"/>
          <w:tblCellMar>
            <w:top w:w="0" w:type="dxa"/>
            <w:left w:w="0" w:type="dxa"/>
            <w:bottom w:w="0" w:type="dxa"/>
            <w:right w:w="0" w:type="dxa"/>
          </w:tblCellMar>
        </w:tblPrEx>
        <w:trPr>
          <w:trHeight w:val="360" w:hRule="atLeast"/>
          <w:jc w:val="center"/>
        </w:trPr>
        <w:tc>
          <w:tcPr>
            <w:tcW w:w="1365"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日期</w:t>
            </w:r>
          </w:p>
        </w:tc>
        <w:tc>
          <w:tcPr>
            <w:tcW w:w="2085"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 新加坡(美元/吨)</w:t>
            </w:r>
          </w:p>
        </w:tc>
        <w:tc>
          <w:tcPr>
            <w:tcW w:w="1950"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 纽约 (美分/加仑)</w:t>
            </w:r>
          </w:p>
        </w:tc>
        <w:tc>
          <w:tcPr>
            <w:tcW w:w="1830"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 鹿特丹(美元/吨)</w:t>
            </w:r>
          </w:p>
        </w:tc>
      </w:tr>
      <w:tr>
        <w:tblPrEx>
          <w:tblCellMar>
            <w:top w:w="0" w:type="dxa"/>
            <w:left w:w="0" w:type="dxa"/>
            <w:bottom w:w="0" w:type="dxa"/>
            <w:right w:w="0" w:type="dxa"/>
          </w:tblCellMar>
        </w:tblPrEx>
        <w:trPr>
          <w:trHeight w:val="360" w:hRule="atLeast"/>
          <w:jc w:val="center"/>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7月14日</w:t>
            </w:r>
          </w:p>
        </w:tc>
        <w:tc>
          <w:tcPr>
            <w:tcW w:w="20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767.00 </w:t>
            </w:r>
          </w:p>
        </w:tc>
        <w:tc>
          <w:tcPr>
            <w:tcW w:w="1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229.04 </w:t>
            </w:r>
          </w:p>
        </w:tc>
        <w:tc>
          <w:tcPr>
            <w:tcW w:w="18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828.25 </w:t>
            </w:r>
          </w:p>
        </w:tc>
      </w:tr>
      <w:tr>
        <w:tblPrEx>
          <w:tblCellMar>
            <w:top w:w="0" w:type="dxa"/>
            <w:left w:w="0" w:type="dxa"/>
            <w:bottom w:w="0" w:type="dxa"/>
            <w:right w:w="0" w:type="dxa"/>
          </w:tblCellMar>
        </w:tblPrEx>
        <w:trPr>
          <w:trHeight w:val="360" w:hRule="atLeast"/>
          <w:jc w:val="center"/>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7月13日</w:t>
            </w:r>
          </w:p>
        </w:tc>
        <w:tc>
          <w:tcPr>
            <w:tcW w:w="20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772.00 </w:t>
            </w:r>
          </w:p>
        </w:tc>
        <w:tc>
          <w:tcPr>
            <w:tcW w:w="1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235.48 </w:t>
            </w:r>
          </w:p>
        </w:tc>
        <w:tc>
          <w:tcPr>
            <w:tcW w:w="18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821.25 </w:t>
            </w:r>
          </w:p>
        </w:tc>
      </w:tr>
      <w:tr>
        <w:tblPrEx>
          <w:tblCellMar>
            <w:top w:w="0" w:type="dxa"/>
            <w:left w:w="0" w:type="dxa"/>
            <w:bottom w:w="0" w:type="dxa"/>
            <w:right w:w="0" w:type="dxa"/>
          </w:tblCellMar>
        </w:tblPrEx>
        <w:trPr>
          <w:trHeight w:val="360" w:hRule="atLeast"/>
          <w:jc w:val="center"/>
        </w:trPr>
        <w:tc>
          <w:tcPr>
            <w:tcW w:w="13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7月12日</w:t>
            </w:r>
          </w:p>
        </w:tc>
        <w:tc>
          <w:tcPr>
            <w:tcW w:w="20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774.00 </w:t>
            </w:r>
          </w:p>
        </w:tc>
        <w:tc>
          <w:tcPr>
            <w:tcW w:w="19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231.37 </w:t>
            </w:r>
          </w:p>
        </w:tc>
        <w:tc>
          <w:tcPr>
            <w:tcW w:w="18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818.00 </w:t>
            </w:r>
          </w:p>
        </w:tc>
      </w:tr>
      <w:tr>
        <w:tblPrEx>
          <w:tblCellMar>
            <w:top w:w="0" w:type="dxa"/>
            <w:left w:w="0" w:type="dxa"/>
            <w:bottom w:w="0" w:type="dxa"/>
            <w:right w:w="0" w:type="dxa"/>
          </w:tblCellMar>
        </w:tblPrEx>
        <w:trPr>
          <w:trHeight w:val="360" w:hRule="atLeast"/>
          <w:jc w:val="center"/>
        </w:trPr>
        <w:tc>
          <w:tcPr>
            <w:tcW w:w="1365" w:type="dxa"/>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7月9日</w:t>
            </w:r>
          </w:p>
        </w:tc>
        <w:tc>
          <w:tcPr>
            <w:tcW w:w="2085"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771.00 </w:t>
            </w:r>
          </w:p>
        </w:tc>
        <w:tc>
          <w:tcPr>
            <w:tcW w:w="1950"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232.85 </w:t>
            </w:r>
          </w:p>
        </w:tc>
        <w:tc>
          <w:tcPr>
            <w:tcW w:w="1830" w:type="dxa"/>
            <w:tcBorders>
              <w:top w:val="single" w:color="auto" w:sz="4" w:space="0"/>
              <w:left w:val="single" w:color="000000"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821.00 </w:t>
            </w:r>
          </w:p>
        </w:tc>
      </w:tr>
      <w:tr>
        <w:tblPrEx>
          <w:tblCellMar>
            <w:top w:w="0" w:type="dxa"/>
            <w:left w:w="0" w:type="dxa"/>
            <w:bottom w:w="0" w:type="dxa"/>
            <w:right w:w="0" w:type="dxa"/>
          </w:tblCellMar>
        </w:tblPrEx>
        <w:trPr>
          <w:trHeight w:val="360" w:hRule="atLeast"/>
          <w:jc w:val="center"/>
        </w:trPr>
        <w:tc>
          <w:tcPr>
            <w:tcW w:w="1365"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7月8日</w:t>
            </w:r>
          </w:p>
        </w:tc>
        <w:tc>
          <w:tcPr>
            <w:tcW w:w="20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741.50 </w:t>
            </w:r>
          </w:p>
        </w:tc>
        <w:tc>
          <w:tcPr>
            <w:tcW w:w="19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228.97 </w:t>
            </w:r>
          </w:p>
        </w:tc>
        <w:tc>
          <w:tcPr>
            <w:tcW w:w="1830"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800.50 </w:t>
            </w:r>
          </w:p>
        </w:tc>
      </w:tr>
    </w:tbl>
    <w:p>
      <w:pPr>
        <w:rPr>
          <w:rFonts w:hint="eastAsia"/>
          <w:lang w:eastAsia="zh-CN"/>
        </w:rPr>
      </w:pPr>
    </w:p>
    <w:p>
      <w:pPr>
        <w:pStyle w:val="2"/>
        <w:numPr>
          <w:ilvl w:val="0"/>
          <w:numId w:val="0"/>
        </w:numPr>
        <w:spacing w:before="120" w:after="0" w:line="240" w:lineRule="auto"/>
        <w:rPr>
          <w:rFonts w:hint="eastAsia"/>
          <w:b/>
        </w:rPr>
      </w:pPr>
      <w:bookmarkStart w:id="14" w:name="_Toc11000"/>
      <w:r>
        <w:rPr>
          <w:rFonts w:hint="eastAsia"/>
          <w:b/>
          <w:lang w:eastAsia="zh-CN"/>
        </w:rPr>
        <w:t>三、</w:t>
      </w:r>
      <w:r>
        <w:rPr>
          <w:rFonts w:hint="eastAsia"/>
          <w:b/>
        </w:rPr>
        <w:t>本周国内市场</w:t>
      </w:r>
      <w:bookmarkEnd w:id="14"/>
    </w:p>
    <w:p>
      <w:pPr>
        <w:numPr>
          <w:ilvl w:val="0"/>
          <w:numId w:val="0"/>
        </w:numPr>
      </w:pPr>
    </w:p>
    <w:p>
      <w:pPr>
        <w:pStyle w:val="3"/>
        <w:spacing w:before="120" w:after="120" w:line="240" w:lineRule="auto"/>
        <w:rPr>
          <w:rFonts w:hint="eastAsia" w:ascii="宋体" w:hAnsi="宋体"/>
          <w:b/>
          <w:sz w:val="30"/>
          <w:szCs w:val="30"/>
          <w:highlight w:val="none"/>
        </w:rPr>
      </w:pPr>
      <w:bookmarkStart w:id="15" w:name="_Toc7167"/>
      <w:r>
        <w:rPr>
          <w:rFonts w:hint="eastAsia" w:ascii="宋体" w:hAnsi="宋体"/>
          <w:b/>
          <w:sz w:val="30"/>
          <w:szCs w:val="30"/>
          <w:highlight w:val="none"/>
        </w:rPr>
        <w:t>3.1 国内炼厂装置运行情况</w:t>
      </w:r>
      <w:bookmarkEnd w:id="15"/>
    </w:p>
    <w:p>
      <w:pPr>
        <w:rPr>
          <w:rFonts w:hint="eastAsia" w:ascii="宋体" w:hAnsi="宋体"/>
          <w:color w:val="auto"/>
          <w:sz w:val="28"/>
          <w:szCs w:val="28"/>
          <w:highlight w:val="none"/>
        </w:rPr>
      </w:pPr>
      <w:r>
        <w:rPr>
          <w:rFonts w:hint="eastAsia" w:ascii="宋体" w:hAnsi="宋体"/>
          <w:color w:val="auto"/>
          <w:sz w:val="28"/>
          <w:szCs w:val="28"/>
          <w:highlight w:val="none"/>
        </w:rPr>
        <w:t>（1）国内主营炼厂装置检修情况</w:t>
      </w:r>
    </w:p>
    <w:tbl>
      <w:tblPr>
        <w:tblStyle w:val="24"/>
        <w:tblW w:w="9058" w:type="dxa"/>
        <w:jc w:val="center"/>
        <w:shd w:val="clear" w:color="auto" w:fill="auto"/>
        <w:tblLayout w:type="autofit"/>
        <w:tblCellMar>
          <w:top w:w="0" w:type="dxa"/>
          <w:left w:w="0" w:type="dxa"/>
          <w:bottom w:w="0" w:type="dxa"/>
          <w:right w:w="0" w:type="dxa"/>
        </w:tblCellMar>
      </w:tblPr>
      <w:tblGrid>
        <w:gridCol w:w="1140"/>
        <w:gridCol w:w="780"/>
        <w:gridCol w:w="877"/>
        <w:gridCol w:w="1035"/>
        <w:gridCol w:w="2196"/>
        <w:gridCol w:w="1500"/>
        <w:gridCol w:w="1530"/>
      </w:tblGrid>
      <w:tr>
        <w:tblPrEx>
          <w:shd w:val="clear" w:color="auto" w:fill="auto"/>
          <w:tblCellMar>
            <w:top w:w="0" w:type="dxa"/>
            <w:left w:w="0" w:type="dxa"/>
            <w:bottom w:w="0" w:type="dxa"/>
            <w:right w:w="0" w:type="dxa"/>
          </w:tblCellMar>
        </w:tblPrEx>
        <w:trPr>
          <w:trHeight w:val="450" w:hRule="atLeast"/>
          <w:jc w:val="center"/>
        </w:trPr>
        <w:tc>
          <w:tcPr>
            <w:tcW w:w="9058" w:type="dxa"/>
            <w:gridSpan w:val="7"/>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中石化旗下炼厂检修计划</w:t>
            </w:r>
          </w:p>
        </w:tc>
      </w:tr>
      <w:tr>
        <w:tblPrEx>
          <w:tblCellMar>
            <w:top w:w="0" w:type="dxa"/>
            <w:left w:w="0" w:type="dxa"/>
            <w:bottom w:w="0" w:type="dxa"/>
            <w:right w:w="0" w:type="dxa"/>
          </w:tblCellMar>
        </w:tblPrEx>
        <w:trPr>
          <w:trHeight w:val="36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炼厂名称</w:t>
            </w:r>
          </w:p>
        </w:tc>
        <w:tc>
          <w:tcPr>
            <w:tcW w:w="7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所在地</w:t>
            </w:r>
          </w:p>
        </w:tc>
        <w:tc>
          <w:tcPr>
            <w:tcW w:w="877"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加工能力</w:t>
            </w:r>
          </w:p>
        </w:tc>
        <w:tc>
          <w:tcPr>
            <w:tcW w:w="103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检修装置</w:t>
            </w:r>
          </w:p>
        </w:tc>
        <w:tc>
          <w:tcPr>
            <w:tcW w:w="2196"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检修产能（单位：万吨）</w:t>
            </w:r>
          </w:p>
        </w:tc>
        <w:tc>
          <w:tcPr>
            <w:tcW w:w="150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起始时间</w:t>
            </w:r>
          </w:p>
        </w:tc>
        <w:tc>
          <w:tcPr>
            <w:tcW w:w="153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结束时间</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济南炼化</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山东</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800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800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2021/2/19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2021/4/15</w:t>
            </w:r>
          </w:p>
        </w:tc>
      </w:tr>
      <w:tr>
        <w:tblPrEx>
          <w:tblCellMar>
            <w:top w:w="0" w:type="dxa"/>
            <w:left w:w="0" w:type="dxa"/>
            <w:bottom w:w="0" w:type="dxa"/>
            <w:right w:w="0" w:type="dxa"/>
          </w:tblCellMar>
        </w:tblPrEx>
        <w:trPr>
          <w:trHeight w:val="30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金陵石化</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江苏</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1800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2#常减压</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lang w:val="en-US"/>
              </w:rPr>
            </w:pPr>
            <w:r>
              <w:rPr>
                <w:rFonts w:hint="eastAsia" w:asciiTheme="minorEastAsia" w:hAnsiTheme="minorEastAsia" w:eastAsiaTheme="minorEastAsia" w:cstheme="minorEastAsia"/>
                <w:caps w:val="0"/>
                <w:spacing w:val="0"/>
                <w:sz w:val="20"/>
                <w:szCs w:val="20"/>
              </w:rPr>
              <w:t>300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2021/3/20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2021/4/22</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燕山石化</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北京</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1350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4#常减压</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1000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lang w:val="en-US"/>
              </w:rPr>
            </w:pPr>
            <w:r>
              <w:rPr>
                <w:rFonts w:hint="eastAsia" w:asciiTheme="minorEastAsia" w:hAnsiTheme="minorEastAsia" w:eastAsiaTheme="minorEastAsia" w:cstheme="minorEastAsia"/>
                <w:caps w:val="0"/>
                <w:spacing w:val="0"/>
                <w:sz w:val="20"/>
                <w:szCs w:val="20"/>
              </w:rPr>
              <w:t>2020/3/29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2021/5/14</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长岭石化</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湖南</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1150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1150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2021/2/20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2021/4/30</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塔河石化</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新疆</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500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常减压</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350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2021/4</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上海石化</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上海</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1600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1600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lang w:val="en-US"/>
              </w:rPr>
            </w:pPr>
            <w:r>
              <w:rPr>
                <w:rFonts w:hint="eastAsia" w:asciiTheme="minorEastAsia" w:hAnsiTheme="minorEastAsia" w:eastAsiaTheme="minorEastAsia" w:cstheme="minorEastAsia"/>
                <w:caps w:val="0"/>
                <w:spacing w:val="0"/>
                <w:sz w:val="20"/>
                <w:szCs w:val="20"/>
              </w:rPr>
              <w:t>2021/4/14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2021/6/18</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九江石化</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江西</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1000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1000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2021/4/8</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2021/5/15</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沧州炼厂</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河北</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350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350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2021/5/10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2021/7/10</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扬子石化</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江苏</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1450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焦化装置</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2021/7</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茂名石化</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广东</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5#常减压</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1000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2021/6/1</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2021/7/10</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石家庄炼厂</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河北</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1000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1000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2021/8/28</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2021/10/28</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齐鲁石化</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山东</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1300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3#常减压</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2021/8/10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2021/9/19</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胜利油田</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山东</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300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300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2021/8/1</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2021/9/15</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lang w:val="en-US" w:eastAsia="zh-CN"/>
              </w:rPr>
            </w:pPr>
            <w:r>
              <w:rPr>
                <w:rFonts w:hint="eastAsia" w:asciiTheme="minorEastAsia" w:hAnsiTheme="minorEastAsia" w:eastAsiaTheme="minorEastAsia" w:cstheme="minorEastAsia"/>
                <w:caps w:val="0"/>
                <w:spacing w:val="0"/>
                <w:sz w:val="20"/>
                <w:szCs w:val="20"/>
              </w:rPr>
              <w:t>海南炼化</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lang w:val="en-US" w:eastAsia="zh-CN"/>
              </w:rPr>
            </w:pPr>
            <w:r>
              <w:rPr>
                <w:rFonts w:hint="eastAsia" w:asciiTheme="minorEastAsia" w:hAnsiTheme="minorEastAsia" w:eastAsiaTheme="minorEastAsia" w:cstheme="minorEastAsia"/>
                <w:caps w:val="0"/>
                <w:spacing w:val="0"/>
                <w:sz w:val="20"/>
                <w:szCs w:val="20"/>
              </w:rPr>
              <w:t>海南</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lang w:val="en-US" w:eastAsia="zh-CN"/>
              </w:rPr>
            </w:pPr>
            <w:r>
              <w:rPr>
                <w:rFonts w:hint="eastAsia" w:asciiTheme="minorEastAsia" w:hAnsiTheme="minorEastAsia" w:eastAsiaTheme="minorEastAsia" w:cstheme="minorEastAsia"/>
                <w:caps w:val="0"/>
                <w:spacing w:val="0"/>
                <w:sz w:val="20"/>
                <w:szCs w:val="20"/>
              </w:rPr>
              <w:t>950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lang w:val="en-US" w:eastAsia="zh-CN"/>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lang w:val="en-US" w:eastAsia="zh-CN"/>
              </w:rPr>
            </w:pPr>
            <w:r>
              <w:rPr>
                <w:rFonts w:hint="eastAsia" w:asciiTheme="minorEastAsia" w:hAnsiTheme="minorEastAsia" w:eastAsiaTheme="minorEastAsia" w:cstheme="minorEastAsia"/>
                <w:caps w:val="0"/>
                <w:spacing w:val="0"/>
                <w:sz w:val="20"/>
                <w:szCs w:val="20"/>
              </w:rPr>
              <w:t>950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lang w:val="en-US" w:eastAsia="zh-CN"/>
              </w:rPr>
            </w:pPr>
            <w:r>
              <w:rPr>
                <w:rFonts w:hint="eastAsia" w:asciiTheme="minorEastAsia" w:hAnsiTheme="minorEastAsia" w:eastAsiaTheme="minorEastAsia" w:cstheme="minorEastAsia"/>
                <w:caps w:val="0"/>
                <w:spacing w:val="0"/>
                <w:sz w:val="20"/>
                <w:szCs w:val="20"/>
              </w:rPr>
              <w:t>2021/11</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lang w:val="en-US" w:eastAsia="zh-CN"/>
              </w:rPr>
            </w:pPr>
            <w:r>
              <w:rPr>
                <w:rFonts w:hint="eastAsia" w:asciiTheme="minorEastAsia" w:hAnsiTheme="minorEastAsia" w:eastAsiaTheme="minorEastAsia" w:cstheme="minorEastAsia"/>
                <w:caps w:val="0"/>
                <w:spacing w:val="0"/>
                <w:sz w:val="20"/>
                <w:szCs w:val="20"/>
              </w:rPr>
              <w:t>2021/12</w:t>
            </w:r>
          </w:p>
        </w:tc>
      </w:tr>
      <w:tr>
        <w:tblPrEx>
          <w:tblCellMar>
            <w:top w:w="0" w:type="dxa"/>
            <w:left w:w="0" w:type="dxa"/>
            <w:bottom w:w="0" w:type="dxa"/>
            <w:right w:w="0" w:type="dxa"/>
          </w:tblCellMar>
        </w:tblPrEx>
        <w:trPr>
          <w:trHeight w:val="330" w:hRule="atLeast"/>
          <w:jc w:val="center"/>
        </w:trPr>
        <w:tc>
          <w:tcPr>
            <w:tcW w:w="9058" w:type="dxa"/>
            <w:gridSpan w:val="7"/>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中石油旗下炼厂检修计划</w:t>
            </w:r>
          </w:p>
        </w:tc>
      </w:tr>
      <w:tr>
        <w:tblPrEx>
          <w:tblCellMar>
            <w:top w:w="0" w:type="dxa"/>
            <w:left w:w="0" w:type="dxa"/>
            <w:bottom w:w="0" w:type="dxa"/>
            <w:right w:w="0" w:type="dxa"/>
          </w:tblCellMar>
        </w:tblPrEx>
        <w:trPr>
          <w:trHeight w:val="36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炼厂名称</w:t>
            </w:r>
          </w:p>
        </w:tc>
        <w:tc>
          <w:tcPr>
            <w:tcW w:w="7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所在地</w:t>
            </w:r>
          </w:p>
        </w:tc>
        <w:tc>
          <w:tcPr>
            <w:tcW w:w="877"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加工能力</w:t>
            </w:r>
          </w:p>
        </w:tc>
        <w:tc>
          <w:tcPr>
            <w:tcW w:w="103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检修装置</w:t>
            </w:r>
          </w:p>
        </w:tc>
        <w:tc>
          <w:tcPr>
            <w:tcW w:w="2196"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检修产能（单位：万吨）</w:t>
            </w:r>
          </w:p>
        </w:tc>
        <w:tc>
          <w:tcPr>
            <w:tcW w:w="150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起始时间</w:t>
            </w:r>
          </w:p>
        </w:tc>
        <w:tc>
          <w:tcPr>
            <w:tcW w:w="153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结束时间</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云南石化</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云南</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1300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1300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2020/12/5</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2021/1/24</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抚顺石化</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辽宁</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1150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1150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lang w:val="en-US"/>
              </w:rPr>
            </w:pPr>
            <w:r>
              <w:rPr>
                <w:rFonts w:hint="eastAsia" w:asciiTheme="minorEastAsia" w:hAnsiTheme="minorEastAsia" w:eastAsiaTheme="minorEastAsia" w:cstheme="minorEastAsia"/>
                <w:caps w:val="0"/>
                <w:spacing w:val="0"/>
                <w:sz w:val="20"/>
                <w:szCs w:val="20"/>
              </w:rPr>
              <w:t>2021/4/10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lang w:val="en-US"/>
              </w:rPr>
            </w:pPr>
            <w:r>
              <w:rPr>
                <w:rFonts w:hint="eastAsia" w:asciiTheme="minorEastAsia" w:hAnsiTheme="minorEastAsia" w:eastAsiaTheme="minorEastAsia" w:cstheme="minorEastAsia"/>
                <w:caps w:val="0"/>
                <w:spacing w:val="0"/>
                <w:sz w:val="20"/>
                <w:szCs w:val="20"/>
              </w:rPr>
              <w:t>2021/5月底</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吉林石化</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吉林</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1000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1000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2021/6</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2021/7</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大港石化</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天津</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500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500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2021/4/12</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2021/6/7</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格尔木炼厂</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青海</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150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150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2021/7/1</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2021/8/15</w:t>
            </w:r>
          </w:p>
        </w:tc>
      </w:tr>
      <w:tr>
        <w:tblPrEx>
          <w:tblCellMar>
            <w:top w:w="0" w:type="dxa"/>
            <w:left w:w="0" w:type="dxa"/>
            <w:bottom w:w="0" w:type="dxa"/>
            <w:right w:w="0" w:type="dxa"/>
          </w:tblCellMar>
        </w:tblPrEx>
        <w:trPr>
          <w:trHeight w:val="380" w:hRule="atLeast"/>
          <w:jc w:val="center"/>
        </w:trPr>
        <w:tc>
          <w:tcPr>
            <w:tcW w:w="9058" w:type="dxa"/>
            <w:gridSpan w:val="7"/>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中</w:t>
            </w:r>
            <w:r>
              <w:rPr>
                <w:rFonts w:hint="eastAsia" w:ascii="宋体" w:hAnsi="宋体" w:cs="宋体"/>
                <w:b/>
                <w:i w:val="0"/>
                <w:color w:val="000000"/>
                <w:kern w:val="0"/>
                <w:sz w:val="24"/>
                <w:szCs w:val="24"/>
                <w:u w:val="none"/>
                <w:lang w:val="en-US" w:eastAsia="zh-CN" w:bidi="ar"/>
              </w:rPr>
              <w:t>海</w:t>
            </w:r>
            <w:r>
              <w:rPr>
                <w:rFonts w:hint="eastAsia" w:ascii="宋体" w:hAnsi="宋体" w:eastAsia="宋体" w:cs="宋体"/>
                <w:b/>
                <w:i w:val="0"/>
                <w:color w:val="000000"/>
                <w:kern w:val="0"/>
                <w:sz w:val="24"/>
                <w:szCs w:val="24"/>
                <w:u w:val="none"/>
                <w:lang w:val="en-US" w:eastAsia="zh-CN" w:bidi="ar"/>
              </w:rPr>
              <w:t>油旗下炼厂检修计划</w:t>
            </w:r>
          </w:p>
        </w:tc>
      </w:tr>
      <w:tr>
        <w:tblPrEx>
          <w:tblCellMar>
            <w:top w:w="0" w:type="dxa"/>
            <w:left w:w="0" w:type="dxa"/>
            <w:bottom w:w="0" w:type="dxa"/>
            <w:right w:w="0" w:type="dxa"/>
          </w:tblCellMar>
        </w:tblPrEx>
        <w:trPr>
          <w:trHeight w:val="40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炼厂名称</w:t>
            </w:r>
          </w:p>
        </w:tc>
        <w:tc>
          <w:tcPr>
            <w:tcW w:w="7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所在地</w:t>
            </w:r>
          </w:p>
        </w:tc>
        <w:tc>
          <w:tcPr>
            <w:tcW w:w="877"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加工能力</w:t>
            </w:r>
          </w:p>
        </w:tc>
        <w:tc>
          <w:tcPr>
            <w:tcW w:w="103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检修装置</w:t>
            </w:r>
          </w:p>
        </w:tc>
        <w:tc>
          <w:tcPr>
            <w:tcW w:w="2196"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检修产能（单位：万吨）</w:t>
            </w:r>
          </w:p>
        </w:tc>
        <w:tc>
          <w:tcPr>
            <w:tcW w:w="150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起始时间</w:t>
            </w:r>
          </w:p>
        </w:tc>
        <w:tc>
          <w:tcPr>
            <w:tcW w:w="153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结束时间</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东方石化</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海南</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2021/3/4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lang w:val="en-US"/>
              </w:rPr>
            </w:pPr>
            <w:r>
              <w:rPr>
                <w:rFonts w:hint="eastAsia" w:asciiTheme="minorEastAsia" w:hAnsiTheme="minorEastAsia" w:eastAsiaTheme="minorEastAsia" w:cstheme="minorEastAsia"/>
                <w:caps w:val="0"/>
                <w:spacing w:val="0"/>
                <w:sz w:val="20"/>
                <w:szCs w:val="20"/>
              </w:rPr>
              <w:t>2021/4/20</w:t>
            </w:r>
          </w:p>
        </w:tc>
      </w:tr>
      <w:tr>
        <w:tblPrEx>
          <w:tblCellMar>
            <w:top w:w="0" w:type="dxa"/>
            <w:left w:w="0" w:type="dxa"/>
            <w:bottom w:w="0" w:type="dxa"/>
            <w:right w:w="0" w:type="dxa"/>
          </w:tblCellMar>
        </w:tblPrEx>
        <w:trPr>
          <w:trHeight w:val="257"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惠州炼化</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广东</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二期</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1000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lang w:val="en-US"/>
              </w:rPr>
            </w:pPr>
            <w:r>
              <w:rPr>
                <w:rFonts w:hint="eastAsia" w:asciiTheme="minorEastAsia" w:hAnsiTheme="minorEastAsia" w:eastAsiaTheme="minorEastAsia" w:cstheme="minorEastAsia"/>
                <w:caps w:val="0"/>
                <w:spacing w:val="0"/>
                <w:sz w:val="20"/>
                <w:szCs w:val="20"/>
              </w:rPr>
              <w:t>2021/3/4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rPr>
              <w:t>2021/4月中旬</w:t>
            </w:r>
          </w:p>
        </w:tc>
      </w:tr>
      <w:tr>
        <w:tblPrEx>
          <w:tblCellMar>
            <w:top w:w="0" w:type="dxa"/>
            <w:left w:w="0" w:type="dxa"/>
            <w:bottom w:w="0" w:type="dxa"/>
            <w:right w:w="0" w:type="dxa"/>
          </w:tblCellMar>
        </w:tblPrEx>
        <w:trPr>
          <w:trHeight w:val="270" w:hRule="atLeast"/>
          <w:jc w:val="center"/>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lang w:val="en-US" w:eastAsia="zh-CN"/>
              </w:rPr>
            </w:pPr>
            <w:r>
              <w:rPr>
                <w:rFonts w:hint="eastAsia" w:asciiTheme="minorEastAsia" w:hAnsiTheme="minorEastAsia" w:eastAsiaTheme="minorEastAsia" w:cstheme="minorEastAsia"/>
                <w:caps w:val="0"/>
                <w:spacing w:val="0"/>
                <w:sz w:val="20"/>
                <w:szCs w:val="20"/>
              </w:rPr>
              <w:t>宁波大榭</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lang w:val="en-US" w:eastAsia="zh-CN"/>
              </w:rPr>
            </w:pPr>
            <w:r>
              <w:rPr>
                <w:rFonts w:hint="eastAsia" w:asciiTheme="minorEastAsia" w:hAnsiTheme="minorEastAsia" w:eastAsiaTheme="minorEastAsia" w:cstheme="minorEastAsia"/>
                <w:caps w:val="0"/>
                <w:spacing w:val="0"/>
                <w:sz w:val="20"/>
                <w:szCs w:val="20"/>
              </w:rPr>
              <w:t>浙江</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lang w:val="en-US" w:eastAsia="zh-CN"/>
              </w:rPr>
            </w:pPr>
            <w:r>
              <w:rPr>
                <w:rFonts w:hint="eastAsia" w:asciiTheme="minorEastAsia" w:hAnsiTheme="minorEastAsia" w:eastAsiaTheme="minorEastAsia" w:cstheme="minorEastAsia"/>
                <w:caps w:val="0"/>
                <w:spacing w:val="0"/>
                <w:sz w:val="20"/>
                <w:szCs w:val="20"/>
              </w:rPr>
              <w:t>800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lang w:val="en-US" w:eastAsia="zh-CN"/>
              </w:rPr>
            </w:pPr>
            <w:r>
              <w:rPr>
                <w:rFonts w:hint="eastAsia" w:asciiTheme="minorEastAsia" w:hAnsiTheme="minorEastAsia" w:eastAsiaTheme="minorEastAsia" w:cstheme="minorEastAsia"/>
                <w:caps w:val="0"/>
                <w:spacing w:val="0"/>
                <w:sz w:val="20"/>
                <w:szCs w:val="20"/>
              </w:rPr>
              <w:t>全厂检修</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lang w:val="en-US" w:eastAsia="zh-CN"/>
              </w:rPr>
            </w:pPr>
            <w:r>
              <w:rPr>
                <w:rFonts w:hint="eastAsia" w:asciiTheme="minorEastAsia" w:hAnsiTheme="minorEastAsia" w:eastAsiaTheme="minorEastAsia" w:cstheme="minorEastAsia"/>
                <w:caps w:val="0"/>
                <w:spacing w:val="0"/>
                <w:sz w:val="20"/>
                <w:szCs w:val="20"/>
              </w:rPr>
              <w:t>800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lang w:val="en-US" w:eastAsia="zh-CN"/>
              </w:rPr>
            </w:pPr>
            <w:r>
              <w:rPr>
                <w:rFonts w:hint="eastAsia" w:asciiTheme="minorEastAsia" w:hAnsiTheme="minorEastAsia" w:eastAsiaTheme="minorEastAsia" w:cstheme="minorEastAsia"/>
                <w:caps w:val="0"/>
                <w:spacing w:val="0"/>
                <w:sz w:val="20"/>
                <w:szCs w:val="20"/>
              </w:rPr>
              <w:t>2021/4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textAlignment w:val="center"/>
              <w:rPr>
                <w:rFonts w:hint="eastAsia" w:asciiTheme="minorEastAsia" w:hAnsiTheme="minorEastAsia" w:eastAsiaTheme="minorEastAsia" w:cstheme="minorEastAsia"/>
                <w:caps w:val="0"/>
                <w:spacing w:val="0"/>
                <w:sz w:val="20"/>
                <w:szCs w:val="20"/>
                <w:lang w:val="en-US" w:eastAsia="zh-CN"/>
              </w:rPr>
            </w:pPr>
            <w:r>
              <w:rPr>
                <w:rFonts w:hint="eastAsia" w:asciiTheme="minorEastAsia" w:hAnsiTheme="minorEastAsia" w:eastAsiaTheme="minorEastAsia" w:cstheme="minorEastAsia"/>
                <w:caps w:val="0"/>
                <w:spacing w:val="0"/>
                <w:sz w:val="20"/>
                <w:szCs w:val="20"/>
              </w:rPr>
              <w:t>2021/5/15</w:t>
            </w:r>
          </w:p>
        </w:tc>
      </w:tr>
    </w:tbl>
    <w:p>
      <w:pPr>
        <w:numPr>
          <w:ilvl w:val="0"/>
          <w:numId w:val="0"/>
        </w:numPr>
        <w:rPr>
          <w:rFonts w:hint="eastAsia" w:ascii="宋体" w:hAnsi="宋体"/>
          <w:sz w:val="28"/>
          <w:szCs w:val="28"/>
          <w:highlight w:val="none"/>
        </w:rPr>
      </w:pPr>
    </w:p>
    <w:p>
      <w:pPr>
        <w:numPr>
          <w:ilvl w:val="0"/>
          <w:numId w:val="3"/>
        </w:numPr>
        <w:rPr>
          <w:rFonts w:hint="eastAsia" w:ascii="宋体" w:hAnsi="宋体"/>
          <w:color w:val="auto"/>
          <w:sz w:val="28"/>
          <w:szCs w:val="28"/>
          <w:highlight w:val="none"/>
        </w:rPr>
      </w:pPr>
      <w:r>
        <w:rPr>
          <w:rFonts w:hint="eastAsia" w:ascii="宋体" w:hAnsi="宋体"/>
          <w:color w:val="auto"/>
          <w:sz w:val="28"/>
          <w:szCs w:val="28"/>
          <w:highlight w:val="none"/>
        </w:rPr>
        <w:t>国内地方炼厂装置检修情况</w:t>
      </w:r>
    </w:p>
    <w:tbl>
      <w:tblPr>
        <w:tblStyle w:val="24"/>
        <w:tblW w:w="9030" w:type="dxa"/>
        <w:jc w:val="center"/>
        <w:shd w:val="clear" w:color="auto" w:fill="auto"/>
        <w:tblLayout w:type="autofit"/>
        <w:tblCellMar>
          <w:top w:w="0" w:type="dxa"/>
          <w:left w:w="0" w:type="dxa"/>
          <w:bottom w:w="0" w:type="dxa"/>
          <w:right w:w="0" w:type="dxa"/>
        </w:tblCellMar>
      </w:tblPr>
      <w:tblGrid>
        <w:gridCol w:w="1247"/>
        <w:gridCol w:w="1247"/>
        <w:gridCol w:w="1247"/>
        <w:gridCol w:w="1247"/>
        <w:gridCol w:w="1247"/>
        <w:gridCol w:w="1393"/>
        <w:gridCol w:w="1402"/>
      </w:tblGrid>
      <w:tr>
        <w:tblPrEx>
          <w:shd w:val="clear" w:color="auto" w:fill="auto"/>
          <w:tblCellMar>
            <w:top w:w="0" w:type="dxa"/>
            <w:left w:w="0" w:type="dxa"/>
            <w:bottom w:w="0" w:type="dxa"/>
            <w:right w:w="0" w:type="dxa"/>
          </w:tblCellMar>
        </w:tblPrEx>
        <w:trPr>
          <w:trHeight w:val="550" w:hRule="atLeast"/>
          <w:jc w:val="center"/>
        </w:trPr>
        <w:tc>
          <w:tcPr>
            <w:tcW w:w="9030" w:type="dxa"/>
            <w:gridSpan w:val="7"/>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i w:val="0"/>
                <w:color w:val="000000"/>
                <w:kern w:val="0"/>
                <w:sz w:val="20"/>
                <w:szCs w:val="20"/>
                <w:u w:val="none"/>
                <w:lang w:val="en-US" w:eastAsia="zh-CN" w:bidi="ar"/>
              </w:rPr>
              <w:t>地方炼厂装置检修计划表(单位：万吨)</w:t>
            </w:r>
          </w:p>
        </w:tc>
      </w:tr>
      <w:tr>
        <w:tblPrEx>
          <w:tblCellMar>
            <w:top w:w="0" w:type="dxa"/>
            <w:left w:w="0" w:type="dxa"/>
            <w:bottom w:w="0" w:type="dxa"/>
            <w:right w:w="0" w:type="dxa"/>
          </w:tblCellMar>
        </w:tblPrEx>
        <w:trPr>
          <w:trHeight w:val="392" w:hRule="atLeast"/>
          <w:jc w:val="center"/>
        </w:trPr>
        <w:tc>
          <w:tcPr>
            <w:tcW w:w="1247"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区域</w:t>
            </w:r>
          </w:p>
        </w:tc>
        <w:tc>
          <w:tcPr>
            <w:tcW w:w="1247"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i w:val="0"/>
                <w:color w:val="000000"/>
                <w:kern w:val="0"/>
                <w:sz w:val="20"/>
                <w:szCs w:val="20"/>
                <w:u w:val="none"/>
                <w:lang w:val="en-US" w:eastAsia="zh-CN" w:bidi="ar"/>
              </w:rPr>
              <w:t>省市</w:t>
            </w:r>
          </w:p>
        </w:tc>
        <w:tc>
          <w:tcPr>
            <w:tcW w:w="1247"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i w:val="0"/>
                <w:color w:val="000000"/>
                <w:kern w:val="0"/>
                <w:sz w:val="20"/>
                <w:szCs w:val="20"/>
                <w:u w:val="none"/>
                <w:lang w:val="en-US" w:eastAsia="zh-CN" w:bidi="ar"/>
              </w:rPr>
              <w:t>炼厂名称</w:t>
            </w:r>
          </w:p>
        </w:tc>
        <w:tc>
          <w:tcPr>
            <w:tcW w:w="1247"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i w:val="0"/>
                <w:color w:val="000000"/>
                <w:kern w:val="0"/>
                <w:sz w:val="20"/>
                <w:szCs w:val="20"/>
                <w:u w:val="none"/>
                <w:lang w:val="en-US" w:eastAsia="zh-CN" w:bidi="ar"/>
              </w:rPr>
              <w:t>检修装置</w:t>
            </w:r>
          </w:p>
        </w:tc>
        <w:tc>
          <w:tcPr>
            <w:tcW w:w="1247"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产能</w:t>
            </w:r>
          </w:p>
        </w:tc>
        <w:tc>
          <w:tcPr>
            <w:tcW w:w="1393"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起始时间</w:t>
            </w:r>
          </w:p>
        </w:tc>
        <w:tc>
          <w:tcPr>
            <w:tcW w:w="1402"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结束时间</w:t>
            </w:r>
          </w:p>
        </w:tc>
      </w:tr>
      <w:tr>
        <w:tblPrEx>
          <w:tblCellMar>
            <w:top w:w="0" w:type="dxa"/>
            <w:left w:w="0" w:type="dxa"/>
            <w:bottom w:w="0" w:type="dxa"/>
            <w:right w:w="0" w:type="dxa"/>
          </w:tblCellMar>
        </w:tblPrEx>
        <w:trPr>
          <w:trHeight w:val="270" w:hRule="atLeast"/>
          <w:jc w:val="center"/>
        </w:trPr>
        <w:tc>
          <w:tcPr>
            <w:tcW w:w="1247"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山东</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德州</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恒源石化</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全厂</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350</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2021/6/18</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准备拆除</w:t>
            </w:r>
          </w:p>
        </w:tc>
      </w:tr>
      <w:tr>
        <w:tblPrEx>
          <w:tblCellMar>
            <w:top w:w="0" w:type="dxa"/>
            <w:left w:w="0" w:type="dxa"/>
            <w:bottom w:w="0" w:type="dxa"/>
            <w:right w:w="0" w:type="dxa"/>
          </w:tblCellMar>
        </w:tblPrEx>
        <w:trPr>
          <w:trHeight w:val="270" w:hRule="atLeast"/>
          <w:jc w:val="center"/>
        </w:trPr>
        <w:tc>
          <w:tcPr>
            <w:tcW w:w="124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日照</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中海外</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全厂</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230</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2021/4/15</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2021/6/6</w:t>
            </w:r>
          </w:p>
        </w:tc>
      </w:tr>
      <w:tr>
        <w:tblPrEx>
          <w:tblCellMar>
            <w:top w:w="0" w:type="dxa"/>
            <w:left w:w="0" w:type="dxa"/>
            <w:bottom w:w="0" w:type="dxa"/>
            <w:right w:w="0" w:type="dxa"/>
          </w:tblCellMar>
        </w:tblPrEx>
        <w:trPr>
          <w:trHeight w:val="270" w:hRule="atLeast"/>
          <w:jc w:val="center"/>
        </w:trPr>
        <w:tc>
          <w:tcPr>
            <w:tcW w:w="124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东营</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正和石化</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全厂</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430</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2021/4/22</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2021/6/1</w:t>
            </w:r>
          </w:p>
        </w:tc>
      </w:tr>
      <w:tr>
        <w:tblPrEx>
          <w:tblCellMar>
            <w:top w:w="0" w:type="dxa"/>
            <w:left w:w="0" w:type="dxa"/>
            <w:bottom w:w="0" w:type="dxa"/>
            <w:right w:w="0" w:type="dxa"/>
          </w:tblCellMar>
        </w:tblPrEx>
        <w:trPr>
          <w:trHeight w:val="270" w:hRule="atLeast"/>
          <w:jc w:val="center"/>
        </w:trPr>
        <w:tc>
          <w:tcPr>
            <w:tcW w:w="124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滨州</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博兴永鑫</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常减压</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300</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2021/4/20</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2021/5/27</w:t>
            </w:r>
          </w:p>
        </w:tc>
      </w:tr>
      <w:tr>
        <w:tblPrEx>
          <w:tblCellMar>
            <w:top w:w="0" w:type="dxa"/>
            <w:left w:w="0" w:type="dxa"/>
            <w:bottom w:w="0" w:type="dxa"/>
            <w:right w:w="0" w:type="dxa"/>
          </w:tblCellMar>
        </w:tblPrEx>
        <w:trPr>
          <w:trHeight w:val="270" w:hRule="atLeast"/>
          <w:jc w:val="center"/>
        </w:trPr>
        <w:tc>
          <w:tcPr>
            <w:tcW w:w="124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东营</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尚能石化</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全厂</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260</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2021/7/1</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2021/8</w:t>
            </w:r>
          </w:p>
        </w:tc>
      </w:tr>
      <w:tr>
        <w:tblPrEx>
          <w:tblCellMar>
            <w:top w:w="0" w:type="dxa"/>
            <w:left w:w="0" w:type="dxa"/>
            <w:bottom w:w="0" w:type="dxa"/>
            <w:right w:w="0" w:type="dxa"/>
          </w:tblCellMar>
        </w:tblPrEx>
        <w:trPr>
          <w:trHeight w:val="270" w:hRule="atLeast"/>
          <w:jc w:val="center"/>
        </w:trPr>
        <w:tc>
          <w:tcPr>
            <w:tcW w:w="124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东营</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海科瑞林</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全厂</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230</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2021/7月中旬</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待定</w:t>
            </w:r>
          </w:p>
        </w:tc>
      </w:tr>
      <w:tr>
        <w:tblPrEx>
          <w:tblCellMar>
            <w:top w:w="0" w:type="dxa"/>
            <w:left w:w="0" w:type="dxa"/>
            <w:bottom w:w="0" w:type="dxa"/>
            <w:right w:w="0" w:type="dxa"/>
          </w:tblCellMar>
        </w:tblPrEx>
        <w:trPr>
          <w:trHeight w:val="270" w:hRule="atLeast"/>
          <w:jc w:val="center"/>
        </w:trPr>
        <w:tc>
          <w:tcPr>
            <w:tcW w:w="124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东营</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联合石化</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全厂</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590</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2021/7</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2021/8</w:t>
            </w:r>
          </w:p>
        </w:tc>
      </w:tr>
      <w:tr>
        <w:tblPrEx>
          <w:tblCellMar>
            <w:top w:w="0" w:type="dxa"/>
            <w:left w:w="0" w:type="dxa"/>
            <w:bottom w:w="0" w:type="dxa"/>
            <w:right w:w="0" w:type="dxa"/>
          </w:tblCellMar>
        </w:tblPrEx>
        <w:trPr>
          <w:trHeight w:val="270" w:hRule="atLeast"/>
          <w:jc w:val="center"/>
        </w:trPr>
        <w:tc>
          <w:tcPr>
            <w:tcW w:w="124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潍坊</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弘润石化</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轮检</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2021/7</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2021/8</w:t>
            </w:r>
          </w:p>
        </w:tc>
      </w:tr>
      <w:tr>
        <w:tblPrEx>
          <w:tblCellMar>
            <w:top w:w="0" w:type="dxa"/>
            <w:left w:w="0" w:type="dxa"/>
            <w:bottom w:w="0" w:type="dxa"/>
            <w:right w:w="0" w:type="dxa"/>
          </w:tblCellMar>
        </w:tblPrEx>
        <w:trPr>
          <w:trHeight w:val="270" w:hRule="atLeast"/>
          <w:jc w:val="center"/>
        </w:trPr>
        <w:tc>
          <w:tcPr>
            <w:tcW w:w="124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日照</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海右石化</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全厂</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350</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2021/1</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2021/6</w:t>
            </w:r>
          </w:p>
        </w:tc>
      </w:tr>
      <w:tr>
        <w:tblPrEx>
          <w:tblCellMar>
            <w:top w:w="0" w:type="dxa"/>
            <w:left w:w="0" w:type="dxa"/>
            <w:bottom w:w="0" w:type="dxa"/>
            <w:right w:w="0" w:type="dxa"/>
          </w:tblCellMar>
        </w:tblPrEx>
        <w:trPr>
          <w:trHeight w:val="270" w:hRule="atLeast"/>
          <w:jc w:val="center"/>
        </w:trPr>
        <w:tc>
          <w:tcPr>
            <w:tcW w:w="124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东营</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齐成石化</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轮检</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2021/5/8</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2021/7/1</w:t>
            </w:r>
          </w:p>
        </w:tc>
      </w:tr>
      <w:tr>
        <w:tblPrEx>
          <w:tblCellMar>
            <w:top w:w="0" w:type="dxa"/>
            <w:left w:w="0" w:type="dxa"/>
            <w:bottom w:w="0" w:type="dxa"/>
            <w:right w:w="0" w:type="dxa"/>
          </w:tblCellMar>
        </w:tblPrEx>
        <w:trPr>
          <w:trHeight w:val="270" w:hRule="atLeast"/>
          <w:jc w:val="center"/>
        </w:trPr>
        <w:tc>
          <w:tcPr>
            <w:tcW w:w="124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124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东营</w:t>
            </w:r>
          </w:p>
        </w:tc>
        <w:tc>
          <w:tcPr>
            <w:tcW w:w="124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垦利石化</w:t>
            </w:r>
          </w:p>
        </w:tc>
        <w:tc>
          <w:tcPr>
            <w:tcW w:w="124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全厂</w:t>
            </w:r>
          </w:p>
        </w:tc>
        <w:tc>
          <w:tcPr>
            <w:tcW w:w="124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400</w:t>
            </w:r>
          </w:p>
        </w:tc>
        <w:tc>
          <w:tcPr>
            <w:tcW w:w="139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2021/8月底</w:t>
            </w:r>
          </w:p>
        </w:tc>
        <w:tc>
          <w:tcPr>
            <w:tcW w:w="14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待定</w:t>
            </w:r>
          </w:p>
        </w:tc>
      </w:tr>
      <w:tr>
        <w:tblPrEx>
          <w:tblCellMar>
            <w:top w:w="0" w:type="dxa"/>
            <w:left w:w="0" w:type="dxa"/>
            <w:bottom w:w="0" w:type="dxa"/>
            <w:right w:w="0" w:type="dxa"/>
          </w:tblCellMar>
        </w:tblPrEx>
        <w:trPr>
          <w:trHeight w:val="270" w:hRule="atLeast"/>
          <w:jc w:val="center"/>
        </w:trPr>
        <w:tc>
          <w:tcPr>
            <w:tcW w:w="12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西南</w:t>
            </w:r>
          </w:p>
        </w:tc>
        <w:tc>
          <w:tcPr>
            <w:tcW w:w="12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重庆</w:t>
            </w:r>
          </w:p>
        </w:tc>
        <w:tc>
          <w:tcPr>
            <w:tcW w:w="12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龙海石化</w:t>
            </w:r>
          </w:p>
        </w:tc>
        <w:tc>
          <w:tcPr>
            <w:tcW w:w="12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全厂检修</w:t>
            </w:r>
          </w:p>
        </w:tc>
        <w:tc>
          <w:tcPr>
            <w:tcW w:w="12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3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2021/2/2</w:t>
            </w:r>
          </w:p>
        </w:tc>
        <w:tc>
          <w:tcPr>
            <w:tcW w:w="14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2021/3月底</w:t>
            </w:r>
          </w:p>
        </w:tc>
      </w:tr>
      <w:tr>
        <w:tblPrEx>
          <w:tblCellMar>
            <w:top w:w="0" w:type="dxa"/>
            <w:left w:w="0" w:type="dxa"/>
            <w:bottom w:w="0" w:type="dxa"/>
            <w:right w:w="0" w:type="dxa"/>
          </w:tblCellMar>
        </w:tblPrEx>
        <w:trPr>
          <w:trHeight w:val="300" w:hRule="atLeast"/>
          <w:jc w:val="center"/>
        </w:trPr>
        <w:tc>
          <w:tcPr>
            <w:tcW w:w="1247"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东北</w:t>
            </w:r>
          </w:p>
        </w:tc>
        <w:tc>
          <w:tcPr>
            <w:tcW w:w="124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辽宁</w:t>
            </w:r>
          </w:p>
        </w:tc>
        <w:tc>
          <w:tcPr>
            <w:tcW w:w="124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辽宁缘泰</w:t>
            </w:r>
          </w:p>
        </w:tc>
        <w:tc>
          <w:tcPr>
            <w:tcW w:w="124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常减压装置</w:t>
            </w:r>
          </w:p>
        </w:tc>
        <w:tc>
          <w:tcPr>
            <w:tcW w:w="124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300</w:t>
            </w:r>
          </w:p>
        </w:tc>
        <w:tc>
          <w:tcPr>
            <w:tcW w:w="139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2021/2/22</w:t>
            </w:r>
          </w:p>
        </w:tc>
        <w:tc>
          <w:tcPr>
            <w:tcW w:w="14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待定</w:t>
            </w:r>
          </w:p>
        </w:tc>
      </w:tr>
      <w:tr>
        <w:tblPrEx>
          <w:tblCellMar>
            <w:top w:w="0" w:type="dxa"/>
            <w:left w:w="0" w:type="dxa"/>
            <w:bottom w:w="0" w:type="dxa"/>
            <w:right w:w="0" w:type="dxa"/>
          </w:tblCellMar>
        </w:tblPrEx>
        <w:trPr>
          <w:trHeight w:val="270" w:hRule="atLeast"/>
          <w:jc w:val="center"/>
        </w:trPr>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辽宁</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盘锦浩业</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催化</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140</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2021/3</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2021/5</w:t>
            </w:r>
          </w:p>
        </w:tc>
      </w:tr>
      <w:tr>
        <w:tblPrEx>
          <w:tblCellMar>
            <w:top w:w="0" w:type="dxa"/>
            <w:left w:w="0" w:type="dxa"/>
            <w:bottom w:w="0" w:type="dxa"/>
            <w:right w:w="0" w:type="dxa"/>
          </w:tblCellMar>
        </w:tblPrEx>
        <w:trPr>
          <w:trHeight w:val="270" w:hRule="atLeast"/>
          <w:jc w:val="center"/>
        </w:trPr>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辽宁</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大连锦源</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全厂检修</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2021/5/6</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44355</w:t>
            </w:r>
          </w:p>
        </w:tc>
      </w:tr>
      <w:tr>
        <w:tblPrEx>
          <w:tblCellMar>
            <w:top w:w="0" w:type="dxa"/>
            <w:left w:w="0" w:type="dxa"/>
            <w:bottom w:w="0" w:type="dxa"/>
            <w:right w:w="0" w:type="dxa"/>
          </w:tblCellMar>
        </w:tblPrEx>
        <w:trPr>
          <w:trHeight w:val="270" w:hRule="atLeast"/>
          <w:jc w:val="center"/>
        </w:trPr>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黑龙江</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大庆中蓝</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全厂检修</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220</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2021/7/10</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2021/8/30</w:t>
            </w:r>
          </w:p>
        </w:tc>
      </w:tr>
      <w:tr>
        <w:tblPrEx>
          <w:tblCellMar>
            <w:top w:w="0" w:type="dxa"/>
            <w:left w:w="0" w:type="dxa"/>
            <w:bottom w:w="0" w:type="dxa"/>
            <w:right w:w="0" w:type="dxa"/>
          </w:tblCellMar>
        </w:tblPrEx>
        <w:trPr>
          <w:trHeight w:val="270" w:hRule="atLeast"/>
          <w:jc w:val="center"/>
        </w:trPr>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kern w:val="0"/>
                <w:sz w:val="20"/>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辽宁</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辽宁华锦</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全厂检修</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600</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2021/7/15</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2021/8/15</w:t>
            </w:r>
          </w:p>
        </w:tc>
      </w:tr>
      <w:tr>
        <w:tblPrEx>
          <w:tblCellMar>
            <w:top w:w="0" w:type="dxa"/>
            <w:left w:w="0" w:type="dxa"/>
            <w:bottom w:w="0" w:type="dxa"/>
            <w:right w:w="0" w:type="dxa"/>
          </w:tblCellMar>
        </w:tblPrEx>
        <w:trPr>
          <w:trHeight w:val="270" w:hRule="atLeast"/>
          <w:jc w:val="center"/>
        </w:trPr>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华东</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江苏</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新海石化</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全厂检修</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300</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2021/3/25</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2021/5/14</w:t>
            </w:r>
          </w:p>
        </w:tc>
      </w:tr>
    </w:tbl>
    <w:p>
      <w:pPr>
        <w:rPr>
          <w:rFonts w:hint="eastAsia"/>
        </w:rPr>
      </w:pPr>
    </w:p>
    <w:p>
      <w:pPr>
        <w:pStyle w:val="3"/>
        <w:spacing w:before="120" w:after="120" w:line="240" w:lineRule="auto"/>
        <w:rPr>
          <w:rFonts w:hint="eastAsia" w:ascii="宋体" w:hAnsi="宋体"/>
          <w:b/>
          <w:sz w:val="30"/>
          <w:szCs w:val="30"/>
          <w:highlight w:val="none"/>
        </w:rPr>
      </w:pPr>
      <w:bookmarkStart w:id="16" w:name="_Toc13096"/>
      <w:r>
        <w:rPr>
          <w:rFonts w:hint="eastAsia" w:ascii="宋体" w:hAnsi="宋体"/>
          <w:b/>
          <w:sz w:val="30"/>
          <w:szCs w:val="30"/>
          <w:highlight w:val="none"/>
        </w:rPr>
        <w:t>3.2本周成品油市场行情</w:t>
      </w:r>
      <w:bookmarkEnd w:id="16"/>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lang w:eastAsia="zh-CN"/>
        </w:rPr>
      </w:pPr>
      <w:bookmarkStart w:id="17" w:name="_Toc24031"/>
      <w:r>
        <w:rPr>
          <w:rFonts w:hint="eastAsia" w:asciiTheme="minorEastAsia" w:hAnsiTheme="minorEastAsia" w:eastAsiaTheme="minorEastAsia" w:cstheme="minorEastAsia"/>
          <w:color w:val="auto"/>
          <w:kern w:val="2"/>
          <w:sz w:val="28"/>
          <w:szCs w:val="28"/>
          <w:shd w:val="clear" w:color="auto" w:fill="FFFFFF"/>
          <w:lang w:eastAsia="zh-CN"/>
        </w:rPr>
        <w:t>本周(7月9日-7月15日)，受国际原油冲高后大幅回落影响，山东地炼成品油行情呈现涨后回落趋势。近期北方普遍进入高温天气，工矿、基建等行业开工率受抑，导致柴油需求表现平淡。汽车空调使用频率增加，且暑假模式开启，汽油消费速度加快。但山东省本周迎来持续大雨天气，导致运输受到一定限制。另外，周内国际原油宽幅震荡，后市不确定性增强，令市场谨慎情绪加重，采购难有持续性，多数逢低进行适量补仓，追涨购进者寥寥，行情缺乏成交支撑，本周山东地炼汽柴油价格震荡小幅下行为主。</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lang w:eastAsia="zh-CN"/>
        </w:rPr>
      </w:pPr>
      <w:r>
        <w:rPr>
          <w:rFonts w:hint="eastAsia" w:asciiTheme="minorEastAsia" w:hAnsiTheme="minorEastAsia" w:eastAsiaTheme="minorEastAsia" w:cstheme="minorEastAsia"/>
          <w:color w:val="auto"/>
          <w:kern w:val="2"/>
          <w:sz w:val="28"/>
          <w:szCs w:val="28"/>
          <w:shd w:val="clear" w:color="auto" w:fill="FFFFFF"/>
          <w:lang w:eastAsia="zh-CN"/>
        </w:rPr>
        <w:t>本周(7月9日-7月15日)，受国际原油影响，华中地区价格走势偏弱，部分主营销售公司让利以促进成交，价格承压下行，市场成交一般，成交保持优惠，贸易商出货为主。短期内江内价格将维持现有状态。预计，下周华中区域成品油价格下行，建议业者根据自身实际情况合理调整备货周期。</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lang w:eastAsia="zh-CN"/>
        </w:rPr>
      </w:pPr>
      <w:r>
        <w:rPr>
          <w:rFonts w:hint="eastAsia" w:asciiTheme="minorEastAsia" w:hAnsiTheme="minorEastAsia" w:eastAsiaTheme="minorEastAsia" w:cstheme="minorEastAsia"/>
          <w:color w:val="auto"/>
          <w:kern w:val="2"/>
          <w:sz w:val="28"/>
          <w:szCs w:val="28"/>
          <w:shd w:val="clear" w:color="auto" w:fill="FFFFFF"/>
          <w:lang w:eastAsia="zh-CN"/>
        </w:rPr>
        <w:t>本周(7月9日-7月15日)，华东地区成品油行情低迷下行，市场交投气氛愈加冷清。具体来看，国际原油期货震荡下跌，变化率正向区间收窄，消息方面支撑减弱。与此同时，下游需求平淡，业者普遍场外消库观望，主营单位整体出货不畅，汽柴油价格普遍承压下滑。下周来看，国际原油期货震荡整理为主，消息方面利好难寻。与此同时，步入中下旬，主营单位销售压力增大，部分单位或加大优惠力度出货赶量。预计下周华东地区汽柴油行情依然承压。</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lang w:eastAsia="zh-CN"/>
        </w:rPr>
      </w:pPr>
      <w:r>
        <w:rPr>
          <w:rFonts w:hint="eastAsia" w:asciiTheme="minorEastAsia" w:hAnsiTheme="minorEastAsia" w:eastAsiaTheme="minorEastAsia" w:cstheme="minorEastAsia"/>
          <w:color w:val="auto"/>
          <w:kern w:val="2"/>
          <w:sz w:val="28"/>
          <w:szCs w:val="28"/>
          <w:shd w:val="clear" w:color="auto" w:fill="FFFFFF"/>
          <w:lang w:eastAsia="zh-CN"/>
        </w:rPr>
        <w:t>本周(7月9日-7月15日)，国际原油市场走势缺乏稳定性，华南地区业者观望气氛不断升温，实单成交量稀少。具体来看，本周国际原油呈现涨跌交替的盘整走势，消息面利好支撑有限，华南地区汽柴油市场整体维持平稳走势，中石油销售公司依据原油涨跌灵活调整，但由于下游需求情况低迷，市场成交价格基本保持量大优惠政策，刺激出货为主。其他主营公司保持平稳走势，终端企业消耗量减少，业者采购热情难以提振，多消耗前期库存，成交气氛清淡难改。近期国际原油走势充满不确定性，成品油调价窗口处于搁浅预期，市场缺乏明确的政策性导向，预计短期内受低迷的需求情况抑制，整体行情将维持弱势下行走势。</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lang w:eastAsia="zh-CN"/>
        </w:rPr>
      </w:pPr>
      <w:r>
        <w:rPr>
          <w:rFonts w:hint="eastAsia" w:asciiTheme="minorEastAsia" w:hAnsiTheme="minorEastAsia" w:eastAsiaTheme="minorEastAsia" w:cstheme="minorEastAsia"/>
          <w:color w:val="auto"/>
          <w:kern w:val="2"/>
          <w:sz w:val="28"/>
          <w:szCs w:val="28"/>
          <w:shd w:val="clear" w:color="auto" w:fill="FFFFFF"/>
          <w:lang w:eastAsia="zh-CN"/>
        </w:rPr>
        <w:t>本周(7月9日-7月15日)，原油走势宽幅波动 华北地区内汽柴趋弱运行本周国际油价走势震荡上涨，周初原油走势延续涨势，国内调价小涨预期落实，主营单位为刺激出货报价稳中小幅下行，市场需求暂无明显提升，成交气氛整体受限。上调预期落实后适逢原油走势大幅走跌，部分单位继续小幅走跌刺激出货，下游入市心态谨慎，购销气氛维持清淡。周内原油走势反弹，新一轮变化率正值拉宽，部分地区河南、河北等地加大优惠力度刺激出货，下游逢低刚需为主，市场观望气氛仍存。临近周末原油走势再度转跌，区内油价走势稳中小幅趋弱，下游接货心态不高，成交气氛淡稳。后市来看，国际市场消息面市场等待沙特和阿联酋达成一致意见，在OPEC+的产量协议未明朗化之前，国际油价或继续保持震荡态势，本轮调价最终方向仍存不确定性。区内市场来看，消息面支撑受限，价格因素波动因素趋向需求主导，北方多雨天气继续限制柴油需求，汽油需求受暑期带动相对平稳，因此短期内柴油走势承压较重，加之月度中旬商家出货压力较大，预计区内油价走势将继续稳中下行。</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lang w:eastAsia="zh-CN"/>
        </w:rPr>
      </w:pPr>
      <w:r>
        <w:rPr>
          <w:rFonts w:hint="eastAsia" w:asciiTheme="minorEastAsia" w:hAnsiTheme="minorEastAsia" w:eastAsiaTheme="minorEastAsia" w:cstheme="minorEastAsia"/>
          <w:color w:val="auto"/>
          <w:kern w:val="2"/>
          <w:sz w:val="28"/>
          <w:szCs w:val="28"/>
          <w:shd w:val="clear" w:color="auto" w:fill="FFFFFF"/>
          <w:lang w:eastAsia="zh-CN"/>
        </w:rPr>
        <w:t>本周(7月9日-7月15日)，西北地炼汽柴行情维持淡稳，西北地区市场成交气氛平平。分析来看：本周一成品油零售价上调兑现，且周内国际油价维持宽幅震荡，新一轮变化率正向小幅度运行，本轮调价方向暂不明朗，消息面对市场难有明显支撑。此外，柴油正值消费淡季，前期库存消耗缓慢，业者补货有限，市场成交量淡;汽油方面，暑期私家车出行增多，且车用空调用油提升，终端需求较有支撑，但消息面转弱，且当前汽油价格仍处于高位，业者补货谨慎，市场成交亦无明显改善。销售公司近期出货不畅，汽柴价格均无变化。就后市而言，国际油价或将保持区间震荡，变化率窄幅波动，消息面对市场指引有限。业者观望情绪难消，入市补货刚需为主，市场成交难见活跃。预计短线西北地炼汽柴行情下行压力加大。</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lang w:eastAsia="zh-CN"/>
        </w:rPr>
      </w:pPr>
      <w:r>
        <w:rPr>
          <w:rFonts w:hint="eastAsia" w:asciiTheme="minorEastAsia" w:hAnsiTheme="minorEastAsia" w:eastAsiaTheme="minorEastAsia" w:cstheme="minorEastAsia"/>
          <w:color w:val="auto"/>
          <w:kern w:val="2"/>
          <w:sz w:val="28"/>
          <w:szCs w:val="28"/>
          <w:shd w:val="clear" w:color="auto" w:fill="FFFFFF"/>
          <w:lang w:eastAsia="zh-CN"/>
        </w:rPr>
        <w:t>本周(7月9日-7月15日)，西南汽柴行情维持震荡下行趋势，市场成交气氛清淡。分析来看：周一零售价上调兑现“三连涨”，但周内国际油价宽幅震荡，新一轮变化率正向小幅开端，本轮调价变数增加，消息面对市场难有支撑。此外，本月主营单位销售不畅，成交价格逐步下移。不过，高温多雨天气影响下，部分户外用油企业开工受限，柴油需求疲软;汽油方面，暑期私家车出行半径扩大，且车用空调试用频繁，汽油需求表现尚可。需求面上汽强柴弱，不过，消息面缺乏利好提振，业者补货心态谨慎，市场成交刚需为主。就后市而言，国际油价或维持高位震荡，变化率窄幅波动，本轮调价方向暂无明朗，市场观望气氛难以消除。业者操作心态谨慎，消库之余按需补货为主，市场成交难有提升。主营单位出货不畅，优惠促销力度不减，预计短线西南地区汽柴行情弱势震荡为主。</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lang w:eastAsia="zh-CN"/>
        </w:rPr>
      </w:pPr>
      <w:r>
        <w:rPr>
          <w:rFonts w:hint="eastAsia" w:asciiTheme="minorEastAsia" w:hAnsiTheme="minorEastAsia" w:eastAsiaTheme="minorEastAsia" w:cstheme="minorEastAsia"/>
          <w:color w:val="auto"/>
          <w:kern w:val="2"/>
          <w:sz w:val="28"/>
          <w:szCs w:val="28"/>
          <w:shd w:val="clear" w:color="auto" w:fill="FFFFFF"/>
          <w:lang w:eastAsia="zh-CN"/>
        </w:rPr>
        <w:t>后市前瞻：预计下周，市场等待沙特和阿联酋达成一致意见，在OPEC+的产量协议未明朗化之前，国际油价或继续保持震荡态势。以WTI为例，预计下周的主流运行区间在72-76(均值74)美元/桶之间，环比持平。后期柴油操作仍保持谨慎为主，预计价格仍存小幅回落空间。汽油需求尚可，有望支撑行情震荡为主。</w:t>
      </w:r>
    </w:p>
    <w:p>
      <w:pPr>
        <w:pStyle w:val="3"/>
        <w:spacing w:before="120" w:after="120" w:line="240" w:lineRule="auto"/>
        <w:rPr>
          <w:rFonts w:ascii="宋体" w:hAnsi="宋体"/>
          <w:b/>
          <w:sz w:val="30"/>
          <w:szCs w:val="30"/>
        </w:rPr>
      </w:pPr>
      <w:bookmarkStart w:id="32" w:name="_GoBack"/>
      <w:bookmarkEnd w:id="32"/>
      <w:r>
        <w:rPr>
          <w:rFonts w:hint="eastAsia" w:ascii="宋体" w:hAnsi="宋体"/>
          <w:b/>
          <w:sz w:val="30"/>
          <w:szCs w:val="30"/>
        </w:rPr>
        <w:t>3.3 国内汽油价格周报</w:t>
      </w:r>
      <w:bookmarkEnd w:id="17"/>
    </w:p>
    <w:p>
      <w:pPr>
        <w:rPr>
          <w:rFonts w:hint="eastAsia"/>
        </w:rPr>
      </w:pPr>
      <w:r>
        <w:rPr>
          <w:rFonts w:hint="eastAsia"/>
        </w:rPr>
        <w:t>单位：元/吨</w:t>
      </w:r>
    </w:p>
    <w:p>
      <w:pPr>
        <w:rPr>
          <w:rFonts w:hint="eastAsia"/>
        </w:rPr>
      </w:pPr>
    </w:p>
    <w:p>
      <w:pPr>
        <w:rPr>
          <w:rFonts w:hint="eastAsia"/>
        </w:rPr>
      </w:pPr>
    </w:p>
    <w:tbl>
      <w:tblPr>
        <w:tblStyle w:val="24"/>
        <w:tblW w:w="8910" w:type="dxa"/>
        <w:tblInd w:w="417" w:type="dxa"/>
        <w:shd w:val="clear" w:color="auto" w:fill="auto"/>
        <w:tblLayout w:type="fixed"/>
        <w:tblCellMar>
          <w:top w:w="0" w:type="dxa"/>
          <w:left w:w="0" w:type="dxa"/>
          <w:bottom w:w="0" w:type="dxa"/>
          <w:right w:w="0" w:type="dxa"/>
        </w:tblCellMar>
      </w:tblPr>
      <w:tblGrid>
        <w:gridCol w:w="750"/>
        <w:gridCol w:w="930"/>
        <w:gridCol w:w="1080"/>
        <w:gridCol w:w="960"/>
        <w:gridCol w:w="1095"/>
        <w:gridCol w:w="1035"/>
        <w:gridCol w:w="843"/>
        <w:gridCol w:w="1092"/>
        <w:gridCol w:w="1125"/>
      </w:tblGrid>
      <w:tr>
        <w:tblPrEx>
          <w:shd w:val="clear" w:color="auto" w:fill="auto"/>
          <w:tblCellMar>
            <w:top w:w="0" w:type="dxa"/>
            <w:left w:w="0" w:type="dxa"/>
            <w:bottom w:w="0" w:type="dxa"/>
            <w:right w:w="0" w:type="dxa"/>
          </w:tblCellMar>
        </w:tblPrEx>
        <w:trPr>
          <w:trHeight w:val="420" w:hRule="atLeast"/>
        </w:trPr>
        <w:tc>
          <w:tcPr>
            <w:tcW w:w="750" w:type="dxa"/>
            <w:tcBorders>
              <w:top w:val="single" w:color="000000" w:sz="4" w:space="0"/>
              <w:left w:val="single" w:color="000000" w:sz="4" w:space="0"/>
              <w:bottom w:val="single" w:color="000000" w:sz="4" w:space="0"/>
              <w:right w:val="nil"/>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地区</w:t>
            </w:r>
          </w:p>
        </w:tc>
        <w:tc>
          <w:tcPr>
            <w:tcW w:w="93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城市</w:t>
            </w:r>
          </w:p>
        </w:tc>
        <w:tc>
          <w:tcPr>
            <w:tcW w:w="10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企业性质</w:t>
            </w:r>
          </w:p>
        </w:tc>
        <w:tc>
          <w:tcPr>
            <w:tcW w:w="96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产品名称</w:t>
            </w:r>
          </w:p>
        </w:tc>
        <w:tc>
          <w:tcPr>
            <w:tcW w:w="109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型号</w:t>
            </w:r>
          </w:p>
        </w:tc>
        <w:tc>
          <w:tcPr>
            <w:tcW w:w="103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价格类型</w:t>
            </w:r>
          </w:p>
        </w:tc>
        <w:tc>
          <w:tcPr>
            <w:tcW w:w="843"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涨跌</w:t>
            </w:r>
          </w:p>
        </w:tc>
        <w:tc>
          <w:tcPr>
            <w:tcW w:w="1092"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2021/7/15</w:t>
            </w:r>
          </w:p>
        </w:tc>
        <w:tc>
          <w:tcPr>
            <w:tcW w:w="112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2021/7/8</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89#</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8120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西安市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吉林市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吉林中油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吉林市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吉林中油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8950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8950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大连市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9050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9050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大连市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大连市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8600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8600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大连市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8600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8500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9100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9100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8700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8700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厦门市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厦门市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广州市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中海油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广州市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8600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8550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广州市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广州市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广州市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8700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8700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惠州市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中海油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r>
      <w:tr>
        <w:tblPrEx>
          <w:tblCellMar>
            <w:top w:w="0" w:type="dxa"/>
            <w:left w:w="0" w:type="dxa"/>
            <w:bottom w:w="0" w:type="dxa"/>
            <w:right w:w="0" w:type="dxa"/>
          </w:tblCellMar>
        </w:tblPrEx>
        <w:trPr>
          <w:trHeight w:val="285" w:hRule="atLeast"/>
        </w:trPr>
        <w:tc>
          <w:tcPr>
            <w:tcW w:w="75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惠州市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惠州市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惠州市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惠州市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8700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8700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海口市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海口市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福州市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福州市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8500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8500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福州市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8550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8550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福州市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茂名市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8500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8600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茂名市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茂名市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茂名市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8500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8500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任丘市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8550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8550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京VI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京VI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京VI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8700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8700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京VI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r>
      <w:tr>
        <w:tblPrEx>
          <w:tblCellMar>
            <w:top w:w="0" w:type="dxa"/>
            <w:left w:w="0" w:type="dxa"/>
            <w:bottom w:w="0" w:type="dxa"/>
            <w:right w:w="0" w:type="dxa"/>
          </w:tblCellMar>
        </w:tblPrEx>
        <w:trPr>
          <w:trHeight w:val="285" w:hRule="atLeast"/>
        </w:trPr>
        <w:tc>
          <w:tcPr>
            <w:tcW w:w="75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唐山市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中海油</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8700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8700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唐山市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8028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8008</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8130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8110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8228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8258</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天津市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8590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8571</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8035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8145</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8220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太原市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8500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开封市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8470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石家庄市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石家庄市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8160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8190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郑州市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8360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8390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沪Ⅳ93#</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8395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8295</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沪Ⅳ93#</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7960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沪Ⅳ97#</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7930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7980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上海市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沪Ⅳ97#</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8260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r>
      <w:tr>
        <w:tblPrEx>
          <w:tblCellMar>
            <w:top w:w="0" w:type="dxa"/>
            <w:left w:w="0" w:type="dxa"/>
            <w:bottom w:w="0" w:type="dxa"/>
            <w:right w:w="0" w:type="dxa"/>
          </w:tblCellMar>
        </w:tblPrEx>
        <w:trPr>
          <w:trHeight w:val="285" w:hRule="atLeast"/>
        </w:trPr>
        <w:tc>
          <w:tcPr>
            <w:tcW w:w="75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南京市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中海油</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8130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8180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8080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8130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8110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8330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南京市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8590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8571</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南通市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8120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南通市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8210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8240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宁波市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8035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8145</w:t>
            </w:r>
          </w:p>
        </w:tc>
      </w:tr>
      <w:tr>
        <w:tblPrEx>
          <w:tblCellMar>
            <w:top w:w="0" w:type="dxa"/>
            <w:left w:w="0" w:type="dxa"/>
            <w:bottom w:w="0" w:type="dxa"/>
            <w:right w:w="0" w:type="dxa"/>
          </w:tblCellMar>
        </w:tblPrEx>
        <w:trPr>
          <w:trHeight w:val="285" w:hRule="atLeast"/>
        </w:trPr>
        <w:tc>
          <w:tcPr>
            <w:tcW w:w="75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宁波市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8080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宁波市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r>
      <w:tr>
        <w:tblPrEx>
          <w:tblCellMar>
            <w:top w:w="0" w:type="dxa"/>
            <w:left w:w="0" w:type="dxa"/>
            <w:bottom w:w="0" w:type="dxa"/>
            <w:right w:w="0" w:type="dxa"/>
          </w:tblCellMar>
        </w:tblPrEx>
        <w:trPr>
          <w:trHeight w:val="285" w:hRule="atLeast"/>
        </w:trPr>
        <w:tc>
          <w:tcPr>
            <w:tcW w:w="75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宁波市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徐州市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E92#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8600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8600</w:t>
            </w:r>
          </w:p>
        </w:tc>
      </w:tr>
      <w:tr>
        <w:tblPrEx>
          <w:tblCellMar>
            <w:top w:w="0" w:type="dxa"/>
            <w:left w:w="0" w:type="dxa"/>
            <w:bottom w:w="0" w:type="dxa"/>
            <w:right w:w="0" w:type="dxa"/>
          </w:tblCellMar>
        </w:tblPrEx>
        <w:trPr>
          <w:trHeight w:val="285" w:hRule="atLeast"/>
        </w:trPr>
        <w:tc>
          <w:tcPr>
            <w:tcW w:w="75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徐州市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r>
      <w:tr>
        <w:tblPrEx>
          <w:tblCellMar>
            <w:top w:w="0" w:type="dxa"/>
            <w:left w:w="0" w:type="dxa"/>
            <w:bottom w:w="0" w:type="dxa"/>
            <w:right w:w="0" w:type="dxa"/>
          </w:tblCellMar>
        </w:tblPrEx>
        <w:trPr>
          <w:trHeight w:val="285" w:hRule="atLeast"/>
        </w:trPr>
        <w:tc>
          <w:tcPr>
            <w:tcW w:w="75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徐州市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8600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8600</w:t>
            </w:r>
          </w:p>
        </w:tc>
      </w:tr>
      <w:tr>
        <w:tblPrEx>
          <w:tblCellMar>
            <w:top w:w="0" w:type="dxa"/>
            <w:left w:w="0" w:type="dxa"/>
            <w:bottom w:w="0" w:type="dxa"/>
            <w:right w:w="0" w:type="dxa"/>
          </w:tblCellMar>
        </w:tblPrEx>
        <w:trPr>
          <w:trHeight w:val="285" w:hRule="atLeast"/>
        </w:trPr>
        <w:tc>
          <w:tcPr>
            <w:tcW w:w="75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徐州市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无锡市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无锡市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日照市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杭州市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杭州市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杭州市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杭州市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8600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江阴市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8550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江阴市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江阴市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江阴市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温州市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温州市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温州市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烟台市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8600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8600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盐城市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盐城市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连云港市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E92#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8550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8550</w:t>
            </w:r>
          </w:p>
        </w:tc>
      </w:tr>
      <w:tr>
        <w:tblPrEx>
          <w:tblCellMar>
            <w:top w:w="0" w:type="dxa"/>
            <w:left w:w="0" w:type="dxa"/>
            <w:bottom w:w="0" w:type="dxa"/>
            <w:right w:w="0" w:type="dxa"/>
          </w:tblCellMar>
        </w:tblPrEx>
        <w:trPr>
          <w:trHeight w:val="285" w:hRule="atLeast"/>
        </w:trPr>
        <w:tc>
          <w:tcPr>
            <w:tcW w:w="75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连云港市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8550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青岛市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南宁市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南宁市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成都市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成都市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昆明市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昆明市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8550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贵阳市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贵阳市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重庆市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重庆市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8600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8600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九江市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南昌市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南昌市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南昌市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南昌市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合肥市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合肥市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武汉市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武汉市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长沙市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长沙市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长沙市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长沙市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徐州市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国IV 97#</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衢州市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8180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潮州市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潮州市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深圳市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深圳市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8650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深圳市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国Ⅵ 95#</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8250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深圳市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r>
      <w:tr>
        <w:tblPrEx>
          <w:tblCellMar>
            <w:top w:w="0" w:type="dxa"/>
            <w:left w:w="0" w:type="dxa"/>
            <w:bottom w:w="0" w:type="dxa"/>
            <w:right w:w="0" w:type="dxa"/>
          </w:tblCellMar>
        </w:tblPrEx>
        <w:trPr>
          <w:trHeight w:val="285" w:hRule="atLeast"/>
        </w:trPr>
        <w:tc>
          <w:tcPr>
            <w:tcW w:w="75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3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深圳市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德州市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汽油</w:t>
            </w:r>
          </w:p>
        </w:tc>
        <w:tc>
          <w:tcPr>
            <w:tcW w:w="109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92#</w:t>
            </w:r>
          </w:p>
        </w:tc>
        <w:tc>
          <w:tcPr>
            <w:tcW w:w="103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8350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r>
    </w:tbl>
    <w:p>
      <w:pPr>
        <w:pStyle w:val="3"/>
        <w:spacing w:before="120" w:after="120" w:line="240" w:lineRule="auto"/>
        <w:rPr>
          <w:rFonts w:hint="eastAsia" w:ascii="宋体" w:hAnsi="宋体"/>
          <w:b/>
          <w:sz w:val="30"/>
          <w:szCs w:val="30"/>
          <w:lang w:val="en-US" w:eastAsia="zh-CN"/>
        </w:rPr>
      </w:pPr>
      <w:bookmarkStart w:id="18" w:name="_Toc16466"/>
    </w:p>
    <w:p>
      <w:pPr>
        <w:pStyle w:val="3"/>
        <w:spacing w:before="120" w:after="120" w:line="240" w:lineRule="auto"/>
        <w:rPr>
          <w:rFonts w:hint="eastAsia" w:ascii="宋体" w:hAnsi="宋体"/>
          <w:b/>
          <w:sz w:val="30"/>
          <w:szCs w:val="30"/>
          <w:lang w:val="en-US" w:eastAsia="zh-CN"/>
        </w:rPr>
      </w:pPr>
      <w:r>
        <w:rPr>
          <w:rFonts w:hint="eastAsia" w:ascii="宋体" w:hAnsi="宋体"/>
          <w:b/>
          <w:sz w:val="30"/>
          <w:szCs w:val="30"/>
          <w:lang w:val="en-US" w:eastAsia="zh-CN"/>
        </w:rPr>
        <w:t>3.4国内柴油价格周报</w:t>
      </w:r>
      <w:bookmarkEnd w:id="18"/>
    </w:p>
    <w:p>
      <w:pPr>
        <w:rPr>
          <w:rFonts w:hint="eastAsia"/>
          <w:lang w:val="en-US" w:eastAsia="zh-CN"/>
        </w:rPr>
      </w:pPr>
      <w:r>
        <w:rPr>
          <w:rFonts w:hint="eastAsia"/>
          <w:lang w:val="en-US" w:eastAsia="zh-CN"/>
        </w:rPr>
        <w:t>单位：元/吨</w:t>
      </w:r>
    </w:p>
    <w:tbl>
      <w:tblPr>
        <w:tblStyle w:val="24"/>
        <w:tblW w:w="8830" w:type="dxa"/>
        <w:jc w:val="center"/>
        <w:shd w:val="clear" w:color="auto" w:fill="auto"/>
        <w:tblLayout w:type="fixed"/>
        <w:tblCellMar>
          <w:top w:w="0" w:type="dxa"/>
          <w:left w:w="0" w:type="dxa"/>
          <w:bottom w:w="0" w:type="dxa"/>
          <w:right w:w="0" w:type="dxa"/>
        </w:tblCellMar>
      </w:tblPr>
      <w:tblGrid>
        <w:gridCol w:w="705"/>
        <w:gridCol w:w="987"/>
        <w:gridCol w:w="990"/>
        <w:gridCol w:w="897"/>
        <w:gridCol w:w="915"/>
        <w:gridCol w:w="1005"/>
        <w:gridCol w:w="849"/>
        <w:gridCol w:w="1185"/>
        <w:gridCol w:w="1297"/>
      </w:tblGrid>
      <w:tr>
        <w:tblPrEx>
          <w:shd w:val="clear" w:color="auto" w:fill="auto"/>
          <w:tblCellMar>
            <w:top w:w="0" w:type="dxa"/>
            <w:left w:w="0" w:type="dxa"/>
            <w:bottom w:w="0" w:type="dxa"/>
            <w:right w:w="0" w:type="dxa"/>
          </w:tblCellMar>
        </w:tblPrEx>
        <w:trPr>
          <w:trHeight w:val="38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地区</w:t>
            </w:r>
          </w:p>
        </w:tc>
        <w:tc>
          <w:tcPr>
            <w:tcW w:w="987"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城市</w:t>
            </w:r>
          </w:p>
        </w:tc>
        <w:tc>
          <w:tcPr>
            <w:tcW w:w="99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企业性质</w:t>
            </w:r>
          </w:p>
        </w:tc>
        <w:tc>
          <w:tcPr>
            <w:tcW w:w="897"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产品名称</w:t>
            </w:r>
          </w:p>
        </w:tc>
        <w:tc>
          <w:tcPr>
            <w:tcW w:w="91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型号</w:t>
            </w:r>
          </w:p>
        </w:tc>
        <w:tc>
          <w:tcPr>
            <w:tcW w:w="100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价格类型</w:t>
            </w:r>
          </w:p>
        </w:tc>
        <w:tc>
          <w:tcPr>
            <w:tcW w:w="849"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涨跌</w:t>
            </w:r>
          </w:p>
        </w:tc>
        <w:tc>
          <w:tcPr>
            <w:tcW w:w="118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2021/7/15</w:t>
            </w:r>
          </w:p>
        </w:tc>
        <w:tc>
          <w:tcPr>
            <w:tcW w:w="1297"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2021/7/8</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西安市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吉林市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吉林中油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大连市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大连市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7345</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7280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6580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厦门市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6830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6830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厦门市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广州市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中海油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广州市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广州市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惠州市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中海油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惠州市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6850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海口市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r>
      <w:tr>
        <w:tblPrEx>
          <w:tblCellMar>
            <w:top w:w="0" w:type="dxa"/>
            <w:left w:w="0" w:type="dxa"/>
            <w:bottom w:w="0" w:type="dxa"/>
            <w:right w:w="0" w:type="dxa"/>
          </w:tblCellMar>
        </w:tblPrEx>
        <w:trPr>
          <w:trHeight w:val="285" w:hRule="atLeast"/>
          <w:jc w:val="center"/>
        </w:trPr>
        <w:tc>
          <w:tcPr>
            <w:tcW w:w="7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8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海口市</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福州市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福州市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茂名市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茂名市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任丘市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北京市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6850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6850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北京市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唐山市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中海油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唐山市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商丘市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6610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6620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商丘市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6425</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6495</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天津市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中海油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天津市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6540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天津市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太原市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6560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6570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太原市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6425</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6495</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开封市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6430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开封市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石家庄市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6460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石家庄市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郑州市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郑州市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6580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r>
      <w:tr>
        <w:tblPrEx>
          <w:tblCellMar>
            <w:top w:w="0" w:type="dxa"/>
            <w:left w:w="0" w:type="dxa"/>
            <w:bottom w:w="0" w:type="dxa"/>
            <w:right w:w="0" w:type="dxa"/>
          </w:tblCellMar>
        </w:tblPrEx>
        <w:trPr>
          <w:trHeight w:val="285" w:hRule="atLeast"/>
          <w:jc w:val="center"/>
        </w:trPr>
        <w:tc>
          <w:tcPr>
            <w:tcW w:w="7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上海市</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中海油</w:t>
            </w:r>
          </w:p>
        </w:tc>
        <w:tc>
          <w:tcPr>
            <w:tcW w:w="89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6468</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上海市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6470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6480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上海市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沪Ⅳ0#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上海市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沪Ⅳ0#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6610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6620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南京市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6425</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6495</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南京市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6430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南通市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南通市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宁波市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宁波市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徐州市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无锡市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无锡市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日照市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日照市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杭州市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杭州市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江阴市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江阴市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温州市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温州市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6480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6690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烟台市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烟台市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盐城市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盐城市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连云港市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青岛市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青岛市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r>
      <w:tr>
        <w:tblPrEx>
          <w:tblCellMar>
            <w:top w:w="0" w:type="dxa"/>
            <w:left w:w="0" w:type="dxa"/>
            <w:bottom w:w="0" w:type="dxa"/>
            <w:right w:w="0" w:type="dxa"/>
          </w:tblCellMar>
        </w:tblPrEx>
        <w:trPr>
          <w:trHeight w:val="285" w:hRule="atLeast"/>
          <w:jc w:val="center"/>
        </w:trPr>
        <w:tc>
          <w:tcPr>
            <w:tcW w:w="7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青岛市</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中海油</w:t>
            </w:r>
          </w:p>
        </w:tc>
        <w:tc>
          <w:tcPr>
            <w:tcW w:w="89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6480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6690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南宁市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南宁市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成都市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成都市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昆明市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昆明市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6480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6690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贵阳市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贵阳市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6320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重庆市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西南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重庆市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九江市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6850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南昌市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南昌市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合肥市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合肥市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武汉市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武汉市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长沙市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6690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华中</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长沙市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衢州市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jc w:val="center"/>
        </w:trPr>
        <w:tc>
          <w:tcPr>
            <w:tcW w:w="7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衢州市</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舟山市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jc w:val="center"/>
        </w:trPr>
        <w:tc>
          <w:tcPr>
            <w:tcW w:w="7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华东</w:t>
            </w:r>
          </w:p>
        </w:tc>
        <w:tc>
          <w:tcPr>
            <w:tcW w:w="98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舟山市</w:t>
            </w:r>
          </w:p>
        </w:tc>
        <w:tc>
          <w:tcPr>
            <w:tcW w:w="99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深圳市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深圳市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潮州市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德州市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中石油</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r>
      <w:tr>
        <w:tblPrEx>
          <w:tblCellMar>
            <w:top w:w="0" w:type="dxa"/>
            <w:left w:w="0" w:type="dxa"/>
            <w:bottom w:w="0" w:type="dxa"/>
            <w:right w:w="0" w:type="dxa"/>
          </w:tblCellMar>
        </w:tblPrEx>
        <w:trPr>
          <w:trHeight w:val="28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华北</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德州市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中石化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w:t>
            </w:r>
          </w:p>
        </w:tc>
        <w:tc>
          <w:tcPr>
            <w:tcW w:w="9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国VI 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bl>
    <w:p>
      <w:pPr>
        <w:rPr>
          <w:rFonts w:hint="eastAsia" w:eastAsia="宋体"/>
          <w:lang w:val="en-US" w:eastAsia="zh-CN"/>
        </w:rPr>
      </w:pPr>
    </w:p>
    <w:p>
      <w:pPr>
        <w:rPr>
          <w:rFonts w:hint="eastAsia" w:eastAsia="宋体"/>
          <w:lang w:val="en-US" w:eastAsia="zh-CN"/>
        </w:rPr>
      </w:pPr>
    </w:p>
    <w:p>
      <w:pPr>
        <w:pStyle w:val="3"/>
        <w:spacing w:before="120" w:after="120" w:line="240" w:lineRule="auto"/>
        <w:rPr>
          <w:rFonts w:hint="eastAsia" w:ascii="宋体" w:hAnsi="宋体"/>
          <w:b/>
          <w:sz w:val="30"/>
          <w:szCs w:val="30"/>
          <w:lang w:val="en-US" w:eastAsia="zh-CN"/>
        </w:rPr>
      </w:pPr>
      <w:bookmarkStart w:id="19" w:name="_Toc6052"/>
      <w:r>
        <w:rPr>
          <w:rFonts w:hint="eastAsia" w:ascii="宋体" w:hAnsi="宋体"/>
          <w:b/>
          <w:sz w:val="30"/>
          <w:szCs w:val="30"/>
          <w:lang w:val="en-US" w:eastAsia="zh-CN"/>
        </w:rPr>
        <w:t>3.5 山东地炼汽油出厂价格周报</w:t>
      </w:r>
      <w:bookmarkEnd w:id="19"/>
    </w:p>
    <w:p>
      <w:pPr>
        <w:rPr>
          <w:rFonts w:hint="eastAsia"/>
          <w:lang w:val="en-US" w:eastAsia="zh-CN"/>
        </w:rPr>
      </w:pPr>
      <w:r>
        <w:rPr>
          <w:rFonts w:hint="eastAsia"/>
          <w:lang w:val="en-US" w:eastAsia="zh-CN"/>
        </w:rPr>
        <w:t>单位：元/吨</w:t>
      </w:r>
    </w:p>
    <w:tbl>
      <w:tblPr>
        <w:tblStyle w:val="24"/>
        <w:tblW w:w="8737" w:type="dxa"/>
        <w:jc w:val="center"/>
        <w:shd w:val="clear" w:color="auto" w:fill="auto"/>
        <w:tblLayout w:type="autofit"/>
        <w:tblCellMar>
          <w:top w:w="0" w:type="dxa"/>
          <w:left w:w="0" w:type="dxa"/>
          <w:bottom w:w="0" w:type="dxa"/>
          <w:right w:w="0" w:type="dxa"/>
        </w:tblCellMar>
      </w:tblPr>
      <w:tblGrid>
        <w:gridCol w:w="705"/>
        <w:gridCol w:w="945"/>
        <w:gridCol w:w="1717"/>
        <w:gridCol w:w="1310"/>
        <w:gridCol w:w="939"/>
        <w:gridCol w:w="691"/>
        <w:gridCol w:w="1215"/>
        <w:gridCol w:w="1215"/>
      </w:tblGrid>
      <w:tr>
        <w:tblPrEx>
          <w:shd w:val="clear" w:color="auto" w:fill="auto"/>
          <w:tblCellMar>
            <w:top w:w="0" w:type="dxa"/>
            <w:left w:w="0" w:type="dxa"/>
            <w:bottom w:w="0" w:type="dxa"/>
            <w:right w:w="0" w:type="dxa"/>
          </w:tblCellMar>
        </w:tblPrEx>
        <w:trPr>
          <w:trHeight w:val="440" w:hRule="atLeast"/>
          <w:jc w:val="center"/>
        </w:trPr>
        <w:tc>
          <w:tcPr>
            <w:tcW w:w="705" w:type="dxa"/>
            <w:tcBorders>
              <w:top w:val="single" w:color="333333" w:sz="4" w:space="0"/>
              <w:left w:val="single" w:color="333333" w:sz="4" w:space="0"/>
              <w:bottom w:val="nil"/>
              <w:right w:val="single" w:color="333333"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省份</w:t>
            </w:r>
          </w:p>
        </w:tc>
        <w:tc>
          <w:tcPr>
            <w:tcW w:w="945" w:type="dxa"/>
            <w:tcBorders>
              <w:top w:val="single" w:color="333333" w:sz="4" w:space="0"/>
              <w:left w:val="single" w:color="333333" w:sz="4" w:space="0"/>
              <w:bottom w:val="nil"/>
              <w:right w:val="single" w:color="333333"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产品名称</w:t>
            </w:r>
          </w:p>
        </w:tc>
        <w:tc>
          <w:tcPr>
            <w:tcW w:w="1717" w:type="dxa"/>
            <w:tcBorders>
              <w:top w:val="single" w:color="333333" w:sz="4" w:space="0"/>
              <w:left w:val="single" w:color="333333" w:sz="4" w:space="0"/>
              <w:bottom w:val="nil"/>
              <w:right w:val="single" w:color="333333"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生产厂家</w:t>
            </w:r>
          </w:p>
        </w:tc>
        <w:tc>
          <w:tcPr>
            <w:tcW w:w="1310" w:type="dxa"/>
            <w:tcBorders>
              <w:top w:val="single" w:color="333333" w:sz="4" w:space="0"/>
              <w:left w:val="single" w:color="333333" w:sz="4" w:space="0"/>
              <w:bottom w:val="nil"/>
              <w:right w:val="single" w:color="333333"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型号</w:t>
            </w:r>
          </w:p>
        </w:tc>
        <w:tc>
          <w:tcPr>
            <w:tcW w:w="939" w:type="dxa"/>
            <w:tcBorders>
              <w:top w:val="single" w:color="333333" w:sz="4" w:space="0"/>
              <w:left w:val="single" w:color="333333" w:sz="4" w:space="0"/>
              <w:bottom w:val="nil"/>
              <w:right w:val="single" w:color="333333"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价格类型</w:t>
            </w:r>
          </w:p>
        </w:tc>
        <w:tc>
          <w:tcPr>
            <w:tcW w:w="691"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涨跌</w:t>
            </w:r>
          </w:p>
        </w:tc>
        <w:tc>
          <w:tcPr>
            <w:tcW w:w="121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2021/7/15</w:t>
            </w:r>
          </w:p>
        </w:tc>
        <w:tc>
          <w:tcPr>
            <w:tcW w:w="121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2021/7/8</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万通化工</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7710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7740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万通化工</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7860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7890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东方华龙</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7830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东方华龙</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7930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东明石化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8060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8010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东明石化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8210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8160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东明石化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8380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8330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华联石化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7853</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7963</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华联石化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7973</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8083</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华联石化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-110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8183</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8293</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中海石油东营石化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7825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7880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中海石油东营石化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7915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7930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亚通石化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7840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亚通石化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7940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京博石化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8075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8057</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京博石化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7993</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7975</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京博石化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京VI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8235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8217</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京博石化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国VIB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8156</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8138</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京博石化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国VIB 98#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8309</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8301</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利津石化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利津石化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利津石化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89#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7600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利津石化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华星石化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7820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华星石化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7920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垦利石化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万达天弘</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7970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8070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万达天弘</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寿光联盟</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寿光联盟</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寿光鲁清</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7760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寿光鲁清</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7910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富宇化工</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7850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富宇化工</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富宇化工</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89#</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7570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海科化工</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7865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7905</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山东海科</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8015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8055</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海科化工</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8015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8055</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山东海科</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8215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8255</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海科化工</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8215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8255</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弘润石化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弘润石化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恒源石化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恒源石化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高标国VI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恒源石化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昌邑石化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7820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昌邑石化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7920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广饶正和</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7820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广饶正和</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7920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永鑫化工</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7920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永鑫化工</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8030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8030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汇丰石化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7940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7990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汇丰石化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8020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8070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汇丰石化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101#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汇丰石化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海科瑞林</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7835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7875</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海科瑞林</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7985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8025</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海科瑞林</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8185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8225</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海科瑞林</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101#</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8685</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8725</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神驰化工</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神驰化工</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7780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金诚石化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7960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8010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金诚石化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7990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8040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联合石化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7793</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7913</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联合石化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7913</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8033</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京博石化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京VI 98#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10012</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9980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寿光联盟</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汽车运输</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寿光联盟</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98#</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潍坊弘润</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海化石化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7760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海化石化</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7910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榆林炼厂公路</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榆林炼厂公路</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永坪炼厂公路</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延安炼厂公路</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延安炼厂公路</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西安临潼公路</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西安临潼铁路</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汽车运输</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榆林炼厂铁路</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榆林炼厂公路</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铁路运输</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永坪炼厂铁路</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延安炼厂铁路</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延安炼厂铁路</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西安临潼铁路</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西安临潼铁路</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铁路运输</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金澳科技</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国VI 92#</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8090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8160</w:t>
            </w:r>
          </w:p>
        </w:tc>
      </w:tr>
      <w:tr>
        <w:tblPrEx>
          <w:tblCellMar>
            <w:top w:w="0" w:type="dxa"/>
            <w:left w:w="0" w:type="dxa"/>
            <w:bottom w:w="0" w:type="dxa"/>
            <w:right w:w="0" w:type="dxa"/>
          </w:tblCellMar>
        </w:tblPrEx>
        <w:trPr>
          <w:trHeight w:val="3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金澳科技</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国Ⅵ 95#</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8390</w:t>
            </w:r>
          </w:p>
        </w:tc>
        <w:tc>
          <w:tcPr>
            <w:tcW w:w="121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8460</w:t>
            </w:r>
          </w:p>
        </w:tc>
      </w:tr>
    </w:tbl>
    <w:p>
      <w:pPr>
        <w:jc w:val="center"/>
        <w:rPr>
          <w:rFonts w:hint="eastAsia"/>
          <w:lang w:val="en-US" w:eastAsia="zh-CN"/>
        </w:rPr>
      </w:pPr>
    </w:p>
    <w:p>
      <w:pPr>
        <w:jc w:val="center"/>
        <w:rPr>
          <w:rFonts w:hint="eastAsia"/>
          <w:lang w:val="en-US" w:eastAsia="zh-CN"/>
        </w:rPr>
      </w:pPr>
    </w:p>
    <w:p>
      <w:pPr>
        <w:pStyle w:val="3"/>
        <w:spacing w:before="120" w:after="120" w:line="240" w:lineRule="auto"/>
        <w:rPr>
          <w:rFonts w:hint="eastAsia" w:ascii="宋体" w:hAnsi="宋体"/>
          <w:b/>
          <w:sz w:val="30"/>
          <w:szCs w:val="30"/>
          <w:lang w:val="en-US" w:eastAsia="zh-CN"/>
        </w:rPr>
      </w:pPr>
      <w:bookmarkStart w:id="20" w:name="_Toc25179"/>
      <w:r>
        <w:rPr>
          <w:rFonts w:hint="eastAsia" w:ascii="宋体" w:hAnsi="宋体"/>
          <w:b/>
          <w:sz w:val="30"/>
          <w:szCs w:val="30"/>
          <w:lang w:val="en-US" w:eastAsia="zh-CN"/>
        </w:rPr>
        <w:t>3.6 山东地炼柴油出厂价格周报</w:t>
      </w:r>
      <w:bookmarkEnd w:id="20"/>
    </w:p>
    <w:p>
      <w:pPr>
        <w:rPr>
          <w:rFonts w:hint="eastAsia" w:ascii="宋体" w:hAnsi="宋体"/>
          <w:b/>
          <w:sz w:val="10"/>
          <w:szCs w:val="10"/>
          <w:lang w:val="en-US" w:eastAsia="zh-CN"/>
        </w:rPr>
      </w:pPr>
      <w:r>
        <w:rPr>
          <w:rFonts w:hint="eastAsia"/>
          <w:bCs/>
          <w:szCs w:val="21"/>
          <w:lang w:val="en-US" w:eastAsia="zh-CN"/>
        </w:rPr>
        <w:t>单位：元/吨</w:t>
      </w:r>
    </w:p>
    <w:p>
      <w:pPr>
        <w:rPr>
          <w:rFonts w:hint="eastAsia"/>
          <w:b/>
          <w:bCs/>
          <w:lang w:val="en-US" w:eastAsia="zh-CN"/>
        </w:rPr>
      </w:pPr>
    </w:p>
    <w:tbl>
      <w:tblPr>
        <w:tblW w:w="8888" w:type="dxa"/>
        <w:jc w:val="center"/>
        <w:shd w:val="clear"/>
        <w:tblLayout w:type="autofit"/>
        <w:tblCellMar>
          <w:top w:w="0" w:type="dxa"/>
          <w:left w:w="0" w:type="dxa"/>
          <w:bottom w:w="0" w:type="dxa"/>
          <w:right w:w="0" w:type="dxa"/>
        </w:tblCellMar>
      </w:tblPr>
      <w:tblGrid>
        <w:gridCol w:w="810"/>
        <w:gridCol w:w="1002"/>
        <w:gridCol w:w="1845"/>
        <w:gridCol w:w="1158"/>
        <w:gridCol w:w="900"/>
        <w:gridCol w:w="822"/>
        <w:gridCol w:w="1170"/>
        <w:gridCol w:w="1181"/>
      </w:tblGrid>
      <w:tr>
        <w:tblPrEx>
          <w:shd w:val="clear"/>
          <w:tblCellMar>
            <w:top w:w="0" w:type="dxa"/>
            <w:left w:w="0" w:type="dxa"/>
            <w:bottom w:w="0" w:type="dxa"/>
            <w:right w:w="0" w:type="dxa"/>
          </w:tblCellMar>
        </w:tblPrEx>
        <w:trPr>
          <w:trHeight w:val="4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bookmarkStart w:id="21" w:name="_Toc711"/>
            <w:bookmarkStart w:id="22" w:name="_Toc27167"/>
            <w:bookmarkStart w:id="23" w:name="_Toc23056"/>
            <w:bookmarkStart w:id="24" w:name="_Toc533771879"/>
            <w:r>
              <w:rPr>
                <w:rFonts w:hint="eastAsia" w:ascii="宋体" w:hAnsi="宋体" w:eastAsia="宋体" w:cs="宋体"/>
                <w:b/>
                <w:i w:val="0"/>
                <w:color w:val="000000"/>
                <w:kern w:val="0"/>
                <w:sz w:val="20"/>
                <w:szCs w:val="20"/>
                <w:u w:val="none"/>
                <w:bdr w:val="none" w:color="auto" w:sz="0" w:space="0"/>
                <w:lang w:val="en-US" w:eastAsia="zh-CN" w:bidi="ar"/>
              </w:rPr>
              <w:t>省份</w:t>
            </w:r>
          </w:p>
        </w:tc>
        <w:tc>
          <w:tcPr>
            <w:tcW w:w="1002"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产品名称</w:t>
            </w:r>
          </w:p>
        </w:tc>
        <w:tc>
          <w:tcPr>
            <w:tcW w:w="184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生产厂家</w:t>
            </w:r>
          </w:p>
        </w:tc>
        <w:tc>
          <w:tcPr>
            <w:tcW w:w="1158"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型号</w:t>
            </w:r>
          </w:p>
        </w:tc>
        <w:tc>
          <w:tcPr>
            <w:tcW w:w="90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价格类型</w:t>
            </w:r>
          </w:p>
        </w:tc>
        <w:tc>
          <w:tcPr>
            <w:tcW w:w="822"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涨跌</w:t>
            </w:r>
          </w:p>
        </w:tc>
        <w:tc>
          <w:tcPr>
            <w:tcW w:w="117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2021/7/15</w:t>
            </w:r>
          </w:p>
        </w:tc>
        <w:tc>
          <w:tcPr>
            <w:tcW w:w="1181"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2021/7/8</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万通化工</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6170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6190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东方华龙</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6390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6360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东明石化</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6210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6320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华联石化</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6333</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6223</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中海石油东营石化</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国Ⅵ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6205</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6195</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亚通石化</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6130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6250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亚通石化</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-10#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6130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6250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京博石化</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6330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6321</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京博石化</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-10#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6383</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6365</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京博石化</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国Ⅵ -20#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利津石化</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6110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垦利石化</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柴油</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6120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万达天弘</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6400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6420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寿光联盟</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6230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6260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寿光鲁清</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6120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6170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富宇化工</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6100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6150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山东海科</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6195</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6175</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海科化工</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6195</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6175</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弘润石化</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6300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6280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潍坊弘润</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6300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6280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恒源石化</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昌邑石化</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国六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6200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广饶正和</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w:t>
            </w:r>
            <w:r>
              <w:rPr>
                <w:rFonts w:hint="eastAsia" w:ascii="宋体" w:hAnsi="宋体" w:eastAsia="宋体" w:cs="宋体"/>
                <w:i w:val="0"/>
                <w:color w:val="000000"/>
                <w:kern w:val="0"/>
                <w:sz w:val="20"/>
                <w:szCs w:val="20"/>
                <w:u w:val="none"/>
                <w:bdr w:val="none" w:color="auto" w:sz="0" w:space="0"/>
                <w:lang w:val="en-US" w:eastAsia="zh-CN" w:bidi="ar"/>
              </w:rPr>
              <w:t>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6200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永鑫化工</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6210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6210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汇丰石化</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6230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6350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海科瑞林</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6175</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6155</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神驰化工</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6160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6170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联合石化</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6323</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6223</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金诚石化</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6160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6210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鑫泰石化</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国Ⅵ -20#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鑫泰石化</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6390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6420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华星石化</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6200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海化石化</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6170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6160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石大科技石化</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6220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6280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山东</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石大科技</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6220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6280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陕西</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榆林炼厂公路</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国Ⅵ -20#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7150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7150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陕西</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榆林炼厂公路</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-10#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铁路运输</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6700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6700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陕西</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延安炼厂公路</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-10#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汽车运输</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6900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6900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陕西</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延安炼厂公路</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-10#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铁路运输</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6700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6700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陕西</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榆林炼厂公路</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汽车运输</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6500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陕西</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榆林炼厂公路</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-10#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汽车运输</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6800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6800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陕西</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永坪炼厂公路</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6500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陕西</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永坪炼厂公路</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国Ⅵ -20#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7050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7050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陕西</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延安炼厂公路</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6500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陕西</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西安临潼公路</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6500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6500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陕西</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榆林炼厂铁路</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6250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6250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陕西</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永坪炼厂铁路</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6250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6250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陕西</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延安炼厂铁路</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6250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6250</w:t>
            </w:r>
          </w:p>
        </w:tc>
      </w:tr>
      <w:tr>
        <w:tblPrEx>
          <w:tblCellMar>
            <w:top w:w="0" w:type="dxa"/>
            <w:left w:w="0" w:type="dxa"/>
            <w:bottom w:w="0" w:type="dxa"/>
            <w:right w:w="0" w:type="dxa"/>
          </w:tblCellMar>
        </w:tblPrEx>
        <w:trPr>
          <w:trHeight w:val="3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陕西</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西安临潼铁路</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6250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6250</w:t>
            </w:r>
          </w:p>
        </w:tc>
      </w:tr>
      <w:tr>
        <w:tblPrEx>
          <w:tblCellMar>
            <w:top w:w="0" w:type="dxa"/>
            <w:left w:w="0" w:type="dxa"/>
            <w:bottom w:w="0" w:type="dxa"/>
            <w:right w:w="0" w:type="dxa"/>
          </w:tblCellMar>
        </w:tblPrEx>
        <w:trPr>
          <w:trHeight w:val="360" w:hRule="atLeast"/>
          <w:jc w:val="center"/>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浙江</w:t>
            </w:r>
          </w:p>
        </w:tc>
        <w:tc>
          <w:tcPr>
            <w:tcW w:w="100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柴油</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金澳科技</w:t>
            </w:r>
          </w:p>
        </w:tc>
        <w:tc>
          <w:tcPr>
            <w:tcW w:w="115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国VI 0#</w:t>
            </w:r>
          </w:p>
        </w:tc>
        <w:tc>
          <w:tcPr>
            <w:tcW w:w="9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出厂价</w:t>
            </w:r>
          </w:p>
        </w:tc>
        <w:tc>
          <w:tcPr>
            <w:tcW w:w="8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-70</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6560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6630</w:t>
            </w:r>
          </w:p>
        </w:tc>
      </w:tr>
    </w:tbl>
    <w:p>
      <w:pPr>
        <w:pStyle w:val="3"/>
        <w:spacing w:before="120" w:after="120" w:line="240" w:lineRule="auto"/>
        <w:rPr>
          <w:rFonts w:hint="eastAsia" w:ascii="宋体" w:hAnsi="宋体"/>
          <w:b/>
          <w:sz w:val="30"/>
          <w:szCs w:val="30"/>
          <w:lang w:val="en-US" w:eastAsia="zh-CN"/>
        </w:rPr>
      </w:pPr>
    </w:p>
    <w:p>
      <w:pPr>
        <w:pStyle w:val="3"/>
        <w:spacing w:before="120" w:after="120" w:line="240" w:lineRule="auto"/>
        <w:rPr>
          <w:rFonts w:hint="eastAsia" w:ascii="宋体" w:hAnsi="宋体"/>
          <w:b/>
          <w:sz w:val="30"/>
          <w:szCs w:val="30"/>
          <w:lang w:val="en-US" w:eastAsia="zh-CN"/>
        </w:rPr>
      </w:pPr>
      <w:r>
        <w:rPr>
          <w:rFonts w:hint="eastAsia" w:ascii="宋体" w:hAnsi="宋体"/>
          <w:b/>
          <w:sz w:val="30"/>
          <w:szCs w:val="30"/>
          <w:lang w:val="en-US" w:eastAsia="zh-CN"/>
        </w:rPr>
        <w:t>四、2021年5月份进出口统计数据</w:t>
      </w:r>
      <w:bookmarkEnd w:id="21"/>
      <w:bookmarkEnd w:id="22"/>
    </w:p>
    <w:p>
      <w:pPr>
        <w:pStyle w:val="3"/>
        <w:spacing w:before="120" w:after="120" w:line="240" w:lineRule="auto"/>
        <w:rPr>
          <w:rFonts w:hint="eastAsia" w:ascii="宋体" w:hAnsi="宋体"/>
          <w:b/>
          <w:sz w:val="30"/>
          <w:szCs w:val="30"/>
        </w:rPr>
      </w:pPr>
      <w:bookmarkStart w:id="25" w:name="_Toc19791"/>
      <w:bookmarkStart w:id="26" w:name="_Toc31314"/>
      <w:r>
        <w:rPr>
          <w:rFonts w:hint="eastAsia" w:ascii="宋体" w:hAnsi="宋体"/>
          <w:b/>
          <w:sz w:val="30"/>
          <w:szCs w:val="30"/>
        </w:rPr>
        <w:t>4.</w:t>
      </w:r>
      <w:bookmarkEnd w:id="25"/>
      <w:bookmarkEnd w:id="26"/>
      <w:r>
        <w:rPr>
          <w:rFonts w:hint="eastAsia" w:ascii="宋体" w:hAnsi="宋体"/>
          <w:b/>
          <w:sz w:val="30"/>
          <w:szCs w:val="30"/>
          <w:lang w:val="en-US" w:eastAsia="zh-CN"/>
        </w:rPr>
        <w:t xml:space="preserve">1 </w:t>
      </w:r>
      <w:r>
        <w:rPr>
          <w:rFonts w:hint="eastAsia" w:ascii="宋体" w:hAnsi="宋体"/>
          <w:b/>
          <w:sz w:val="30"/>
          <w:szCs w:val="30"/>
        </w:rPr>
        <w:t>20</w:t>
      </w:r>
      <w:r>
        <w:rPr>
          <w:rFonts w:hint="eastAsia" w:ascii="宋体" w:hAnsi="宋体"/>
          <w:b/>
          <w:sz w:val="30"/>
          <w:szCs w:val="30"/>
          <w:lang w:val="en-US" w:eastAsia="zh-CN"/>
        </w:rPr>
        <w:t>21</w:t>
      </w:r>
      <w:r>
        <w:rPr>
          <w:rFonts w:hint="eastAsia" w:ascii="宋体" w:hAnsi="宋体"/>
          <w:b/>
          <w:sz w:val="30"/>
          <w:szCs w:val="30"/>
        </w:rPr>
        <w:t>年</w:t>
      </w:r>
      <w:r>
        <w:rPr>
          <w:rFonts w:hint="eastAsia" w:ascii="宋体" w:hAnsi="宋体"/>
          <w:b/>
          <w:sz w:val="30"/>
          <w:szCs w:val="30"/>
          <w:lang w:val="en-US" w:eastAsia="zh-CN"/>
        </w:rPr>
        <w:t>5</w:t>
      </w:r>
      <w:r>
        <w:rPr>
          <w:rFonts w:hint="eastAsia" w:ascii="宋体" w:hAnsi="宋体"/>
          <w:b/>
          <w:sz w:val="30"/>
          <w:szCs w:val="30"/>
        </w:rPr>
        <w:t>份全国车用汽油和航空汽油进出口统计数据</w:t>
      </w:r>
    </w:p>
    <w:p>
      <w:pPr>
        <w:rPr>
          <w:rFonts w:hint="eastAsia"/>
          <w:bCs/>
          <w:szCs w:val="21"/>
        </w:rPr>
      </w:pPr>
      <w:r>
        <w:rPr>
          <w:rFonts w:hint="eastAsia"/>
          <w:bCs/>
          <w:szCs w:val="21"/>
        </w:rPr>
        <w:t>单位：</w:t>
      </w:r>
      <w:r>
        <w:rPr>
          <w:rFonts w:hint="eastAsia"/>
          <w:bCs/>
          <w:szCs w:val="21"/>
          <w:lang w:eastAsia="zh-CN"/>
        </w:rPr>
        <w:t>吨</w:t>
      </w:r>
      <w:r>
        <w:rPr>
          <w:rFonts w:hint="eastAsia"/>
          <w:bCs/>
          <w:szCs w:val="21"/>
        </w:rPr>
        <w:t>，美元</w:t>
      </w:r>
    </w:p>
    <w:p>
      <w:pPr>
        <w:rPr>
          <w:rFonts w:hint="eastAsia"/>
        </w:rPr>
      </w:pPr>
    </w:p>
    <w:p>
      <w:pPr>
        <w:rPr>
          <w:rFonts w:hint="eastAsia"/>
        </w:rPr>
      </w:pPr>
    </w:p>
    <w:tbl>
      <w:tblPr>
        <w:tblStyle w:val="24"/>
        <w:tblW w:w="8507" w:type="dxa"/>
        <w:jc w:val="center"/>
        <w:shd w:val="clear" w:color="auto" w:fill="auto"/>
        <w:tblLayout w:type="autofit"/>
        <w:tblCellMar>
          <w:top w:w="0" w:type="dxa"/>
          <w:left w:w="0" w:type="dxa"/>
          <w:bottom w:w="0" w:type="dxa"/>
          <w:right w:w="0" w:type="dxa"/>
        </w:tblCellMar>
      </w:tblPr>
      <w:tblGrid>
        <w:gridCol w:w="4032"/>
        <w:gridCol w:w="1440"/>
        <w:gridCol w:w="1410"/>
        <w:gridCol w:w="1625"/>
      </w:tblGrid>
      <w:tr>
        <w:tblPrEx>
          <w:shd w:val="clear" w:color="auto" w:fill="auto"/>
          <w:tblCellMar>
            <w:top w:w="0" w:type="dxa"/>
            <w:left w:w="0" w:type="dxa"/>
            <w:bottom w:w="0" w:type="dxa"/>
            <w:right w:w="0" w:type="dxa"/>
          </w:tblCellMar>
        </w:tblPrEx>
        <w:trPr>
          <w:trHeight w:val="540" w:hRule="atLeast"/>
          <w:jc w:val="center"/>
        </w:trPr>
        <w:tc>
          <w:tcPr>
            <w:tcW w:w="4032"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b/>
                <w:bCs/>
                <w:caps w:val="0"/>
                <w:spacing w:val="0"/>
                <w:sz w:val="20"/>
                <w:szCs w:val="20"/>
              </w:rPr>
            </w:pPr>
            <w:bookmarkStart w:id="27" w:name="_Toc23995"/>
            <w:bookmarkStart w:id="28" w:name="_Toc31064"/>
            <w:r>
              <w:rPr>
                <w:rFonts w:hint="eastAsia" w:asciiTheme="minorEastAsia" w:hAnsiTheme="minorEastAsia" w:eastAsiaTheme="minorEastAsia" w:cstheme="minorEastAsia"/>
                <w:b/>
                <w:bCs/>
                <w:caps w:val="0"/>
                <w:spacing w:val="0"/>
                <w:sz w:val="20"/>
                <w:szCs w:val="20"/>
                <w:lang w:val="en-US" w:eastAsia="zh-CN"/>
              </w:rPr>
              <w:t>商品名称</w:t>
            </w:r>
          </w:p>
        </w:tc>
        <w:tc>
          <w:tcPr>
            <w:tcW w:w="144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lang w:val="en-US" w:eastAsia="zh-CN"/>
              </w:rPr>
              <w:t>出口目的地</w:t>
            </w:r>
          </w:p>
        </w:tc>
        <w:tc>
          <w:tcPr>
            <w:tcW w:w="141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lang w:val="en-US" w:eastAsia="zh-CN"/>
              </w:rPr>
              <w:t>数量（吨）</w:t>
            </w:r>
          </w:p>
        </w:tc>
        <w:tc>
          <w:tcPr>
            <w:tcW w:w="162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lang w:val="en-US" w:eastAsia="zh-CN"/>
              </w:rPr>
              <w:t>出口金额（元）</w:t>
            </w:r>
          </w:p>
        </w:tc>
      </w:tr>
      <w:tr>
        <w:tblPrEx>
          <w:tblCellMar>
            <w:top w:w="0" w:type="dxa"/>
            <w:left w:w="0" w:type="dxa"/>
            <w:bottom w:w="0" w:type="dxa"/>
            <w:right w:w="0" w:type="dxa"/>
          </w:tblCellMar>
        </w:tblPrEx>
        <w:trPr>
          <w:trHeight w:val="495" w:hRule="atLeast"/>
          <w:jc w:val="center"/>
        </w:trPr>
        <w:tc>
          <w:tcPr>
            <w:tcW w:w="4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车用汽油和航空汽油,不含有生物柴油</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澳大利亚</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89916.07</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44654630</w:t>
            </w:r>
          </w:p>
        </w:tc>
      </w:tr>
      <w:tr>
        <w:tblPrEx>
          <w:tblCellMar>
            <w:top w:w="0" w:type="dxa"/>
            <w:left w:w="0" w:type="dxa"/>
            <w:bottom w:w="0" w:type="dxa"/>
            <w:right w:w="0" w:type="dxa"/>
          </w:tblCellMar>
        </w:tblPrEx>
        <w:trPr>
          <w:trHeight w:val="495" w:hRule="atLeast"/>
          <w:jc w:val="center"/>
        </w:trPr>
        <w:tc>
          <w:tcPr>
            <w:tcW w:w="4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车用汽油和航空汽油,不含有生物柴油</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巴基斯坦</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174258.5</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104374200</w:t>
            </w:r>
          </w:p>
        </w:tc>
      </w:tr>
      <w:tr>
        <w:tblPrEx>
          <w:tblCellMar>
            <w:top w:w="0" w:type="dxa"/>
            <w:left w:w="0" w:type="dxa"/>
            <w:bottom w:w="0" w:type="dxa"/>
            <w:right w:w="0" w:type="dxa"/>
          </w:tblCellMar>
        </w:tblPrEx>
        <w:trPr>
          <w:trHeight w:val="495" w:hRule="atLeast"/>
          <w:jc w:val="center"/>
        </w:trPr>
        <w:tc>
          <w:tcPr>
            <w:tcW w:w="4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车用汽油和航空汽油,不含有生物柴油</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菲律宾</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218023.4</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130361743</w:t>
            </w:r>
          </w:p>
        </w:tc>
      </w:tr>
      <w:tr>
        <w:tblPrEx>
          <w:tblCellMar>
            <w:top w:w="0" w:type="dxa"/>
            <w:left w:w="0" w:type="dxa"/>
            <w:bottom w:w="0" w:type="dxa"/>
            <w:right w:w="0" w:type="dxa"/>
          </w:tblCellMar>
        </w:tblPrEx>
        <w:trPr>
          <w:trHeight w:val="495" w:hRule="atLeast"/>
          <w:jc w:val="center"/>
        </w:trPr>
        <w:tc>
          <w:tcPr>
            <w:tcW w:w="4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车用汽油和航空汽油,不含有生物柴油</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韩国</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89888.83</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53979577</w:t>
            </w:r>
          </w:p>
        </w:tc>
      </w:tr>
      <w:tr>
        <w:tblPrEx>
          <w:tblCellMar>
            <w:top w:w="0" w:type="dxa"/>
            <w:left w:w="0" w:type="dxa"/>
            <w:bottom w:w="0" w:type="dxa"/>
            <w:right w:w="0" w:type="dxa"/>
          </w:tblCellMar>
        </w:tblPrEx>
        <w:trPr>
          <w:trHeight w:val="495" w:hRule="atLeast"/>
          <w:jc w:val="center"/>
        </w:trPr>
        <w:tc>
          <w:tcPr>
            <w:tcW w:w="4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车用汽油和航空汽油,不含有生物柴油</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马来西亚</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8480</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5478080</w:t>
            </w:r>
          </w:p>
        </w:tc>
      </w:tr>
      <w:tr>
        <w:tblPrEx>
          <w:tblCellMar>
            <w:top w:w="0" w:type="dxa"/>
            <w:left w:w="0" w:type="dxa"/>
            <w:bottom w:w="0" w:type="dxa"/>
            <w:right w:w="0" w:type="dxa"/>
          </w:tblCellMar>
        </w:tblPrEx>
        <w:trPr>
          <w:trHeight w:val="495" w:hRule="atLeast"/>
          <w:jc w:val="center"/>
        </w:trPr>
        <w:tc>
          <w:tcPr>
            <w:tcW w:w="4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车用汽油和航空汽油,不含有生物柴油</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蒙古</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1888.212</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1145940</w:t>
            </w:r>
          </w:p>
        </w:tc>
      </w:tr>
      <w:tr>
        <w:tblPrEx>
          <w:tblCellMar>
            <w:top w:w="0" w:type="dxa"/>
            <w:left w:w="0" w:type="dxa"/>
            <w:bottom w:w="0" w:type="dxa"/>
            <w:right w:w="0" w:type="dxa"/>
          </w:tblCellMar>
        </w:tblPrEx>
        <w:trPr>
          <w:trHeight w:val="495" w:hRule="atLeast"/>
          <w:jc w:val="center"/>
        </w:trPr>
        <w:tc>
          <w:tcPr>
            <w:tcW w:w="4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车用汽油和航空汽油,不含有生物柴油</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缅甸</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4792.778</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3129641</w:t>
            </w:r>
          </w:p>
        </w:tc>
      </w:tr>
      <w:tr>
        <w:tblPrEx>
          <w:tblCellMar>
            <w:top w:w="0" w:type="dxa"/>
            <w:left w:w="0" w:type="dxa"/>
            <w:bottom w:w="0" w:type="dxa"/>
            <w:right w:w="0" w:type="dxa"/>
          </w:tblCellMar>
        </w:tblPrEx>
        <w:trPr>
          <w:trHeight w:val="495" w:hRule="atLeast"/>
          <w:jc w:val="center"/>
        </w:trPr>
        <w:tc>
          <w:tcPr>
            <w:tcW w:w="4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车用汽油和航空汽油,不含有生物柴油</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墨西哥</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34486.82</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20073947</w:t>
            </w:r>
          </w:p>
        </w:tc>
      </w:tr>
      <w:tr>
        <w:tblPrEx>
          <w:tblCellMar>
            <w:top w:w="0" w:type="dxa"/>
            <w:left w:w="0" w:type="dxa"/>
            <w:bottom w:w="0" w:type="dxa"/>
            <w:right w:w="0" w:type="dxa"/>
          </w:tblCellMar>
        </w:tblPrEx>
        <w:trPr>
          <w:trHeight w:val="495" w:hRule="atLeast"/>
          <w:jc w:val="center"/>
        </w:trPr>
        <w:tc>
          <w:tcPr>
            <w:tcW w:w="4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车用汽油和航空汽油,不含有生物柴油</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日本</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171826.6</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94885041</w:t>
            </w:r>
          </w:p>
        </w:tc>
      </w:tr>
      <w:tr>
        <w:tblPrEx>
          <w:tblCellMar>
            <w:top w:w="0" w:type="dxa"/>
            <w:left w:w="0" w:type="dxa"/>
            <w:bottom w:w="0" w:type="dxa"/>
            <w:right w:w="0" w:type="dxa"/>
          </w:tblCellMar>
        </w:tblPrEx>
        <w:trPr>
          <w:trHeight w:val="495" w:hRule="atLeast"/>
          <w:jc w:val="center"/>
        </w:trPr>
        <w:tc>
          <w:tcPr>
            <w:tcW w:w="4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车用汽油和航空汽油,不含有生物柴油</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文莱</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36000</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18122400</w:t>
            </w:r>
          </w:p>
        </w:tc>
      </w:tr>
      <w:tr>
        <w:tblPrEx>
          <w:tblCellMar>
            <w:top w:w="0" w:type="dxa"/>
            <w:left w:w="0" w:type="dxa"/>
            <w:bottom w:w="0" w:type="dxa"/>
            <w:right w:w="0" w:type="dxa"/>
          </w:tblCellMar>
        </w:tblPrEx>
        <w:trPr>
          <w:trHeight w:val="495" w:hRule="atLeast"/>
          <w:jc w:val="center"/>
        </w:trPr>
        <w:tc>
          <w:tcPr>
            <w:tcW w:w="4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车用汽油和航空汽油,不含有生物柴油</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新加坡</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601706.7</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345313727</w:t>
            </w:r>
          </w:p>
        </w:tc>
      </w:tr>
      <w:tr>
        <w:tblPrEx>
          <w:tblCellMar>
            <w:top w:w="0" w:type="dxa"/>
            <w:left w:w="0" w:type="dxa"/>
            <w:bottom w:w="0" w:type="dxa"/>
            <w:right w:w="0" w:type="dxa"/>
          </w:tblCellMar>
        </w:tblPrEx>
        <w:trPr>
          <w:trHeight w:val="495" w:hRule="atLeast"/>
          <w:jc w:val="center"/>
        </w:trPr>
        <w:tc>
          <w:tcPr>
            <w:tcW w:w="4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车用汽油和航空汽油,不含有生物柴油</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印度尼西亚</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110769</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61783585</w:t>
            </w:r>
          </w:p>
        </w:tc>
      </w:tr>
      <w:tr>
        <w:tblPrEx>
          <w:tblCellMar>
            <w:top w:w="0" w:type="dxa"/>
            <w:left w:w="0" w:type="dxa"/>
            <w:bottom w:w="0" w:type="dxa"/>
            <w:right w:w="0" w:type="dxa"/>
          </w:tblCellMar>
        </w:tblPrEx>
        <w:trPr>
          <w:trHeight w:val="495" w:hRule="atLeast"/>
          <w:jc w:val="center"/>
        </w:trPr>
        <w:tc>
          <w:tcPr>
            <w:tcW w:w="4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车用汽油和航空汽油,不含有生物柴油</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中国澳门</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8788.701</w:t>
            </w:r>
          </w:p>
        </w:tc>
        <w:tc>
          <w:tcPr>
            <w:tcW w:w="1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caps w:val="0"/>
                <w:spacing w:val="0"/>
                <w:sz w:val="20"/>
                <w:szCs w:val="20"/>
              </w:rPr>
            </w:pPr>
            <w:r>
              <w:rPr>
                <w:rFonts w:hint="eastAsia" w:asciiTheme="minorEastAsia" w:hAnsiTheme="minorEastAsia" w:eastAsiaTheme="minorEastAsia" w:cstheme="minorEastAsia"/>
                <w:caps w:val="0"/>
                <w:spacing w:val="0"/>
                <w:sz w:val="20"/>
                <w:szCs w:val="20"/>
                <w:lang w:val="en-US" w:eastAsia="zh-CN"/>
              </w:rPr>
              <w:t>4680000</w:t>
            </w:r>
          </w:p>
        </w:tc>
      </w:tr>
    </w:tbl>
    <w:p>
      <w:pPr>
        <w:pStyle w:val="3"/>
        <w:spacing w:before="120" w:after="120" w:line="240" w:lineRule="auto"/>
        <w:rPr>
          <w:rFonts w:hint="eastAsia" w:ascii="宋体" w:hAnsi="宋体"/>
          <w:b/>
          <w:sz w:val="30"/>
          <w:szCs w:val="30"/>
        </w:rPr>
      </w:pPr>
    </w:p>
    <w:p>
      <w:pPr>
        <w:pStyle w:val="3"/>
        <w:spacing w:before="120" w:after="120" w:line="240" w:lineRule="auto"/>
        <w:rPr>
          <w:rFonts w:hint="eastAsia" w:ascii="宋体" w:hAnsi="宋体"/>
          <w:b/>
          <w:sz w:val="30"/>
          <w:szCs w:val="30"/>
        </w:rPr>
      </w:pPr>
      <w:r>
        <w:rPr>
          <w:rFonts w:hint="eastAsia" w:ascii="宋体" w:hAnsi="宋体"/>
          <w:b/>
          <w:sz w:val="30"/>
          <w:szCs w:val="30"/>
        </w:rPr>
        <w:t>4.2 20</w:t>
      </w:r>
      <w:r>
        <w:rPr>
          <w:rFonts w:hint="eastAsia" w:ascii="宋体" w:hAnsi="宋体"/>
          <w:b/>
          <w:sz w:val="30"/>
          <w:szCs w:val="30"/>
          <w:lang w:val="en-US" w:eastAsia="zh-CN"/>
        </w:rPr>
        <w:t>21</w:t>
      </w:r>
      <w:r>
        <w:rPr>
          <w:rFonts w:hint="eastAsia" w:ascii="宋体" w:hAnsi="宋体"/>
          <w:b/>
          <w:sz w:val="30"/>
          <w:szCs w:val="30"/>
        </w:rPr>
        <w:t>年</w:t>
      </w:r>
      <w:r>
        <w:rPr>
          <w:rFonts w:hint="eastAsia" w:ascii="宋体" w:hAnsi="宋体"/>
          <w:b/>
          <w:sz w:val="30"/>
          <w:szCs w:val="30"/>
          <w:lang w:val="en-US" w:eastAsia="zh-CN"/>
        </w:rPr>
        <w:t>5</w:t>
      </w:r>
      <w:r>
        <w:rPr>
          <w:rFonts w:hint="eastAsia" w:ascii="宋体" w:hAnsi="宋体"/>
          <w:b/>
          <w:sz w:val="30"/>
          <w:szCs w:val="30"/>
        </w:rPr>
        <w:t>月份全国柴油出口统计数据</w:t>
      </w:r>
      <w:bookmarkEnd w:id="27"/>
      <w:bookmarkEnd w:id="28"/>
    </w:p>
    <w:p>
      <w:pPr>
        <w:rPr>
          <w:bCs/>
          <w:szCs w:val="21"/>
        </w:rPr>
      </w:pPr>
      <w:r>
        <w:rPr>
          <w:rFonts w:hint="eastAsia"/>
          <w:bCs/>
          <w:szCs w:val="21"/>
        </w:rPr>
        <w:t>单位：</w:t>
      </w:r>
      <w:r>
        <w:rPr>
          <w:rFonts w:hint="eastAsia"/>
          <w:bCs/>
          <w:szCs w:val="21"/>
          <w:lang w:eastAsia="zh-CN"/>
        </w:rPr>
        <w:t>吨</w:t>
      </w:r>
      <w:r>
        <w:rPr>
          <w:rFonts w:hint="eastAsia"/>
          <w:bCs/>
          <w:szCs w:val="21"/>
        </w:rPr>
        <w:t>，美元</w:t>
      </w:r>
    </w:p>
    <w:tbl>
      <w:tblPr>
        <w:tblStyle w:val="24"/>
        <w:tblW w:w="85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890"/>
        <w:gridCol w:w="1755"/>
        <w:gridCol w:w="1130"/>
        <w:gridCol w:w="1889"/>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1890" w:type="dxa"/>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color w:val="auto"/>
                <w:sz w:val="20"/>
                <w:szCs w:val="20"/>
              </w:rPr>
            </w:pPr>
            <w:bookmarkStart w:id="29" w:name="_Toc16942"/>
            <w:r>
              <w:rPr>
                <w:rFonts w:hint="eastAsia" w:asciiTheme="minorEastAsia" w:hAnsiTheme="minorEastAsia" w:eastAsiaTheme="minorEastAsia" w:cstheme="minorEastAsia"/>
                <w:b/>
                <w:i w:val="0"/>
                <w:color w:val="000000"/>
                <w:kern w:val="0"/>
                <w:sz w:val="20"/>
                <w:szCs w:val="20"/>
                <w:u w:val="none"/>
                <w:lang w:val="en-US" w:eastAsia="zh-CN" w:bidi="ar"/>
              </w:rPr>
              <w:t>贸易伙伴名称</w:t>
            </w:r>
          </w:p>
        </w:tc>
        <w:tc>
          <w:tcPr>
            <w:tcW w:w="1755" w:type="dxa"/>
            <w:tcBorders>
              <w:top w:val="nil"/>
              <w:left w:val="nil"/>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color w:val="auto"/>
                <w:sz w:val="20"/>
                <w:szCs w:val="20"/>
              </w:rPr>
            </w:pPr>
            <w:r>
              <w:rPr>
                <w:rFonts w:hint="eastAsia" w:asciiTheme="minorEastAsia" w:hAnsiTheme="minorEastAsia" w:eastAsiaTheme="minorEastAsia" w:cstheme="minorEastAsia"/>
                <w:b/>
                <w:i w:val="0"/>
                <w:color w:val="000000"/>
                <w:kern w:val="0"/>
                <w:sz w:val="20"/>
                <w:szCs w:val="20"/>
                <w:u w:val="none"/>
                <w:lang w:val="en-US" w:eastAsia="zh-CN" w:bidi="ar"/>
              </w:rPr>
              <w:t>数量（吨）</w:t>
            </w:r>
          </w:p>
        </w:tc>
        <w:tc>
          <w:tcPr>
            <w:tcW w:w="1130" w:type="dxa"/>
            <w:tcBorders>
              <w:top w:val="nil"/>
              <w:left w:val="nil"/>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color w:val="auto"/>
                <w:sz w:val="20"/>
                <w:szCs w:val="20"/>
              </w:rPr>
            </w:pPr>
            <w:r>
              <w:rPr>
                <w:rFonts w:hint="eastAsia" w:asciiTheme="minorEastAsia" w:hAnsiTheme="minorEastAsia" w:eastAsiaTheme="minorEastAsia" w:cstheme="minorEastAsia"/>
                <w:b/>
                <w:i w:val="0"/>
                <w:color w:val="000000"/>
                <w:kern w:val="0"/>
                <w:sz w:val="20"/>
                <w:szCs w:val="20"/>
                <w:u w:val="none"/>
                <w:lang w:val="en-US" w:eastAsia="zh-CN" w:bidi="ar"/>
              </w:rPr>
              <w:t>所占比率</w:t>
            </w:r>
          </w:p>
        </w:tc>
        <w:tc>
          <w:tcPr>
            <w:tcW w:w="1889" w:type="dxa"/>
            <w:tcBorders>
              <w:top w:val="nil"/>
              <w:left w:val="nil"/>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color w:val="auto"/>
                <w:sz w:val="20"/>
                <w:szCs w:val="20"/>
              </w:rPr>
            </w:pPr>
            <w:r>
              <w:rPr>
                <w:rFonts w:hint="eastAsia" w:asciiTheme="minorEastAsia" w:hAnsiTheme="minorEastAsia" w:eastAsiaTheme="minorEastAsia" w:cstheme="minorEastAsia"/>
                <w:b/>
                <w:i w:val="0"/>
                <w:color w:val="000000"/>
                <w:kern w:val="0"/>
                <w:sz w:val="20"/>
                <w:szCs w:val="20"/>
                <w:u w:val="none"/>
                <w:lang w:val="en-US" w:eastAsia="zh-CN" w:bidi="ar"/>
              </w:rPr>
              <w:t>当月金额（元）</w:t>
            </w:r>
          </w:p>
        </w:tc>
        <w:tc>
          <w:tcPr>
            <w:tcW w:w="1890" w:type="dxa"/>
            <w:tcBorders>
              <w:top w:val="nil"/>
              <w:left w:val="nil"/>
              <w:bottom w:val="single" w:color="000000" w:sz="6" w:space="0"/>
              <w:right w:val="single" w:color="000000"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color w:val="auto"/>
                <w:sz w:val="20"/>
                <w:szCs w:val="20"/>
              </w:rPr>
            </w:pPr>
            <w:r>
              <w:rPr>
                <w:rFonts w:hint="eastAsia" w:asciiTheme="minorEastAsia" w:hAnsiTheme="minorEastAsia" w:eastAsiaTheme="minorEastAsia" w:cstheme="minorEastAsia"/>
                <w:b/>
                <w:i w:val="0"/>
                <w:color w:val="000000"/>
                <w:kern w:val="0"/>
                <w:sz w:val="20"/>
                <w:szCs w:val="20"/>
                <w:u w:val="none"/>
                <w:lang w:val="en-US" w:eastAsia="zh-CN" w:bidi="ar"/>
              </w:rPr>
              <w:t>当月均价（元/吨）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caps w:val="0"/>
                <w:spacing w:val="0"/>
                <w:sz w:val="20"/>
                <w:szCs w:val="20"/>
              </w:rPr>
              <w:t>安提瓜和巴布达</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caps w:val="0"/>
                <w:color w:val="000000"/>
                <w:spacing w:val="0"/>
                <w:sz w:val="20"/>
                <w:szCs w:val="20"/>
              </w:rPr>
              <w:t>295.27</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caps w:val="0"/>
                <w:color w:val="000000"/>
                <w:spacing w:val="0"/>
                <w:sz w:val="20"/>
                <w:szCs w:val="20"/>
              </w:rPr>
              <w:t>1028894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kern w:val="0"/>
                <w:sz w:val="20"/>
                <w:szCs w:val="20"/>
                <w:lang w:val="en-US" w:eastAsia="zh-CN" w:bidi="ar-SA"/>
              </w:rPr>
            </w:pPr>
            <w:r>
              <w:rPr>
                <w:rFonts w:hint="eastAsia" w:asciiTheme="minorEastAsia" w:hAnsiTheme="minorEastAsia" w:eastAsiaTheme="minorEastAsia" w:cstheme="minorEastAsia"/>
                <w:caps w:val="0"/>
                <w:color w:val="000000"/>
                <w:spacing w:val="0"/>
                <w:sz w:val="20"/>
                <w:szCs w:val="20"/>
              </w:rPr>
              <w:t>3484.59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澳大利亚</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155843.46</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9%</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526927843</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3381.14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巴巴多斯</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103.00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368811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3580.69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巴哈马</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944.31</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3424235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3626.18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巴基斯坦</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249.08</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873975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3508.81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巴拿马</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18915.99</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63507614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3357.35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百慕大</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36.80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143471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3898.67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比利时</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112.09</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384546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3430.84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伯利兹</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296.87</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1065875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3590.40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丹麦</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153.50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524189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3414.91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德国</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501.20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1665068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3322.16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多哥</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29.35</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97358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3317.14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俄罗斯联邦</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147.20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519120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3526.63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厄瓜多尔</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38002.31</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124120145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3266.12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法国</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340.00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1210831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3561.27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菲律宾</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457128.74</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27%</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1504624284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3291.47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芬兰</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10.00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34763</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3476.30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韩国</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120054.99</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7%</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342337694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2851.51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基里巴斯</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219.98</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789021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3586.79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喀麦隆</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199.98</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679012</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3395.40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开曼群岛</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197.10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692311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3512.49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克罗地亚</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24.00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81958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3414.92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库克群岛</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99.00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353532</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3571.03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利比里亚</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5872.65</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21156301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3602.51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马耳他</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1513.36</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5245550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3466.16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马来西亚</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19946.76</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54638640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2739.22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马绍尔群岛</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4460.32</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16250105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3643.26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蒙古</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45.00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168602</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3746.71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孟加拉国</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259192.29</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15%</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880972106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3398.91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缅甸</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11538.51</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41267001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3576.46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南非</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77.98</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276866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3550.47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挪威</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576.30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2030044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3522.55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帕劳</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45.00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161145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3581.00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葡萄牙</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1041.10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3536234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3396.63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日本</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176.50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682982</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3869.59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塞拉利昂</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109.00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426289</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3910.91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塞浦路斯</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1383.50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4904034</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3544.66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沙特阿拉伯</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55.00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197127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3584.13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圣其茨和尼维斯</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27.50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96593</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3512.47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泰国</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39892.98</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130354826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3267.61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图瓦卢</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80.00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276836</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3460.45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危地马拉</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34640.00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105789381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3053.97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希腊</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437.90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1602921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3660.47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新加坡</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361296.53</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21%</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1206870791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3340.39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牙买加</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25.00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93487</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3739.48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印度尼西亚</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65.00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238610</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3670.92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英国</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2418.54</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8124918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3359.43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越南</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20628.10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56476241</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2737.83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中国澳门</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8032.09</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21855455</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2721.02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中国台湾</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98.70</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0%</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332558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3369.38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90" w:type="dxa"/>
            <w:tcBorders>
              <w:top w:val="nil"/>
              <w:left w:val="single" w:color="000000" w:sz="6" w:space="0"/>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spacing w:val="0"/>
                <w:sz w:val="20"/>
                <w:szCs w:val="20"/>
              </w:rPr>
              <w:t>中国香港</w:t>
            </w:r>
          </w:p>
        </w:tc>
        <w:tc>
          <w:tcPr>
            <w:tcW w:w="1755"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115144.98</w:t>
            </w:r>
          </w:p>
        </w:tc>
        <w:tc>
          <w:tcPr>
            <w:tcW w:w="113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7%</w:t>
            </w:r>
          </w:p>
        </w:tc>
        <w:tc>
          <w:tcPr>
            <w:tcW w:w="1889"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370808548</w:t>
            </w:r>
          </w:p>
        </w:tc>
        <w:tc>
          <w:tcPr>
            <w:tcW w:w="1890" w:type="dxa"/>
            <w:tcBorders>
              <w:top w:val="nil"/>
              <w:left w:val="nil"/>
              <w:bottom w:val="single" w:color="000000" w:sz="6" w:space="0"/>
              <w:right w:val="single" w:color="000000"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aps w:val="0"/>
                <w:color w:val="000000"/>
                <w:spacing w:val="0"/>
                <w:sz w:val="20"/>
                <w:szCs w:val="20"/>
              </w:rPr>
              <w:t>3220.36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890" w:type="dxa"/>
            <w:tcBorders>
              <w:top w:val="nil"/>
              <w:left w:val="single" w:color="000000" w:sz="6" w:space="0"/>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合计</w:t>
            </w:r>
          </w:p>
        </w:tc>
        <w:tc>
          <w:tcPr>
            <w:tcW w:w="1755"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1682724.79</w:t>
            </w:r>
          </w:p>
        </w:tc>
        <w:tc>
          <w:tcPr>
            <w:tcW w:w="1130"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100%</w:t>
            </w:r>
          </w:p>
        </w:tc>
        <w:tc>
          <w:tcPr>
            <w:tcW w:w="1889"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5510288741.00</w:t>
            </w:r>
          </w:p>
        </w:tc>
        <w:tc>
          <w:tcPr>
            <w:tcW w:w="1890" w:type="dxa"/>
            <w:tcBorders>
              <w:top w:val="nil"/>
              <w:left w:val="nil"/>
              <w:bottom w:val="single" w:color="000000" w:sz="6" w:space="0"/>
              <w:right w:val="single" w:color="000000"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heme="minorEastAsia" w:hAnsiTheme="minorEastAsia" w:eastAsiaTheme="minorEastAsia" w:cstheme="minorEastAsia"/>
                <w:b/>
                <w:bCs/>
                <w:caps w:val="0"/>
                <w:spacing w:val="0"/>
                <w:sz w:val="20"/>
                <w:szCs w:val="20"/>
              </w:rPr>
            </w:pPr>
            <w:r>
              <w:rPr>
                <w:rFonts w:hint="eastAsia" w:asciiTheme="minorEastAsia" w:hAnsiTheme="minorEastAsia" w:eastAsiaTheme="minorEastAsia" w:cstheme="minorEastAsia"/>
                <w:b/>
                <w:bCs/>
                <w:caps w:val="0"/>
                <w:spacing w:val="0"/>
                <w:sz w:val="20"/>
                <w:szCs w:val="20"/>
              </w:rPr>
              <w:t>3274.62</w:t>
            </w:r>
          </w:p>
        </w:tc>
      </w:tr>
    </w:tbl>
    <w:p>
      <w:pPr>
        <w:pStyle w:val="3"/>
        <w:spacing w:before="120" w:after="120" w:line="240" w:lineRule="auto"/>
        <w:rPr>
          <w:rFonts w:hint="eastAsia" w:ascii="宋体" w:hAnsi="宋体"/>
          <w:b/>
          <w:color w:val="auto"/>
          <w:sz w:val="30"/>
          <w:szCs w:val="30"/>
        </w:rPr>
      </w:pPr>
    </w:p>
    <w:p>
      <w:pPr>
        <w:pStyle w:val="3"/>
        <w:spacing w:before="120" w:after="120" w:line="240" w:lineRule="auto"/>
        <w:rPr>
          <w:rFonts w:hint="eastAsia"/>
          <w:bCs/>
          <w:szCs w:val="21"/>
        </w:rPr>
      </w:pPr>
      <w:r>
        <w:rPr>
          <w:rFonts w:hint="eastAsia" w:ascii="宋体" w:hAnsi="宋体"/>
          <w:b/>
          <w:color w:val="auto"/>
          <w:sz w:val="30"/>
          <w:szCs w:val="30"/>
        </w:rPr>
        <w:t>4.3 20</w:t>
      </w:r>
      <w:r>
        <w:rPr>
          <w:rFonts w:hint="eastAsia" w:ascii="宋体" w:hAnsi="宋体"/>
          <w:b/>
          <w:color w:val="auto"/>
          <w:sz w:val="30"/>
          <w:szCs w:val="30"/>
          <w:lang w:val="en-US" w:eastAsia="zh-CN"/>
        </w:rPr>
        <w:t>21</w:t>
      </w:r>
      <w:r>
        <w:rPr>
          <w:rFonts w:hint="eastAsia" w:ascii="宋体" w:hAnsi="宋体"/>
          <w:b/>
          <w:color w:val="auto"/>
          <w:sz w:val="30"/>
          <w:szCs w:val="30"/>
        </w:rPr>
        <w:t>年</w:t>
      </w:r>
      <w:r>
        <w:rPr>
          <w:rFonts w:hint="eastAsia" w:ascii="宋体" w:hAnsi="宋体"/>
          <w:b/>
          <w:color w:val="auto"/>
          <w:sz w:val="30"/>
          <w:szCs w:val="30"/>
          <w:lang w:val="en-US" w:eastAsia="zh-CN"/>
        </w:rPr>
        <w:t>5</w:t>
      </w:r>
      <w:r>
        <w:rPr>
          <w:rFonts w:hint="eastAsia" w:ascii="宋体" w:hAnsi="宋体"/>
          <w:b/>
          <w:color w:val="auto"/>
          <w:sz w:val="30"/>
          <w:szCs w:val="30"/>
        </w:rPr>
        <w:t>月份全国原油进出口统计数据</w:t>
      </w:r>
      <w:bookmarkEnd w:id="23"/>
      <w:bookmarkEnd w:id="29"/>
    </w:p>
    <w:p>
      <w:pPr>
        <w:rPr>
          <w:rFonts w:hint="eastAsia"/>
          <w:bCs/>
          <w:szCs w:val="21"/>
        </w:rPr>
      </w:pPr>
      <w:r>
        <w:rPr>
          <w:rFonts w:hint="eastAsia"/>
          <w:bCs/>
          <w:szCs w:val="21"/>
        </w:rPr>
        <w:t>单位：</w:t>
      </w:r>
      <w:r>
        <w:rPr>
          <w:rFonts w:hint="eastAsia"/>
          <w:bCs/>
          <w:szCs w:val="21"/>
          <w:lang w:eastAsia="zh-CN"/>
        </w:rPr>
        <w:t>吨</w:t>
      </w:r>
      <w:r>
        <w:rPr>
          <w:rFonts w:hint="eastAsia"/>
          <w:bCs/>
          <w:szCs w:val="21"/>
        </w:rPr>
        <w:t>，美元</w:t>
      </w:r>
    </w:p>
    <w:p>
      <w:pPr>
        <w:rPr>
          <w:rFonts w:hint="eastAsia" w:eastAsia="宋体"/>
          <w:bCs/>
          <w:szCs w:val="21"/>
          <w:lang w:eastAsia="zh-CN"/>
        </w:rPr>
      </w:pPr>
    </w:p>
    <w:tbl>
      <w:tblPr>
        <w:tblStyle w:val="24"/>
        <w:tblW w:w="8440" w:type="dxa"/>
        <w:jc w:val="center"/>
        <w:tblLayout w:type="autofit"/>
        <w:tblCellMar>
          <w:top w:w="0" w:type="dxa"/>
          <w:left w:w="0" w:type="dxa"/>
          <w:bottom w:w="0" w:type="dxa"/>
          <w:right w:w="0" w:type="dxa"/>
        </w:tblCellMar>
      </w:tblPr>
      <w:tblGrid>
        <w:gridCol w:w="4220"/>
        <w:gridCol w:w="4220"/>
      </w:tblGrid>
      <w:tr>
        <w:tblPrEx>
          <w:tblCellMar>
            <w:top w:w="0" w:type="dxa"/>
            <w:left w:w="0" w:type="dxa"/>
            <w:bottom w:w="0" w:type="dxa"/>
            <w:right w:w="0" w:type="dxa"/>
          </w:tblCellMar>
        </w:tblPrEx>
        <w:trPr>
          <w:trHeight w:val="402" w:hRule="atLeast"/>
          <w:jc w:val="center"/>
        </w:trPr>
        <w:tc>
          <w:tcPr>
            <w:tcW w:w="4220" w:type="dxa"/>
            <w:tcBorders>
              <w:top w:val="single" w:color="333333" w:sz="8" w:space="0"/>
              <w:left w:val="nil"/>
              <w:bottom w:val="single" w:color="333333" w:sz="8" w:space="0"/>
              <w:right w:val="single" w:color="333333" w:sz="8" w:space="0"/>
            </w:tcBorders>
            <w:shd w:val="clear" w:color="auto" w:fill="00B0F0"/>
            <w:noWrap w:val="0"/>
            <w:vAlign w:val="center"/>
          </w:tcPr>
          <w:p>
            <w:pPr>
              <w:widowControl/>
              <w:wordWrap w:val="0"/>
              <w:spacing w:line="288" w:lineRule="auto"/>
              <w:jc w:val="center"/>
              <w:rPr>
                <w:rFonts w:hint="eastAsia" w:asciiTheme="minorEastAsia" w:hAnsiTheme="minorEastAsia" w:eastAsiaTheme="minorEastAsia" w:cstheme="minorEastAsia"/>
                <w:kern w:val="0"/>
                <w:sz w:val="20"/>
                <w:szCs w:val="20"/>
              </w:rPr>
            </w:pPr>
            <w:bookmarkStart w:id="30" w:name="_Toc20776"/>
            <w:bookmarkStart w:id="31" w:name="_Toc18589"/>
            <w:r>
              <w:rPr>
                <w:rFonts w:hint="eastAsia" w:asciiTheme="minorEastAsia" w:hAnsiTheme="minorEastAsia" w:eastAsiaTheme="minorEastAsia" w:cstheme="minorEastAsia"/>
                <w:b/>
                <w:bCs/>
                <w:color w:val="191919"/>
                <w:kern w:val="0"/>
                <w:sz w:val="20"/>
                <w:szCs w:val="20"/>
              </w:rPr>
              <w:t>进口</w:t>
            </w:r>
          </w:p>
        </w:tc>
        <w:tc>
          <w:tcPr>
            <w:tcW w:w="4220" w:type="dxa"/>
            <w:tcBorders>
              <w:top w:val="single" w:color="333333" w:sz="8" w:space="0"/>
              <w:left w:val="nil"/>
              <w:bottom w:val="single" w:color="333333" w:sz="8" w:space="0"/>
              <w:right w:val="single" w:color="333333" w:sz="8" w:space="0"/>
            </w:tcBorders>
            <w:shd w:val="clear" w:color="auto" w:fill="00B0F0"/>
            <w:noWrap w:val="0"/>
            <w:vAlign w:val="center"/>
          </w:tcPr>
          <w:p>
            <w:pPr>
              <w:widowControl/>
              <w:wordWrap w:val="0"/>
              <w:spacing w:line="288"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b/>
                <w:bCs/>
                <w:color w:val="191919"/>
                <w:kern w:val="0"/>
                <w:sz w:val="20"/>
                <w:szCs w:val="20"/>
              </w:rPr>
              <w:t>出口</w:t>
            </w:r>
          </w:p>
        </w:tc>
      </w:tr>
      <w:tr>
        <w:tblPrEx>
          <w:tblCellMar>
            <w:top w:w="0" w:type="dxa"/>
            <w:left w:w="0" w:type="dxa"/>
            <w:bottom w:w="0" w:type="dxa"/>
            <w:right w:w="0" w:type="dxa"/>
          </w:tblCellMar>
        </w:tblPrEx>
        <w:trPr>
          <w:trHeight w:val="402" w:hRule="atLeast"/>
          <w:jc w:val="center"/>
        </w:trPr>
        <w:tc>
          <w:tcPr>
            <w:tcW w:w="42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rPr>
            </w:pPr>
            <w:r>
              <w:rPr>
                <w:rFonts w:hint="eastAsia" w:asciiTheme="minorEastAsia" w:hAnsiTheme="minorEastAsia" w:eastAsiaTheme="minorEastAsia" w:cstheme="minorEastAsia"/>
                <w:bCs/>
                <w:color w:val="191919"/>
                <w:kern w:val="0"/>
                <w:sz w:val="20"/>
                <w:szCs w:val="20"/>
              </w:rPr>
              <w:t>当月进口量: 40967831.1(吨)</w:t>
            </w:r>
          </w:p>
        </w:tc>
        <w:tc>
          <w:tcPr>
            <w:tcW w:w="4220" w:type="dxa"/>
            <w:tcBorders>
              <w:top w:val="single" w:color="auto" w:sz="4" w:space="0"/>
              <w:left w:val="nil"/>
              <w:bottom w:val="single" w:color="auto" w:sz="4" w:space="0"/>
              <w:right w:val="single" w:color="auto" w:sz="4" w:space="0"/>
            </w:tcBorders>
            <w:shd w:val="clear" w:color="auto" w:fill="auto"/>
            <w:noWrap w:val="0"/>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rPr>
            </w:pPr>
            <w:r>
              <w:rPr>
                <w:rFonts w:hint="eastAsia" w:asciiTheme="minorEastAsia" w:hAnsiTheme="minorEastAsia" w:eastAsiaTheme="minorEastAsia" w:cstheme="minorEastAsia"/>
                <w:bCs/>
                <w:color w:val="191919"/>
                <w:kern w:val="0"/>
                <w:sz w:val="20"/>
                <w:szCs w:val="20"/>
              </w:rPr>
              <w:t>当月出口量: / (吨)</w:t>
            </w:r>
          </w:p>
        </w:tc>
      </w:tr>
      <w:tr>
        <w:tblPrEx>
          <w:tblCellMar>
            <w:top w:w="0" w:type="dxa"/>
            <w:left w:w="0" w:type="dxa"/>
            <w:bottom w:w="0" w:type="dxa"/>
            <w:right w:w="0" w:type="dxa"/>
          </w:tblCellMar>
        </w:tblPrEx>
        <w:trPr>
          <w:trHeight w:val="402" w:hRule="atLeast"/>
          <w:jc w:val="center"/>
        </w:trPr>
        <w:tc>
          <w:tcPr>
            <w:tcW w:w="4220" w:type="dxa"/>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rPr>
            </w:pPr>
            <w:r>
              <w:rPr>
                <w:rFonts w:hint="eastAsia" w:asciiTheme="minorEastAsia" w:hAnsiTheme="minorEastAsia" w:eastAsiaTheme="minorEastAsia" w:cstheme="minorEastAsia"/>
                <w:bCs/>
                <w:color w:val="191919"/>
                <w:kern w:val="0"/>
                <w:sz w:val="20"/>
                <w:szCs w:val="20"/>
              </w:rPr>
              <w:t>累计进口量: 220551939.5(吨)</w:t>
            </w:r>
          </w:p>
        </w:tc>
        <w:tc>
          <w:tcPr>
            <w:tcW w:w="4220" w:type="dxa"/>
            <w:tcBorders>
              <w:top w:val="nil"/>
              <w:left w:val="nil"/>
              <w:bottom w:val="single" w:color="auto" w:sz="4" w:space="0"/>
              <w:right w:val="single" w:color="auto" w:sz="4" w:space="0"/>
            </w:tcBorders>
            <w:shd w:val="clear" w:color="auto" w:fill="auto"/>
            <w:noWrap w:val="0"/>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rPr>
            </w:pPr>
            <w:r>
              <w:rPr>
                <w:rFonts w:hint="eastAsia" w:asciiTheme="minorEastAsia" w:hAnsiTheme="minorEastAsia" w:eastAsiaTheme="minorEastAsia" w:cstheme="minorEastAsia"/>
                <w:bCs/>
                <w:color w:val="191919"/>
                <w:kern w:val="0"/>
                <w:sz w:val="20"/>
                <w:szCs w:val="20"/>
              </w:rPr>
              <w:t>累计出口量: / (吨)</w:t>
            </w:r>
          </w:p>
        </w:tc>
      </w:tr>
      <w:tr>
        <w:tblPrEx>
          <w:tblCellMar>
            <w:top w:w="0" w:type="dxa"/>
            <w:left w:w="0" w:type="dxa"/>
            <w:bottom w:w="0" w:type="dxa"/>
            <w:right w:w="0" w:type="dxa"/>
          </w:tblCellMar>
        </w:tblPrEx>
        <w:trPr>
          <w:trHeight w:val="402" w:hRule="atLeast"/>
          <w:jc w:val="center"/>
        </w:trPr>
        <w:tc>
          <w:tcPr>
            <w:tcW w:w="4220" w:type="dxa"/>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rPr>
            </w:pPr>
            <w:r>
              <w:rPr>
                <w:rFonts w:hint="eastAsia" w:asciiTheme="minorEastAsia" w:hAnsiTheme="minorEastAsia" w:eastAsiaTheme="minorEastAsia" w:cstheme="minorEastAsia"/>
                <w:bCs/>
                <w:color w:val="191919"/>
                <w:kern w:val="0"/>
                <w:sz w:val="20"/>
                <w:szCs w:val="20"/>
              </w:rPr>
              <w:t>当月进口均价:474.0（美元/吨)</w:t>
            </w:r>
          </w:p>
        </w:tc>
        <w:tc>
          <w:tcPr>
            <w:tcW w:w="4220" w:type="dxa"/>
            <w:tcBorders>
              <w:top w:val="nil"/>
              <w:left w:val="nil"/>
              <w:bottom w:val="single" w:color="auto" w:sz="4" w:space="0"/>
              <w:right w:val="single" w:color="auto" w:sz="4" w:space="0"/>
            </w:tcBorders>
            <w:shd w:val="clear" w:color="auto" w:fill="auto"/>
            <w:noWrap w:val="0"/>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rPr>
            </w:pPr>
            <w:r>
              <w:rPr>
                <w:rFonts w:hint="eastAsia" w:asciiTheme="minorEastAsia" w:hAnsiTheme="minorEastAsia" w:eastAsiaTheme="minorEastAsia" w:cstheme="minorEastAsia"/>
                <w:bCs/>
                <w:color w:val="191919"/>
                <w:kern w:val="0"/>
                <w:sz w:val="20"/>
                <w:szCs w:val="20"/>
              </w:rPr>
              <w:t>当月出口均价:/美元/吨)</w:t>
            </w:r>
          </w:p>
        </w:tc>
      </w:tr>
      <w:tr>
        <w:tblPrEx>
          <w:tblCellMar>
            <w:top w:w="0" w:type="dxa"/>
            <w:left w:w="0" w:type="dxa"/>
            <w:bottom w:w="0" w:type="dxa"/>
            <w:right w:w="0" w:type="dxa"/>
          </w:tblCellMar>
        </w:tblPrEx>
        <w:trPr>
          <w:trHeight w:val="402" w:hRule="atLeast"/>
          <w:jc w:val="center"/>
        </w:trPr>
        <w:tc>
          <w:tcPr>
            <w:tcW w:w="4220" w:type="dxa"/>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rPr>
            </w:pPr>
            <w:r>
              <w:rPr>
                <w:rFonts w:hint="eastAsia" w:asciiTheme="minorEastAsia" w:hAnsiTheme="minorEastAsia" w:eastAsiaTheme="minorEastAsia" w:cstheme="minorEastAsia"/>
                <w:bCs/>
                <w:color w:val="191919"/>
                <w:kern w:val="0"/>
                <w:sz w:val="20"/>
                <w:szCs w:val="20"/>
              </w:rPr>
              <w:t>进口量环比：1.51%</w:t>
            </w:r>
          </w:p>
        </w:tc>
        <w:tc>
          <w:tcPr>
            <w:tcW w:w="4220" w:type="dxa"/>
            <w:tcBorders>
              <w:top w:val="nil"/>
              <w:left w:val="nil"/>
              <w:bottom w:val="single" w:color="auto" w:sz="4" w:space="0"/>
              <w:right w:val="single" w:color="auto" w:sz="4" w:space="0"/>
            </w:tcBorders>
            <w:shd w:val="clear" w:color="auto" w:fill="auto"/>
            <w:noWrap w:val="0"/>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rPr>
            </w:pPr>
            <w:r>
              <w:rPr>
                <w:rFonts w:hint="eastAsia" w:asciiTheme="minorEastAsia" w:hAnsiTheme="minorEastAsia" w:eastAsiaTheme="minorEastAsia" w:cstheme="minorEastAsia"/>
                <w:bCs/>
                <w:color w:val="191919"/>
                <w:kern w:val="0"/>
                <w:sz w:val="20"/>
                <w:szCs w:val="20"/>
              </w:rPr>
              <w:t>出口量环比：/%</w:t>
            </w:r>
          </w:p>
        </w:tc>
      </w:tr>
      <w:tr>
        <w:tblPrEx>
          <w:tblCellMar>
            <w:top w:w="0" w:type="dxa"/>
            <w:left w:w="0" w:type="dxa"/>
            <w:bottom w:w="0" w:type="dxa"/>
            <w:right w:w="0" w:type="dxa"/>
          </w:tblCellMar>
        </w:tblPrEx>
        <w:trPr>
          <w:trHeight w:val="402" w:hRule="atLeast"/>
          <w:jc w:val="center"/>
        </w:trPr>
        <w:tc>
          <w:tcPr>
            <w:tcW w:w="4220" w:type="dxa"/>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rPr>
            </w:pPr>
            <w:r>
              <w:rPr>
                <w:rFonts w:hint="eastAsia" w:asciiTheme="minorEastAsia" w:hAnsiTheme="minorEastAsia" w:eastAsiaTheme="minorEastAsia" w:cstheme="minorEastAsia"/>
                <w:bCs/>
                <w:color w:val="191919"/>
                <w:kern w:val="0"/>
                <w:sz w:val="20"/>
                <w:szCs w:val="20"/>
              </w:rPr>
              <w:t>进口量同比：-14.6%</w:t>
            </w:r>
          </w:p>
        </w:tc>
        <w:tc>
          <w:tcPr>
            <w:tcW w:w="4220" w:type="dxa"/>
            <w:tcBorders>
              <w:top w:val="nil"/>
              <w:left w:val="nil"/>
              <w:bottom w:val="single" w:color="auto" w:sz="4" w:space="0"/>
              <w:right w:val="single" w:color="auto" w:sz="4" w:space="0"/>
            </w:tcBorders>
            <w:shd w:val="clear" w:color="auto" w:fill="auto"/>
            <w:noWrap w:val="0"/>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rPr>
            </w:pPr>
            <w:r>
              <w:rPr>
                <w:rFonts w:hint="eastAsia" w:asciiTheme="minorEastAsia" w:hAnsiTheme="minorEastAsia" w:eastAsiaTheme="minorEastAsia" w:cstheme="minorEastAsia"/>
                <w:bCs/>
                <w:color w:val="191919"/>
                <w:kern w:val="0"/>
                <w:sz w:val="20"/>
                <w:szCs w:val="20"/>
              </w:rPr>
              <w:t>出口量同比：/%</w:t>
            </w:r>
          </w:p>
        </w:tc>
      </w:tr>
      <w:tr>
        <w:tblPrEx>
          <w:tblCellMar>
            <w:top w:w="0" w:type="dxa"/>
            <w:left w:w="0" w:type="dxa"/>
            <w:bottom w:w="0" w:type="dxa"/>
            <w:right w:w="0" w:type="dxa"/>
          </w:tblCellMar>
        </w:tblPrEx>
        <w:trPr>
          <w:trHeight w:val="402" w:hRule="atLeast"/>
          <w:jc w:val="center"/>
        </w:trPr>
        <w:tc>
          <w:tcPr>
            <w:tcW w:w="4220" w:type="dxa"/>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rPr>
            </w:pPr>
            <w:r>
              <w:rPr>
                <w:rFonts w:hint="eastAsia" w:asciiTheme="minorEastAsia" w:hAnsiTheme="minorEastAsia" w:eastAsiaTheme="minorEastAsia" w:cstheme="minorEastAsia"/>
                <w:bCs/>
                <w:color w:val="191919"/>
                <w:kern w:val="0"/>
                <w:sz w:val="20"/>
                <w:szCs w:val="20"/>
              </w:rPr>
              <w:t>累计进口量比去年同期：2.3%</w:t>
            </w:r>
          </w:p>
        </w:tc>
        <w:tc>
          <w:tcPr>
            <w:tcW w:w="4220" w:type="dxa"/>
            <w:tcBorders>
              <w:top w:val="nil"/>
              <w:left w:val="nil"/>
              <w:bottom w:val="single" w:color="auto" w:sz="4" w:space="0"/>
              <w:right w:val="single" w:color="auto" w:sz="4" w:space="0"/>
            </w:tcBorders>
            <w:shd w:val="clear" w:color="auto" w:fill="auto"/>
            <w:noWrap w:val="0"/>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rPr>
            </w:pPr>
            <w:r>
              <w:rPr>
                <w:rFonts w:hint="eastAsia" w:asciiTheme="minorEastAsia" w:hAnsiTheme="minorEastAsia" w:eastAsiaTheme="minorEastAsia" w:cstheme="minorEastAsia"/>
                <w:bCs/>
                <w:color w:val="191919"/>
                <w:kern w:val="0"/>
                <w:sz w:val="20"/>
                <w:szCs w:val="20"/>
              </w:rPr>
              <w:t>累计出口量比去年同期：/%</w:t>
            </w:r>
          </w:p>
        </w:tc>
      </w:tr>
    </w:tbl>
    <w:p>
      <w:pPr>
        <w:widowControl/>
        <w:wordWrap w:val="0"/>
        <w:spacing w:after="90" w:line="288" w:lineRule="auto"/>
        <w:ind w:firstLine="480"/>
        <w:jc w:val="left"/>
        <w:rPr>
          <w:rFonts w:hint="eastAsia" w:asciiTheme="minorEastAsia" w:hAnsiTheme="minorEastAsia" w:eastAsiaTheme="minorEastAsia" w:cstheme="minorEastAsia"/>
          <w:color w:val="auto"/>
          <w:kern w:val="2"/>
          <w:sz w:val="28"/>
          <w:szCs w:val="28"/>
          <w:shd w:val="clear" w:color="auto" w:fill="FFFFFF"/>
          <w:lang w:val="en-US" w:eastAsia="zh-CN" w:bidi="ar-SA"/>
        </w:rPr>
      </w:pPr>
    </w:p>
    <w:p>
      <w:pPr>
        <w:widowControl/>
        <w:wordWrap w:val="0"/>
        <w:spacing w:after="90" w:line="288" w:lineRule="auto"/>
        <w:ind w:firstLine="480"/>
        <w:jc w:val="left"/>
        <w:rPr>
          <w:rFonts w:hint="eastAsia" w:asciiTheme="minorEastAsia" w:hAnsiTheme="minorEastAsia" w:eastAsiaTheme="minorEastAsia" w:cstheme="minorEastAsia"/>
          <w:color w:val="auto"/>
          <w:kern w:val="2"/>
          <w:sz w:val="28"/>
          <w:szCs w:val="28"/>
          <w:shd w:val="clear" w:color="auto" w:fill="FFFFFF"/>
          <w:lang w:val="en-US" w:eastAsia="zh-CN" w:bidi="ar-SA"/>
        </w:rPr>
      </w:pPr>
      <w:r>
        <w:rPr>
          <w:rFonts w:hint="eastAsia" w:asciiTheme="minorEastAsia" w:hAnsiTheme="minorEastAsia" w:eastAsiaTheme="minorEastAsia" w:cstheme="minorEastAsia"/>
          <w:color w:val="auto"/>
          <w:kern w:val="2"/>
          <w:sz w:val="28"/>
          <w:szCs w:val="28"/>
          <w:shd w:val="clear" w:color="auto" w:fill="FFFFFF"/>
          <w:lang w:val="en-US" w:eastAsia="zh-CN" w:bidi="ar-SA"/>
        </w:rPr>
        <w:t>据海关统计，2021年5月我国原油进口量为40967831.1吨，累计进口量为220551939.5吨， 当月进口金额为1941889.4万美元，累计进口金额为9445304.7万美元，当月进口均价为474美元/吨，累计进口均价428.3美元/吨，与上年同期数量相比下降14.6%。</w:t>
      </w:r>
    </w:p>
    <w:p>
      <w:pPr>
        <w:widowControl/>
        <w:wordWrap w:val="0"/>
        <w:spacing w:after="90" w:line="288" w:lineRule="auto"/>
        <w:ind w:firstLine="480"/>
        <w:jc w:val="left"/>
        <w:rPr>
          <w:rFonts w:hint="eastAsia" w:asciiTheme="minorEastAsia" w:hAnsiTheme="minorEastAsia" w:eastAsiaTheme="minorEastAsia" w:cstheme="minorEastAsia"/>
          <w:color w:val="auto"/>
          <w:kern w:val="2"/>
          <w:sz w:val="28"/>
          <w:szCs w:val="28"/>
          <w:shd w:val="clear" w:color="auto" w:fill="FFFFFF"/>
          <w:lang w:val="en-US" w:eastAsia="zh-CN" w:bidi="ar-SA"/>
        </w:rPr>
      </w:pPr>
      <w:r>
        <w:rPr>
          <w:rFonts w:hint="eastAsia" w:asciiTheme="minorEastAsia" w:hAnsiTheme="minorEastAsia" w:eastAsiaTheme="minorEastAsia" w:cstheme="minorEastAsia"/>
          <w:color w:val="auto"/>
          <w:kern w:val="2"/>
          <w:sz w:val="28"/>
          <w:szCs w:val="28"/>
          <w:shd w:val="clear" w:color="auto" w:fill="FFFFFF"/>
          <w:lang w:val="en-US" w:eastAsia="zh-CN" w:bidi="ar-SA"/>
        </w:rPr>
        <w:t>2021年5月我国原油出口量暂无数据。</w:t>
      </w:r>
    </w:p>
    <w:p>
      <w:pPr>
        <w:pStyle w:val="3"/>
        <w:spacing w:before="120" w:after="120" w:line="240" w:lineRule="auto"/>
        <w:rPr>
          <w:rFonts w:hint="eastAsia" w:ascii="宋体" w:hAnsi="宋体"/>
          <w:b/>
          <w:sz w:val="30"/>
          <w:szCs w:val="30"/>
        </w:rPr>
      </w:pPr>
    </w:p>
    <w:p>
      <w:pPr>
        <w:pStyle w:val="3"/>
        <w:spacing w:before="120" w:after="120" w:line="240" w:lineRule="auto"/>
        <w:rPr>
          <w:rFonts w:hint="eastAsia" w:ascii="宋体" w:hAnsi="宋体"/>
          <w:b/>
          <w:sz w:val="30"/>
          <w:szCs w:val="30"/>
        </w:rPr>
      </w:pPr>
      <w:r>
        <w:rPr>
          <w:rFonts w:hint="eastAsia" w:ascii="宋体" w:hAnsi="宋体"/>
          <w:b/>
          <w:sz w:val="30"/>
          <w:szCs w:val="30"/>
        </w:rPr>
        <w:t>4.4 20</w:t>
      </w:r>
      <w:r>
        <w:rPr>
          <w:rFonts w:hint="eastAsia" w:ascii="宋体" w:hAnsi="宋体"/>
          <w:b/>
          <w:sz w:val="30"/>
          <w:szCs w:val="30"/>
          <w:lang w:val="en-US" w:eastAsia="zh-CN"/>
        </w:rPr>
        <w:t>21</w:t>
      </w:r>
      <w:r>
        <w:rPr>
          <w:rFonts w:hint="eastAsia" w:ascii="宋体" w:hAnsi="宋体"/>
          <w:b/>
          <w:sz w:val="30"/>
          <w:szCs w:val="30"/>
        </w:rPr>
        <w:t>年</w:t>
      </w:r>
      <w:r>
        <w:rPr>
          <w:rFonts w:hint="eastAsia" w:ascii="宋体" w:hAnsi="宋体"/>
          <w:b/>
          <w:sz w:val="30"/>
          <w:szCs w:val="30"/>
          <w:lang w:val="en-US" w:eastAsia="zh-CN"/>
        </w:rPr>
        <w:t>5</w:t>
      </w:r>
      <w:r>
        <w:rPr>
          <w:rFonts w:hint="eastAsia" w:ascii="宋体" w:hAnsi="宋体"/>
          <w:b/>
          <w:sz w:val="30"/>
          <w:szCs w:val="30"/>
        </w:rPr>
        <w:t>月份航空煤油进出口统计数据</w:t>
      </w:r>
      <w:bookmarkEnd w:id="30"/>
      <w:bookmarkEnd w:id="31"/>
    </w:p>
    <w:p>
      <w:pPr>
        <w:ind w:firstLine="420" w:firstLineChars="200"/>
        <w:jc w:val="left"/>
        <w:rPr>
          <w:rFonts w:hint="eastAsia" w:ascii="宋体" w:hAnsi="宋体"/>
        </w:rPr>
      </w:pPr>
      <w:r>
        <w:rPr>
          <w:rFonts w:hint="eastAsia" w:ascii="宋体" w:hAnsi="宋体"/>
        </w:rPr>
        <w:t>单位：</w:t>
      </w:r>
      <w:r>
        <w:rPr>
          <w:rFonts w:hint="eastAsia" w:ascii="宋体" w:hAnsi="宋体"/>
          <w:lang w:eastAsia="zh-CN"/>
        </w:rPr>
        <w:t>吨</w:t>
      </w:r>
      <w:r>
        <w:rPr>
          <w:rFonts w:hint="eastAsia" w:ascii="宋体" w:hAnsi="宋体"/>
        </w:rPr>
        <w:t>，美元</w:t>
      </w:r>
    </w:p>
    <w:p>
      <w:pPr>
        <w:ind w:firstLine="420" w:firstLineChars="200"/>
        <w:jc w:val="left"/>
        <w:rPr>
          <w:rFonts w:hint="eastAsia" w:ascii="宋体" w:hAnsi="宋体"/>
        </w:rPr>
      </w:pPr>
    </w:p>
    <w:bookmarkEnd w:id="24"/>
    <w:tbl>
      <w:tblPr>
        <w:tblStyle w:val="24"/>
        <w:tblW w:w="9036" w:type="dxa"/>
        <w:jc w:val="center"/>
        <w:shd w:val="clear" w:color="auto" w:fill="auto"/>
        <w:tblLayout w:type="fixed"/>
        <w:tblCellMar>
          <w:top w:w="0" w:type="dxa"/>
          <w:left w:w="0" w:type="dxa"/>
          <w:bottom w:w="0" w:type="dxa"/>
          <w:right w:w="0" w:type="dxa"/>
        </w:tblCellMar>
      </w:tblPr>
      <w:tblGrid>
        <w:gridCol w:w="4500"/>
        <w:gridCol w:w="4536"/>
      </w:tblGrid>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widowControl/>
              <w:wordWrap w:val="0"/>
              <w:spacing w:line="288" w:lineRule="auto"/>
              <w:jc w:val="center"/>
              <w:rPr>
                <w:rFonts w:hint="eastAsia" w:asciiTheme="minorEastAsia" w:hAnsiTheme="minorEastAsia" w:eastAsiaTheme="minorEastAsia" w:cstheme="minorEastAsia"/>
                <w:b/>
                <w:bCs w:val="0"/>
                <w:color w:val="191919"/>
                <w:kern w:val="0"/>
                <w:sz w:val="20"/>
                <w:szCs w:val="20"/>
              </w:rPr>
            </w:pPr>
            <w:r>
              <w:rPr>
                <w:rFonts w:hint="eastAsia" w:asciiTheme="minorEastAsia" w:hAnsiTheme="minorEastAsia" w:eastAsiaTheme="minorEastAsia" w:cstheme="minorEastAsia"/>
                <w:b/>
                <w:bCs w:val="0"/>
                <w:color w:val="191919"/>
                <w:kern w:val="0"/>
                <w:sz w:val="20"/>
                <w:szCs w:val="20"/>
              </w:rPr>
              <w:t>进口</w:t>
            </w:r>
          </w:p>
        </w:tc>
        <w:tc>
          <w:tcPr>
            <w:tcW w:w="4536" w:type="dxa"/>
            <w:tcBorders>
              <w:top w:val="nil"/>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widowControl/>
              <w:wordWrap w:val="0"/>
              <w:spacing w:line="288" w:lineRule="auto"/>
              <w:jc w:val="center"/>
              <w:rPr>
                <w:rFonts w:hint="eastAsia" w:asciiTheme="minorEastAsia" w:hAnsiTheme="minorEastAsia" w:eastAsiaTheme="minorEastAsia" w:cstheme="minorEastAsia"/>
                <w:b/>
                <w:bCs w:val="0"/>
                <w:color w:val="191919"/>
                <w:kern w:val="0"/>
                <w:sz w:val="20"/>
                <w:szCs w:val="20"/>
              </w:rPr>
            </w:pPr>
            <w:r>
              <w:rPr>
                <w:rFonts w:hint="eastAsia" w:asciiTheme="minorEastAsia" w:hAnsiTheme="minorEastAsia" w:eastAsiaTheme="minorEastAsia" w:cstheme="minorEastAsia"/>
                <w:b/>
                <w:bCs w:val="0"/>
                <w:color w:val="191919"/>
                <w:kern w:val="0"/>
                <w:sz w:val="20"/>
                <w:szCs w:val="20"/>
              </w:rPr>
              <w:t>出口</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lang w:val="en-US" w:eastAsia="zh-CN"/>
              </w:rPr>
            </w:pPr>
            <w:r>
              <w:rPr>
                <w:rFonts w:hint="eastAsia" w:asciiTheme="minorEastAsia" w:hAnsiTheme="minorEastAsia" w:eastAsiaTheme="minorEastAsia" w:cstheme="minorEastAsia"/>
                <w:bCs/>
                <w:color w:val="191919"/>
                <w:kern w:val="0"/>
                <w:sz w:val="20"/>
                <w:szCs w:val="20"/>
              </w:rPr>
              <w:t>当月进口量:192110.043（吨）</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lang w:val="en-US" w:eastAsia="zh-CN"/>
              </w:rPr>
            </w:pPr>
            <w:r>
              <w:rPr>
                <w:rFonts w:hint="eastAsia" w:asciiTheme="minorEastAsia" w:hAnsiTheme="minorEastAsia" w:eastAsiaTheme="minorEastAsia" w:cstheme="minorEastAsia"/>
                <w:bCs/>
                <w:color w:val="191919"/>
                <w:kern w:val="0"/>
                <w:sz w:val="20"/>
                <w:szCs w:val="20"/>
              </w:rPr>
              <w:t>当月出口量:565119.927（吨）</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lang w:val="en-US" w:eastAsia="zh-CN"/>
              </w:rPr>
            </w:pPr>
            <w:r>
              <w:rPr>
                <w:rFonts w:hint="eastAsia" w:asciiTheme="minorEastAsia" w:hAnsiTheme="minorEastAsia" w:eastAsiaTheme="minorEastAsia" w:cstheme="minorEastAsia"/>
                <w:bCs/>
                <w:color w:val="191919"/>
                <w:kern w:val="0"/>
                <w:sz w:val="20"/>
                <w:szCs w:val="20"/>
              </w:rPr>
              <w:t>累计进口量:693402.37（吨）</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lang w:val="en-US" w:eastAsia="zh-CN"/>
              </w:rPr>
            </w:pPr>
            <w:r>
              <w:rPr>
                <w:rFonts w:hint="eastAsia" w:asciiTheme="minorEastAsia" w:hAnsiTheme="minorEastAsia" w:eastAsiaTheme="minorEastAsia" w:cstheme="minorEastAsia"/>
                <w:bCs/>
                <w:color w:val="191919"/>
                <w:kern w:val="0"/>
                <w:sz w:val="20"/>
                <w:szCs w:val="20"/>
              </w:rPr>
              <w:t>累计出口量:2814015.149（吨）</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lang w:val="en-US" w:eastAsia="zh-CN"/>
              </w:rPr>
            </w:pPr>
            <w:r>
              <w:rPr>
                <w:rFonts w:hint="eastAsia" w:asciiTheme="minorEastAsia" w:hAnsiTheme="minorEastAsia" w:eastAsiaTheme="minorEastAsia" w:cstheme="minorEastAsia"/>
                <w:bCs/>
                <w:color w:val="191919"/>
                <w:kern w:val="0"/>
                <w:sz w:val="20"/>
                <w:szCs w:val="20"/>
              </w:rPr>
              <w:t>当月进口均价:3642.57（元/吨）</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lang w:val="en-US" w:eastAsia="zh-CN"/>
              </w:rPr>
            </w:pPr>
            <w:r>
              <w:rPr>
                <w:rFonts w:hint="eastAsia" w:asciiTheme="minorEastAsia" w:hAnsiTheme="minorEastAsia" w:eastAsiaTheme="minorEastAsia" w:cstheme="minorEastAsia"/>
                <w:bCs/>
                <w:color w:val="191919"/>
                <w:kern w:val="0"/>
                <w:sz w:val="20"/>
                <w:szCs w:val="20"/>
              </w:rPr>
              <w:t>当月出口均价: 3509.99（元/吨）</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lang w:val="en-US" w:eastAsia="zh-CN"/>
              </w:rPr>
            </w:pPr>
            <w:r>
              <w:rPr>
                <w:rFonts w:hint="eastAsia" w:asciiTheme="minorEastAsia" w:hAnsiTheme="minorEastAsia" w:eastAsiaTheme="minorEastAsia" w:cstheme="minorEastAsia"/>
                <w:bCs/>
                <w:color w:val="191919"/>
                <w:kern w:val="0"/>
                <w:sz w:val="20"/>
                <w:szCs w:val="20"/>
              </w:rPr>
              <w:t>累计进口均价：3302.65（元/吨）</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lang w:val="en-US" w:eastAsia="zh-CN"/>
              </w:rPr>
            </w:pPr>
            <w:r>
              <w:rPr>
                <w:rFonts w:hint="eastAsia" w:asciiTheme="minorEastAsia" w:hAnsiTheme="minorEastAsia" w:eastAsiaTheme="minorEastAsia" w:cstheme="minorEastAsia"/>
                <w:bCs/>
                <w:color w:val="191919"/>
                <w:kern w:val="0"/>
                <w:sz w:val="20"/>
                <w:szCs w:val="20"/>
              </w:rPr>
              <w:t>累计出口均价:3090.55（元/吨）</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lang w:val="en-US" w:eastAsia="zh-CN"/>
              </w:rPr>
            </w:pPr>
            <w:r>
              <w:rPr>
                <w:rFonts w:hint="eastAsia" w:asciiTheme="minorEastAsia" w:hAnsiTheme="minorEastAsia" w:eastAsiaTheme="minorEastAsia" w:cstheme="minorEastAsia"/>
                <w:bCs/>
                <w:color w:val="191919"/>
                <w:kern w:val="0"/>
                <w:sz w:val="20"/>
                <w:szCs w:val="20"/>
              </w:rPr>
              <w:t>进口量环比：50.89%</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lang w:val="en-US" w:eastAsia="zh-CN"/>
              </w:rPr>
            </w:pPr>
            <w:r>
              <w:rPr>
                <w:rFonts w:hint="eastAsia" w:asciiTheme="minorEastAsia" w:hAnsiTheme="minorEastAsia" w:eastAsiaTheme="minorEastAsia" w:cstheme="minorEastAsia"/>
                <w:bCs/>
                <w:color w:val="191919"/>
                <w:kern w:val="0"/>
                <w:sz w:val="20"/>
                <w:szCs w:val="20"/>
              </w:rPr>
              <w:t>出口量环比：-14.13%</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lang w:val="en-US" w:eastAsia="zh-CN"/>
              </w:rPr>
            </w:pPr>
            <w:r>
              <w:rPr>
                <w:rFonts w:hint="eastAsia" w:asciiTheme="minorEastAsia" w:hAnsiTheme="minorEastAsia" w:eastAsiaTheme="minorEastAsia" w:cstheme="minorEastAsia"/>
                <w:bCs/>
                <w:color w:val="191919"/>
                <w:kern w:val="0"/>
                <w:sz w:val="20"/>
                <w:szCs w:val="20"/>
              </w:rPr>
              <w:t>进口量同比：-57.39%</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lang w:val="en-US" w:eastAsia="zh-CN"/>
              </w:rPr>
            </w:pPr>
            <w:r>
              <w:rPr>
                <w:rFonts w:hint="eastAsia" w:asciiTheme="minorEastAsia" w:hAnsiTheme="minorEastAsia" w:eastAsiaTheme="minorEastAsia" w:cstheme="minorEastAsia"/>
                <w:bCs/>
                <w:color w:val="191919"/>
                <w:kern w:val="0"/>
                <w:sz w:val="20"/>
                <w:szCs w:val="20"/>
              </w:rPr>
              <w:t>出口量同比：-62.20%</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lang w:val="en-US" w:eastAsia="zh-CN"/>
              </w:rPr>
            </w:pPr>
            <w:r>
              <w:rPr>
                <w:rFonts w:hint="eastAsia" w:asciiTheme="minorEastAsia" w:hAnsiTheme="minorEastAsia" w:eastAsiaTheme="minorEastAsia" w:cstheme="minorEastAsia"/>
                <w:bCs/>
                <w:color w:val="191919"/>
                <w:kern w:val="0"/>
                <w:sz w:val="20"/>
                <w:szCs w:val="20"/>
              </w:rPr>
              <w:t>累计进口量比去年同期：-41.65%</w:t>
            </w:r>
          </w:p>
        </w:tc>
        <w:tc>
          <w:tcPr>
            <w:tcW w:w="453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lang w:val="en-US" w:eastAsia="zh-CN"/>
              </w:rPr>
            </w:pPr>
            <w:r>
              <w:rPr>
                <w:rFonts w:hint="eastAsia" w:asciiTheme="minorEastAsia" w:hAnsiTheme="minorEastAsia" w:eastAsiaTheme="minorEastAsia" w:cstheme="minorEastAsia"/>
                <w:bCs/>
                <w:color w:val="191919"/>
                <w:kern w:val="0"/>
                <w:sz w:val="20"/>
                <w:szCs w:val="20"/>
              </w:rPr>
              <w:t>累计出口量比去年同期：-59.82%</w:t>
            </w:r>
          </w:p>
        </w:tc>
      </w:tr>
    </w:tbl>
    <w:p/>
    <w:p/>
    <w:sectPr>
      <w:headerReference r:id="rId5" w:type="first"/>
      <w:headerReference r:id="rId3" w:type="default"/>
      <w:headerReference r:id="rId4" w:type="even"/>
      <w:pgSz w:w="11906" w:h="16838"/>
      <w:pgMar w:top="1416" w:right="1134" w:bottom="1440" w:left="1134" w:header="468"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MS Gothic">
    <w:panose1 w:val="020B06090702050802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left="-359" w:leftChars="-171"/>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53325" cy="10696575"/>
          <wp:effectExtent l="0" t="0" r="9525" b="9525"/>
          <wp:wrapNone/>
          <wp:docPr id="5" name="WordPictureWatermark3"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53325" cy="10696575"/>
          <wp:effectExtent l="0" t="0" r="9525" b="9525"/>
          <wp:wrapNone/>
          <wp:docPr id="6" name="WordPictureWatermark2"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53325" cy="10696575"/>
          <wp:effectExtent l="0" t="0" r="9525" b="9525"/>
          <wp:wrapNone/>
          <wp:docPr id="4" name="WordPictureWatermark1"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F4C3B"/>
    <w:multiLevelType w:val="singleLevel"/>
    <w:tmpl w:val="C05F4C3B"/>
    <w:lvl w:ilvl="0" w:tentative="0">
      <w:start w:val="2"/>
      <w:numFmt w:val="decimal"/>
      <w:suff w:val="nothing"/>
      <w:lvlText w:val="（%1）"/>
      <w:lvlJc w:val="left"/>
    </w:lvl>
  </w:abstractNum>
  <w:abstractNum w:abstractNumId="1">
    <w:nsid w:val="E935C49C"/>
    <w:multiLevelType w:val="singleLevel"/>
    <w:tmpl w:val="E935C49C"/>
    <w:lvl w:ilvl="0" w:tentative="0">
      <w:start w:val="1"/>
      <w:numFmt w:val="decimal"/>
      <w:suff w:val="nothing"/>
      <w:lvlText w:val="%1、"/>
      <w:lvlJc w:val="left"/>
    </w:lvl>
  </w:abstractNum>
  <w:abstractNum w:abstractNumId="2">
    <w:nsid w:val="06709E88"/>
    <w:multiLevelType w:val="singleLevel"/>
    <w:tmpl w:val="06709E88"/>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D5"/>
    <w:rsid w:val="00000001"/>
    <w:rsid w:val="00000E2B"/>
    <w:rsid w:val="00001EBA"/>
    <w:rsid w:val="00002437"/>
    <w:rsid w:val="00002997"/>
    <w:rsid w:val="00002F3E"/>
    <w:rsid w:val="00004542"/>
    <w:rsid w:val="00004A29"/>
    <w:rsid w:val="00005391"/>
    <w:rsid w:val="00005D8F"/>
    <w:rsid w:val="00005D97"/>
    <w:rsid w:val="000061A0"/>
    <w:rsid w:val="000062CE"/>
    <w:rsid w:val="0000681C"/>
    <w:rsid w:val="00006B29"/>
    <w:rsid w:val="00007094"/>
    <w:rsid w:val="00007B25"/>
    <w:rsid w:val="00007B73"/>
    <w:rsid w:val="000107BF"/>
    <w:rsid w:val="0001419C"/>
    <w:rsid w:val="00014957"/>
    <w:rsid w:val="00014C18"/>
    <w:rsid w:val="0001671E"/>
    <w:rsid w:val="000173C4"/>
    <w:rsid w:val="000178C3"/>
    <w:rsid w:val="00017CC7"/>
    <w:rsid w:val="0002004D"/>
    <w:rsid w:val="000200C7"/>
    <w:rsid w:val="00020D95"/>
    <w:rsid w:val="000211FB"/>
    <w:rsid w:val="0002143E"/>
    <w:rsid w:val="000214FF"/>
    <w:rsid w:val="00021DC4"/>
    <w:rsid w:val="00021E92"/>
    <w:rsid w:val="0002290F"/>
    <w:rsid w:val="00022911"/>
    <w:rsid w:val="00024B10"/>
    <w:rsid w:val="000258A5"/>
    <w:rsid w:val="00025BB2"/>
    <w:rsid w:val="000261E4"/>
    <w:rsid w:val="00026323"/>
    <w:rsid w:val="00026B40"/>
    <w:rsid w:val="0002776E"/>
    <w:rsid w:val="000278B2"/>
    <w:rsid w:val="00027D07"/>
    <w:rsid w:val="000307CA"/>
    <w:rsid w:val="00030D45"/>
    <w:rsid w:val="000311A2"/>
    <w:rsid w:val="0003292B"/>
    <w:rsid w:val="00032F7C"/>
    <w:rsid w:val="000333A9"/>
    <w:rsid w:val="00034091"/>
    <w:rsid w:val="0003487C"/>
    <w:rsid w:val="00034C76"/>
    <w:rsid w:val="00034D87"/>
    <w:rsid w:val="000350F8"/>
    <w:rsid w:val="000351B3"/>
    <w:rsid w:val="00035B2E"/>
    <w:rsid w:val="000365DA"/>
    <w:rsid w:val="0003678B"/>
    <w:rsid w:val="000371F1"/>
    <w:rsid w:val="00037335"/>
    <w:rsid w:val="000378D2"/>
    <w:rsid w:val="0003793F"/>
    <w:rsid w:val="00037BE1"/>
    <w:rsid w:val="0004014C"/>
    <w:rsid w:val="000408A0"/>
    <w:rsid w:val="00040979"/>
    <w:rsid w:val="00040C7D"/>
    <w:rsid w:val="00040E39"/>
    <w:rsid w:val="000414B3"/>
    <w:rsid w:val="00041567"/>
    <w:rsid w:val="00041645"/>
    <w:rsid w:val="0004193C"/>
    <w:rsid w:val="00042A15"/>
    <w:rsid w:val="0004317C"/>
    <w:rsid w:val="00044335"/>
    <w:rsid w:val="0004451D"/>
    <w:rsid w:val="000450D2"/>
    <w:rsid w:val="000455F4"/>
    <w:rsid w:val="00046E70"/>
    <w:rsid w:val="00047259"/>
    <w:rsid w:val="00047DBB"/>
    <w:rsid w:val="00050E51"/>
    <w:rsid w:val="00051443"/>
    <w:rsid w:val="00051A09"/>
    <w:rsid w:val="00051DD5"/>
    <w:rsid w:val="00051E83"/>
    <w:rsid w:val="00052AAE"/>
    <w:rsid w:val="000530F9"/>
    <w:rsid w:val="000533E0"/>
    <w:rsid w:val="00054176"/>
    <w:rsid w:val="00054429"/>
    <w:rsid w:val="00054B8C"/>
    <w:rsid w:val="00054FF9"/>
    <w:rsid w:val="000550CF"/>
    <w:rsid w:val="00055C14"/>
    <w:rsid w:val="00055D8E"/>
    <w:rsid w:val="00056B34"/>
    <w:rsid w:val="00056E02"/>
    <w:rsid w:val="0005709B"/>
    <w:rsid w:val="00057C7F"/>
    <w:rsid w:val="000600F1"/>
    <w:rsid w:val="0006025C"/>
    <w:rsid w:val="0006030A"/>
    <w:rsid w:val="00060CDF"/>
    <w:rsid w:val="00060FE3"/>
    <w:rsid w:val="000614AA"/>
    <w:rsid w:val="000616C7"/>
    <w:rsid w:val="000622A6"/>
    <w:rsid w:val="00063461"/>
    <w:rsid w:val="00063524"/>
    <w:rsid w:val="00063D65"/>
    <w:rsid w:val="000641DA"/>
    <w:rsid w:val="00064635"/>
    <w:rsid w:val="000647DD"/>
    <w:rsid w:val="000661BB"/>
    <w:rsid w:val="00067D25"/>
    <w:rsid w:val="00071AB9"/>
    <w:rsid w:val="00071D20"/>
    <w:rsid w:val="00072B8A"/>
    <w:rsid w:val="00072D55"/>
    <w:rsid w:val="00072FD1"/>
    <w:rsid w:val="000730CF"/>
    <w:rsid w:val="00073486"/>
    <w:rsid w:val="0007371F"/>
    <w:rsid w:val="00073A1E"/>
    <w:rsid w:val="000745EA"/>
    <w:rsid w:val="00076A59"/>
    <w:rsid w:val="00076D7A"/>
    <w:rsid w:val="000770E7"/>
    <w:rsid w:val="00080E3E"/>
    <w:rsid w:val="000816B9"/>
    <w:rsid w:val="000818F5"/>
    <w:rsid w:val="00081BB1"/>
    <w:rsid w:val="00082283"/>
    <w:rsid w:val="000829B8"/>
    <w:rsid w:val="00083416"/>
    <w:rsid w:val="000837CC"/>
    <w:rsid w:val="00083A7A"/>
    <w:rsid w:val="00084686"/>
    <w:rsid w:val="00084795"/>
    <w:rsid w:val="00086799"/>
    <w:rsid w:val="00087018"/>
    <w:rsid w:val="000873E9"/>
    <w:rsid w:val="00087A5E"/>
    <w:rsid w:val="00087FB0"/>
    <w:rsid w:val="00090691"/>
    <w:rsid w:val="000908E5"/>
    <w:rsid w:val="00090993"/>
    <w:rsid w:val="00090EB0"/>
    <w:rsid w:val="0009139C"/>
    <w:rsid w:val="000915F9"/>
    <w:rsid w:val="00092D67"/>
    <w:rsid w:val="0009306B"/>
    <w:rsid w:val="00094101"/>
    <w:rsid w:val="00094976"/>
    <w:rsid w:val="000950DB"/>
    <w:rsid w:val="00095556"/>
    <w:rsid w:val="0009706E"/>
    <w:rsid w:val="00097831"/>
    <w:rsid w:val="00097A8A"/>
    <w:rsid w:val="000A04CA"/>
    <w:rsid w:val="000A089A"/>
    <w:rsid w:val="000A08E0"/>
    <w:rsid w:val="000A1177"/>
    <w:rsid w:val="000A1814"/>
    <w:rsid w:val="000A1F70"/>
    <w:rsid w:val="000A2479"/>
    <w:rsid w:val="000A28C2"/>
    <w:rsid w:val="000A2A3A"/>
    <w:rsid w:val="000A34DE"/>
    <w:rsid w:val="000A35E6"/>
    <w:rsid w:val="000A35EB"/>
    <w:rsid w:val="000A420D"/>
    <w:rsid w:val="000A4ABE"/>
    <w:rsid w:val="000A4CA3"/>
    <w:rsid w:val="000A53C0"/>
    <w:rsid w:val="000A5A29"/>
    <w:rsid w:val="000A5D6A"/>
    <w:rsid w:val="000A6CD8"/>
    <w:rsid w:val="000A731B"/>
    <w:rsid w:val="000A7E49"/>
    <w:rsid w:val="000B0145"/>
    <w:rsid w:val="000B02C2"/>
    <w:rsid w:val="000B0464"/>
    <w:rsid w:val="000B07D8"/>
    <w:rsid w:val="000B117C"/>
    <w:rsid w:val="000B1354"/>
    <w:rsid w:val="000B18CA"/>
    <w:rsid w:val="000B1CBE"/>
    <w:rsid w:val="000B278F"/>
    <w:rsid w:val="000B2F60"/>
    <w:rsid w:val="000B3F65"/>
    <w:rsid w:val="000B438B"/>
    <w:rsid w:val="000B4A4B"/>
    <w:rsid w:val="000B4B63"/>
    <w:rsid w:val="000B577A"/>
    <w:rsid w:val="000B6E8C"/>
    <w:rsid w:val="000B6EF1"/>
    <w:rsid w:val="000C045B"/>
    <w:rsid w:val="000C0765"/>
    <w:rsid w:val="000C1522"/>
    <w:rsid w:val="000C23BE"/>
    <w:rsid w:val="000C2AF8"/>
    <w:rsid w:val="000C2C0D"/>
    <w:rsid w:val="000C390B"/>
    <w:rsid w:val="000C519B"/>
    <w:rsid w:val="000C7E9B"/>
    <w:rsid w:val="000D017E"/>
    <w:rsid w:val="000D1403"/>
    <w:rsid w:val="000D19C8"/>
    <w:rsid w:val="000D1EDF"/>
    <w:rsid w:val="000D23EE"/>
    <w:rsid w:val="000D2454"/>
    <w:rsid w:val="000D2F34"/>
    <w:rsid w:val="000D5070"/>
    <w:rsid w:val="000D54B6"/>
    <w:rsid w:val="000D5A72"/>
    <w:rsid w:val="000D606E"/>
    <w:rsid w:val="000D6CDE"/>
    <w:rsid w:val="000D77A0"/>
    <w:rsid w:val="000D78B6"/>
    <w:rsid w:val="000E02F8"/>
    <w:rsid w:val="000E08E9"/>
    <w:rsid w:val="000E09E1"/>
    <w:rsid w:val="000E0BE6"/>
    <w:rsid w:val="000E0C68"/>
    <w:rsid w:val="000E119C"/>
    <w:rsid w:val="000E11CC"/>
    <w:rsid w:val="000E2177"/>
    <w:rsid w:val="000E236C"/>
    <w:rsid w:val="000E2AB6"/>
    <w:rsid w:val="000E3068"/>
    <w:rsid w:val="000E3797"/>
    <w:rsid w:val="000E47BE"/>
    <w:rsid w:val="000E5148"/>
    <w:rsid w:val="000E6069"/>
    <w:rsid w:val="000E675A"/>
    <w:rsid w:val="000E6D52"/>
    <w:rsid w:val="000E6D82"/>
    <w:rsid w:val="000E6FF4"/>
    <w:rsid w:val="000E70FD"/>
    <w:rsid w:val="000E7B4B"/>
    <w:rsid w:val="000F0302"/>
    <w:rsid w:val="000F1424"/>
    <w:rsid w:val="000F18AD"/>
    <w:rsid w:val="000F22B3"/>
    <w:rsid w:val="000F26ED"/>
    <w:rsid w:val="000F28B0"/>
    <w:rsid w:val="000F3134"/>
    <w:rsid w:val="000F3569"/>
    <w:rsid w:val="000F35E1"/>
    <w:rsid w:val="000F3D99"/>
    <w:rsid w:val="000F4030"/>
    <w:rsid w:val="000F660F"/>
    <w:rsid w:val="000F68C8"/>
    <w:rsid w:val="000F756F"/>
    <w:rsid w:val="000F7799"/>
    <w:rsid w:val="000F7FC3"/>
    <w:rsid w:val="001000F4"/>
    <w:rsid w:val="001017C9"/>
    <w:rsid w:val="00101ECB"/>
    <w:rsid w:val="001020D5"/>
    <w:rsid w:val="00102A5C"/>
    <w:rsid w:val="001035B8"/>
    <w:rsid w:val="001036E7"/>
    <w:rsid w:val="00103E6C"/>
    <w:rsid w:val="00104105"/>
    <w:rsid w:val="001048FA"/>
    <w:rsid w:val="001057B4"/>
    <w:rsid w:val="00105C49"/>
    <w:rsid w:val="00106EF3"/>
    <w:rsid w:val="001070FC"/>
    <w:rsid w:val="00107AE3"/>
    <w:rsid w:val="00107B0B"/>
    <w:rsid w:val="00107E46"/>
    <w:rsid w:val="00110A50"/>
    <w:rsid w:val="00111114"/>
    <w:rsid w:val="00111756"/>
    <w:rsid w:val="00111A3D"/>
    <w:rsid w:val="00111D2D"/>
    <w:rsid w:val="00112543"/>
    <w:rsid w:val="0011275B"/>
    <w:rsid w:val="0011324A"/>
    <w:rsid w:val="00113675"/>
    <w:rsid w:val="00114954"/>
    <w:rsid w:val="00114A6C"/>
    <w:rsid w:val="001150AE"/>
    <w:rsid w:val="00115A3C"/>
    <w:rsid w:val="00115EFA"/>
    <w:rsid w:val="001172F7"/>
    <w:rsid w:val="00117BF6"/>
    <w:rsid w:val="001209FD"/>
    <w:rsid w:val="0012159B"/>
    <w:rsid w:val="00121C71"/>
    <w:rsid w:val="00122283"/>
    <w:rsid w:val="00122331"/>
    <w:rsid w:val="00122541"/>
    <w:rsid w:val="00122BC1"/>
    <w:rsid w:val="00122EB5"/>
    <w:rsid w:val="00123F25"/>
    <w:rsid w:val="00124010"/>
    <w:rsid w:val="00125FBE"/>
    <w:rsid w:val="00126307"/>
    <w:rsid w:val="00126DAE"/>
    <w:rsid w:val="00127938"/>
    <w:rsid w:val="00127F97"/>
    <w:rsid w:val="001304A1"/>
    <w:rsid w:val="00130E8D"/>
    <w:rsid w:val="00131D92"/>
    <w:rsid w:val="00131FF7"/>
    <w:rsid w:val="001325BA"/>
    <w:rsid w:val="0013325C"/>
    <w:rsid w:val="00133446"/>
    <w:rsid w:val="00133D58"/>
    <w:rsid w:val="00133E2E"/>
    <w:rsid w:val="00134A56"/>
    <w:rsid w:val="00134B33"/>
    <w:rsid w:val="00134D69"/>
    <w:rsid w:val="00135100"/>
    <w:rsid w:val="00135379"/>
    <w:rsid w:val="001355D3"/>
    <w:rsid w:val="0013634F"/>
    <w:rsid w:val="001363D5"/>
    <w:rsid w:val="001371D9"/>
    <w:rsid w:val="0013781A"/>
    <w:rsid w:val="00137F23"/>
    <w:rsid w:val="00140809"/>
    <w:rsid w:val="00141D19"/>
    <w:rsid w:val="00141F5D"/>
    <w:rsid w:val="001424DC"/>
    <w:rsid w:val="00142B27"/>
    <w:rsid w:val="00142B40"/>
    <w:rsid w:val="001439DC"/>
    <w:rsid w:val="00143B71"/>
    <w:rsid w:val="00144675"/>
    <w:rsid w:val="001447D7"/>
    <w:rsid w:val="00145608"/>
    <w:rsid w:val="001462C5"/>
    <w:rsid w:val="00146B81"/>
    <w:rsid w:val="00147639"/>
    <w:rsid w:val="0014780F"/>
    <w:rsid w:val="00150A9C"/>
    <w:rsid w:val="00150C89"/>
    <w:rsid w:val="00151179"/>
    <w:rsid w:val="0015132D"/>
    <w:rsid w:val="0015143A"/>
    <w:rsid w:val="00152074"/>
    <w:rsid w:val="00152F02"/>
    <w:rsid w:val="00153599"/>
    <w:rsid w:val="00153AAD"/>
    <w:rsid w:val="00153C29"/>
    <w:rsid w:val="001543B5"/>
    <w:rsid w:val="0015441A"/>
    <w:rsid w:val="0015450C"/>
    <w:rsid w:val="00156455"/>
    <w:rsid w:val="0015706A"/>
    <w:rsid w:val="001572FE"/>
    <w:rsid w:val="001577CB"/>
    <w:rsid w:val="00157805"/>
    <w:rsid w:val="001607B0"/>
    <w:rsid w:val="00160FE2"/>
    <w:rsid w:val="00161305"/>
    <w:rsid w:val="00161385"/>
    <w:rsid w:val="00162336"/>
    <w:rsid w:val="001628AC"/>
    <w:rsid w:val="001636A2"/>
    <w:rsid w:val="0016370D"/>
    <w:rsid w:val="00164043"/>
    <w:rsid w:val="00164712"/>
    <w:rsid w:val="001647F8"/>
    <w:rsid w:val="00164E56"/>
    <w:rsid w:val="0016504D"/>
    <w:rsid w:val="0016550B"/>
    <w:rsid w:val="00165658"/>
    <w:rsid w:val="00166055"/>
    <w:rsid w:val="001665E7"/>
    <w:rsid w:val="00166C96"/>
    <w:rsid w:val="00166FF0"/>
    <w:rsid w:val="00167F99"/>
    <w:rsid w:val="00170077"/>
    <w:rsid w:val="00170C4C"/>
    <w:rsid w:val="00171407"/>
    <w:rsid w:val="00171AA5"/>
    <w:rsid w:val="00171AD1"/>
    <w:rsid w:val="001730F6"/>
    <w:rsid w:val="001735AC"/>
    <w:rsid w:val="00173BD0"/>
    <w:rsid w:val="00175478"/>
    <w:rsid w:val="001756E8"/>
    <w:rsid w:val="001759C1"/>
    <w:rsid w:val="00175AF7"/>
    <w:rsid w:val="00176B82"/>
    <w:rsid w:val="00177443"/>
    <w:rsid w:val="00177B3C"/>
    <w:rsid w:val="00180049"/>
    <w:rsid w:val="001801E7"/>
    <w:rsid w:val="0018076A"/>
    <w:rsid w:val="00181417"/>
    <w:rsid w:val="00181F7D"/>
    <w:rsid w:val="00182970"/>
    <w:rsid w:val="00182C5C"/>
    <w:rsid w:val="00182FF9"/>
    <w:rsid w:val="00183E9B"/>
    <w:rsid w:val="00184879"/>
    <w:rsid w:val="00185521"/>
    <w:rsid w:val="00185DB1"/>
    <w:rsid w:val="00186131"/>
    <w:rsid w:val="00187F57"/>
    <w:rsid w:val="00187FFE"/>
    <w:rsid w:val="00190E5F"/>
    <w:rsid w:val="00191153"/>
    <w:rsid w:val="001913DE"/>
    <w:rsid w:val="001915C6"/>
    <w:rsid w:val="001917BD"/>
    <w:rsid w:val="0019180C"/>
    <w:rsid w:val="00191D20"/>
    <w:rsid w:val="00191DDC"/>
    <w:rsid w:val="00191FDA"/>
    <w:rsid w:val="00192E12"/>
    <w:rsid w:val="00192FAB"/>
    <w:rsid w:val="001933C2"/>
    <w:rsid w:val="00193E58"/>
    <w:rsid w:val="001943E0"/>
    <w:rsid w:val="00194C41"/>
    <w:rsid w:val="0019534C"/>
    <w:rsid w:val="001954C9"/>
    <w:rsid w:val="001963B6"/>
    <w:rsid w:val="00197544"/>
    <w:rsid w:val="00197BE6"/>
    <w:rsid w:val="00197CDD"/>
    <w:rsid w:val="001A1372"/>
    <w:rsid w:val="001A1DC2"/>
    <w:rsid w:val="001A2421"/>
    <w:rsid w:val="001A3469"/>
    <w:rsid w:val="001A38D6"/>
    <w:rsid w:val="001A3FCF"/>
    <w:rsid w:val="001A4131"/>
    <w:rsid w:val="001A41EB"/>
    <w:rsid w:val="001A4597"/>
    <w:rsid w:val="001A47B4"/>
    <w:rsid w:val="001A526F"/>
    <w:rsid w:val="001A5C33"/>
    <w:rsid w:val="001A63E5"/>
    <w:rsid w:val="001A6847"/>
    <w:rsid w:val="001A6A7A"/>
    <w:rsid w:val="001A6B24"/>
    <w:rsid w:val="001A7A90"/>
    <w:rsid w:val="001A7DA2"/>
    <w:rsid w:val="001B0470"/>
    <w:rsid w:val="001B13C9"/>
    <w:rsid w:val="001B146C"/>
    <w:rsid w:val="001B2164"/>
    <w:rsid w:val="001B21FA"/>
    <w:rsid w:val="001B2308"/>
    <w:rsid w:val="001B2348"/>
    <w:rsid w:val="001B2401"/>
    <w:rsid w:val="001B411B"/>
    <w:rsid w:val="001B4639"/>
    <w:rsid w:val="001B4C20"/>
    <w:rsid w:val="001B525E"/>
    <w:rsid w:val="001B57AE"/>
    <w:rsid w:val="001B5A2F"/>
    <w:rsid w:val="001B5A48"/>
    <w:rsid w:val="001B747D"/>
    <w:rsid w:val="001B7717"/>
    <w:rsid w:val="001C0088"/>
    <w:rsid w:val="001C070E"/>
    <w:rsid w:val="001C0993"/>
    <w:rsid w:val="001C0AFC"/>
    <w:rsid w:val="001C1004"/>
    <w:rsid w:val="001C17B3"/>
    <w:rsid w:val="001C1A48"/>
    <w:rsid w:val="001C1F33"/>
    <w:rsid w:val="001C31CB"/>
    <w:rsid w:val="001C34AF"/>
    <w:rsid w:val="001C43BC"/>
    <w:rsid w:val="001C4B99"/>
    <w:rsid w:val="001C5330"/>
    <w:rsid w:val="001C65CA"/>
    <w:rsid w:val="001C6E28"/>
    <w:rsid w:val="001C7020"/>
    <w:rsid w:val="001D1437"/>
    <w:rsid w:val="001D16CD"/>
    <w:rsid w:val="001D198D"/>
    <w:rsid w:val="001D1D16"/>
    <w:rsid w:val="001D1E9C"/>
    <w:rsid w:val="001D3A41"/>
    <w:rsid w:val="001D5E98"/>
    <w:rsid w:val="001D670F"/>
    <w:rsid w:val="001D6EAA"/>
    <w:rsid w:val="001D79D7"/>
    <w:rsid w:val="001E0203"/>
    <w:rsid w:val="001E1FED"/>
    <w:rsid w:val="001E22C5"/>
    <w:rsid w:val="001E2D18"/>
    <w:rsid w:val="001E372F"/>
    <w:rsid w:val="001E38F1"/>
    <w:rsid w:val="001E4640"/>
    <w:rsid w:val="001E4675"/>
    <w:rsid w:val="001E4C78"/>
    <w:rsid w:val="001E52D5"/>
    <w:rsid w:val="001E672C"/>
    <w:rsid w:val="001E696E"/>
    <w:rsid w:val="001E71E9"/>
    <w:rsid w:val="001E74A2"/>
    <w:rsid w:val="001E7C42"/>
    <w:rsid w:val="001E7E1D"/>
    <w:rsid w:val="001F027C"/>
    <w:rsid w:val="001F0F0B"/>
    <w:rsid w:val="001F11AD"/>
    <w:rsid w:val="001F14EB"/>
    <w:rsid w:val="001F1692"/>
    <w:rsid w:val="001F2362"/>
    <w:rsid w:val="001F2F77"/>
    <w:rsid w:val="001F34FE"/>
    <w:rsid w:val="001F37EE"/>
    <w:rsid w:val="001F4213"/>
    <w:rsid w:val="001F42E1"/>
    <w:rsid w:val="001F43B8"/>
    <w:rsid w:val="001F47B8"/>
    <w:rsid w:val="001F4E58"/>
    <w:rsid w:val="001F5358"/>
    <w:rsid w:val="001F5364"/>
    <w:rsid w:val="001F67B5"/>
    <w:rsid w:val="001F6ADF"/>
    <w:rsid w:val="001F6E69"/>
    <w:rsid w:val="001F77EC"/>
    <w:rsid w:val="001F787D"/>
    <w:rsid w:val="002003E3"/>
    <w:rsid w:val="00201242"/>
    <w:rsid w:val="002024E9"/>
    <w:rsid w:val="00202569"/>
    <w:rsid w:val="002029FE"/>
    <w:rsid w:val="00202F24"/>
    <w:rsid w:val="00202F56"/>
    <w:rsid w:val="0020334B"/>
    <w:rsid w:val="00203835"/>
    <w:rsid w:val="00203C18"/>
    <w:rsid w:val="00203DF4"/>
    <w:rsid w:val="0020429F"/>
    <w:rsid w:val="00204DEB"/>
    <w:rsid w:val="0020547E"/>
    <w:rsid w:val="002056E1"/>
    <w:rsid w:val="00205776"/>
    <w:rsid w:val="002061AA"/>
    <w:rsid w:val="00206217"/>
    <w:rsid w:val="00206961"/>
    <w:rsid w:val="00206C10"/>
    <w:rsid w:val="00206C94"/>
    <w:rsid w:val="002070CC"/>
    <w:rsid w:val="00207B54"/>
    <w:rsid w:val="0021005A"/>
    <w:rsid w:val="00210072"/>
    <w:rsid w:val="00211B52"/>
    <w:rsid w:val="00212027"/>
    <w:rsid w:val="00212CC1"/>
    <w:rsid w:val="002135EF"/>
    <w:rsid w:val="002142FE"/>
    <w:rsid w:val="0021554A"/>
    <w:rsid w:val="0021599C"/>
    <w:rsid w:val="00215EF0"/>
    <w:rsid w:val="00215FAC"/>
    <w:rsid w:val="00216EA1"/>
    <w:rsid w:val="00220932"/>
    <w:rsid w:val="00221323"/>
    <w:rsid w:val="0022135B"/>
    <w:rsid w:val="00221417"/>
    <w:rsid w:val="00221AE1"/>
    <w:rsid w:val="002228D8"/>
    <w:rsid w:val="00222DD4"/>
    <w:rsid w:val="00223EB5"/>
    <w:rsid w:val="0022465B"/>
    <w:rsid w:val="00224AA2"/>
    <w:rsid w:val="00224F32"/>
    <w:rsid w:val="00225411"/>
    <w:rsid w:val="00225AFC"/>
    <w:rsid w:val="0022625C"/>
    <w:rsid w:val="002263F5"/>
    <w:rsid w:val="00226DD7"/>
    <w:rsid w:val="0022737F"/>
    <w:rsid w:val="0022761E"/>
    <w:rsid w:val="0022783A"/>
    <w:rsid w:val="00227FA2"/>
    <w:rsid w:val="0023070F"/>
    <w:rsid w:val="00232EBE"/>
    <w:rsid w:val="0023343F"/>
    <w:rsid w:val="0023357D"/>
    <w:rsid w:val="00233D2E"/>
    <w:rsid w:val="002342FE"/>
    <w:rsid w:val="00234CBD"/>
    <w:rsid w:val="00235DEF"/>
    <w:rsid w:val="00236788"/>
    <w:rsid w:val="002373A1"/>
    <w:rsid w:val="002373B6"/>
    <w:rsid w:val="00237757"/>
    <w:rsid w:val="00237E28"/>
    <w:rsid w:val="002403AF"/>
    <w:rsid w:val="002407CB"/>
    <w:rsid w:val="0024194C"/>
    <w:rsid w:val="00241E99"/>
    <w:rsid w:val="002423BF"/>
    <w:rsid w:val="00242403"/>
    <w:rsid w:val="002424D9"/>
    <w:rsid w:val="00242629"/>
    <w:rsid w:val="00242908"/>
    <w:rsid w:val="00243C0D"/>
    <w:rsid w:val="0024452A"/>
    <w:rsid w:val="0024488C"/>
    <w:rsid w:val="0024498B"/>
    <w:rsid w:val="00245526"/>
    <w:rsid w:val="00246BAA"/>
    <w:rsid w:val="00247A6B"/>
    <w:rsid w:val="002501F7"/>
    <w:rsid w:val="0025061E"/>
    <w:rsid w:val="00250679"/>
    <w:rsid w:val="002508C0"/>
    <w:rsid w:val="00251CCD"/>
    <w:rsid w:val="0025213B"/>
    <w:rsid w:val="00252244"/>
    <w:rsid w:val="002527E4"/>
    <w:rsid w:val="002527F4"/>
    <w:rsid w:val="002531A3"/>
    <w:rsid w:val="002535DA"/>
    <w:rsid w:val="00253DA0"/>
    <w:rsid w:val="00254D9A"/>
    <w:rsid w:val="00254DD6"/>
    <w:rsid w:val="00255253"/>
    <w:rsid w:val="0025566E"/>
    <w:rsid w:val="00255876"/>
    <w:rsid w:val="00256A9F"/>
    <w:rsid w:val="00257852"/>
    <w:rsid w:val="00260B93"/>
    <w:rsid w:val="002611A8"/>
    <w:rsid w:val="002615CB"/>
    <w:rsid w:val="00261720"/>
    <w:rsid w:val="002621A1"/>
    <w:rsid w:val="002626CD"/>
    <w:rsid w:val="00262A7B"/>
    <w:rsid w:val="00263132"/>
    <w:rsid w:val="00263B51"/>
    <w:rsid w:val="00263D44"/>
    <w:rsid w:val="0026494F"/>
    <w:rsid w:val="00265630"/>
    <w:rsid w:val="00265B4A"/>
    <w:rsid w:val="00265D2E"/>
    <w:rsid w:val="0026611B"/>
    <w:rsid w:val="00266365"/>
    <w:rsid w:val="00266E24"/>
    <w:rsid w:val="00267928"/>
    <w:rsid w:val="00267EBD"/>
    <w:rsid w:val="00267F52"/>
    <w:rsid w:val="00272586"/>
    <w:rsid w:val="00272AEF"/>
    <w:rsid w:val="00272E81"/>
    <w:rsid w:val="002733D1"/>
    <w:rsid w:val="002735EA"/>
    <w:rsid w:val="0027399B"/>
    <w:rsid w:val="00273A6E"/>
    <w:rsid w:val="00275339"/>
    <w:rsid w:val="00276071"/>
    <w:rsid w:val="00276DAA"/>
    <w:rsid w:val="0027737D"/>
    <w:rsid w:val="00277E52"/>
    <w:rsid w:val="00277F10"/>
    <w:rsid w:val="00280CB2"/>
    <w:rsid w:val="002812B1"/>
    <w:rsid w:val="0028229A"/>
    <w:rsid w:val="00282B29"/>
    <w:rsid w:val="00282EBD"/>
    <w:rsid w:val="0028398A"/>
    <w:rsid w:val="00284E6E"/>
    <w:rsid w:val="002851EA"/>
    <w:rsid w:val="00286775"/>
    <w:rsid w:val="00290C35"/>
    <w:rsid w:val="0029197D"/>
    <w:rsid w:val="00292058"/>
    <w:rsid w:val="00292636"/>
    <w:rsid w:val="00292B6A"/>
    <w:rsid w:val="00292E46"/>
    <w:rsid w:val="0029415B"/>
    <w:rsid w:val="0029508C"/>
    <w:rsid w:val="0029513D"/>
    <w:rsid w:val="0029588A"/>
    <w:rsid w:val="00297057"/>
    <w:rsid w:val="00297D15"/>
    <w:rsid w:val="002A0087"/>
    <w:rsid w:val="002A0123"/>
    <w:rsid w:val="002A12B3"/>
    <w:rsid w:val="002A158F"/>
    <w:rsid w:val="002A1699"/>
    <w:rsid w:val="002A16C0"/>
    <w:rsid w:val="002A2D8F"/>
    <w:rsid w:val="002A30AB"/>
    <w:rsid w:val="002A30DC"/>
    <w:rsid w:val="002A3B17"/>
    <w:rsid w:val="002A428E"/>
    <w:rsid w:val="002A4B92"/>
    <w:rsid w:val="002A4C92"/>
    <w:rsid w:val="002A4EBE"/>
    <w:rsid w:val="002A5128"/>
    <w:rsid w:val="002A51CE"/>
    <w:rsid w:val="002A59DF"/>
    <w:rsid w:val="002A5E88"/>
    <w:rsid w:val="002A6036"/>
    <w:rsid w:val="002A60C7"/>
    <w:rsid w:val="002A60D7"/>
    <w:rsid w:val="002A625D"/>
    <w:rsid w:val="002A65A7"/>
    <w:rsid w:val="002A7311"/>
    <w:rsid w:val="002A7333"/>
    <w:rsid w:val="002A77CB"/>
    <w:rsid w:val="002A7980"/>
    <w:rsid w:val="002A7995"/>
    <w:rsid w:val="002A7B63"/>
    <w:rsid w:val="002A7E1F"/>
    <w:rsid w:val="002B1BFE"/>
    <w:rsid w:val="002B2062"/>
    <w:rsid w:val="002B24F8"/>
    <w:rsid w:val="002B2E00"/>
    <w:rsid w:val="002B3214"/>
    <w:rsid w:val="002B3526"/>
    <w:rsid w:val="002B3535"/>
    <w:rsid w:val="002B4454"/>
    <w:rsid w:val="002B4981"/>
    <w:rsid w:val="002B5689"/>
    <w:rsid w:val="002B57C4"/>
    <w:rsid w:val="002B6C9D"/>
    <w:rsid w:val="002B76B9"/>
    <w:rsid w:val="002B7713"/>
    <w:rsid w:val="002B7956"/>
    <w:rsid w:val="002B7ED1"/>
    <w:rsid w:val="002C042C"/>
    <w:rsid w:val="002C0504"/>
    <w:rsid w:val="002C209D"/>
    <w:rsid w:val="002C27D5"/>
    <w:rsid w:val="002C2A79"/>
    <w:rsid w:val="002C2D64"/>
    <w:rsid w:val="002C31F0"/>
    <w:rsid w:val="002C3A1E"/>
    <w:rsid w:val="002C3C8F"/>
    <w:rsid w:val="002C45B8"/>
    <w:rsid w:val="002C5251"/>
    <w:rsid w:val="002C5450"/>
    <w:rsid w:val="002C5765"/>
    <w:rsid w:val="002C60AF"/>
    <w:rsid w:val="002C60CC"/>
    <w:rsid w:val="002C6922"/>
    <w:rsid w:val="002C6D02"/>
    <w:rsid w:val="002D006F"/>
    <w:rsid w:val="002D00AF"/>
    <w:rsid w:val="002D0181"/>
    <w:rsid w:val="002D0C6C"/>
    <w:rsid w:val="002D278F"/>
    <w:rsid w:val="002D27E8"/>
    <w:rsid w:val="002D2976"/>
    <w:rsid w:val="002D2CC2"/>
    <w:rsid w:val="002D366A"/>
    <w:rsid w:val="002D3858"/>
    <w:rsid w:val="002D4536"/>
    <w:rsid w:val="002D48EA"/>
    <w:rsid w:val="002D4D82"/>
    <w:rsid w:val="002D4E5E"/>
    <w:rsid w:val="002D58F8"/>
    <w:rsid w:val="002D5C5E"/>
    <w:rsid w:val="002D6171"/>
    <w:rsid w:val="002D686D"/>
    <w:rsid w:val="002D6B3B"/>
    <w:rsid w:val="002D6EEB"/>
    <w:rsid w:val="002E0572"/>
    <w:rsid w:val="002E06B2"/>
    <w:rsid w:val="002E0830"/>
    <w:rsid w:val="002E08F0"/>
    <w:rsid w:val="002E0F08"/>
    <w:rsid w:val="002E16FA"/>
    <w:rsid w:val="002E190B"/>
    <w:rsid w:val="002E1BB4"/>
    <w:rsid w:val="002E2E2E"/>
    <w:rsid w:val="002E30A1"/>
    <w:rsid w:val="002E32FD"/>
    <w:rsid w:val="002E3B50"/>
    <w:rsid w:val="002E3B93"/>
    <w:rsid w:val="002E3E20"/>
    <w:rsid w:val="002E4814"/>
    <w:rsid w:val="002E5087"/>
    <w:rsid w:val="002E5878"/>
    <w:rsid w:val="002E6A7C"/>
    <w:rsid w:val="002E6F62"/>
    <w:rsid w:val="002E745C"/>
    <w:rsid w:val="002E7FE5"/>
    <w:rsid w:val="002F0632"/>
    <w:rsid w:val="002F0A70"/>
    <w:rsid w:val="002F0C77"/>
    <w:rsid w:val="002F1017"/>
    <w:rsid w:val="002F18DF"/>
    <w:rsid w:val="002F27B1"/>
    <w:rsid w:val="002F386F"/>
    <w:rsid w:val="002F38A6"/>
    <w:rsid w:val="002F3B28"/>
    <w:rsid w:val="002F4692"/>
    <w:rsid w:val="002F46BF"/>
    <w:rsid w:val="002F4BFE"/>
    <w:rsid w:val="002F547C"/>
    <w:rsid w:val="002F5524"/>
    <w:rsid w:val="002F5D9E"/>
    <w:rsid w:val="002F667D"/>
    <w:rsid w:val="002F6CBA"/>
    <w:rsid w:val="002F6EC6"/>
    <w:rsid w:val="002F6F59"/>
    <w:rsid w:val="002F7289"/>
    <w:rsid w:val="00300282"/>
    <w:rsid w:val="0030079C"/>
    <w:rsid w:val="00300A33"/>
    <w:rsid w:val="00300A7C"/>
    <w:rsid w:val="00300E10"/>
    <w:rsid w:val="00301517"/>
    <w:rsid w:val="00301F2C"/>
    <w:rsid w:val="00301F60"/>
    <w:rsid w:val="00301FF7"/>
    <w:rsid w:val="00302CDC"/>
    <w:rsid w:val="00302FEA"/>
    <w:rsid w:val="0030338B"/>
    <w:rsid w:val="00304253"/>
    <w:rsid w:val="00304A88"/>
    <w:rsid w:val="00305288"/>
    <w:rsid w:val="003052FD"/>
    <w:rsid w:val="0030593F"/>
    <w:rsid w:val="00305E34"/>
    <w:rsid w:val="00305F0E"/>
    <w:rsid w:val="00305FF5"/>
    <w:rsid w:val="003071C8"/>
    <w:rsid w:val="003106F6"/>
    <w:rsid w:val="00310B34"/>
    <w:rsid w:val="00310D4A"/>
    <w:rsid w:val="003115A0"/>
    <w:rsid w:val="003117A0"/>
    <w:rsid w:val="00311CC5"/>
    <w:rsid w:val="0031243B"/>
    <w:rsid w:val="00312B13"/>
    <w:rsid w:val="00312CD2"/>
    <w:rsid w:val="003133A1"/>
    <w:rsid w:val="00313DF6"/>
    <w:rsid w:val="00313F77"/>
    <w:rsid w:val="003156D8"/>
    <w:rsid w:val="00315D0E"/>
    <w:rsid w:val="00316111"/>
    <w:rsid w:val="00316725"/>
    <w:rsid w:val="00316CCF"/>
    <w:rsid w:val="00317903"/>
    <w:rsid w:val="00317AEC"/>
    <w:rsid w:val="00320584"/>
    <w:rsid w:val="00321097"/>
    <w:rsid w:val="00321472"/>
    <w:rsid w:val="00323CA8"/>
    <w:rsid w:val="00323F8A"/>
    <w:rsid w:val="0032434D"/>
    <w:rsid w:val="003245DA"/>
    <w:rsid w:val="00324BDF"/>
    <w:rsid w:val="00324DFC"/>
    <w:rsid w:val="003254E8"/>
    <w:rsid w:val="00325513"/>
    <w:rsid w:val="00325578"/>
    <w:rsid w:val="00325A4E"/>
    <w:rsid w:val="003267AF"/>
    <w:rsid w:val="003274F2"/>
    <w:rsid w:val="00327822"/>
    <w:rsid w:val="003279F1"/>
    <w:rsid w:val="00327E2A"/>
    <w:rsid w:val="003305E4"/>
    <w:rsid w:val="003309CA"/>
    <w:rsid w:val="00330CAB"/>
    <w:rsid w:val="003313D5"/>
    <w:rsid w:val="0033198D"/>
    <w:rsid w:val="003324A5"/>
    <w:rsid w:val="00332A57"/>
    <w:rsid w:val="00332DF5"/>
    <w:rsid w:val="00333305"/>
    <w:rsid w:val="0033382F"/>
    <w:rsid w:val="003339C7"/>
    <w:rsid w:val="00333EDA"/>
    <w:rsid w:val="00334612"/>
    <w:rsid w:val="003348AD"/>
    <w:rsid w:val="00334CCC"/>
    <w:rsid w:val="0033519C"/>
    <w:rsid w:val="00335497"/>
    <w:rsid w:val="0033582E"/>
    <w:rsid w:val="00335BC5"/>
    <w:rsid w:val="00335CDA"/>
    <w:rsid w:val="00336349"/>
    <w:rsid w:val="003370D4"/>
    <w:rsid w:val="0034056B"/>
    <w:rsid w:val="003405AD"/>
    <w:rsid w:val="003405F0"/>
    <w:rsid w:val="00341821"/>
    <w:rsid w:val="0034261C"/>
    <w:rsid w:val="00342712"/>
    <w:rsid w:val="0034271B"/>
    <w:rsid w:val="00342FCA"/>
    <w:rsid w:val="003433E8"/>
    <w:rsid w:val="003434DD"/>
    <w:rsid w:val="00343DD4"/>
    <w:rsid w:val="00344900"/>
    <w:rsid w:val="00344B61"/>
    <w:rsid w:val="0034742B"/>
    <w:rsid w:val="0034783C"/>
    <w:rsid w:val="0035030E"/>
    <w:rsid w:val="0035051A"/>
    <w:rsid w:val="00350625"/>
    <w:rsid w:val="0035137B"/>
    <w:rsid w:val="00351BE0"/>
    <w:rsid w:val="00351EE0"/>
    <w:rsid w:val="003526BC"/>
    <w:rsid w:val="00354001"/>
    <w:rsid w:val="0035450B"/>
    <w:rsid w:val="00356EB3"/>
    <w:rsid w:val="0035730D"/>
    <w:rsid w:val="003573DB"/>
    <w:rsid w:val="00357938"/>
    <w:rsid w:val="00357AF5"/>
    <w:rsid w:val="00361BDA"/>
    <w:rsid w:val="0036206C"/>
    <w:rsid w:val="003639E6"/>
    <w:rsid w:val="00364089"/>
    <w:rsid w:val="00364BC4"/>
    <w:rsid w:val="003652F6"/>
    <w:rsid w:val="003653FA"/>
    <w:rsid w:val="003663B3"/>
    <w:rsid w:val="00366549"/>
    <w:rsid w:val="00366E89"/>
    <w:rsid w:val="0036756A"/>
    <w:rsid w:val="00367969"/>
    <w:rsid w:val="00370129"/>
    <w:rsid w:val="003701E7"/>
    <w:rsid w:val="0037042C"/>
    <w:rsid w:val="003714A4"/>
    <w:rsid w:val="00371597"/>
    <w:rsid w:val="00371BCD"/>
    <w:rsid w:val="00371F45"/>
    <w:rsid w:val="00371FF1"/>
    <w:rsid w:val="0037349F"/>
    <w:rsid w:val="00374C12"/>
    <w:rsid w:val="00375319"/>
    <w:rsid w:val="003754DD"/>
    <w:rsid w:val="00375B5A"/>
    <w:rsid w:val="00376F8F"/>
    <w:rsid w:val="00377447"/>
    <w:rsid w:val="003775A4"/>
    <w:rsid w:val="003778FE"/>
    <w:rsid w:val="00377D04"/>
    <w:rsid w:val="00377E04"/>
    <w:rsid w:val="00380466"/>
    <w:rsid w:val="00380648"/>
    <w:rsid w:val="00380E21"/>
    <w:rsid w:val="0038138E"/>
    <w:rsid w:val="0038144A"/>
    <w:rsid w:val="0038195E"/>
    <w:rsid w:val="00382223"/>
    <w:rsid w:val="00382791"/>
    <w:rsid w:val="00382C31"/>
    <w:rsid w:val="00383349"/>
    <w:rsid w:val="003835FD"/>
    <w:rsid w:val="0038460C"/>
    <w:rsid w:val="0038537B"/>
    <w:rsid w:val="00385AE3"/>
    <w:rsid w:val="00385F56"/>
    <w:rsid w:val="00387503"/>
    <w:rsid w:val="00387719"/>
    <w:rsid w:val="00390A1C"/>
    <w:rsid w:val="003911DD"/>
    <w:rsid w:val="00391DFF"/>
    <w:rsid w:val="00391EF6"/>
    <w:rsid w:val="00391F06"/>
    <w:rsid w:val="0039273D"/>
    <w:rsid w:val="00392C23"/>
    <w:rsid w:val="00392E7D"/>
    <w:rsid w:val="0039323D"/>
    <w:rsid w:val="003933DB"/>
    <w:rsid w:val="003937FB"/>
    <w:rsid w:val="00393BD2"/>
    <w:rsid w:val="00394005"/>
    <w:rsid w:val="0039416D"/>
    <w:rsid w:val="003943F2"/>
    <w:rsid w:val="003946FA"/>
    <w:rsid w:val="00394DFC"/>
    <w:rsid w:val="00394F63"/>
    <w:rsid w:val="003950D0"/>
    <w:rsid w:val="003954E4"/>
    <w:rsid w:val="00395E8E"/>
    <w:rsid w:val="0039618E"/>
    <w:rsid w:val="00396246"/>
    <w:rsid w:val="003964A7"/>
    <w:rsid w:val="0039711A"/>
    <w:rsid w:val="003972F5"/>
    <w:rsid w:val="003A006B"/>
    <w:rsid w:val="003A0784"/>
    <w:rsid w:val="003A12BE"/>
    <w:rsid w:val="003A2AB5"/>
    <w:rsid w:val="003A2C91"/>
    <w:rsid w:val="003A2EB5"/>
    <w:rsid w:val="003A337E"/>
    <w:rsid w:val="003A34E0"/>
    <w:rsid w:val="003A3D68"/>
    <w:rsid w:val="003A44AA"/>
    <w:rsid w:val="003A46A1"/>
    <w:rsid w:val="003A4D02"/>
    <w:rsid w:val="003A5788"/>
    <w:rsid w:val="003A5B63"/>
    <w:rsid w:val="003A5C74"/>
    <w:rsid w:val="003A5D2E"/>
    <w:rsid w:val="003A659A"/>
    <w:rsid w:val="003A67CF"/>
    <w:rsid w:val="003A6D4D"/>
    <w:rsid w:val="003A72B1"/>
    <w:rsid w:val="003A77FC"/>
    <w:rsid w:val="003A7C83"/>
    <w:rsid w:val="003B0048"/>
    <w:rsid w:val="003B0B7F"/>
    <w:rsid w:val="003B18D8"/>
    <w:rsid w:val="003B1D97"/>
    <w:rsid w:val="003B1DE4"/>
    <w:rsid w:val="003B233B"/>
    <w:rsid w:val="003B373A"/>
    <w:rsid w:val="003B3908"/>
    <w:rsid w:val="003B4215"/>
    <w:rsid w:val="003B4CBF"/>
    <w:rsid w:val="003B530F"/>
    <w:rsid w:val="003B5406"/>
    <w:rsid w:val="003B5EA3"/>
    <w:rsid w:val="003B603A"/>
    <w:rsid w:val="003B624F"/>
    <w:rsid w:val="003B6467"/>
    <w:rsid w:val="003B6679"/>
    <w:rsid w:val="003B6EC9"/>
    <w:rsid w:val="003B6F27"/>
    <w:rsid w:val="003B6FA2"/>
    <w:rsid w:val="003B7202"/>
    <w:rsid w:val="003B73C7"/>
    <w:rsid w:val="003C00BF"/>
    <w:rsid w:val="003C06F6"/>
    <w:rsid w:val="003C13CE"/>
    <w:rsid w:val="003C210C"/>
    <w:rsid w:val="003C212E"/>
    <w:rsid w:val="003C2326"/>
    <w:rsid w:val="003C3161"/>
    <w:rsid w:val="003C337C"/>
    <w:rsid w:val="003C39BF"/>
    <w:rsid w:val="003C3F0F"/>
    <w:rsid w:val="003C461B"/>
    <w:rsid w:val="003C5915"/>
    <w:rsid w:val="003C5985"/>
    <w:rsid w:val="003C6072"/>
    <w:rsid w:val="003C74D4"/>
    <w:rsid w:val="003C7AC3"/>
    <w:rsid w:val="003C7C69"/>
    <w:rsid w:val="003C7DE2"/>
    <w:rsid w:val="003D0520"/>
    <w:rsid w:val="003D13DE"/>
    <w:rsid w:val="003D1554"/>
    <w:rsid w:val="003D1E6C"/>
    <w:rsid w:val="003D1FD6"/>
    <w:rsid w:val="003D238E"/>
    <w:rsid w:val="003D2C13"/>
    <w:rsid w:val="003D34DB"/>
    <w:rsid w:val="003D3C65"/>
    <w:rsid w:val="003D3E14"/>
    <w:rsid w:val="003D4281"/>
    <w:rsid w:val="003D4B61"/>
    <w:rsid w:val="003D4E3A"/>
    <w:rsid w:val="003D5062"/>
    <w:rsid w:val="003D5BF1"/>
    <w:rsid w:val="003D5F2E"/>
    <w:rsid w:val="003D5F51"/>
    <w:rsid w:val="003D6627"/>
    <w:rsid w:val="003D6748"/>
    <w:rsid w:val="003D6A27"/>
    <w:rsid w:val="003D6F30"/>
    <w:rsid w:val="003D7710"/>
    <w:rsid w:val="003E015D"/>
    <w:rsid w:val="003E018D"/>
    <w:rsid w:val="003E07FE"/>
    <w:rsid w:val="003E0FFE"/>
    <w:rsid w:val="003E107B"/>
    <w:rsid w:val="003E1909"/>
    <w:rsid w:val="003E22B3"/>
    <w:rsid w:val="003E2F41"/>
    <w:rsid w:val="003E3598"/>
    <w:rsid w:val="003E35E7"/>
    <w:rsid w:val="003E38F4"/>
    <w:rsid w:val="003E390D"/>
    <w:rsid w:val="003E4207"/>
    <w:rsid w:val="003E46D4"/>
    <w:rsid w:val="003E4D19"/>
    <w:rsid w:val="003E5070"/>
    <w:rsid w:val="003E52DF"/>
    <w:rsid w:val="003E5EBC"/>
    <w:rsid w:val="003E60C8"/>
    <w:rsid w:val="003E684C"/>
    <w:rsid w:val="003E6B32"/>
    <w:rsid w:val="003E7046"/>
    <w:rsid w:val="003E70F9"/>
    <w:rsid w:val="003E75FF"/>
    <w:rsid w:val="003E7AB0"/>
    <w:rsid w:val="003E7AF1"/>
    <w:rsid w:val="003E7D91"/>
    <w:rsid w:val="003F04A6"/>
    <w:rsid w:val="003F05A0"/>
    <w:rsid w:val="003F0F12"/>
    <w:rsid w:val="003F156A"/>
    <w:rsid w:val="003F17F8"/>
    <w:rsid w:val="003F38AD"/>
    <w:rsid w:val="003F4545"/>
    <w:rsid w:val="003F513F"/>
    <w:rsid w:val="003F5CDB"/>
    <w:rsid w:val="003F5D05"/>
    <w:rsid w:val="003F6451"/>
    <w:rsid w:val="003F7489"/>
    <w:rsid w:val="003F76F7"/>
    <w:rsid w:val="003F7868"/>
    <w:rsid w:val="003F79ED"/>
    <w:rsid w:val="00400594"/>
    <w:rsid w:val="00400BCB"/>
    <w:rsid w:val="004013C0"/>
    <w:rsid w:val="00401A6D"/>
    <w:rsid w:val="004030BE"/>
    <w:rsid w:val="00403B1A"/>
    <w:rsid w:val="00404452"/>
    <w:rsid w:val="0040472A"/>
    <w:rsid w:val="004052AE"/>
    <w:rsid w:val="0040555C"/>
    <w:rsid w:val="0040609C"/>
    <w:rsid w:val="00406D2B"/>
    <w:rsid w:val="00406E4C"/>
    <w:rsid w:val="0040714B"/>
    <w:rsid w:val="00410074"/>
    <w:rsid w:val="004104BB"/>
    <w:rsid w:val="00412829"/>
    <w:rsid w:val="00412C01"/>
    <w:rsid w:val="004131E5"/>
    <w:rsid w:val="004133B5"/>
    <w:rsid w:val="00414601"/>
    <w:rsid w:val="00414B8F"/>
    <w:rsid w:val="0041595D"/>
    <w:rsid w:val="004160A4"/>
    <w:rsid w:val="004168DA"/>
    <w:rsid w:val="00416D9B"/>
    <w:rsid w:val="00417224"/>
    <w:rsid w:val="0042136F"/>
    <w:rsid w:val="00421BFF"/>
    <w:rsid w:val="004226D4"/>
    <w:rsid w:val="004233D3"/>
    <w:rsid w:val="004237B9"/>
    <w:rsid w:val="0042479E"/>
    <w:rsid w:val="00424A28"/>
    <w:rsid w:val="00424F25"/>
    <w:rsid w:val="004251C6"/>
    <w:rsid w:val="00425F25"/>
    <w:rsid w:val="0042655B"/>
    <w:rsid w:val="00427072"/>
    <w:rsid w:val="00427809"/>
    <w:rsid w:val="00430537"/>
    <w:rsid w:val="00430538"/>
    <w:rsid w:val="004306BD"/>
    <w:rsid w:val="0043119E"/>
    <w:rsid w:val="00431290"/>
    <w:rsid w:val="0043484A"/>
    <w:rsid w:val="0043527C"/>
    <w:rsid w:val="004354C8"/>
    <w:rsid w:val="00436648"/>
    <w:rsid w:val="00436749"/>
    <w:rsid w:val="00436ACB"/>
    <w:rsid w:val="004377E6"/>
    <w:rsid w:val="00437F48"/>
    <w:rsid w:val="00440979"/>
    <w:rsid w:val="00440CC3"/>
    <w:rsid w:val="004416AB"/>
    <w:rsid w:val="00442589"/>
    <w:rsid w:val="00442FBD"/>
    <w:rsid w:val="0044324B"/>
    <w:rsid w:val="00443823"/>
    <w:rsid w:val="00443929"/>
    <w:rsid w:val="004439C4"/>
    <w:rsid w:val="004439C6"/>
    <w:rsid w:val="0044412E"/>
    <w:rsid w:val="00445441"/>
    <w:rsid w:val="00445515"/>
    <w:rsid w:val="004469BB"/>
    <w:rsid w:val="004469BE"/>
    <w:rsid w:val="00446B62"/>
    <w:rsid w:val="00447882"/>
    <w:rsid w:val="00447D23"/>
    <w:rsid w:val="00447F96"/>
    <w:rsid w:val="00450B6B"/>
    <w:rsid w:val="00450FF2"/>
    <w:rsid w:val="00451017"/>
    <w:rsid w:val="004515D5"/>
    <w:rsid w:val="0045187E"/>
    <w:rsid w:val="00451949"/>
    <w:rsid w:val="00451E7F"/>
    <w:rsid w:val="00452565"/>
    <w:rsid w:val="00452951"/>
    <w:rsid w:val="00452C43"/>
    <w:rsid w:val="00452DBE"/>
    <w:rsid w:val="00453180"/>
    <w:rsid w:val="0045404F"/>
    <w:rsid w:val="00454148"/>
    <w:rsid w:val="00454205"/>
    <w:rsid w:val="00454BAC"/>
    <w:rsid w:val="0045536E"/>
    <w:rsid w:val="00455473"/>
    <w:rsid w:val="0045549A"/>
    <w:rsid w:val="00456358"/>
    <w:rsid w:val="004569F2"/>
    <w:rsid w:val="00456BD3"/>
    <w:rsid w:val="00457020"/>
    <w:rsid w:val="00457425"/>
    <w:rsid w:val="00460813"/>
    <w:rsid w:val="00460AC3"/>
    <w:rsid w:val="004611A7"/>
    <w:rsid w:val="00461923"/>
    <w:rsid w:val="00462B87"/>
    <w:rsid w:val="00462DEC"/>
    <w:rsid w:val="0046346F"/>
    <w:rsid w:val="00463A45"/>
    <w:rsid w:val="004641E5"/>
    <w:rsid w:val="00464BC6"/>
    <w:rsid w:val="00465C1B"/>
    <w:rsid w:val="00465DC2"/>
    <w:rsid w:val="00466071"/>
    <w:rsid w:val="0046609A"/>
    <w:rsid w:val="00466C19"/>
    <w:rsid w:val="004672EA"/>
    <w:rsid w:val="004703A8"/>
    <w:rsid w:val="0047046D"/>
    <w:rsid w:val="004708F7"/>
    <w:rsid w:val="004709C0"/>
    <w:rsid w:val="00470BAC"/>
    <w:rsid w:val="0047119D"/>
    <w:rsid w:val="004716B8"/>
    <w:rsid w:val="0047190B"/>
    <w:rsid w:val="00471E7A"/>
    <w:rsid w:val="004729F2"/>
    <w:rsid w:val="00472C50"/>
    <w:rsid w:val="00472F8E"/>
    <w:rsid w:val="004731EE"/>
    <w:rsid w:val="0047346A"/>
    <w:rsid w:val="00473FF2"/>
    <w:rsid w:val="00474935"/>
    <w:rsid w:val="00474D28"/>
    <w:rsid w:val="00475271"/>
    <w:rsid w:val="00475414"/>
    <w:rsid w:val="00475442"/>
    <w:rsid w:val="004754B0"/>
    <w:rsid w:val="00475CC8"/>
    <w:rsid w:val="0047623D"/>
    <w:rsid w:val="0047642E"/>
    <w:rsid w:val="004764DD"/>
    <w:rsid w:val="004800D5"/>
    <w:rsid w:val="004805FB"/>
    <w:rsid w:val="00480DF9"/>
    <w:rsid w:val="00480F85"/>
    <w:rsid w:val="0048260A"/>
    <w:rsid w:val="00482B9B"/>
    <w:rsid w:val="00482D31"/>
    <w:rsid w:val="0048376C"/>
    <w:rsid w:val="004837D0"/>
    <w:rsid w:val="00483B7D"/>
    <w:rsid w:val="00483B9B"/>
    <w:rsid w:val="0048574E"/>
    <w:rsid w:val="00485776"/>
    <w:rsid w:val="00485BBB"/>
    <w:rsid w:val="004861E7"/>
    <w:rsid w:val="00486C93"/>
    <w:rsid w:val="00486C95"/>
    <w:rsid w:val="00487564"/>
    <w:rsid w:val="00487793"/>
    <w:rsid w:val="00487EB5"/>
    <w:rsid w:val="00490CFB"/>
    <w:rsid w:val="004913F5"/>
    <w:rsid w:val="0049155F"/>
    <w:rsid w:val="004918D0"/>
    <w:rsid w:val="0049194A"/>
    <w:rsid w:val="00491F0B"/>
    <w:rsid w:val="004922D2"/>
    <w:rsid w:val="004926C7"/>
    <w:rsid w:val="0049280B"/>
    <w:rsid w:val="00492CFE"/>
    <w:rsid w:val="00492E1F"/>
    <w:rsid w:val="004931AD"/>
    <w:rsid w:val="00493584"/>
    <w:rsid w:val="00493A5D"/>
    <w:rsid w:val="00493C9D"/>
    <w:rsid w:val="00493EBC"/>
    <w:rsid w:val="0049455E"/>
    <w:rsid w:val="0049464F"/>
    <w:rsid w:val="00495B3E"/>
    <w:rsid w:val="00496017"/>
    <w:rsid w:val="00497269"/>
    <w:rsid w:val="00497407"/>
    <w:rsid w:val="0049766C"/>
    <w:rsid w:val="004A0D73"/>
    <w:rsid w:val="004A1B89"/>
    <w:rsid w:val="004A2621"/>
    <w:rsid w:val="004A290C"/>
    <w:rsid w:val="004A42DE"/>
    <w:rsid w:val="004A42E2"/>
    <w:rsid w:val="004A5721"/>
    <w:rsid w:val="004A5B88"/>
    <w:rsid w:val="004A6339"/>
    <w:rsid w:val="004A6365"/>
    <w:rsid w:val="004A64DA"/>
    <w:rsid w:val="004A667C"/>
    <w:rsid w:val="004A674E"/>
    <w:rsid w:val="004A6B1E"/>
    <w:rsid w:val="004A6D64"/>
    <w:rsid w:val="004B05E2"/>
    <w:rsid w:val="004B0BDC"/>
    <w:rsid w:val="004B1866"/>
    <w:rsid w:val="004B1C15"/>
    <w:rsid w:val="004B3AD4"/>
    <w:rsid w:val="004B3D16"/>
    <w:rsid w:val="004B4050"/>
    <w:rsid w:val="004B4148"/>
    <w:rsid w:val="004B42AA"/>
    <w:rsid w:val="004B593B"/>
    <w:rsid w:val="004B5C4E"/>
    <w:rsid w:val="004B5F8B"/>
    <w:rsid w:val="004B66A5"/>
    <w:rsid w:val="004B6E4A"/>
    <w:rsid w:val="004B721B"/>
    <w:rsid w:val="004B72C7"/>
    <w:rsid w:val="004B77E4"/>
    <w:rsid w:val="004C0469"/>
    <w:rsid w:val="004C0839"/>
    <w:rsid w:val="004C0BC4"/>
    <w:rsid w:val="004C1032"/>
    <w:rsid w:val="004C1A16"/>
    <w:rsid w:val="004C25F8"/>
    <w:rsid w:val="004C2A38"/>
    <w:rsid w:val="004C3243"/>
    <w:rsid w:val="004C382A"/>
    <w:rsid w:val="004C43A2"/>
    <w:rsid w:val="004C4C11"/>
    <w:rsid w:val="004C4CEB"/>
    <w:rsid w:val="004C4D93"/>
    <w:rsid w:val="004C53BA"/>
    <w:rsid w:val="004C5BE3"/>
    <w:rsid w:val="004C5F61"/>
    <w:rsid w:val="004C6903"/>
    <w:rsid w:val="004C6FAD"/>
    <w:rsid w:val="004C7166"/>
    <w:rsid w:val="004C7AF1"/>
    <w:rsid w:val="004D0301"/>
    <w:rsid w:val="004D071A"/>
    <w:rsid w:val="004D076F"/>
    <w:rsid w:val="004D077D"/>
    <w:rsid w:val="004D07B0"/>
    <w:rsid w:val="004D1EB5"/>
    <w:rsid w:val="004D1F14"/>
    <w:rsid w:val="004D2598"/>
    <w:rsid w:val="004D2D9B"/>
    <w:rsid w:val="004D2DC4"/>
    <w:rsid w:val="004D39E6"/>
    <w:rsid w:val="004D3D0A"/>
    <w:rsid w:val="004D44B0"/>
    <w:rsid w:val="004D4A72"/>
    <w:rsid w:val="004D55EA"/>
    <w:rsid w:val="004D5B19"/>
    <w:rsid w:val="004D6BC3"/>
    <w:rsid w:val="004D7701"/>
    <w:rsid w:val="004D7737"/>
    <w:rsid w:val="004D7D9E"/>
    <w:rsid w:val="004D7E63"/>
    <w:rsid w:val="004E09A9"/>
    <w:rsid w:val="004E0EEC"/>
    <w:rsid w:val="004E2273"/>
    <w:rsid w:val="004E29C7"/>
    <w:rsid w:val="004E2BBF"/>
    <w:rsid w:val="004E31E5"/>
    <w:rsid w:val="004E37D2"/>
    <w:rsid w:val="004E3B62"/>
    <w:rsid w:val="004E3C66"/>
    <w:rsid w:val="004E4411"/>
    <w:rsid w:val="004E4E7F"/>
    <w:rsid w:val="004E4FED"/>
    <w:rsid w:val="004E5AD5"/>
    <w:rsid w:val="004E5E34"/>
    <w:rsid w:val="004E5FFC"/>
    <w:rsid w:val="004E63D0"/>
    <w:rsid w:val="004E65DC"/>
    <w:rsid w:val="004E70E7"/>
    <w:rsid w:val="004E72A1"/>
    <w:rsid w:val="004E7C24"/>
    <w:rsid w:val="004E7EEE"/>
    <w:rsid w:val="004F01E6"/>
    <w:rsid w:val="004F06E8"/>
    <w:rsid w:val="004F09D3"/>
    <w:rsid w:val="004F0CB4"/>
    <w:rsid w:val="004F0E4B"/>
    <w:rsid w:val="004F0F8F"/>
    <w:rsid w:val="004F11F9"/>
    <w:rsid w:val="004F1324"/>
    <w:rsid w:val="004F1675"/>
    <w:rsid w:val="004F1A20"/>
    <w:rsid w:val="004F1D82"/>
    <w:rsid w:val="004F2341"/>
    <w:rsid w:val="004F261F"/>
    <w:rsid w:val="004F539E"/>
    <w:rsid w:val="004F56B1"/>
    <w:rsid w:val="004F5B11"/>
    <w:rsid w:val="004F63DB"/>
    <w:rsid w:val="004F6BC7"/>
    <w:rsid w:val="004F7290"/>
    <w:rsid w:val="004F73F2"/>
    <w:rsid w:val="004F7B30"/>
    <w:rsid w:val="004F7F5E"/>
    <w:rsid w:val="0050028A"/>
    <w:rsid w:val="00500623"/>
    <w:rsid w:val="00500B3B"/>
    <w:rsid w:val="00501081"/>
    <w:rsid w:val="00501F00"/>
    <w:rsid w:val="00502E9E"/>
    <w:rsid w:val="00503F96"/>
    <w:rsid w:val="0050449B"/>
    <w:rsid w:val="00504831"/>
    <w:rsid w:val="00505322"/>
    <w:rsid w:val="005053AD"/>
    <w:rsid w:val="00505F56"/>
    <w:rsid w:val="0050646F"/>
    <w:rsid w:val="005101A0"/>
    <w:rsid w:val="00510B92"/>
    <w:rsid w:val="00511411"/>
    <w:rsid w:val="005115B2"/>
    <w:rsid w:val="00511FA7"/>
    <w:rsid w:val="0051279F"/>
    <w:rsid w:val="00512B9F"/>
    <w:rsid w:val="0051360F"/>
    <w:rsid w:val="00513C32"/>
    <w:rsid w:val="00514860"/>
    <w:rsid w:val="00514B57"/>
    <w:rsid w:val="00514D9B"/>
    <w:rsid w:val="0051502A"/>
    <w:rsid w:val="00515599"/>
    <w:rsid w:val="005156A0"/>
    <w:rsid w:val="00515E03"/>
    <w:rsid w:val="005163BE"/>
    <w:rsid w:val="00517DE0"/>
    <w:rsid w:val="00520516"/>
    <w:rsid w:val="0052056F"/>
    <w:rsid w:val="00520932"/>
    <w:rsid w:val="00520B83"/>
    <w:rsid w:val="00520C67"/>
    <w:rsid w:val="00520CAC"/>
    <w:rsid w:val="00520E60"/>
    <w:rsid w:val="00520F92"/>
    <w:rsid w:val="00521238"/>
    <w:rsid w:val="00521571"/>
    <w:rsid w:val="005218D5"/>
    <w:rsid w:val="005225DC"/>
    <w:rsid w:val="0052285D"/>
    <w:rsid w:val="00522ACF"/>
    <w:rsid w:val="00523338"/>
    <w:rsid w:val="005239DC"/>
    <w:rsid w:val="0052548C"/>
    <w:rsid w:val="005254BF"/>
    <w:rsid w:val="0052709E"/>
    <w:rsid w:val="00527A2A"/>
    <w:rsid w:val="00527B89"/>
    <w:rsid w:val="00527BAB"/>
    <w:rsid w:val="00527C63"/>
    <w:rsid w:val="0053071C"/>
    <w:rsid w:val="00530B09"/>
    <w:rsid w:val="005310D1"/>
    <w:rsid w:val="005322F7"/>
    <w:rsid w:val="005323C8"/>
    <w:rsid w:val="005326D6"/>
    <w:rsid w:val="00532C3A"/>
    <w:rsid w:val="0053379B"/>
    <w:rsid w:val="00533A75"/>
    <w:rsid w:val="00533B9C"/>
    <w:rsid w:val="005345F5"/>
    <w:rsid w:val="00534EF8"/>
    <w:rsid w:val="005353AE"/>
    <w:rsid w:val="00535D6D"/>
    <w:rsid w:val="005360D7"/>
    <w:rsid w:val="005366F6"/>
    <w:rsid w:val="00536AD6"/>
    <w:rsid w:val="00537BDA"/>
    <w:rsid w:val="005428AB"/>
    <w:rsid w:val="00542988"/>
    <w:rsid w:val="00544E2E"/>
    <w:rsid w:val="005451BA"/>
    <w:rsid w:val="0054587E"/>
    <w:rsid w:val="00545F9C"/>
    <w:rsid w:val="00546766"/>
    <w:rsid w:val="00547BE7"/>
    <w:rsid w:val="00550815"/>
    <w:rsid w:val="00552C99"/>
    <w:rsid w:val="005535FD"/>
    <w:rsid w:val="00553681"/>
    <w:rsid w:val="00553A2D"/>
    <w:rsid w:val="00553C76"/>
    <w:rsid w:val="005547CF"/>
    <w:rsid w:val="0055516D"/>
    <w:rsid w:val="005557C7"/>
    <w:rsid w:val="0055632C"/>
    <w:rsid w:val="00556E8F"/>
    <w:rsid w:val="00557EB9"/>
    <w:rsid w:val="00561A0A"/>
    <w:rsid w:val="00561A79"/>
    <w:rsid w:val="005625B1"/>
    <w:rsid w:val="00563190"/>
    <w:rsid w:val="00563EBF"/>
    <w:rsid w:val="00564AE1"/>
    <w:rsid w:val="00565674"/>
    <w:rsid w:val="00565857"/>
    <w:rsid w:val="00565A56"/>
    <w:rsid w:val="00565F4F"/>
    <w:rsid w:val="005662D2"/>
    <w:rsid w:val="005662E0"/>
    <w:rsid w:val="00566998"/>
    <w:rsid w:val="00567990"/>
    <w:rsid w:val="00567E7C"/>
    <w:rsid w:val="0057006A"/>
    <w:rsid w:val="0057047B"/>
    <w:rsid w:val="00570CEF"/>
    <w:rsid w:val="00571170"/>
    <w:rsid w:val="00571BC9"/>
    <w:rsid w:val="005727CF"/>
    <w:rsid w:val="005729CC"/>
    <w:rsid w:val="00572A1F"/>
    <w:rsid w:val="00572D36"/>
    <w:rsid w:val="00573220"/>
    <w:rsid w:val="00573718"/>
    <w:rsid w:val="005739B4"/>
    <w:rsid w:val="0057419E"/>
    <w:rsid w:val="0057516D"/>
    <w:rsid w:val="00575E05"/>
    <w:rsid w:val="005761F0"/>
    <w:rsid w:val="00576C7D"/>
    <w:rsid w:val="00576DAF"/>
    <w:rsid w:val="00577AA5"/>
    <w:rsid w:val="00577D7F"/>
    <w:rsid w:val="005804D2"/>
    <w:rsid w:val="0058055F"/>
    <w:rsid w:val="005809D9"/>
    <w:rsid w:val="00581580"/>
    <w:rsid w:val="0058183E"/>
    <w:rsid w:val="00581887"/>
    <w:rsid w:val="005818AD"/>
    <w:rsid w:val="00581DC7"/>
    <w:rsid w:val="00582218"/>
    <w:rsid w:val="00582CDE"/>
    <w:rsid w:val="005834C0"/>
    <w:rsid w:val="00583534"/>
    <w:rsid w:val="005843A0"/>
    <w:rsid w:val="00584960"/>
    <w:rsid w:val="00584C76"/>
    <w:rsid w:val="00584D6A"/>
    <w:rsid w:val="0058554C"/>
    <w:rsid w:val="00585712"/>
    <w:rsid w:val="00585B90"/>
    <w:rsid w:val="00585DCF"/>
    <w:rsid w:val="00585EB9"/>
    <w:rsid w:val="00586350"/>
    <w:rsid w:val="00586497"/>
    <w:rsid w:val="00586B26"/>
    <w:rsid w:val="00586CE5"/>
    <w:rsid w:val="00586F3B"/>
    <w:rsid w:val="00587098"/>
    <w:rsid w:val="00590650"/>
    <w:rsid w:val="00590DB3"/>
    <w:rsid w:val="00590E9C"/>
    <w:rsid w:val="005910EF"/>
    <w:rsid w:val="00591112"/>
    <w:rsid w:val="00591362"/>
    <w:rsid w:val="0059190A"/>
    <w:rsid w:val="00591C19"/>
    <w:rsid w:val="0059215C"/>
    <w:rsid w:val="00592487"/>
    <w:rsid w:val="00593AFC"/>
    <w:rsid w:val="00593F35"/>
    <w:rsid w:val="00594188"/>
    <w:rsid w:val="005945F8"/>
    <w:rsid w:val="00594F83"/>
    <w:rsid w:val="00595A81"/>
    <w:rsid w:val="00595B84"/>
    <w:rsid w:val="0059619C"/>
    <w:rsid w:val="00596386"/>
    <w:rsid w:val="00597161"/>
    <w:rsid w:val="005976C1"/>
    <w:rsid w:val="005976E9"/>
    <w:rsid w:val="00597ACB"/>
    <w:rsid w:val="00597F8C"/>
    <w:rsid w:val="005A0A9C"/>
    <w:rsid w:val="005A12B3"/>
    <w:rsid w:val="005A184E"/>
    <w:rsid w:val="005A19B4"/>
    <w:rsid w:val="005A2270"/>
    <w:rsid w:val="005A27F5"/>
    <w:rsid w:val="005A2C48"/>
    <w:rsid w:val="005A2DDE"/>
    <w:rsid w:val="005A354F"/>
    <w:rsid w:val="005A3579"/>
    <w:rsid w:val="005A3AB1"/>
    <w:rsid w:val="005A421D"/>
    <w:rsid w:val="005A4C17"/>
    <w:rsid w:val="005A5673"/>
    <w:rsid w:val="005A5D37"/>
    <w:rsid w:val="005A62C2"/>
    <w:rsid w:val="005A6858"/>
    <w:rsid w:val="005A78D5"/>
    <w:rsid w:val="005A798F"/>
    <w:rsid w:val="005B0197"/>
    <w:rsid w:val="005B0636"/>
    <w:rsid w:val="005B0FF6"/>
    <w:rsid w:val="005B2544"/>
    <w:rsid w:val="005B28A2"/>
    <w:rsid w:val="005B3E7B"/>
    <w:rsid w:val="005B41B0"/>
    <w:rsid w:val="005B4676"/>
    <w:rsid w:val="005B4840"/>
    <w:rsid w:val="005B4CB9"/>
    <w:rsid w:val="005B5254"/>
    <w:rsid w:val="005B5C9B"/>
    <w:rsid w:val="005B5F92"/>
    <w:rsid w:val="005B6554"/>
    <w:rsid w:val="005B6835"/>
    <w:rsid w:val="005C0407"/>
    <w:rsid w:val="005C053D"/>
    <w:rsid w:val="005C189F"/>
    <w:rsid w:val="005C1A3D"/>
    <w:rsid w:val="005C1D5C"/>
    <w:rsid w:val="005C2851"/>
    <w:rsid w:val="005C2B0C"/>
    <w:rsid w:val="005C3202"/>
    <w:rsid w:val="005C38B6"/>
    <w:rsid w:val="005C47D6"/>
    <w:rsid w:val="005C4C4A"/>
    <w:rsid w:val="005C5771"/>
    <w:rsid w:val="005C6239"/>
    <w:rsid w:val="005C6407"/>
    <w:rsid w:val="005C6470"/>
    <w:rsid w:val="005C68DC"/>
    <w:rsid w:val="005C7BD2"/>
    <w:rsid w:val="005C7D98"/>
    <w:rsid w:val="005D0660"/>
    <w:rsid w:val="005D068E"/>
    <w:rsid w:val="005D06C3"/>
    <w:rsid w:val="005D165B"/>
    <w:rsid w:val="005D27B3"/>
    <w:rsid w:val="005D2B43"/>
    <w:rsid w:val="005D4A40"/>
    <w:rsid w:val="005D4F10"/>
    <w:rsid w:val="005D4F84"/>
    <w:rsid w:val="005D576E"/>
    <w:rsid w:val="005D6180"/>
    <w:rsid w:val="005D68F1"/>
    <w:rsid w:val="005D6B73"/>
    <w:rsid w:val="005D7CC8"/>
    <w:rsid w:val="005E0510"/>
    <w:rsid w:val="005E140F"/>
    <w:rsid w:val="005E1609"/>
    <w:rsid w:val="005E22DF"/>
    <w:rsid w:val="005E2CE6"/>
    <w:rsid w:val="005E2CFD"/>
    <w:rsid w:val="005E33B9"/>
    <w:rsid w:val="005E33D7"/>
    <w:rsid w:val="005E46DA"/>
    <w:rsid w:val="005E4A30"/>
    <w:rsid w:val="005E576C"/>
    <w:rsid w:val="005E5CA5"/>
    <w:rsid w:val="005E6949"/>
    <w:rsid w:val="005E6AB8"/>
    <w:rsid w:val="005E6B3E"/>
    <w:rsid w:val="005E6F35"/>
    <w:rsid w:val="005E7605"/>
    <w:rsid w:val="005E7D38"/>
    <w:rsid w:val="005E7F0B"/>
    <w:rsid w:val="005F0F39"/>
    <w:rsid w:val="005F1E18"/>
    <w:rsid w:val="005F1E61"/>
    <w:rsid w:val="005F1F9D"/>
    <w:rsid w:val="005F2B8C"/>
    <w:rsid w:val="005F2C40"/>
    <w:rsid w:val="005F32D1"/>
    <w:rsid w:val="005F3560"/>
    <w:rsid w:val="005F36B1"/>
    <w:rsid w:val="005F4C26"/>
    <w:rsid w:val="005F5051"/>
    <w:rsid w:val="005F6117"/>
    <w:rsid w:val="005F634D"/>
    <w:rsid w:val="005F6897"/>
    <w:rsid w:val="005F69AE"/>
    <w:rsid w:val="005F7A11"/>
    <w:rsid w:val="005F7DB0"/>
    <w:rsid w:val="00600326"/>
    <w:rsid w:val="006006A1"/>
    <w:rsid w:val="00600946"/>
    <w:rsid w:val="00601207"/>
    <w:rsid w:val="00601387"/>
    <w:rsid w:val="00602648"/>
    <w:rsid w:val="00602B66"/>
    <w:rsid w:val="00602B8B"/>
    <w:rsid w:val="006039A1"/>
    <w:rsid w:val="006046CF"/>
    <w:rsid w:val="006047F1"/>
    <w:rsid w:val="00604BBC"/>
    <w:rsid w:val="00604EE5"/>
    <w:rsid w:val="00607076"/>
    <w:rsid w:val="00607305"/>
    <w:rsid w:val="006100BC"/>
    <w:rsid w:val="006101E5"/>
    <w:rsid w:val="00610204"/>
    <w:rsid w:val="00611188"/>
    <w:rsid w:val="0061196C"/>
    <w:rsid w:val="00611D69"/>
    <w:rsid w:val="0061231E"/>
    <w:rsid w:val="00612B4F"/>
    <w:rsid w:val="00612B7E"/>
    <w:rsid w:val="00612BB2"/>
    <w:rsid w:val="0061438A"/>
    <w:rsid w:val="0061480B"/>
    <w:rsid w:val="006149FE"/>
    <w:rsid w:val="00614F44"/>
    <w:rsid w:val="006150AC"/>
    <w:rsid w:val="006154A4"/>
    <w:rsid w:val="0061563D"/>
    <w:rsid w:val="0061579B"/>
    <w:rsid w:val="00615AFD"/>
    <w:rsid w:val="00615DCE"/>
    <w:rsid w:val="00615FD9"/>
    <w:rsid w:val="006164C8"/>
    <w:rsid w:val="00616596"/>
    <w:rsid w:val="00616B92"/>
    <w:rsid w:val="006176E1"/>
    <w:rsid w:val="00617EA8"/>
    <w:rsid w:val="0062011B"/>
    <w:rsid w:val="006212E0"/>
    <w:rsid w:val="00621613"/>
    <w:rsid w:val="00621A2A"/>
    <w:rsid w:val="00621B44"/>
    <w:rsid w:val="00622228"/>
    <w:rsid w:val="006224BC"/>
    <w:rsid w:val="00622DB1"/>
    <w:rsid w:val="006235DF"/>
    <w:rsid w:val="00623B8F"/>
    <w:rsid w:val="00623D03"/>
    <w:rsid w:val="006248C0"/>
    <w:rsid w:val="00624B71"/>
    <w:rsid w:val="00624D5E"/>
    <w:rsid w:val="00624DB9"/>
    <w:rsid w:val="006253C0"/>
    <w:rsid w:val="00625CAE"/>
    <w:rsid w:val="00625EB8"/>
    <w:rsid w:val="006262AF"/>
    <w:rsid w:val="00627CE1"/>
    <w:rsid w:val="00630742"/>
    <w:rsid w:val="006317DB"/>
    <w:rsid w:val="00631BAE"/>
    <w:rsid w:val="00631FD6"/>
    <w:rsid w:val="006320EA"/>
    <w:rsid w:val="00632302"/>
    <w:rsid w:val="0063245A"/>
    <w:rsid w:val="00633199"/>
    <w:rsid w:val="00633273"/>
    <w:rsid w:val="00633A9A"/>
    <w:rsid w:val="00633D9C"/>
    <w:rsid w:val="00633FE1"/>
    <w:rsid w:val="00634AF2"/>
    <w:rsid w:val="00635502"/>
    <w:rsid w:val="00635DB5"/>
    <w:rsid w:val="00636B1A"/>
    <w:rsid w:val="00636BE7"/>
    <w:rsid w:val="00636C92"/>
    <w:rsid w:val="006373AB"/>
    <w:rsid w:val="00637813"/>
    <w:rsid w:val="00637904"/>
    <w:rsid w:val="006408C3"/>
    <w:rsid w:val="006408E5"/>
    <w:rsid w:val="006409DB"/>
    <w:rsid w:val="006413A8"/>
    <w:rsid w:val="0064160E"/>
    <w:rsid w:val="00641B2E"/>
    <w:rsid w:val="00641C8D"/>
    <w:rsid w:val="006420C7"/>
    <w:rsid w:val="00642528"/>
    <w:rsid w:val="00642EFA"/>
    <w:rsid w:val="00642FB7"/>
    <w:rsid w:val="00643619"/>
    <w:rsid w:val="00645002"/>
    <w:rsid w:val="00645105"/>
    <w:rsid w:val="00646035"/>
    <w:rsid w:val="006467A8"/>
    <w:rsid w:val="0064773F"/>
    <w:rsid w:val="00647A2C"/>
    <w:rsid w:val="00650E66"/>
    <w:rsid w:val="00650F32"/>
    <w:rsid w:val="00651040"/>
    <w:rsid w:val="0065231A"/>
    <w:rsid w:val="006524AA"/>
    <w:rsid w:val="00652997"/>
    <w:rsid w:val="00653F22"/>
    <w:rsid w:val="00654872"/>
    <w:rsid w:val="00654D95"/>
    <w:rsid w:val="00655E3D"/>
    <w:rsid w:val="0065674E"/>
    <w:rsid w:val="00656816"/>
    <w:rsid w:val="00657771"/>
    <w:rsid w:val="006608A8"/>
    <w:rsid w:val="006611D6"/>
    <w:rsid w:val="006613E4"/>
    <w:rsid w:val="006618C2"/>
    <w:rsid w:val="00661C1B"/>
    <w:rsid w:val="006620CF"/>
    <w:rsid w:val="00662C46"/>
    <w:rsid w:val="00663054"/>
    <w:rsid w:val="006658DE"/>
    <w:rsid w:val="00665E82"/>
    <w:rsid w:val="0066627F"/>
    <w:rsid w:val="006667E7"/>
    <w:rsid w:val="00666B5D"/>
    <w:rsid w:val="0066749C"/>
    <w:rsid w:val="00670475"/>
    <w:rsid w:val="006708CB"/>
    <w:rsid w:val="00670E30"/>
    <w:rsid w:val="0067219A"/>
    <w:rsid w:val="00672415"/>
    <w:rsid w:val="00672EBD"/>
    <w:rsid w:val="0067339B"/>
    <w:rsid w:val="006736A7"/>
    <w:rsid w:val="006736F1"/>
    <w:rsid w:val="00673EB3"/>
    <w:rsid w:val="00673F84"/>
    <w:rsid w:val="0067431E"/>
    <w:rsid w:val="006747EA"/>
    <w:rsid w:val="00675184"/>
    <w:rsid w:val="00675297"/>
    <w:rsid w:val="006754B0"/>
    <w:rsid w:val="006757DB"/>
    <w:rsid w:val="00675BFE"/>
    <w:rsid w:val="006762AA"/>
    <w:rsid w:val="006762F8"/>
    <w:rsid w:val="006776FA"/>
    <w:rsid w:val="00677C42"/>
    <w:rsid w:val="00677F28"/>
    <w:rsid w:val="00680136"/>
    <w:rsid w:val="0068064E"/>
    <w:rsid w:val="006807D2"/>
    <w:rsid w:val="00681153"/>
    <w:rsid w:val="00681231"/>
    <w:rsid w:val="0068175D"/>
    <w:rsid w:val="00683DE2"/>
    <w:rsid w:val="00683F6E"/>
    <w:rsid w:val="00684033"/>
    <w:rsid w:val="00684675"/>
    <w:rsid w:val="006847F8"/>
    <w:rsid w:val="006849DF"/>
    <w:rsid w:val="00684BFF"/>
    <w:rsid w:val="0068682D"/>
    <w:rsid w:val="006869D1"/>
    <w:rsid w:val="00687477"/>
    <w:rsid w:val="0069047D"/>
    <w:rsid w:val="00691123"/>
    <w:rsid w:val="0069154C"/>
    <w:rsid w:val="006917F3"/>
    <w:rsid w:val="0069260F"/>
    <w:rsid w:val="00693197"/>
    <w:rsid w:val="006937A1"/>
    <w:rsid w:val="00693E5F"/>
    <w:rsid w:val="00694DB0"/>
    <w:rsid w:val="00695BF3"/>
    <w:rsid w:val="00696AF3"/>
    <w:rsid w:val="0069704B"/>
    <w:rsid w:val="00697515"/>
    <w:rsid w:val="00697C71"/>
    <w:rsid w:val="006A033A"/>
    <w:rsid w:val="006A06B7"/>
    <w:rsid w:val="006A0B42"/>
    <w:rsid w:val="006A0BBF"/>
    <w:rsid w:val="006A0D8B"/>
    <w:rsid w:val="006A1417"/>
    <w:rsid w:val="006A1833"/>
    <w:rsid w:val="006A1E99"/>
    <w:rsid w:val="006A29A6"/>
    <w:rsid w:val="006A2AE5"/>
    <w:rsid w:val="006A2EDD"/>
    <w:rsid w:val="006A303C"/>
    <w:rsid w:val="006A3CB1"/>
    <w:rsid w:val="006A4276"/>
    <w:rsid w:val="006A4406"/>
    <w:rsid w:val="006A4410"/>
    <w:rsid w:val="006A4835"/>
    <w:rsid w:val="006A4D32"/>
    <w:rsid w:val="006A4DAC"/>
    <w:rsid w:val="006A4FF9"/>
    <w:rsid w:val="006A5789"/>
    <w:rsid w:val="006A5C9E"/>
    <w:rsid w:val="006A64E2"/>
    <w:rsid w:val="006A6B0C"/>
    <w:rsid w:val="006A6DFB"/>
    <w:rsid w:val="006A781F"/>
    <w:rsid w:val="006A7D4F"/>
    <w:rsid w:val="006A7F29"/>
    <w:rsid w:val="006B0476"/>
    <w:rsid w:val="006B089E"/>
    <w:rsid w:val="006B155C"/>
    <w:rsid w:val="006B1C7F"/>
    <w:rsid w:val="006B24C7"/>
    <w:rsid w:val="006B30B0"/>
    <w:rsid w:val="006B3453"/>
    <w:rsid w:val="006B3589"/>
    <w:rsid w:val="006B3B79"/>
    <w:rsid w:val="006B4358"/>
    <w:rsid w:val="006B44A7"/>
    <w:rsid w:val="006B44DB"/>
    <w:rsid w:val="006B4959"/>
    <w:rsid w:val="006B4D87"/>
    <w:rsid w:val="006B5227"/>
    <w:rsid w:val="006B5669"/>
    <w:rsid w:val="006B5EFA"/>
    <w:rsid w:val="006B6BF2"/>
    <w:rsid w:val="006B6D08"/>
    <w:rsid w:val="006B713E"/>
    <w:rsid w:val="006B7441"/>
    <w:rsid w:val="006B76D2"/>
    <w:rsid w:val="006C04BA"/>
    <w:rsid w:val="006C07EA"/>
    <w:rsid w:val="006C0A0A"/>
    <w:rsid w:val="006C0B60"/>
    <w:rsid w:val="006C10D3"/>
    <w:rsid w:val="006C1401"/>
    <w:rsid w:val="006C1A76"/>
    <w:rsid w:val="006C2EE0"/>
    <w:rsid w:val="006C2EEC"/>
    <w:rsid w:val="006C3C5E"/>
    <w:rsid w:val="006C420A"/>
    <w:rsid w:val="006C6D35"/>
    <w:rsid w:val="006C7502"/>
    <w:rsid w:val="006C7CC0"/>
    <w:rsid w:val="006D01CE"/>
    <w:rsid w:val="006D1336"/>
    <w:rsid w:val="006D18EA"/>
    <w:rsid w:val="006D1E65"/>
    <w:rsid w:val="006D1ED8"/>
    <w:rsid w:val="006D2BAA"/>
    <w:rsid w:val="006D3000"/>
    <w:rsid w:val="006D36FF"/>
    <w:rsid w:val="006D3944"/>
    <w:rsid w:val="006D39CE"/>
    <w:rsid w:val="006D4241"/>
    <w:rsid w:val="006D5810"/>
    <w:rsid w:val="006D5E1E"/>
    <w:rsid w:val="006D6215"/>
    <w:rsid w:val="006D6C93"/>
    <w:rsid w:val="006D6D74"/>
    <w:rsid w:val="006D739A"/>
    <w:rsid w:val="006D789A"/>
    <w:rsid w:val="006E014F"/>
    <w:rsid w:val="006E01D5"/>
    <w:rsid w:val="006E06F8"/>
    <w:rsid w:val="006E08DA"/>
    <w:rsid w:val="006E0982"/>
    <w:rsid w:val="006E0DCA"/>
    <w:rsid w:val="006E1249"/>
    <w:rsid w:val="006E17AF"/>
    <w:rsid w:val="006E19DE"/>
    <w:rsid w:val="006E1B3B"/>
    <w:rsid w:val="006E4787"/>
    <w:rsid w:val="006E4C78"/>
    <w:rsid w:val="006E5115"/>
    <w:rsid w:val="006E676F"/>
    <w:rsid w:val="006E697F"/>
    <w:rsid w:val="006E7B30"/>
    <w:rsid w:val="006F14F2"/>
    <w:rsid w:val="006F15B5"/>
    <w:rsid w:val="006F1D17"/>
    <w:rsid w:val="006F2609"/>
    <w:rsid w:val="006F3079"/>
    <w:rsid w:val="006F336A"/>
    <w:rsid w:val="006F3F9B"/>
    <w:rsid w:val="006F4425"/>
    <w:rsid w:val="006F44D0"/>
    <w:rsid w:val="006F48B5"/>
    <w:rsid w:val="006F4A1D"/>
    <w:rsid w:val="006F4CE5"/>
    <w:rsid w:val="006F73FF"/>
    <w:rsid w:val="006F7EE7"/>
    <w:rsid w:val="00700060"/>
    <w:rsid w:val="00701F4D"/>
    <w:rsid w:val="0070217A"/>
    <w:rsid w:val="00702E61"/>
    <w:rsid w:val="00703940"/>
    <w:rsid w:val="00703B88"/>
    <w:rsid w:val="0070414A"/>
    <w:rsid w:val="007048E5"/>
    <w:rsid w:val="00704B15"/>
    <w:rsid w:val="00704E7D"/>
    <w:rsid w:val="00705069"/>
    <w:rsid w:val="00706E65"/>
    <w:rsid w:val="007070AF"/>
    <w:rsid w:val="00707470"/>
    <w:rsid w:val="00707B1F"/>
    <w:rsid w:val="00710370"/>
    <w:rsid w:val="00710766"/>
    <w:rsid w:val="00710A7B"/>
    <w:rsid w:val="00710C47"/>
    <w:rsid w:val="00711C9D"/>
    <w:rsid w:val="0071207F"/>
    <w:rsid w:val="00712239"/>
    <w:rsid w:val="007128E2"/>
    <w:rsid w:val="0071291E"/>
    <w:rsid w:val="007138C9"/>
    <w:rsid w:val="00713F28"/>
    <w:rsid w:val="00714371"/>
    <w:rsid w:val="00716949"/>
    <w:rsid w:val="00716E16"/>
    <w:rsid w:val="0071767F"/>
    <w:rsid w:val="00717D8A"/>
    <w:rsid w:val="00720190"/>
    <w:rsid w:val="0072164C"/>
    <w:rsid w:val="00721A12"/>
    <w:rsid w:val="00721F0A"/>
    <w:rsid w:val="0072259C"/>
    <w:rsid w:val="007230AB"/>
    <w:rsid w:val="007240F5"/>
    <w:rsid w:val="00724229"/>
    <w:rsid w:val="00724761"/>
    <w:rsid w:val="00724CF2"/>
    <w:rsid w:val="007263EF"/>
    <w:rsid w:val="00727157"/>
    <w:rsid w:val="00730AC7"/>
    <w:rsid w:val="00730EF0"/>
    <w:rsid w:val="007311A1"/>
    <w:rsid w:val="00731359"/>
    <w:rsid w:val="0073168D"/>
    <w:rsid w:val="00731DB5"/>
    <w:rsid w:val="00732178"/>
    <w:rsid w:val="0073338F"/>
    <w:rsid w:val="00733B6B"/>
    <w:rsid w:val="0073431B"/>
    <w:rsid w:val="0073434A"/>
    <w:rsid w:val="00734A45"/>
    <w:rsid w:val="00734CAE"/>
    <w:rsid w:val="00734D26"/>
    <w:rsid w:val="00735540"/>
    <w:rsid w:val="00735E5B"/>
    <w:rsid w:val="0074008D"/>
    <w:rsid w:val="007406A8"/>
    <w:rsid w:val="007407F7"/>
    <w:rsid w:val="0074106A"/>
    <w:rsid w:val="0074158B"/>
    <w:rsid w:val="007417CD"/>
    <w:rsid w:val="00741A29"/>
    <w:rsid w:val="00742328"/>
    <w:rsid w:val="0074260F"/>
    <w:rsid w:val="007426A3"/>
    <w:rsid w:val="00742BC8"/>
    <w:rsid w:val="00743D00"/>
    <w:rsid w:val="007447F0"/>
    <w:rsid w:val="00744C6B"/>
    <w:rsid w:val="00745529"/>
    <w:rsid w:val="00745622"/>
    <w:rsid w:val="00746440"/>
    <w:rsid w:val="00746ABA"/>
    <w:rsid w:val="0074774D"/>
    <w:rsid w:val="007478D2"/>
    <w:rsid w:val="00747A21"/>
    <w:rsid w:val="00747BC5"/>
    <w:rsid w:val="0075022D"/>
    <w:rsid w:val="0075081D"/>
    <w:rsid w:val="00750C94"/>
    <w:rsid w:val="00750FB9"/>
    <w:rsid w:val="007514BB"/>
    <w:rsid w:val="0075163E"/>
    <w:rsid w:val="007517C1"/>
    <w:rsid w:val="00751F53"/>
    <w:rsid w:val="00754CF0"/>
    <w:rsid w:val="00754ED0"/>
    <w:rsid w:val="00755667"/>
    <w:rsid w:val="00755988"/>
    <w:rsid w:val="00755A8C"/>
    <w:rsid w:val="00755D86"/>
    <w:rsid w:val="00756428"/>
    <w:rsid w:val="00756979"/>
    <w:rsid w:val="00757351"/>
    <w:rsid w:val="00760F8B"/>
    <w:rsid w:val="00761028"/>
    <w:rsid w:val="007611B8"/>
    <w:rsid w:val="007611CA"/>
    <w:rsid w:val="00761290"/>
    <w:rsid w:val="00761360"/>
    <w:rsid w:val="0076141C"/>
    <w:rsid w:val="00761639"/>
    <w:rsid w:val="00761653"/>
    <w:rsid w:val="0076205B"/>
    <w:rsid w:val="007626B9"/>
    <w:rsid w:val="00762AE5"/>
    <w:rsid w:val="00763553"/>
    <w:rsid w:val="007645F9"/>
    <w:rsid w:val="00764AA0"/>
    <w:rsid w:val="0076501B"/>
    <w:rsid w:val="007658A9"/>
    <w:rsid w:val="00765B67"/>
    <w:rsid w:val="00766425"/>
    <w:rsid w:val="007677FF"/>
    <w:rsid w:val="00767C20"/>
    <w:rsid w:val="00767E99"/>
    <w:rsid w:val="00767F5B"/>
    <w:rsid w:val="007707BD"/>
    <w:rsid w:val="0077083A"/>
    <w:rsid w:val="007713F2"/>
    <w:rsid w:val="007716AE"/>
    <w:rsid w:val="00772A62"/>
    <w:rsid w:val="00772F64"/>
    <w:rsid w:val="00773144"/>
    <w:rsid w:val="0077364D"/>
    <w:rsid w:val="00773CD7"/>
    <w:rsid w:val="007754F9"/>
    <w:rsid w:val="007764D8"/>
    <w:rsid w:val="0077669F"/>
    <w:rsid w:val="00777D74"/>
    <w:rsid w:val="00780157"/>
    <w:rsid w:val="00780444"/>
    <w:rsid w:val="007812C2"/>
    <w:rsid w:val="007817E4"/>
    <w:rsid w:val="00782879"/>
    <w:rsid w:val="007831D4"/>
    <w:rsid w:val="0078383A"/>
    <w:rsid w:val="00783C26"/>
    <w:rsid w:val="007842F2"/>
    <w:rsid w:val="00784A0C"/>
    <w:rsid w:val="00784CC3"/>
    <w:rsid w:val="00784F08"/>
    <w:rsid w:val="00785B52"/>
    <w:rsid w:val="007860AA"/>
    <w:rsid w:val="007865A7"/>
    <w:rsid w:val="0078666A"/>
    <w:rsid w:val="007868E5"/>
    <w:rsid w:val="00786ABE"/>
    <w:rsid w:val="00787641"/>
    <w:rsid w:val="0078794A"/>
    <w:rsid w:val="00787F6D"/>
    <w:rsid w:val="00790D21"/>
    <w:rsid w:val="007917DA"/>
    <w:rsid w:val="007918DE"/>
    <w:rsid w:val="0079259B"/>
    <w:rsid w:val="00792B29"/>
    <w:rsid w:val="007936A5"/>
    <w:rsid w:val="00793AE4"/>
    <w:rsid w:val="00793E70"/>
    <w:rsid w:val="00793F89"/>
    <w:rsid w:val="007941F7"/>
    <w:rsid w:val="007943CF"/>
    <w:rsid w:val="00794C71"/>
    <w:rsid w:val="00794F9F"/>
    <w:rsid w:val="00795402"/>
    <w:rsid w:val="00795705"/>
    <w:rsid w:val="007958C8"/>
    <w:rsid w:val="00795D2A"/>
    <w:rsid w:val="00795DF3"/>
    <w:rsid w:val="00796060"/>
    <w:rsid w:val="0079660A"/>
    <w:rsid w:val="007966FF"/>
    <w:rsid w:val="007968B8"/>
    <w:rsid w:val="00797383"/>
    <w:rsid w:val="00797390"/>
    <w:rsid w:val="0079762B"/>
    <w:rsid w:val="00797ED2"/>
    <w:rsid w:val="007A01BE"/>
    <w:rsid w:val="007A06E0"/>
    <w:rsid w:val="007A0E1C"/>
    <w:rsid w:val="007A0EC4"/>
    <w:rsid w:val="007A11E1"/>
    <w:rsid w:val="007A1E27"/>
    <w:rsid w:val="007A23A1"/>
    <w:rsid w:val="007A27D3"/>
    <w:rsid w:val="007A2C9E"/>
    <w:rsid w:val="007A35B5"/>
    <w:rsid w:val="007A3E60"/>
    <w:rsid w:val="007A432C"/>
    <w:rsid w:val="007A6763"/>
    <w:rsid w:val="007A78AE"/>
    <w:rsid w:val="007B0B49"/>
    <w:rsid w:val="007B1438"/>
    <w:rsid w:val="007B1771"/>
    <w:rsid w:val="007B1B91"/>
    <w:rsid w:val="007B2376"/>
    <w:rsid w:val="007B25FB"/>
    <w:rsid w:val="007B2C37"/>
    <w:rsid w:val="007B427E"/>
    <w:rsid w:val="007B4555"/>
    <w:rsid w:val="007B5518"/>
    <w:rsid w:val="007B559F"/>
    <w:rsid w:val="007B732F"/>
    <w:rsid w:val="007B75EE"/>
    <w:rsid w:val="007C005B"/>
    <w:rsid w:val="007C03C1"/>
    <w:rsid w:val="007C0676"/>
    <w:rsid w:val="007C0BB9"/>
    <w:rsid w:val="007C1B66"/>
    <w:rsid w:val="007C2641"/>
    <w:rsid w:val="007C2A95"/>
    <w:rsid w:val="007C4248"/>
    <w:rsid w:val="007C4CB5"/>
    <w:rsid w:val="007C5B5B"/>
    <w:rsid w:val="007C7338"/>
    <w:rsid w:val="007C7E54"/>
    <w:rsid w:val="007C7EA2"/>
    <w:rsid w:val="007D0B1F"/>
    <w:rsid w:val="007D1204"/>
    <w:rsid w:val="007D1707"/>
    <w:rsid w:val="007D2F75"/>
    <w:rsid w:val="007D38FE"/>
    <w:rsid w:val="007D3E10"/>
    <w:rsid w:val="007D414E"/>
    <w:rsid w:val="007D4C34"/>
    <w:rsid w:val="007D4F92"/>
    <w:rsid w:val="007D53CC"/>
    <w:rsid w:val="007D5569"/>
    <w:rsid w:val="007D5C25"/>
    <w:rsid w:val="007D6139"/>
    <w:rsid w:val="007D621E"/>
    <w:rsid w:val="007D6247"/>
    <w:rsid w:val="007D6323"/>
    <w:rsid w:val="007D665D"/>
    <w:rsid w:val="007D6F51"/>
    <w:rsid w:val="007D74BB"/>
    <w:rsid w:val="007D7A1D"/>
    <w:rsid w:val="007D7B47"/>
    <w:rsid w:val="007E0A3C"/>
    <w:rsid w:val="007E0B59"/>
    <w:rsid w:val="007E18F5"/>
    <w:rsid w:val="007E198D"/>
    <w:rsid w:val="007E1C35"/>
    <w:rsid w:val="007E1CC3"/>
    <w:rsid w:val="007E231D"/>
    <w:rsid w:val="007E24EA"/>
    <w:rsid w:val="007E2835"/>
    <w:rsid w:val="007E37EF"/>
    <w:rsid w:val="007E49DE"/>
    <w:rsid w:val="007E51AA"/>
    <w:rsid w:val="007E545F"/>
    <w:rsid w:val="007E616A"/>
    <w:rsid w:val="007E63C6"/>
    <w:rsid w:val="007E7489"/>
    <w:rsid w:val="007E775B"/>
    <w:rsid w:val="007F0B38"/>
    <w:rsid w:val="007F1CB3"/>
    <w:rsid w:val="007F24CF"/>
    <w:rsid w:val="007F2535"/>
    <w:rsid w:val="007F2801"/>
    <w:rsid w:val="007F2847"/>
    <w:rsid w:val="007F426C"/>
    <w:rsid w:val="007F467E"/>
    <w:rsid w:val="007F4932"/>
    <w:rsid w:val="007F4D6D"/>
    <w:rsid w:val="007F52A2"/>
    <w:rsid w:val="007F5320"/>
    <w:rsid w:val="007F5758"/>
    <w:rsid w:val="007F58E9"/>
    <w:rsid w:val="007F6093"/>
    <w:rsid w:val="007F6143"/>
    <w:rsid w:val="007F6492"/>
    <w:rsid w:val="007F6AD7"/>
    <w:rsid w:val="007F6BF4"/>
    <w:rsid w:val="0080007C"/>
    <w:rsid w:val="00800574"/>
    <w:rsid w:val="0080106C"/>
    <w:rsid w:val="00801360"/>
    <w:rsid w:val="008028C6"/>
    <w:rsid w:val="00802E28"/>
    <w:rsid w:val="00803329"/>
    <w:rsid w:val="00803996"/>
    <w:rsid w:val="00804620"/>
    <w:rsid w:val="00806231"/>
    <w:rsid w:val="00806703"/>
    <w:rsid w:val="00806C67"/>
    <w:rsid w:val="00807058"/>
    <w:rsid w:val="00807151"/>
    <w:rsid w:val="008079FE"/>
    <w:rsid w:val="008107EB"/>
    <w:rsid w:val="008110A3"/>
    <w:rsid w:val="0081145A"/>
    <w:rsid w:val="00811A00"/>
    <w:rsid w:val="00811EAE"/>
    <w:rsid w:val="008124F9"/>
    <w:rsid w:val="00812ADA"/>
    <w:rsid w:val="00814AF3"/>
    <w:rsid w:val="00814B9D"/>
    <w:rsid w:val="00814BBE"/>
    <w:rsid w:val="00814E40"/>
    <w:rsid w:val="00814F55"/>
    <w:rsid w:val="00814FF8"/>
    <w:rsid w:val="00815EF6"/>
    <w:rsid w:val="00815F97"/>
    <w:rsid w:val="00816210"/>
    <w:rsid w:val="00816427"/>
    <w:rsid w:val="008164ED"/>
    <w:rsid w:val="008201E4"/>
    <w:rsid w:val="00820671"/>
    <w:rsid w:val="00820A1D"/>
    <w:rsid w:val="008211BD"/>
    <w:rsid w:val="008223F0"/>
    <w:rsid w:val="0082277A"/>
    <w:rsid w:val="008227BD"/>
    <w:rsid w:val="00822AB6"/>
    <w:rsid w:val="00822CE4"/>
    <w:rsid w:val="00823125"/>
    <w:rsid w:val="008236B5"/>
    <w:rsid w:val="00823A9B"/>
    <w:rsid w:val="00824D59"/>
    <w:rsid w:val="00825137"/>
    <w:rsid w:val="008256C9"/>
    <w:rsid w:val="008275C3"/>
    <w:rsid w:val="008278E4"/>
    <w:rsid w:val="00830F8B"/>
    <w:rsid w:val="0083122B"/>
    <w:rsid w:val="008312EA"/>
    <w:rsid w:val="00831A18"/>
    <w:rsid w:val="00831DAE"/>
    <w:rsid w:val="008327CD"/>
    <w:rsid w:val="00832DEA"/>
    <w:rsid w:val="00833BBF"/>
    <w:rsid w:val="00833F9A"/>
    <w:rsid w:val="00835088"/>
    <w:rsid w:val="00835D2B"/>
    <w:rsid w:val="00837207"/>
    <w:rsid w:val="00837C1A"/>
    <w:rsid w:val="00837C3F"/>
    <w:rsid w:val="0084014D"/>
    <w:rsid w:val="008401B4"/>
    <w:rsid w:val="00840698"/>
    <w:rsid w:val="00841234"/>
    <w:rsid w:val="008412B5"/>
    <w:rsid w:val="00841302"/>
    <w:rsid w:val="00841319"/>
    <w:rsid w:val="00841FAF"/>
    <w:rsid w:val="0084354B"/>
    <w:rsid w:val="00843A76"/>
    <w:rsid w:val="00844053"/>
    <w:rsid w:val="0084411B"/>
    <w:rsid w:val="008442EF"/>
    <w:rsid w:val="008448A3"/>
    <w:rsid w:val="008449F3"/>
    <w:rsid w:val="00844CEA"/>
    <w:rsid w:val="00844F62"/>
    <w:rsid w:val="00845AEC"/>
    <w:rsid w:val="00845EA3"/>
    <w:rsid w:val="00845F97"/>
    <w:rsid w:val="0084755F"/>
    <w:rsid w:val="00847D04"/>
    <w:rsid w:val="0085029B"/>
    <w:rsid w:val="00850D40"/>
    <w:rsid w:val="00851A38"/>
    <w:rsid w:val="00851A9E"/>
    <w:rsid w:val="00851B7D"/>
    <w:rsid w:val="0085238D"/>
    <w:rsid w:val="00852DA6"/>
    <w:rsid w:val="00853157"/>
    <w:rsid w:val="00853463"/>
    <w:rsid w:val="00853513"/>
    <w:rsid w:val="00853930"/>
    <w:rsid w:val="00854645"/>
    <w:rsid w:val="00854955"/>
    <w:rsid w:val="00855FDE"/>
    <w:rsid w:val="0085616B"/>
    <w:rsid w:val="00856173"/>
    <w:rsid w:val="008564A7"/>
    <w:rsid w:val="00856B94"/>
    <w:rsid w:val="00856CF6"/>
    <w:rsid w:val="00857BAD"/>
    <w:rsid w:val="0086002E"/>
    <w:rsid w:val="0086036C"/>
    <w:rsid w:val="00860780"/>
    <w:rsid w:val="00860A23"/>
    <w:rsid w:val="00860BD3"/>
    <w:rsid w:val="00860C82"/>
    <w:rsid w:val="00860DFE"/>
    <w:rsid w:val="00861E05"/>
    <w:rsid w:val="0086222B"/>
    <w:rsid w:val="008622BD"/>
    <w:rsid w:val="008627CF"/>
    <w:rsid w:val="008628AC"/>
    <w:rsid w:val="008629EF"/>
    <w:rsid w:val="00862AD2"/>
    <w:rsid w:val="00863680"/>
    <w:rsid w:val="0086388F"/>
    <w:rsid w:val="00863F4A"/>
    <w:rsid w:val="00864784"/>
    <w:rsid w:val="00864C3E"/>
    <w:rsid w:val="008654AB"/>
    <w:rsid w:val="0086743C"/>
    <w:rsid w:val="00867521"/>
    <w:rsid w:val="00870409"/>
    <w:rsid w:val="008708B3"/>
    <w:rsid w:val="00870A9E"/>
    <w:rsid w:val="00871621"/>
    <w:rsid w:val="00871BCD"/>
    <w:rsid w:val="00871D74"/>
    <w:rsid w:val="00872D19"/>
    <w:rsid w:val="008730AB"/>
    <w:rsid w:val="0087390A"/>
    <w:rsid w:val="0087499D"/>
    <w:rsid w:val="008749E1"/>
    <w:rsid w:val="008750CD"/>
    <w:rsid w:val="00875338"/>
    <w:rsid w:val="0087544B"/>
    <w:rsid w:val="008755E5"/>
    <w:rsid w:val="0087578F"/>
    <w:rsid w:val="008773E4"/>
    <w:rsid w:val="00877DC1"/>
    <w:rsid w:val="00880721"/>
    <w:rsid w:val="00880C3C"/>
    <w:rsid w:val="00881174"/>
    <w:rsid w:val="00881481"/>
    <w:rsid w:val="00881BE0"/>
    <w:rsid w:val="0088297E"/>
    <w:rsid w:val="0088304E"/>
    <w:rsid w:val="00883383"/>
    <w:rsid w:val="008836F2"/>
    <w:rsid w:val="00883C40"/>
    <w:rsid w:val="00884153"/>
    <w:rsid w:val="00884852"/>
    <w:rsid w:val="00885C1A"/>
    <w:rsid w:val="00885F97"/>
    <w:rsid w:val="008868BC"/>
    <w:rsid w:val="00887018"/>
    <w:rsid w:val="0088708C"/>
    <w:rsid w:val="00887A99"/>
    <w:rsid w:val="00890064"/>
    <w:rsid w:val="008901D5"/>
    <w:rsid w:val="0089188A"/>
    <w:rsid w:val="00891FA0"/>
    <w:rsid w:val="00892219"/>
    <w:rsid w:val="008924CE"/>
    <w:rsid w:val="0089285B"/>
    <w:rsid w:val="00893BF1"/>
    <w:rsid w:val="00893CDC"/>
    <w:rsid w:val="00894FCC"/>
    <w:rsid w:val="0089560E"/>
    <w:rsid w:val="0089609C"/>
    <w:rsid w:val="0089646A"/>
    <w:rsid w:val="00896BBC"/>
    <w:rsid w:val="00896BD2"/>
    <w:rsid w:val="008970A4"/>
    <w:rsid w:val="00897B0C"/>
    <w:rsid w:val="00897B3E"/>
    <w:rsid w:val="008A0711"/>
    <w:rsid w:val="008A2075"/>
    <w:rsid w:val="008A28BC"/>
    <w:rsid w:val="008A29CA"/>
    <w:rsid w:val="008A3180"/>
    <w:rsid w:val="008A3A83"/>
    <w:rsid w:val="008A4257"/>
    <w:rsid w:val="008A4C0E"/>
    <w:rsid w:val="008A6029"/>
    <w:rsid w:val="008A68DD"/>
    <w:rsid w:val="008A722E"/>
    <w:rsid w:val="008B05CD"/>
    <w:rsid w:val="008B2438"/>
    <w:rsid w:val="008B2629"/>
    <w:rsid w:val="008B2EB7"/>
    <w:rsid w:val="008B3413"/>
    <w:rsid w:val="008B36D8"/>
    <w:rsid w:val="008B511C"/>
    <w:rsid w:val="008B5583"/>
    <w:rsid w:val="008B5885"/>
    <w:rsid w:val="008B5AF0"/>
    <w:rsid w:val="008B61D9"/>
    <w:rsid w:val="008B68F5"/>
    <w:rsid w:val="008B7302"/>
    <w:rsid w:val="008B73D6"/>
    <w:rsid w:val="008B7EB8"/>
    <w:rsid w:val="008B7FDA"/>
    <w:rsid w:val="008C03E3"/>
    <w:rsid w:val="008C08AF"/>
    <w:rsid w:val="008C0B41"/>
    <w:rsid w:val="008C0C7D"/>
    <w:rsid w:val="008C0D44"/>
    <w:rsid w:val="008C1880"/>
    <w:rsid w:val="008C18EA"/>
    <w:rsid w:val="008C18F6"/>
    <w:rsid w:val="008C1BAF"/>
    <w:rsid w:val="008C20C0"/>
    <w:rsid w:val="008C23EA"/>
    <w:rsid w:val="008C23F6"/>
    <w:rsid w:val="008C311C"/>
    <w:rsid w:val="008C3358"/>
    <w:rsid w:val="008C34C9"/>
    <w:rsid w:val="008C3539"/>
    <w:rsid w:val="008C3D1C"/>
    <w:rsid w:val="008C48AC"/>
    <w:rsid w:val="008C4BAC"/>
    <w:rsid w:val="008C53CA"/>
    <w:rsid w:val="008C56F0"/>
    <w:rsid w:val="008C588C"/>
    <w:rsid w:val="008C5B9A"/>
    <w:rsid w:val="008C5E6C"/>
    <w:rsid w:val="008C67E9"/>
    <w:rsid w:val="008C7B32"/>
    <w:rsid w:val="008C7B46"/>
    <w:rsid w:val="008C7FB7"/>
    <w:rsid w:val="008D11DA"/>
    <w:rsid w:val="008D137D"/>
    <w:rsid w:val="008D146E"/>
    <w:rsid w:val="008D1BB2"/>
    <w:rsid w:val="008D1F9D"/>
    <w:rsid w:val="008D1FD4"/>
    <w:rsid w:val="008D2D16"/>
    <w:rsid w:val="008D357A"/>
    <w:rsid w:val="008D5167"/>
    <w:rsid w:val="008D5199"/>
    <w:rsid w:val="008D5CD8"/>
    <w:rsid w:val="008D63B8"/>
    <w:rsid w:val="008D6BA1"/>
    <w:rsid w:val="008D6D00"/>
    <w:rsid w:val="008D7002"/>
    <w:rsid w:val="008D7235"/>
    <w:rsid w:val="008D7AF2"/>
    <w:rsid w:val="008D7CB1"/>
    <w:rsid w:val="008D7E73"/>
    <w:rsid w:val="008E07E0"/>
    <w:rsid w:val="008E1A2A"/>
    <w:rsid w:val="008E1D8C"/>
    <w:rsid w:val="008E237E"/>
    <w:rsid w:val="008E32DE"/>
    <w:rsid w:val="008E3753"/>
    <w:rsid w:val="008E37BB"/>
    <w:rsid w:val="008E3B2E"/>
    <w:rsid w:val="008E46B1"/>
    <w:rsid w:val="008E4A25"/>
    <w:rsid w:val="008E5728"/>
    <w:rsid w:val="008E64B1"/>
    <w:rsid w:val="008E66AD"/>
    <w:rsid w:val="008E756C"/>
    <w:rsid w:val="008E7CAB"/>
    <w:rsid w:val="008E7E4A"/>
    <w:rsid w:val="008F0237"/>
    <w:rsid w:val="008F0C46"/>
    <w:rsid w:val="008F0CA7"/>
    <w:rsid w:val="008F120E"/>
    <w:rsid w:val="008F125B"/>
    <w:rsid w:val="008F1546"/>
    <w:rsid w:val="008F15B0"/>
    <w:rsid w:val="008F16DA"/>
    <w:rsid w:val="008F1A77"/>
    <w:rsid w:val="008F1DA6"/>
    <w:rsid w:val="008F1E92"/>
    <w:rsid w:val="008F2E8E"/>
    <w:rsid w:val="008F2F67"/>
    <w:rsid w:val="008F3B87"/>
    <w:rsid w:val="008F41F5"/>
    <w:rsid w:val="008F49F3"/>
    <w:rsid w:val="008F4BBE"/>
    <w:rsid w:val="008F4CE1"/>
    <w:rsid w:val="008F57C3"/>
    <w:rsid w:val="008F5ABD"/>
    <w:rsid w:val="008F5D95"/>
    <w:rsid w:val="008F62F3"/>
    <w:rsid w:val="008F6643"/>
    <w:rsid w:val="008F694D"/>
    <w:rsid w:val="008F7980"/>
    <w:rsid w:val="009004EF"/>
    <w:rsid w:val="0090072A"/>
    <w:rsid w:val="00900783"/>
    <w:rsid w:val="00901997"/>
    <w:rsid w:val="00901BB1"/>
    <w:rsid w:val="00902314"/>
    <w:rsid w:val="0090239B"/>
    <w:rsid w:val="0090332B"/>
    <w:rsid w:val="009035EA"/>
    <w:rsid w:val="00903B5A"/>
    <w:rsid w:val="00903F8D"/>
    <w:rsid w:val="00904115"/>
    <w:rsid w:val="0090440C"/>
    <w:rsid w:val="009045E3"/>
    <w:rsid w:val="00904B4E"/>
    <w:rsid w:val="00904D75"/>
    <w:rsid w:val="00905040"/>
    <w:rsid w:val="00905BF5"/>
    <w:rsid w:val="00905F7F"/>
    <w:rsid w:val="00906742"/>
    <w:rsid w:val="00906862"/>
    <w:rsid w:val="00906B82"/>
    <w:rsid w:val="009074CD"/>
    <w:rsid w:val="00907D4F"/>
    <w:rsid w:val="00907D59"/>
    <w:rsid w:val="0091076A"/>
    <w:rsid w:val="009113BC"/>
    <w:rsid w:val="00911B32"/>
    <w:rsid w:val="00911B4F"/>
    <w:rsid w:val="00911F05"/>
    <w:rsid w:val="00912057"/>
    <w:rsid w:val="0091283E"/>
    <w:rsid w:val="00912EA4"/>
    <w:rsid w:val="00914D0D"/>
    <w:rsid w:val="009154C8"/>
    <w:rsid w:val="009154F9"/>
    <w:rsid w:val="0091578C"/>
    <w:rsid w:val="00916125"/>
    <w:rsid w:val="0091630F"/>
    <w:rsid w:val="00916689"/>
    <w:rsid w:val="009166D4"/>
    <w:rsid w:val="00916C29"/>
    <w:rsid w:val="009177F1"/>
    <w:rsid w:val="0092049E"/>
    <w:rsid w:val="00920516"/>
    <w:rsid w:val="0092087B"/>
    <w:rsid w:val="009219C3"/>
    <w:rsid w:val="009227E1"/>
    <w:rsid w:val="009233B5"/>
    <w:rsid w:val="00923B4A"/>
    <w:rsid w:val="00924147"/>
    <w:rsid w:val="00924443"/>
    <w:rsid w:val="009245E4"/>
    <w:rsid w:val="009246B0"/>
    <w:rsid w:val="009246DE"/>
    <w:rsid w:val="00925599"/>
    <w:rsid w:val="00925B51"/>
    <w:rsid w:val="0092601F"/>
    <w:rsid w:val="009261DE"/>
    <w:rsid w:val="009265AB"/>
    <w:rsid w:val="00926DF2"/>
    <w:rsid w:val="0092703D"/>
    <w:rsid w:val="0092716D"/>
    <w:rsid w:val="009271D8"/>
    <w:rsid w:val="009272C4"/>
    <w:rsid w:val="00930255"/>
    <w:rsid w:val="009306E9"/>
    <w:rsid w:val="0093085C"/>
    <w:rsid w:val="00930F25"/>
    <w:rsid w:val="00931A70"/>
    <w:rsid w:val="00932416"/>
    <w:rsid w:val="009325FD"/>
    <w:rsid w:val="00933092"/>
    <w:rsid w:val="009338D4"/>
    <w:rsid w:val="00934C7B"/>
    <w:rsid w:val="009359A5"/>
    <w:rsid w:val="00935ABC"/>
    <w:rsid w:val="00936165"/>
    <w:rsid w:val="009362B9"/>
    <w:rsid w:val="00936430"/>
    <w:rsid w:val="00936DA8"/>
    <w:rsid w:val="00937500"/>
    <w:rsid w:val="00937832"/>
    <w:rsid w:val="0094028C"/>
    <w:rsid w:val="00940CEA"/>
    <w:rsid w:val="00941D2B"/>
    <w:rsid w:val="00941EF8"/>
    <w:rsid w:val="00942694"/>
    <w:rsid w:val="00943321"/>
    <w:rsid w:val="009445E9"/>
    <w:rsid w:val="00944CDA"/>
    <w:rsid w:val="00944DC1"/>
    <w:rsid w:val="00944EB5"/>
    <w:rsid w:val="00944EF0"/>
    <w:rsid w:val="00945093"/>
    <w:rsid w:val="00945902"/>
    <w:rsid w:val="00945CA1"/>
    <w:rsid w:val="00945DFF"/>
    <w:rsid w:val="0094782C"/>
    <w:rsid w:val="00947853"/>
    <w:rsid w:val="00950B73"/>
    <w:rsid w:val="00951996"/>
    <w:rsid w:val="00951DBC"/>
    <w:rsid w:val="00952777"/>
    <w:rsid w:val="00953105"/>
    <w:rsid w:val="00953635"/>
    <w:rsid w:val="00953D08"/>
    <w:rsid w:val="009540CE"/>
    <w:rsid w:val="00954BDD"/>
    <w:rsid w:val="00955236"/>
    <w:rsid w:val="0095584A"/>
    <w:rsid w:val="00955B9F"/>
    <w:rsid w:val="00955CC7"/>
    <w:rsid w:val="00955D5F"/>
    <w:rsid w:val="009565A9"/>
    <w:rsid w:val="0095697E"/>
    <w:rsid w:val="00957032"/>
    <w:rsid w:val="00957365"/>
    <w:rsid w:val="009573CB"/>
    <w:rsid w:val="009604FC"/>
    <w:rsid w:val="009608E6"/>
    <w:rsid w:val="009616D4"/>
    <w:rsid w:val="00961A10"/>
    <w:rsid w:val="0096391E"/>
    <w:rsid w:val="00963CE4"/>
    <w:rsid w:val="009640DA"/>
    <w:rsid w:val="009643B3"/>
    <w:rsid w:val="00964936"/>
    <w:rsid w:val="00964999"/>
    <w:rsid w:val="00964C18"/>
    <w:rsid w:val="009653CE"/>
    <w:rsid w:val="00965F61"/>
    <w:rsid w:val="0096603D"/>
    <w:rsid w:val="00966B07"/>
    <w:rsid w:val="00966E3B"/>
    <w:rsid w:val="00967993"/>
    <w:rsid w:val="009705D6"/>
    <w:rsid w:val="00970F5A"/>
    <w:rsid w:val="009710B5"/>
    <w:rsid w:val="00972014"/>
    <w:rsid w:val="00972ABE"/>
    <w:rsid w:val="0097313C"/>
    <w:rsid w:val="009731EA"/>
    <w:rsid w:val="0097395A"/>
    <w:rsid w:val="00973ED2"/>
    <w:rsid w:val="0097430E"/>
    <w:rsid w:val="00974648"/>
    <w:rsid w:val="009748ED"/>
    <w:rsid w:val="009749B8"/>
    <w:rsid w:val="00974DD1"/>
    <w:rsid w:val="00974F8D"/>
    <w:rsid w:val="009756EF"/>
    <w:rsid w:val="009758F9"/>
    <w:rsid w:val="00975B0C"/>
    <w:rsid w:val="00975EBA"/>
    <w:rsid w:val="00976A66"/>
    <w:rsid w:val="00976DC1"/>
    <w:rsid w:val="00976F28"/>
    <w:rsid w:val="00977064"/>
    <w:rsid w:val="0097715A"/>
    <w:rsid w:val="009776B0"/>
    <w:rsid w:val="00977927"/>
    <w:rsid w:val="009800E4"/>
    <w:rsid w:val="00981538"/>
    <w:rsid w:val="00981B82"/>
    <w:rsid w:val="00982DCD"/>
    <w:rsid w:val="0098321F"/>
    <w:rsid w:val="009833F9"/>
    <w:rsid w:val="00983458"/>
    <w:rsid w:val="009837C3"/>
    <w:rsid w:val="00984C58"/>
    <w:rsid w:val="00985C27"/>
    <w:rsid w:val="0098618E"/>
    <w:rsid w:val="00986438"/>
    <w:rsid w:val="00986964"/>
    <w:rsid w:val="00986B6D"/>
    <w:rsid w:val="00986E33"/>
    <w:rsid w:val="00987722"/>
    <w:rsid w:val="009902AE"/>
    <w:rsid w:val="00990A45"/>
    <w:rsid w:val="00991B1E"/>
    <w:rsid w:val="009920A7"/>
    <w:rsid w:val="00992301"/>
    <w:rsid w:val="00992533"/>
    <w:rsid w:val="009928FB"/>
    <w:rsid w:val="00992985"/>
    <w:rsid w:val="00992E37"/>
    <w:rsid w:val="009930C5"/>
    <w:rsid w:val="009934B4"/>
    <w:rsid w:val="009936D0"/>
    <w:rsid w:val="0099378A"/>
    <w:rsid w:val="00993EC6"/>
    <w:rsid w:val="00994C05"/>
    <w:rsid w:val="00995281"/>
    <w:rsid w:val="009959F6"/>
    <w:rsid w:val="00995FA7"/>
    <w:rsid w:val="00996A9C"/>
    <w:rsid w:val="00996CD2"/>
    <w:rsid w:val="00996DD1"/>
    <w:rsid w:val="009A04E5"/>
    <w:rsid w:val="009A0A0D"/>
    <w:rsid w:val="009A0ACF"/>
    <w:rsid w:val="009A1365"/>
    <w:rsid w:val="009A19BE"/>
    <w:rsid w:val="009A1B8F"/>
    <w:rsid w:val="009A2CC0"/>
    <w:rsid w:val="009A4056"/>
    <w:rsid w:val="009A46B5"/>
    <w:rsid w:val="009A48EC"/>
    <w:rsid w:val="009A58B0"/>
    <w:rsid w:val="009A5EA8"/>
    <w:rsid w:val="009A5F71"/>
    <w:rsid w:val="009A6100"/>
    <w:rsid w:val="009A677E"/>
    <w:rsid w:val="009A6A93"/>
    <w:rsid w:val="009A70A4"/>
    <w:rsid w:val="009A75FD"/>
    <w:rsid w:val="009A7B5F"/>
    <w:rsid w:val="009A7DEA"/>
    <w:rsid w:val="009B0302"/>
    <w:rsid w:val="009B044C"/>
    <w:rsid w:val="009B04F2"/>
    <w:rsid w:val="009B05B5"/>
    <w:rsid w:val="009B06AF"/>
    <w:rsid w:val="009B0CCD"/>
    <w:rsid w:val="009B0E3A"/>
    <w:rsid w:val="009B1396"/>
    <w:rsid w:val="009B1D3A"/>
    <w:rsid w:val="009B1E85"/>
    <w:rsid w:val="009B1EC3"/>
    <w:rsid w:val="009B1EF0"/>
    <w:rsid w:val="009B2301"/>
    <w:rsid w:val="009B29C5"/>
    <w:rsid w:val="009B2D1C"/>
    <w:rsid w:val="009B327D"/>
    <w:rsid w:val="009B3349"/>
    <w:rsid w:val="009B33D4"/>
    <w:rsid w:val="009B395B"/>
    <w:rsid w:val="009B50A7"/>
    <w:rsid w:val="009B54CF"/>
    <w:rsid w:val="009B5F6D"/>
    <w:rsid w:val="009B60D8"/>
    <w:rsid w:val="009B7B17"/>
    <w:rsid w:val="009C084E"/>
    <w:rsid w:val="009C0996"/>
    <w:rsid w:val="009C0AA3"/>
    <w:rsid w:val="009C0BFE"/>
    <w:rsid w:val="009C0DA7"/>
    <w:rsid w:val="009C1655"/>
    <w:rsid w:val="009C191C"/>
    <w:rsid w:val="009C1A07"/>
    <w:rsid w:val="009C1FA6"/>
    <w:rsid w:val="009C270D"/>
    <w:rsid w:val="009C28CD"/>
    <w:rsid w:val="009C30E0"/>
    <w:rsid w:val="009C4131"/>
    <w:rsid w:val="009C4158"/>
    <w:rsid w:val="009C42B8"/>
    <w:rsid w:val="009C48C7"/>
    <w:rsid w:val="009C4A97"/>
    <w:rsid w:val="009C4DC4"/>
    <w:rsid w:val="009C4F95"/>
    <w:rsid w:val="009C5104"/>
    <w:rsid w:val="009C588F"/>
    <w:rsid w:val="009C58B9"/>
    <w:rsid w:val="009C6218"/>
    <w:rsid w:val="009C67E8"/>
    <w:rsid w:val="009C6DA5"/>
    <w:rsid w:val="009C7675"/>
    <w:rsid w:val="009C7778"/>
    <w:rsid w:val="009D0661"/>
    <w:rsid w:val="009D10E2"/>
    <w:rsid w:val="009D196D"/>
    <w:rsid w:val="009D19E4"/>
    <w:rsid w:val="009D243F"/>
    <w:rsid w:val="009D271F"/>
    <w:rsid w:val="009D2AAD"/>
    <w:rsid w:val="009D37F4"/>
    <w:rsid w:val="009D3D79"/>
    <w:rsid w:val="009D3FB6"/>
    <w:rsid w:val="009D43B6"/>
    <w:rsid w:val="009D4EE0"/>
    <w:rsid w:val="009D5FA8"/>
    <w:rsid w:val="009D636C"/>
    <w:rsid w:val="009D6503"/>
    <w:rsid w:val="009D6AE7"/>
    <w:rsid w:val="009D6DAC"/>
    <w:rsid w:val="009D71E0"/>
    <w:rsid w:val="009D724B"/>
    <w:rsid w:val="009D74E8"/>
    <w:rsid w:val="009D7B7D"/>
    <w:rsid w:val="009E0046"/>
    <w:rsid w:val="009E05AD"/>
    <w:rsid w:val="009E0870"/>
    <w:rsid w:val="009E15D0"/>
    <w:rsid w:val="009E1DEF"/>
    <w:rsid w:val="009E1F03"/>
    <w:rsid w:val="009E245C"/>
    <w:rsid w:val="009E2640"/>
    <w:rsid w:val="009E2A93"/>
    <w:rsid w:val="009E2F16"/>
    <w:rsid w:val="009E33E9"/>
    <w:rsid w:val="009E38CF"/>
    <w:rsid w:val="009E3BF8"/>
    <w:rsid w:val="009E549E"/>
    <w:rsid w:val="009E56FE"/>
    <w:rsid w:val="009E5A0B"/>
    <w:rsid w:val="009E5E18"/>
    <w:rsid w:val="009E6787"/>
    <w:rsid w:val="009E69AE"/>
    <w:rsid w:val="009F0EBB"/>
    <w:rsid w:val="009F1435"/>
    <w:rsid w:val="009F26D9"/>
    <w:rsid w:val="009F34E2"/>
    <w:rsid w:val="009F4E00"/>
    <w:rsid w:val="009F544E"/>
    <w:rsid w:val="009F5ADF"/>
    <w:rsid w:val="009F5EB3"/>
    <w:rsid w:val="009F6FF9"/>
    <w:rsid w:val="009F7D3C"/>
    <w:rsid w:val="00A001FD"/>
    <w:rsid w:val="00A009B5"/>
    <w:rsid w:val="00A01135"/>
    <w:rsid w:val="00A013B1"/>
    <w:rsid w:val="00A01AFE"/>
    <w:rsid w:val="00A01B19"/>
    <w:rsid w:val="00A01F00"/>
    <w:rsid w:val="00A029D6"/>
    <w:rsid w:val="00A03209"/>
    <w:rsid w:val="00A032E4"/>
    <w:rsid w:val="00A03371"/>
    <w:rsid w:val="00A03AE9"/>
    <w:rsid w:val="00A042B6"/>
    <w:rsid w:val="00A04B9E"/>
    <w:rsid w:val="00A04C16"/>
    <w:rsid w:val="00A04EEE"/>
    <w:rsid w:val="00A052C3"/>
    <w:rsid w:val="00A05CA0"/>
    <w:rsid w:val="00A05EE6"/>
    <w:rsid w:val="00A069EB"/>
    <w:rsid w:val="00A06D61"/>
    <w:rsid w:val="00A07305"/>
    <w:rsid w:val="00A073C2"/>
    <w:rsid w:val="00A074EC"/>
    <w:rsid w:val="00A07A77"/>
    <w:rsid w:val="00A07B06"/>
    <w:rsid w:val="00A07BDB"/>
    <w:rsid w:val="00A07C5F"/>
    <w:rsid w:val="00A10533"/>
    <w:rsid w:val="00A10867"/>
    <w:rsid w:val="00A112AF"/>
    <w:rsid w:val="00A119B0"/>
    <w:rsid w:val="00A130B5"/>
    <w:rsid w:val="00A13585"/>
    <w:rsid w:val="00A139CA"/>
    <w:rsid w:val="00A14334"/>
    <w:rsid w:val="00A1468D"/>
    <w:rsid w:val="00A14E32"/>
    <w:rsid w:val="00A155F4"/>
    <w:rsid w:val="00A15D61"/>
    <w:rsid w:val="00A172DC"/>
    <w:rsid w:val="00A20106"/>
    <w:rsid w:val="00A224E9"/>
    <w:rsid w:val="00A2260F"/>
    <w:rsid w:val="00A2270F"/>
    <w:rsid w:val="00A227E9"/>
    <w:rsid w:val="00A22903"/>
    <w:rsid w:val="00A22D94"/>
    <w:rsid w:val="00A22F56"/>
    <w:rsid w:val="00A2304D"/>
    <w:rsid w:val="00A2422E"/>
    <w:rsid w:val="00A24859"/>
    <w:rsid w:val="00A2499E"/>
    <w:rsid w:val="00A250D2"/>
    <w:rsid w:val="00A255EC"/>
    <w:rsid w:val="00A26055"/>
    <w:rsid w:val="00A263F3"/>
    <w:rsid w:val="00A268F3"/>
    <w:rsid w:val="00A26B38"/>
    <w:rsid w:val="00A27C20"/>
    <w:rsid w:val="00A3022A"/>
    <w:rsid w:val="00A30516"/>
    <w:rsid w:val="00A30E62"/>
    <w:rsid w:val="00A30FBE"/>
    <w:rsid w:val="00A31802"/>
    <w:rsid w:val="00A320C0"/>
    <w:rsid w:val="00A32F92"/>
    <w:rsid w:val="00A33231"/>
    <w:rsid w:val="00A3348E"/>
    <w:rsid w:val="00A3362A"/>
    <w:rsid w:val="00A33ABD"/>
    <w:rsid w:val="00A33C52"/>
    <w:rsid w:val="00A34B0C"/>
    <w:rsid w:val="00A3524D"/>
    <w:rsid w:val="00A358DA"/>
    <w:rsid w:val="00A35A30"/>
    <w:rsid w:val="00A35C1B"/>
    <w:rsid w:val="00A364A3"/>
    <w:rsid w:val="00A364BD"/>
    <w:rsid w:val="00A36553"/>
    <w:rsid w:val="00A36C25"/>
    <w:rsid w:val="00A379E0"/>
    <w:rsid w:val="00A37C1F"/>
    <w:rsid w:val="00A40405"/>
    <w:rsid w:val="00A41066"/>
    <w:rsid w:val="00A4113F"/>
    <w:rsid w:val="00A413EC"/>
    <w:rsid w:val="00A42F10"/>
    <w:rsid w:val="00A43217"/>
    <w:rsid w:val="00A443F8"/>
    <w:rsid w:val="00A446D8"/>
    <w:rsid w:val="00A447D4"/>
    <w:rsid w:val="00A44E89"/>
    <w:rsid w:val="00A4568E"/>
    <w:rsid w:val="00A46011"/>
    <w:rsid w:val="00A466DE"/>
    <w:rsid w:val="00A46C51"/>
    <w:rsid w:val="00A47048"/>
    <w:rsid w:val="00A4716C"/>
    <w:rsid w:val="00A4747B"/>
    <w:rsid w:val="00A475E7"/>
    <w:rsid w:val="00A476AF"/>
    <w:rsid w:val="00A47792"/>
    <w:rsid w:val="00A47F60"/>
    <w:rsid w:val="00A50FF4"/>
    <w:rsid w:val="00A51367"/>
    <w:rsid w:val="00A5144C"/>
    <w:rsid w:val="00A523A2"/>
    <w:rsid w:val="00A524A3"/>
    <w:rsid w:val="00A53176"/>
    <w:rsid w:val="00A53277"/>
    <w:rsid w:val="00A53305"/>
    <w:rsid w:val="00A5452D"/>
    <w:rsid w:val="00A545C3"/>
    <w:rsid w:val="00A549D6"/>
    <w:rsid w:val="00A5513F"/>
    <w:rsid w:val="00A55176"/>
    <w:rsid w:val="00A560CF"/>
    <w:rsid w:val="00A56185"/>
    <w:rsid w:val="00A56188"/>
    <w:rsid w:val="00A56733"/>
    <w:rsid w:val="00A570A3"/>
    <w:rsid w:val="00A570AF"/>
    <w:rsid w:val="00A57366"/>
    <w:rsid w:val="00A5763A"/>
    <w:rsid w:val="00A57955"/>
    <w:rsid w:val="00A57EC1"/>
    <w:rsid w:val="00A6035C"/>
    <w:rsid w:val="00A60702"/>
    <w:rsid w:val="00A608F2"/>
    <w:rsid w:val="00A60BD2"/>
    <w:rsid w:val="00A61503"/>
    <w:rsid w:val="00A61850"/>
    <w:rsid w:val="00A61E4E"/>
    <w:rsid w:val="00A623C2"/>
    <w:rsid w:val="00A62B6D"/>
    <w:rsid w:val="00A62C2A"/>
    <w:rsid w:val="00A62F63"/>
    <w:rsid w:val="00A63408"/>
    <w:rsid w:val="00A63D62"/>
    <w:rsid w:val="00A64214"/>
    <w:rsid w:val="00A64699"/>
    <w:rsid w:val="00A647FE"/>
    <w:rsid w:val="00A64E84"/>
    <w:rsid w:val="00A6584D"/>
    <w:rsid w:val="00A662D7"/>
    <w:rsid w:val="00A6653D"/>
    <w:rsid w:val="00A668E9"/>
    <w:rsid w:val="00A66A13"/>
    <w:rsid w:val="00A66D8D"/>
    <w:rsid w:val="00A66F81"/>
    <w:rsid w:val="00A67CBA"/>
    <w:rsid w:val="00A71AF3"/>
    <w:rsid w:val="00A72357"/>
    <w:rsid w:val="00A72489"/>
    <w:rsid w:val="00A73927"/>
    <w:rsid w:val="00A739F6"/>
    <w:rsid w:val="00A73AC2"/>
    <w:rsid w:val="00A741E6"/>
    <w:rsid w:val="00A74733"/>
    <w:rsid w:val="00A74B77"/>
    <w:rsid w:val="00A75048"/>
    <w:rsid w:val="00A75F68"/>
    <w:rsid w:val="00A76649"/>
    <w:rsid w:val="00A767D9"/>
    <w:rsid w:val="00A768A5"/>
    <w:rsid w:val="00A7732D"/>
    <w:rsid w:val="00A809F6"/>
    <w:rsid w:val="00A80FF4"/>
    <w:rsid w:val="00A81170"/>
    <w:rsid w:val="00A813F1"/>
    <w:rsid w:val="00A81862"/>
    <w:rsid w:val="00A8242F"/>
    <w:rsid w:val="00A824AE"/>
    <w:rsid w:val="00A82E11"/>
    <w:rsid w:val="00A840F8"/>
    <w:rsid w:val="00A84E61"/>
    <w:rsid w:val="00A84E8E"/>
    <w:rsid w:val="00A85354"/>
    <w:rsid w:val="00A8646D"/>
    <w:rsid w:val="00A870F9"/>
    <w:rsid w:val="00A87588"/>
    <w:rsid w:val="00A87A6C"/>
    <w:rsid w:val="00A87B76"/>
    <w:rsid w:val="00A9028C"/>
    <w:rsid w:val="00A9139E"/>
    <w:rsid w:val="00A915BB"/>
    <w:rsid w:val="00A91722"/>
    <w:rsid w:val="00A91A66"/>
    <w:rsid w:val="00A9243C"/>
    <w:rsid w:val="00A928C9"/>
    <w:rsid w:val="00A93074"/>
    <w:rsid w:val="00A93AAE"/>
    <w:rsid w:val="00A93D06"/>
    <w:rsid w:val="00A9462D"/>
    <w:rsid w:val="00A94D73"/>
    <w:rsid w:val="00A94E65"/>
    <w:rsid w:val="00A94EC5"/>
    <w:rsid w:val="00A95762"/>
    <w:rsid w:val="00A95A08"/>
    <w:rsid w:val="00A95F4E"/>
    <w:rsid w:val="00A96386"/>
    <w:rsid w:val="00A96938"/>
    <w:rsid w:val="00A97423"/>
    <w:rsid w:val="00A97ECD"/>
    <w:rsid w:val="00AA0083"/>
    <w:rsid w:val="00AA0A89"/>
    <w:rsid w:val="00AA0C5A"/>
    <w:rsid w:val="00AA1A68"/>
    <w:rsid w:val="00AA1A8E"/>
    <w:rsid w:val="00AA1B22"/>
    <w:rsid w:val="00AA1EC8"/>
    <w:rsid w:val="00AA2250"/>
    <w:rsid w:val="00AA2455"/>
    <w:rsid w:val="00AA2642"/>
    <w:rsid w:val="00AA28F2"/>
    <w:rsid w:val="00AA33E1"/>
    <w:rsid w:val="00AA3BB3"/>
    <w:rsid w:val="00AA3BF2"/>
    <w:rsid w:val="00AA41DD"/>
    <w:rsid w:val="00AA5A2C"/>
    <w:rsid w:val="00AA6C60"/>
    <w:rsid w:val="00AA750A"/>
    <w:rsid w:val="00AA79BB"/>
    <w:rsid w:val="00AB018D"/>
    <w:rsid w:val="00AB047E"/>
    <w:rsid w:val="00AB10B1"/>
    <w:rsid w:val="00AB11BF"/>
    <w:rsid w:val="00AB1597"/>
    <w:rsid w:val="00AB16E2"/>
    <w:rsid w:val="00AB1E81"/>
    <w:rsid w:val="00AB1FB2"/>
    <w:rsid w:val="00AB27BF"/>
    <w:rsid w:val="00AB2DDF"/>
    <w:rsid w:val="00AB2E83"/>
    <w:rsid w:val="00AB37A4"/>
    <w:rsid w:val="00AB450D"/>
    <w:rsid w:val="00AB4A56"/>
    <w:rsid w:val="00AB5405"/>
    <w:rsid w:val="00AB5FC6"/>
    <w:rsid w:val="00AB67C1"/>
    <w:rsid w:val="00AB6FCF"/>
    <w:rsid w:val="00AB772B"/>
    <w:rsid w:val="00AB787F"/>
    <w:rsid w:val="00AC1790"/>
    <w:rsid w:val="00AC250E"/>
    <w:rsid w:val="00AC32E2"/>
    <w:rsid w:val="00AC42E0"/>
    <w:rsid w:val="00AC45D6"/>
    <w:rsid w:val="00AC4B5C"/>
    <w:rsid w:val="00AC572E"/>
    <w:rsid w:val="00AC581E"/>
    <w:rsid w:val="00AC5BE5"/>
    <w:rsid w:val="00AC5D44"/>
    <w:rsid w:val="00AC63DE"/>
    <w:rsid w:val="00AC6AD9"/>
    <w:rsid w:val="00AC6D18"/>
    <w:rsid w:val="00AC7824"/>
    <w:rsid w:val="00AC78D8"/>
    <w:rsid w:val="00AD0718"/>
    <w:rsid w:val="00AD09CC"/>
    <w:rsid w:val="00AD11FE"/>
    <w:rsid w:val="00AD1ACB"/>
    <w:rsid w:val="00AD1B0B"/>
    <w:rsid w:val="00AD2731"/>
    <w:rsid w:val="00AD2CD9"/>
    <w:rsid w:val="00AD3C19"/>
    <w:rsid w:val="00AD61C9"/>
    <w:rsid w:val="00AD6AF9"/>
    <w:rsid w:val="00AD6E00"/>
    <w:rsid w:val="00AD7600"/>
    <w:rsid w:val="00AD7B6E"/>
    <w:rsid w:val="00AD7EF2"/>
    <w:rsid w:val="00AD7EF3"/>
    <w:rsid w:val="00AE0B03"/>
    <w:rsid w:val="00AE0F55"/>
    <w:rsid w:val="00AE107F"/>
    <w:rsid w:val="00AE1867"/>
    <w:rsid w:val="00AE186A"/>
    <w:rsid w:val="00AE1891"/>
    <w:rsid w:val="00AE228D"/>
    <w:rsid w:val="00AE27AE"/>
    <w:rsid w:val="00AE3241"/>
    <w:rsid w:val="00AE3ECA"/>
    <w:rsid w:val="00AE5066"/>
    <w:rsid w:val="00AE621E"/>
    <w:rsid w:val="00AE6687"/>
    <w:rsid w:val="00AE68CE"/>
    <w:rsid w:val="00AE6D1D"/>
    <w:rsid w:val="00AE7429"/>
    <w:rsid w:val="00AE7690"/>
    <w:rsid w:val="00AE76C2"/>
    <w:rsid w:val="00AE76CB"/>
    <w:rsid w:val="00AE7C6B"/>
    <w:rsid w:val="00AE7F0B"/>
    <w:rsid w:val="00AF0141"/>
    <w:rsid w:val="00AF109C"/>
    <w:rsid w:val="00AF2752"/>
    <w:rsid w:val="00AF2FF1"/>
    <w:rsid w:val="00AF3C62"/>
    <w:rsid w:val="00AF44D5"/>
    <w:rsid w:val="00AF47B0"/>
    <w:rsid w:val="00AF4F05"/>
    <w:rsid w:val="00AF5EDB"/>
    <w:rsid w:val="00AF7992"/>
    <w:rsid w:val="00AF7B10"/>
    <w:rsid w:val="00AF7E4F"/>
    <w:rsid w:val="00B00C61"/>
    <w:rsid w:val="00B00CF7"/>
    <w:rsid w:val="00B01744"/>
    <w:rsid w:val="00B0214C"/>
    <w:rsid w:val="00B0255D"/>
    <w:rsid w:val="00B0280D"/>
    <w:rsid w:val="00B02D4B"/>
    <w:rsid w:val="00B02D57"/>
    <w:rsid w:val="00B03A82"/>
    <w:rsid w:val="00B03CCE"/>
    <w:rsid w:val="00B03D36"/>
    <w:rsid w:val="00B04211"/>
    <w:rsid w:val="00B0434F"/>
    <w:rsid w:val="00B047C4"/>
    <w:rsid w:val="00B0508E"/>
    <w:rsid w:val="00B0566C"/>
    <w:rsid w:val="00B0622E"/>
    <w:rsid w:val="00B07256"/>
    <w:rsid w:val="00B0764C"/>
    <w:rsid w:val="00B0772D"/>
    <w:rsid w:val="00B07819"/>
    <w:rsid w:val="00B103DC"/>
    <w:rsid w:val="00B1048B"/>
    <w:rsid w:val="00B110F2"/>
    <w:rsid w:val="00B11880"/>
    <w:rsid w:val="00B119FD"/>
    <w:rsid w:val="00B12DB9"/>
    <w:rsid w:val="00B13A71"/>
    <w:rsid w:val="00B13C2F"/>
    <w:rsid w:val="00B14336"/>
    <w:rsid w:val="00B14BED"/>
    <w:rsid w:val="00B15196"/>
    <w:rsid w:val="00B157A0"/>
    <w:rsid w:val="00B17289"/>
    <w:rsid w:val="00B17DB9"/>
    <w:rsid w:val="00B17E52"/>
    <w:rsid w:val="00B20614"/>
    <w:rsid w:val="00B206C7"/>
    <w:rsid w:val="00B20948"/>
    <w:rsid w:val="00B209AF"/>
    <w:rsid w:val="00B20E4C"/>
    <w:rsid w:val="00B21357"/>
    <w:rsid w:val="00B22C20"/>
    <w:rsid w:val="00B23088"/>
    <w:rsid w:val="00B23109"/>
    <w:rsid w:val="00B24EE2"/>
    <w:rsid w:val="00B27407"/>
    <w:rsid w:val="00B27ADC"/>
    <w:rsid w:val="00B302DF"/>
    <w:rsid w:val="00B30528"/>
    <w:rsid w:val="00B30DDC"/>
    <w:rsid w:val="00B3231A"/>
    <w:rsid w:val="00B32FC8"/>
    <w:rsid w:val="00B34FE2"/>
    <w:rsid w:val="00B35B85"/>
    <w:rsid w:val="00B35C4B"/>
    <w:rsid w:val="00B3634B"/>
    <w:rsid w:val="00B365B9"/>
    <w:rsid w:val="00B366BE"/>
    <w:rsid w:val="00B36A9F"/>
    <w:rsid w:val="00B40205"/>
    <w:rsid w:val="00B4072C"/>
    <w:rsid w:val="00B40908"/>
    <w:rsid w:val="00B413EA"/>
    <w:rsid w:val="00B41D7C"/>
    <w:rsid w:val="00B4354A"/>
    <w:rsid w:val="00B46BC4"/>
    <w:rsid w:val="00B47094"/>
    <w:rsid w:val="00B5011C"/>
    <w:rsid w:val="00B50358"/>
    <w:rsid w:val="00B5049F"/>
    <w:rsid w:val="00B517E9"/>
    <w:rsid w:val="00B52833"/>
    <w:rsid w:val="00B528B4"/>
    <w:rsid w:val="00B52A09"/>
    <w:rsid w:val="00B52DC8"/>
    <w:rsid w:val="00B54389"/>
    <w:rsid w:val="00B545E1"/>
    <w:rsid w:val="00B54675"/>
    <w:rsid w:val="00B5467F"/>
    <w:rsid w:val="00B55391"/>
    <w:rsid w:val="00B5724A"/>
    <w:rsid w:val="00B578C7"/>
    <w:rsid w:val="00B60FA0"/>
    <w:rsid w:val="00B61351"/>
    <w:rsid w:val="00B618FE"/>
    <w:rsid w:val="00B625F2"/>
    <w:rsid w:val="00B642E1"/>
    <w:rsid w:val="00B642E7"/>
    <w:rsid w:val="00B64F83"/>
    <w:rsid w:val="00B657A5"/>
    <w:rsid w:val="00B659DC"/>
    <w:rsid w:val="00B66282"/>
    <w:rsid w:val="00B67BB9"/>
    <w:rsid w:val="00B70708"/>
    <w:rsid w:val="00B70A86"/>
    <w:rsid w:val="00B70CB5"/>
    <w:rsid w:val="00B70FF1"/>
    <w:rsid w:val="00B71743"/>
    <w:rsid w:val="00B71804"/>
    <w:rsid w:val="00B71909"/>
    <w:rsid w:val="00B71DFC"/>
    <w:rsid w:val="00B72717"/>
    <w:rsid w:val="00B72948"/>
    <w:rsid w:val="00B730AE"/>
    <w:rsid w:val="00B739F2"/>
    <w:rsid w:val="00B7409A"/>
    <w:rsid w:val="00B745BC"/>
    <w:rsid w:val="00B76295"/>
    <w:rsid w:val="00B76880"/>
    <w:rsid w:val="00B770C0"/>
    <w:rsid w:val="00B772B0"/>
    <w:rsid w:val="00B7753D"/>
    <w:rsid w:val="00B777AB"/>
    <w:rsid w:val="00B77E84"/>
    <w:rsid w:val="00B77F89"/>
    <w:rsid w:val="00B80960"/>
    <w:rsid w:val="00B81B3B"/>
    <w:rsid w:val="00B81DDC"/>
    <w:rsid w:val="00B82CEB"/>
    <w:rsid w:val="00B82FBF"/>
    <w:rsid w:val="00B831AB"/>
    <w:rsid w:val="00B83636"/>
    <w:rsid w:val="00B837FA"/>
    <w:rsid w:val="00B83E9B"/>
    <w:rsid w:val="00B841CB"/>
    <w:rsid w:val="00B85093"/>
    <w:rsid w:val="00B8558F"/>
    <w:rsid w:val="00B855B6"/>
    <w:rsid w:val="00B865F4"/>
    <w:rsid w:val="00B867B0"/>
    <w:rsid w:val="00B86B34"/>
    <w:rsid w:val="00B8721A"/>
    <w:rsid w:val="00B9094E"/>
    <w:rsid w:val="00B919DC"/>
    <w:rsid w:val="00B9224A"/>
    <w:rsid w:val="00B9296B"/>
    <w:rsid w:val="00B93DA5"/>
    <w:rsid w:val="00B94081"/>
    <w:rsid w:val="00B940E8"/>
    <w:rsid w:val="00B94400"/>
    <w:rsid w:val="00B94BC0"/>
    <w:rsid w:val="00B95D9B"/>
    <w:rsid w:val="00B964FD"/>
    <w:rsid w:val="00B96A93"/>
    <w:rsid w:val="00B96EA9"/>
    <w:rsid w:val="00B96ECD"/>
    <w:rsid w:val="00BA0122"/>
    <w:rsid w:val="00BA030B"/>
    <w:rsid w:val="00BA03B6"/>
    <w:rsid w:val="00BA0A5D"/>
    <w:rsid w:val="00BA1586"/>
    <w:rsid w:val="00BA1603"/>
    <w:rsid w:val="00BA1B5A"/>
    <w:rsid w:val="00BA20AD"/>
    <w:rsid w:val="00BA2320"/>
    <w:rsid w:val="00BA29C4"/>
    <w:rsid w:val="00BA2F6B"/>
    <w:rsid w:val="00BA3095"/>
    <w:rsid w:val="00BA3950"/>
    <w:rsid w:val="00BA3CAC"/>
    <w:rsid w:val="00BA4886"/>
    <w:rsid w:val="00BA4C31"/>
    <w:rsid w:val="00BA57F5"/>
    <w:rsid w:val="00BA5A43"/>
    <w:rsid w:val="00BA5AA1"/>
    <w:rsid w:val="00BA5D2C"/>
    <w:rsid w:val="00BA6946"/>
    <w:rsid w:val="00BA6CCC"/>
    <w:rsid w:val="00BA6D35"/>
    <w:rsid w:val="00BA6DD9"/>
    <w:rsid w:val="00BA74BD"/>
    <w:rsid w:val="00BA7850"/>
    <w:rsid w:val="00BB00D4"/>
    <w:rsid w:val="00BB019E"/>
    <w:rsid w:val="00BB0A80"/>
    <w:rsid w:val="00BB0ECA"/>
    <w:rsid w:val="00BB1737"/>
    <w:rsid w:val="00BB1DD2"/>
    <w:rsid w:val="00BB2030"/>
    <w:rsid w:val="00BB219A"/>
    <w:rsid w:val="00BB26B0"/>
    <w:rsid w:val="00BB273C"/>
    <w:rsid w:val="00BB277F"/>
    <w:rsid w:val="00BB2CC6"/>
    <w:rsid w:val="00BB2DD7"/>
    <w:rsid w:val="00BB36A4"/>
    <w:rsid w:val="00BB3917"/>
    <w:rsid w:val="00BB3E09"/>
    <w:rsid w:val="00BB4281"/>
    <w:rsid w:val="00BB42F3"/>
    <w:rsid w:val="00BB430C"/>
    <w:rsid w:val="00BB4E02"/>
    <w:rsid w:val="00BB6055"/>
    <w:rsid w:val="00BB6274"/>
    <w:rsid w:val="00BB7463"/>
    <w:rsid w:val="00BC0161"/>
    <w:rsid w:val="00BC08BD"/>
    <w:rsid w:val="00BC0A1B"/>
    <w:rsid w:val="00BC0A65"/>
    <w:rsid w:val="00BC1466"/>
    <w:rsid w:val="00BC1602"/>
    <w:rsid w:val="00BC18F4"/>
    <w:rsid w:val="00BC1F20"/>
    <w:rsid w:val="00BC2E87"/>
    <w:rsid w:val="00BC3B5E"/>
    <w:rsid w:val="00BC3D0A"/>
    <w:rsid w:val="00BC4028"/>
    <w:rsid w:val="00BC43C1"/>
    <w:rsid w:val="00BC4551"/>
    <w:rsid w:val="00BC4DB1"/>
    <w:rsid w:val="00BC54BE"/>
    <w:rsid w:val="00BC5A70"/>
    <w:rsid w:val="00BC62E8"/>
    <w:rsid w:val="00BC69DA"/>
    <w:rsid w:val="00BC6FAB"/>
    <w:rsid w:val="00BC70A1"/>
    <w:rsid w:val="00BC70B3"/>
    <w:rsid w:val="00BC70C1"/>
    <w:rsid w:val="00BC77E4"/>
    <w:rsid w:val="00BC7FAF"/>
    <w:rsid w:val="00BD0258"/>
    <w:rsid w:val="00BD0389"/>
    <w:rsid w:val="00BD03E3"/>
    <w:rsid w:val="00BD07DC"/>
    <w:rsid w:val="00BD086F"/>
    <w:rsid w:val="00BD1277"/>
    <w:rsid w:val="00BD12CC"/>
    <w:rsid w:val="00BD12F0"/>
    <w:rsid w:val="00BD1515"/>
    <w:rsid w:val="00BD1C8F"/>
    <w:rsid w:val="00BD2299"/>
    <w:rsid w:val="00BD25E5"/>
    <w:rsid w:val="00BD29F2"/>
    <w:rsid w:val="00BD2ED9"/>
    <w:rsid w:val="00BD2F09"/>
    <w:rsid w:val="00BD316E"/>
    <w:rsid w:val="00BD3F2C"/>
    <w:rsid w:val="00BD43EB"/>
    <w:rsid w:val="00BD4846"/>
    <w:rsid w:val="00BD49FC"/>
    <w:rsid w:val="00BD527F"/>
    <w:rsid w:val="00BD5DF8"/>
    <w:rsid w:val="00BD6849"/>
    <w:rsid w:val="00BD7054"/>
    <w:rsid w:val="00BD7797"/>
    <w:rsid w:val="00BD7C93"/>
    <w:rsid w:val="00BD7D06"/>
    <w:rsid w:val="00BD7D6A"/>
    <w:rsid w:val="00BE226D"/>
    <w:rsid w:val="00BE23EE"/>
    <w:rsid w:val="00BE24CF"/>
    <w:rsid w:val="00BE2839"/>
    <w:rsid w:val="00BE29EB"/>
    <w:rsid w:val="00BE3469"/>
    <w:rsid w:val="00BE3509"/>
    <w:rsid w:val="00BE3FC2"/>
    <w:rsid w:val="00BE4A0F"/>
    <w:rsid w:val="00BE53D2"/>
    <w:rsid w:val="00BE5BE2"/>
    <w:rsid w:val="00BE6002"/>
    <w:rsid w:val="00BE615C"/>
    <w:rsid w:val="00BE6BDC"/>
    <w:rsid w:val="00BE7049"/>
    <w:rsid w:val="00BE78F0"/>
    <w:rsid w:val="00BF00F3"/>
    <w:rsid w:val="00BF012A"/>
    <w:rsid w:val="00BF0BA1"/>
    <w:rsid w:val="00BF0FF6"/>
    <w:rsid w:val="00BF13C8"/>
    <w:rsid w:val="00BF1706"/>
    <w:rsid w:val="00BF17C6"/>
    <w:rsid w:val="00BF22D9"/>
    <w:rsid w:val="00BF29B2"/>
    <w:rsid w:val="00BF5E08"/>
    <w:rsid w:val="00BF62E6"/>
    <w:rsid w:val="00BF638B"/>
    <w:rsid w:val="00BF63FD"/>
    <w:rsid w:val="00BF689A"/>
    <w:rsid w:val="00BF6CBA"/>
    <w:rsid w:val="00BF6CF7"/>
    <w:rsid w:val="00BF7689"/>
    <w:rsid w:val="00BF7722"/>
    <w:rsid w:val="00C000F2"/>
    <w:rsid w:val="00C00990"/>
    <w:rsid w:val="00C00BAF"/>
    <w:rsid w:val="00C00FA5"/>
    <w:rsid w:val="00C01452"/>
    <w:rsid w:val="00C01B35"/>
    <w:rsid w:val="00C02195"/>
    <w:rsid w:val="00C02397"/>
    <w:rsid w:val="00C02ACF"/>
    <w:rsid w:val="00C02C33"/>
    <w:rsid w:val="00C0316E"/>
    <w:rsid w:val="00C0560C"/>
    <w:rsid w:val="00C0673A"/>
    <w:rsid w:val="00C06E5D"/>
    <w:rsid w:val="00C06F21"/>
    <w:rsid w:val="00C07236"/>
    <w:rsid w:val="00C0781D"/>
    <w:rsid w:val="00C07843"/>
    <w:rsid w:val="00C07AAF"/>
    <w:rsid w:val="00C07B9E"/>
    <w:rsid w:val="00C07C5C"/>
    <w:rsid w:val="00C1064D"/>
    <w:rsid w:val="00C106A3"/>
    <w:rsid w:val="00C10B2C"/>
    <w:rsid w:val="00C1104A"/>
    <w:rsid w:val="00C11082"/>
    <w:rsid w:val="00C114AD"/>
    <w:rsid w:val="00C114B4"/>
    <w:rsid w:val="00C116B1"/>
    <w:rsid w:val="00C1182D"/>
    <w:rsid w:val="00C119BC"/>
    <w:rsid w:val="00C121E8"/>
    <w:rsid w:val="00C127F5"/>
    <w:rsid w:val="00C12EBA"/>
    <w:rsid w:val="00C13A0C"/>
    <w:rsid w:val="00C13B34"/>
    <w:rsid w:val="00C1438D"/>
    <w:rsid w:val="00C14897"/>
    <w:rsid w:val="00C156D3"/>
    <w:rsid w:val="00C166E7"/>
    <w:rsid w:val="00C16B62"/>
    <w:rsid w:val="00C175D7"/>
    <w:rsid w:val="00C17600"/>
    <w:rsid w:val="00C17E38"/>
    <w:rsid w:val="00C2010C"/>
    <w:rsid w:val="00C2017D"/>
    <w:rsid w:val="00C20639"/>
    <w:rsid w:val="00C237BE"/>
    <w:rsid w:val="00C23EEF"/>
    <w:rsid w:val="00C24412"/>
    <w:rsid w:val="00C254DF"/>
    <w:rsid w:val="00C25911"/>
    <w:rsid w:val="00C25BC8"/>
    <w:rsid w:val="00C260C2"/>
    <w:rsid w:val="00C2634F"/>
    <w:rsid w:val="00C26D23"/>
    <w:rsid w:val="00C272FF"/>
    <w:rsid w:val="00C276BB"/>
    <w:rsid w:val="00C27D6B"/>
    <w:rsid w:val="00C27DE2"/>
    <w:rsid w:val="00C30677"/>
    <w:rsid w:val="00C31011"/>
    <w:rsid w:val="00C31A6B"/>
    <w:rsid w:val="00C31A7E"/>
    <w:rsid w:val="00C31B13"/>
    <w:rsid w:val="00C331FC"/>
    <w:rsid w:val="00C33729"/>
    <w:rsid w:val="00C3402B"/>
    <w:rsid w:val="00C3419D"/>
    <w:rsid w:val="00C34541"/>
    <w:rsid w:val="00C3501D"/>
    <w:rsid w:val="00C364E2"/>
    <w:rsid w:val="00C372CE"/>
    <w:rsid w:val="00C378FC"/>
    <w:rsid w:val="00C37EE0"/>
    <w:rsid w:val="00C401A4"/>
    <w:rsid w:val="00C404FA"/>
    <w:rsid w:val="00C4053D"/>
    <w:rsid w:val="00C407AC"/>
    <w:rsid w:val="00C407FB"/>
    <w:rsid w:val="00C40875"/>
    <w:rsid w:val="00C40C16"/>
    <w:rsid w:val="00C40C6E"/>
    <w:rsid w:val="00C41319"/>
    <w:rsid w:val="00C418E8"/>
    <w:rsid w:val="00C41C39"/>
    <w:rsid w:val="00C41D71"/>
    <w:rsid w:val="00C4235F"/>
    <w:rsid w:val="00C43ACE"/>
    <w:rsid w:val="00C44B08"/>
    <w:rsid w:val="00C4511A"/>
    <w:rsid w:val="00C4520B"/>
    <w:rsid w:val="00C452E1"/>
    <w:rsid w:val="00C46618"/>
    <w:rsid w:val="00C46DD2"/>
    <w:rsid w:val="00C470BC"/>
    <w:rsid w:val="00C50314"/>
    <w:rsid w:val="00C50E0E"/>
    <w:rsid w:val="00C50E54"/>
    <w:rsid w:val="00C51CBE"/>
    <w:rsid w:val="00C53736"/>
    <w:rsid w:val="00C5377D"/>
    <w:rsid w:val="00C5385C"/>
    <w:rsid w:val="00C548A9"/>
    <w:rsid w:val="00C54E9D"/>
    <w:rsid w:val="00C54F26"/>
    <w:rsid w:val="00C55858"/>
    <w:rsid w:val="00C55ABE"/>
    <w:rsid w:val="00C55D60"/>
    <w:rsid w:val="00C56289"/>
    <w:rsid w:val="00C56748"/>
    <w:rsid w:val="00C571BA"/>
    <w:rsid w:val="00C574F3"/>
    <w:rsid w:val="00C57CDD"/>
    <w:rsid w:val="00C57CF6"/>
    <w:rsid w:val="00C601B1"/>
    <w:rsid w:val="00C6037C"/>
    <w:rsid w:val="00C6094B"/>
    <w:rsid w:val="00C60F65"/>
    <w:rsid w:val="00C61355"/>
    <w:rsid w:val="00C6160B"/>
    <w:rsid w:val="00C61646"/>
    <w:rsid w:val="00C617D8"/>
    <w:rsid w:val="00C6236D"/>
    <w:rsid w:val="00C63568"/>
    <w:rsid w:val="00C63AB0"/>
    <w:rsid w:val="00C64121"/>
    <w:rsid w:val="00C64554"/>
    <w:rsid w:val="00C65974"/>
    <w:rsid w:val="00C65AFD"/>
    <w:rsid w:val="00C661B7"/>
    <w:rsid w:val="00C6625C"/>
    <w:rsid w:val="00C665E8"/>
    <w:rsid w:val="00C66922"/>
    <w:rsid w:val="00C70468"/>
    <w:rsid w:val="00C704A5"/>
    <w:rsid w:val="00C708C9"/>
    <w:rsid w:val="00C71866"/>
    <w:rsid w:val="00C728E2"/>
    <w:rsid w:val="00C7304E"/>
    <w:rsid w:val="00C733B0"/>
    <w:rsid w:val="00C73757"/>
    <w:rsid w:val="00C74656"/>
    <w:rsid w:val="00C74680"/>
    <w:rsid w:val="00C747CE"/>
    <w:rsid w:val="00C74B80"/>
    <w:rsid w:val="00C7539D"/>
    <w:rsid w:val="00C7663D"/>
    <w:rsid w:val="00C7769C"/>
    <w:rsid w:val="00C77BA4"/>
    <w:rsid w:val="00C802E3"/>
    <w:rsid w:val="00C805FE"/>
    <w:rsid w:val="00C808F1"/>
    <w:rsid w:val="00C80E3F"/>
    <w:rsid w:val="00C81651"/>
    <w:rsid w:val="00C82D97"/>
    <w:rsid w:val="00C836A8"/>
    <w:rsid w:val="00C83DA7"/>
    <w:rsid w:val="00C84023"/>
    <w:rsid w:val="00C84D5E"/>
    <w:rsid w:val="00C867A2"/>
    <w:rsid w:val="00C86995"/>
    <w:rsid w:val="00C8722D"/>
    <w:rsid w:val="00C8744F"/>
    <w:rsid w:val="00C87475"/>
    <w:rsid w:val="00C878DA"/>
    <w:rsid w:val="00C879DB"/>
    <w:rsid w:val="00C87B31"/>
    <w:rsid w:val="00C90FE4"/>
    <w:rsid w:val="00C9100A"/>
    <w:rsid w:val="00C9130E"/>
    <w:rsid w:val="00C91F2C"/>
    <w:rsid w:val="00C9229C"/>
    <w:rsid w:val="00C9389F"/>
    <w:rsid w:val="00C957CD"/>
    <w:rsid w:val="00C960B9"/>
    <w:rsid w:val="00CA0423"/>
    <w:rsid w:val="00CA1AA5"/>
    <w:rsid w:val="00CA1CB0"/>
    <w:rsid w:val="00CA32B7"/>
    <w:rsid w:val="00CA3355"/>
    <w:rsid w:val="00CA3A4E"/>
    <w:rsid w:val="00CA3ADB"/>
    <w:rsid w:val="00CA3C0E"/>
    <w:rsid w:val="00CA40C0"/>
    <w:rsid w:val="00CA43B5"/>
    <w:rsid w:val="00CA4CE5"/>
    <w:rsid w:val="00CA5178"/>
    <w:rsid w:val="00CA621E"/>
    <w:rsid w:val="00CB0780"/>
    <w:rsid w:val="00CB07A1"/>
    <w:rsid w:val="00CB086D"/>
    <w:rsid w:val="00CB0D4A"/>
    <w:rsid w:val="00CB1B5A"/>
    <w:rsid w:val="00CB2240"/>
    <w:rsid w:val="00CB2427"/>
    <w:rsid w:val="00CB2452"/>
    <w:rsid w:val="00CB24C9"/>
    <w:rsid w:val="00CB307A"/>
    <w:rsid w:val="00CB3223"/>
    <w:rsid w:val="00CB3D3D"/>
    <w:rsid w:val="00CB40A5"/>
    <w:rsid w:val="00CB46D8"/>
    <w:rsid w:val="00CB4932"/>
    <w:rsid w:val="00CB49BA"/>
    <w:rsid w:val="00CB49D7"/>
    <w:rsid w:val="00CB4B99"/>
    <w:rsid w:val="00CB58AA"/>
    <w:rsid w:val="00CB5983"/>
    <w:rsid w:val="00CB598D"/>
    <w:rsid w:val="00CB623B"/>
    <w:rsid w:val="00CB6515"/>
    <w:rsid w:val="00CB690F"/>
    <w:rsid w:val="00CB6C7C"/>
    <w:rsid w:val="00CB7401"/>
    <w:rsid w:val="00CB779A"/>
    <w:rsid w:val="00CB79DD"/>
    <w:rsid w:val="00CC0546"/>
    <w:rsid w:val="00CC06C3"/>
    <w:rsid w:val="00CC0D29"/>
    <w:rsid w:val="00CC208F"/>
    <w:rsid w:val="00CC22F5"/>
    <w:rsid w:val="00CC2F85"/>
    <w:rsid w:val="00CC341F"/>
    <w:rsid w:val="00CC35F3"/>
    <w:rsid w:val="00CC3B25"/>
    <w:rsid w:val="00CC3E5C"/>
    <w:rsid w:val="00CC4386"/>
    <w:rsid w:val="00CC4C1E"/>
    <w:rsid w:val="00CC4E36"/>
    <w:rsid w:val="00CC50CE"/>
    <w:rsid w:val="00CC5132"/>
    <w:rsid w:val="00CC52BA"/>
    <w:rsid w:val="00CC53FC"/>
    <w:rsid w:val="00CC555A"/>
    <w:rsid w:val="00CC55EF"/>
    <w:rsid w:val="00CC5991"/>
    <w:rsid w:val="00CC66EE"/>
    <w:rsid w:val="00CC6FC6"/>
    <w:rsid w:val="00CC77EE"/>
    <w:rsid w:val="00CC7C47"/>
    <w:rsid w:val="00CC7DCC"/>
    <w:rsid w:val="00CC7FEA"/>
    <w:rsid w:val="00CD03BC"/>
    <w:rsid w:val="00CD0A0A"/>
    <w:rsid w:val="00CD256F"/>
    <w:rsid w:val="00CD361D"/>
    <w:rsid w:val="00CD3692"/>
    <w:rsid w:val="00CD44E8"/>
    <w:rsid w:val="00CD4E6F"/>
    <w:rsid w:val="00CD5028"/>
    <w:rsid w:val="00CD652B"/>
    <w:rsid w:val="00CD6A92"/>
    <w:rsid w:val="00CD7621"/>
    <w:rsid w:val="00CD7769"/>
    <w:rsid w:val="00CE085C"/>
    <w:rsid w:val="00CE0C09"/>
    <w:rsid w:val="00CE0CE1"/>
    <w:rsid w:val="00CE0DBD"/>
    <w:rsid w:val="00CE1C02"/>
    <w:rsid w:val="00CE2AC4"/>
    <w:rsid w:val="00CE3456"/>
    <w:rsid w:val="00CE355F"/>
    <w:rsid w:val="00CE37E2"/>
    <w:rsid w:val="00CE3AD4"/>
    <w:rsid w:val="00CE4CA9"/>
    <w:rsid w:val="00CE594E"/>
    <w:rsid w:val="00CE66C3"/>
    <w:rsid w:val="00CE6878"/>
    <w:rsid w:val="00CE75EA"/>
    <w:rsid w:val="00CE7D06"/>
    <w:rsid w:val="00CF0CCE"/>
    <w:rsid w:val="00CF288E"/>
    <w:rsid w:val="00CF3B36"/>
    <w:rsid w:val="00CF3C59"/>
    <w:rsid w:val="00CF459F"/>
    <w:rsid w:val="00CF47D1"/>
    <w:rsid w:val="00CF4C31"/>
    <w:rsid w:val="00CF56EA"/>
    <w:rsid w:val="00CF5D78"/>
    <w:rsid w:val="00CF6396"/>
    <w:rsid w:val="00CF6C30"/>
    <w:rsid w:val="00CF6DB2"/>
    <w:rsid w:val="00CF6EF2"/>
    <w:rsid w:val="00CF788A"/>
    <w:rsid w:val="00CF7D67"/>
    <w:rsid w:val="00D01BDB"/>
    <w:rsid w:val="00D01C91"/>
    <w:rsid w:val="00D023E7"/>
    <w:rsid w:val="00D02A02"/>
    <w:rsid w:val="00D038E6"/>
    <w:rsid w:val="00D03C3B"/>
    <w:rsid w:val="00D04529"/>
    <w:rsid w:val="00D045DA"/>
    <w:rsid w:val="00D04E96"/>
    <w:rsid w:val="00D055EC"/>
    <w:rsid w:val="00D06017"/>
    <w:rsid w:val="00D068A4"/>
    <w:rsid w:val="00D07533"/>
    <w:rsid w:val="00D07DC6"/>
    <w:rsid w:val="00D10650"/>
    <w:rsid w:val="00D10906"/>
    <w:rsid w:val="00D11370"/>
    <w:rsid w:val="00D115E3"/>
    <w:rsid w:val="00D1175F"/>
    <w:rsid w:val="00D11F22"/>
    <w:rsid w:val="00D12369"/>
    <w:rsid w:val="00D12771"/>
    <w:rsid w:val="00D129B1"/>
    <w:rsid w:val="00D12F9D"/>
    <w:rsid w:val="00D1362F"/>
    <w:rsid w:val="00D13964"/>
    <w:rsid w:val="00D13F57"/>
    <w:rsid w:val="00D14443"/>
    <w:rsid w:val="00D14813"/>
    <w:rsid w:val="00D156F0"/>
    <w:rsid w:val="00D15724"/>
    <w:rsid w:val="00D158F3"/>
    <w:rsid w:val="00D15D7F"/>
    <w:rsid w:val="00D16469"/>
    <w:rsid w:val="00D1664E"/>
    <w:rsid w:val="00D16E95"/>
    <w:rsid w:val="00D20242"/>
    <w:rsid w:val="00D2070C"/>
    <w:rsid w:val="00D207C8"/>
    <w:rsid w:val="00D20B88"/>
    <w:rsid w:val="00D2185F"/>
    <w:rsid w:val="00D21A83"/>
    <w:rsid w:val="00D221B1"/>
    <w:rsid w:val="00D2245F"/>
    <w:rsid w:val="00D22A10"/>
    <w:rsid w:val="00D22A8F"/>
    <w:rsid w:val="00D2301C"/>
    <w:rsid w:val="00D23892"/>
    <w:rsid w:val="00D2468C"/>
    <w:rsid w:val="00D250C5"/>
    <w:rsid w:val="00D2545F"/>
    <w:rsid w:val="00D269A4"/>
    <w:rsid w:val="00D26BFC"/>
    <w:rsid w:val="00D2711F"/>
    <w:rsid w:val="00D27173"/>
    <w:rsid w:val="00D2753D"/>
    <w:rsid w:val="00D27967"/>
    <w:rsid w:val="00D27E7E"/>
    <w:rsid w:val="00D30314"/>
    <w:rsid w:val="00D312CD"/>
    <w:rsid w:val="00D31B94"/>
    <w:rsid w:val="00D31DFD"/>
    <w:rsid w:val="00D321E0"/>
    <w:rsid w:val="00D32538"/>
    <w:rsid w:val="00D32569"/>
    <w:rsid w:val="00D32C9F"/>
    <w:rsid w:val="00D32FD7"/>
    <w:rsid w:val="00D33199"/>
    <w:rsid w:val="00D3391F"/>
    <w:rsid w:val="00D34B2C"/>
    <w:rsid w:val="00D34BDC"/>
    <w:rsid w:val="00D35236"/>
    <w:rsid w:val="00D3558E"/>
    <w:rsid w:val="00D3559D"/>
    <w:rsid w:val="00D35E69"/>
    <w:rsid w:val="00D35FA9"/>
    <w:rsid w:val="00D36290"/>
    <w:rsid w:val="00D3633C"/>
    <w:rsid w:val="00D36734"/>
    <w:rsid w:val="00D36ABE"/>
    <w:rsid w:val="00D3783D"/>
    <w:rsid w:val="00D37C6D"/>
    <w:rsid w:val="00D4010E"/>
    <w:rsid w:val="00D40927"/>
    <w:rsid w:val="00D40B78"/>
    <w:rsid w:val="00D42DCC"/>
    <w:rsid w:val="00D42DFC"/>
    <w:rsid w:val="00D43D98"/>
    <w:rsid w:val="00D43E0E"/>
    <w:rsid w:val="00D443FC"/>
    <w:rsid w:val="00D4441C"/>
    <w:rsid w:val="00D4453A"/>
    <w:rsid w:val="00D47B01"/>
    <w:rsid w:val="00D511DB"/>
    <w:rsid w:val="00D52720"/>
    <w:rsid w:val="00D53631"/>
    <w:rsid w:val="00D53FDC"/>
    <w:rsid w:val="00D54702"/>
    <w:rsid w:val="00D5492A"/>
    <w:rsid w:val="00D54F5A"/>
    <w:rsid w:val="00D560C8"/>
    <w:rsid w:val="00D562FA"/>
    <w:rsid w:val="00D568BC"/>
    <w:rsid w:val="00D56BA7"/>
    <w:rsid w:val="00D57566"/>
    <w:rsid w:val="00D600FB"/>
    <w:rsid w:val="00D60273"/>
    <w:rsid w:val="00D6036F"/>
    <w:rsid w:val="00D604E0"/>
    <w:rsid w:val="00D6081F"/>
    <w:rsid w:val="00D60F88"/>
    <w:rsid w:val="00D61D07"/>
    <w:rsid w:val="00D61F21"/>
    <w:rsid w:val="00D625B7"/>
    <w:rsid w:val="00D62701"/>
    <w:rsid w:val="00D62839"/>
    <w:rsid w:val="00D62A19"/>
    <w:rsid w:val="00D62B02"/>
    <w:rsid w:val="00D62CD0"/>
    <w:rsid w:val="00D6397A"/>
    <w:rsid w:val="00D63C46"/>
    <w:rsid w:val="00D6400A"/>
    <w:rsid w:val="00D64977"/>
    <w:rsid w:val="00D65155"/>
    <w:rsid w:val="00D651A3"/>
    <w:rsid w:val="00D65241"/>
    <w:rsid w:val="00D656E5"/>
    <w:rsid w:val="00D660A8"/>
    <w:rsid w:val="00D66254"/>
    <w:rsid w:val="00D6644E"/>
    <w:rsid w:val="00D664C3"/>
    <w:rsid w:val="00D66C8F"/>
    <w:rsid w:val="00D675D7"/>
    <w:rsid w:val="00D676AE"/>
    <w:rsid w:val="00D67819"/>
    <w:rsid w:val="00D67E48"/>
    <w:rsid w:val="00D67ED1"/>
    <w:rsid w:val="00D707DF"/>
    <w:rsid w:val="00D711B9"/>
    <w:rsid w:val="00D71ADF"/>
    <w:rsid w:val="00D720C0"/>
    <w:rsid w:val="00D72E4E"/>
    <w:rsid w:val="00D74BE3"/>
    <w:rsid w:val="00D76336"/>
    <w:rsid w:val="00D768D7"/>
    <w:rsid w:val="00D77554"/>
    <w:rsid w:val="00D81B47"/>
    <w:rsid w:val="00D825DF"/>
    <w:rsid w:val="00D83223"/>
    <w:rsid w:val="00D83354"/>
    <w:rsid w:val="00D838FA"/>
    <w:rsid w:val="00D84C52"/>
    <w:rsid w:val="00D85203"/>
    <w:rsid w:val="00D85571"/>
    <w:rsid w:val="00D85825"/>
    <w:rsid w:val="00D85919"/>
    <w:rsid w:val="00D85A86"/>
    <w:rsid w:val="00D86621"/>
    <w:rsid w:val="00D87F65"/>
    <w:rsid w:val="00D902EB"/>
    <w:rsid w:val="00D909A0"/>
    <w:rsid w:val="00D91909"/>
    <w:rsid w:val="00D91DBF"/>
    <w:rsid w:val="00D91FAE"/>
    <w:rsid w:val="00D93269"/>
    <w:rsid w:val="00D93B4F"/>
    <w:rsid w:val="00D942C2"/>
    <w:rsid w:val="00D9446F"/>
    <w:rsid w:val="00D9449A"/>
    <w:rsid w:val="00D94A05"/>
    <w:rsid w:val="00D9582F"/>
    <w:rsid w:val="00D95881"/>
    <w:rsid w:val="00D95930"/>
    <w:rsid w:val="00D9612A"/>
    <w:rsid w:val="00D961D5"/>
    <w:rsid w:val="00D9655C"/>
    <w:rsid w:val="00D96769"/>
    <w:rsid w:val="00D97937"/>
    <w:rsid w:val="00D97A63"/>
    <w:rsid w:val="00DA01F8"/>
    <w:rsid w:val="00DA1013"/>
    <w:rsid w:val="00DA176A"/>
    <w:rsid w:val="00DA205B"/>
    <w:rsid w:val="00DA2325"/>
    <w:rsid w:val="00DA2C13"/>
    <w:rsid w:val="00DA3441"/>
    <w:rsid w:val="00DA3E0F"/>
    <w:rsid w:val="00DA4733"/>
    <w:rsid w:val="00DA4E41"/>
    <w:rsid w:val="00DA5106"/>
    <w:rsid w:val="00DA62F6"/>
    <w:rsid w:val="00DA6CFD"/>
    <w:rsid w:val="00DA7335"/>
    <w:rsid w:val="00DA7EDB"/>
    <w:rsid w:val="00DB02D3"/>
    <w:rsid w:val="00DB097E"/>
    <w:rsid w:val="00DB12EF"/>
    <w:rsid w:val="00DB175A"/>
    <w:rsid w:val="00DB31C6"/>
    <w:rsid w:val="00DB31F3"/>
    <w:rsid w:val="00DB5627"/>
    <w:rsid w:val="00DB60F7"/>
    <w:rsid w:val="00DB60FC"/>
    <w:rsid w:val="00DB6C5C"/>
    <w:rsid w:val="00DC03DC"/>
    <w:rsid w:val="00DC0887"/>
    <w:rsid w:val="00DC11C7"/>
    <w:rsid w:val="00DC1354"/>
    <w:rsid w:val="00DC1457"/>
    <w:rsid w:val="00DC1D9D"/>
    <w:rsid w:val="00DC1DB1"/>
    <w:rsid w:val="00DC1FC9"/>
    <w:rsid w:val="00DC2397"/>
    <w:rsid w:val="00DC2C0B"/>
    <w:rsid w:val="00DC2EE4"/>
    <w:rsid w:val="00DC2F53"/>
    <w:rsid w:val="00DC3499"/>
    <w:rsid w:val="00DC3754"/>
    <w:rsid w:val="00DC37C9"/>
    <w:rsid w:val="00DC391E"/>
    <w:rsid w:val="00DC4E22"/>
    <w:rsid w:val="00DC5383"/>
    <w:rsid w:val="00DC5B1B"/>
    <w:rsid w:val="00DC721C"/>
    <w:rsid w:val="00DD03C4"/>
    <w:rsid w:val="00DD110D"/>
    <w:rsid w:val="00DD20D4"/>
    <w:rsid w:val="00DD2C8F"/>
    <w:rsid w:val="00DD2DFC"/>
    <w:rsid w:val="00DD2E1D"/>
    <w:rsid w:val="00DD30AD"/>
    <w:rsid w:val="00DD3CD5"/>
    <w:rsid w:val="00DD42B4"/>
    <w:rsid w:val="00DD48C0"/>
    <w:rsid w:val="00DD49B1"/>
    <w:rsid w:val="00DD516C"/>
    <w:rsid w:val="00DD516F"/>
    <w:rsid w:val="00DD53DC"/>
    <w:rsid w:val="00DD5699"/>
    <w:rsid w:val="00DD59F8"/>
    <w:rsid w:val="00DD5B78"/>
    <w:rsid w:val="00DD5EEE"/>
    <w:rsid w:val="00DD5F2E"/>
    <w:rsid w:val="00DD6266"/>
    <w:rsid w:val="00DD6CCB"/>
    <w:rsid w:val="00DD747A"/>
    <w:rsid w:val="00DD7EFF"/>
    <w:rsid w:val="00DE0025"/>
    <w:rsid w:val="00DE05AE"/>
    <w:rsid w:val="00DE0C0B"/>
    <w:rsid w:val="00DE0F08"/>
    <w:rsid w:val="00DE13D8"/>
    <w:rsid w:val="00DE18A1"/>
    <w:rsid w:val="00DE2092"/>
    <w:rsid w:val="00DE2B5D"/>
    <w:rsid w:val="00DE3546"/>
    <w:rsid w:val="00DE363F"/>
    <w:rsid w:val="00DE3865"/>
    <w:rsid w:val="00DE40F8"/>
    <w:rsid w:val="00DE4172"/>
    <w:rsid w:val="00DE473E"/>
    <w:rsid w:val="00DE4CAA"/>
    <w:rsid w:val="00DE59AC"/>
    <w:rsid w:val="00DE5A55"/>
    <w:rsid w:val="00DE5C18"/>
    <w:rsid w:val="00DE6217"/>
    <w:rsid w:val="00DE799E"/>
    <w:rsid w:val="00DE7B46"/>
    <w:rsid w:val="00DE7FA7"/>
    <w:rsid w:val="00DF016A"/>
    <w:rsid w:val="00DF21BF"/>
    <w:rsid w:val="00DF3894"/>
    <w:rsid w:val="00DF3BBE"/>
    <w:rsid w:val="00DF4251"/>
    <w:rsid w:val="00DF4722"/>
    <w:rsid w:val="00DF4A10"/>
    <w:rsid w:val="00DF4D83"/>
    <w:rsid w:val="00DF5961"/>
    <w:rsid w:val="00DF5B62"/>
    <w:rsid w:val="00DF5F48"/>
    <w:rsid w:val="00DF61C3"/>
    <w:rsid w:val="00E00221"/>
    <w:rsid w:val="00E002CE"/>
    <w:rsid w:val="00E003EE"/>
    <w:rsid w:val="00E00560"/>
    <w:rsid w:val="00E00601"/>
    <w:rsid w:val="00E00F30"/>
    <w:rsid w:val="00E016DA"/>
    <w:rsid w:val="00E02C37"/>
    <w:rsid w:val="00E02EBE"/>
    <w:rsid w:val="00E0328A"/>
    <w:rsid w:val="00E037D9"/>
    <w:rsid w:val="00E03A0F"/>
    <w:rsid w:val="00E040C2"/>
    <w:rsid w:val="00E04F1A"/>
    <w:rsid w:val="00E05EFE"/>
    <w:rsid w:val="00E06A52"/>
    <w:rsid w:val="00E06B1C"/>
    <w:rsid w:val="00E06C6C"/>
    <w:rsid w:val="00E07058"/>
    <w:rsid w:val="00E0716A"/>
    <w:rsid w:val="00E1108C"/>
    <w:rsid w:val="00E1124E"/>
    <w:rsid w:val="00E11B15"/>
    <w:rsid w:val="00E11C71"/>
    <w:rsid w:val="00E14195"/>
    <w:rsid w:val="00E145BA"/>
    <w:rsid w:val="00E14610"/>
    <w:rsid w:val="00E14A16"/>
    <w:rsid w:val="00E15146"/>
    <w:rsid w:val="00E15AFF"/>
    <w:rsid w:val="00E15F1E"/>
    <w:rsid w:val="00E17209"/>
    <w:rsid w:val="00E1724E"/>
    <w:rsid w:val="00E1761A"/>
    <w:rsid w:val="00E176E3"/>
    <w:rsid w:val="00E20089"/>
    <w:rsid w:val="00E2055E"/>
    <w:rsid w:val="00E206DE"/>
    <w:rsid w:val="00E223E5"/>
    <w:rsid w:val="00E227B8"/>
    <w:rsid w:val="00E22B13"/>
    <w:rsid w:val="00E22CEC"/>
    <w:rsid w:val="00E23D54"/>
    <w:rsid w:val="00E23EC8"/>
    <w:rsid w:val="00E23F81"/>
    <w:rsid w:val="00E24100"/>
    <w:rsid w:val="00E241CD"/>
    <w:rsid w:val="00E244D0"/>
    <w:rsid w:val="00E24803"/>
    <w:rsid w:val="00E25FF5"/>
    <w:rsid w:val="00E26799"/>
    <w:rsid w:val="00E26B03"/>
    <w:rsid w:val="00E26F72"/>
    <w:rsid w:val="00E271CD"/>
    <w:rsid w:val="00E277EF"/>
    <w:rsid w:val="00E27DE4"/>
    <w:rsid w:val="00E27F4F"/>
    <w:rsid w:val="00E30660"/>
    <w:rsid w:val="00E31540"/>
    <w:rsid w:val="00E319A2"/>
    <w:rsid w:val="00E31BE5"/>
    <w:rsid w:val="00E31D89"/>
    <w:rsid w:val="00E31FA6"/>
    <w:rsid w:val="00E32261"/>
    <w:rsid w:val="00E32484"/>
    <w:rsid w:val="00E329D9"/>
    <w:rsid w:val="00E32EAE"/>
    <w:rsid w:val="00E338AD"/>
    <w:rsid w:val="00E3393B"/>
    <w:rsid w:val="00E33E49"/>
    <w:rsid w:val="00E34227"/>
    <w:rsid w:val="00E34E3B"/>
    <w:rsid w:val="00E3597F"/>
    <w:rsid w:val="00E35E4D"/>
    <w:rsid w:val="00E3798B"/>
    <w:rsid w:val="00E37AD8"/>
    <w:rsid w:val="00E4049C"/>
    <w:rsid w:val="00E404C1"/>
    <w:rsid w:val="00E41B0C"/>
    <w:rsid w:val="00E4292A"/>
    <w:rsid w:val="00E42B14"/>
    <w:rsid w:val="00E43CD9"/>
    <w:rsid w:val="00E44CFC"/>
    <w:rsid w:val="00E45170"/>
    <w:rsid w:val="00E4552D"/>
    <w:rsid w:val="00E45F96"/>
    <w:rsid w:val="00E462FF"/>
    <w:rsid w:val="00E501AA"/>
    <w:rsid w:val="00E51022"/>
    <w:rsid w:val="00E51763"/>
    <w:rsid w:val="00E5185B"/>
    <w:rsid w:val="00E51944"/>
    <w:rsid w:val="00E51CCC"/>
    <w:rsid w:val="00E527BA"/>
    <w:rsid w:val="00E52C9A"/>
    <w:rsid w:val="00E53CD8"/>
    <w:rsid w:val="00E53F40"/>
    <w:rsid w:val="00E54498"/>
    <w:rsid w:val="00E55454"/>
    <w:rsid w:val="00E55CDF"/>
    <w:rsid w:val="00E55E88"/>
    <w:rsid w:val="00E56BD7"/>
    <w:rsid w:val="00E56F9C"/>
    <w:rsid w:val="00E57223"/>
    <w:rsid w:val="00E61626"/>
    <w:rsid w:val="00E617C4"/>
    <w:rsid w:val="00E62FB8"/>
    <w:rsid w:val="00E633E8"/>
    <w:rsid w:val="00E6457B"/>
    <w:rsid w:val="00E64851"/>
    <w:rsid w:val="00E65014"/>
    <w:rsid w:val="00E66EDD"/>
    <w:rsid w:val="00E6767D"/>
    <w:rsid w:val="00E6776F"/>
    <w:rsid w:val="00E6782D"/>
    <w:rsid w:val="00E70043"/>
    <w:rsid w:val="00E70265"/>
    <w:rsid w:val="00E70D26"/>
    <w:rsid w:val="00E7120A"/>
    <w:rsid w:val="00E7159C"/>
    <w:rsid w:val="00E72552"/>
    <w:rsid w:val="00E72801"/>
    <w:rsid w:val="00E72B2E"/>
    <w:rsid w:val="00E735E5"/>
    <w:rsid w:val="00E738C4"/>
    <w:rsid w:val="00E73C14"/>
    <w:rsid w:val="00E742B6"/>
    <w:rsid w:val="00E74529"/>
    <w:rsid w:val="00E750A9"/>
    <w:rsid w:val="00E752B6"/>
    <w:rsid w:val="00E7636F"/>
    <w:rsid w:val="00E76DFD"/>
    <w:rsid w:val="00E80294"/>
    <w:rsid w:val="00E805DB"/>
    <w:rsid w:val="00E810B5"/>
    <w:rsid w:val="00E812E1"/>
    <w:rsid w:val="00E81878"/>
    <w:rsid w:val="00E81E33"/>
    <w:rsid w:val="00E820A8"/>
    <w:rsid w:val="00E83348"/>
    <w:rsid w:val="00E83397"/>
    <w:rsid w:val="00E837CB"/>
    <w:rsid w:val="00E83B3F"/>
    <w:rsid w:val="00E83D16"/>
    <w:rsid w:val="00E8453D"/>
    <w:rsid w:val="00E849E5"/>
    <w:rsid w:val="00E84B7F"/>
    <w:rsid w:val="00E86328"/>
    <w:rsid w:val="00E86D5B"/>
    <w:rsid w:val="00E8761E"/>
    <w:rsid w:val="00E90935"/>
    <w:rsid w:val="00E90A34"/>
    <w:rsid w:val="00E90D70"/>
    <w:rsid w:val="00E918B4"/>
    <w:rsid w:val="00E92BF1"/>
    <w:rsid w:val="00E92E70"/>
    <w:rsid w:val="00E93753"/>
    <w:rsid w:val="00E93BCE"/>
    <w:rsid w:val="00E94C12"/>
    <w:rsid w:val="00E94D17"/>
    <w:rsid w:val="00E95475"/>
    <w:rsid w:val="00E9601E"/>
    <w:rsid w:val="00E96266"/>
    <w:rsid w:val="00E96A36"/>
    <w:rsid w:val="00E970AF"/>
    <w:rsid w:val="00E973BE"/>
    <w:rsid w:val="00E97D4C"/>
    <w:rsid w:val="00E97FBA"/>
    <w:rsid w:val="00EA0154"/>
    <w:rsid w:val="00EA0470"/>
    <w:rsid w:val="00EA0896"/>
    <w:rsid w:val="00EA08F0"/>
    <w:rsid w:val="00EA1178"/>
    <w:rsid w:val="00EA19F6"/>
    <w:rsid w:val="00EA1BFA"/>
    <w:rsid w:val="00EA23AC"/>
    <w:rsid w:val="00EA278C"/>
    <w:rsid w:val="00EA2B3B"/>
    <w:rsid w:val="00EA3260"/>
    <w:rsid w:val="00EA3EB2"/>
    <w:rsid w:val="00EA431E"/>
    <w:rsid w:val="00EA4685"/>
    <w:rsid w:val="00EA4B21"/>
    <w:rsid w:val="00EA5C7B"/>
    <w:rsid w:val="00EA60F8"/>
    <w:rsid w:val="00EA6946"/>
    <w:rsid w:val="00EA69FD"/>
    <w:rsid w:val="00EA6A36"/>
    <w:rsid w:val="00EA6A47"/>
    <w:rsid w:val="00EA6C1C"/>
    <w:rsid w:val="00EA6D86"/>
    <w:rsid w:val="00EA7716"/>
    <w:rsid w:val="00EA7D0F"/>
    <w:rsid w:val="00EB01A0"/>
    <w:rsid w:val="00EB0229"/>
    <w:rsid w:val="00EB02E8"/>
    <w:rsid w:val="00EB1103"/>
    <w:rsid w:val="00EB12E9"/>
    <w:rsid w:val="00EB28FE"/>
    <w:rsid w:val="00EB3627"/>
    <w:rsid w:val="00EB381D"/>
    <w:rsid w:val="00EB3AAC"/>
    <w:rsid w:val="00EB3E77"/>
    <w:rsid w:val="00EB4397"/>
    <w:rsid w:val="00EB4829"/>
    <w:rsid w:val="00EB4A10"/>
    <w:rsid w:val="00EB4DCE"/>
    <w:rsid w:val="00EB4E46"/>
    <w:rsid w:val="00EB4F5A"/>
    <w:rsid w:val="00EB5ABC"/>
    <w:rsid w:val="00EB5CCA"/>
    <w:rsid w:val="00EB64E9"/>
    <w:rsid w:val="00EB68F9"/>
    <w:rsid w:val="00EB6922"/>
    <w:rsid w:val="00EB73A3"/>
    <w:rsid w:val="00EB7488"/>
    <w:rsid w:val="00EB7A52"/>
    <w:rsid w:val="00EC07A8"/>
    <w:rsid w:val="00EC0A8F"/>
    <w:rsid w:val="00EC1A51"/>
    <w:rsid w:val="00EC1EEE"/>
    <w:rsid w:val="00EC41E9"/>
    <w:rsid w:val="00EC4310"/>
    <w:rsid w:val="00EC4B36"/>
    <w:rsid w:val="00EC4CEE"/>
    <w:rsid w:val="00EC5344"/>
    <w:rsid w:val="00EC5A71"/>
    <w:rsid w:val="00EC5D6C"/>
    <w:rsid w:val="00EC5F66"/>
    <w:rsid w:val="00EC6952"/>
    <w:rsid w:val="00EC6CA0"/>
    <w:rsid w:val="00EC7769"/>
    <w:rsid w:val="00ED0093"/>
    <w:rsid w:val="00ED023D"/>
    <w:rsid w:val="00ED155B"/>
    <w:rsid w:val="00ED15E5"/>
    <w:rsid w:val="00ED25D4"/>
    <w:rsid w:val="00ED2800"/>
    <w:rsid w:val="00ED2905"/>
    <w:rsid w:val="00ED2C35"/>
    <w:rsid w:val="00ED2E55"/>
    <w:rsid w:val="00ED3183"/>
    <w:rsid w:val="00ED34D9"/>
    <w:rsid w:val="00ED3E59"/>
    <w:rsid w:val="00ED3E6A"/>
    <w:rsid w:val="00ED40F1"/>
    <w:rsid w:val="00ED43EF"/>
    <w:rsid w:val="00ED4AC3"/>
    <w:rsid w:val="00ED4D1C"/>
    <w:rsid w:val="00ED4F15"/>
    <w:rsid w:val="00ED4F6A"/>
    <w:rsid w:val="00ED5021"/>
    <w:rsid w:val="00ED5C48"/>
    <w:rsid w:val="00ED6079"/>
    <w:rsid w:val="00ED6107"/>
    <w:rsid w:val="00ED6264"/>
    <w:rsid w:val="00ED6655"/>
    <w:rsid w:val="00ED6C6B"/>
    <w:rsid w:val="00ED6F2A"/>
    <w:rsid w:val="00ED71E9"/>
    <w:rsid w:val="00ED7213"/>
    <w:rsid w:val="00EE0343"/>
    <w:rsid w:val="00EE0B26"/>
    <w:rsid w:val="00EE108E"/>
    <w:rsid w:val="00EE1198"/>
    <w:rsid w:val="00EE291C"/>
    <w:rsid w:val="00EE4120"/>
    <w:rsid w:val="00EE58E9"/>
    <w:rsid w:val="00EE5B83"/>
    <w:rsid w:val="00EE620F"/>
    <w:rsid w:val="00EE634E"/>
    <w:rsid w:val="00EE653C"/>
    <w:rsid w:val="00EE65A2"/>
    <w:rsid w:val="00EE689C"/>
    <w:rsid w:val="00EE69FB"/>
    <w:rsid w:val="00EE6CA1"/>
    <w:rsid w:val="00EE7531"/>
    <w:rsid w:val="00EE7875"/>
    <w:rsid w:val="00EE78BA"/>
    <w:rsid w:val="00EF046F"/>
    <w:rsid w:val="00EF09B5"/>
    <w:rsid w:val="00EF15DC"/>
    <w:rsid w:val="00EF1EE6"/>
    <w:rsid w:val="00EF2094"/>
    <w:rsid w:val="00EF242B"/>
    <w:rsid w:val="00EF2A6E"/>
    <w:rsid w:val="00EF3314"/>
    <w:rsid w:val="00EF399C"/>
    <w:rsid w:val="00EF39F5"/>
    <w:rsid w:val="00EF3A52"/>
    <w:rsid w:val="00EF3F23"/>
    <w:rsid w:val="00EF408F"/>
    <w:rsid w:val="00EF4644"/>
    <w:rsid w:val="00EF578D"/>
    <w:rsid w:val="00EF5C7C"/>
    <w:rsid w:val="00EF6874"/>
    <w:rsid w:val="00EF6F14"/>
    <w:rsid w:val="00EF71CD"/>
    <w:rsid w:val="00EF727B"/>
    <w:rsid w:val="00EF7B7B"/>
    <w:rsid w:val="00F005EC"/>
    <w:rsid w:val="00F0061F"/>
    <w:rsid w:val="00F00737"/>
    <w:rsid w:val="00F00AD0"/>
    <w:rsid w:val="00F018F5"/>
    <w:rsid w:val="00F028DE"/>
    <w:rsid w:val="00F02DA1"/>
    <w:rsid w:val="00F02E5E"/>
    <w:rsid w:val="00F034D7"/>
    <w:rsid w:val="00F035B3"/>
    <w:rsid w:val="00F0368E"/>
    <w:rsid w:val="00F03BCA"/>
    <w:rsid w:val="00F03E23"/>
    <w:rsid w:val="00F03EEB"/>
    <w:rsid w:val="00F03F7B"/>
    <w:rsid w:val="00F04245"/>
    <w:rsid w:val="00F05393"/>
    <w:rsid w:val="00F05D74"/>
    <w:rsid w:val="00F06386"/>
    <w:rsid w:val="00F06E42"/>
    <w:rsid w:val="00F10EFA"/>
    <w:rsid w:val="00F11011"/>
    <w:rsid w:val="00F1105B"/>
    <w:rsid w:val="00F1117B"/>
    <w:rsid w:val="00F11701"/>
    <w:rsid w:val="00F1238D"/>
    <w:rsid w:val="00F12767"/>
    <w:rsid w:val="00F12C7C"/>
    <w:rsid w:val="00F12FD4"/>
    <w:rsid w:val="00F130A0"/>
    <w:rsid w:val="00F13B4C"/>
    <w:rsid w:val="00F14C6C"/>
    <w:rsid w:val="00F14E11"/>
    <w:rsid w:val="00F15B8D"/>
    <w:rsid w:val="00F1660C"/>
    <w:rsid w:val="00F16F93"/>
    <w:rsid w:val="00F172BB"/>
    <w:rsid w:val="00F1755E"/>
    <w:rsid w:val="00F17E39"/>
    <w:rsid w:val="00F2017D"/>
    <w:rsid w:val="00F20DE2"/>
    <w:rsid w:val="00F21142"/>
    <w:rsid w:val="00F21E03"/>
    <w:rsid w:val="00F21FD1"/>
    <w:rsid w:val="00F2290A"/>
    <w:rsid w:val="00F22959"/>
    <w:rsid w:val="00F22E9D"/>
    <w:rsid w:val="00F233CF"/>
    <w:rsid w:val="00F2385D"/>
    <w:rsid w:val="00F239D4"/>
    <w:rsid w:val="00F241B3"/>
    <w:rsid w:val="00F24BAB"/>
    <w:rsid w:val="00F24BC1"/>
    <w:rsid w:val="00F254BA"/>
    <w:rsid w:val="00F25545"/>
    <w:rsid w:val="00F257C7"/>
    <w:rsid w:val="00F2607C"/>
    <w:rsid w:val="00F2634B"/>
    <w:rsid w:val="00F267FC"/>
    <w:rsid w:val="00F26CED"/>
    <w:rsid w:val="00F26E1E"/>
    <w:rsid w:val="00F2706B"/>
    <w:rsid w:val="00F273A9"/>
    <w:rsid w:val="00F27C4A"/>
    <w:rsid w:val="00F27EBA"/>
    <w:rsid w:val="00F300AB"/>
    <w:rsid w:val="00F302A0"/>
    <w:rsid w:val="00F30C5B"/>
    <w:rsid w:val="00F315AC"/>
    <w:rsid w:val="00F3331D"/>
    <w:rsid w:val="00F338CA"/>
    <w:rsid w:val="00F33982"/>
    <w:rsid w:val="00F3551F"/>
    <w:rsid w:val="00F35A94"/>
    <w:rsid w:val="00F35C83"/>
    <w:rsid w:val="00F35DE2"/>
    <w:rsid w:val="00F36230"/>
    <w:rsid w:val="00F379B9"/>
    <w:rsid w:val="00F41B91"/>
    <w:rsid w:val="00F41C9C"/>
    <w:rsid w:val="00F45B06"/>
    <w:rsid w:val="00F45E4C"/>
    <w:rsid w:val="00F45F30"/>
    <w:rsid w:val="00F468CE"/>
    <w:rsid w:val="00F46BE8"/>
    <w:rsid w:val="00F50974"/>
    <w:rsid w:val="00F514C0"/>
    <w:rsid w:val="00F52364"/>
    <w:rsid w:val="00F525ED"/>
    <w:rsid w:val="00F52A58"/>
    <w:rsid w:val="00F52D85"/>
    <w:rsid w:val="00F53498"/>
    <w:rsid w:val="00F5487F"/>
    <w:rsid w:val="00F5489C"/>
    <w:rsid w:val="00F54951"/>
    <w:rsid w:val="00F54A14"/>
    <w:rsid w:val="00F54BAA"/>
    <w:rsid w:val="00F54CD5"/>
    <w:rsid w:val="00F54EF2"/>
    <w:rsid w:val="00F555B2"/>
    <w:rsid w:val="00F571B6"/>
    <w:rsid w:val="00F57F64"/>
    <w:rsid w:val="00F60086"/>
    <w:rsid w:val="00F6062B"/>
    <w:rsid w:val="00F60F70"/>
    <w:rsid w:val="00F61AA2"/>
    <w:rsid w:val="00F621EA"/>
    <w:rsid w:val="00F623CF"/>
    <w:rsid w:val="00F62585"/>
    <w:rsid w:val="00F628E5"/>
    <w:rsid w:val="00F629BD"/>
    <w:rsid w:val="00F62CC6"/>
    <w:rsid w:val="00F6313F"/>
    <w:rsid w:val="00F63521"/>
    <w:rsid w:val="00F64882"/>
    <w:rsid w:val="00F6522E"/>
    <w:rsid w:val="00F6587A"/>
    <w:rsid w:val="00F65AC5"/>
    <w:rsid w:val="00F6701B"/>
    <w:rsid w:val="00F67217"/>
    <w:rsid w:val="00F677C0"/>
    <w:rsid w:val="00F6795D"/>
    <w:rsid w:val="00F702B6"/>
    <w:rsid w:val="00F70EA7"/>
    <w:rsid w:val="00F714D8"/>
    <w:rsid w:val="00F71A6D"/>
    <w:rsid w:val="00F71D27"/>
    <w:rsid w:val="00F71E1B"/>
    <w:rsid w:val="00F72736"/>
    <w:rsid w:val="00F72AEA"/>
    <w:rsid w:val="00F7341A"/>
    <w:rsid w:val="00F736D8"/>
    <w:rsid w:val="00F7497A"/>
    <w:rsid w:val="00F751B0"/>
    <w:rsid w:val="00F766B0"/>
    <w:rsid w:val="00F76E39"/>
    <w:rsid w:val="00F77E8D"/>
    <w:rsid w:val="00F80E03"/>
    <w:rsid w:val="00F810F9"/>
    <w:rsid w:val="00F81C5B"/>
    <w:rsid w:val="00F822F6"/>
    <w:rsid w:val="00F824E8"/>
    <w:rsid w:val="00F82BA6"/>
    <w:rsid w:val="00F83582"/>
    <w:rsid w:val="00F8375B"/>
    <w:rsid w:val="00F83789"/>
    <w:rsid w:val="00F83948"/>
    <w:rsid w:val="00F83A69"/>
    <w:rsid w:val="00F83E08"/>
    <w:rsid w:val="00F8422C"/>
    <w:rsid w:val="00F84AB4"/>
    <w:rsid w:val="00F85FD3"/>
    <w:rsid w:val="00F86009"/>
    <w:rsid w:val="00F8648E"/>
    <w:rsid w:val="00F867E7"/>
    <w:rsid w:val="00F8691E"/>
    <w:rsid w:val="00F87003"/>
    <w:rsid w:val="00F909DC"/>
    <w:rsid w:val="00F90C74"/>
    <w:rsid w:val="00F90DF1"/>
    <w:rsid w:val="00F914F0"/>
    <w:rsid w:val="00F91502"/>
    <w:rsid w:val="00F91587"/>
    <w:rsid w:val="00F91C42"/>
    <w:rsid w:val="00F9229A"/>
    <w:rsid w:val="00F925B9"/>
    <w:rsid w:val="00F925BA"/>
    <w:rsid w:val="00F927C0"/>
    <w:rsid w:val="00F943ED"/>
    <w:rsid w:val="00F94764"/>
    <w:rsid w:val="00F947CE"/>
    <w:rsid w:val="00F95528"/>
    <w:rsid w:val="00F95DEE"/>
    <w:rsid w:val="00F96877"/>
    <w:rsid w:val="00F96D82"/>
    <w:rsid w:val="00F96DEE"/>
    <w:rsid w:val="00FA0187"/>
    <w:rsid w:val="00FA04B5"/>
    <w:rsid w:val="00FA0F8F"/>
    <w:rsid w:val="00FA152D"/>
    <w:rsid w:val="00FA1FCB"/>
    <w:rsid w:val="00FA26F4"/>
    <w:rsid w:val="00FA2733"/>
    <w:rsid w:val="00FA2741"/>
    <w:rsid w:val="00FA27B9"/>
    <w:rsid w:val="00FA27BD"/>
    <w:rsid w:val="00FA2D45"/>
    <w:rsid w:val="00FA3F94"/>
    <w:rsid w:val="00FA48D5"/>
    <w:rsid w:val="00FA4BC5"/>
    <w:rsid w:val="00FA528B"/>
    <w:rsid w:val="00FA59B9"/>
    <w:rsid w:val="00FA5D4F"/>
    <w:rsid w:val="00FA62F8"/>
    <w:rsid w:val="00FA6887"/>
    <w:rsid w:val="00FA693A"/>
    <w:rsid w:val="00FA6ACA"/>
    <w:rsid w:val="00FA6BE2"/>
    <w:rsid w:val="00FA7341"/>
    <w:rsid w:val="00FA7B83"/>
    <w:rsid w:val="00FA7F60"/>
    <w:rsid w:val="00FB0080"/>
    <w:rsid w:val="00FB0490"/>
    <w:rsid w:val="00FB07F9"/>
    <w:rsid w:val="00FB11BC"/>
    <w:rsid w:val="00FB18A0"/>
    <w:rsid w:val="00FB192B"/>
    <w:rsid w:val="00FB212E"/>
    <w:rsid w:val="00FB2EA9"/>
    <w:rsid w:val="00FB33A0"/>
    <w:rsid w:val="00FB343D"/>
    <w:rsid w:val="00FB3707"/>
    <w:rsid w:val="00FB4B4C"/>
    <w:rsid w:val="00FB4D14"/>
    <w:rsid w:val="00FB53D2"/>
    <w:rsid w:val="00FB6179"/>
    <w:rsid w:val="00FB693D"/>
    <w:rsid w:val="00FB6D8D"/>
    <w:rsid w:val="00FB7D40"/>
    <w:rsid w:val="00FB7F9A"/>
    <w:rsid w:val="00FC0542"/>
    <w:rsid w:val="00FC06EA"/>
    <w:rsid w:val="00FC0839"/>
    <w:rsid w:val="00FC0858"/>
    <w:rsid w:val="00FC1924"/>
    <w:rsid w:val="00FC1A0A"/>
    <w:rsid w:val="00FC2438"/>
    <w:rsid w:val="00FC285D"/>
    <w:rsid w:val="00FC2F46"/>
    <w:rsid w:val="00FC361F"/>
    <w:rsid w:val="00FC5144"/>
    <w:rsid w:val="00FC62A4"/>
    <w:rsid w:val="00FC6B61"/>
    <w:rsid w:val="00FC6D92"/>
    <w:rsid w:val="00FC7045"/>
    <w:rsid w:val="00FC77B3"/>
    <w:rsid w:val="00FC77F6"/>
    <w:rsid w:val="00FC7936"/>
    <w:rsid w:val="00FD09D6"/>
    <w:rsid w:val="00FD0B73"/>
    <w:rsid w:val="00FD19C8"/>
    <w:rsid w:val="00FD1FC4"/>
    <w:rsid w:val="00FD230B"/>
    <w:rsid w:val="00FD261B"/>
    <w:rsid w:val="00FD27CC"/>
    <w:rsid w:val="00FD2A25"/>
    <w:rsid w:val="00FD333B"/>
    <w:rsid w:val="00FD4755"/>
    <w:rsid w:val="00FD4F44"/>
    <w:rsid w:val="00FD5071"/>
    <w:rsid w:val="00FD50E1"/>
    <w:rsid w:val="00FD5359"/>
    <w:rsid w:val="00FD5A56"/>
    <w:rsid w:val="00FD5C0D"/>
    <w:rsid w:val="00FD66FD"/>
    <w:rsid w:val="00FD7030"/>
    <w:rsid w:val="00FD72DE"/>
    <w:rsid w:val="00FD75A2"/>
    <w:rsid w:val="00FD7AB5"/>
    <w:rsid w:val="00FE1AFF"/>
    <w:rsid w:val="00FE1DDF"/>
    <w:rsid w:val="00FE2000"/>
    <w:rsid w:val="00FE2017"/>
    <w:rsid w:val="00FE2BFF"/>
    <w:rsid w:val="00FE2CFF"/>
    <w:rsid w:val="00FE3590"/>
    <w:rsid w:val="00FE374B"/>
    <w:rsid w:val="00FE3920"/>
    <w:rsid w:val="00FE3BA2"/>
    <w:rsid w:val="00FE5416"/>
    <w:rsid w:val="00FE54F7"/>
    <w:rsid w:val="00FE5523"/>
    <w:rsid w:val="00FE58C0"/>
    <w:rsid w:val="00FE5E72"/>
    <w:rsid w:val="00FE6255"/>
    <w:rsid w:val="00FE7EE0"/>
    <w:rsid w:val="00FF0218"/>
    <w:rsid w:val="00FF0493"/>
    <w:rsid w:val="00FF0881"/>
    <w:rsid w:val="00FF0F14"/>
    <w:rsid w:val="00FF1550"/>
    <w:rsid w:val="00FF235C"/>
    <w:rsid w:val="00FF282D"/>
    <w:rsid w:val="00FF2986"/>
    <w:rsid w:val="00FF2C45"/>
    <w:rsid w:val="00FF36A6"/>
    <w:rsid w:val="00FF37DB"/>
    <w:rsid w:val="00FF4130"/>
    <w:rsid w:val="00FF42EF"/>
    <w:rsid w:val="00FF4BAC"/>
    <w:rsid w:val="00FF4FD3"/>
    <w:rsid w:val="00FF5294"/>
    <w:rsid w:val="00FF578F"/>
    <w:rsid w:val="00FF5794"/>
    <w:rsid w:val="00FF5D16"/>
    <w:rsid w:val="00FF75DA"/>
    <w:rsid w:val="00FF7A37"/>
    <w:rsid w:val="00FF7F72"/>
    <w:rsid w:val="010000CE"/>
    <w:rsid w:val="010570E4"/>
    <w:rsid w:val="011E5399"/>
    <w:rsid w:val="01533173"/>
    <w:rsid w:val="0174199B"/>
    <w:rsid w:val="0182210D"/>
    <w:rsid w:val="018C042F"/>
    <w:rsid w:val="019139BB"/>
    <w:rsid w:val="01A95B6A"/>
    <w:rsid w:val="01BD1D63"/>
    <w:rsid w:val="01ED4894"/>
    <w:rsid w:val="01F27845"/>
    <w:rsid w:val="01FE2CFE"/>
    <w:rsid w:val="02353D60"/>
    <w:rsid w:val="023C6B28"/>
    <w:rsid w:val="02526173"/>
    <w:rsid w:val="029A6142"/>
    <w:rsid w:val="029A6633"/>
    <w:rsid w:val="029F2908"/>
    <w:rsid w:val="02AC60AA"/>
    <w:rsid w:val="02B87E06"/>
    <w:rsid w:val="02CC135E"/>
    <w:rsid w:val="02CD4EB7"/>
    <w:rsid w:val="02D71373"/>
    <w:rsid w:val="02D85611"/>
    <w:rsid w:val="02E90170"/>
    <w:rsid w:val="02FE589D"/>
    <w:rsid w:val="031824AB"/>
    <w:rsid w:val="031B1C80"/>
    <w:rsid w:val="03211A1D"/>
    <w:rsid w:val="0324523D"/>
    <w:rsid w:val="03331E75"/>
    <w:rsid w:val="034407FB"/>
    <w:rsid w:val="034F6246"/>
    <w:rsid w:val="0353264B"/>
    <w:rsid w:val="03562125"/>
    <w:rsid w:val="035F2635"/>
    <w:rsid w:val="036D5E24"/>
    <w:rsid w:val="037413B6"/>
    <w:rsid w:val="03A57F11"/>
    <w:rsid w:val="03A93E53"/>
    <w:rsid w:val="03C71B14"/>
    <w:rsid w:val="03C968EE"/>
    <w:rsid w:val="03EC30D3"/>
    <w:rsid w:val="03FD7568"/>
    <w:rsid w:val="04063827"/>
    <w:rsid w:val="040707FC"/>
    <w:rsid w:val="0418413B"/>
    <w:rsid w:val="04242AEB"/>
    <w:rsid w:val="042972F1"/>
    <w:rsid w:val="042B4FB5"/>
    <w:rsid w:val="04331F6D"/>
    <w:rsid w:val="044D6C9D"/>
    <w:rsid w:val="044E5434"/>
    <w:rsid w:val="045E1E00"/>
    <w:rsid w:val="04684ED7"/>
    <w:rsid w:val="047A62BA"/>
    <w:rsid w:val="048101D3"/>
    <w:rsid w:val="048C7CAA"/>
    <w:rsid w:val="04987F00"/>
    <w:rsid w:val="04A45D71"/>
    <w:rsid w:val="04A8214A"/>
    <w:rsid w:val="04B04E89"/>
    <w:rsid w:val="04BC587D"/>
    <w:rsid w:val="04BF7371"/>
    <w:rsid w:val="04C829A7"/>
    <w:rsid w:val="04E22C17"/>
    <w:rsid w:val="04E47651"/>
    <w:rsid w:val="04EE66C3"/>
    <w:rsid w:val="04F36106"/>
    <w:rsid w:val="04F4133B"/>
    <w:rsid w:val="05021B01"/>
    <w:rsid w:val="051E18E1"/>
    <w:rsid w:val="05292B71"/>
    <w:rsid w:val="052C0D66"/>
    <w:rsid w:val="052F18F0"/>
    <w:rsid w:val="05314FD7"/>
    <w:rsid w:val="0538191C"/>
    <w:rsid w:val="053B1A3D"/>
    <w:rsid w:val="05500555"/>
    <w:rsid w:val="0558720E"/>
    <w:rsid w:val="057F2A2A"/>
    <w:rsid w:val="05894C8A"/>
    <w:rsid w:val="05920A6B"/>
    <w:rsid w:val="05925B7F"/>
    <w:rsid w:val="05993019"/>
    <w:rsid w:val="05A63D05"/>
    <w:rsid w:val="05AA3E69"/>
    <w:rsid w:val="05B377E7"/>
    <w:rsid w:val="05C01E8E"/>
    <w:rsid w:val="05D0127E"/>
    <w:rsid w:val="05D36477"/>
    <w:rsid w:val="05D708A6"/>
    <w:rsid w:val="05F5542B"/>
    <w:rsid w:val="06002DF6"/>
    <w:rsid w:val="06153E6E"/>
    <w:rsid w:val="0618444D"/>
    <w:rsid w:val="06254A25"/>
    <w:rsid w:val="062A6CB4"/>
    <w:rsid w:val="06300679"/>
    <w:rsid w:val="063E0E8C"/>
    <w:rsid w:val="06464EAF"/>
    <w:rsid w:val="06471306"/>
    <w:rsid w:val="06762765"/>
    <w:rsid w:val="067746D4"/>
    <w:rsid w:val="067D4056"/>
    <w:rsid w:val="069C6A8D"/>
    <w:rsid w:val="069D265D"/>
    <w:rsid w:val="06AC42A7"/>
    <w:rsid w:val="06B474E1"/>
    <w:rsid w:val="06B9287B"/>
    <w:rsid w:val="06D15645"/>
    <w:rsid w:val="06DA3028"/>
    <w:rsid w:val="06E3294D"/>
    <w:rsid w:val="06F31CB3"/>
    <w:rsid w:val="06F93008"/>
    <w:rsid w:val="070339A1"/>
    <w:rsid w:val="0718687A"/>
    <w:rsid w:val="071A60E7"/>
    <w:rsid w:val="071C4EDC"/>
    <w:rsid w:val="071D082B"/>
    <w:rsid w:val="07243E5A"/>
    <w:rsid w:val="07252677"/>
    <w:rsid w:val="07272AF3"/>
    <w:rsid w:val="07526E8D"/>
    <w:rsid w:val="0759111C"/>
    <w:rsid w:val="07594F06"/>
    <w:rsid w:val="076C6634"/>
    <w:rsid w:val="07743510"/>
    <w:rsid w:val="07820AB4"/>
    <w:rsid w:val="07836EEE"/>
    <w:rsid w:val="07906BB7"/>
    <w:rsid w:val="079B346A"/>
    <w:rsid w:val="079D7717"/>
    <w:rsid w:val="07B872E0"/>
    <w:rsid w:val="07B939E0"/>
    <w:rsid w:val="07CC2D78"/>
    <w:rsid w:val="07CC4016"/>
    <w:rsid w:val="07D15C8A"/>
    <w:rsid w:val="07E05AA3"/>
    <w:rsid w:val="07E76A1F"/>
    <w:rsid w:val="07F17792"/>
    <w:rsid w:val="080158C0"/>
    <w:rsid w:val="0809715C"/>
    <w:rsid w:val="080A4814"/>
    <w:rsid w:val="0817293A"/>
    <w:rsid w:val="0820276D"/>
    <w:rsid w:val="082F1BCD"/>
    <w:rsid w:val="084E29A7"/>
    <w:rsid w:val="08573B5A"/>
    <w:rsid w:val="086F6B65"/>
    <w:rsid w:val="08962616"/>
    <w:rsid w:val="08A4401C"/>
    <w:rsid w:val="08A55AD2"/>
    <w:rsid w:val="08CA207E"/>
    <w:rsid w:val="08CD17C0"/>
    <w:rsid w:val="08DE60ED"/>
    <w:rsid w:val="08E13914"/>
    <w:rsid w:val="08E21688"/>
    <w:rsid w:val="08E35E15"/>
    <w:rsid w:val="08EE777D"/>
    <w:rsid w:val="0918731F"/>
    <w:rsid w:val="091D1431"/>
    <w:rsid w:val="09223CDC"/>
    <w:rsid w:val="09371EEF"/>
    <w:rsid w:val="093F6B95"/>
    <w:rsid w:val="09524755"/>
    <w:rsid w:val="095B63CA"/>
    <w:rsid w:val="09701692"/>
    <w:rsid w:val="09717916"/>
    <w:rsid w:val="09812CD8"/>
    <w:rsid w:val="09816B1A"/>
    <w:rsid w:val="098251C0"/>
    <w:rsid w:val="0984738F"/>
    <w:rsid w:val="09853CE2"/>
    <w:rsid w:val="098C4592"/>
    <w:rsid w:val="098C467A"/>
    <w:rsid w:val="09915D75"/>
    <w:rsid w:val="0996332C"/>
    <w:rsid w:val="09BE1AF4"/>
    <w:rsid w:val="09C26D2C"/>
    <w:rsid w:val="09C57689"/>
    <w:rsid w:val="09E0028A"/>
    <w:rsid w:val="09E31010"/>
    <w:rsid w:val="09ED009F"/>
    <w:rsid w:val="09F11ACB"/>
    <w:rsid w:val="09F94B23"/>
    <w:rsid w:val="09FB6243"/>
    <w:rsid w:val="0A047BEC"/>
    <w:rsid w:val="0A06506B"/>
    <w:rsid w:val="0A0A6618"/>
    <w:rsid w:val="0A1527C8"/>
    <w:rsid w:val="0A207C84"/>
    <w:rsid w:val="0A29795D"/>
    <w:rsid w:val="0A2A7E86"/>
    <w:rsid w:val="0A2D68BE"/>
    <w:rsid w:val="0A3C22BA"/>
    <w:rsid w:val="0A3D34F3"/>
    <w:rsid w:val="0A3F54A5"/>
    <w:rsid w:val="0A557C07"/>
    <w:rsid w:val="0A5B4AF5"/>
    <w:rsid w:val="0A75433E"/>
    <w:rsid w:val="0A796F7C"/>
    <w:rsid w:val="0A7B7455"/>
    <w:rsid w:val="0A8A7BC2"/>
    <w:rsid w:val="0A951C4F"/>
    <w:rsid w:val="0AA33DAF"/>
    <w:rsid w:val="0AB608CB"/>
    <w:rsid w:val="0AC60296"/>
    <w:rsid w:val="0AD32487"/>
    <w:rsid w:val="0AD50553"/>
    <w:rsid w:val="0ADB26A0"/>
    <w:rsid w:val="0AE31AD5"/>
    <w:rsid w:val="0B017D09"/>
    <w:rsid w:val="0B0715B1"/>
    <w:rsid w:val="0B0F0B26"/>
    <w:rsid w:val="0B2647B0"/>
    <w:rsid w:val="0B2C39A7"/>
    <w:rsid w:val="0B400CB2"/>
    <w:rsid w:val="0B421176"/>
    <w:rsid w:val="0B45016D"/>
    <w:rsid w:val="0B4B49C1"/>
    <w:rsid w:val="0B5D43F5"/>
    <w:rsid w:val="0B721C38"/>
    <w:rsid w:val="0B860805"/>
    <w:rsid w:val="0B945C54"/>
    <w:rsid w:val="0BA91AA1"/>
    <w:rsid w:val="0BB16187"/>
    <w:rsid w:val="0BCB6AF2"/>
    <w:rsid w:val="0BCE6861"/>
    <w:rsid w:val="0BDC4FBC"/>
    <w:rsid w:val="0BDF0A5F"/>
    <w:rsid w:val="0BEB43D6"/>
    <w:rsid w:val="0C08318F"/>
    <w:rsid w:val="0C1C163D"/>
    <w:rsid w:val="0C1E7ABD"/>
    <w:rsid w:val="0C206584"/>
    <w:rsid w:val="0C212EC8"/>
    <w:rsid w:val="0C2444B3"/>
    <w:rsid w:val="0C270CC3"/>
    <w:rsid w:val="0C2A79E8"/>
    <w:rsid w:val="0C3E0441"/>
    <w:rsid w:val="0C586B50"/>
    <w:rsid w:val="0C586E44"/>
    <w:rsid w:val="0C7F402D"/>
    <w:rsid w:val="0C822A19"/>
    <w:rsid w:val="0C930A24"/>
    <w:rsid w:val="0C9F5640"/>
    <w:rsid w:val="0CAA3B04"/>
    <w:rsid w:val="0CB81916"/>
    <w:rsid w:val="0CD123E3"/>
    <w:rsid w:val="0CE32FB8"/>
    <w:rsid w:val="0CE44838"/>
    <w:rsid w:val="0CEA48B8"/>
    <w:rsid w:val="0D206C21"/>
    <w:rsid w:val="0D731CA1"/>
    <w:rsid w:val="0D735A75"/>
    <w:rsid w:val="0D775B07"/>
    <w:rsid w:val="0D79688B"/>
    <w:rsid w:val="0D8323A4"/>
    <w:rsid w:val="0D893BAC"/>
    <w:rsid w:val="0D952410"/>
    <w:rsid w:val="0D9F3354"/>
    <w:rsid w:val="0DA370DA"/>
    <w:rsid w:val="0DA7099A"/>
    <w:rsid w:val="0DB01CE1"/>
    <w:rsid w:val="0DBA1705"/>
    <w:rsid w:val="0DC46B30"/>
    <w:rsid w:val="0DC9706D"/>
    <w:rsid w:val="0DD115AA"/>
    <w:rsid w:val="0DD27705"/>
    <w:rsid w:val="0DEA06F6"/>
    <w:rsid w:val="0DEA1ECA"/>
    <w:rsid w:val="0E01030B"/>
    <w:rsid w:val="0E04318C"/>
    <w:rsid w:val="0E222066"/>
    <w:rsid w:val="0E274301"/>
    <w:rsid w:val="0E31785B"/>
    <w:rsid w:val="0E357D47"/>
    <w:rsid w:val="0E467EFB"/>
    <w:rsid w:val="0E5C0982"/>
    <w:rsid w:val="0E730195"/>
    <w:rsid w:val="0E7675E6"/>
    <w:rsid w:val="0E803657"/>
    <w:rsid w:val="0E8B35C9"/>
    <w:rsid w:val="0E96527F"/>
    <w:rsid w:val="0E9742FB"/>
    <w:rsid w:val="0E9E354A"/>
    <w:rsid w:val="0EAF107B"/>
    <w:rsid w:val="0EB4347F"/>
    <w:rsid w:val="0EBE27AA"/>
    <w:rsid w:val="0EBF19BF"/>
    <w:rsid w:val="0EC1627E"/>
    <w:rsid w:val="0ED36950"/>
    <w:rsid w:val="0EDE0257"/>
    <w:rsid w:val="0EE30B65"/>
    <w:rsid w:val="0EED0FC5"/>
    <w:rsid w:val="0EF07619"/>
    <w:rsid w:val="0EF248CA"/>
    <w:rsid w:val="0EFB4176"/>
    <w:rsid w:val="0F034AA6"/>
    <w:rsid w:val="0F08360E"/>
    <w:rsid w:val="0F125E7D"/>
    <w:rsid w:val="0F1F0D30"/>
    <w:rsid w:val="0F26373F"/>
    <w:rsid w:val="0F2C6224"/>
    <w:rsid w:val="0F3E4D2D"/>
    <w:rsid w:val="0F446A41"/>
    <w:rsid w:val="0F4A18F4"/>
    <w:rsid w:val="0F5808CC"/>
    <w:rsid w:val="0F666559"/>
    <w:rsid w:val="0F6B3E79"/>
    <w:rsid w:val="0F790BDF"/>
    <w:rsid w:val="0F7D42FE"/>
    <w:rsid w:val="0F820E85"/>
    <w:rsid w:val="0F895A00"/>
    <w:rsid w:val="0F8A41FA"/>
    <w:rsid w:val="0F962DED"/>
    <w:rsid w:val="0F9B4E2A"/>
    <w:rsid w:val="0FA45D17"/>
    <w:rsid w:val="0FAA2C5D"/>
    <w:rsid w:val="0FB045CC"/>
    <w:rsid w:val="0FC910AB"/>
    <w:rsid w:val="0FCA36AC"/>
    <w:rsid w:val="0FD23F99"/>
    <w:rsid w:val="0FE34C1B"/>
    <w:rsid w:val="0FE35E2C"/>
    <w:rsid w:val="0FEF79AA"/>
    <w:rsid w:val="100354B2"/>
    <w:rsid w:val="101B677C"/>
    <w:rsid w:val="101C7D06"/>
    <w:rsid w:val="101F6270"/>
    <w:rsid w:val="1024515A"/>
    <w:rsid w:val="102F25D7"/>
    <w:rsid w:val="1037062C"/>
    <w:rsid w:val="10446ECE"/>
    <w:rsid w:val="1046198D"/>
    <w:rsid w:val="104E6FC1"/>
    <w:rsid w:val="105F3A71"/>
    <w:rsid w:val="106D475B"/>
    <w:rsid w:val="108362B8"/>
    <w:rsid w:val="108C4660"/>
    <w:rsid w:val="10957382"/>
    <w:rsid w:val="10A277F2"/>
    <w:rsid w:val="10BA0A0E"/>
    <w:rsid w:val="10CE39DE"/>
    <w:rsid w:val="10D36AEF"/>
    <w:rsid w:val="10FA6B68"/>
    <w:rsid w:val="10FF5E5F"/>
    <w:rsid w:val="11153BAA"/>
    <w:rsid w:val="11190B98"/>
    <w:rsid w:val="11230D2F"/>
    <w:rsid w:val="11247901"/>
    <w:rsid w:val="11365062"/>
    <w:rsid w:val="11422692"/>
    <w:rsid w:val="11590029"/>
    <w:rsid w:val="115A59A8"/>
    <w:rsid w:val="11672A0E"/>
    <w:rsid w:val="116E3E23"/>
    <w:rsid w:val="117F7F48"/>
    <w:rsid w:val="11BC3D8A"/>
    <w:rsid w:val="11CA3B0B"/>
    <w:rsid w:val="11F843DE"/>
    <w:rsid w:val="121446A8"/>
    <w:rsid w:val="12162BBD"/>
    <w:rsid w:val="122D7A8C"/>
    <w:rsid w:val="12320E5B"/>
    <w:rsid w:val="124E5846"/>
    <w:rsid w:val="1265739D"/>
    <w:rsid w:val="12662947"/>
    <w:rsid w:val="126A28BA"/>
    <w:rsid w:val="127E2138"/>
    <w:rsid w:val="128771AE"/>
    <w:rsid w:val="12A4558C"/>
    <w:rsid w:val="12A84E60"/>
    <w:rsid w:val="12B66FEE"/>
    <w:rsid w:val="12BE2ADE"/>
    <w:rsid w:val="12D52D83"/>
    <w:rsid w:val="12D61BB4"/>
    <w:rsid w:val="12D8263D"/>
    <w:rsid w:val="12F6517F"/>
    <w:rsid w:val="13086577"/>
    <w:rsid w:val="130B0E2B"/>
    <w:rsid w:val="130B16E4"/>
    <w:rsid w:val="13267B35"/>
    <w:rsid w:val="133E41B0"/>
    <w:rsid w:val="134A6D86"/>
    <w:rsid w:val="13594CF7"/>
    <w:rsid w:val="135A728A"/>
    <w:rsid w:val="1367698A"/>
    <w:rsid w:val="13772D89"/>
    <w:rsid w:val="138744BB"/>
    <w:rsid w:val="13985227"/>
    <w:rsid w:val="13A21C4C"/>
    <w:rsid w:val="13AA18EC"/>
    <w:rsid w:val="13B45FC3"/>
    <w:rsid w:val="13C924DB"/>
    <w:rsid w:val="13D07AB0"/>
    <w:rsid w:val="13D72D76"/>
    <w:rsid w:val="13DB164D"/>
    <w:rsid w:val="13E7373B"/>
    <w:rsid w:val="13EC16FF"/>
    <w:rsid w:val="13F712B9"/>
    <w:rsid w:val="13FE142E"/>
    <w:rsid w:val="1402032F"/>
    <w:rsid w:val="14176463"/>
    <w:rsid w:val="141828DA"/>
    <w:rsid w:val="144B6D3F"/>
    <w:rsid w:val="14522844"/>
    <w:rsid w:val="14546EAA"/>
    <w:rsid w:val="147759A4"/>
    <w:rsid w:val="147A75E5"/>
    <w:rsid w:val="14997CF1"/>
    <w:rsid w:val="149C7CF0"/>
    <w:rsid w:val="14AE50EE"/>
    <w:rsid w:val="14BC21CE"/>
    <w:rsid w:val="14BE2339"/>
    <w:rsid w:val="14BF4DCE"/>
    <w:rsid w:val="14CA7D93"/>
    <w:rsid w:val="14CD3607"/>
    <w:rsid w:val="14D0508B"/>
    <w:rsid w:val="14D14395"/>
    <w:rsid w:val="14D56BF6"/>
    <w:rsid w:val="14E36C24"/>
    <w:rsid w:val="14F32D76"/>
    <w:rsid w:val="14F4153D"/>
    <w:rsid w:val="14F5216B"/>
    <w:rsid w:val="14FE7778"/>
    <w:rsid w:val="15060A70"/>
    <w:rsid w:val="151733B8"/>
    <w:rsid w:val="151A00D9"/>
    <w:rsid w:val="151B73F8"/>
    <w:rsid w:val="15211EFF"/>
    <w:rsid w:val="152D4EB7"/>
    <w:rsid w:val="15353F74"/>
    <w:rsid w:val="153A274D"/>
    <w:rsid w:val="154B5C10"/>
    <w:rsid w:val="154F205D"/>
    <w:rsid w:val="155B6178"/>
    <w:rsid w:val="15615E0F"/>
    <w:rsid w:val="156D2843"/>
    <w:rsid w:val="15701AB8"/>
    <w:rsid w:val="15786279"/>
    <w:rsid w:val="15892652"/>
    <w:rsid w:val="159001BC"/>
    <w:rsid w:val="15965FE2"/>
    <w:rsid w:val="15AA23F1"/>
    <w:rsid w:val="15B1437C"/>
    <w:rsid w:val="15B939D5"/>
    <w:rsid w:val="15D11875"/>
    <w:rsid w:val="15D83B2E"/>
    <w:rsid w:val="15DD70EA"/>
    <w:rsid w:val="15E11AB3"/>
    <w:rsid w:val="15E25134"/>
    <w:rsid w:val="15E8785D"/>
    <w:rsid w:val="15F904C3"/>
    <w:rsid w:val="160025BB"/>
    <w:rsid w:val="16113EF1"/>
    <w:rsid w:val="16116F4B"/>
    <w:rsid w:val="161D05B7"/>
    <w:rsid w:val="162E280E"/>
    <w:rsid w:val="16357D2B"/>
    <w:rsid w:val="164206BE"/>
    <w:rsid w:val="16446BD7"/>
    <w:rsid w:val="16600954"/>
    <w:rsid w:val="166969D8"/>
    <w:rsid w:val="166A7CB7"/>
    <w:rsid w:val="16734EEE"/>
    <w:rsid w:val="168D7B9A"/>
    <w:rsid w:val="1691331C"/>
    <w:rsid w:val="169572E4"/>
    <w:rsid w:val="16AD5D1C"/>
    <w:rsid w:val="16B0271F"/>
    <w:rsid w:val="16C71296"/>
    <w:rsid w:val="16CB2046"/>
    <w:rsid w:val="16D82413"/>
    <w:rsid w:val="16DC7206"/>
    <w:rsid w:val="16E22B33"/>
    <w:rsid w:val="16EB067A"/>
    <w:rsid w:val="16EE237B"/>
    <w:rsid w:val="16EF1899"/>
    <w:rsid w:val="16F85570"/>
    <w:rsid w:val="16FA58EE"/>
    <w:rsid w:val="17116BE2"/>
    <w:rsid w:val="171311C9"/>
    <w:rsid w:val="17194D7A"/>
    <w:rsid w:val="171E22DF"/>
    <w:rsid w:val="172078E9"/>
    <w:rsid w:val="172D12A6"/>
    <w:rsid w:val="17315AA4"/>
    <w:rsid w:val="17350283"/>
    <w:rsid w:val="173C1948"/>
    <w:rsid w:val="173F54B5"/>
    <w:rsid w:val="17464B66"/>
    <w:rsid w:val="175B5D81"/>
    <w:rsid w:val="17652D76"/>
    <w:rsid w:val="177742FF"/>
    <w:rsid w:val="177778D5"/>
    <w:rsid w:val="177C4324"/>
    <w:rsid w:val="17994872"/>
    <w:rsid w:val="179E41EC"/>
    <w:rsid w:val="17A21D4F"/>
    <w:rsid w:val="17BD7A6D"/>
    <w:rsid w:val="17FE3268"/>
    <w:rsid w:val="18282C45"/>
    <w:rsid w:val="18296936"/>
    <w:rsid w:val="182A5943"/>
    <w:rsid w:val="182C041C"/>
    <w:rsid w:val="183728F3"/>
    <w:rsid w:val="1842704C"/>
    <w:rsid w:val="18504F2D"/>
    <w:rsid w:val="186022DC"/>
    <w:rsid w:val="186453BA"/>
    <w:rsid w:val="18704C74"/>
    <w:rsid w:val="187F1331"/>
    <w:rsid w:val="18AD026B"/>
    <w:rsid w:val="18B70A2B"/>
    <w:rsid w:val="18CA2202"/>
    <w:rsid w:val="18CA4E8D"/>
    <w:rsid w:val="18F33297"/>
    <w:rsid w:val="18FC46F8"/>
    <w:rsid w:val="190E26FF"/>
    <w:rsid w:val="191B1724"/>
    <w:rsid w:val="19254E9B"/>
    <w:rsid w:val="19383C89"/>
    <w:rsid w:val="19435347"/>
    <w:rsid w:val="194573ED"/>
    <w:rsid w:val="19550543"/>
    <w:rsid w:val="195D29F2"/>
    <w:rsid w:val="196272D4"/>
    <w:rsid w:val="196465FF"/>
    <w:rsid w:val="19682464"/>
    <w:rsid w:val="196B6E10"/>
    <w:rsid w:val="197004D5"/>
    <w:rsid w:val="198154A5"/>
    <w:rsid w:val="19850C75"/>
    <w:rsid w:val="19856830"/>
    <w:rsid w:val="198A3D94"/>
    <w:rsid w:val="198F27F8"/>
    <w:rsid w:val="199C5ECD"/>
    <w:rsid w:val="19B1121F"/>
    <w:rsid w:val="19C039AF"/>
    <w:rsid w:val="19DC7361"/>
    <w:rsid w:val="19E14ABD"/>
    <w:rsid w:val="19F07148"/>
    <w:rsid w:val="1A031971"/>
    <w:rsid w:val="1A051BC1"/>
    <w:rsid w:val="1A055302"/>
    <w:rsid w:val="1A11011E"/>
    <w:rsid w:val="1A110D84"/>
    <w:rsid w:val="1A2B0F11"/>
    <w:rsid w:val="1A2C43DF"/>
    <w:rsid w:val="1A372CD4"/>
    <w:rsid w:val="1A555BDB"/>
    <w:rsid w:val="1A660755"/>
    <w:rsid w:val="1A703BC4"/>
    <w:rsid w:val="1A7262E8"/>
    <w:rsid w:val="1A7D3881"/>
    <w:rsid w:val="1A882B3D"/>
    <w:rsid w:val="1A896854"/>
    <w:rsid w:val="1A964171"/>
    <w:rsid w:val="1AB162F9"/>
    <w:rsid w:val="1ABE2D20"/>
    <w:rsid w:val="1ACC4B7F"/>
    <w:rsid w:val="1AD34CD1"/>
    <w:rsid w:val="1AD417D6"/>
    <w:rsid w:val="1AE72378"/>
    <w:rsid w:val="1AE7665A"/>
    <w:rsid w:val="1AF74A59"/>
    <w:rsid w:val="1B111CB0"/>
    <w:rsid w:val="1B1519B4"/>
    <w:rsid w:val="1B393D9E"/>
    <w:rsid w:val="1B3F0566"/>
    <w:rsid w:val="1B5A0EC6"/>
    <w:rsid w:val="1B5C3BD7"/>
    <w:rsid w:val="1B5F0C8F"/>
    <w:rsid w:val="1B743284"/>
    <w:rsid w:val="1B816F9A"/>
    <w:rsid w:val="1B8175D6"/>
    <w:rsid w:val="1B9467E7"/>
    <w:rsid w:val="1B9C1B61"/>
    <w:rsid w:val="1BA36CEF"/>
    <w:rsid w:val="1BB46A20"/>
    <w:rsid w:val="1BB93222"/>
    <w:rsid w:val="1BBD6973"/>
    <w:rsid w:val="1BC65495"/>
    <w:rsid w:val="1BE24098"/>
    <w:rsid w:val="1BE81B85"/>
    <w:rsid w:val="1BF27AE1"/>
    <w:rsid w:val="1BFE2971"/>
    <w:rsid w:val="1C01336C"/>
    <w:rsid w:val="1C021382"/>
    <w:rsid w:val="1C081DD0"/>
    <w:rsid w:val="1C1669BA"/>
    <w:rsid w:val="1C1C3102"/>
    <w:rsid w:val="1C2230E8"/>
    <w:rsid w:val="1C251540"/>
    <w:rsid w:val="1C2E2C8D"/>
    <w:rsid w:val="1C2E3B22"/>
    <w:rsid w:val="1C6973CC"/>
    <w:rsid w:val="1C6C7614"/>
    <w:rsid w:val="1C703F20"/>
    <w:rsid w:val="1C795B0B"/>
    <w:rsid w:val="1CB31F52"/>
    <w:rsid w:val="1CC609D9"/>
    <w:rsid w:val="1CDA4CCE"/>
    <w:rsid w:val="1CDC7753"/>
    <w:rsid w:val="1CE6684D"/>
    <w:rsid w:val="1CEC4A0D"/>
    <w:rsid w:val="1D1712A0"/>
    <w:rsid w:val="1D2B7B9F"/>
    <w:rsid w:val="1D305274"/>
    <w:rsid w:val="1D346A87"/>
    <w:rsid w:val="1D3F5714"/>
    <w:rsid w:val="1D433C2D"/>
    <w:rsid w:val="1D466011"/>
    <w:rsid w:val="1D487015"/>
    <w:rsid w:val="1D5133E5"/>
    <w:rsid w:val="1D547E28"/>
    <w:rsid w:val="1D5B57EE"/>
    <w:rsid w:val="1D606070"/>
    <w:rsid w:val="1D655DB6"/>
    <w:rsid w:val="1D980258"/>
    <w:rsid w:val="1D9C1F14"/>
    <w:rsid w:val="1DB113DA"/>
    <w:rsid w:val="1DD637E3"/>
    <w:rsid w:val="1DD918D5"/>
    <w:rsid w:val="1DFB4E0B"/>
    <w:rsid w:val="1E196DA1"/>
    <w:rsid w:val="1E2278F4"/>
    <w:rsid w:val="1E4062B7"/>
    <w:rsid w:val="1E450B99"/>
    <w:rsid w:val="1E4D2825"/>
    <w:rsid w:val="1E5542CC"/>
    <w:rsid w:val="1E64791C"/>
    <w:rsid w:val="1E6D6ABE"/>
    <w:rsid w:val="1E755624"/>
    <w:rsid w:val="1E764D52"/>
    <w:rsid w:val="1E8C73FA"/>
    <w:rsid w:val="1E9E3D33"/>
    <w:rsid w:val="1EAA616E"/>
    <w:rsid w:val="1EB15364"/>
    <w:rsid w:val="1EB20356"/>
    <w:rsid w:val="1EBE2AB5"/>
    <w:rsid w:val="1EC13441"/>
    <w:rsid w:val="1EC81089"/>
    <w:rsid w:val="1EDD523F"/>
    <w:rsid w:val="1EDD703F"/>
    <w:rsid w:val="1F092A2D"/>
    <w:rsid w:val="1F1162FE"/>
    <w:rsid w:val="1F1C0B32"/>
    <w:rsid w:val="1F352B32"/>
    <w:rsid w:val="1F4A096C"/>
    <w:rsid w:val="1F5814F7"/>
    <w:rsid w:val="1F5A5945"/>
    <w:rsid w:val="1F6B3A34"/>
    <w:rsid w:val="1F751CBE"/>
    <w:rsid w:val="1F7D6B10"/>
    <w:rsid w:val="1F963D6D"/>
    <w:rsid w:val="1F98363F"/>
    <w:rsid w:val="1FA70F8C"/>
    <w:rsid w:val="1FAB4045"/>
    <w:rsid w:val="1FBD1356"/>
    <w:rsid w:val="1FBF488C"/>
    <w:rsid w:val="1FC55B54"/>
    <w:rsid w:val="1FCD7450"/>
    <w:rsid w:val="1FCD7675"/>
    <w:rsid w:val="1FD377B1"/>
    <w:rsid w:val="1FDC18BC"/>
    <w:rsid w:val="1FEB4C55"/>
    <w:rsid w:val="1FED7184"/>
    <w:rsid w:val="1FEF77E1"/>
    <w:rsid w:val="1FFC155B"/>
    <w:rsid w:val="20010BD0"/>
    <w:rsid w:val="200B266C"/>
    <w:rsid w:val="20137C9A"/>
    <w:rsid w:val="20261774"/>
    <w:rsid w:val="202A3AEF"/>
    <w:rsid w:val="202E6386"/>
    <w:rsid w:val="203A3657"/>
    <w:rsid w:val="203A4D2E"/>
    <w:rsid w:val="204030A0"/>
    <w:rsid w:val="205147DC"/>
    <w:rsid w:val="20534ACB"/>
    <w:rsid w:val="205B78B2"/>
    <w:rsid w:val="205C4184"/>
    <w:rsid w:val="206558CE"/>
    <w:rsid w:val="206901B1"/>
    <w:rsid w:val="206B1575"/>
    <w:rsid w:val="2078018B"/>
    <w:rsid w:val="209323D8"/>
    <w:rsid w:val="209327AA"/>
    <w:rsid w:val="20990A3E"/>
    <w:rsid w:val="20AD55FF"/>
    <w:rsid w:val="20C12FDC"/>
    <w:rsid w:val="20C55A62"/>
    <w:rsid w:val="20D06ACE"/>
    <w:rsid w:val="20EA7590"/>
    <w:rsid w:val="20F502DE"/>
    <w:rsid w:val="210C5D7F"/>
    <w:rsid w:val="211001E9"/>
    <w:rsid w:val="21147D43"/>
    <w:rsid w:val="2119067D"/>
    <w:rsid w:val="211F5020"/>
    <w:rsid w:val="21216F1B"/>
    <w:rsid w:val="2123407B"/>
    <w:rsid w:val="21320B64"/>
    <w:rsid w:val="21370E12"/>
    <w:rsid w:val="21432F9F"/>
    <w:rsid w:val="214F55E4"/>
    <w:rsid w:val="215A4604"/>
    <w:rsid w:val="217C7ED4"/>
    <w:rsid w:val="21862B07"/>
    <w:rsid w:val="218757BE"/>
    <w:rsid w:val="218A1EF5"/>
    <w:rsid w:val="21973788"/>
    <w:rsid w:val="219A3406"/>
    <w:rsid w:val="21A70D61"/>
    <w:rsid w:val="21B2244C"/>
    <w:rsid w:val="21C30EF9"/>
    <w:rsid w:val="21CB7C2D"/>
    <w:rsid w:val="21D956E3"/>
    <w:rsid w:val="21E74352"/>
    <w:rsid w:val="21EB64F4"/>
    <w:rsid w:val="21EF7C0A"/>
    <w:rsid w:val="221551D8"/>
    <w:rsid w:val="224441F7"/>
    <w:rsid w:val="224E7428"/>
    <w:rsid w:val="224F414D"/>
    <w:rsid w:val="2261560B"/>
    <w:rsid w:val="227918A6"/>
    <w:rsid w:val="2291582E"/>
    <w:rsid w:val="22944164"/>
    <w:rsid w:val="229674ED"/>
    <w:rsid w:val="22AC485D"/>
    <w:rsid w:val="22BB509A"/>
    <w:rsid w:val="22D174A6"/>
    <w:rsid w:val="22D2551D"/>
    <w:rsid w:val="22E67532"/>
    <w:rsid w:val="22F80176"/>
    <w:rsid w:val="230F16FC"/>
    <w:rsid w:val="231C2E7E"/>
    <w:rsid w:val="232A4048"/>
    <w:rsid w:val="233344E4"/>
    <w:rsid w:val="2337735C"/>
    <w:rsid w:val="23384D61"/>
    <w:rsid w:val="23392A7A"/>
    <w:rsid w:val="23417FB3"/>
    <w:rsid w:val="235336A2"/>
    <w:rsid w:val="236765E1"/>
    <w:rsid w:val="236905BD"/>
    <w:rsid w:val="23694E38"/>
    <w:rsid w:val="23817C48"/>
    <w:rsid w:val="23850BE5"/>
    <w:rsid w:val="238C513B"/>
    <w:rsid w:val="238E2690"/>
    <w:rsid w:val="239015CD"/>
    <w:rsid w:val="23B946BE"/>
    <w:rsid w:val="23C01773"/>
    <w:rsid w:val="23E71D4D"/>
    <w:rsid w:val="23EF13A7"/>
    <w:rsid w:val="23F7720B"/>
    <w:rsid w:val="24086432"/>
    <w:rsid w:val="240F1052"/>
    <w:rsid w:val="242A187D"/>
    <w:rsid w:val="24310987"/>
    <w:rsid w:val="24322A62"/>
    <w:rsid w:val="244A14DB"/>
    <w:rsid w:val="24554136"/>
    <w:rsid w:val="245C2B3F"/>
    <w:rsid w:val="24692AC4"/>
    <w:rsid w:val="24836E94"/>
    <w:rsid w:val="24867974"/>
    <w:rsid w:val="248945E2"/>
    <w:rsid w:val="24974A9D"/>
    <w:rsid w:val="24990AB6"/>
    <w:rsid w:val="24A21A55"/>
    <w:rsid w:val="24B92458"/>
    <w:rsid w:val="24BC74B9"/>
    <w:rsid w:val="24BE33B8"/>
    <w:rsid w:val="24CA200A"/>
    <w:rsid w:val="24E234FE"/>
    <w:rsid w:val="24F86BA3"/>
    <w:rsid w:val="250D3E66"/>
    <w:rsid w:val="252754C5"/>
    <w:rsid w:val="252D0E2C"/>
    <w:rsid w:val="252D3F69"/>
    <w:rsid w:val="253C0FBD"/>
    <w:rsid w:val="2547370A"/>
    <w:rsid w:val="25585795"/>
    <w:rsid w:val="25740BBD"/>
    <w:rsid w:val="25821561"/>
    <w:rsid w:val="25922FF3"/>
    <w:rsid w:val="25955E96"/>
    <w:rsid w:val="259B6E31"/>
    <w:rsid w:val="259E33E1"/>
    <w:rsid w:val="25A05607"/>
    <w:rsid w:val="25A07C39"/>
    <w:rsid w:val="25AF1FA5"/>
    <w:rsid w:val="25B677AD"/>
    <w:rsid w:val="25B904A8"/>
    <w:rsid w:val="25D93662"/>
    <w:rsid w:val="25E06259"/>
    <w:rsid w:val="25FD0304"/>
    <w:rsid w:val="260517C6"/>
    <w:rsid w:val="2606044C"/>
    <w:rsid w:val="26090E12"/>
    <w:rsid w:val="261447E7"/>
    <w:rsid w:val="26162D47"/>
    <w:rsid w:val="26313BB1"/>
    <w:rsid w:val="26417898"/>
    <w:rsid w:val="26442276"/>
    <w:rsid w:val="26444B63"/>
    <w:rsid w:val="264D7096"/>
    <w:rsid w:val="26552532"/>
    <w:rsid w:val="26671EE8"/>
    <w:rsid w:val="2692422E"/>
    <w:rsid w:val="269F6889"/>
    <w:rsid w:val="26AD0D8B"/>
    <w:rsid w:val="26BE4AAC"/>
    <w:rsid w:val="26C17431"/>
    <w:rsid w:val="26C27EC9"/>
    <w:rsid w:val="26C545A4"/>
    <w:rsid w:val="26C94300"/>
    <w:rsid w:val="26CD1AFB"/>
    <w:rsid w:val="26DF7D7C"/>
    <w:rsid w:val="26EE1723"/>
    <w:rsid w:val="26F154C7"/>
    <w:rsid w:val="26FD7030"/>
    <w:rsid w:val="27007370"/>
    <w:rsid w:val="27080E2E"/>
    <w:rsid w:val="270D21C6"/>
    <w:rsid w:val="270D2595"/>
    <w:rsid w:val="27251F41"/>
    <w:rsid w:val="27296336"/>
    <w:rsid w:val="273301A4"/>
    <w:rsid w:val="277E59D2"/>
    <w:rsid w:val="277F5A23"/>
    <w:rsid w:val="279E36DD"/>
    <w:rsid w:val="27A7464B"/>
    <w:rsid w:val="27C37DE6"/>
    <w:rsid w:val="27EA2797"/>
    <w:rsid w:val="28011EB5"/>
    <w:rsid w:val="28092464"/>
    <w:rsid w:val="2810409B"/>
    <w:rsid w:val="281C2044"/>
    <w:rsid w:val="282013B4"/>
    <w:rsid w:val="282B47A7"/>
    <w:rsid w:val="282C5A3A"/>
    <w:rsid w:val="283F32F7"/>
    <w:rsid w:val="2855423F"/>
    <w:rsid w:val="2855440E"/>
    <w:rsid w:val="285E5BE3"/>
    <w:rsid w:val="28611CC2"/>
    <w:rsid w:val="286D2B55"/>
    <w:rsid w:val="28721E59"/>
    <w:rsid w:val="28892109"/>
    <w:rsid w:val="289430A0"/>
    <w:rsid w:val="289A1AAA"/>
    <w:rsid w:val="28A325B7"/>
    <w:rsid w:val="28AB052C"/>
    <w:rsid w:val="28B71571"/>
    <w:rsid w:val="28BA104F"/>
    <w:rsid w:val="28C132F2"/>
    <w:rsid w:val="28D133DE"/>
    <w:rsid w:val="28D37B64"/>
    <w:rsid w:val="28EF11D1"/>
    <w:rsid w:val="290566C3"/>
    <w:rsid w:val="292774FE"/>
    <w:rsid w:val="292B6715"/>
    <w:rsid w:val="29493462"/>
    <w:rsid w:val="295C2D51"/>
    <w:rsid w:val="29A81CD2"/>
    <w:rsid w:val="29A90232"/>
    <w:rsid w:val="29A92B3A"/>
    <w:rsid w:val="29C804D1"/>
    <w:rsid w:val="29CB1410"/>
    <w:rsid w:val="29D0617D"/>
    <w:rsid w:val="29D617AC"/>
    <w:rsid w:val="29D84ABC"/>
    <w:rsid w:val="29F5410D"/>
    <w:rsid w:val="29FD23A5"/>
    <w:rsid w:val="2A091D0A"/>
    <w:rsid w:val="2A0D39C3"/>
    <w:rsid w:val="2A1503FE"/>
    <w:rsid w:val="2A194990"/>
    <w:rsid w:val="2A215E5E"/>
    <w:rsid w:val="2A252C4C"/>
    <w:rsid w:val="2A305C24"/>
    <w:rsid w:val="2A3E7B5A"/>
    <w:rsid w:val="2A516BAC"/>
    <w:rsid w:val="2A6B006B"/>
    <w:rsid w:val="2A6B55C6"/>
    <w:rsid w:val="2A8475EE"/>
    <w:rsid w:val="2A951C8C"/>
    <w:rsid w:val="2A953E86"/>
    <w:rsid w:val="2A9B26F1"/>
    <w:rsid w:val="2AA81E53"/>
    <w:rsid w:val="2AA82B74"/>
    <w:rsid w:val="2AAB3B9C"/>
    <w:rsid w:val="2AB25451"/>
    <w:rsid w:val="2AC063B7"/>
    <w:rsid w:val="2ACB5B48"/>
    <w:rsid w:val="2ACD0874"/>
    <w:rsid w:val="2AD267B8"/>
    <w:rsid w:val="2AD8059C"/>
    <w:rsid w:val="2B0A5818"/>
    <w:rsid w:val="2B0D737C"/>
    <w:rsid w:val="2B0F004D"/>
    <w:rsid w:val="2B154A20"/>
    <w:rsid w:val="2B1B5BFD"/>
    <w:rsid w:val="2B20017E"/>
    <w:rsid w:val="2B300E60"/>
    <w:rsid w:val="2B380E7B"/>
    <w:rsid w:val="2B574357"/>
    <w:rsid w:val="2B5F5BE1"/>
    <w:rsid w:val="2B6638DE"/>
    <w:rsid w:val="2B691061"/>
    <w:rsid w:val="2B7B4586"/>
    <w:rsid w:val="2B843D59"/>
    <w:rsid w:val="2B84406F"/>
    <w:rsid w:val="2B853CDF"/>
    <w:rsid w:val="2B8B518F"/>
    <w:rsid w:val="2B8F58E2"/>
    <w:rsid w:val="2BA07FAD"/>
    <w:rsid w:val="2BB3259C"/>
    <w:rsid w:val="2BBF0DDA"/>
    <w:rsid w:val="2BC674EF"/>
    <w:rsid w:val="2BE5055C"/>
    <w:rsid w:val="2BED5A7C"/>
    <w:rsid w:val="2BF858F4"/>
    <w:rsid w:val="2BFC3C2B"/>
    <w:rsid w:val="2BFC6315"/>
    <w:rsid w:val="2BFD5564"/>
    <w:rsid w:val="2C054251"/>
    <w:rsid w:val="2C2E0403"/>
    <w:rsid w:val="2C4C1107"/>
    <w:rsid w:val="2C785C6A"/>
    <w:rsid w:val="2C7C5CC5"/>
    <w:rsid w:val="2C811341"/>
    <w:rsid w:val="2C823F4E"/>
    <w:rsid w:val="2C9D3080"/>
    <w:rsid w:val="2CA44349"/>
    <w:rsid w:val="2CAD067B"/>
    <w:rsid w:val="2CBD69A8"/>
    <w:rsid w:val="2CF30447"/>
    <w:rsid w:val="2CFD0FC0"/>
    <w:rsid w:val="2D050EBF"/>
    <w:rsid w:val="2D2009C3"/>
    <w:rsid w:val="2D2A25A1"/>
    <w:rsid w:val="2D2A51E4"/>
    <w:rsid w:val="2D3059BC"/>
    <w:rsid w:val="2D4D17E5"/>
    <w:rsid w:val="2D5A2817"/>
    <w:rsid w:val="2D6F58D8"/>
    <w:rsid w:val="2D892B5C"/>
    <w:rsid w:val="2DAF27D1"/>
    <w:rsid w:val="2DB328B9"/>
    <w:rsid w:val="2DC6450C"/>
    <w:rsid w:val="2DD85082"/>
    <w:rsid w:val="2DE11692"/>
    <w:rsid w:val="2DF24F64"/>
    <w:rsid w:val="2DF5641D"/>
    <w:rsid w:val="2DF644E3"/>
    <w:rsid w:val="2DFC4355"/>
    <w:rsid w:val="2E0D40F5"/>
    <w:rsid w:val="2E220037"/>
    <w:rsid w:val="2E2321BA"/>
    <w:rsid w:val="2E2F56E6"/>
    <w:rsid w:val="2E4A7323"/>
    <w:rsid w:val="2E522812"/>
    <w:rsid w:val="2E682AAC"/>
    <w:rsid w:val="2E6D230F"/>
    <w:rsid w:val="2E7017CC"/>
    <w:rsid w:val="2E7D543E"/>
    <w:rsid w:val="2E8C2DE3"/>
    <w:rsid w:val="2E942C46"/>
    <w:rsid w:val="2E98229F"/>
    <w:rsid w:val="2EA56E95"/>
    <w:rsid w:val="2EA673C9"/>
    <w:rsid w:val="2EA72B33"/>
    <w:rsid w:val="2EAF1D1D"/>
    <w:rsid w:val="2EBF1E9B"/>
    <w:rsid w:val="2EC0096E"/>
    <w:rsid w:val="2ECA710C"/>
    <w:rsid w:val="2ED4404D"/>
    <w:rsid w:val="2ED50475"/>
    <w:rsid w:val="2ED729FB"/>
    <w:rsid w:val="2EE365C8"/>
    <w:rsid w:val="2EED6D43"/>
    <w:rsid w:val="2EF1758E"/>
    <w:rsid w:val="2F090AB4"/>
    <w:rsid w:val="2F13732E"/>
    <w:rsid w:val="2F2F2D16"/>
    <w:rsid w:val="2F336BA3"/>
    <w:rsid w:val="2F5621A6"/>
    <w:rsid w:val="2F66411F"/>
    <w:rsid w:val="2F9E2267"/>
    <w:rsid w:val="2FA5716E"/>
    <w:rsid w:val="2FB44AC5"/>
    <w:rsid w:val="2FB91769"/>
    <w:rsid w:val="2FBE7D06"/>
    <w:rsid w:val="2FCD4219"/>
    <w:rsid w:val="2FD85581"/>
    <w:rsid w:val="2FE37EAB"/>
    <w:rsid w:val="2FE513F6"/>
    <w:rsid w:val="2FE91ED2"/>
    <w:rsid w:val="2FEC28E9"/>
    <w:rsid w:val="2FF22D62"/>
    <w:rsid w:val="30037E76"/>
    <w:rsid w:val="300B0CEC"/>
    <w:rsid w:val="30173C95"/>
    <w:rsid w:val="301B31E2"/>
    <w:rsid w:val="302909D7"/>
    <w:rsid w:val="302C2C6C"/>
    <w:rsid w:val="30320AA9"/>
    <w:rsid w:val="30365256"/>
    <w:rsid w:val="30427218"/>
    <w:rsid w:val="304D2D36"/>
    <w:rsid w:val="304D5CB2"/>
    <w:rsid w:val="305001C5"/>
    <w:rsid w:val="3055125A"/>
    <w:rsid w:val="30664FDE"/>
    <w:rsid w:val="309D4A0F"/>
    <w:rsid w:val="309E4811"/>
    <w:rsid w:val="30A00CB5"/>
    <w:rsid w:val="30AF5F22"/>
    <w:rsid w:val="30C14186"/>
    <w:rsid w:val="30C635C3"/>
    <w:rsid w:val="30D71496"/>
    <w:rsid w:val="30DC0703"/>
    <w:rsid w:val="30E73B0D"/>
    <w:rsid w:val="30F74C53"/>
    <w:rsid w:val="30FC61C2"/>
    <w:rsid w:val="30FD55E0"/>
    <w:rsid w:val="31030DD2"/>
    <w:rsid w:val="31095A3E"/>
    <w:rsid w:val="310F6F60"/>
    <w:rsid w:val="311333E6"/>
    <w:rsid w:val="311467EF"/>
    <w:rsid w:val="311600B8"/>
    <w:rsid w:val="31162712"/>
    <w:rsid w:val="311A24D7"/>
    <w:rsid w:val="31363ABC"/>
    <w:rsid w:val="314614BA"/>
    <w:rsid w:val="31490B7D"/>
    <w:rsid w:val="3153679E"/>
    <w:rsid w:val="315F2471"/>
    <w:rsid w:val="31680602"/>
    <w:rsid w:val="3177458F"/>
    <w:rsid w:val="3189708E"/>
    <w:rsid w:val="318B1F3D"/>
    <w:rsid w:val="3193741E"/>
    <w:rsid w:val="319434F7"/>
    <w:rsid w:val="31994D00"/>
    <w:rsid w:val="31A65E57"/>
    <w:rsid w:val="31AD16EF"/>
    <w:rsid w:val="31AE660C"/>
    <w:rsid w:val="31B05A1F"/>
    <w:rsid w:val="31B17EF2"/>
    <w:rsid w:val="31D54984"/>
    <w:rsid w:val="31E155AC"/>
    <w:rsid w:val="31E361FB"/>
    <w:rsid w:val="31FC35FB"/>
    <w:rsid w:val="32010D04"/>
    <w:rsid w:val="3202665F"/>
    <w:rsid w:val="320A7836"/>
    <w:rsid w:val="323C3FDE"/>
    <w:rsid w:val="324163CA"/>
    <w:rsid w:val="32427A9A"/>
    <w:rsid w:val="32574FD8"/>
    <w:rsid w:val="325C547C"/>
    <w:rsid w:val="32646DB1"/>
    <w:rsid w:val="326C29F6"/>
    <w:rsid w:val="327B3D21"/>
    <w:rsid w:val="327C3888"/>
    <w:rsid w:val="329338D7"/>
    <w:rsid w:val="32945DAC"/>
    <w:rsid w:val="329B3155"/>
    <w:rsid w:val="329C631F"/>
    <w:rsid w:val="32A24DE0"/>
    <w:rsid w:val="32AB0897"/>
    <w:rsid w:val="32AE266E"/>
    <w:rsid w:val="32CB3A84"/>
    <w:rsid w:val="32CD7010"/>
    <w:rsid w:val="32CE45BC"/>
    <w:rsid w:val="32D9201A"/>
    <w:rsid w:val="32E42D0F"/>
    <w:rsid w:val="32E779A4"/>
    <w:rsid w:val="330D4D94"/>
    <w:rsid w:val="33435E16"/>
    <w:rsid w:val="335F11B3"/>
    <w:rsid w:val="337B12FB"/>
    <w:rsid w:val="33846435"/>
    <w:rsid w:val="339C5454"/>
    <w:rsid w:val="33A258FF"/>
    <w:rsid w:val="33BA507F"/>
    <w:rsid w:val="33D354DF"/>
    <w:rsid w:val="33DD1D83"/>
    <w:rsid w:val="33DF6F7A"/>
    <w:rsid w:val="33E42EF1"/>
    <w:rsid w:val="33FC5F9C"/>
    <w:rsid w:val="34005D95"/>
    <w:rsid w:val="340370F4"/>
    <w:rsid w:val="34173060"/>
    <w:rsid w:val="342451AA"/>
    <w:rsid w:val="3425323C"/>
    <w:rsid w:val="34262A2B"/>
    <w:rsid w:val="342E5EA7"/>
    <w:rsid w:val="343E0BAC"/>
    <w:rsid w:val="34474FF1"/>
    <w:rsid w:val="344961AE"/>
    <w:rsid w:val="344B3651"/>
    <w:rsid w:val="34555269"/>
    <w:rsid w:val="346B6657"/>
    <w:rsid w:val="34827541"/>
    <w:rsid w:val="348D5209"/>
    <w:rsid w:val="34B63281"/>
    <w:rsid w:val="34C105B0"/>
    <w:rsid w:val="34CA39B2"/>
    <w:rsid w:val="34D564C3"/>
    <w:rsid w:val="34DC79C0"/>
    <w:rsid w:val="34E32E56"/>
    <w:rsid w:val="34EC4B86"/>
    <w:rsid w:val="351321CB"/>
    <w:rsid w:val="351B4997"/>
    <w:rsid w:val="35367A72"/>
    <w:rsid w:val="355171EC"/>
    <w:rsid w:val="355E299F"/>
    <w:rsid w:val="355E6D49"/>
    <w:rsid w:val="35671EE7"/>
    <w:rsid w:val="3572663B"/>
    <w:rsid w:val="357D4C50"/>
    <w:rsid w:val="3591419B"/>
    <w:rsid w:val="35925B04"/>
    <w:rsid w:val="35963717"/>
    <w:rsid w:val="35AB2A03"/>
    <w:rsid w:val="35AF3549"/>
    <w:rsid w:val="35CA49CB"/>
    <w:rsid w:val="35DA5213"/>
    <w:rsid w:val="35E542AE"/>
    <w:rsid w:val="35EE7B1B"/>
    <w:rsid w:val="35F65FAD"/>
    <w:rsid w:val="36202050"/>
    <w:rsid w:val="364A7C84"/>
    <w:rsid w:val="36605016"/>
    <w:rsid w:val="366B7A53"/>
    <w:rsid w:val="366D649A"/>
    <w:rsid w:val="368259EE"/>
    <w:rsid w:val="3689301E"/>
    <w:rsid w:val="369C7E5C"/>
    <w:rsid w:val="36A22949"/>
    <w:rsid w:val="36B523AB"/>
    <w:rsid w:val="36C76D40"/>
    <w:rsid w:val="36D75131"/>
    <w:rsid w:val="36F44E23"/>
    <w:rsid w:val="371D2966"/>
    <w:rsid w:val="373062E8"/>
    <w:rsid w:val="375C1AC9"/>
    <w:rsid w:val="37770231"/>
    <w:rsid w:val="37785098"/>
    <w:rsid w:val="377A2F51"/>
    <w:rsid w:val="377E7331"/>
    <w:rsid w:val="379038C8"/>
    <w:rsid w:val="379B1E6C"/>
    <w:rsid w:val="379D002A"/>
    <w:rsid w:val="37A6234C"/>
    <w:rsid w:val="37A907BA"/>
    <w:rsid w:val="37AF1535"/>
    <w:rsid w:val="37B13885"/>
    <w:rsid w:val="37CA63F2"/>
    <w:rsid w:val="37CB57CA"/>
    <w:rsid w:val="37D008E0"/>
    <w:rsid w:val="37D337D1"/>
    <w:rsid w:val="37DD56C2"/>
    <w:rsid w:val="37DE20F8"/>
    <w:rsid w:val="37E731EB"/>
    <w:rsid w:val="37F16302"/>
    <w:rsid w:val="38253136"/>
    <w:rsid w:val="38372548"/>
    <w:rsid w:val="384570A4"/>
    <w:rsid w:val="38467A04"/>
    <w:rsid w:val="386B3F4B"/>
    <w:rsid w:val="38747E42"/>
    <w:rsid w:val="38781C56"/>
    <w:rsid w:val="38931748"/>
    <w:rsid w:val="38A140CE"/>
    <w:rsid w:val="38B54C1A"/>
    <w:rsid w:val="38C30240"/>
    <w:rsid w:val="38CF65F7"/>
    <w:rsid w:val="38D113BF"/>
    <w:rsid w:val="38D30895"/>
    <w:rsid w:val="38D5511D"/>
    <w:rsid w:val="38DB4DD5"/>
    <w:rsid w:val="38E80213"/>
    <w:rsid w:val="38E95212"/>
    <w:rsid w:val="38F3691D"/>
    <w:rsid w:val="3909408E"/>
    <w:rsid w:val="391C1C7A"/>
    <w:rsid w:val="39465968"/>
    <w:rsid w:val="394D1A3B"/>
    <w:rsid w:val="394F4D33"/>
    <w:rsid w:val="39514262"/>
    <w:rsid w:val="39600E80"/>
    <w:rsid w:val="39803383"/>
    <w:rsid w:val="399A429F"/>
    <w:rsid w:val="399B72BC"/>
    <w:rsid w:val="39A73391"/>
    <w:rsid w:val="39A95A0D"/>
    <w:rsid w:val="39C70EC1"/>
    <w:rsid w:val="39E779C9"/>
    <w:rsid w:val="3A01261A"/>
    <w:rsid w:val="3A1A4CEB"/>
    <w:rsid w:val="3A204DEA"/>
    <w:rsid w:val="3A247020"/>
    <w:rsid w:val="3A34341C"/>
    <w:rsid w:val="3A366570"/>
    <w:rsid w:val="3A41027E"/>
    <w:rsid w:val="3A446ABC"/>
    <w:rsid w:val="3A481E25"/>
    <w:rsid w:val="3A4F03E3"/>
    <w:rsid w:val="3A562007"/>
    <w:rsid w:val="3A632ED3"/>
    <w:rsid w:val="3A693A23"/>
    <w:rsid w:val="3A6F255F"/>
    <w:rsid w:val="3A6F6832"/>
    <w:rsid w:val="3A7431F4"/>
    <w:rsid w:val="3A90237F"/>
    <w:rsid w:val="3AA71752"/>
    <w:rsid w:val="3AAE56BF"/>
    <w:rsid w:val="3AEC01AD"/>
    <w:rsid w:val="3B002E8F"/>
    <w:rsid w:val="3B0A7991"/>
    <w:rsid w:val="3B100A85"/>
    <w:rsid w:val="3B107BEE"/>
    <w:rsid w:val="3B18283A"/>
    <w:rsid w:val="3B336F2F"/>
    <w:rsid w:val="3B567019"/>
    <w:rsid w:val="3B5C777B"/>
    <w:rsid w:val="3B691338"/>
    <w:rsid w:val="3B6B36CF"/>
    <w:rsid w:val="3B96787F"/>
    <w:rsid w:val="3BA60160"/>
    <w:rsid w:val="3BB46CD1"/>
    <w:rsid w:val="3BB6128D"/>
    <w:rsid w:val="3BD11411"/>
    <w:rsid w:val="3BD837A5"/>
    <w:rsid w:val="3BE05196"/>
    <w:rsid w:val="3BED4242"/>
    <w:rsid w:val="3BFC12CF"/>
    <w:rsid w:val="3C173EBE"/>
    <w:rsid w:val="3C211702"/>
    <w:rsid w:val="3C302F03"/>
    <w:rsid w:val="3C317DDD"/>
    <w:rsid w:val="3C336F35"/>
    <w:rsid w:val="3C3D3F09"/>
    <w:rsid w:val="3C457CDF"/>
    <w:rsid w:val="3C61573F"/>
    <w:rsid w:val="3C6E3E60"/>
    <w:rsid w:val="3C742BEB"/>
    <w:rsid w:val="3C744F7F"/>
    <w:rsid w:val="3C857740"/>
    <w:rsid w:val="3C8E02B7"/>
    <w:rsid w:val="3CA732CA"/>
    <w:rsid w:val="3CB004C5"/>
    <w:rsid w:val="3CB35047"/>
    <w:rsid w:val="3CB47F7E"/>
    <w:rsid w:val="3CB603EF"/>
    <w:rsid w:val="3CD82621"/>
    <w:rsid w:val="3CDD69B2"/>
    <w:rsid w:val="3CEA693F"/>
    <w:rsid w:val="3CEF1648"/>
    <w:rsid w:val="3D0D0F5F"/>
    <w:rsid w:val="3D0D55A5"/>
    <w:rsid w:val="3D187CD8"/>
    <w:rsid w:val="3D324998"/>
    <w:rsid w:val="3D354C10"/>
    <w:rsid w:val="3D475AFB"/>
    <w:rsid w:val="3D4C43AF"/>
    <w:rsid w:val="3D502422"/>
    <w:rsid w:val="3D5275CE"/>
    <w:rsid w:val="3D5404DD"/>
    <w:rsid w:val="3D5941EB"/>
    <w:rsid w:val="3D5C2503"/>
    <w:rsid w:val="3D6341E4"/>
    <w:rsid w:val="3D6A48AA"/>
    <w:rsid w:val="3D6D23E3"/>
    <w:rsid w:val="3D7C1281"/>
    <w:rsid w:val="3D821B83"/>
    <w:rsid w:val="3D8D1DDC"/>
    <w:rsid w:val="3D995C7E"/>
    <w:rsid w:val="3DA61EAB"/>
    <w:rsid w:val="3DBA29C6"/>
    <w:rsid w:val="3DCE2E82"/>
    <w:rsid w:val="3DD2333F"/>
    <w:rsid w:val="3DEC316F"/>
    <w:rsid w:val="3E000E38"/>
    <w:rsid w:val="3E037731"/>
    <w:rsid w:val="3E0F09D9"/>
    <w:rsid w:val="3E1646C1"/>
    <w:rsid w:val="3E247488"/>
    <w:rsid w:val="3E305EE4"/>
    <w:rsid w:val="3E360DF6"/>
    <w:rsid w:val="3E3D25F5"/>
    <w:rsid w:val="3E4E6762"/>
    <w:rsid w:val="3E536D63"/>
    <w:rsid w:val="3E5F5CBB"/>
    <w:rsid w:val="3E616BAF"/>
    <w:rsid w:val="3E70166E"/>
    <w:rsid w:val="3E752011"/>
    <w:rsid w:val="3E8270FA"/>
    <w:rsid w:val="3E8E2505"/>
    <w:rsid w:val="3E8F0C9A"/>
    <w:rsid w:val="3E9953AC"/>
    <w:rsid w:val="3E9D3F84"/>
    <w:rsid w:val="3E9F3605"/>
    <w:rsid w:val="3EAF142E"/>
    <w:rsid w:val="3EB41061"/>
    <w:rsid w:val="3EEC1C8D"/>
    <w:rsid w:val="3EF15A07"/>
    <w:rsid w:val="3EFC4AE4"/>
    <w:rsid w:val="3F0C0C5D"/>
    <w:rsid w:val="3F152EE5"/>
    <w:rsid w:val="3F1C492B"/>
    <w:rsid w:val="3F310E2B"/>
    <w:rsid w:val="3F3E5B85"/>
    <w:rsid w:val="3F4D19AF"/>
    <w:rsid w:val="3F691A99"/>
    <w:rsid w:val="3F837DDF"/>
    <w:rsid w:val="3F8B7DD4"/>
    <w:rsid w:val="3F901403"/>
    <w:rsid w:val="3FA21405"/>
    <w:rsid w:val="3FA96E5D"/>
    <w:rsid w:val="3FC04528"/>
    <w:rsid w:val="3FCB012B"/>
    <w:rsid w:val="3FD00447"/>
    <w:rsid w:val="3FD27B2E"/>
    <w:rsid w:val="3FE71238"/>
    <w:rsid w:val="3FEE1DE8"/>
    <w:rsid w:val="3FFE5EFF"/>
    <w:rsid w:val="40171145"/>
    <w:rsid w:val="402104DC"/>
    <w:rsid w:val="402D3537"/>
    <w:rsid w:val="403075F2"/>
    <w:rsid w:val="40395203"/>
    <w:rsid w:val="40480E8F"/>
    <w:rsid w:val="404D32CE"/>
    <w:rsid w:val="40662C29"/>
    <w:rsid w:val="40742438"/>
    <w:rsid w:val="40791098"/>
    <w:rsid w:val="40932E75"/>
    <w:rsid w:val="409865C2"/>
    <w:rsid w:val="40A70377"/>
    <w:rsid w:val="40BC5D67"/>
    <w:rsid w:val="40CA2A6E"/>
    <w:rsid w:val="40CC7CA3"/>
    <w:rsid w:val="40D775A2"/>
    <w:rsid w:val="40DC23A0"/>
    <w:rsid w:val="40EE33BE"/>
    <w:rsid w:val="40F61783"/>
    <w:rsid w:val="4100601D"/>
    <w:rsid w:val="410D75D5"/>
    <w:rsid w:val="411A76EB"/>
    <w:rsid w:val="411E3000"/>
    <w:rsid w:val="41402C24"/>
    <w:rsid w:val="414E7345"/>
    <w:rsid w:val="41546D3E"/>
    <w:rsid w:val="41591FEE"/>
    <w:rsid w:val="41696F7F"/>
    <w:rsid w:val="416A086A"/>
    <w:rsid w:val="417240B9"/>
    <w:rsid w:val="417C0D06"/>
    <w:rsid w:val="417C577C"/>
    <w:rsid w:val="418B25AA"/>
    <w:rsid w:val="418D33B3"/>
    <w:rsid w:val="418E56CE"/>
    <w:rsid w:val="41925E9B"/>
    <w:rsid w:val="419B0F19"/>
    <w:rsid w:val="419B1BC4"/>
    <w:rsid w:val="419D5169"/>
    <w:rsid w:val="419D7C05"/>
    <w:rsid w:val="41A33A51"/>
    <w:rsid w:val="41A46863"/>
    <w:rsid w:val="41A739EA"/>
    <w:rsid w:val="41B3371C"/>
    <w:rsid w:val="41B4302C"/>
    <w:rsid w:val="41CC67E1"/>
    <w:rsid w:val="41DA3C01"/>
    <w:rsid w:val="41E3266D"/>
    <w:rsid w:val="41E5665C"/>
    <w:rsid w:val="41E70FD1"/>
    <w:rsid w:val="41F604FA"/>
    <w:rsid w:val="41FE6085"/>
    <w:rsid w:val="42013C9E"/>
    <w:rsid w:val="420F24CA"/>
    <w:rsid w:val="421C0994"/>
    <w:rsid w:val="42475B19"/>
    <w:rsid w:val="424F02B6"/>
    <w:rsid w:val="42523372"/>
    <w:rsid w:val="42672C44"/>
    <w:rsid w:val="42683145"/>
    <w:rsid w:val="427133C0"/>
    <w:rsid w:val="42715180"/>
    <w:rsid w:val="4277762F"/>
    <w:rsid w:val="428E0BFE"/>
    <w:rsid w:val="429D7D7D"/>
    <w:rsid w:val="42B06FDD"/>
    <w:rsid w:val="42B23DF0"/>
    <w:rsid w:val="42B45768"/>
    <w:rsid w:val="42D60862"/>
    <w:rsid w:val="42DD7341"/>
    <w:rsid w:val="42E637C3"/>
    <w:rsid w:val="42E90AC3"/>
    <w:rsid w:val="42FD1410"/>
    <w:rsid w:val="430C488E"/>
    <w:rsid w:val="43184FA0"/>
    <w:rsid w:val="431F563A"/>
    <w:rsid w:val="432151DF"/>
    <w:rsid w:val="432A3E0D"/>
    <w:rsid w:val="432D0CD2"/>
    <w:rsid w:val="4338356A"/>
    <w:rsid w:val="433E24EE"/>
    <w:rsid w:val="43412F21"/>
    <w:rsid w:val="4348259E"/>
    <w:rsid w:val="434C0977"/>
    <w:rsid w:val="434D5EB2"/>
    <w:rsid w:val="43604502"/>
    <w:rsid w:val="436D2D59"/>
    <w:rsid w:val="43705840"/>
    <w:rsid w:val="437E6752"/>
    <w:rsid w:val="43803823"/>
    <w:rsid w:val="43885FA8"/>
    <w:rsid w:val="438D2FF7"/>
    <w:rsid w:val="43972914"/>
    <w:rsid w:val="43AF6845"/>
    <w:rsid w:val="43CC31B4"/>
    <w:rsid w:val="43CC79E5"/>
    <w:rsid w:val="43D44FF8"/>
    <w:rsid w:val="441557E3"/>
    <w:rsid w:val="44226F3F"/>
    <w:rsid w:val="4425659D"/>
    <w:rsid w:val="44286453"/>
    <w:rsid w:val="44371554"/>
    <w:rsid w:val="444B4817"/>
    <w:rsid w:val="444C54FC"/>
    <w:rsid w:val="444F2685"/>
    <w:rsid w:val="44615639"/>
    <w:rsid w:val="44762FC6"/>
    <w:rsid w:val="44807EEA"/>
    <w:rsid w:val="4488431A"/>
    <w:rsid w:val="448F5706"/>
    <w:rsid w:val="44944331"/>
    <w:rsid w:val="449A539D"/>
    <w:rsid w:val="44A538D4"/>
    <w:rsid w:val="44B05905"/>
    <w:rsid w:val="44B67F0B"/>
    <w:rsid w:val="44BB1103"/>
    <w:rsid w:val="44E81308"/>
    <w:rsid w:val="451317C4"/>
    <w:rsid w:val="45146D13"/>
    <w:rsid w:val="45252A65"/>
    <w:rsid w:val="45575AD5"/>
    <w:rsid w:val="455907EE"/>
    <w:rsid w:val="457E0115"/>
    <w:rsid w:val="459B774E"/>
    <w:rsid w:val="45B72AB1"/>
    <w:rsid w:val="45BA079F"/>
    <w:rsid w:val="45C13698"/>
    <w:rsid w:val="45CC0EF3"/>
    <w:rsid w:val="45CF5AD4"/>
    <w:rsid w:val="45D61E17"/>
    <w:rsid w:val="45DD06D9"/>
    <w:rsid w:val="460D21F2"/>
    <w:rsid w:val="460E0469"/>
    <w:rsid w:val="460E0A15"/>
    <w:rsid w:val="461909E8"/>
    <w:rsid w:val="462E79C9"/>
    <w:rsid w:val="4635298E"/>
    <w:rsid w:val="46355D58"/>
    <w:rsid w:val="463C04FA"/>
    <w:rsid w:val="464050BB"/>
    <w:rsid w:val="46405C21"/>
    <w:rsid w:val="465C4E3B"/>
    <w:rsid w:val="466B6702"/>
    <w:rsid w:val="466F037A"/>
    <w:rsid w:val="467737E1"/>
    <w:rsid w:val="467C180C"/>
    <w:rsid w:val="468B577B"/>
    <w:rsid w:val="46A075FA"/>
    <w:rsid w:val="46A359DC"/>
    <w:rsid w:val="46A54FB3"/>
    <w:rsid w:val="46C826C3"/>
    <w:rsid w:val="46D040D1"/>
    <w:rsid w:val="46D47B0B"/>
    <w:rsid w:val="46D7121E"/>
    <w:rsid w:val="46E07671"/>
    <w:rsid w:val="46F84FBA"/>
    <w:rsid w:val="46FF57CE"/>
    <w:rsid w:val="47154F60"/>
    <w:rsid w:val="47162E3C"/>
    <w:rsid w:val="47476572"/>
    <w:rsid w:val="47700BCB"/>
    <w:rsid w:val="47732DB6"/>
    <w:rsid w:val="47B41393"/>
    <w:rsid w:val="47B94CE5"/>
    <w:rsid w:val="47C254B8"/>
    <w:rsid w:val="47DF082A"/>
    <w:rsid w:val="47EB5003"/>
    <w:rsid w:val="48081128"/>
    <w:rsid w:val="480D3EC3"/>
    <w:rsid w:val="48144FED"/>
    <w:rsid w:val="481E0B19"/>
    <w:rsid w:val="482B26B0"/>
    <w:rsid w:val="483A31DC"/>
    <w:rsid w:val="48440530"/>
    <w:rsid w:val="484715CC"/>
    <w:rsid w:val="484F6870"/>
    <w:rsid w:val="485D616F"/>
    <w:rsid w:val="4873370F"/>
    <w:rsid w:val="48942C25"/>
    <w:rsid w:val="4898666C"/>
    <w:rsid w:val="489B75DE"/>
    <w:rsid w:val="489C2DFD"/>
    <w:rsid w:val="489F44D2"/>
    <w:rsid w:val="48A82C22"/>
    <w:rsid w:val="48A85054"/>
    <w:rsid w:val="48AB4379"/>
    <w:rsid w:val="48B5305A"/>
    <w:rsid w:val="48B63FE7"/>
    <w:rsid w:val="48C71061"/>
    <w:rsid w:val="48CC7D6E"/>
    <w:rsid w:val="48DD5408"/>
    <w:rsid w:val="48EB5A5C"/>
    <w:rsid w:val="490B579F"/>
    <w:rsid w:val="491F0291"/>
    <w:rsid w:val="4920208E"/>
    <w:rsid w:val="492A1C6E"/>
    <w:rsid w:val="492B563D"/>
    <w:rsid w:val="492C7D33"/>
    <w:rsid w:val="4938162F"/>
    <w:rsid w:val="493A79B5"/>
    <w:rsid w:val="495061AF"/>
    <w:rsid w:val="49575C03"/>
    <w:rsid w:val="495E78EB"/>
    <w:rsid w:val="4969605D"/>
    <w:rsid w:val="496D1F2A"/>
    <w:rsid w:val="4974087A"/>
    <w:rsid w:val="497A3E68"/>
    <w:rsid w:val="497C7394"/>
    <w:rsid w:val="498A3B85"/>
    <w:rsid w:val="498B65AB"/>
    <w:rsid w:val="49AE3287"/>
    <w:rsid w:val="49C65C46"/>
    <w:rsid w:val="49D021B0"/>
    <w:rsid w:val="49D61F4B"/>
    <w:rsid w:val="49D7375C"/>
    <w:rsid w:val="49E81BC9"/>
    <w:rsid w:val="49EC64E1"/>
    <w:rsid w:val="4A11668C"/>
    <w:rsid w:val="4A3546EB"/>
    <w:rsid w:val="4A443774"/>
    <w:rsid w:val="4A4A48A6"/>
    <w:rsid w:val="4A506B41"/>
    <w:rsid w:val="4A524812"/>
    <w:rsid w:val="4A526073"/>
    <w:rsid w:val="4A56215E"/>
    <w:rsid w:val="4A5D4A40"/>
    <w:rsid w:val="4A63534F"/>
    <w:rsid w:val="4A6C1B50"/>
    <w:rsid w:val="4A7E40F2"/>
    <w:rsid w:val="4A8561F1"/>
    <w:rsid w:val="4A8D25E3"/>
    <w:rsid w:val="4A943BC6"/>
    <w:rsid w:val="4A977A4A"/>
    <w:rsid w:val="4AA30352"/>
    <w:rsid w:val="4AAF17A9"/>
    <w:rsid w:val="4ABA7840"/>
    <w:rsid w:val="4AE623A4"/>
    <w:rsid w:val="4AE74F60"/>
    <w:rsid w:val="4AFF5CC6"/>
    <w:rsid w:val="4B1D3A51"/>
    <w:rsid w:val="4B280F1E"/>
    <w:rsid w:val="4B2B3281"/>
    <w:rsid w:val="4B2D7893"/>
    <w:rsid w:val="4B3D4E30"/>
    <w:rsid w:val="4B3E3461"/>
    <w:rsid w:val="4B411E5A"/>
    <w:rsid w:val="4B413D26"/>
    <w:rsid w:val="4B6B6050"/>
    <w:rsid w:val="4B6F51B5"/>
    <w:rsid w:val="4B8B446D"/>
    <w:rsid w:val="4B8F6756"/>
    <w:rsid w:val="4BA324C2"/>
    <w:rsid w:val="4BB317A2"/>
    <w:rsid w:val="4BC27F8D"/>
    <w:rsid w:val="4BC97047"/>
    <w:rsid w:val="4BCC6CCE"/>
    <w:rsid w:val="4BE44E6C"/>
    <w:rsid w:val="4BF446B8"/>
    <w:rsid w:val="4C003E2A"/>
    <w:rsid w:val="4C061338"/>
    <w:rsid w:val="4C061EF7"/>
    <w:rsid w:val="4C497215"/>
    <w:rsid w:val="4C4F5F99"/>
    <w:rsid w:val="4C5474C5"/>
    <w:rsid w:val="4C5D0817"/>
    <w:rsid w:val="4C5E08E0"/>
    <w:rsid w:val="4C6B0365"/>
    <w:rsid w:val="4C7C64A4"/>
    <w:rsid w:val="4C9953D8"/>
    <w:rsid w:val="4CBF4AE9"/>
    <w:rsid w:val="4CCA7CF8"/>
    <w:rsid w:val="4CCC299D"/>
    <w:rsid w:val="4D0A349B"/>
    <w:rsid w:val="4D0D2E78"/>
    <w:rsid w:val="4D0F04ED"/>
    <w:rsid w:val="4D164C7E"/>
    <w:rsid w:val="4D283FC5"/>
    <w:rsid w:val="4D384A7C"/>
    <w:rsid w:val="4D3A0411"/>
    <w:rsid w:val="4D413BC0"/>
    <w:rsid w:val="4D427C91"/>
    <w:rsid w:val="4D7706F2"/>
    <w:rsid w:val="4D845711"/>
    <w:rsid w:val="4D8A02B7"/>
    <w:rsid w:val="4DB66082"/>
    <w:rsid w:val="4DBE12C2"/>
    <w:rsid w:val="4DCE6ED3"/>
    <w:rsid w:val="4DD41DFF"/>
    <w:rsid w:val="4DEF3575"/>
    <w:rsid w:val="4DF46CF3"/>
    <w:rsid w:val="4E095444"/>
    <w:rsid w:val="4E0E40E2"/>
    <w:rsid w:val="4E333BBB"/>
    <w:rsid w:val="4E4E04E5"/>
    <w:rsid w:val="4E665F7B"/>
    <w:rsid w:val="4E6A06E9"/>
    <w:rsid w:val="4E715DB2"/>
    <w:rsid w:val="4E776B87"/>
    <w:rsid w:val="4E8E5857"/>
    <w:rsid w:val="4EC206BE"/>
    <w:rsid w:val="4EC31543"/>
    <w:rsid w:val="4EC46EFB"/>
    <w:rsid w:val="4EC7194E"/>
    <w:rsid w:val="4EC951FF"/>
    <w:rsid w:val="4ED04B02"/>
    <w:rsid w:val="4ED346CC"/>
    <w:rsid w:val="4EDD6EFA"/>
    <w:rsid w:val="4EE96853"/>
    <w:rsid w:val="4EEF4121"/>
    <w:rsid w:val="4F105F02"/>
    <w:rsid w:val="4F121BEA"/>
    <w:rsid w:val="4F172396"/>
    <w:rsid w:val="4F1D4181"/>
    <w:rsid w:val="4F3F03C1"/>
    <w:rsid w:val="4F4C2971"/>
    <w:rsid w:val="4F566ACF"/>
    <w:rsid w:val="4F6C2ECB"/>
    <w:rsid w:val="4F704BBC"/>
    <w:rsid w:val="4F8028EE"/>
    <w:rsid w:val="4F8435B4"/>
    <w:rsid w:val="4F854761"/>
    <w:rsid w:val="4F8C7DDC"/>
    <w:rsid w:val="4FAD0DF7"/>
    <w:rsid w:val="4FBC1F04"/>
    <w:rsid w:val="4FBD361C"/>
    <w:rsid w:val="4FBE1CEA"/>
    <w:rsid w:val="4FC15F00"/>
    <w:rsid w:val="4FF17370"/>
    <w:rsid w:val="4FF77C61"/>
    <w:rsid w:val="5003418D"/>
    <w:rsid w:val="50037C0C"/>
    <w:rsid w:val="500F51F9"/>
    <w:rsid w:val="50200CEA"/>
    <w:rsid w:val="502A7546"/>
    <w:rsid w:val="502E1CFA"/>
    <w:rsid w:val="50371519"/>
    <w:rsid w:val="503D6ACE"/>
    <w:rsid w:val="50447CE3"/>
    <w:rsid w:val="504570EB"/>
    <w:rsid w:val="505A0A75"/>
    <w:rsid w:val="505B05E7"/>
    <w:rsid w:val="507521C1"/>
    <w:rsid w:val="50753DB9"/>
    <w:rsid w:val="509E2BD3"/>
    <w:rsid w:val="50BC2B88"/>
    <w:rsid w:val="50C04426"/>
    <w:rsid w:val="50C7518D"/>
    <w:rsid w:val="50C95413"/>
    <w:rsid w:val="50CA4969"/>
    <w:rsid w:val="50CA58C9"/>
    <w:rsid w:val="50ED0D36"/>
    <w:rsid w:val="50F462DA"/>
    <w:rsid w:val="510B317F"/>
    <w:rsid w:val="51130AD6"/>
    <w:rsid w:val="51147068"/>
    <w:rsid w:val="511B4097"/>
    <w:rsid w:val="51216FB7"/>
    <w:rsid w:val="512452DA"/>
    <w:rsid w:val="5125611E"/>
    <w:rsid w:val="512E023D"/>
    <w:rsid w:val="513764DE"/>
    <w:rsid w:val="514C3C7B"/>
    <w:rsid w:val="515029F4"/>
    <w:rsid w:val="515B22B5"/>
    <w:rsid w:val="51777BA1"/>
    <w:rsid w:val="517A1ADB"/>
    <w:rsid w:val="517C1302"/>
    <w:rsid w:val="51901189"/>
    <w:rsid w:val="51907785"/>
    <w:rsid w:val="51952A88"/>
    <w:rsid w:val="51B23F17"/>
    <w:rsid w:val="51B661F2"/>
    <w:rsid w:val="51BB2EED"/>
    <w:rsid w:val="51E51BA8"/>
    <w:rsid w:val="51EE27E3"/>
    <w:rsid w:val="52040DD8"/>
    <w:rsid w:val="52101F45"/>
    <w:rsid w:val="52125E5B"/>
    <w:rsid w:val="5213342A"/>
    <w:rsid w:val="52163344"/>
    <w:rsid w:val="5216472B"/>
    <w:rsid w:val="52217FFE"/>
    <w:rsid w:val="5234477C"/>
    <w:rsid w:val="523449CA"/>
    <w:rsid w:val="52475C9F"/>
    <w:rsid w:val="52515077"/>
    <w:rsid w:val="525A327C"/>
    <w:rsid w:val="526C3669"/>
    <w:rsid w:val="52806E8B"/>
    <w:rsid w:val="52A84489"/>
    <w:rsid w:val="52B118DE"/>
    <w:rsid w:val="52B80D5E"/>
    <w:rsid w:val="52BF77E0"/>
    <w:rsid w:val="52C52078"/>
    <w:rsid w:val="52CB6EC0"/>
    <w:rsid w:val="52D061DA"/>
    <w:rsid w:val="52D211F8"/>
    <w:rsid w:val="52E6495A"/>
    <w:rsid w:val="52F26F28"/>
    <w:rsid w:val="53031E61"/>
    <w:rsid w:val="5315442E"/>
    <w:rsid w:val="533907AA"/>
    <w:rsid w:val="5341530E"/>
    <w:rsid w:val="534326DA"/>
    <w:rsid w:val="53434396"/>
    <w:rsid w:val="534D112E"/>
    <w:rsid w:val="535F15E8"/>
    <w:rsid w:val="53654967"/>
    <w:rsid w:val="53761C93"/>
    <w:rsid w:val="537B0A8C"/>
    <w:rsid w:val="538B1A6A"/>
    <w:rsid w:val="5393301A"/>
    <w:rsid w:val="53971518"/>
    <w:rsid w:val="5399073D"/>
    <w:rsid w:val="53991DE0"/>
    <w:rsid w:val="539C05E4"/>
    <w:rsid w:val="539E3677"/>
    <w:rsid w:val="53A84C2D"/>
    <w:rsid w:val="53AB2CD5"/>
    <w:rsid w:val="53AF23D8"/>
    <w:rsid w:val="53B31343"/>
    <w:rsid w:val="53B91D8C"/>
    <w:rsid w:val="53CA7A82"/>
    <w:rsid w:val="53CE2D5A"/>
    <w:rsid w:val="53D82514"/>
    <w:rsid w:val="53E56E6E"/>
    <w:rsid w:val="53EB2495"/>
    <w:rsid w:val="53F17662"/>
    <w:rsid w:val="54010C17"/>
    <w:rsid w:val="540366C1"/>
    <w:rsid w:val="540459D3"/>
    <w:rsid w:val="540522B5"/>
    <w:rsid w:val="542406F9"/>
    <w:rsid w:val="54283548"/>
    <w:rsid w:val="542C2C82"/>
    <w:rsid w:val="543F012A"/>
    <w:rsid w:val="546136C7"/>
    <w:rsid w:val="54635F00"/>
    <w:rsid w:val="54661F54"/>
    <w:rsid w:val="546C3F2D"/>
    <w:rsid w:val="547F46DA"/>
    <w:rsid w:val="54944893"/>
    <w:rsid w:val="549F75FE"/>
    <w:rsid w:val="54A51CC5"/>
    <w:rsid w:val="54AF6C60"/>
    <w:rsid w:val="54B52F94"/>
    <w:rsid w:val="54BD36E4"/>
    <w:rsid w:val="54DD78BD"/>
    <w:rsid w:val="54E06144"/>
    <w:rsid w:val="54E5258C"/>
    <w:rsid w:val="54F52367"/>
    <w:rsid w:val="550A393D"/>
    <w:rsid w:val="5525121F"/>
    <w:rsid w:val="555900AE"/>
    <w:rsid w:val="555B6E77"/>
    <w:rsid w:val="555E09D9"/>
    <w:rsid w:val="555E54FB"/>
    <w:rsid w:val="556B7B91"/>
    <w:rsid w:val="556D2811"/>
    <w:rsid w:val="55767F46"/>
    <w:rsid w:val="557821AC"/>
    <w:rsid w:val="55CE1AD5"/>
    <w:rsid w:val="55ED37B8"/>
    <w:rsid w:val="55F04C52"/>
    <w:rsid w:val="55F35D23"/>
    <w:rsid w:val="56281CBC"/>
    <w:rsid w:val="56333685"/>
    <w:rsid w:val="56540424"/>
    <w:rsid w:val="567466BA"/>
    <w:rsid w:val="567B7B50"/>
    <w:rsid w:val="568F0DF7"/>
    <w:rsid w:val="56A332D5"/>
    <w:rsid w:val="56AD59C6"/>
    <w:rsid w:val="56B85F25"/>
    <w:rsid w:val="56C325A5"/>
    <w:rsid w:val="56C4174F"/>
    <w:rsid w:val="56E326CF"/>
    <w:rsid w:val="56E709F8"/>
    <w:rsid w:val="56EC573B"/>
    <w:rsid w:val="56F10A56"/>
    <w:rsid w:val="56FB32FA"/>
    <w:rsid w:val="570703AF"/>
    <w:rsid w:val="572D602C"/>
    <w:rsid w:val="573221A2"/>
    <w:rsid w:val="57364D30"/>
    <w:rsid w:val="573D71D1"/>
    <w:rsid w:val="57574216"/>
    <w:rsid w:val="57611DCD"/>
    <w:rsid w:val="57636B03"/>
    <w:rsid w:val="57722EB4"/>
    <w:rsid w:val="5792740A"/>
    <w:rsid w:val="57A21363"/>
    <w:rsid w:val="57A54C20"/>
    <w:rsid w:val="57A71406"/>
    <w:rsid w:val="57B06D46"/>
    <w:rsid w:val="57B937A9"/>
    <w:rsid w:val="57BB4E50"/>
    <w:rsid w:val="57C34B39"/>
    <w:rsid w:val="57C94F80"/>
    <w:rsid w:val="57DE1F69"/>
    <w:rsid w:val="57E116B4"/>
    <w:rsid w:val="580C0140"/>
    <w:rsid w:val="580F431F"/>
    <w:rsid w:val="58100035"/>
    <w:rsid w:val="5846168C"/>
    <w:rsid w:val="587B6F7C"/>
    <w:rsid w:val="588D5412"/>
    <w:rsid w:val="58A22BE9"/>
    <w:rsid w:val="58BD6FD7"/>
    <w:rsid w:val="58C72E10"/>
    <w:rsid w:val="58DB6137"/>
    <w:rsid w:val="58E44026"/>
    <w:rsid w:val="58E67C57"/>
    <w:rsid w:val="58E94F10"/>
    <w:rsid w:val="58F965E6"/>
    <w:rsid w:val="58FA15B8"/>
    <w:rsid w:val="58FF06B6"/>
    <w:rsid w:val="59046596"/>
    <w:rsid w:val="591C3F4A"/>
    <w:rsid w:val="591F1CBF"/>
    <w:rsid w:val="592859C8"/>
    <w:rsid w:val="593E6CC6"/>
    <w:rsid w:val="59404EE0"/>
    <w:rsid w:val="594B0A62"/>
    <w:rsid w:val="594E1B0E"/>
    <w:rsid w:val="594F32F2"/>
    <w:rsid w:val="595461B1"/>
    <w:rsid w:val="59591BB8"/>
    <w:rsid w:val="595C743E"/>
    <w:rsid w:val="595E1551"/>
    <w:rsid w:val="59760077"/>
    <w:rsid w:val="59820786"/>
    <w:rsid w:val="59A774F2"/>
    <w:rsid w:val="59AD15AB"/>
    <w:rsid w:val="59CE313C"/>
    <w:rsid w:val="59E474BD"/>
    <w:rsid w:val="59E869EC"/>
    <w:rsid w:val="59FC6B89"/>
    <w:rsid w:val="5A057FD1"/>
    <w:rsid w:val="5A143012"/>
    <w:rsid w:val="5A261D0E"/>
    <w:rsid w:val="5A2907FC"/>
    <w:rsid w:val="5A2E6A84"/>
    <w:rsid w:val="5A3B0F06"/>
    <w:rsid w:val="5A412A61"/>
    <w:rsid w:val="5A4752E2"/>
    <w:rsid w:val="5A527BDD"/>
    <w:rsid w:val="5A7D1253"/>
    <w:rsid w:val="5A850E4C"/>
    <w:rsid w:val="5A905E59"/>
    <w:rsid w:val="5A9311E7"/>
    <w:rsid w:val="5AA72593"/>
    <w:rsid w:val="5AA9358C"/>
    <w:rsid w:val="5AD0373D"/>
    <w:rsid w:val="5AF46A20"/>
    <w:rsid w:val="5AF502E2"/>
    <w:rsid w:val="5AF81B7B"/>
    <w:rsid w:val="5AF86253"/>
    <w:rsid w:val="5AF91E46"/>
    <w:rsid w:val="5AFB1569"/>
    <w:rsid w:val="5B047A73"/>
    <w:rsid w:val="5B081862"/>
    <w:rsid w:val="5B0836C5"/>
    <w:rsid w:val="5B0A0B9B"/>
    <w:rsid w:val="5B1140FC"/>
    <w:rsid w:val="5B1C3DCA"/>
    <w:rsid w:val="5B1F176B"/>
    <w:rsid w:val="5B24355B"/>
    <w:rsid w:val="5B2D01BB"/>
    <w:rsid w:val="5B340596"/>
    <w:rsid w:val="5B3F26B3"/>
    <w:rsid w:val="5B467F94"/>
    <w:rsid w:val="5B491028"/>
    <w:rsid w:val="5B4B70AC"/>
    <w:rsid w:val="5B683606"/>
    <w:rsid w:val="5B7D4C61"/>
    <w:rsid w:val="5B7E3A81"/>
    <w:rsid w:val="5B850F8B"/>
    <w:rsid w:val="5B8A7522"/>
    <w:rsid w:val="5B946B5D"/>
    <w:rsid w:val="5B966752"/>
    <w:rsid w:val="5BA53E1C"/>
    <w:rsid w:val="5BA92AAB"/>
    <w:rsid w:val="5BAB0B2E"/>
    <w:rsid w:val="5BB41290"/>
    <w:rsid w:val="5BC22B58"/>
    <w:rsid w:val="5BC50503"/>
    <w:rsid w:val="5BCC4827"/>
    <w:rsid w:val="5BCD464A"/>
    <w:rsid w:val="5BF50EB6"/>
    <w:rsid w:val="5BF92128"/>
    <w:rsid w:val="5BFA7DB5"/>
    <w:rsid w:val="5BFB1F01"/>
    <w:rsid w:val="5C075DA6"/>
    <w:rsid w:val="5C162620"/>
    <w:rsid w:val="5C1D7D30"/>
    <w:rsid w:val="5C275BD4"/>
    <w:rsid w:val="5C491EC9"/>
    <w:rsid w:val="5C4B16FD"/>
    <w:rsid w:val="5C4F2E18"/>
    <w:rsid w:val="5C5028D7"/>
    <w:rsid w:val="5C6D1904"/>
    <w:rsid w:val="5C703E21"/>
    <w:rsid w:val="5C7370A0"/>
    <w:rsid w:val="5C790A6A"/>
    <w:rsid w:val="5C81109C"/>
    <w:rsid w:val="5C922FEE"/>
    <w:rsid w:val="5C9E10E9"/>
    <w:rsid w:val="5C9E40DE"/>
    <w:rsid w:val="5CA11D7F"/>
    <w:rsid w:val="5CAF4CE5"/>
    <w:rsid w:val="5CB22033"/>
    <w:rsid w:val="5CC927D0"/>
    <w:rsid w:val="5CDA6371"/>
    <w:rsid w:val="5CF30224"/>
    <w:rsid w:val="5CFC64A7"/>
    <w:rsid w:val="5D033124"/>
    <w:rsid w:val="5D1516BF"/>
    <w:rsid w:val="5D1569ED"/>
    <w:rsid w:val="5D1A5C10"/>
    <w:rsid w:val="5D1B2A4F"/>
    <w:rsid w:val="5D1B50AE"/>
    <w:rsid w:val="5D2E6665"/>
    <w:rsid w:val="5D4F34F7"/>
    <w:rsid w:val="5D521435"/>
    <w:rsid w:val="5D6031C3"/>
    <w:rsid w:val="5D623C65"/>
    <w:rsid w:val="5D653EC8"/>
    <w:rsid w:val="5D7636FE"/>
    <w:rsid w:val="5D7F7A77"/>
    <w:rsid w:val="5D810CA8"/>
    <w:rsid w:val="5D864B2F"/>
    <w:rsid w:val="5D8C1819"/>
    <w:rsid w:val="5DC12889"/>
    <w:rsid w:val="5DC477E0"/>
    <w:rsid w:val="5DCA3061"/>
    <w:rsid w:val="5DD05318"/>
    <w:rsid w:val="5DD161BA"/>
    <w:rsid w:val="5DE97207"/>
    <w:rsid w:val="5DEF6C2B"/>
    <w:rsid w:val="5DF22741"/>
    <w:rsid w:val="5DFE50F6"/>
    <w:rsid w:val="5E026A9A"/>
    <w:rsid w:val="5E123553"/>
    <w:rsid w:val="5E186B89"/>
    <w:rsid w:val="5E2D7C7A"/>
    <w:rsid w:val="5E4E3F80"/>
    <w:rsid w:val="5E5F4BD4"/>
    <w:rsid w:val="5E852B0D"/>
    <w:rsid w:val="5E8A7777"/>
    <w:rsid w:val="5E932264"/>
    <w:rsid w:val="5EA1268E"/>
    <w:rsid w:val="5EB029CD"/>
    <w:rsid w:val="5ED20F44"/>
    <w:rsid w:val="5EE7073E"/>
    <w:rsid w:val="5EEC61AE"/>
    <w:rsid w:val="5EF67A22"/>
    <w:rsid w:val="5EFB4ED5"/>
    <w:rsid w:val="5F0501F2"/>
    <w:rsid w:val="5F123BC6"/>
    <w:rsid w:val="5F184877"/>
    <w:rsid w:val="5F1A7A37"/>
    <w:rsid w:val="5F2E3F46"/>
    <w:rsid w:val="5F406402"/>
    <w:rsid w:val="5F474C09"/>
    <w:rsid w:val="5F475D4B"/>
    <w:rsid w:val="5F63419E"/>
    <w:rsid w:val="5F6B086B"/>
    <w:rsid w:val="5F736746"/>
    <w:rsid w:val="5F7B52AA"/>
    <w:rsid w:val="5F880842"/>
    <w:rsid w:val="5F8B3911"/>
    <w:rsid w:val="5FC1728F"/>
    <w:rsid w:val="5FD27659"/>
    <w:rsid w:val="5FD95A66"/>
    <w:rsid w:val="5FDF2255"/>
    <w:rsid w:val="5FDF7A00"/>
    <w:rsid w:val="5FE12AC5"/>
    <w:rsid w:val="5FF309C7"/>
    <w:rsid w:val="5FFC4765"/>
    <w:rsid w:val="60046C0F"/>
    <w:rsid w:val="600E4F7F"/>
    <w:rsid w:val="60131685"/>
    <w:rsid w:val="601327BB"/>
    <w:rsid w:val="60245068"/>
    <w:rsid w:val="60255BE3"/>
    <w:rsid w:val="602717FC"/>
    <w:rsid w:val="602A62F8"/>
    <w:rsid w:val="602C01A9"/>
    <w:rsid w:val="60351EE3"/>
    <w:rsid w:val="603B1B21"/>
    <w:rsid w:val="603F44BF"/>
    <w:rsid w:val="604270B3"/>
    <w:rsid w:val="60504051"/>
    <w:rsid w:val="607F2EF2"/>
    <w:rsid w:val="60842FF2"/>
    <w:rsid w:val="60AB7543"/>
    <w:rsid w:val="60AF5E00"/>
    <w:rsid w:val="60B1155A"/>
    <w:rsid w:val="60B357B2"/>
    <w:rsid w:val="60B54161"/>
    <w:rsid w:val="60D43BFA"/>
    <w:rsid w:val="60E142BE"/>
    <w:rsid w:val="60E16AB6"/>
    <w:rsid w:val="60E40C2C"/>
    <w:rsid w:val="60F32CD5"/>
    <w:rsid w:val="60FB6994"/>
    <w:rsid w:val="610D2A7D"/>
    <w:rsid w:val="61111BF1"/>
    <w:rsid w:val="61175A9A"/>
    <w:rsid w:val="612129FE"/>
    <w:rsid w:val="612E0294"/>
    <w:rsid w:val="61375BEC"/>
    <w:rsid w:val="614A2305"/>
    <w:rsid w:val="614E4437"/>
    <w:rsid w:val="615F1F60"/>
    <w:rsid w:val="6182631E"/>
    <w:rsid w:val="61A26760"/>
    <w:rsid w:val="61AF5CD6"/>
    <w:rsid w:val="61BC217C"/>
    <w:rsid w:val="61D9772A"/>
    <w:rsid w:val="61DA1B5D"/>
    <w:rsid w:val="61DB33CF"/>
    <w:rsid w:val="61EB4962"/>
    <w:rsid w:val="61EF0933"/>
    <w:rsid w:val="61F02594"/>
    <w:rsid w:val="61F2327B"/>
    <w:rsid w:val="61F64176"/>
    <w:rsid w:val="61F6471A"/>
    <w:rsid w:val="61FA7AC8"/>
    <w:rsid w:val="62413765"/>
    <w:rsid w:val="625A4915"/>
    <w:rsid w:val="625E2011"/>
    <w:rsid w:val="626E5BD1"/>
    <w:rsid w:val="627803DA"/>
    <w:rsid w:val="627966B2"/>
    <w:rsid w:val="62921FA4"/>
    <w:rsid w:val="62A06349"/>
    <w:rsid w:val="62BF1D8B"/>
    <w:rsid w:val="62C83DFB"/>
    <w:rsid w:val="62CB6DF0"/>
    <w:rsid w:val="62D03FE1"/>
    <w:rsid w:val="62DC2379"/>
    <w:rsid w:val="62DD3EBB"/>
    <w:rsid w:val="62EF16C5"/>
    <w:rsid w:val="62FA52C3"/>
    <w:rsid w:val="62FD5E6F"/>
    <w:rsid w:val="63077DCD"/>
    <w:rsid w:val="630C3818"/>
    <w:rsid w:val="630F08E7"/>
    <w:rsid w:val="63196725"/>
    <w:rsid w:val="631F3FB6"/>
    <w:rsid w:val="63307428"/>
    <w:rsid w:val="63356B20"/>
    <w:rsid w:val="633B4FC0"/>
    <w:rsid w:val="63446C38"/>
    <w:rsid w:val="6349142A"/>
    <w:rsid w:val="634B7547"/>
    <w:rsid w:val="63647D08"/>
    <w:rsid w:val="637B37CB"/>
    <w:rsid w:val="637E69F6"/>
    <w:rsid w:val="63AF3FD8"/>
    <w:rsid w:val="63B47AD6"/>
    <w:rsid w:val="63B55E70"/>
    <w:rsid w:val="63BD1F88"/>
    <w:rsid w:val="63D07482"/>
    <w:rsid w:val="63DE3AA9"/>
    <w:rsid w:val="63E85719"/>
    <w:rsid w:val="63F34E27"/>
    <w:rsid w:val="63FD53D7"/>
    <w:rsid w:val="640D3774"/>
    <w:rsid w:val="64190D1A"/>
    <w:rsid w:val="642E2D6E"/>
    <w:rsid w:val="642F141D"/>
    <w:rsid w:val="64387FCB"/>
    <w:rsid w:val="6439179D"/>
    <w:rsid w:val="643A7D3D"/>
    <w:rsid w:val="644845EE"/>
    <w:rsid w:val="64494CF7"/>
    <w:rsid w:val="644C43F2"/>
    <w:rsid w:val="645E071A"/>
    <w:rsid w:val="64611864"/>
    <w:rsid w:val="6465357A"/>
    <w:rsid w:val="64704226"/>
    <w:rsid w:val="64730B58"/>
    <w:rsid w:val="647E3F09"/>
    <w:rsid w:val="64870014"/>
    <w:rsid w:val="64B42AB0"/>
    <w:rsid w:val="64B76AA3"/>
    <w:rsid w:val="64C61C82"/>
    <w:rsid w:val="64D124DB"/>
    <w:rsid w:val="64EB099D"/>
    <w:rsid w:val="65012AAF"/>
    <w:rsid w:val="65233DA8"/>
    <w:rsid w:val="652860EC"/>
    <w:rsid w:val="652A1A84"/>
    <w:rsid w:val="652A5D21"/>
    <w:rsid w:val="653E034D"/>
    <w:rsid w:val="65480BBE"/>
    <w:rsid w:val="6550438A"/>
    <w:rsid w:val="6554639C"/>
    <w:rsid w:val="65687D20"/>
    <w:rsid w:val="656A7AEB"/>
    <w:rsid w:val="656D1690"/>
    <w:rsid w:val="657B264C"/>
    <w:rsid w:val="657C3759"/>
    <w:rsid w:val="659052F9"/>
    <w:rsid w:val="65933B3C"/>
    <w:rsid w:val="65AE026A"/>
    <w:rsid w:val="65B955CA"/>
    <w:rsid w:val="65BE6C54"/>
    <w:rsid w:val="65CC3546"/>
    <w:rsid w:val="65CE71FF"/>
    <w:rsid w:val="65EE73B7"/>
    <w:rsid w:val="65F9071E"/>
    <w:rsid w:val="66087C36"/>
    <w:rsid w:val="660A413F"/>
    <w:rsid w:val="661A0E12"/>
    <w:rsid w:val="66214D7C"/>
    <w:rsid w:val="6624580B"/>
    <w:rsid w:val="6625001A"/>
    <w:rsid w:val="662A15EB"/>
    <w:rsid w:val="66356B67"/>
    <w:rsid w:val="665078F8"/>
    <w:rsid w:val="66760042"/>
    <w:rsid w:val="667B6C3F"/>
    <w:rsid w:val="66823E25"/>
    <w:rsid w:val="66933BD2"/>
    <w:rsid w:val="66B40E42"/>
    <w:rsid w:val="66B56D61"/>
    <w:rsid w:val="66B56D68"/>
    <w:rsid w:val="66D62F3C"/>
    <w:rsid w:val="66DA6071"/>
    <w:rsid w:val="66E9392A"/>
    <w:rsid w:val="66EA1480"/>
    <w:rsid w:val="67056631"/>
    <w:rsid w:val="67126948"/>
    <w:rsid w:val="6715177C"/>
    <w:rsid w:val="67231659"/>
    <w:rsid w:val="6730681F"/>
    <w:rsid w:val="674056F4"/>
    <w:rsid w:val="6745249B"/>
    <w:rsid w:val="674672D3"/>
    <w:rsid w:val="67622FB4"/>
    <w:rsid w:val="676E6425"/>
    <w:rsid w:val="67770DB9"/>
    <w:rsid w:val="67776ADD"/>
    <w:rsid w:val="6779797F"/>
    <w:rsid w:val="6789047F"/>
    <w:rsid w:val="67A27AF8"/>
    <w:rsid w:val="67A720F6"/>
    <w:rsid w:val="67A85D26"/>
    <w:rsid w:val="67AC1398"/>
    <w:rsid w:val="67E7540E"/>
    <w:rsid w:val="67EA1736"/>
    <w:rsid w:val="67F509D9"/>
    <w:rsid w:val="67FC02AC"/>
    <w:rsid w:val="68006207"/>
    <w:rsid w:val="68070E08"/>
    <w:rsid w:val="680E4CA4"/>
    <w:rsid w:val="682D2C3F"/>
    <w:rsid w:val="682D432C"/>
    <w:rsid w:val="68382592"/>
    <w:rsid w:val="684159B8"/>
    <w:rsid w:val="6844604B"/>
    <w:rsid w:val="684A32DA"/>
    <w:rsid w:val="684F053A"/>
    <w:rsid w:val="68524FFC"/>
    <w:rsid w:val="686541B5"/>
    <w:rsid w:val="68777EDD"/>
    <w:rsid w:val="68784674"/>
    <w:rsid w:val="687C00C8"/>
    <w:rsid w:val="687C4042"/>
    <w:rsid w:val="68A742AD"/>
    <w:rsid w:val="68B71B00"/>
    <w:rsid w:val="68B87F12"/>
    <w:rsid w:val="68C25CFA"/>
    <w:rsid w:val="68C731B8"/>
    <w:rsid w:val="68D536DE"/>
    <w:rsid w:val="68E62895"/>
    <w:rsid w:val="69044A5D"/>
    <w:rsid w:val="691052CA"/>
    <w:rsid w:val="69194464"/>
    <w:rsid w:val="691D05F7"/>
    <w:rsid w:val="69256624"/>
    <w:rsid w:val="69312B59"/>
    <w:rsid w:val="69446209"/>
    <w:rsid w:val="694E271E"/>
    <w:rsid w:val="6950021E"/>
    <w:rsid w:val="69534859"/>
    <w:rsid w:val="69726337"/>
    <w:rsid w:val="69787B08"/>
    <w:rsid w:val="698B1B24"/>
    <w:rsid w:val="6994580C"/>
    <w:rsid w:val="69A66C99"/>
    <w:rsid w:val="69B75241"/>
    <w:rsid w:val="69BB0755"/>
    <w:rsid w:val="69CD6D6F"/>
    <w:rsid w:val="69FB0A5B"/>
    <w:rsid w:val="6A017D36"/>
    <w:rsid w:val="6A0D79AA"/>
    <w:rsid w:val="6A115C81"/>
    <w:rsid w:val="6A162FAD"/>
    <w:rsid w:val="6A165F97"/>
    <w:rsid w:val="6A22015C"/>
    <w:rsid w:val="6A6E45DE"/>
    <w:rsid w:val="6A7A60F7"/>
    <w:rsid w:val="6A7E417E"/>
    <w:rsid w:val="6A9C36E2"/>
    <w:rsid w:val="6AAC2E76"/>
    <w:rsid w:val="6AB90DA9"/>
    <w:rsid w:val="6AD73CE6"/>
    <w:rsid w:val="6AE03E44"/>
    <w:rsid w:val="6AEE1969"/>
    <w:rsid w:val="6AF4494F"/>
    <w:rsid w:val="6B0A125F"/>
    <w:rsid w:val="6B1834FD"/>
    <w:rsid w:val="6B23484A"/>
    <w:rsid w:val="6B2E5652"/>
    <w:rsid w:val="6B30457A"/>
    <w:rsid w:val="6B3B1CB3"/>
    <w:rsid w:val="6B43702A"/>
    <w:rsid w:val="6B446AE6"/>
    <w:rsid w:val="6B524C27"/>
    <w:rsid w:val="6B5A1EC9"/>
    <w:rsid w:val="6B670A05"/>
    <w:rsid w:val="6B7308B4"/>
    <w:rsid w:val="6B744505"/>
    <w:rsid w:val="6B7B26EC"/>
    <w:rsid w:val="6B990784"/>
    <w:rsid w:val="6BA2498F"/>
    <w:rsid w:val="6BB93C93"/>
    <w:rsid w:val="6BBC51E6"/>
    <w:rsid w:val="6BBF609A"/>
    <w:rsid w:val="6BC012E3"/>
    <w:rsid w:val="6BC33B55"/>
    <w:rsid w:val="6BCA0F7D"/>
    <w:rsid w:val="6BDE4DDD"/>
    <w:rsid w:val="6BE07242"/>
    <w:rsid w:val="6BE5514A"/>
    <w:rsid w:val="6BE82C3E"/>
    <w:rsid w:val="6BE972DB"/>
    <w:rsid w:val="6BFE0452"/>
    <w:rsid w:val="6C0F2440"/>
    <w:rsid w:val="6C176418"/>
    <w:rsid w:val="6C247F63"/>
    <w:rsid w:val="6C392A9F"/>
    <w:rsid w:val="6C452784"/>
    <w:rsid w:val="6C4D097B"/>
    <w:rsid w:val="6C524744"/>
    <w:rsid w:val="6C531367"/>
    <w:rsid w:val="6C5973BD"/>
    <w:rsid w:val="6C5F452A"/>
    <w:rsid w:val="6C762792"/>
    <w:rsid w:val="6C7D1213"/>
    <w:rsid w:val="6C801375"/>
    <w:rsid w:val="6C822E35"/>
    <w:rsid w:val="6CA31B9D"/>
    <w:rsid w:val="6CA714E6"/>
    <w:rsid w:val="6CEF6EBD"/>
    <w:rsid w:val="6CF01C95"/>
    <w:rsid w:val="6CF542B7"/>
    <w:rsid w:val="6CFA3A07"/>
    <w:rsid w:val="6D0071CD"/>
    <w:rsid w:val="6D18295E"/>
    <w:rsid w:val="6D1A13F6"/>
    <w:rsid w:val="6D1F12FA"/>
    <w:rsid w:val="6D206AE2"/>
    <w:rsid w:val="6D2236B9"/>
    <w:rsid w:val="6D497025"/>
    <w:rsid w:val="6D5941BB"/>
    <w:rsid w:val="6D5B0CBD"/>
    <w:rsid w:val="6D6D33F8"/>
    <w:rsid w:val="6D6F3AB1"/>
    <w:rsid w:val="6D72010C"/>
    <w:rsid w:val="6D73256C"/>
    <w:rsid w:val="6D760430"/>
    <w:rsid w:val="6D76784D"/>
    <w:rsid w:val="6D8A08D8"/>
    <w:rsid w:val="6D9541F5"/>
    <w:rsid w:val="6D961017"/>
    <w:rsid w:val="6D9F05AA"/>
    <w:rsid w:val="6DBF3CF2"/>
    <w:rsid w:val="6DCD4F84"/>
    <w:rsid w:val="6DCE3EDB"/>
    <w:rsid w:val="6DD23F1E"/>
    <w:rsid w:val="6DD4500A"/>
    <w:rsid w:val="6DDB4275"/>
    <w:rsid w:val="6DEE2081"/>
    <w:rsid w:val="6E0135EB"/>
    <w:rsid w:val="6E0A26D3"/>
    <w:rsid w:val="6E1B7D7D"/>
    <w:rsid w:val="6E210E7D"/>
    <w:rsid w:val="6E336938"/>
    <w:rsid w:val="6E360304"/>
    <w:rsid w:val="6E4C0EF4"/>
    <w:rsid w:val="6E4E028C"/>
    <w:rsid w:val="6E565A56"/>
    <w:rsid w:val="6E5C1E9E"/>
    <w:rsid w:val="6E5D68D3"/>
    <w:rsid w:val="6E6611F0"/>
    <w:rsid w:val="6E682450"/>
    <w:rsid w:val="6E6A511F"/>
    <w:rsid w:val="6E720DA7"/>
    <w:rsid w:val="6E7251F0"/>
    <w:rsid w:val="6E757524"/>
    <w:rsid w:val="6E7934F3"/>
    <w:rsid w:val="6E9C5623"/>
    <w:rsid w:val="6E9E05A5"/>
    <w:rsid w:val="6EAD6286"/>
    <w:rsid w:val="6EB147D3"/>
    <w:rsid w:val="6EB24C59"/>
    <w:rsid w:val="6EBD3CCD"/>
    <w:rsid w:val="6EC9468F"/>
    <w:rsid w:val="6ECD60E1"/>
    <w:rsid w:val="6EDB6C60"/>
    <w:rsid w:val="6EE64158"/>
    <w:rsid w:val="6F0F28B8"/>
    <w:rsid w:val="6F2428C0"/>
    <w:rsid w:val="6F350CF1"/>
    <w:rsid w:val="6F3A17D7"/>
    <w:rsid w:val="6F433285"/>
    <w:rsid w:val="6F5437E3"/>
    <w:rsid w:val="6F591B5D"/>
    <w:rsid w:val="6F6127DE"/>
    <w:rsid w:val="6F746E24"/>
    <w:rsid w:val="6F7E65DB"/>
    <w:rsid w:val="6F7F6D3A"/>
    <w:rsid w:val="6F8D476D"/>
    <w:rsid w:val="6F9016E6"/>
    <w:rsid w:val="6F981073"/>
    <w:rsid w:val="6FA172A4"/>
    <w:rsid w:val="6FAE5CE6"/>
    <w:rsid w:val="6FE07DD0"/>
    <w:rsid w:val="6FEC6F26"/>
    <w:rsid w:val="6FF72D78"/>
    <w:rsid w:val="6FFF65EB"/>
    <w:rsid w:val="701A7D3E"/>
    <w:rsid w:val="702D3A00"/>
    <w:rsid w:val="70341230"/>
    <w:rsid w:val="70342FAD"/>
    <w:rsid w:val="7034472B"/>
    <w:rsid w:val="704310F0"/>
    <w:rsid w:val="705A14E5"/>
    <w:rsid w:val="705A4D1B"/>
    <w:rsid w:val="705F37D3"/>
    <w:rsid w:val="707A4F0F"/>
    <w:rsid w:val="7084369E"/>
    <w:rsid w:val="708B108A"/>
    <w:rsid w:val="709143C4"/>
    <w:rsid w:val="70930271"/>
    <w:rsid w:val="70CB3DC2"/>
    <w:rsid w:val="70DB5146"/>
    <w:rsid w:val="70E51B6F"/>
    <w:rsid w:val="70E561EA"/>
    <w:rsid w:val="70F40322"/>
    <w:rsid w:val="70FA4092"/>
    <w:rsid w:val="70FC3C7A"/>
    <w:rsid w:val="71075B1A"/>
    <w:rsid w:val="710E7F44"/>
    <w:rsid w:val="71193089"/>
    <w:rsid w:val="71211292"/>
    <w:rsid w:val="71243B68"/>
    <w:rsid w:val="712776C4"/>
    <w:rsid w:val="71371DE7"/>
    <w:rsid w:val="714344B4"/>
    <w:rsid w:val="71594A7F"/>
    <w:rsid w:val="71654226"/>
    <w:rsid w:val="716F3057"/>
    <w:rsid w:val="7181738B"/>
    <w:rsid w:val="71820038"/>
    <w:rsid w:val="71860B86"/>
    <w:rsid w:val="718B1478"/>
    <w:rsid w:val="71945B7D"/>
    <w:rsid w:val="71990145"/>
    <w:rsid w:val="719E164B"/>
    <w:rsid w:val="71A6693A"/>
    <w:rsid w:val="71AD6080"/>
    <w:rsid w:val="71BB33A2"/>
    <w:rsid w:val="71C01671"/>
    <w:rsid w:val="71C12788"/>
    <w:rsid w:val="71C90ED8"/>
    <w:rsid w:val="71D72430"/>
    <w:rsid w:val="71E12038"/>
    <w:rsid w:val="720A6753"/>
    <w:rsid w:val="720F4AFB"/>
    <w:rsid w:val="72112B83"/>
    <w:rsid w:val="72143F3C"/>
    <w:rsid w:val="721F61D9"/>
    <w:rsid w:val="72356373"/>
    <w:rsid w:val="723D42BE"/>
    <w:rsid w:val="72412901"/>
    <w:rsid w:val="72553DBC"/>
    <w:rsid w:val="72777556"/>
    <w:rsid w:val="72887B37"/>
    <w:rsid w:val="72910320"/>
    <w:rsid w:val="72A53302"/>
    <w:rsid w:val="72B3410C"/>
    <w:rsid w:val="72BD6DA9"/>
    <w:rsid w:val="72C374FB"/>
    <w:rsid w:val="72CB01B8"/>
    <w:rsid w:val="72CB5E1F"/>
    <w:rsid w:val="72D95B00"/>
    <w:rsid w:val="72F66709"/>
    <w:rsid w:val="730554B3"/>
    <w:rsid w:val="73092FAA"/>
    <w:rsid w:val="73272012"/>
    <w:rsid w:val="732C3102"/>
    <w:rsid w:val="73413694"/>
    <w:rsid w:val="734608F5"/>
    <w:rsid w:val="7365663A"/>
    <w:rsid w:val="736D4BAC"/>
    <w:rsid w:val="736F1AFC"/>
    <w:rsid w:val="739B5B15"/>
    <w:rsid w:val="73A37548"/>
    <w:rsid w:val="73B36872"/>
    <w:rsid w:val="73BA58B5"/>
    <w:rsid w:val="73C315CB"/>
    <w:rsid w:val="73C76141"/>
    <w:rsid w:val="73CA3FB8"/>
    <w:rsid w:val="73E63732"/>
    <w:rsid w:val="73EC345F"/>
    <w:rsid w:val="73F34510"/>
    <w:rsid w:val="73FD1118"/>
    <w:rsid w:val="74090510"/>
    <w:rsid w:val="740E2D2D"/>
    <w:rsid w:val="7410282D"/>
    <w:rsid w:val="741752A2"/>
    <w:rsid w:val="74223A5C"/>
    <w:rsid w:val="742661E9"/>
    <w:rsid w:val="746075B0"/>
    <w:rsid w:val="746B6757"/>
    <w:rsid w:val="74780C44"/>
    <w:rsid w:val="7479294A"/>
    <w:rsid w:val="74794607"/>
    <w:rsid w:val="747B5C9D"/>
    <w:rsid w:val="747F1177"/>
    <w:rsid w:val="748028C0"/>
    <w:rsid w:val="748431AE"/>
    <w:rsid w:val="7499003B"/>
    <w:rsid w:val="74A471EE"/>
    <w:rsid w:val="74AB58BC"/>
    <w:rsid w:val="74AF159B"/>
    <w:rsid w:val="74C111AB"/>
    <w:rsid w:val="74C768EE"/>
    <w:rsid w:val="74CA493F"/>
    <w:rsid w:val="74E97F38"/>
    <w:rsid w:val="74ED6920"/>
    <w:rsid w:val="74F13E40"/>
    <w:rsid w:val="75065956"/>
    <w:rsid w:val="750B1697"/>
    <w:rsid w:val="7525120A"/>
    <w:rsid w:val="752A3F7B"/>
    <w:rsid w:val="7533655A"/>
    <w:rsid w:val="754222FC"/>
    <w:rsid w:val="75444F15"/>
    <w:rsid w:val="75485488"/>
    <w:rsid w:val="75692896"/>
    <w:rsid w:val="75733C39"/>
    <w:rsid w:val="758516A2"/>
    <w:rsid w:val="758D195C"/>
    <w:rsid w:val="759176D7"/>
    <w:rsid w:val="759A2104"/>
    <w:rsid w:val="75B35E00"/>
    <w:rsid w:val="75CD1343"/>
    <w:rsid w:val="75EB2F64"/>
    <w:rsid w:val="75F04A64"/>
    <w:rsid w:val="76090780"/>
    <w:rsid w:val="7609404D"/>
    <w:rsid w:val="760F1847"/>
    <w:rsid w:val="76192C32"/>
    <w:rsid w:val="761D1573"/>
    <w:rsid w:val="761F64EF"/>
    <w:rsid w:val="76281DF8"/>
    <w:rsid w:val="7638029A"/>
    <w:rsid w:val="763929C4"/>
    <w:rsid w:val="764F131A"/>
    <w:rsid w:val="765B6CE9"/>
    <w:rsid w:val="765D3DA8"/>
    <w:rsid w:val="7661178C"/>
    <w:rsid w:val="766740C2"/>
    <w:rsid w:val="766852F0"/>
    <w:rsid w:val="766A6521"/>
    <w:rsid w:val="766C7968"/>
    <w:rsid w:val="766E7DAC"/>
    <w:rsid w:val="7675564C"/>
    <w:rsid w:val="76836254"/>
    <w:rsid w:val="76936F16"/>
    <w:rsid w:val="76993FC0"/>
    <w:rsid w:val="76A10D28"/>
    <w:rsid w:val="76A64EB2"/>
    <w:rsid w:val="76BC1014"/>
    <w:rsid w:val="76D7331B"/>
    <w:rsid w:val="77025DC3"/>
    <w:rsid w:val="772354E1"/>
    <w:rsid w:val="77276E30"/>
    <w:rsid w:val="772C68C6"/>
    <w:rsid w:val="773E0DC5"/>
    <w:rsid w:val="77594BC8"/>
    <w:rsid w:val="77652DD1"/>
    <w:rsid w:val="776C53FF"/>
    <w:rsid w:val="776E3681"/>
    <w:rsid w:val="777E5705"/>
    <w:rsid w:val="7781654E"/>
    <w:rsid w:val="77881C4F"/>
    <w:rsid w:val="779231D8"/>
    <w:rsid w:val="77A618BC"/>
    <w:rsid w:val="77AD55DB"/>
    <w:rsid w:val="77B92312"/>
    <w:rsid w:val="77CC68FE"/>
    <w:rsid w:val="77DE5CDB"/>
    <w:rsid w:val="77E81BC6"/>
    <w:rsid w:val="77F67883"/>
    <w:rsid w:val="78205658"/>
    <w:rsid w:val="7827423F"/>
    <w:rsid w:val="78341E10"/>
    <w:rsid w:val="783719D4"/>
    <w:rsid w:val="78386307"/>
    <w:rsid w:val="783A63BE"/>
    <w:rsid w:val="78493B6B"/>
    <w:rsid w:val="7850391E"/>
    <w:rsid w:val="78586B5B"/>
    <w:rsid w:val="78597E32"/>
    <w:rsid w:val="78703EBE"/>
    <w:rsid w:val="78805A36"/>
    <w:rsid w:val="78830880"/>
    <w:rsid w:val="78970F49"/>
    <w:rsid w:val="78A51D8F"/>
    <w:rsid w:val="78AE0946"/>
    <w:rsid w:val="78D02D1A"/>
    <w:rsid w:val="78D1727E"/>
    <w:rsid w:val="78D17516"/>
    <w:rsid w:val="78D96E40"/>
    <w:rsid w:val="78F51C9B"/>
    <w:rsid w:val="78FE038B"/>
    <w:rsid w:val="7911644D"/>
    <w:rsid w:val="79122DD3"/>
    <w:rsid w:val="791465DF"/>
    <w:rsid w:val="791E0B4D"/>
    <w:rsid w:val="792078D7"/>
    <w:rsid w:val="79304E12"/>
    <w:rsid w:val="79331EC1"/>
    <w:rsid w:val="79404911"/>
    <w:rsid w:val="794D0D3C"/>
    <w:rsid w:val="7967360B"/>
    <w:rsid w:val="79781473"/>
    <w:rsid w:val="798348F7"/>
    <w:rsid w:val="7986601A"/>
    <w:rsid w:val="79905B9B"/>
    <w:rsid w:val="79905EB8"/>
    <w:rsid w:val="7993616D"/>
    <w:rsid w:val="799D69BF"/>
    <w:rsid w:val="799F3A31"/>
    <w:rsid w:val="79AE14B2"/>
    <w:rsid w:val="79B1687C"/>
    <w:rsid w:val="79B22738"/>
    <w:rsid w:val="79CE4B72"/>
    <w:rsid w:val="79FE0269"/>
    <w:rsid w:val="7A055366"/>
    <w:rsid w:val="7A0F46EB"/>
    <w:rsid w:val="7A292C38"/>
    <w:rsid w:val="7A49541C"/>
    <w:rsid w:val="7A5E6715"/>
    <w:rsid w:val="7A5F22B4"/>
    <w:rsid w:val="7A680094"/>
    <w:rsid w:val="7A7508D5"/>
    <w:rsid w:val="7A80455C"/>
    <w:rsid w:val="7A81102C"/>
    <w:rsid w:val="7A8D6BBC"/>
    <w:rsid w:val="7AA37ECA"/>
    <w:rsid w:val="7AB16073"/>
    <w:rsid w:val="7ABB5514"/>
    <w:rsid w:val="7AC2458A"/>
    <w:rsid w:val="7ADE3222"/>
    <w:rsid w:val="7AE33058"/>
    <w:rsid w:val="7AF037CB"/>
    <w:rsid w:val="7AF04DB0"/>
    <w:rsid w:val="7AFA759D"/>
    <w:rsid w:val="7B0D28AD"/>
    <w:rsid w:val="7B133363"/>
    <w:rsid w:val="7B1C1737"/>
    <w:rsid w:val="7B1C6082"/>
    <w:rsid w:val="7B2F5379"/>
    <w:rsid w:val="7B322761"/>
    <w:rsid w:val="7B3C2640"/>
    <w:rsid w:val="7B41164E"/>
    <w:rsid w:val="7B4443D1"/>
    <w:rsid w:val="7B69789C"/>
    <w:rsid w:val="7B875C60"/>
    <w:rsid w:val="7BA76397"/>
    <w:rsid w:val="7BB151FD"/>
    <w:rsid w:val="7BB43296"/>
    <w:rsid w:val="7BBE12F2"/>
    <w:rsid w:val="7BC94EE7"/>
    <w:rsid w:val="7BD075CC"/>
    <w:rsid w:val="7BDE6C84"/>
    <w:rsid w:val="7BE07A81"/>
    <w:rsid w:val="7BE81B8B"/>
    <w:rsid w:val="7BE97D38"/>
    <w:rsid w:val="7BED162A"/>
    <w:rsid w:val="7BF01170"/>
    <w:rsid w:val="7C272B3E"/>
    <w:rsid w:val="7C2A73E7"/>
    <w:rsid w:val="7C471D4F"/>
    <w:rsid w:val="7C573A0C"/>
    <w:rsid w:val="7C5A71C2"/>
    <w:rsid w:val="7C615DCB"/>
    <w:rsid w:val="7C7A6596"/>
    <w:rsid w:val="7CA76A22"/>
    <w:rsid w:val="7CB167D6"/>
    <w:rsid w:val="7CCC4E54"/>
    <w:rsid w:val="7CE669EE"/>
    <w:rsid w:val="7CEB2ACD"/>
    <w:rsid w:val="7CEF6F65"/>
    <w:rsid w:val="7CF41D8D"/>
    <w:rsid w:val="7D04426F"/>
    <w:rsid w:val="7D0E7370"/>
    <w:rsid w:val="7D187F51"/>
    <w:rsid w:val="7D2745EF"/>
    <w:rsid w:val="7D2D2CA0"/>
    <w:rsid w:val="7D5607A5"/>
    <w:rsid w:val="7D5C29E8"/>
    <w:rsid w:val="7D6C69AF"/>
    <w:rsid w:val="7D7A7BC6"/>
    <w:rsid w:val="7D995EB0"/>
    <w:rsid w:val="7DA26A7F"/>
    <w:rsid w:val="7DBB08B6"/>
    <w:rsid w:val="7DBC7173"/>
    <w:rsid w:val="7DC815C9"/>
    <w:rsid w:val="7DD90B59"/>
    <w:rsid w:val="7DEF15A6"/>
    <w:rsid w:val="7DFC511B"/>
    <w:rsid w:val="7E0565F6"/>
    <w:rsid w:val="7E221AFC"/>
    <w:rsid w:val="7E2A514E"/>
    <w:rsid w:val="7E2C4E20"/>
    <w:rsid w:val="7E2D20BE"/>
    <w:rsid w:val="7E35355F"/>
    <w:rsid w:val="7E4306A6"/>
    <w:rsid w:val="7E51117D"/>
    <w:rsid w:val="7E5733E1"/>
    <w:rsid w:val="7E660C33"/>
    <w:rsid w:val="7E6637F7"/>
    <w:rsid w:val="7E707801"/>
    <w:rsid w:val="7E733B66"/>
    <w:rsid w:val="7E7E43B5"/>
    <w:rsid w:val="7E8A121F"/>
    <w:rsid w:val="7EA36680"/>
    <w:rsid w:val="7EAA0237"/>
    <w:rsid w:val="7EAD5A3E"/>
    <w:rsid w:val="7EBD2CC5"/>
    <w:rsid w:val="7EBF15D0"/>
    <w:rsid w:val="7EC12AAE"/>
    <w:rsid w:val="7EC52141"/>
    <w:rsid w:val="7EC73D34"/>
    <w:rsid w:val="7ED12FEE"/>
    <w:rsid w:val="7EFD03F7"/>
    <w:rsid w:val="7F1648D6"/>
    <w:rsid w:val="7F1A7CDF"/>
    <w:rsid w:val="7F21639D"/>
    <w:rsid w:val="7F23784E"/>
    <w:rsid w:val="7F3A0E31"/>
    <w:rsid w:val="7F442E56"/>
    <w:rsid w:val="7F457080"/>
    <w:rsid w:val="7F4734EB"/>
    <w:rsid w:val="7F486BDC"/>
    <w:rsid w:val="7F493BBB"/>
    <w:rsid w:val="7F4C71A0"/>
    <w:rsid w:val="7F5124CE"/>
    <w:rsid w:val="7F5653E5"/>
    <w:rsid w:val="7F5E7B7A"/>
    <w:rsid w:val="7F6347A3"/>
    <w:rsid w:val="7F6F44D4"/>
    <w:rsid w:val="7F7B4335"/>
    <w:rsid w:val="7F8805ED"/>
    <w:rsid w:val="7FA3192C"/>
    <w:rsid w:val="7FAB42E7"/>
    <w:rsid w:val="7FB745D2"/>
    <w:rsid w:val="7FC4182D"/>
    <w:rsid w:val="7FC44AED"/>
    <w:rsid w:val="7FC459AC"/>
    <w:rsid w:val="7FD55C75"/>
    <w:rsid w:val="7FF37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spacing w:before="340" w:after="330" w:line="576" w:lineRule="auto"/>
      <w:outlineLvl w:val="0"/>
    </w:pPr>
    <w:rPr>
      <w:bCs/>
      <w:kern w:val="44"/>
      <w:sz w:val="30"/>
      <w:szCs w:val="44"/>
    </w:rPr>
  </w:style>
  <w:style w:type="paragraph" w:styleId="3">
    <w:name w:val="heading 2"/>
    <w:basedOn w:val="1"/>
    <w:next w:val="1"/>
    <w:link w:val="43"/>
    <w:qFormat/>
    <w:uiPriority w:val="0"/>
    <w:pPr>
      <w:keepNext/>
      <w:keepLines/>
      <w:spacing w:before="260" w:after="260" w:line="415" w:lineRule="auto"/>
      <w:outlineLvl w:val="1"/>
    </w:pPr>
    <w:rPr>
      <w:rFonts w:ascii="Arial" w:hAnsi="Arial"/>
      <w:bCs/>
      <w:sz w:val="28"/>
      <w:szCs w:val="32"/>
    </w:rPr>
  </w:style>
  <w:style w:type="paragraph" w:styleId="4">
    <w:name w:val="heading 3"/>
    <w:basedOn w:val="1"/>
    <w:next w:val="1"/>
    <w:link w:val="46"/>
    <w:qFormat/>
    <w:uiPriority w:val="0"/>
    <w:pPr>
      <w:keepNext/>
      <w:keepLines/>
      <w:spacing w:before="260" w:after="260" w:line="416" w:lineRule="auto"/>
      <w:outlineLvl w:val="2"/>
    </w:pPr>
    <w:rPr>
      <w:bCs/>
      <w:sz w:val="24"/>
      <w:szCs w:val="32"/>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ind w:left="1260"/>
      <w:jc w:val="left"/>
    </w:pPr>
    <w:rPr>
      <w:sz w:val="18"/>
      <w:szCs w:val="18"/>
    </w:rPr>
  </w:style>
  <w:style w:type="paragraph" w:styleId="6">
    <w:name w:val="Document Map"/>
    <w:basedOn w:val="1"/>
    <w:qFormat/>
    <w:uiPriority w:val="0"/>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5"/>
    <w:basedOn w:val="1"/>
    <w:next w:val="1"/>
    <w:semiHidden/>
    <w:qFormat/>
    <w:uiPriority w:val="0"/>
    <w:pPr>
      <w:ind w:left="840"/>
      <w:jc w:val="left"/>
    </w:pPr>
    <w:rPr>
      <w:sz w:val="18"/>
      <w:szCs w:val="18"/>
    </w:rPr>
  </w:style>
  <w:style w:type="paragraph" w:styleId="9">
    <w:name w:val="toc 3"/>
    <w:basedOn w:val="1"/>
    <w:next w:val="1"/>
    <w:semiHidden/>
    <w:qFormat/>
    <w:uiPriority w:val="0"/>
    <w:pPr>
      <w:ind w:left="840" w:leftChars="400"/>
    </w:pPr>
  </w:style>
  <w:style w:type="paragraph" w:styleId="10">
    <w:name w:val="toc 8"/>
    <w:basedOn w:val="1"/>
    <w:next w:val="1"/>
    <w:semiHidden/>
    <w:qFormat/>
    <w:uiPriority w:val="0"/>
    <w:pPr>
      <w:ind w:left="1470"/>
      <w:jc w:val="left"/>
    </w:pPr>
    <w:rPr>
      <w:sz w:val="18"/>
      <w:szCs w:val="18"/>
    </w:rPr>
  </w:style>
  <w:style w:type="paragraph" w:styleId="11">
    <w:name w:val="Date"/>
    <w:basedOn w:val="1"/>
    <w:next w:val="1"/>
    <w:qFormat/>
    <w:uiPriority w:val="0"/>
    <w:pPr>
      <w:ind w:left="100" w:leftChars="2500"/>
    </w:pPr>
    <w:rPr>
      <w:rFonts w:ascii="宋体"/>
      <w:kern w:val="0"/>
      <w:sz w:val="20"/>
      <w:szCs w:val="20"/>
      <w:lang w:val="zh-CN"/>
    </w:rPr>
  </w:style>
  <w:style w:type="paragraph" w:styleId="12">
    <w:name w:val="Body Text Indent 2"/>
    <w:basedOn w:val="1"/>
    <w:qFormat/>
    <w:uiPriority w:val="0"/>
    <w:pPr>
      <w:tabs>
        <w:tab w:val="left" w:pos="2520"/>
      </w:tabs>
      <w:ind w:firstLine="435"/>
    </w:pPr>
  </w:style>
  <w:style w:type="paragraph" w:styleId="13">
    <w:name w:val="Balloon Text"/>
    <w:basedOn w:val="1"/>
    <w:link w:val="40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170"/>
      </w:tabs>
      <w:spacing w:before="120" w:after="120"/>
      <w:jc w:val="left"/>
    </w:pPr>
    <w:rPr>
      <w:rFonts w:ascii="宋体" w:hAnsi="宋体"/>
      <w:b/>
      <w:bCs/>
      <w:caps/>
      <w:color w:val="000080"/>
      <w:sz w:val="20"/>
      <w:szCs w:val="20"/>
    </w:rPr>
  </w:style>
  <w:style w:type="paragraph" w:styleId="17">
    <w:name w:val="toc 4"/>
    <w:basedOn w:val="1"/>
    <w:next w:val="1"/>
    <w:semiHidden/>
    <w:qFormat/>
    <w:uiPriority w:val="0"/>
    <w:pPr>
      <w:ind w:left="630"/>
      <w:jc w:val="left"/>
    </w:pPr>
    <w:rPr>
      <w:sz w:val="18"/>
      <w:szCs w:val="18"/>
    </w:rPr>
  </w:style>
  <w:style w:type="paragraph" w:styleId="18">
    <w:name w:val="toc 6"/>
    <w:basedOn w:val="1"/>
    <w:next w:val="1"/>
    <w:semiHidden/>
    <w:qFormat/>
    <w:uiPriority w:val="0"/>
    <w:pPr>
      <w:ind w:left="1050"/>
      <w:jc w:val="left"/>
    </w:pPr>
    <w:rPr>
      <w:sz w:val="18"/>
      <w:szCs w:val="18"/>
    </w:rPr>
  </w:style>
  <w:style w:type="paragraph" w:styleId="19">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20">
    <w:name w:val="toc 2"/>
    <w:basedOn w:val="1"/>
    <w:next w:val="1"/>
    <w:qFormat/>
    <w:uiPriority w:val="39"/>
    <w:pPr>
      <w:tabs>
        <w:tab w:val="right" w:leader="dot" w:pos="9170"/>
      </w:tabs>
      <w:spacing w:line="360" w:lineRule="auto"/>
      <w:ind w:left="210"/>
      <w:jc w:val="left"/>
    </w:pPr>
    <w:rPr>
      <w:smallCaps/>
      <w:color w:val="FF0000"/>
      <w:sz w:val="20"/>
      <w:szCs w:val="20"/>
    </w:rPr>
  </w:style>
  <w:style w:type="paragraph" w:styleId="21">
    <w:name w:val="toc 9"/>
    <w:basedOn w:val="1"/>
    <w:next w:val="1"/>
    <w:semiHidden/>
    <w:qFormat/>
    <w:uiPriority w:val="0"/>
    <w:pPr>
      <w:ind w:left="1680"/>
      <w:jc w:val="left"/>
    </w:pPr>
    <w:rPr>
      <w:sz w:val="18"/>
      <w:szCs w:val="18"/>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23">
    <w:name w:val="Normal (Web)"/>
    <w:basedOn w:val="1"/>
    <w:link w:val="50"/>
    <w:qFormat/>
    <w:uiPriority w:val="99"/>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qFormat/>
    <w:uiPriority w:val="99"/>
    <w:rPr>
      <w:color w:val="800080"/>
      <w:u w:val="single"/>
    </w:rPr>
  </w:style>
  <w:style w:type="character" w:styleId="31">
    <w:name w:val="Hyperlink"/>
    <w:qFormat/>
    <w:uiPriority w:val="99"/>
    <w:rPr>
      <w:color w:val="0000FF"/>
      <w:u w:val="single"/>
    </w:rPr>
  </w:style>
  <w:style w:type="character" w:customStyle="1" w:styleId="32">
    <w:name w:val="font31"/>
    <w:qFormat/>
    <w:uiPriority w:val="0"/>
    <w:rPr>
      <w:rFonts w:hint="eastAsia" w:ascii="宋体" w:hAnsi="宋体" w:eastAsia="宋体" w:cs="宋体"/>
      <w:color w:val="000000"/>
      <w:sz w:val="20"/>
      <w:szCs w:val="20"/>
      <w:u w:val="none"/>
    </w:rPr>
  </w:style>
  <w:style w:type="character" w:customStyle="1" w:styleId="33">
    <w:name w:val="font41"/>
    <w:qFormat/>
    <w:uiPriority w:val="0"/>
    <w:rPr>
      <w:rFonts w:ascii="MS Gothic" w:hAnsi="MS Gothic" w:eastAsia="MS Gothic" w:cs="MS Gothic"/>
      <w:color w:val="000000"/>
      <w:sz w:val="20"/>
      <w:szCs w:val="20"/>
      <w:u w:val="none"/>
    </w:rPr>
  </w:style>
  <w:style w:type="character" w:customStyle="1" w:styleId="34">
    <w:name w:val="普通 (Web) Char Char1"/>
    <w:qFormat/>
    <w:locked/>
    <w:uiPriority w:val="0"/>
    <w:rPr>
      <w:rFonts w:ascii="宋体" w:hAnsi="宋体" w:eastAsia="宋体" w:cs="宋体"/>
      <w:sz w:val="24"/>
      <w:szCs w:val="24"/>
      <w:lang w:val="en-US" w:eastAsia="zh-CN" w:bidi="ar-SA"/>
    </w:rPr>
  </w:style>
  <w:style w:type="character" w:customStyle="1" w:styleId="35">
    <w:name w:val="f41"/>
    <w:qFormat/>
    <w:uiPriority w:val="0"/>
    <w:rPr>
      <w:rFonts w:hint="eastAsia" w:ascii="宋体" w:hAnsi="宋体" w:eastAsia="宋体"/>
      <w:sz w:val="18"/>
      <w:szCs w:val="18"/>
    </w:rPr>
  </w:style>
  <w:style w:type="character" w:customStyle="1" w:styleId="36">
    <w:name w:val="f21"/>
    <w:qFormat/>
    <w:uiPriority w:val="0"/>
    <w:rPr>
      <w:rFonts w:hint="eastAsia" w:ascii="宋体" w:hAnsi="宋体" w:eastAsia="宋体"/>
      <w:sz w:val="21"/>
      <w:szCs w:val="21"/>
    </w:rPr>
  </w:style>
  <w:style w:type="character" w:customStyle="1" w:styleId="37">
    <w:name w:val="showtext"/>
    <w:basedOn w:val="27"/>
    <w:qFormat/>
    <w:uiPriority w:val="0"/>
  </w:style>
  <w:style w:type="character" w:customStyle="1" w:styleId="38">
    <w:name w:val="标题 2 Char"/>
    <w:qFormat/>
    <w:uiPriority w:val="0"/>
    <w:rPr>
      <w:rFonts w:ascii="Arial" w:hAnsi="Arial" w:eastAsia="黑体"/>
      <w:b/>
      <w:bCs/>
      <w:kern w:val="2"/>
      <w:sz w:val="32"/>
      <w:szCs w:val="32"/>
      <w:lang w:val="en-US" w:eastAsia="zh-CN" w:bidi="ar-SA"/>
    </w:rPr>
  </w:style>
  <w:style w:type="character" w:customStyle="1" w:styleId="39">
    <w:name w:val="f31"/>
    <w:qFormat/>
    <w:uiPriority w:val="0"/>
    <w:rPr>
      <w:rFonts w:hint="default" w:ascii="ˎ̥" w:hAnsi="ˎ̥"/>
      <w:color w:val="999999"/>
      <w:sz w:val="16"/>
      <w:szCs w:val="16"/>
    </w:rPr>
  </w:style>
  <w:style w:type="character" w:customStyle="1" w:styleId="40">
    <w:name w:val="style171"/>
    <w:qFormat/>
    <w:uiPriority w:val="0"/>
    <w:rPr>
      <w:sz w:val="21"/>
      <w:szCs w:val="21"/>
    </w:rPr>
  </w:style>
  <w:style w:type="character" w:customStyle="1" w:styleId="41">
    <w:name w:val="标题 3 Char1"/>
    <w:qFormat/>
    <w:uiPriority w:val="0"/>
    <w:rPr>
      <w:rFonts w:eastAsia="宋体"/>
      <w:b/>
      <w:bCs/>
      <w:kern w:val="2"/>
      <w:sz w:val="32"/>
      <w:szCs w:val="32"/>
      <w:lang w:val="en-US" w:eastAsia="zh-CN" w:bidi="ar-SA"/>
    </w:rPr>
  </w:style>
  <w:style w:type="character" w:customStyle="1" w:styleId="42">
    <w:name w:val="普通 (Web) Char Char"/>
    <w:qFormat/>
    <w:locked/>
    <w:uiPriority w:val="0"/>
    <w:rPr>
      <w:rFonts w:ascii="宋体" w:hAnsi="宋体" w:eastAsia="宋体" w:cs="宋体"/>
      <w:sz w:val="24"/>
      <w:szCs w:val="24"/>
      <w:lang w:val="en-US" w:eastAsia="zh-CN" w:bidi="ar-SA"/>
    </w:rPr>
  </w:style>
  <w:style w:type="character" w:customStyle="1" w:styleId="43">
    <w:name w:val="标题 2 Char1"/>
    <w:link w:val="3"/>
    <w:qFormat/>
    <w:uiPriority w:val="0"/>
    <w:rPr>
      <w:rFonts w:ascii="Arial" w:hAnsi="Arial" w:eastAsia="宋体"/>
      <w:bCs/>
      <w:kern w:val="2"/>
      <w:sz w:val="28"/>
      <w:szCs w:val="32"/>
      <w:lang w:val="en-US" w:eastAsia="zh-CN" w:bidi="ar-SA"/>
    </w:rPr>
  </w:style>
  <w:style w:type="character" w:customStyle="1" w:styleId="44">
    <w:name w:val="style161"/>
    <w:qFormat/>
    <w:uiPriority w:val="0"/>
    <w:rPr>
      <w:sz w:val="24"/>
      <w:szCs w:val="24"/>
    </w:rPr>
  </w:style>
  <w:style w:type="character" w:customStyle="1" w:styleId="45">
    <w:name w:val="标题 3 Char"/>
    <w:qFormat/>
    <w:uiPriority w:val="0"/>
    <w:rPr>
      <w:rFonts w:eastAsia="宋体"/>
      <w:b/>
      <w:bCs/>
      <w:kern w:val="2"/>
      <w:sz w:val="32"/>
      <w:szCs w:val="32"/>
      <w:lang w:val="en-US" w:eastAsia="zh-CN" w:bidi="ar-SA"/>
    </w:rPr>
  </w:style>
  <w:style w:type="character" w:customStyle="1" w:styleId="46">
    <w:name w:val="标题 3 Char2"/>
    <w:link w:val="4"/>
    <w:qFormat/>
    <w:uiPriority w:val="0"/>
    <w:rPr>
      <w:rFonts w:eastAsia="宋体"/>
      <w:bCs/>
      <w:kern w:val="2"/>
      <w:sz w:val="24"/>
      <w:szCs w:val="32"/>
      <w:lang w:val="en-US" w:eastAsia="zh-CN" w:bidi="ar-SA"/>
    </w:rPr>
  </w:style>
  <w:style w:type="character" w:customStyle="1" w:styleId="47">
    <w:name w:val="Heading 1 Char"/>
    <w:qFormat/>
    <w:locked/>
    <w:uiPriority w:val="0"/>
    <w:rPr>
      <w:rFonts w:ascii="Calibri" w:hAnsi="Calibri" w:eastAsia="宋体"/>
      <w:b/>
      <w:bCs/>
      <w:kern w:val="44"/>
      <w:sz w:val="44"/>
      <w:szCs w:val="44"/>
      <w:lang w:val="en-US" w:eastAsia="zh-CN" w:bidi="ar-SA"/>
    </w:rPr>
  </w:style>
  <w:style w:type="character" w:customStyle="1" w:styleId="48">
    <w:name w:val="apple-converted-space"/>
    <w:basedOn w:val="27"/>
    <w:qFormat/>
    <w:uiPriority w:val="0"/>
  </w:style>
  <w:style w:type="character" w:customStyle="1" w:styleId="49">
    <w:name w:val="标题 1 Char"/>
    <w:link w:val="2"/>
    <w:qFormat/>
    <w:uiPriority w:val="0"/>
    <w:rPr>
      <w:bCs/>
      <w:kern w:val="44"/>
      <w:sz w:val="30"/>
      <w:szCs w:val="44"/>
    </w:rPr>
  </w:style>
  <w:style w:type="character" w:customStyle="1" w:styleId="50">
    <w:name w:val="普通(网站) Char"/>
    <w:link w:val="23"/>
    <w:qFormat/>
    <w:locked/>
    <w:uiPriority w:val="0"/>
    <w:rPr>
      <w:rFonts w:ascii="宋体" w:hAnsi="宋体" w:eastAsia="宋体" w:cs="宋体"/>
      <w:sz w:val="24"/>
      <w:szCs w:val="24"/>
      <w:lang w:val="en-US" w:eastAsia="zh-CN" w:bidi="ar-SA"/>
    </w:rPr>
  </w:style>
  <w:style w:type="paragraph" w:customStyle="1" w:styleId="5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2">
    <w:name w:val="TOC Heading"/>
    <w:basedOn w:val="2"/>
    <w:next w:val="1"/>
    <w:qFormat/>
    <w:uiPriority w:val="39"/>
    <w:pPr>
      <w:widowControl/>
      <w:spacing w:before="480" w:after="0" w:line="276" w:lineRule="auto"/>
      <w:jc w:val="left"/>
      <w:outlineLvl w:val="9"/>
    </w:pPr>
    <w:rPr>
      <w:rFonts w:ascii="Cambria" w:hAnsi="Cambria"/>
      <w:b/>
      <w:color w:val="365F91"/>
      <w:kern w:val="0"/>
      <w:sz w:val="28"/>
      <w:szCs w:val="28"/>
    </w:rPr>
  </w:style>
  <w:style w:type="paragraph" w:customStyle="1" w:styleId="53">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54">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5">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56">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5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58">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9">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60">
    <w:name w:val="table302"/>
    <w:basedOn w:val="1"/>
    <w:qFormat/>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6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62">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64">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6">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7">
    <w:name w:val="font11"/>
    <w:basedOn w:val="1"/>
    <w:qFormat/>
    <w:uiPriority w:val="0"/>
    <w:pPr>
      <w:widowControl/>
      <w:spacing w:before="100" w:beforeAutospacing="1" w:after="100" w:afterAutospacing="1"/>
      <w:jc w:val="left"/>
    </w:pPr>
    <w:rPr>
      <w:b/>
      <w:bCs/>
      <w:color w:val="FFFFFF"/>
      <w:kern w:val="0"/>
      <w:sz w:val="18"/>
      <w:szCs w:val="18"/>
    </w:rPr>
  </w:style>
  <w:style w:type="paragraph" w:customStyle="1" w:styleId="68">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69">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0">
    <w:name w:val="xl93"/>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1">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73">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4">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5">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6">
    <w:name w:val="font9"/>
    <w:basedOn w:val="1"/>
    <w:qFormat/>
    <w:uiPriority w:val="0"/>
    <w:pPr>
      <w:widowControl/>
      <w:spacing w:before="100" w:beforeAutospacing="1" w:after="100" w:afterAutospacing="1"/>
      <w:jc w:val="left"/>
    </w:pPr>
    <w:rPr>
      <w:kern w:val="0"/>
      <w:sz w:val="20"/>
      <w:szCs w:val="20"/>
    </w:rPr>
  </w:style>
  <w:style w:type="paragraph" w:customStyle="1" w:styleId="77">
    <w:name w:val="stedit"/>
    <w:basedOn w:val="1"/>
    <w:qFormat/>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8">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9">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1">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2">
    <w:name w:val="font10"/>
    <w:basedOn w:val="1"/>
    <w:qFormat/>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83">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4">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8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8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7">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89">
    <w:name w:val="xl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0">
    <w:name w:val="f8"/>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9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2">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3">
    <w:name w:val="xl2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95">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7">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8">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9">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0">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3">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4">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6">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07">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8">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110">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1">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12">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3">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4">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6">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17">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8">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1">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2">
    <w:name w:val="HTML Top of Form"/>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123">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4">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5">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6">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7">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8">
    <w:name w:val="xl3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9">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3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1">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3">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36">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7">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0">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1">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2">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143">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4">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5">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47">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9">
    <w:name w:val="f7"/>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50">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2">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5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54">
    <w:name w:val="xl94"/>
    <w:basedOn w:val="1"/>
    <w:qFormat/>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6">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7">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59">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1">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62">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3">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4">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16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6">
    <w:name w:val="xl3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7">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8">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17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1">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72">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75">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6">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7">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9">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0">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181">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2">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84">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5">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6">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8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8">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89">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90">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91">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2">
    <w:name w:val="xl3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3">
    <w:name w:val="xl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4">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5">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6">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7">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8">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9">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1">
    <w:name w:val="xl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2">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0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4">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5">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6">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8">
    <w:name w:val="fgj02"/>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209">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0">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1">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2">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3">
    <w:name w:val="xl3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4">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5">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1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17">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8">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0">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1">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2">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23">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4">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6">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8">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22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0">
    <w:name w:val="xl2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2">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23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234">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5">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6">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7">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23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239">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0">
    <w:name w:val="xl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1">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24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4">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5">
    <w:name w:val="xl3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6">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7">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48">
    <w:name w:val="xl44"/>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249">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50">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1">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52">
    <w:name w:val="xl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3">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4">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5">
    <w:name w:val="xl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7">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258">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9">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60">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61">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2">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4">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6">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7">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8">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272">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3">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4">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75">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6">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7">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278">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279">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0">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1">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2">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3">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28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5">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6">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7">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8">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9">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0">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291">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292">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3">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4">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9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6">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7">
    <w:name w:val="xl2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8">
    <w:name w:val="xl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9">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300">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01">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2">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03">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4">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0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307">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0">
    <w:name w:val="xl3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11">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3">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1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5">
    <w:name w:val="xl2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6">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7">
    <w:name w:val="xl8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8">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9">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0">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1">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22">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3">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4">
    <w:name w:val="xl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25">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6">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7">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328">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29">
    <w:name w:val="f2"/>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330">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1">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2">
    <w:name w:val="unnamed1"/>
    <w:basedOn w:val="1"/>
    <w:qFormat/>
    <w:uiPriority w:val="0"/>
    <w:pPr>
      <w:widowControl/>
      <w:spacing w:line="330" w:lineRule="atLeast"/>
      <w:jc w:val="left"/>
    </w:pPr>
    <w:rPr>
      <w:rFonts w:ascii="宋体" w:hAnsi="宋体" w:cs="宋体"/>
      <w:kern w:val="0"/>
      <w:szCs w:val="21"/>
    </w:rPr>
  </w:style>
  <w:style w:type="paragraph" w:customStyle="1" w:styleId="33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4">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5">
    <w:name w:val="xl110"/>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336">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38">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33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0">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343">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4">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5">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6">
    <w:name w:val="xl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348">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0">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1">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35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53">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5">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6">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7">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59">
    <w:name w:val="xl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1">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2">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363">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4">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366">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7">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8">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0">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1">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2">
    <w:name w:val="xl7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7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74">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75">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6">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7">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7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379">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80">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1">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2">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3">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384">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5">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6">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8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89">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0">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1">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2">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393">
    <w:name w:val="xl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4">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5">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6">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7">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8">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9">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宋体" w:hAnsi="宋体" w:cs="宋体"/>
      <w:color w:val="000000"/>
      <w:kern w:val="0"/>
      <w:sz w:val="24"/>
    </w:rPr>
  </w:style>
  <w:style w:type="paragraph" w:customStyle="1" w:styleId="400">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1">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402">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403">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40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05">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6">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character" w:customStyle="1" w:styleId="407">
    <w:name w:val="批注框文本 Char"/>
    <w:basedOn w:val="27"/>
    <w:link w:val="13"/>
    <w:qFormat/>
    <w:uiPriority w:val="0"/>
    <w:rPr>
      <w:kern w:val="2"/>
      <w:sz w:val="18"/>
      <w:szCs w:val="18"/>
    </w:rPr>
  </w:style>
  <w:style w:type="character" w:customStyle="1" w:styleId="408">
    <w:name w:val="font01"/>
    <w:basedOn w:val="27"/>
    <w:qFormat/>
    <w:uiPriority w:val="0"/>
    <w:rPr>
      <w:rFonts w:ascii="Tahoma" w:hAnsi="Tahoma" w:eastAsia="Tahoma" w:cs="Tahoma"/>
      <w:color w:val="000000"/>
      <w:sz w:val="18"/>
      <w:szCs w:val="18"/>
      <w:u w:val="none"/>
    </w:rPr>
  </w:style>
  <w:style w:type="character" w:customStyle="1" w:styleId="409">
    <w:name w:val="font51"/>
    <w:basedOn w:val="27"/>
    <w:qFormat/>
    <w:uiPriority w:val="0"/>
    <w:rPr>
      <w:rFonts w:ascii="Tahoma" w:hAnsi="Tahoma" w:eastAsia="Tahoma" w:cs="Tahoma"/>
      <w:color w:val="000000"/>
      <w:sz w:val="18"/>
      <w:szCs w:val="18"/>
      <w:u w:val="none"/>
    </w:rPr>
  </w:style>
  <w:style w:type="character" w:customStyle="1" w:styleId="410">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4005</Words>
  <Characters>22834</Characters>
  <Lines>190</Lines>
  <Paragraphs>53</Paragraphs>
  <TotalTime>25</TotalTime>
  <ScaleCrop>false</ScaleCrop>
  <LinksUpToDate>false</LinksUpToDate>
  <CharactersWithSpaces>26786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2017-11-23T08:10:00Z</dcterms:created>
  <dc:creator>MC SYSTEM</dc:creator>
  <cp:lastModifiedBy>Administrator</cp:lastModifiedBy>
  <dcterms:modified xsi:type="dcterms:W3CDTF">2021-07-15T08:36:56Z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2052-11.1.0.9208</vt:lpwstr>
  </property>
  <property fmtid="{D5CDD505-2E9C-101B-9397-08002B2CF9AE}" pid="4" name="ICV">
    <vt:lpwstr>D366F8CEF0B34B9A839F473A36DCA92E</vt:lpwstr>
  </property>
</Properties>
</file>