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4DE3" w:rsidRDefault="00963A3B">
      <w:pPr>
        <w:spacing w:line="400" w:lineRule="exact"/>
        <w:rPr>
          <w:rFonts w:cs="Times New Roman"/>
        </w:rPr>
      </w:pPr>
      <w:r>
        <w:rPr>
          <w:noProof/>
        </w:rPr>
        <w:drawing>
          <wp:anchor distT="0" distB="0" distL="114300" distR="114300" simplePos="0" relativeHeight="251659264" behindDoc="1" locked="0" layoutInCell="1" allowOverlap="1">
            <wp:simplePos x="0" y="0"/>
            <wp:positionH relativeFrom="column">
              <wp:posOffset>-804545</wp:posOffset>
            </wp:positionH>
            <wp:positionV relativeFrom="paragraph">
              <wp:posOffset>-911860</wp:posOffset>
            </wp:positionV>
            <wp:extent cx="7644765" cy="10696575"/>
            <wp:effectExtent l="19050" t="0" r="0" b="0"/>
            <wp:wrapNone/>
            <wp:docPr id="1" name="图片 1" descr="封面.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封面.jpg"/>
                    <pic:cNvPicPr>
                      <a:picLocks noChangeAspect="1"/>
                    </pic:cNvPicPr>
                  </pic:nvPicPr>
                  <pic:blipFill>
                    <a:blip r:embed="rId9"/>
                    <a:stretch>
                      <a:fillRect/>
                    </a:stretch>
                  </pic:blipFill>
                  <pic:spPr>
                    <a:xfrm>
                      <a:off x="0" y="0"/>
                      <a:ext cx="7644765" cy="10696575"/>
                    </a:xfrm>
                    <a:prstGeom prst="rect">
                      <a:avLst/>
                    </a:prstGeom>
                    <a:noFill/>
                    <a:ln>
                      <a:noFill/>
                    </a:ln>
                  </pic:spPr>
                </pic:pic>
              </a:graphicData>
            </a:graphic>
          </wp:anchor>
        </w:drawing>
      </w:r>
    </w:p>
    <w:p w:rsidR="00114DE3" w:rsidRDefault="00694F64">
      <w:pPr>
        <w:pStyle w:val="CharCharChar"/>
        <w:tabs>
          <w:tab w:val="center" w:pos="4153"/>
          <w:tab w:val="left" w:pos="5910"/>
          <w:tab w:val="left" w:pos="7501"/>
        </w:tabs>
        <w:spacing w:line="400" w:lineRule="exact"/>
        <w:rPr>
          <w:rFonts w:ascii="宋体" w:hAnsi="宋体" w:cs="宋体"/>
          <w:b/>
          <w:bCs/>
          <w:color w:val="000000"/>
          <w:sz w:val="28"/>
          <w:szCs w:val="28"/>
          <w:lang w:eastAsia="zh-CN"/>
        </w:rPr>
      </w:pPr>
      <w:r w:rsidRPr="00694F64">
        <w:rPr>
          <w:lang w:eastAsia="zh-CN"/>
        </w:rPr>
        <w:pict>
          <v:shapetype id="_x0000_t202" coordsize="21600,21600" o:spt="202" path="m,l,21600r21600,l21600,xe">
            <v:stroke joinstyle="miter"/>
            <v:path gradientshapeok="t" o:connecttype="rect"/>
          </v:shapetype>
          <v:shape id="文本框 4" o:spid="_x0000_s1026" type="#_x0000_t202" style="position:absolute;margin-left:175.45pt;margin-top:490.7pt;width:134.3pt;height:54.1pt;z-index:251660288" o:gfxdata="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" filled="f" stroked="f">
            <v:textbox>
              <w:txbxContent>
                <w:p w:rsidR="00114DE3" w:rsidRDefault="00963A3B">
                  <w:pPr>
                    <w:pStyle w:val="1"/>
                    <w:rPr>
                      <w:kern w:val="2"/>
                    </w:rPr>
                  </w:pPr>
                  <w:bookmarkStart w:id="0" w:name="_Toc76568908"/>
                  <w:r>
                    <w:rPr>
                      <w:kern w:val="2"/>
                    </w:rPr>
                    <w:t>20</w:t>
                  </w:r>
                  <w:r w:rsidR="00B9779A">
                    <w:rPr>
                      <w:rFonts w:hint="eastAsia"/>
                      <w:kern w:val="2"/>
                    </w:rPr>
                    <w:t>21.7</w:t>
                  </w:r>
                  <w:r>
                    <w:rPr>
                      <w:rFonts w:hint="eastAsia"/>
                      <w:kern w:val="2"/>
                    </w:rPr>
                    <w:t>.2</w:t>
                  </w:r>
                  <w:bookmarkEnd w:id="0"/>
                </w:p>
                <w:p w:rsidR="00114DE3" w:rsidRDefault="00114DE3"/>
              </w:txbxContent>
            </v:textbox>
          </v:shape>
        </w:pict>
      </w:r>
      <w:r w:rsidRPr="00694F64">
        <w:rPr>
          <w:lang w:eastAsia="zh-CN"/>
        </w:rPr>
        <w:pict>
          <v:shape id="文本框 5" o:spid="_x0000_s1027" type="#_x0000_t202" style="position:absolute;margin-left:36.75pt;margin-top:580.6pt;width:414pt;height:112.15pt;z-index:251661312" o:gfxdata="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" filled="f" stroked="f">
            <v:textbox>
              <w:txbxContent>
                <w:p w:rsidR="00114DE3" w:rsidRDefault="00963A3B">
                  <w:pPr>
                    <w:pStyle w:val="CharCharChar"/>
                    <w:rPr>
                      <w:rFonts w:ascii="黑体" w:eastAsia="黑体" w:hAnsi="宋体" w:cs="Times New Roman"/>
                      <w:kern w:val="2"/>
                      <w:sz w:val="24"/>
                      <w:szCs w:val="24"/>
                      <w:lang w:eastAsia="zh-CN"/>
                    </w:rPr>
                  </w:pPr>
                  <w:r>
                    <w:rPr>
                      <w:rFonts w:ascii="黑体" w:eastAsia="黑体" w:hAnsi="宋体" w:cs="黑体" w:hint="eastAsia"/>
                      <w:kern w:val="2"/>
                      <w:sz w:val="24"/>
                      <w:szCs w:val="24"/>
                      <w:lang w:eastAsia="zh-CN"/>
                    </w:rPr>
                    <w:t>责任编辑：朱海燕</w:t>
                  </w:r>
                  <w:r>
                    <w:rPr>
                      <w:rFonts w:ascii="黑体" w:eastAsia="黑体" w:hAnsi="宋体" w:cs="黑体"/>
                      <w:kern w:val="2"/>
                      <w:sz w:val="24"/>
                      <w:szCs w:val="24"/>
                      <w:lang w:eastAsia="zh-CN"/>
                    </w:rPr>
                    <w:t>/</w:t>
                  </w:r>
                  <w:r>
                    <w:rPr>
                      <w:rFonts w:ascii="黑体" w:eastAsia="黑体" w:hAnsi="宋体" w:cs="黑体" w:hint="eastAsia"/>
                      <w:kern w:val="2"/>
                      <w:sz w:val="24"/>
                      <w:szCs w:val="24"/>
                      <w:lang w:eastAsia="zh-CN"/>
                    </w:rPr>
                    <w:t>于亚楠</w:t>
                  </w:r>
                </w:p>
                <w:p w:rsidR="00114DE3" w:rsidRDefault="00963A3B">
                  <w:pPr>
                    <w:pStyle w:val="CharCharChar"/>
                    <w:rPr>
                      <w:rFonts w:ascii="黑体" w:eastAsia="黑体" w:hAnsi="宋体" w:cs="Times New Roman"/>
                      <w:kern w:val="2"/>
                      <w:sz w:val="24"/>
                      <w:szCs w:val="24"/>
                      <w:lang w:eastAsia="zh-CN"/>
                    </w:rPr>
                  </w:pPr>
                  <w:r>
                    <w:rPr>
                      <w:rFonts w:ascii="黑体" w:eastAsia="黑体" w:hAnsi="宋体" w:cs="黑体" w:hint="eastAsia"/>
                      <w:kern w:val="2"/>
                      <w:sz w:val="24"/>
                      <w:szCs w:val="24"/>
                      <w:lang w:eastAsia="zh-CN"/>
                    </w:rPr>
                    <w:t>电话：</w:t>
                  </w:r>
                  <w:r>
                    <w:rPr>
                      <w:rFonts w:ascii="黑体" w:eastAsia="黑体" w:hAnsi="宋体" w:cs="黑体"/>
                      <w:kern w:val="2"/>
                      <w:sz w:val="24"/>
                      <w:szCs w:val="24"/>
                      <w:lang w:eastAsia="zh-CN"/>
                    </w:rPr>
                    <w:t>86-10-18513790749</w:t>
                  </w:r>
                </w:p>
                <w:p w:rsidR="00114DE3" w:rsidRDefault="00963A3B">
                  <w:pPr>
                    <w:pStyle w:val="CharCharChar"/>
                    <w:rPr>
                      <w:rFonts w:ascii="黑体" w:eastAsia="黑体" w:hAnsi="宋体" w:cs="Times New Roman"/>
                      <w:kern w:val="2"/>
                      <w:sz w:val="24"/>
                      <w:szCs w:val="24"/>
                      <w:lang w:eastAsia="zh-CN"/>
                    </w:rPr>
                  </w:pPr>
                  <w:r>
                    <w:rPr>
                      <w:rFonts w:ascii="黑体" w:eastAsia="黑体" w:hAnsi="宋体" w:cs="黑体" w:hint="eastAsia"/>
                      <w:kern w:val="2"/>
                      <w:sz w:val="24"/>
                      <w:szCs w:val="24"/>
                      <w:lang w:eastAsia="zh-CN"/>
                    </w:rPr>
                    <w:t>传真：</w:t>
                  </w:r>
                  <w:r>
                    <w:rPr>
                      <w:rFonts w:ascii="黑体" w:eastAsia="黑体" w:hAnsi="宋体" w:cs="黑体"/>
                      <w:kern w:val="2"/>
                      <w:sz w:val="24"/>
                      <w:szCs w:val="24"/>
                      <w:lang w:eastAsia="zh-CN"/>
                    </w:rPr>
                    <w:t>86-010-</w:t>
                  </w:r>
                  <w:r>
                    <w:rPr>
                      <w:rFonts w:ascii="黑体" w:eastAsia="黑体" w:hAnsi="Arial" w:cs="黑体"/>
                      <w:color w:val="333333"/>
                      <w:sz w:val="24"/>
                      <w:szCs w:val="24"/>
                      <w:lang w:eastAsia="zh-CN"/>
                    </w:rPr>
                    <w:t>85725399</w:t>
                  </w:r>
                </w:p>
                <w:p w:rsidR="00114DE3" w:rsidRDefault="00963A3B">
                  <w:pPr>
                    <w:pStyle w:val="CharCharChar"/>
                    <w:rPr>
                      <w:rFonts w:ascii="黑体" w:eastAsia="黑体" w:hAnsi="宋体" w:cs="黑体"/>
                      <w:kern w:val="2"/>
                      <w:sz w:val="24"/>
                      <w:szCs w:val="24"/>
                      <w:lang w:eastAsia="zh-CN"/>
                    </w:rPr>
                  </w:pPr>
                  <w:r>
                    <w:rPr>
                      <w:rFonts w:ascii="黑体" w:eastAsia="黑体" w:hAnsi="宋体" w:cs="黑体" w:hint="eastAsia"/>
                      <w:kern w:val="2"/>
                      <w:sz w:val="24"/>
                      <w:szCs w:val="24"/>
                      <w:lang w:eastAsia="zh-CN"/>
                    </w:rPr>
                    <w:t>编辑邮箱：</w:t>
                  </w:r>
                  <w:r>
                    <w:rPr>
                      <w:rFonts w:ascii="黑体" w:eastAsia="黑体" w:hAnsi="宋体" w:cs="黑体"/>
                      <w:kern w:val="2"/>
                      <w:sz w:val="24"/>
                      <w:szCs w:val="24"/>
                      <w:lang w:eastAsia="zh-CN"/>
                    </w:rPr>
                    <w:t>zhuhy@chinaccm.com</w:t>
                  </w:r>
                </w:p>
                <w:p w:rsidR="00114DE3" w:rsidRDefault="00963A3B">
                  <w:pPr>
                    <w:pStyle w:val="CharCharChar"/>
                    <w:rPr>
                      <w:rFonts w:ascii="黑体" w:eastAsia="黑体" w:hAnsi="宋体" w:cs="Times New Roman"/>
                      <w:kern w:val="2"/>
                      <w:sz w:val="24"/>
                      <w:szCs w:val="24"/>
                      <w:lang w:eastAsia="zh-CN"/>
                    </w:rPr>
                  </w:pPr>
                  <w:r>
                    <w:rPr>
                      <w:rFonts w:ascii="黑体" w:eastAsia="黑体" w:hAnsi="宋体" w:cs="黑体" w:hint="eastAsia"/>
                      <w:kern w:val="2"/>
                      <w:sz w:val="24"/>
                      <w:szCs w:val="24"/>
                      <w:lang w:eastAsia="zh-CN"/>
                    </w:rPr>
                    <w:t>地址：</w:t>
                  </w:r>
                  <w:r>
                    <w:rPr>
                      <w:rFonts w:ascii="黑体" w:eastAsia="黑体" w:cs="黑体" w:hint="eastAsia"/>
                      <w:sz w:val="24"/>
                      <w:szCs w:val="24"/>
                      <w:lang w:eastAsia="zh-CN"/>
                    </w:rPr>
                    <w:t>北京市朝阳区高碑店东区</w:t>
                  </w:r>
                  <w:r>
                    <w:rPr>
                      <w:rFonts w:ascii="黑体" w:eastAsia="黑体" w:cs="黑体"/>
                      <w:sz w:val="24"/>
                      <w:szCs w:val="24"/>
                      <w:lang w:eastAsia="zh-CN"/>
                    </w:rPr>
                    <w:t>B</w:t>
                  </w:r>
                  <w:r>
                    <w:rPr>
                      <w:rFonts w:ascii="黑体" w:eastAsia="黑体" w:cs="黑体" w:hint="eastAsia"/>
                      <w:sz w:val="24"/>
                      <w:szCs w:val="24"/>
                      <w:lang w:eastAsia="zh-CN"/>
                    </w:rPr>
                    <w:t>区</w:t>
                  </w:r>
                  <w:r>
                    <w:rPr>
                      <w:rFonts w:ascii="黑体" w:eastAsia="黑体" w:cs="黑体"/>
                      <w:sz w:val="24"/>
                      <w:szCs w:val="24"/>
                      <w:lang w:eastAsia="zh-CN"/>
                    </w:rPr>
                    <w:t>8-1</w:t>
                  </w:r>
                  <w:r>
                    <w:rPr>
                      <w:rFonts w:ascii="黑体" w:eastAsia="黑体" w:hAnsi="宋体" w:cs="黑体" w:hint="eastAsia"/>
                      <w:kern w:val="2"/>
                      <w:sz w:val="24"/>
                      <w:szCs w:val="24"/>
                      <w:lang w:eastAsia="zh-CN"/>
                    </w:rPr>
                    <w:t>（邮编：</w:t>
                  </w:r>
                  <w:r>
                    <w:rPr>
                      <w:rFonts w:ascii="黑体" w:eastAsia="黑体" w:hAnsi="宋体" w:cs="黑体"/>
                      <w:kern w:val="2"/>
                      <w:sz w:val="24"/>
                      <w:szCs w:val="24"/>
                      <w:lang w:eastAsia="zh-CN"/>
                    </w:rPr>
                    <w:t>100022</w:t>
                  </w:r>
                  <w:r>
                    <w:rPr>
                      <w:rFonts w:ascii="黑体" w:eastAsia="黑体" w:hAnsi="宋体" w:cs="黑体" w:hint="eastAsia"/>
                      <w:kern w:val="2"/>
                      <w:sz w:val="24"/>
                      <w:szCs w:val="24"/>
                      <w:lang w:eastAsia="zh-CN"/>
                    </w:rPr>
                    <w:t>）</w:t>
                  </w:r>
                </w:p>
                <w:p w:rsidR="00114DE3" w:rsidRDefault="00114DE3">
                  <w:pPr>
                    <w:jc w:val="left"/>
                    <w:rPr>
                      <w:rFonts w:cs="Times New Roman"/>
                    </w:rPr>
                  </w:pPr>
                </w:p>
              </w:txbxContent>
            </v:textbox>
          </v:shape>
        </w:pict>
      </w:r>
      <w:r w:rsidR="00963A3B">
        <w:rPr>
          <w:rFonts w:cs="Times New Roman"/>
        </w:rPr>
        <w:br w:type="page"/>
      </w:r>
      <w:r w:rsidR="00963A3B">
        <w:rPr>
          <w:rFonts w:ascii="宋体" w:hAnsi="宋体" w:cs="宋体" w:hint="eastAsia"/>
          <w:b/>
          <w:bCs/>
          <w:color w:val="000000"/>
          <w:sz w:val="28"/>
          <w:szCs w:val="28"/>
          <w:lang w:eastAsia="zh-CN"/>
        </w:rPr>
        <w:lastRenderedPageBreak/>
        <w:t>小金属周报目录</w:t>
      </w:r>
      <w:bookmarkStart w:id="1" w:name="_Toc485828985"/>
      <w:bookmarkStart w:id="2" w:name="_Toc486002518"/>
    </w:p>
    <w:p w:rsidR="003436C0" w:rsidRDefault="00694F64">
      <w:pPr>
        <w:pStyle w:val="10"/>
        <w:rPr>
          <w:rFonts w:asciiTheme="minorHAnsi" w:eastAsiaTheme="minorEastAsia" w:hAnsiTheme="minorHAnsi" w:cstheme="minorBidi"/>
          <w:b w:val="0"/>
          <w:bCs w:val="0"/>
          <w:caps w:val="0"/>
          <w:noProof/>
          <w:sz w:val="21"/>
          <w:szCs w:val="22"/>
        </w:rPr>
      </w:pPr>
      <w:r w:rsidRPr="00694F64">
        <w:rPr>
          <w:kern w:val="0"/>
          <w:sz w:val="30"/>
          <w:szCs w:val="30"/>
        </w:rPr>
        <w:fldChar w:fldCharType="begin"/>
      </w:r>
      <w:r w:rsidR="00963A3B">
        <w:instrText xml:space="preserve"> TOC \o "1-3" \h \z \u </w:instrText>
      </w:r>
      <w:r w:rsidRPr="00694F64">
        <w:rPr>
          <w:kern w:val="0"/>
          <w:sz w:val="30"/>
          <w:szCs w:val="30"/>
        </w:rPr>
        <w:fldChar w:fldCharType="separate"/>
      </w:r>
      <w:hyperlink r:id="rId10" w:anchor="_Toc76568908" w:history="1">
        <w:r w:rsidR="003436C0" w:rsidRPr="004938F8">
          <w:rPr>
            <w:rStyle w:val="ae"/>
            <w:noProof/>
          </w:rPr>
          <w:t>2021.7.2</w:t>
        </w:r>
        <w:r w:rsidR="003436C0">
          <w:rPr>
            <w:noProof/>
            <w:webHidden/>
          </w:rPr>
          <w:tab/>
        </w:r>
        <w:r w:rsidR="003436C0">
          <w:rPr>
            <w:noProof/>
            <w:webHidden/>
          </w:rPr>
          <w:fldChar w:fldCharType="begin"/>
        </w:r>
        <w:r w:rsidR="003436C0">
          <w:rPr>
            <w:noProof/>
            <w:webHidden/>
          </w:rPr>
          <w:instrText xml:space="preserve"> PAGEREF _Toc76568908 \h </w:instrText>
        </w:r>
        <w:r w:rsidR="003436C0">
          <w:rPr>
            <w:noProof/>
            <w:webHidden/>
          </w:rPr>
        </w:r>
        <w:r w:rsidR="003436C0">
          <w:rPr>
            <w:noProof/>
            <w:webHidden/>
          </w:rPr>
          <w:fldChar w:fldCharType="separate"/>
        </w:r>
        <w:r w:rsidR="003436C0">
          <w:rPr>
            <w:noProof/>
            <w:webHidden/>
          </w:rPr>
          <w:t>1</w:t>
        </w:r>
        <w:r w:rsidR="003436C0">
          <w:rPr>
            <w:noProof/>
            <w:webHidden/>
          </w:rPr>
          <w:fldChar w:fldCharType="end"/>
        </w:r>
      </w:hyperlink>
    </w:p>
    <w:p w:rsidR="003436C0" w:rsidRDefault="003436C0">
      <w:pPr>
        <w:pStyle w:val="30"/>
        <w:rPr>
          <w:rFonts w:asciiTheme="minorHAnsi" w:eastAsiaTheme="minorEastAsia" w:hAnsiTheme="minorHAnsi" w:cstheme="minorBidi"/>
          <w:b w:val="0"/>
          <w:bCs w:val="0"/>
          <w:noProof/>
          <w:kern w:val="2"/>
          <w:sz w:val="21"/>
          <w:szCs w:val="22"/>
        </w:rPr>
      </w:pPr>
      <w:hyperlink w:anchor="_Toc76568909" w:history="1">
        <w:r w:rsidRPr="004938F8">
          <w:rPr>
            <w:rStyle w:val="ae"/>
            <w:rFonts w:cs="黑体" w:hint="eastAsia"/>
            <w:noProof/>
          </w:rPr>
          <w:t>一、小金属一周评述</w:t>
        </w:r>
        <w:r>
          <w:rPr>
            <w:noProof/>
            <w:webHidden/>
          </w:rPr>
          <w:tab/>
        </w:r>
        <w:r>
          <w:rPr>
            <w:noProof/>
            <w:webHidden/>
          </w:rPr>
          <w:fldChar w:fldCharType="begin"/>
        </w:r>
        <w:r>
          <w:rPr>
            <w:noProof/>
            <w:webHidden/>
          </w:rPr>
          <w:instrText xml:space="preserve"> PAGEREF _Toc76568909 \h </w:instrText>
        </w:r>
        <w:r>
          <w:rPr>
            <w:noProof/>
            <w:webHidden/>
          </w:rPr>
        </w:r>
        <w:r>
          <w:rPr>
            <w:noProof/>
            <w:webHidden/>
          </w:rPr>
          <w:fldChar w:fldCharType="separate"/>
        </w:r>
        <w:r>
          <w:rPr>
            <w:noProof/>
            <w:webHidden/>
          </w:rPr>
          <w:t>3</w:t>
        </w:r>
        <w:r>
          <w:rPr>
            <w:noProof/>
            <w:webHidden/>
          </w:rPr>
          <w:fldChar w:fldCharType="end"/>
        </w:r>
      </w:hyperlink>
    </w:p>
    <w:p w:rsidR="003436C0" w:rsidRDefault="003436C0">
      <w:pPr>
        <w:pStyle w:val="30"/>
        <w:rPr>
          <w:rFonts w:asciiTheme="minorHAnsi" w:eastAsiaTheme="minorEastAsia" w:hAnsiTheme="minorHAnsi" w:cstheme="minorBidi"/>
          <w:b w:val="0"/>
          <w:bCs w:val="0"/>
          <w:noProof/>
          <w:kern w:val="2"/>
          <w:sz w:val="21"/>
          <w:szCs w:val="22"/>
        </w:rPr>
      </w:pPr>
      <w:hyperlink w:anchor="_Toc76568910" w:history="1">
        <w:r w:rsidRPr="004938F8">
          <w:rPr>
            <w:rStyle w:val="ae"/>
            <w:rFonts w:hint="eastAsia"/>
            <w:noProof/>
          </w:rPr>
          <w:t>1</w:t>
        </w:r>
        <w:r w:rsidRPr="004938F8">
          <w:rPr>
            <w:rStyle w:val="ae"/>
            <w:rFonts w:hint="eastAsia"/>
            <w:noProof/>
          </w:rPr>
          <w:t>、</w:t>
        </w:r>
        <w:r w:rsidRPr="004938F8">
          <w:rPr>
            <w:rStyle w:val="ae"/>
            <w:rFonts w:hint="eastAsia"/>
            <w:noProof/>
          </w:rPr>
          <w:t xml:space="preserve"> </w:t>
        </w:r>
        <w:r w:rsidRPr="004938F8">
          <w:rPr>
            <w:rStyle w:val="ae"/>
            <w:rFonts w:hint="eastAsia"/>
            <w:noProof/>
          </w:rPr>
          <w:t>硒评论：电解锰价格小幅上涨</w:t>
        </w:r>
        <w:r w:rsidRPr="004938F8">
          <w:rPr>
            <w:rStyle w:val="ae"/>
            <w:noProof/>
          </w:rPr>
          <w:t xml:space="preserve"> </w:t>
        </w:r>
        <w:r w:rsidRPr="004938F8">
          <w:rPr>
            <w:rStyle w:val="ae"/>
            <w:rFonts w:hint="eastAsia"/>
            <w:noProof/>
          </w:rPr>
          <w:t>二硒价格整体表现一般</w:t>
        </w:r>
        <w:r>
          <w:rPr>
            <w:noProof/>
            <w:webHidden/>
          </w:rPr>
          <w:tab/>
        </w:r>
        <w:r>
          <w:rPr>
            <w:noProof/>
            <w:webHidden/>
          </w:rPr>
          <w:fldChar w:fldCharType="begin"/>
        </w:r>
        <w:r>
          <w:rPr>
            <w:noProof/>
            <w:webHidden/>
          </w:rPr>
          <w:instrText xml:space="preserve"> PAGEREF _Toc76568910 \h </w:instrText>
        </w:r>
        <w:r>
          <w:rPr>
            <w:noProof/>
            <w:webHidden/>
          </w:rPr>
        </w:r>
        <w:r>
          <w:rPr>
            <w:noProof/>
            <w:webHidden/>
          </w:rPr>
          <w:fldChar w:fldCharType="separate"/>
        </w:r>
        <w:r>
          <w:rPr>
            <w:noProof/>
            <w:webHidden/>
          </w:rPr>
          <w:t>3</w:t>
        </w:r>
        <w:r>
          <w:rPr>
            <w:noProof/>
            <w:webHidden/>
          </w:rPr>
          <w:fldChar w:fldCharType="end"/>
        </w:r>
      </w:hyperlink>
    </w:p>
    <w:p w:rsidR="003436C0" w:rsidRDefault="003436C0">
      <w:pPr>
        <w:pStyle w:val="30"/>
        <w:rPr>
          <w:rFonts w:asciiTheme="minorHAnsi" w:eastAsiaTheme="minorEastAsia" w:hAnsiTheme="minorHAnsi" w:cstheme="minorBidi"/>
          <w:b w:val="0"/>
          <w:bCs w:val="0"/>
          <w:noProof/>
          <w:kern w:val="2"/>
          <w:sz w:val="21"/>
          <w:szCs w:val="22"/>
        </w:rPr>
      </w:pPr>
      <w:hyperlink w:anchor="_Toc76568911" w:history="1">
        <w:r w:rsidRPr="004938F8">
          <w:rPr>
            <w:rStyle w:val="ae"/>
            <w:rFonts w:hint="eastAsia"/>
            <w:noProof/>
          </w:rPr>
          <w:t>2</w:t>
        </w:r>
        <w:r w:rsidRPr="004938F8">
          <w:rPr>
            <w:rStyle w:val="ae"/>
            <w:rFonts w:hint="eastAsia"/>
            <w:noProof/>
          </w:rPr>
          <w:t>、</w:t>
        </w:r>
        <w:r w:rsidRPr="004938F8">
          <w:rPr>
            <w:rStyle w:val="ae"/>
            <w:rFonts w:hint="eastAsia"/>
            <w:noProof/>
          </w:rPr>
          <w:t xml:space="preserve"> </w:t>
        </w:r>
        <w:r w:rsidRPr="004938F8">
          <w:rPr>
            <w:rStyle w:val="ae"/>
            <w:rFonts w:hint="eastAsia"/>
            <w:noProof/>
          </w:rPr>
          <w:t>铋评论：铋锭市场价格整体持稳</w:t>
        </w:r>
        <w:r>
          <w:rPr>
            <w:noProof/>
            <w:webHidden/>
          </w:rPr>
          <w:tab/>
        </w:r>
        <w:r>
          <w:rPr>
            <w:noProof/>
            <w:webHidden/>
          </w:rPr>
          <w:fldChar w:fldCharType="begin"/>
        </w:r>
        <w:r>
          <w:rPr>
            <w:noProof/>
            <w:webHidden/>
          </w:rPr>
          <w:instrText xml:space="preserve"> PAGEREF _Toc76568911 \h </w:instrText>
        </w:r>
        <w:r>
          <w:rPr>
            <w:noProof/>
            <w:webHidden/>
          </w:rPr>
        </w:r>
        <w:r>
          <w:rPr>
            <w:noProof/>
            <w:webHidden/>
          </w:rPr>
          <w:fldChar w:fldCharType="separate"/>
        </w:r>
        <w:r>
          <w:rPr>
            <w:noProof/>
            <w:webHidden/>
          </w:rPr>
          <w:t>4</w:t>
        </w:r>
        <w:r>
          <w:rPr>
            <w:noProof/>
            <w:webHidden/>
          </w:rPr>
          <w:fldChar w:fldCharType="end"/>
        </w:r>
      </w:hyperlink>
    </w:p>
    <w:p w:rsidR="003436C0" w:rsidRDefault="003436C0">
      <w:pPr>
        <w:pStyle w:val="30"/>
        <w:rPr>
          <w:rFonts w:asciiTheme="minorHAnsi" w:eastAsiaTheme="minorEastAsia" w:hAnsiTheme="minorHAnsi" w:cstheme="minorBidi"/>
          <w:b w:val="0"/>
          <w:bCs w:val="0"/>
          <w:noProof/>
          <w:kern w:val="2"/>
          <w:sz w:val="21"/>
          <w:szCs w:val="22"/>
        </w:rPr>
      </w:pPr>
      <w:hyperlink w:anchor="_Toc76568912" w:history="1">
        <w:r w:rsidRPr="004938F8">
          <w:rPr>
            <w:rStyle w:val="ae"/>
            <w:noProof/>
          </w:rPr>
          <w:t>3</w:t>
        </w:r>
        <w:r w:rsidRPr="004938F8">
          <w:rPr>
            <w:rStyle w:val="ae"/>
            <w:rFonts w:hint="eastAsia"/>
            <w:noProof/>
          </w:rPr>
          <w:t>、铟评论：铟锭市场价格保持稳定</w:t>
        </w:r>
        <w:r>
          <w:rPr>
            <w:noProof/>
            <w:webHidden/>
          </w:rPr>
          <w:tab/>
        </w:r>
        <w:r>
          <w:rPr>
            <w:noProof/>
            <w:webHidden/>
          </w:rPr>
          <w:fldChar w:fldCharType="begin"/>
        </w:r>
        <w:r>
          <w:rPr>
            <w:noProof/>
            <w:webHidden/>
          </w:rPr>
          <w:instrText xml:space="preserve"> PAGEREF _Toc76568912 \h </w:instrText>
        </w:r>
        <w:r>
          <w:rPr>
            <w:noProof/>
            <w:webHidden/>
          </w:rPr>
        </w:r>
        <w:r>
          <w:rPr>
            <w:noProof/>
            <w:webHidden/>
          </w:rPr>
          <w:fldChar w:fldCharType="separate"/>
        </w:r>
        <w:r>
          <w:rPr>
            <w:noProof/>
            <w:webHidden/>
          </w:rPr>
          <w:t>5</w:t>
        </w:r>
        <w:r>
          <w:rPr>
            <w:noProof/>
            <w:webHidden/>
          </w:rPr>
          <w:fldChar w:fldCharType="end"/>
        </w:r>
      </w:hyperlink>
    </w:p>
    <w:p w:rsidR="003436C0" w:rsidRDefault="003436C0">
      <w:pPr>
        <w:pStyle w:val="10"/>
        <w:rPr>
          <w:rFonts w:asciiTheme="minorHAnsi" w:eastAsiaTheme="minorEastAsia" w:hAnsiTheme="minorHAnsi" w:cstheme="minorBidi"/>
          <w:b w:val="0"/>
          <w:bCs w:val="0"/>
          <w:caps w:val="0"/>
          <w:noProof/>
          <w:sz w:val="21"/>
          <w:szCs w:val="22"/>
        </w:rPr>
      </w:pPr>
      <w:hyperlink w:anchor="_Toc76568913" w:history="1">
        <w:r w:rsidRPr="004938F8">
          <w:rPr>
            <w:rStyle w:val="ae"/>
            <w:rFonts w:cs="黑体" w:hint="eastAsia"/>
            <w:noProof/>
          </w:rPr>
          <w:t>二、价格行情</w:t>
        </w:r>
        <w:r>
          <w:rPr>
            <w:noProof/>
            <w:webHidden/>
          </w:rPr>
          <w:tab/>
        </w:r>
        <w:r>
          <w:rPr>
            <w:noProof/>
            <w:webHidden/>
          </w:rPr>
          <w:fldChar w:fldCharType="begin"/>
        </w:r>
        <w:r>
          <w:rPr>
            <w:noProof/>
            <w:webHidden/>
          </w:rPr>
          <w:instrText xml:space="preserve"> PAGEREF _Toc76568913 \h </w:instrText>
        </w:r>
        <w:r>
          <w:rPr>
            <w:noProof/>
            <w:webHidden/>
          </w:rPr>
        </w:r>
        <w:r>
          <w:rPr>
            <w:noProof/>
            <w:webHidden/>
          </w:rPr>
          <w:fldChar w:fldCharType="separate"/>
        </w:r>
        <w:r>
          <w:rPr>
            <w:noProof/>
            <w:webHidden/>
          </w:rPr>
          <w:t>6</w:t>
        </w:r>
        <w:r>
          <w:rPr>
            <w:noProof/>
            <w:webHidden/>
          </w:rPr>
          <w:fldChar w:fldCharType="end"/>
        </w:r>
      </w:hyperlink>
    </w:p>
    <w:p w:rsidR="003436C0" w:rsidRDefault="003436C0">
      <w:pPr>
        <w:pStyle w:val="30"/>
        <w:rPr>
          <w:rFonts w:asciiTheme="minorHAnsi" w:eastAsiaTheme="minorEastAsia" w:hAnsiTheme="minorHAnsi" w:cstheme="minorBidi"/>
          <w:b w:val="0"/>
          <w:bCs w:val="0"/>
          <w:noProof/>
          <w:kern w:val="2"/>
          <w:sz w:val="21"/>
          <w:szCs w:val="22"/>
        </w:rPr>
      </w:pPr>
      <w:hyperlink w:anchor="_Toc76568914" w:history="1">
        <w:r w:rsidRPr="004938F8">
          <w:rPr>
            <w:rStyle w:val="ae"/>
            <w:noProof/>
          </w:rPr>
          <w:t>1</w:t>
        </w:r>
        <w:r w:rsidRPr="004938F8">
          <w:rPr>
            <w:rStyle w:val="ae"/>
            <w:rFonts w:hint="eastAsia"/>
            <w:noProof/>
          </w:rPr>
          <w:t>、国际价格</w:t>
        </w:r>
        <w:r>
          <w:rPr>
            <w:noProof/>
            <w:webHidden/>
          </w:rPr>
          <w:tab/>
        </w:r>
        <w:r>
          <w:rPr>
            <w:noProof/>
            <w:webHidden/>
          </w:rPr>
          <w:fldChar w:fldCharType="begin"/>
        </w:r>
        <w:r>
          <w:rPr>
            <w:noProof/>
            <w:webHidden/>
          </w:rPr>
          <w:instrText xml:space="preserve"> PAGEREF _Toc76568914 \h </w:instrText>
        </w:r>
        <w:r>
          <w:rPr>
            <w:noProof/>
            <w:webHidden/>
          </w:rPr>
        </w:r>
        <w:r>
          <w:rPr>
            <w:noProof/>
            <w:webHidden/>
          </w:rPr>
          <w:fldChar w:fldCharType="separate"/>
        </w:r>
        <w:r>
          <w:rPr>
            <w:noProof/>
            <w:webHidden/>
          </w:rPr>
          <w:t>6</w:t>
        </w:r>
        <w:r>
          <w:rPr>
            <w:noProof/>
            <w:webHidden/>
          </w:rPr>
          <w:fldChar w:fldCharType="end"/>
        </w:r>
      </w:hyperlink>
    </w:p>
    <w:p w:rsidR="003436C0" w:rsidRDefault="003436C0">
      <w:pPr>
        <w:pStyle w:val="30"/>
        <w:rPr>
          <w:rFonts w:asciiTheme="minorHAnsi" w:eastAsiaTheme="minorEastAsia" w:hAnsiTheme="minorHAnsi" w:cstheme="minorBidi"/>
          <w:b w:val="0"/>
          <w:bCs w:val="0"/>
          <w:noProof/>
          <w:kern w:val="2"/>
          <w:sz w:val="21"/>
          <w:szCs w:val="22"/>
        </w:rPr>
      </w:pPr>
      <w:hyperlink w:anchor="_Toc76568915" w:history="1">
        <w:r w:rsidRPr="004938F8">
          <w:rPr>
            <w:rStyle w:val="ae"/>
            <w:noProof/>
          </w:rPr>
          <w:t>2</w:t>
        </w:r>
        <w:r w:rsidRPr="004938F8">
          <w:rPr>
            <w:rStyle w:val="ae"/>
            <w:rFonts w:cs="宋体" w:hint="eastAsia"/>
            <w:noProof/>
          </w:rPr>
          <w:t>、欧洲鹿特丹小金属价格</w:t>
        </w:r>
        <w:r>
          <w:rPr>
            <w:noProof/>
            <w:webHidden/>
          </w:rPr>
          <w:tab/>
        </w:r>
        <w:r>
          <w:rPr>
            <w:noProof/>
            <w:webHidden/>
          </w:rPr>
          <w:fldChar w:fldCharType="begin"/>
        </w:r>
        <w:r>
          <w:rPr>
            <w:noProof/>
            <w:webHidden/>
          </w:rPr>
          <w:instrText xml:space="preserve"> PAGEREF _Toc76568915 \h </w:instrText>
        </w:r>
        <w:r>
          <w:rPr>
            <w:noProof/>
            <w:webHidden/>
          </w:rPr>
        </w:r>
        <w:r>
          <w:rPr>
            <w:noProof/>
            <w:webHidden/>
          </w:rPr>
          <w:fldChar w:fldCharType="separate"/>
        </w:r>
        <w:r>
          <w:rPr>
            <w:noProof/>
            <w:webHidden/>
          </w:rPr>
          <w:t>6</w:t>
        </w:r>
        <w:r>
          <w:rPr>
            <w:noProof/>
            <w:webHidden/>
          </w:rPr>
          <w:fldChar w:fldCharType="end"/>
        </w:r>
      </w:hyperlink>
    </w:p>
    <w:p w:rsidR="003436C0" w:rsidRDefault="003436C0">
      <w:pPr>
        <w:pStyle w:val="30"/>
        <w:rPr>
          <w:rFonts w:asciiTheme="minorHAnsi" w:eastAsiaTheme="minorEastAsia" w:hAnsiTheme="minorHAnsi" w:cstheme="minorBidi"/>
          <w:b w:val="0"/>
          <w:bCs w:val="0"/>
          <w:noProof/>
          <w:kern w:val="2"/>
          <w:sz w:val="21"/>
          <w:szCs w:val="22"/>
        </w:rPr>
      </w:pPr>
      <w:hyperlink w:anchor="_Toc76568916" w:history="1">
        <w:r w:rsidRPr="004938F8">
          <w:rPr>
            <w:rStyle w:val="ae"/>
            <w:rFonts w:cs="宋体" w:hint="eastAsia"/>
            <w:noProof/>
          </w:rPr>
          <w:t>3</w:t>
        </w:r>
        <w:r w:rsidRPr="004938F8">
          <w:rPr>
            <w:rStyle w:val="ae"/>
            <w:rFonts w:cs="宋体" w:hint="eastAsia"/>
            <w:noProof/>
          </w:rPr>
          <w:t>、</w:t>
        </w:r>
        <w:r w:rsidRPr="004938F8">
          <w:rPr>
            <w:rStyle w:val="ae"/>
            <w:rFonts w:cs="宋体" w:hint="eastAsia"/>
            <w:noProof/>
          </w:rPr>
          <w:t xml:space="preserve"> </w:t>
        </w:r>
        <w:r w:rsidRPr="004938F8">
          <w:rPr>
            <w:rStyle w:val="ae"/>
            <w:rFonts w:cs="宋体" w:hint="eastAsia"/>
            <w:noProof/>
          </w:rPr>
          <w:t>国内一周小金属价格汇总</w:t>
        </w:r>
        <w:r>
          <w:rPr>
            <w:noProof/>
            <w:webHidden/>
          </w:rPr>
          <w:tab/>
        </w:r>
        <w:r>
          <w:rPr>
            <w:noProof/>
            <w:webHidden/>
          </w:rPr>
          <w:fldChar w:fldCharType="begin"/>
        </w:r>
        <w:r>
          <w:rPr>
            <w:noProof/>
            <w:webHidden/>
          </w:rPr>
          <w:instrText xml:space="preserve"> PAGEREF _Toc76568916 \h </w:instrText>
        </w:r>
        <w:r>
          <w:rPr>
            <w:noProof/>
            <w:webHidden/>
          </w:rPr>
        </w:r>
        <w:r>
          <w:rPr>
            <w:noProof/>
            <w:webHidden/>
          </w:rPr>
          <w:fldChar w:fldCharType="separate"/>
        </w:r>
        <w:r>
          <w:rPr>
            <w:noProof/>
            <w:webHidden/>
          </w:rPr>
          <w:t>6</w:t>
        </w:r>
        <w:r>
          <w:rPr>
            <w:noProof/>
            <w:webHidden/>
          </w:rPr>
          <w:fldChar w:fldCharType="end"/>
        </w:r>
      </w:hyperlink>
    </w:p>
    <w:p w:rsidR="003436C0" w:rsidRDefault="003436C0">
      <w:pPr>
        <w:pStyle w:val="10"/>
        <w:rPr>
          <w:rFonts w:asciiTheme="minorHAnsi" w:eastAsiaTheme="minorEastAsia" w:hAnsiTheme="minorHAnsi" w:cstheme="minorBidi"/>
          <w:b w:val="0"/>
          <w:bCs w:val="0"/>
          <w:caps w:val="0"/>
          <w:noProof/>
          <w:sz w:val="21"/>
          <w:szCs w:val="22"/>
        </w:rPr>
      </w:pPr>
      <w:hyperlink w:anchor="_Toc76568917" w:history="1">
        <w:r w:rsidRPr="004938F8">
          <w:rPr>
            <w:rStyle w:val="ae"/>
            <w:rFonts w:hint="eastAsia"/>
            <w:noProof/>
          </w:rPr>
          <w:t>三、</w:t>
        </w:r>
        <w:r w:rsidRPr="004938F8">
          <w:rPr>
            <w:rStyle w:val="ae"/>
            <w:rFonts w:cs="黑体" w:hint="eastAsia"/>
            <w:noProof/>
            <w:kern w:val="0"/>
          </w:rPr>
          <w:t xml:space="preserve"> 一周市场动态回顾</w:t>
        </w:r>
        <w:r>
          <w:rPr>
            <w:noProof/>
            <w:webHidden/>
          </w:rPr>
          <w:tab/>
        </w:r>
        <w:r>
          <w:rPr>
            <w:noProof/>
            <w:webHidden/>
          </w:rPr>
          <w:fldChar w:fldCharType="begin"/>
        </w:r>
        <w:r>
          <w:rPr>
            <w:noProof/>
            <w:webHidden/>
          </w:rPr>
          <w:instrText xml:space="preserve"> PAGEREF _Toc76568917 \h </w:instrText>
        </w:r>
        <w:r>
          <w:rPr>
            <w:noProof/>
            <w:webHidden/>
          </w:rPr>
        </w:r>
        <w:r>
          <w:rPr>
            <w:noProof/>
            <w:webHidden/>
          </w:rPr>
          <w:fldChar w:fldCharType="separate"/>
        </w:r>
        <w:r>
          <w:rPr>
            <w:noProof/>
            <w:webHidden/>
          </w:rPr>
          <w:t>7</w:t>
        </w:r>
        <w:r>
          <w:rPr>
            <w:noProof/>
            <w:webHidden/>
          </w:rPr>
          <w:fldChar w:fldCharType="end"/>
        </w:r>
      </w:hyperlink>
    </w:p>
    <w:p w:rsidR="003436C0" w:rsidRDefault="003436C0">
      <w:pPr>
        <w:pStyle w:val="21"/>
        <w:rPr>
          <w:rFonts w:asciiTheme="minorHAnsi" w:eastAsiaTheme="minorEastAsia" w:hAnsiTheme="minorHAnsi" w:cstheme="minorBidi"/>
          <w:b w:val="0"/>
          <w:bCs w:val="0"/>
          <w:smallCaps w:val="0"/>
          <w:noProof/>
          <w:color w:val="auto"/>
          <w:kern w:val="2"/>
          <w:sz w:val="21"/>
          <w:szCs w:val="22"/>
        </w:rPr>
      </w:pPr>
      <w:hyperlink w:anchor="_Toc76568918" w:history="1">
        <w:r w:rsidRPr="004938F8">
          <w:rPr>
            <w:rStyle w:val="ae"/>
            <w:rFonts w:hint="eastAsia"/>
            <w:noProof/>
          </w:rPr>
          <w:t>中国未来铜市供应及缺口</w:t>
        </w:r>
        <w:r>
          <w:rPr>
            <w:noProof/>
            <w:webHidden/>
          </w:rPr>
          <w:tab/>
        </w:r>
        <w:r>
          <w:rPr>
            <w:noProof/>
            <w:webHidden/>
          </w:rPr>
          <w:fldChar w:fldCharType="begin"/>
        </w:r>
        <w:r>
          <w:rPr>
            <w:noProof/>
            <w:webHidden/>
          </w:rPr>
          <w:instrText xml:space="preserve"> PAGEREF _Toc76568918 \h </w:instrText>
        </w:r>
        <w:r>
          <w:rPr>
            <w:noProof/>
            <w:webHidden/>
          </w:rPr>
        </w:r>
        <w:r>
          <w:rPr>
            <w:noProof/>
            <w:webHidden/>
          </w:rPr>
          <w:fldChar w:fldCharType="separate"/>
        </w:r>
        <w:r>
          <w:rPr>
            <w:noProof/>
            <w:webHidden/>
          </w:rPr>
          <w:t>7</w:t>
        </w:r>
        <w:r>
          <w:rPr>
            <w:noProof/>
            <w:webHidden/>
          </w:rPr>
          <w:fldChar w:fldCharType="end"/>
        </w:r>
      </w:hyperlink>
    </w:p>
    <w:p w:rsidR="003436C0" w:rsidRDefault="003436C0">
      <w:pPr>
        <w:pStyle w:val="21"/>
        <w:rPr>
          <w:rFonts w:asciiTheme="minorHAnsi" w:eastAsiaTheme="minorEastAsia" w:hAnsiTheme="minorHAnsi" w:cstheme="minorBidi"/>
          <w:b w:val="0"/>
          <w:bCs w:val="0"/>
          <w:smallCaps w:val="0"/>
          <w:noProof/>
          <w:color w:val="auto"/>
          <w:kern w:val="2"/>
          <w:sz w:val="21"/>
          <w:szCs w:val="22"/>
        </w:rPr>
      </w:pPr>
      <w:hyperlink w:anchor="_Toc76568919" w:history="1">
        <w:r w:rsidRPr="004938F8">
          <w:rPr>
            <w:rStyle w:val="ae"/>
            <w:rFonts w:hint="eastAsia"/>
            <w:noProof/>
          </w:rPr>
          <w:t>嘉能可首席执行官认为中国抛储影响铜价只能是暂时的</w:t>
        </w:r>
        <w:r>
          <w:rPr>
            <w:noProof/>
            <w:webHidden/>
          </w:rPr>
          <w:tab/>
        </w:r>
        <w:r>
          <w:rPr>
            <w:noProof/>
            <w:webHidden/>
          </w:rPr>
          <w:fldChar w:fldCharType="begin"/>
        </w:r>
        <w:r>
          <w:rPr>
            <w:noProof/>
            <w:webHidden/>
          </w:rPr>
          <w:instrText xml:space="preserve"> PAGEREF _Toc76568919 \h </w:instrText>
        </w:r>
        <w:r>
          <w:rPr>
            <w:noProof/>
            <w:webHidden/>
          </w:rPr>
        </w:r>
        <w:r>
          <w:rPr>
            <w:noProof/>
            <w:webHidden/>
          </w:rPr>
          <w:fldChar w:fldCharType="separate"/>
        </w:r>
        <w:r>
          <w:rPr>
            <w:noProof/>
            <w:webHidden/>
          </w:rPr>
          <w:t>11</w:t>
        </w:r>
        <w:r>
          <w:rPr>
            <w:noProof/>
            <w:webHidden/>
          </w:rPr>
          <w:fldChar w:fldCharType="end"/>
        </w:r>
      </w:hyperlink>
    </w:p>
    <w:p w:rsidR="003436C0" w:rsidRDefault="003436C0">
      <w:pPr>
        <w:pStyle w:val="21"/>
        <w:rPr>
          <w:rFonts w:asciiTheme="minorHAnsi" w:eastAsiaTheme="minorEastAsia" w:hAnsiTheme="minorHAnsi" w:cstheme="minorBidi"/>
          <w:b w:val="0"/>
          <w:bCs w:val="0"/>
          <w:smallCaps w:val="0"/>
          <w:noProof/>
          <w:color w:val="auto"/>
          <w:kern w:val="2"/>
          <w:sz w:val="21"/>
          <w:szCs w:val="22"/>
        </w:rPr>
      </w:pPr>
      <w:hyperlink w:anchor="_Toc76568920" w:history="1">
        <w:r w:rsidRPr="004938F8">
          <w:rPr>
            <w:rStyle w:val="ae"/>
            <w:rFonts w:hint="eastAsia"/>
            <w:noProof/>
          </w:rPr>
          <w:t>铜箔公司加快企业新旧动能转换</w:t>
        </w:r>
        <w:r>
          <w:rPr>
            <w:noProof/>
            <w:webHidden/>
          </w:rPr>
          <w:tab/>
        </w:r>
        <w:r>
          <w:rPr>
            <w:noProof/>
            <w:webHidden/>
          </w:rPr>
          <w:fldChar w:fldCharType="begin"/>
        </w:r>
        <w:r>
          <w:rPr>
            <w:noProof/>
            <w:webHidden/>
          </w:rPr>
          <w:instrText xml:space="preserve"> PAGEREF _Toc76568920 \h </w:instrText>
        </w:r>
        <w:r>
          <w:rPr>
            <w:noProof/>
            <w:webHidden/>
          </w:rPr>
        </w:r>
        <w:r>
          <w:rPr>
            <w:noProof/>
            <w:webHidden/>
          </w:rPr>
          <w:fldChar w:fldCharType="separate"/>
        </w:r>
        <w:r>
          <w:rPr>
            <w:noProof/>
            <w:webHidden/>
          </w:rPr>
          <w:t>12</w:t>
        </w:r>
        <w:r>
          <w:rPr>
            <w:noProof/>
            <w:webHidden/>
          </w:rPr>
          <w:fldChar w:fldCharType="end"/>
        </w:r>
      </w:hyperlink>
    </w:p>
    <w:p w:rsidR="003436C0" w:rsidRDefault="003436C0">
      <w:pPr>
        <w:pStyle w:val="21"/>
        <w:rPr>
          <w:rFonts w:asciiTheme="minorHAnsi" w:eastAsiaTheme="minorEastAsia" w:hAnsiTheme="minorHAnsi" w:cstheme="minorBidi"/>
          <w:b w:val="0"/>
          <w:bCs w:val="0"/>
          <w:smallCaps w:val="0"/>
          <w:noProof/>
          <w:color w:val="auto"/>
          <w:kern w:val="2"/>
          <w:sz w:val="21"/>
          <w:szCs w:val="22"/>
        </w:rPr>
      </w:pPr>
      <w:hyperlink w:anchor="_Toc76568921" w:history="1">
        <w:r w:rsidRPr="004938F8">
          <w:rPr>
            <w:rStyle w:val="ae"/>
            <w:rFonts w:hint="eastAsia"/>
            <w:noProof/>
          </w:rPr>
          <w:t>矿冶集团“唱响新时代</w:t>
        </w:r>
        <w:r w:rsidRPr="004938F8">
          <w:rPr>
            <w:rStyle w:val="ae"/>
            <w:noProof/>
          </w:rPr>
          <w:t xml:space="preserve"> </w:t>
        </w:r>
        <w:r w:rsidRPr="004938F8">
          <w:rPr>
            <w:rStyle w:val="ae"/>
            <w:rFonts w:hint="eastAsia"/>
            <w:noProof/>
          </w:rPr>
          <w:t>红歌迎华诞”大家唱红歌活动营造庆祝建党百年浓厚氛围</w:t>
        </w:r>
        <w:r>
          <w:rPr>
            <w:noProof/>
            <w:webHidden/>
          </w:rPr>
          <w:tab/>
        </w:r>
        <w:r>
          <w:rPr>
            <w:noProof/>
            <w:webHidden/>
          </w:rPr>
          <w:fldChar w:fldCharType="begin"/>
        </w:r>
        <w:r>
          <w:rPr>
            <w:noProof/>
            <w:webHidden/>
          </w:rPr>
          <w:instrText xml:space="preserve"> PAGEREF _Toc76568921 \h </w:instrText>
        </w:r>
        <w:r>
          <w:rPr>
            <w:noProof/>
            <w:webHidden/>
          </w:rPr>
        </w:r>
        <w:r>
          <w:rPr>
            <w:noProof/>
            <w:webHidden/>
          </w:rPr>
          <w:fldChar w:fldCharType="separate"/>
        </w:r>
        <w:r>
          <w:rPr>
            <w:noProof/>
            <w:webHidden/>
          </w:rPr>
          <w:t>13</w:t>
        </w:r>
        <w:r>
          <w:rPr>
            <w:noProof/>
            <w:webHidden/>
          </w:rPr>
          <w:fldChar w:fldCharType="end"/>
        </w:r>
      </w:hyperlink>
    </w:p>
    <w:p w:rsidR="003436C0" w:rsidRDefault="003436C0">
      <w:pPr>
        <w:pStyle w:val="21"/>
        <w:rPr>
          <w:rFonts w:asciiTheme="minorHAnsi" w:eastAsiaTheme="minorEastAsia" w:hAnsiTheme="minorHAnsi" w:cstheme="minorBidi"/>
          <w:b w:val="0"/>
          <w:bCs w:val="0"/>
          <w:smallCaps w:val="0"/>
          <w:noProof/>
          <w:color w:val="auto"/>
          <w:kern w:val="2"/>
          <w:sz w:val="21"/>
          <w:szCs w:val="22"/>
        </w:rPr>
      </w:pPr>
      <w:hyperlink w:anchor="_Toc76568922" w:history="1">
        <w:r w:rsidRPr="004938F8">
          <w:rPr>
            <w:rStyle w:val="ae"/>
            <w:rFonts w:hint="eastAsia"/>
            <w:noProof/>
          </w:rPr>
          <w:t>人工智能数字助手帮助拉丁美洲采矿业现代化</w:t>
        </w:r>
        <w:r>
          <w:rPr>
            <w:noProof/>
            <w:webHidden/>
          </w:rPr>
          <w:tab/>
        </w:r>
        <w:r>
          <w:rPr>
            <w:noProof/>
            <w:webHidden/>
          </w:rPr>
          <w:fldChar w:fldCharType="begin"/>
        </w:r>
        <w:r>
          <w:rPr>
            <w:noProof/>
            <w:webHidden/>
          </w:rPr>
          <w:instrText xml:space="preserve"> PAGEREF _Toc76568922 \h </w:instrText>
        </w:r>
        <w:r>
          <w:rPr>
            <w:noProof/>
            <w:webHidden/>
          </w:rPr>
        </w:r>
        <w:r>
          <w:rPr>
            <w:noProof/>
            <w:webHidden/>
          </w:rPr>
          <w:fldChar w:fldCharType="separate"/>
        </w:r>
        <w:r>
          <w:rPr>
            <w:noProof/>
            <w:webHidden/>
          </w:rPr>
          <w:t>15</w:t>
        </w:r>
        <w:r>
          <w:rPr>
            <w:noProof/>
            <w:webHidden/>
          </w:rPr>
          <w:fldChar w:fldCharType="end"/>
        </w:r>
      </w:hyperlink>
    </w:p>
    <w:p w:rsidR="003436C0" w:rsidRDefault="003436C0">
      <w:pPr>
        <w:pStyle w:val="21"/>
        <w:rPr>
          <w:rFonts w:asciiTheme="minorHAnsi" w:eastAsiaTheme="minorEastAsia" w:hAnsiTheme="minorHAnsi" w:cstheme="minorBidi"/>
          <w:b w:val="0"/>
          <w:bCs w:val="0"/>
          <w:smallCaps w:val="0"/>
          <w:noProof/>
          <w:color w:val="auto"/>
          <w:kern w:val="2"/>
          <w:sz w:val="21"/>
          <w:szCs w:val="22"/>
        </w:rPr>
      </w:pPr>
      <w:hyperlink w:anchor="_Toc76568923" w:history="1">
        <w:r w:rsidRPr="004938F8">
          <w:rPr>
            <w:rStyle w:val="ae"/>
            <w:rFonts w:hint="eastAsia"/>
            <w:noProof/>
          </w:rPr>
          <w:t>“双循环”新发展格局下的矿业之路</w:t>
        </w:r>
        <w:r>
          <w:rPr>
            <w:noProof/>
            <w:webHidden/>
          </w:rPr>
          <w:tab/>
        </w:r>
        <w:r>
          <w:rPr>
            <w:noProof/>
            <w:webHidden/>
          </w:rPr>
          <w:fldChar w:fldCharType="begin"/>
        </w:r>
        <w:r>
          <w:rPr>
            <w:noProof/>
            <w:webHidden/>
          </w:rPr>
          <w:instrText xml:space="preserve"> PAGEREF _Toc76568923 \h </w:instrText>
        </w:r>
        <w:r>
          <w:rPr>
            <w:noProof/>
            <w:webHidden/>
          </w:rPr>
        </w:r>
        <w:r>
          <w:rPr>
            <w:noProof/>
            <w:webHidden/>
          </w:rPr>
          <w:fldChar w:fldCharType="separate"/>
        </w:r>
        <w:r>
          <w:rPr>
            <w:noProof/>
            <w:webHidden/>
          </w:rPr>
          <w:t>18</w:t>
        </w:r>
        <w:r>
          <w:rPr>
            <w:noProof/>
            <w:webHidden/>
          </w:rPr>
          <w:fldChar w:fldCharType="end"/>
        </w:r>
      </w:hyperlink>
    </w:p>
    <w:p w:rsidR="003436C0" w:rsidRDefault="003436C0">
      <w:pPr>
        <w:pStyle w:val="21"/>
        <w:rPr>
          <w:rFonts w:asciiTheme="minorHAnsi" w:eastAsiaTheme="minorEastAsia" w:hAnsiTheme="minorHAnsi" w:cstheme="minorBidi"/>
          <w:b w:val="0"/>
          <w:bCs w:val="0"/>
          <w:smallCaps w:val="0"/>
          <w:noProof/>
          <w:color w:val="auto"/>
          <w:kern w:val="2"/>
          <w:sz w:val="21"/>
          <w:szCs w:val="22"/>
        </w:rPr>
      </w:pPr>
      <w:hyperlink w:anchor="_Toc76568924" w:history="1">
        <w:r w:rsidRPr="004938F8">
          <w:rPr>
            <w:rStyle w:val="ae"/>
            <w:rFonts w:hint="eastAsia"/>
            <w:noProof/>
          </w:rPr>
          <w:t>全球半导体产区产能趋势：五大晶圆厂占全球市场大半</w:t>
        </w:r>
        <w:r>
          <w:rPr>
            <w:noProof/>
            <w:webHidden/>
          </w:rPr>
          <w:tab/>
        </w:r>
        <w:r>
          <w:rPr>
            <w:noProof/>
            <w:webHidden/>
          </w:rPr>
          <w:fldChar w:fldCharType="begin"/>
        </w:r>
        <w:r>
          <w:rPr>
            <w:noProof/>
            <w:webHidden/>
          </w:rPr>
          <w:instrText xml:space="preserve"> PAGEREF _Toc76568924 \h </w:instrText>
        </w:r>
        <w:r>
          <w:rPr>
            <w:noProof/>
            <w:webHidden/>
          </w:rPr>
        </w:r>
        <w:r>
          <w:rPr>
            <w:noProof/>
            <w:webHidden/>
          </w:rPr>
          <w:fldChar w:fldCharType="separate"/>
        </w:r>
        <w:r>
          <w:rPr>
            <w:noProof/>
            <w:webHidden/>
          </w:rPr>
          <w:t>25</w:t>
        </w:r>
        <w:r>
          <w:rPr>
            <w:noProof/>
            <w:webHidden/>
          </w:rPr>
          <w:fldChar w:fldCharType="end"/>
        </w:r>
      </w:hyperlink>
    </w:p>
    <w:p w:rsidR="003436C0" w:rsidRDefault="003436C0">
      <w:pPr>
        <w:pStyle w:val="21"/>
        <w:rPr>
          <w:rFonts w:asciiTheme="minorHAnsi" w:eastAsiaTheme="minorEastAsia" w:hAnsiTheme="minorHAnsi" w:cstheme="minorBidi"/>
          <w:b w:val="0"/>
          <w:bCs w:val="0"/>
          <w:smallCaps w:val="0"/>
          <w:noProof/>
          <w:color w:val="auto"/>
          <w:kern w:val="2"/>
          <w:sz w:val="21"/>
          <w:szCs w:val="22"/>
        </w:rPr>
      </w:pPr>
      <w:hyperlink w:anchor="_Toc76568925" w:history="1">
        <w:r w:rsidRPr="004938F8">
          <w:rPr>
            <w:rStyle w:val="ae"/>
            <w:rFonts w:hint="eastAsia"/>
            <w:noProof/>
          </w:rPr>
          <w:t>“花式”产业投资配套：平价光伏难以承受之重</w:t>
        </w:r>
        <w:r>
          <w:rPr>
            <w:noProof/>
            <w:webHidden/>
          </w:rPr>
          <w:tab/>
        </w:r>
        <w:r>
          <w:rPr>
            <w:noProof/>
            <w:webHidden/>
          </w:rPr>
          <w:fldChar w:fldCharType="begin"/>
        </w:r>
        <w:r>
          <w:rPr>
            <w:noProof/>
            <w:webHidden/>
          </w:rPr>
          <w:instrText xml:space="preserve"> PAGEREF _Toc76568925 \h </w:instrText>
        </w:r>
        <w:r>
          <w:rPr>
            <w:noProof/>
            <w:webHidden/>
          </w:rPr>
        </w:r>
        <w:r>
          <w:rPr>
            <w:noProof/>
            <w:webHidden/>
          </w:rPr>
          <w:fldChar w:fldCharType="separate"/>
        </w:r>
        <w:r>
          <w:rPr>
            <w:noProof/>
            <w:webHidden/>
          </w:rPr>
          <w:t>28</w:t>
        </w:r>
        <w:r>
          <w:rPr>
            <w:noProof/>
            <w:webHidden/>
          </w:rPr>
          <w:fldChar w:fldCharType="end"/>
        </w:r>
      </w:hyperlink>
    </w:p>
    <w:p w:rsidR="003436C0" w:rsidRDefault="003436C0">
      <w:pPr>
        <w:pStyle w:val="21"/>
        <w:rPr>
          <w:rFonts w:asciiTheme="minorHAnsi" w:eastAsiaTheme="minorEastAsia" w:hAnsiTheme="minorHAnsi" w:cstheme="minorBidi"/>
          <w:b w:val="0"/>
          <w:bCs w:val="0"/>
          <w:smallCaps w:val="0"/>
          <w:noProof/>
          <w:color w:val="auto"/>
          <w:kern w:val="2"/>
          <w:sz w:val="21"/>
          <w:szCs w:val="22"/>
        </w:rPr>
      </w:pPr>
      <w:hyperlink w:anchor="_Toc76568926" w:history="1">
        <w:r w:rsidRPr="004938F8">
          <w:rPr>
            <w:rStyle w:val="ae"/>
            <w:rFonts w:hint="eastAsia"/>
            <w:noProof/>
          </w:rPr>
          <w:t>移动制冷产业快速发展，看看有哪些增长点</w:t>
        </w:r>
        <w:r>
          <w:rPr>
            <w:noProof/>
            <w:webHidden/>
          </w:rPr>
          <w:tab/>
        </w:r>
        <w:r>
          <w:rPr>
            <w:noProof/>
            <w:webHidden/>
          </w:rPr>
          <w:fldChar w:fldCharType="begin"/>
        </w:r>
        <w:r>
          <w:rPr>
            <w:noProof/>
            <w:webHidden/>
          </w:rPr>
          <w:instrText xml:space="preserve"> PAGEREF _Toc76568926 \h </w:instrText>
        </w:r>
        <w:r>
          <w:rPr>
            <w:noProof/>
            <w:webHidden/>
          </w:rPr>
        </w:r>
        <w:r>
          <w:rPr>
            <w:noProof/>
            <w:webHidden/>
          </w:rPr>
          <w:fldChar w:fldCharType="separate"/>
        </w:r>
        <w:r>
          <w:rPr>
            <w:noProof/>
            <w:webHidden/>
          </w:rPr>
          <w:t>32</w:t>
        </w:r>
        <w:r>
          <w:rPr>
            <w:noProof/>
            <w:webHidden/>
          </w:rPr>
          <w:fldChar w:fldCharType="end"/>
        </w:r>
      </w:hyperlink>
    </w:p>
    <w:p w:rsidR="003436C0" w:rsidRDefault="003436C0">
      <w:pPr>
        <w:pStyle w:val="21"/>
        <w:rPr>
          <w:rFonts w:asciiTheme="minorHAnsi" w:eastAsiaTheme="minorEastAsia" w:hAnsiTheme="minorHAnsi" w:cstheme="minorBidi"/>
          <w:b w:val="0"/>
          <w:bCs w:val="0"/>
          <w:smallCaps w:val="0"/>
          <w:noProof/>
          <w:color w:val="auto"/>
          <w:kern w:val="2"/>
          <w:sz w:val="21"/>
          <w:szCs w:val="22"/>
        </w:rPr>
      </w:pPr>
      <w:hyperlink w:anchor="_Toc76568927" w:history="1">
        <w:r w:rsidRPr="004938F8">
          <w:rPr>
            <w:rStyle w:val="ae"/>
            <w:rFonts w:hint="eastAsia"/>
            <w:noProof/>
          </w:rPr>
          <w:t>好消息！在深建冷库，有望获资助</w:t>
        </w:r>
        <w:r>
          <w:rPr>
            <w:noProof/>
            <w:webHidden/>
          </w:rPr>
          <w:tab/>
        </w:r>
        <w:r>
          <w:rPr>
            <w:noProof/>
            <w:webHidden/>
          </w:rPr>
          <w:fldChar w:fldCharType="begin"/>
        </w:r>
        <w:r>
          <w:rPr>
            <w:noProof/>
            <w:webHidden/>
          </w:rPr>
          <w:instrText xml:space="preserve"> PAGEREF _Toc76568927 \h </w:instrText>
        </w:r>
        <w:r>
          <w:rPr>
            <w:noProof/>
            <w:webHidden/>
          </w:rPr>
        </w:r>
        <w:r>
          <w:rPr>
            <w:noProof/>
            <w:webHidden/>
          </w:rPr>
          <w:fldChar w:fldCharType="separate"/>
        </w:r>
        <w:r>
          <w:rPr>
            <w:noProof/>
            <w:webHidden/>
          </w:rPr>
          <w:t>35</w:t>
        </w:r>
        <w:r>
          <w:rPr>
            <w:noProof/>
            <w:webHidden/>
          </w:rPr>
          <w:fldChar w:fldCharType="end"/>
        </w:r>
      </w:hyperlink>
    </w:p>
    <w:p w:rsidR="00114DE3" w:rsidRDefault="00694F64">
      <w:r>
        <w:fldChar w:fldCharType="end"/>
      </w:r>
      <w:bookmarkEnd w:id="1"/>
    </w:p>
    <w:p w:rsidR="00114DE3" w:rsidRDefault="00114DE3"/>
    <w:p w:rsidR="00114DE3" w:rsidRDefault="00963A3B">
      <w:pPr>
        <w:pStyle w:val="3"/>
        <w:tabs>
          <w:tab w:val="center" w:pos="4252"/>
        </w:tabs>
        <w:spacing w:line="400" w:lineRule="exact"/>
        <w:rPr>
          <w:rFonts w:cs="黑体"/>
        </w:rPr>
      </w:pPr>
      <w:bookmarkStart w:id="3" w:name="_Toc76568909"/>
      <w:r>
        <w:rPr>
          <w:rFonts w:cs="黑体" w:hint="eastAsia"/>
        </w:rPr>
        <w:t>一、小金属一周评述</w:t>
      </w:r>
      <w:bookmarkStart w:id="4" w:name="_Toc512521225"/>
      <w:bookmarkStart w:id="5" w:name="_Toc528936986"/>
      <w:bookmarkStart w:id="6" w:name="_Toc505947794"/>
      <w:bookmarkStart w:id="7" w:name="_Toc529541800"/>
      <w:bookmarkStart w:id="8" w:name="_Toc507769000"/>
      <w:bookmarkStart w:id="9" w:name="_Toc513118842"/>
      <w:bookmarkStart w:id="10" w:name="_Toc509582478"/>
      <w:bookmarkStart w:id="11" w:name="_Toc507665368"/>
      <w:bookmarkStart w:id="12" w:name="_Toc533674480"/>
      <w:bookmarkStart w:id="13" w:name="_Toc504123327"/>
      <w:bookmarkStart w:id="14" w:name="_Toc532566849"/>
      <w:bookmarkStart w:id="15" w:name="_Toc528332594"/>
      <w:bookmarkStart w:id="16" w:name="_Toc517965461"/>
      <w:bookmarkStart w:id="17" w:name="_Toc511290048"/>
      <w:bookmarkStart w:id="18" w:name="_Toc513728611"/>
      <w:bookmarkStart w:id="19" w:name="_Toc528913994"/>
      <w:bookmarkStart w:id="20" w:name="_Toc512606000"/>
      <w:bookmarkStart w:id="21" w:name="_Toc520381693"/>
      <w:bookmarkStart w:id="22" w:name="_Toc522890290"/>
      <w:bookmarkStart w:id="23" w:name="_Toc510190825"/>
      <w:bookmarkStart w:id="24" w:name="_Toc513728505"/>
      <w:bookmarkStart w:id="25" w:name="_Toc533083465"/>
      <w:bookmarkStart w:id="26" w:name="_Toc530057359"/>
      <w:bookmarkStart w:id="27" w:name="_Toc515612471"/>
      <w:bookmarkStart w:id="28" w:name="_Toc533777202"/>
      <w:bookmarkStart w:id="29" w:name="_Toc521075423"/>
      <w:bookmarkStart w:id="30" w:name="_Toc515027608"/>
      <w:bookmarkStart w:id="31" w:name="_Toc534383436"/>
      <w:bookmarkStart w:id="32" w:name="_Toc525913129"/>
      <w:bookmarkStart w:id="33" w:name="_Toc519842315"/>
      <w:bookmarkStart w:id="34" w:name="_Toc533168359"/>
      <w:bookmarkStart w:id="35" w:name="_Toc510190043"/>
      <w:bookmarkStart w:id="36" w:name="_Toc504744209"/>
      <w:bookmarkStart w:id="37" w:name="_Toc514921969"/>
      <w:bookmarkStart w:id="38" w:name="_Toc512520694"/>
      <w:bookmarkStart w:id="39" w:name="_Toc508975637"/>
      <w:bookmarkStart w:id="40" w:name="_Toc519865236"/>
      <w:bookmarkStart w:id="41" w:name="_Toc521053860"/>
      <w:bookmarkStart w:id="42" w:name="_Toc520366056"/>
      <w:bookmarkStart w:id="43" w:name="_Toc522179796"/>
      <w:bookmarkStart w:id="44" w:name="_Toc516237036"/>
      <w:bookmarkStart w:id="45" w:name="_Toc508960595"/>
      <w:bookmarkStart w:id="46" w:name="_Toc531358358"/>
      <w:bookmarkStart w:id="47" w:name="_Toc521679472"/>
      <w:bookmarkStart w:id="48" w:name="_Toc504140101"/>
      <w:bookmarkStart w:id="49" w:name="_Toc527035872"/>
      <w:bookmarkStart w:id="50" w:name="_Toc528222492"/>
      <w:bookmarkStart w:id="51" w:name="_Toc520452528"/>
      <w:bookmarkStart w:id="52" w:name="_Toc524334722"/>
      <w:bookmarkStart w:id="53" w:name="_Toc511397199"/>
      <w:bookmarkStart w:id="54" w:name="_Toc517448405"/>
      <w:bookmarkStart w:id="55" w:name="_Toc530728485"/>
      <w:bookmarkStart w:id="56" w:name="_Toc523991798"/>
      <w:bookmarkStart w:id="57" w:name="_Toc530751847"/>
      <w:bookmarkStart w:id="58" w:name="_Toc515611913"/>
      <w:bookmarkStart w:id="59" w:name="_Toc522285450"/>
      <w:bookmarkStart w:id="60" w:name="_Toc533167784"/>
      <w:bookmarkStart w:id="61" w:name="_Toc530149342"/>
      <w:bookmarkStart w:id="62" w:name="_Toc510166278"/>
      <w:bookmarkStart w:id="63" w:name="_Toc513816736"/>
      <w:bookmarkStart w:id="64" w:name="_Toc519258206"/>
      <w:bookmarkStart w:id="65" w:name="_Toc517427833"/>
      <w:bookmarkStart w:id="66" w:name="_Toc527640818"/>
      <w:bookmarkStart w:id="67" w:name="_Toc508369676"/>
      <w:bookmarkStart w:id="68" w:name="_Toc516819989"/>
      <w:bookmarkStart w:id="69" w:name="_Toc523381108"/>
      <w:bookmarkStart w:id="70" w:name="_Toc531943255"/>
      <w:bookmarkStart w:id="71" w:name="_Toc511375612"/>
      <w:bookmarkStart w:id="72" w:name="_Toc531271720"/>
      <w:bookmarkStart w:id="73" w:name="_Toc513211123"/>
      <w:bookmarkStart w:id="74" w:name="_Toc530147840"/>
      <w:bookmarkStart w:id="75" w:name="_Toc518650435"/>
      <w:bookmarkStart w:id="76" w:name="_Toc519147013"/>
      <w:bookmarkStart w:id="77" w:name="_Toc521586415"/>
      <w:bookmarkStart w:id="78" w:name="_Toc485828984"/>
      <w:bookmarkStart w:id="79" w:name="_Toc512001762"/>
      <w:bookmarkStart w:id="80" w:name="_Toc527037029"/>
      <w:bookmarkStart w:id="81" w:name="_Toc523494890"/>
      <w:bookmarkStart w:id="82" w:name="_Toc509574325"/>
      <w:bookmarkStart w:id="83" w:name="_Toc508267081"/>
      <w:bookmarkStart w:id="84" w:name="_Toc527123553"/>
      <w:bookmarkStart w:id="85" w:name="_Toc531854138"/>
      <w:bookmarkStart w:id="86" w:name="_Toc514422624"/>
      <w:bookmarkStart w:id="87" w:name="_Toc529455508"/>
      <w:bookmarkStart w:id="88" w:name="_Toc518651973"/>
      <w:bookmarkStart w:id="89" w:name="_Toc524704217"/>
      <w:bookmarkStart w:id="90" w:name="_Toc514329181"/>
      <w:bookmarkStart w:id="91" w:name="_Toc505347182"/>
      <w:bookmarkStart w:id="92" w:name="_Toc1132017"/>
      <w:bookmarkStart w:id="93" w:name="_Toc527728174"/>
      <w:bookmarkStart w:id="94" w:name="_Toc516841874"/>
      <w:bookmarkStart w:id="95" w:name="_Toc518548545"/>
      <w:bookmarkStart w:id="96" w:name="_Toc504057445"/>
      <w:bookmarkStart w:id="97" w:name="_Toc515633934"/>
      <w:bookmarkStart w:id="98" w:name="_Toc511898980"/>
      <w:bookmarkStart w:id="99" w:name="_Toc504651767"/>
      <w:bookmarkStart w:id="100" w:name="_Toc518051249"/>
      <w:bookmarkStart w:id="101" w:name="_Toc525309223"/>
      <w:bookmarkStart w:id="102" w:name="_Toc521051959"/>
      <w:bookmarkStart w:id="103" w:name="_Toc505261402"/>
      <w:bookmarkStart w:id="104" w:name="_Toc513123883"/>
      <w:bookmarkEnd w:id="2"/>
      <w:bookmarkEnd w:id="3"/>
      <w:r>
        <w:rPr>
          <w:rFonts w:cs="黑体" w:hint="eastAsia"/>
        </w:rPr>
        <w:tab/>
      </w:r>
    </w:p>
    <w:p w:rsidR="00114DE3" w:rsidRDefault="00963A3B">
      <w:pPr>
        <w:pStyle w:val="3"/>
        <w:numPr>
          <w:ilvl w:val="0"/>
          <w:numId w:val="1"/>
        </w:numPr>
        <w:spacing w:line="400" w:lineRule="exact"/>
        <w:rPr>
          <w:kern w:val="0"/>
        </w:rPr>
      </w:pPr>
      <w:bookmarkStart w:id="105" w:name="_Toc76568910"/>
      <w:r>
        <w:rPr>
          <w:rFonts w:hint="eastAsia"/>
          <w:kern w:val="0"/>
        </w:rPr>
        <w:t>硒评论：电解锰</w:t>
      </w:r>
      <w:r w:rsidR="00D8001A" w:rsidRPr="00D8001A">
        <w:rPr>
          <w:rFonts w:hint="eastAsia"/>
          <w:kern w:val="0"/>
        </w:rPr>
        <w:t>价格</w:t>
      </w:r>
      <w:r w:rsidR="008A21EE" w:rsidRPr="008A21EE">
        <w:rPr>
          <w:rFonts w:hint="eastAsia"/>
          <w:kern w:val="0"/>
        </w:rPr>
        <w:t>小幅上涨</w:t>
      </w:r>
      <w:r w:rsidR="008A21EE" w:rsidRPr="008A21EE">
        <w:rPr>
          <w:rFonts w:hint="eastAsia"/>
          <w:kern w:val="0"/>
        </w:rPr>
        <w:t xml:space="preserve"> </w:t>
      </w:r>
      <w:r>
        <w:rPr>
          <w:rFonts w:hint="eastAsia"/>
          <w:kern w:val="0"/>
        </w:rPr>
        <w:t>二硒</w:t>
      </w:r>
      <w:r w:rsidRPr="008A21EE">
        <w:rPr>
          <w:rFonts w:hint="eastAsia"/>
          <w:kern w:val="0"/>
        </w:rPr>
        <w:t>价格</w:t>
      </w:r>
      <w:r w:rsidR="008A21EE" w:rsidRPr="008A21EE">
        <w:rPr>
          <w:rFonts w:hint="eastAsia"/>
          <w:kern w:val="0"/>
        </w:rPr>
        <w:t>整体表现一般</w:t>
      </w:r>
      <w:bookmarkEnd w:id="105"/>
    </w:p>
    <w:p w:rsidR="008A21EE" w:rsidRPr="008A21EE" w:rsidRDefault="008A21EE" w:rsidP="008A21EE">
      <w:pPr>
        <w:spacing w:line="360" w:lineRule="auto"/>
        <w:ind w:firstLineChars="200" w:firstLine="560"/>
        <w:rPr>
          <w:rFonts w:asciiTheme="minorEastAsia" w:eastAsiaTheme="minorEastAsia" w:hAnsiTheme="minorEastAsia" w:cstheme="minorEastAsia"/>
          <w:kern w:val="0"/>
          <w:sz w:val="28"/>
          <w:szCs w:val="28"/>
        </w:rPr>
      </w:pPr>
      <w:r w:rsidRPr="008A21EE">
        <w:rPr>
          <w:rFonts w:asciiTheme="minorEastAsia" w:eastAsiaTheme="minorEastAsia" w:hAnsiTheme="minorEastAsia" w:cstheme="minorEastAsia" w:hint="eastAsia"/>
          <w:kern w:val="0"/>
          <w:sz w:val="28"/>
          <w:szCs w:val="28"/>
        </w:rPr>
        <w:t>中商网讯：截至到目前电解锰的报价在17300-17400元/吨，均价较上周五上涨400元/吨。本周国内电解锰市场小幅上涨。目前终端市场需求有所增加，下游消费商们的采购积极性普遍有所提高。预计未来一周国内电解锰市场价格将会继续小幅上涨。</w:t>
      </w:r>
    </w:p>
    <w:p w:rsidR="008A21EE" w:rsidRPr="008A21EE" w:rsidRDefault="008A21EE" w:rsidP="008A21EE">
      <w:pPr>
        <w:spacing w:line="360" w:lineRule="auto"/>
        <w:ind w:firstLineChars="200" w:firstLine="560"/>
        <w:rPr>
          <w:rFonts w:asciiTheme="minorEastAsia" w:eastAsiaTheme="minorEastAsia" w:hAnsiTheme="minorEastAsia" w:cstheme="minorEastAsia"/>
          <w:kern w:val="0"/>
          <w:sz w:val="28"/>
          <w:szCs w:val="28"/>
        </w:rPr>
      </w:pPr>
    </w:p>
    <w:p w:rsidR="008A21EE" w:rsidRPr="008A21EE" w:rsidRDefault="008A21EE" w:rsidP="008A21EE">
      <w:pPr>
        <w:spacing w:line="360" w:lineRule="auto"/>
        <w:ind w:firstLineChars="200" w:firstLine="560"/>
        <w:rPr>
          <w:rFonts w:asciiTheme="minorEastAsia" w:eastAsiaTheme="minorEastAsia" w:hAnsiTheme="minorEastAsia" w:cstheme="minorEastAsia"/>
          <w:kern w:val="0"/>
          <w:sz w:val="28"/>
          <w:szCs w:val="28"/>
        </w:rPr>
      </w:pPr>
      <w:r w:rsidRPr="008A21EE">
        <w:rPr>
          <w:rFonts w:asciiTheme="minorEastAsia" w:eastAsiaTheme="minorEastAsia" w:hAnsiTheme="minorEastAsia" w:cstheme="minorEastAsia" w:hint="eastAsia"/>
          <w:kern w:val="0"/>
          <w:sz w:val="28"/>
          <w:szCs w:val="28"/>
        </w:rPr>
        <w:t>硒粉国际市场最新报价在9.1-10.3美元/磅，最低价较上周五保持不变。欧洲鹿特丹市场硒粉报价为9.07美元/磅，均价较上周五保持稳定。本周国内硒粉市场价格为165-180元/公斤，均价较上周五持续保持平稳。本周粗硒市场价格为120-130元/公斤，均价较上周五下调5元/公斤。目前硒市场需求疲软，成交氛围清淡，多数国内供应商成交量不足，下游消费商采购意愿清淡，依然保持按需采购，更倾向于后市。预计未来一周国内硒市场价格将会保持稳定。</w:t>
      </w:r>
    </w:p>
    <w:p w:rsidR="008A21EE" w:rsidRPr="008A21EE" w:rsidRDefault="008A21EE" w:rsidP="008A21EE">
      <w:pPr>
        <w:spacing w:line="360" w:lineRule="auto"/>
        <w:ind w:firstLineChars="200" w:firstLine="560"/>
        <w:rPr>
          <w:rFonts w:asciiTheme="minorEastAsia" w:eastAsiaTheme="minorEastAsia" w:hAnsiTheme="minorEastAsia" w:cstheme="minorEastAsia"/>
          <w:kern w:val="0"/>
          <w:sz w:val="28"/>
          <w:szCs w:val="28"/>
        </w:rPr>
      </w:pPr>
    </w:p>
    <w:p w:rsidR="008A21EE" w:rsidRPr="008A21EE" w:rsidRDefault="008A21EE" w:rsidP="008A21EE">
      <w:pPr>
        <w:spacing w:line="360" w:lineRule="auto"/>
        <w:ind w:firstLineChars="200" w:firstLine="560"/>
        <w:rPr>
          <w:rFonts w:asciiTheme="minorEastAsia" w:eastAsiaTheme="minorEastAsia" w:hAnsiTheme="minorEastAsia" w:cstheme="minorEastAsia"/>
          <w:kern w:val="0"/>
          <w:sz w:val="28"/>
          <w:szCs w:val="28"/>
        </w:rPr>
      </w:pPr>
      <w:r w:rsidRPr="008A21EE">
        <w:rPr>
          <w:rFonts w:asciiTheme="minorEastAsia" w:eastAsiaTheme="minorEastAsia" w:hAnsiTheme="minorEastAsia" w:cstheme="minorEastAsia" w:hint="eastAsia"/>
          <w:kern w:val="0"/>
          <w:sz w:val="28"/>
          <w:szCs w:val="28"/>
        </w:rPr>
        <w:t>本周国内二氧化硒市场价格为100-110元/公斤，均价较上周五最低价下跌5元/公斤。目前国内二氧化硒市场整体表现一般，交投气氛较为清淡，市场需求持稳。鉴于终端市场需求在短期内难有改善，预期性采购较少，预计未来一周国内二氧化硒市场将会继续小幅下滑。</w:t>
      </w:r>
    </w:p>
    <w:p w:rsidR="008A21EE" w:rsidRPr="008A21EE" w:rsidRDefault="008A21EE" w:rsidP="008A21EE">
      <w:pPr>
        <w:spacing w:line="360" w:lineRule="auto"/>
        <w:ind w:firstLineChars="200" w:firstLine="560"/>
        <w:rPr>
          <w:rFonts w:asciiTheme="minorEastAsia" w:eastAsiaTheme="minorEastAsia" w:hAnsiTheme="minorEastAsia" w:cstheme="minorEastAsia"/>
          <w:kern w:val="0"/>
          <w:sz w:val="28"/>
          <w:szCs w:val="28"/>
        </w:rPr>
      </w:pPr>
    </w:p>
    <w:p w:rsidR="008A21EE" w:rsidRPr="008A21EE" w:rsidRDefault="008A21EE" w:rsidP="008A21EE">
      <w:pPr>
        <w:spacing w:line="360" w:lineRule="auto"/>
        <w:ind w:firstLineChars="200" w:firstLine="560"/>
        <w:rPr>
          <w:rFonts w:asciiTheme="minorEastAsia" w:eastAsiaTheme="minorEastAsia" w:hAnsiTheme="minorEastAsia" w:cstheme="minorEastAsia"/>
          <w:kern w:val="0"/>
          <w:sz w:val="28"/>
          <w:szCs w:val="28"/>
        </w:rPr>
      </w:pPr>
      <w:r w:rsidRPr="008A21EE">
        <w:rPr>
          <w:rFonts w:asciiTheme="minorEastAsia" w:eastAsiaTheme="minorEastAsia" w:hAnsiTheme="minorEastAsia" w:cstheme="minorEastAsia" w:hint="eastAsia"/>
          <w:kern w:val="0"/>
          <w:sz w:val="28"/>
          <w:szCs w:val="28"/>
        </w:rPr>
        <w:t>分析评述：本周硒市场报价稳定，电解锰市场价格持续上涨，粗硒市场</w:t>
      </w:r>
      <w:r w:rsidRPr="008A21EE">
        <w:rPr>
          <w:rFonts w:asciiTheme="minorEastAsia" w:eastAsiaTheme="minorEastAsia" w:hAnsiTheme="minorEastAsia" w:cstheme="minorEastAsia" w:hint="eastAsia"/>
          <w:kern w:val="0"/>
          <w:sz w:val="28"/>
          <w:szCs w:val="28"/>
        </w:rPr>
        <w:lastRenderedPageBreak/>
        <w:t>价格小幅下跌，二氧化硒市场价格下滑走势。鉴于目前国内硒市场更倾向于观望后市，预计未来一周硒市场价格将会持稳运行。</w:t>
      </w:r>
    </w:p>
    <w:p w:rsidR="00114DE3" w:rsidRPr="008A21EE" w:rsidRDefault="00963A3B" w:rsidP="008A21EE">
      <w:pPr>
        <w:pStyle w:val="3"/>
        <w:numPr>
          <w:ilvl w:val="0"/>
          <w:numId w:val="1"/>
        </w:numPr>
        <w:spacing w:line="400" w:lineRule="exact"/>
        <w:rPr>
          <w:kern w:val="0"/>
        </w:rPr>
      </w:pPr>
      <w:bookmarkStart w:id="106" w:name="_Toc76568911"/>
      <w:r w:rsidRPr="008A21EE">
        <w:rPr>
          <w:rFonts w:hint="eastAsia"/>
          <w:kern w:val="0"/>
        </w:rPr>
        <w:t>铋评论：</w:t>
      </w:r>
      <w:r w:rsidRPr="008A21EE">
        <w:rPr>
          <w:kern w:val="0"/>
        </w:rPr>
        <w:t>铋锭市场</w:t>
      </w:r>
      <w:r w:rsidRPr="008A21EE">
        <w:rPr>
          <w:rFonts w:hint="eastAsia"/>
          <w:kern w:val="0"/>
        </w:rPr>
        <w:t>价</w:t>
      </w:r>
      <w:r w:rsidR="00630058" w:rsidRPr="008A21EE">
        <w:rPr>
          <w:rFonts w:hint="eastAsia"/>
          <w:kern w:val="0"/>
        </w:rPr>
        <w:t>格</w:t>
      </w:r>
      <w:r w:rsidR="00727B88" w:rsidRPr="00727B88">
        <w:rPr>
          <w:kern w:val="0"/>
        </w:rPr>
        <w:t>整体持稳</w:t>
      </w:r>
      <w:bookmarkEnd w:id="106"/>
    </w:p>
    <w:p w:rsidR="00727B88" w:rsidRPr="00727B88" w:rsidRDefault="00727B88" w:rsidP="00727B88">
      <w:pPr>
        <w:pStyle w:val="ab"/>
        <w:spacing w:line="360" w:lineRule="auto"/>
        <w:ind w:firstLineChars="200" w:firstLine="560"/>
        <w:rPr>
          <w:rFonts w:asciiTheme="minorEastAsia" w:eastAsiaTheme="minorEastAsia" w:hAnsiTheme="minorEastAsia" w:cstheme="minorEastAsia"/>
          <w:sz w:val="28"/>
          <w:szCs w:val="28"/>
        </w:rPr>
      </w:pPr>
      <w:r w:rsidRPr="00727B88">
        <w:rPr>
          <w:rFonts w:asciiTheme="minorEastAsia" w:eastAsiaTheme="minorEastAsia" w:hAnsiTheme="minorEastAsia" w:cstheme="minorEastAsia"/>
          <w:sz w:val="28"/>
          <w:szCs w:val="28"/>
        </w:rPr>
        <w:t>中商网讯：本周国内铋锭市场整体持稳，本周市场价格较上周有下跌趋势，现阶段国内铋锭整体气氛不活跃，市场交投量有限，维持按需采购为主，预计未来一周国内铋锭市场价格将会持续下跌。</w:t>
      </w:r>
    </w:p>
    <w:p w:rsidR="00727B88" w:rsidRPr="00727B88" w:rsidRDefault="00727B88" w:rsidP="00727B88">
      <w:pPr>
        <w:pStyle w:val="ab"/>
        <w:spacing w:line="360" w:lineRule="auto"/>
        <w:ind w:firstLineChars="200" w:firstLine="560"/>
        <w:rPr>
          <w:rFonts w:asciiTheme="minorEastAsia" w:eastAsiaTheme="minorEastAsia" w:hAnsiTheme="minorEastAsia" w:cstheme="minorEastAsia"/>
          <w:sz w:val="28"/>
          <w:szCs w:val="28"/>
        </w:rPr>
      </w:pPr>
      <w:r w:rsidRPr="00727B88">
        <w:rPr>
          <w:rFonts w:asciiTheme="minorEastAsia" w:eastAsiaTheme="minorEastAsia" w:hAnsiTheme="minorEastAsia" w:cstheme="minorEastAsia"/>
          <w:sz w:val="28"/>
          <w:szCs w:val="28"/>
        </w:rPr>
        <w:t>本周国际市场铋锭报价为3.75-4美元/磅，均价较上周五保持不变。欧洲鹿特丹市场最新报价在3.9美元/磅，价格较上周五保持稳定。出口市场价格为3.4-3.5美元/磅，均价较上周五持稳。</w:t>
      </w:r>
    </w:p>
    <w:p w:rsidR="00727B88" w:rsidRPr="00727B88" w:rsidRDefault="00727B88" w:rsidP="00727B88">
      <w:pPr>
        <w:pStyle w:val="ab"/>
        <w:spacing w:line="360" w:lineRule="auto"/>
        <w:ind w:firstLineChars="200" w:firstLine="560"/>
        <w:rPr>
          <w:rFonts w:asciiTheme="minorEastAsia" w:eastAsiaTheme="minorEastAsia" w:hAnsiTheme="minorEastAsia" w:cstheme="minorEastAsia"/>
          <w:sz w:val="28"/>
          <w:szCs w:val="28"/>
        </w:rPr>
      </w:pPr>
      <w:r w:rsidRPr="00727B88">
        <w:rPr>
          <w:rFonts w:asciiTheme="minorEastAsia" w:eastAsiaTheme="minorEastAsia" w:hAnsiTheme="minorEastAsia" w:cstheme="minorEastAsia"/>
          <w:sz w:val="28"/>
          <w:szCs w:val="28"/>
        </w:rPr>
        <w:t>本周国内铋锭市场主流报价为42000-43000元/吨，均价较上周五价格下跌500元/吨。目前市场需求不活跃，整体表现不佳，市场行情延续疲弱走势。成交量较少，多数供应商主动下调报价已获订单。目前国内氧化铋的市场价格为45000-46000元/吨，均价较上周五保持稳定。目前国内氧化铋市场运行稳定，虽然市场需求一般，但是多数供应商因成本坚挺拒绝降价，目前终端市场采购意愿不强，更倾向于观望后市，鉴于目前市场需求不旺，预计未来一周国内氧化铋市场价格将保持坚挺。</w:t>
      </w:r>
    </w:p>
    <w:p w:rsidR="00727B88" w:rsidRPr="00727B88" w:rsidRDefault="00727B88" w:rsidP="00727B88">
      <w:pPr>
        <w:pStyle w:val="ab"/>
        <w:spacing w:line="360" w:lineRule="auto"/>
        <w:ind w:firstLineChars="200" w:firstLine="560"/>
        <w:rPr>
          <w:rFonts w:asciiTheme="minorEastAsia" w:eastAsiaTheme="minorEastAsia" w:hAnsiTheme="minorEastAsia" w:cstheme="minorEastAsia"/>
          <w:sz w:val="28"/>
          <w:szCs w:val="28"/>
        </w:rPr>
      </w:pPr>
      <w:r w:rsidRPr="00727B88">
        <w:rPr>
          <w:rFonts w:asciiTheme="minorEastAsia" w:eastAsiaTheme="minorEastAsia" w:hAnsiTheme="minorEastAsia" w:cstheme="minorEastAsia"/>
          <w:sz w:val="28"/>
          <w:szCs w:val="28"/>
        </w:rPr>
        <w:t>分析评述：本周国内铋锭市场整体平稳，供应商报价稳定。虽然市场交易清淡，但供应商们挺价意愿较强。鉴于市场需求疲软，预计未来一周国内铋锭市场价格将会继续坚挺。</w:t>
      </w:r>
    </w:p>
    <w:p w:rsidR="00114DE3" w:rsidRDefault="00963A3B">
      <w:pPr>
        <w:pStyle w:val="3"/>
        <w:spacing w:line="400" w:lineRule="exact"/>
        <w:rPr>
          <w:kern w:val="0"/>
        </w:rPr>
      </w:pPr>
      <w:bookmarkStart w:id="107" w:name="_Toc76568912"/>
      <w:r>
        <w:rPr>
          <w:rFonts w:hint="eastAsia"/>
          <w:kern w:val="0"/>
        </w:rPr>
        <w:lastRenderedPageBreak/>
        <w:t>3</w:t>
      </w:r>
      <w:r>
        <w:rPr>
          <w:rFonts w:hint="eastAsia"/>
          <w:kern w:val="0"/>
        </w:rPr>
        <w:t>、铟评论：铟锭市场价格</w:t>
      </w:r>
      <w:r w:rsidR="00727B88" w:rsidRPr="00727B88">
        <w:rPr>
          <w:kern w:val="0"/>
        </w:rPr>
        <w:t>保持稳定</w:t>
      </w:r>
      <w:bookmarkEnd w:id="107"/>
    </w:p>
    <w:p w:rsidR="00114DE3" w:rsidRDefault="00114DE3">
      <w:pPr>
        <w:pStyle w:val="ab"/>
        <w:wordWrap w:val="0"/>
        <w:spacing w:line="288" w:lineRule="auto"/>
        <w:ind w:firstLineChars="200" w:firstLine="560"/>
        <w:rPr>
          <w:rFonts w:asciiTheme="minorEastAsia" w:eastAsiaTheme="minorEastAsia" w:hAnsiTheme="minorEastAsia" w:cstheme="minorEastAsia"/>
          <w:sz w:val="28"/>
          <w:szCs w:val="28"/>
        </w:rPr>
      </w:pPr>
    </w:p>
    <w:p w:rsidR="00727B88" w:rsidRPr="00727B88" w:rsidRDefault="00727B88" w:rsidP="00727B88">
      <w:pPr>
        <w:widowControl/>
        <w:wordWrap w:val="0"/>
        <w:spacing w:after="90" w:line="360" w:lineRule="auto"/>
        <w:ind w:firstLineChars="200" w:firstLine="560"/>
        <w:jc w:val="left"/>
        <w:rPr>
          <w:rFonts w:asciiTheme="minorEastAsia" w:eastAsiaTheme="minorEastAsia" w:hAnsiTheme="minorEastAsia" w:cstheme="minorEastAsia"/>
          <w:kern w:val="0"/>
          <w:sz w:val="28"/>
          <w:szCs w:val="28"/>
        </w:rPr>
      </w:pPr>
      <w:r w:rsidRPr="00727B88">
        <w:rPr>
          <w:rFonts w:asciiTheme="minorEastAsia" w:eastAsiaTheme="minorEastAsia" w:hAnsiTheme="minorEastAsia" w:cstheme="minorEastAsia"/>
          <w:kern w:val="0"/>
          <w:sz w:val="28"/>
          <w:szCs w:val="28"/>
        </w:rPr>
        <w:t>中商网讯：今日国内铟锭主流价格为1120-1150元/公斤，均价较上一交易日保持稳定。目前国内铟锭市场成交有限，多数下游消费商拒绝接受当前价格，等待价格低，而生厂商因原材料价格坚挺普遍坚挺价格，预计未来一周国内铟锭市场价格将会保持弱稳趋势。</w:t>
      </w:r>
    </w:p>
    <w:p w:rsidR="00727B88" w:rsidRPr="00727B88" w:rsidRDefault="00727B88" w:rsidP="00727B88">
      <w:pPr>
        <w:widowControl/>
        <w:wordWrap w:val="0"/>
        <w:spacing w:after="90" w:line="360" w:lineRule="auto"/>
        <w:ind w:firstLineChars="200" w:firstLine="560"/>
        <w:jc w:val="left"/>
        <w:rPr>
          <w:rFonts w:asciiTheme="minorEastAsia" w:eastAsiaTheme="minorEastAsia" w:hAnsiTheme="minorEastAsia" w:cstheme="minorEastAsia"/>
          <w:kern w:val="0"/>
          <w:sz w:val="28"/>
          <w:szCs w:val="28"/>
        </w:rPr>
      </w:pPr>
      <w:r w:rsidRPr="00727B88">
        <w:rPr>
          <w:rFonts w:asciiTheme="minorEastAsia" w:eastAsiaTheme="minorEastAsia" w:hAnsiTheme="minorEastAsia" w:cstheme="minorEastAsia"/>
          <w:kern w:val="0"/>
          <w:sz w:val="28"/>
          <w:szCs w:val="28"/>
        </w:rPr>
        <w:t>据生产商表示，仍在坚挺报价，对于实盘也先鲜有供应商愿意降价，他们自上周初未达成任何交易，消费商拒绝高价采购，本周他们倾向于观望后市，仍在等待更低的价格，预计未来一周国内铟锭市场价格将会小幅下跌。</w:t>
      </w:r>
    </w:p>
    <w:p w:rsidR="00114DE3" w:rsidRDefault="00963A3B">
      <w:pPr>
        <w:pStyle w:val="ab"/>
        <w:wordWrap w:val="0"/>
        <w:spacing w:line="288" w:lineRule="auto"/>
        <w:ind w:firstLineChars="200" w:firstLine="643"/>
        <w:rPr>
          <w:rFonts w:ascii="Calibri" w:hAnsi="Calibri" w:cs="Calibri"/>
          <w:b/>
          <w:bCs/>
          <w:sz w:val="32"/>
          <w:szCs w:val="32"/>
        </w:rPr>
      </w:pPr>
      <w:r>
        <w:rPr>
          <w:rFonts w:ascii="Calibri" w:hAnsi="Calibri" w:cs="Calibri" w:hint="eastAsia"/>
          <w:b/>
          <w:bCs/>
          <w:sz w:val="32"/>
          <w:szCs w:val="32"/>
        </w:rPr>
        <w:t>4</w:t>
      </w:r>
      <w:r>
        <w:rPr>
          <w:rFonts w:ascii="Calibri" w:hAnsi="Calibri" w:cs="Calibri" w:hint="eastAsia"/>
          <w:b/>
          <w:bCs/>
          <w:sz w:val="32"/>
          <w:szCs w:val="32"/>
        </w:rPr>
        <w:t>、碲评论：国内碲锭市场</w:t>
      </w:r>
      <w:r w:rsidR="005E1AC5" w:rsidRPr="005E1AC5">
        <w:rPr>
          <w:rFonts w:ascii="Calibri" w:hAnsi="Calibri" w:cs="Calibri"/>
          <w:b/>
          <w:bCs/>
          <w:sz w:val="32"/>
          <w:szCs w:val="32"/>
        </w:rPr>
        <w:t>保持不变</w:t>
      </w:r>
    </w:p>
    <w:p w:rsidR="005E1AC5" w:rsidRPr="005E1AC5" w:rsidRDefault="005E1AC5" w:rsidP="005E1AC5">
      <w:pPr>
        <w:widowControl/>
        <w:wordWrap w:val="0"/>
        <w:spacing w:after="90" w:line="360" w:lineRule="auto"/>
        <w:ind w:firstLine="482"/>
        <w:jc w:val="left"/>
        <w:rPr>
          <w:rFonts w:asciiTheme="minorEastAsia" w:eastAsiaTheme="minorEastAsia" w:hAnsiTheme="minorEastAsia" w:cstheme="minorEastAsia"/>
          <w:kern w:val="0"/>
          <w:sz w:val="28"/>
          <w:szCs w:val="28"/>
        </w:rPr>
      </w:pPr>
      <w:r w:rsidRPr="005E1AC5">
        <w:rPr>
          <w:rFonts w:asciiTheme="minorEastAsia" w:eastAsiaTheme="minorEastAsia" w:hAnsiTheme="minorEastAsia" w:cstheme="minorEastAsia"/>
          <w:kern w:val="0"/>
          <w:sz w:val="28"/>
          <w:szCs w:val="28"/>
        </w:rPr>
        <w:t>中商网讯：今日国内金属碲的主流报价为580-590元/公斤，均价较上一交易日保持不变。目前国内金属碲市场价格较为平稳，下游终端市场观望情绪较浓，消费商基本还是按需采购，市场整体表现不足，预计未来一周国内金属碲市场价格将会持稳。</w:t>
      </w:r>
    </w:p>
    <w:p w:rsidR="005E1AC5" w:rsidRPr="005E1AC5" w:rsidRDefault="005E1AC5" w:rsidP="005E1AC5">
      <w:pPr>
        <w:widowControl/>
        <w:wordWrap w:val="0"/>
        <w:spacing w:after="90" w:line="360" w:lineRule="auto"/>
        <w:ind w:firstLine="482"/>
        <w:jc w:val="left"/>
        <w:rPr>
          <w:rFonts w:asciiTheme="minorEastAsia" w:eastAsiaTheme="minorEastAsia" w:hAnsiTheme="minorEastAsia" w:cstheme="minorEastAsia"/>
          <w:kern w:val="0"/>
          <w:sz w:val="28"/>
          <w:szCs w:val="28"/>
        </w:rPr>
      </w:pPr>
      <w:r w:rsidRPr="005E1AC5">
        <w:rPr>
          <w:rFonts w:asciiTheme="minorEastAsia" w:eastAsiaTheme="minorEastAsia" w:hAnsiTheme="minorEastAsia" w:cstheme="minorEastAsia"/>
          <w:kern w:val="0"/>
          <w:sz w:val="28"/>
          <w:szCs w:val="28"/>
        </w:rPr>
        <w:t>国内金属碲整体表现坚挺，现货市场需求变化不大，下游消费商基本上保持按需采购。没有备货意愿，鉴于消费商观望后市的情绪较浓，预计未来一周国内金属碲市场成交价格将会平稳运行。</w:t>
      </w:r>
      <w:r w:rsidRPr="005E1AC5">
        <w:rPr>
          <w:rFonts w:asciiTheme="minorEastAsia" w:eastAsiaTheme="minorEastAsia" w:hAnsiTheme="minorEastAsia" w:cstheme="minorEastAsia"/>
          <w:kern w:val="0"/>
          <w:sz w:val="28"/>
          <w:szCs w:val="28"/>
        </w:rPr>
        <w:br/>
        <w:t> </w:t>
      </w:r>
    </w:p>
    <w:p w:rsidR="00114DE3" w:rsidRDefault="00963A3B">
      <w:pPr>
        <w:pStyle w:val="1"/>
        <w:spacing w:line="400" w:lineRule="exact"/>
        <w:rPr>
          <w:rFonts w:cs="黑体"/>
        </w:rPr>
      </w:pPr>
      <w:bookmarkStart w:id="108" w:name="_Toc76568913"/>
      <w:r>
        <w:rPr>
          <w:rFonts w:cs="黑体" w:hint="eastAsia"/>
        </w:rPr>
        <w:lastRenderedPageBreak/>
        <w:t>二、价格行情</w:t>
      </w:r>
      <w:bookmarkEnd w:id="108"/>
    </w:p>
    <w:p w:rsidR="00114DE3" w:rsidRDefault="00963A3B">
      <w:pPr>
        <w:pStyle w:val="3"/>
        <w:spacing w:line="400" w:lineRule="exact"/>
        <w:rPr>
          <w:kern w:val="0"/>
        </w:rPr>
      </w:pPr>
      <w:bookmarkStart w:id="109" w:name="_Toc76568914"/>
      <w:r>
        <w:rPr>
          <w:kern w:val="0"/>
        </w:rPr>
        <w:t>1</w:t>
      </w:r>
      <w:r>
        <w:rPr>
          <w:rFonts w:hint="eastAsia"/>
          <w:kern w:val="0"/>
        </w:rPr>
        <w:t>、国际价格</w:t>
      </w:r>
      <w:bookmarkEnd w:id="109"/>
    </w:p>
    <w:tbl>
      <w:tblPr>
        <w:tblpPr w:leftFromText="180" w:rightFromText="180" w:vertAnchor="text" w:horzAnchor="page" w:tblpX="1218" w:tblpY="486"/>
        <w:tblOverlap w:val="never"/>
        <w:tblW w:w="9806" w:type="dxa"/>
        <w:tblLayout w:type="fixed"/>
        <w:tblLook w:val="04A0"/>
      </w:tblPr>
      <w:tblGrid>
        <w:gridCol w:w="1297"/>
        <w:gridCol w:w="708"/>
        <w:gridCol w:w="658"/>
        <w:gridCol w:w="657"/>
        <w:gridCol w:w="657"/>
        <w:gridCol w:w="616"/>
        <w:gridCol w:w="564"/>
        <w:gridCol w:w="602"/>
        <w:gridCol w:w="555"/>
        <w:gridCol w:w="594"/>
        <w:gridCol w:w="609"/>
        <w:gridCol w:w="487"/>
        <w:gridCol w:w="488"/>
        <w:gridCol w:w="609"/>
        <w:gridCol w:w="705"/>
      </w:tblGrid>
      <w:tr w:rsidR="00114DE3">
        <w:trPr>
          <w:trHeight w:val="349"/>
        </w:trPr>
        <w:tc>
          <w:tcPr>
            <w:tcW w:w="9806" w:type="dxa"/>
            <w:gridSpan w:val="15"/>
            <w:tcBorders>
              <w:top w:val="single" w:sz="8" w:space="0" w:color="auto"/>
              <w:left w:val="single" w:sz="8" w:space="0" w:color="auto"/>
              <w:bottom w:val="single" w:sz="8" w:space="0" w:color="auto"/>
              <w:right w:val="single" w:sz="8" w:space="0" w:color="000000"/>
            </w:tcBorders>
            <w:shd w:val="clear" w:color="auto" w:fill="auto"/>
            <w:noWrap/>
            <w:vAlign w:val="center"/>
          </w:tcPr>
          <w:p w:rsidR="00114DE3" w:rsidRDefault="00963A3B">
            <w:pPr>
              <w:widowControl/>
              <w:jc w:val="center"/>
              <w:rPr>
                <w:rFonts w:ascii="仿宋_GB2312" w:eastAsia="仿宋_GB2312" w:hAnsi="宋体" w:cs="宋体"/>
                <w:b/>
                <w:bCs/>
                <w:color w:val="000000"/>
                <w:kern w:val="0"/>
              </w:rPr>
            </w:pPr>
            <w:r>
              <w:rPr>
                <w:rFonts w:ascii="仿宋_GB2312" w:eastAsia="仿宋_GB2312" w:hAnsi="宋体" w:cs="宋体" w:hint="eastAsia"/>
                <w:b/>
                <w:bCs/>
                <w:color w:val="000000"/>
                <w:kern w:val="0"/>
              </w:rPr>
              <w:t>国际小金属价格</w:t>
            </w:r>
          </w:p>
        </w:tc>
      </w:tr>
      <w:tr w:rsidR="00114DE3">
        <w:trPr>
          <w:trHeight w:val="349"/>
        </w:trPr>
        <w:tc>
          <w:tcPr>
            <w:tcW w:w="1297" w:type="dxa"/>
            <w:vMerge w:val="restart"/>
            <w:tcBorders>
              <w:top w:val="nil"/>
              <w:left w:val="single" w:sz="8" w:space="0" w:color="auto"/>
              <w:bottom w:val="single" w:sz="8" w:space="0" w:color="000000"/>
              <w:right w:val="single" w:sz="8" w:space="0" w:color="auto"/>
            </w:tcBorders>
            <w:shd w:val="clear" w:color="auto" w:fill="auto"/>
            <w:vAlign w:val="center"/>
          </w:tcPr>
          <w:p w:rsidR="00114DE3" w:rsidRDefault="00963A3B">
            <w:pPr>
              <w:widowControl/>
              <w:jc w:val="center"/>
              <w:rPr>
                <w:rFonts w:ascii="仿宋_GB2312" w:eastAsia="仿宋_GB2312" w:hAnsi="宋体" w:cs="宋体"/>
                <w:color w:val="000000"/>
                <w:kern w:val="0"/>
              </w:rPr>
            </w:pPr>
            <w:r>
              <w:rPr>
                <w:rFonts w:ascii="仿宋_GB2312" w:eastAsia="仿宋_GB2312" w:hAnsi="宋体" w:cs="宋体" w:hint="eastAsia"/>
                <w:color w:val="000000"/>
                <w:kern w:val="0"/>
              </w:rPr>
              <w:t>日期</w:t>
            </w:r>
          </w:p>
        </w:tc>
        <w:tc>
          <w:tcPr>
            <w:tcW w:w="1366"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tcPr>
          <w:p w:rsidR="00114DE3" w:rsidRDefault="00963A3B">
            <w:pPr>
              <w:widowControl/>
              <w:jc w:val="center"/>
              <w:rPr>
                <w:rFonts w:ascii="仿宋_GB2312" w:eastAsia="仿宋_GB2312" w:hAnsi="宋体" w:cs="宋体"/>
                <w:color w:val="000000"/>
                <w:kern w:val="0"/>
              </w:rPr>
            </w:pPr>
            <w:r>
              <w:rPr>
                <w:rFonts w:ascii="仿宋_GB2312" w:eastAsia="仿宋_GB2312" w:hAnsi="宋体" w:cs="宋体" w:hint="eastAsia"/>
                <w:color w:val="000000"/>
                <w:kern w:val="0"/>
              </w:rPr>
              <w:t>硒（美元）</w:t>
            </w:r>
          </w:p>
        </w:tc>
        <w:tc>
          <w:tcPr>
            <w:tcW w:w="1314"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tcPr>
          <w:p w:rsidR="00114DE3" w:rsidRDefault="00963A3B">
            <w:pPr>
              <w:widowControl/>
              <w:jc w:val="center"/>
              <w:rPr>
                <w:rFonts w:ascii="仿宋_GB2312" w:eastAsia="仿宋_GB2312" w:hAnsi="宋体" w:cs="宋体"/>
                <w:color w:val="000000"/>
                <w:kern w:val="0"/>
              </w:rPr>
            </w:pPr>
            <w:r>
              <w:rPr>
                <w:rFonts w:ascii="仿宋_GB2312" w:eastAsia="仿宋_GB2312" w:hAnsi="宋体" w:cs="宋体" w:hint="eastAsia"/>
                <w:color w:val="000000"/>
                <w:kern w:val="0"/>
              </w:rPr>
              <w:t>铋（美元）</w:t>
            </w:r>
          </w:p>
        </w:tc>
        <w:tc>
          <w:tcPr>
            <w:tcW w:w="1180" w:type="dxa"/>
            <w:gridSpan w:val="2"/>
            <w:tcBorders>
              <w:top w:val="single" w:sz="8" w:space="0" w:color="auto"/>
              <w:left w:val="nil"/>
              <w:bottom w:val="nil"/>
              <w:right w:val="single" w:sz="8" w:space="0" w:color="000000"/>
            </w:tcBorders>
            <w:shd w:val="clear" w:color="auto" w:fill="auto"/>
            <w:vAlign w:val="center"/>
          </w:tcPr>
          <w:p w:rsidR="00114DE3" w:rsidRDefault="00963A3B">
            <w:pPr>
              <w:widowControl/>
              <w:jc w:val="center"/>
              <w:rPr>
                <w:rFonts w:ascii="仿宋_GB2312" w:eastAsia="仿宋_GB2312" w:hAnsi="宋体" w:cs="宋体"/>
                <w:color w:val="000000"/>
                <w:kern w:val="0"/>
              </w:rPr>
            </w:pPr>
            <w:r>
              <w:rPr>
                <w:rFonts w:ascii="仿宋_GB2312" w:eastAsia="仿宋_GB2312" w:hAnsi="宋体" w:cs="宋体" w:hint="eastAsia"/>
                <w:color w:val="000000"/>
                <w:kern w:val="0"/>
              </w:rPr>
              <w:t>镉</w:t>
            </w:r>
          </w:p>
        </w:tc>
        <w:tc>
          <w:tcPr>
            <w:tcW w:w="1157" w:type="dxa"/>
            <w:gridSpan w:val="2"/>
            <w:tcBorders>
              <w:top w:val="single" w:sz="8" w:space="0" w:color="auto"/>
              <w:left w:val="nil"/>
              <w:bottom w:val="nil"/>
              <w:right w:val="single" w:sz="8" w:space="0" w:color="000000"/>
            </w:tcBorders>
            <w:shd w:val="clear" w:color="auto" w:fill="auto"/>
            <w:vAlign w:val="center"/>
          </w:tcPr>
          <w:p w:rsidR="00114DE3" w:rsidRDefault="00963A3B">
            <w:pPr>
              <w:widowControl/>
              <w:jc w:val="center"/>
              <w:rPr>
                <w:rFonts w:ascii="仿宋_GB2312" w:eastAsia="仿宋_GB2312" w:hAnsi="宋体" w:cs="宋体"/>
                <w:color w:val="000000"/>
                <w:kern w:val="0"/>
              </w:rPr>
            </w:pPr>
            <w:r>
              <w:rPr>
                <w:rFonts w:ascii="仿宋_GB2312" w:eastAsia="仿宋_GB2312" w:hAnsi="宋体" w:cs="宋体" w:hint="eastAsia"/>
                <w:color w:val="000000"/>
                <w:kern w:val="0"/>
              </w:rPr>
              <w:t>镉</w:t>
            </w:r>
          </w:p>
        </w:tc>
        <w:tc>
          <w:tcPr>
            <w:tcW w:w="1203"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tcPr>
          <w:p w:rsidR="00114DE3" w:rsidRDefault="00963A3B">
            <w:pPr>
              <w:widowControl/>
              <w:jc w:val="center"/>
              <w:rPr>
                <w:rFonts w:ascii="仿宋_GB2312" w:eastAsia="仿宋_GB2312" w:hAnsi="宋体" w:cs="宋体"/>
                <w:color w:val="000000"/>
                <w:kern w:val="0"/>
              </w:rPr>
            </w:pPr>
            <w:r>
              <w:rPr>
                <w:rFonts w:ascii="仿宋_GB2312" w:eastAsia="仿宋_GB2312" w:hAnsi="宋体" w:cs="宋体" w:hint="eastAsia"/>
                <w:color w:val="000000"/>
                <w:kern w:val="0"/>
              </w:rPr>
              <w:t>铟（美元）</w:t>
            </w:r>
          </w:p>
        </w:tc>
        <w:tc>
          <w:tcPr>
            <w:tcW w:w="975"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tcPr>
          <w:p w:rsidR="00114DE3" w:rsidRDefault="00963A3B">
            <w:pPr>
              <w:widowControl/>
              <w:jc w:val="center"/>
              <w:rPr>
                <w:rFonts w:ascii="仿宋_GB2312" w:eastAsia="仿宋_GB2312" w:hAnsi="宋体" w:cs="宋体"/>
                <w:color w:val="000000"/>
                <w:kern w:val="0"/>
              </w:rPr>
            </w:pPr>
            <w:r>
              <w:rPr>
                <w:rFonts w:ascii="仿宋_GB2312" w:eastAsia="仿宋_GB2312" w:hAnsi="宋体" w:cs="宋体" w:hint="eastAsia"/>
                <w:color w:val="000000"/>
                <w:kern w:val="0"/>
              </w:rPr>
              <w:t>碲锭（美元）</w:t>
            </w:r>
          </w:p>
        </w:tc>
        <w:tc>
          <w:tcPr>
            <w:tcW w:w="1314"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tcPr>
          <w:p w:rsidR="00114DE3" w:rsidRDefault="00963A3B">
            <w:pPr>
              <w:widowControl/>
              <w:jc w:val="center"/>
              <w:rPr>
                <w:rFonts w:ascii="仿宋_GB2312" w:eastAsia="仿宋_GB2312" w:hAnsi="宋体" w:cs="宋体"/>
                <w:color w:val="000000"/>
                <w:kern w:val="0"/>
              </w:rPr>
            </w:pPr>
            <w:r>
              <w:rPr>
                <w:rFonts w:ascii="仿宋_GB2312" w:eastAsia="仿宋_GB2312" w:hAnsi="宋体" w:cs="宋体" w:hint="eastAsia"/>
                <w:color w:val="000000"/>
                <w:kern w:val="0"/>
              </w:rPr>
              <w:t>二氧化锗（美元）</w:t>
            </w:r>
          </w:p>
        </w:tc>
      </w:tr>
      <w:tr w:rsidR="00114DE3">
        <w:trPr>
          <w:trHeight w:val="678"/>
        </w:trPr>
        <w:tc>
          <w:tcPr>
            <w:tcW w:w="1297" w:type="dxa"/>
            <w:vMerge/>
            <w:tcBorders>
              <w:top w:val="nil"/>
              <w:left w:val="single" w:sz="8" w:space="0" w:color="auto"/>
              <w:bottom w:val="single" w:sz="8" w:space="0" w:color="000000"/>
              <w:right w:val="single" w:sz="8" w:space="0" w:color="auto"/>
            </w:tcBorders>
            <w:vAlign w:val="center"/>
          </w:tcPr>
          <w:p w:rsidR="00114DE3" w:rsidRDefault="00114DE3">
            <w:pPr>
              <w:widowControl/>
              <w:jc w:val="left"/>
              <w:rPr>
                <w:rFonts w:ascii="仿宋_GB2312" w:eastAsia="仿宋_GB2312" w:hAnsi="宋体" w:cs="宋体"/>
                <w:color w:val="000000"/>
                <w:kern w:val="0"/>
              </w:rPr>
            </w:pPr>
          </w:p>
        </w:tc>
        <w:tc>
          <w:tcPr>
            <w:tcW w:w="1366" w:type="dxa"/>
            <w:gridSpan w:val="2"/>
            <w:vMerge/>
            <w:tcBorders>
              <w:top w:val="single" w:sz="8" w:space="0" w:color="auto"/>
              <w:left w:val="single" w:sz="8" w:space="0" w:color="auto"/>
              <w:bottom w:val="single" w:sz="8" w:space="0" w:color="000000"/>
              <w:right w:val="single" w:sz="8" w:space="0" w:color="000000"/>
            </w:tcBorders>
            <w:vAlign w:val="center"/>
          </w:tcPr>
          <w:p w:rsidR="00114DE3" w:rsidRDefault="00114DE3">
            <w:pPr>
              <w:widowControl/>
              <w:jc w:val="left"/>
              <w:rPr>
                <w:rFonts w:ascii="仿宋_GB2312" w:eastAsia="仿宋_GB2312" w:hAnsi="宋体" w:cs="宋体"/>
                <w:color w:val="000000"/>
                <w:kern w:val="0"/>
              </w:rPr>
            </w:pPr>
          </w:p>
        </w:tc>
        <w:tc>
          <w:tcPr>
            <w:tcW w:w="1314" w:type="dxa"/>
            <w:gridSpan w:val="2"/>
            <w:vMerge/>
            <w:tcBorders>
              <w:top w:val="single" w:sz="8" w:space="0" w:color="auto"/>
              <w:left w:val="single" w:sz="8" w:space="0" w:color="auto"/>
              <w:bottom w:val="single" w:sz="8" w:space="0" w:color="000000"/>
              <w:right w:val="single" w:sz="8" w:space="0" w:color="000000"/>
            </w:tcBorders>
            <w:vAlign w:val="center"/>
          </w:tcPr>
          <w:p w:rsidR="00114DE3" w:rsidRDefault="00114DE3">
            <w:pPr>
              <w:widowControl/>
              <w:jc w:val="left"/>
              <w:rPr>
                <w:rFonts w:ascii="仿宋_GB2312" w:eastAsia="仿宋_GB2312" w:hAnsi="宋体" w:cs="宋体"/>
                <w:color w:val="000000"/>
                <w:kern w:val="0"/>
              </w:rPr>
            </w:pPr>
          </w:p>
        </w:tc>
        <w:tc>
          <w:tcPr>
            <w:tcW w:w="1180" w:type="dxa"/>
            <w:gridSpan w:val="2"/>
            <w:tcBorders>
              <w:top w:val="nil"/>
              <w:left w:val="nil"/>
              <w:bottom w:val="single" w:sz="8" w:space="0" w:color="auto"/>
              <w:right w:val="single" w:sz="8" w:space="0" w:color="000000"/>
            </w:tcBorders>
            <w:shd w:val="clear" w:color="auto" w:fill="auto"/>
            <w:vAlign w:val="center"/>
          </w:tcPr>
          <w:p w:rsidR="00114DE3" w:rsidRDefault="00963A3B">
            <w:pPr>
              <w:widowControl/>
              <w:jc w:val="center"/>
              <w:rPr>
                <w:rFonts w:ascii="仿宋_GB2312" w:eastAsia="仿宋_GB2312" w:hAnsi="宋体" w:cs="宋体"/>
                <w:color w:val="000000"/>
                <w:kern w:val="0"/>
              </w:rPr>
            </w:pPr>
            <w:r>
              <w:rPr>
                <w:rFonts w:ascii="仿宋_GB2312" w:eastAsia="仿宋_GB2312" w:hAnsi="宋体" w:cs="宋体" w:hint="eastAsia"/>
                <w:color w:val="000000"/>
                <w:kern w:val="0"/>
              </w:rPr>
              <w:t>（99.95美分）</w:t>
            </w:r>
          </w:p>
        </w:tc>
        <w:tc>
          <w:tcPr>
            <w:tcW w:w="1157" w:type="dxa"/>
            <w:gridSpan w:val="2"/>
            <w:tcBorders>
              <w:top w:val="nil"/>
              <w:left w:val="nil"/>
              <w:bottom w:val="single" w:sz="8" w:space="0" w:color="auto"/>
              <w:right w:val="single" w:sz="8" w:space="0" w:color="000000"/>
            </w:tcBorders>
            <w:shd w:val="clear" w:color="auto" w:fill="auto"/>
            <w:vAlign w:val="center"/>
          </w:tcPr>
          <w:p w:rsidR="00114DE3" w:rsidRDefault="00963A3B">
            <w:pPr>
              <w:widowControl/>
              <w:jc w:val="center"/>
              <w:rPr>
                <w:rFonts w:ascii="仿宋_GB2312" w:eastAsia="仿宋_GB2312" w:hAnsi="宋体" w:cs="宋体"/>
                <w:color w:val="000000"/>
                <w:kern w:val="0"/>
              </w:rPr>
            </w:pPr>
            <w:r>
              <w:rPr>
                <w:rFonts w:ascii="仿宋_GB2312" w:eastAsia="仿宋_GB2312" w:hAnsi="宋体" w:cs="宋体" w:hint="eastAsia"/>
                <w:color w:val="000000"/>
                <w:kern w:val="0"/>
              </w:rPr>
              <w:t>（99.99美分）</w:t>
            </w:r>
          </w:p>
        </w:tc>
        <w:tc>
          <w:tcPr>
            <w:tcW w:w="1203" w:type="dxa"/>
            <w:gridSpan w:val="2"/>
            <w:vMerge/>
            <w:tcBorders>
              <w:top w:val="single" w:sz="8" w:space="0" w:color="auto"/>
              <w:left w:val="single" w:sz="8" w:space="0" w:color="auto"/>
              <w:bottom w:val="single" w:sz="8" w:space="0" w:color="000000"/>
              <w:right w:val="single" w:sz="8" w:space="0" w:color="000000"/>
            </w:tcBorders>
            <w:vAlign w:val="center"/>
          </w:tcPr>
          <w:p w:rsidR="00114DE3" w:rsidRDefault="00114DE3">
            <w:pPr>
              <w:widowControl/>
              <w:jc w:val="left"/>
              <w:rPr>
                <w:rFonts w:ascii="仿宋_GB2312" w:eastAsia="仿宋_GB2312" w:hAnsi="宋体" w:cs="宋体"/>
                <w:color w:val="000000"/>
                <w:kern w:val="0"/>
              </w:rPr>
            </w:pPr>
          </w:p>
        </w:tc>
        <w:tc>
          <w:tcPr>
            <w:tcW w:w="975" w:type="dxa"/>
            <w:gridSpan w:val="2"/>
            <w:vMerge/>
            <w:tcBorders>
              <w:top w:val="single" w:sz="8" w:space="0" w:color="auto"/>
              <w:left w:val="single" w:sz="8" w:space="0" w:color="auto"/>
              <w:bottom w:val="single" w:sz="8" w:space="0" w:color="000000"/>
              <w:right w:val="single" w:sz="8" w:space="0" w:color="000000"/>
            </w:tcBorders>
            <w:vAlign w:val="center"/>
          </w:tcPr>
          <w:p w:rsidR="00114DE3" w:rsidRDefault="00114DE3">
            <w:pPr>
              <w:widowControl/>
              <w:jc w:val="left"/>
              <w:rPr>
                <w:rFonts w:ascii="仿宋_GB2312" w:eastAsia="仿宋_GB2312" w:hAnsi="宋体" w:cs="宋体"/>
                <w:color w:val="000000"/>
                <w:kern w:val="0"/>
              </w:rPr>
            </w:pPr>
          </w:p>
        </w:tc>
        <w:tc>
          <w:tcPr>
            <w:tcW w:w="1314" w:type="dxa"/>
            <w:gridSpan w:val="2"/>
            <w:vMerge/>
            <w:tcBorders>
              <w:top w:val="single" w:sz="8" w:space="0" w:color="auto"/>
              <w:left w:val="single" w:sz="8" w:space="0" w:color="auto"/>
              <w:bottom w:val="single" w:sz="8" w:space="0" w:color="000000"/>
              <w:right w:val="single" w:sz="8" w:space="0" w:color="000000"/>
            </w:tcBorders>
            <w:vAlign w:val="center"/>
          </w:tcPr>
          <w:p w:rsidR="00114DE3" w:rsidRDefault="00114DE3">
            <w:pPr>
              <w:widowControl/>
              <w:jc w:val="left"/>
              <w:rPr>
                <w:rFonts w:ascii="仿宋_GB2312" w:eastAsia="仿宋_GB2312" w:hAnsi="宋体" w:cs="宋体"/>
                <w:color w:val="000000"/>
                <w:kern w:val="0"/>
              </w:rPr>
            </w:pPr>
          </w:p>
        </w:tc>
      </w:tr>
      <w:tr w:rsidR="00114DE3">
        <w:trPr>
          <w:trHeight w:val="699"/>
        </w:trPr>
        <w:tc>
          <w:tcPr>
            <w:tcW w:w="1297" w:type="dxa"/>
            <w:tcBorders>
              <w:top w:val="nil"/>
              <w:left w:val="single" w:sz="8" w:space="0" w:color="auto"/>
              <w:bottom w:val="single" w:sz="8" w:space="0" w:color="auto"/>
              <w:right w:val="single" w:sz="8" w:space="0" w:color="auto"/>
            </w:tcBorders>
            <w:shd w:val="clear" w:color="auto" w:fill="auto"/>
            <w:vAlign w:val="center"/>
          </w:tcPr>
          <w:p w:rsidR="00114DE3" w:rsidRDefault="00963A3B">
            <w:pPr>
              <w:widowControl/>
              <w:jc w:val="center"/>
              <w:rPr>
                <w:rFonts w:ascii="仿宋_GB2312" w:eastAsia="仿宋_GB2312" w:hAnsi="宋体" w:cs="宋体"/>
                <w:kern w:val="0"/>
              </w:rPr>
            </w:pPr>
            <w:r>
              <w:rPr>
                <w:rFonts w:ascii="仿宋_GB2312" w:eastAsia="仿宋_GB2312" w:cs="仿宋_GB2312" w:hint="eastAsia"/>
              </w:rPr>
              <w:t>6月</w:t>
            </w:r>
            <w:r w:rsidR="00F33DD9">
              <w:rPr>
                <w:rFonts w:ascii="仿宋_GB2312" w:eastAsia="仿宋_GB2312" w:cs="仿宋_GB2312" w:hint="eastAsia"/>
              </w:rPr>
              <w:t>3</w:t>
            </w:r>
            <w:r w:rsidR="009E45B4">
              <w:rPr>
                <w:rFonts w:ascii="仿宋_GB2312" w:eastAsia="仿宋_GB2312" w:cs="仿宋_GB2312" w:hint="eastAsia"/>
              </w:rPr>
              <w:t>0</w:t>
            </w:r>
            <w:r>
              <w:rPr>
                <w:rFonts w:ascii="仿宋_GB2312" w:eastAsia="仿宋_GB2312" w:cs="仿宋_GB2312" w:hint="eastAsia"/>
              </w:rPr>
              <w:t>日</w:t>
            </w:r>
          </w:p>
        </w:tc>
        <w:tc>
          <w:tcPr>
            <w:tcW w:w="708" w:type="dxa"/>
            <w:tcBorders>
              <w:top w:val="nil"/>
              <w:left w:val="nil"/>
              <w:bottom w:val="single" w:sz="8" w:space="0" w:color="auto"/>
              <w:right w:val="single" w:sz="8" w:space="0" w:color="auto"/>
            </w:tcBorders>
            <w:shd w:val="clear" w:color="auto" w:fill="auto"/>
            <w:vAlign w:val="center"/>
          </w:tcPr>
          <w:p w:rsidR="00114DE3" w:rsidRDefault="00963A3B">
            <w:pPr>
              <w:widowControl/>
              <w:jc w:val="center"/>
              <w:textAlignment w:val="center"/>
              <w:rPr>
                <w:rFonts w:ascii="仿宋_GB2312" w:eastAsia="仿宋_GB2312" w:cs="仿宋_GB2312"/>
              </w:rPr>
            </w:pPr>
            <w:r>
              <w:rPr>
                <w:rFonts w:ascii="仿宋_GB2312" w:eastAsia="仿宋_GB2312" w:cs="仿宋_GB2312" w:hint="eastAsia"/>
              </w:rPr>
              <w:t>9</w:t>
            </w:r>
            <w:r w:rsidR="00F33DD9">
              <w:rPr>
                <w:rFonts w:ascii="仿宋_GB2312" w:eastAsia="仿宋_GB2312" w:cs="仿宋_GB2312" w:hint="eastAsia"/>
              </w:rPr>
              <w:t>.1</w:t>
            </w:r>
          </w:p>
        </w:tc>
        <w:tc>
          <w:tcPr>
            <w:tcW w:w="658" w:type="dxa"/>
            <w:tcBorders>
              <w:top w:val="nil"/>
              <w:left w:val="nil"/>
              <w:bottom w:val="single" w:sz="8" w:space="0" w:color="auto"/>
              <w:right w:val="single" w:sz="8" w:space="0" w:color="auto"/>
            </w:tcBorders>
            <w:shd w:val="clear" w:color="auto" w:fill="auto"/>
            <w:vAlign w:val="center"/>
          </w:tcPr>
          <w:p w:rsidR="00114DE3" w:rsidRDefault="00963A3B">
            <w:pPr>
              <w:jc w:val="center"/>
              <w:rPr>
                <w:rFonts w:ascii="仿宋_GB2312" w:eastAsia="仿宋_GB2312" w:cs="仿宋_GB2312"/>
              </w:rPr>
            </w:pPr>
            <w:r>
              <w:rPr>
                <w:rFonts w:ascii="仿宋_GB2312" w:eastAsia="仿宋_GB2312" w:cs="仿宋_GB2312" w:hint="eastAsia"/>
              </w:rPr>
              <w:t>10</w:t>
            </w:r>
            <w:r w:rsidR="00F33DD9">
              <w:rPr>
                <w:rFonts w:ascii="仿宋_GB2312" w:eastAsia="仿宋_GB2312" w:cs="仿宋_GB2312" w:hint="eastAsia"/>
              </w:rPr>
              <w:t>.3</w:t>
            </w:r>
          </w:p>
        </w:tc>
        <w:tc>
          <w:tcPr>
            <w:tcW w:w="657" w:type="dxa"/>
            <w:tcBorders>
              <w:top w:val="nil"/>
              <w:left w:val="nil"/>
              <w:bottom w:val="single" w:sz="8" w:space="0" w:color="auto"/>
              <w:right w:val="single" w:sz="8" w:space="0" w:color="auto"/>
            </w:tcBorders>
            <w:shd w:val="clear" w:color="auto" w:fill="auto"/>
            <w:vAlign w:val="center"/>
          </w:tcPr>
          <w:p w:rsidR="00114DE3" w:rsidRDefault="00963A3B">
            <w:pPr>
              <w:jc w:val="center"/>
              <w:rPr>
                <w:rFonts w:ascii="仿宋_GB2312" w:eastAsia="仿宋_GB2312" w:cs="仿宋_GB2312"/>
              </w:rPr>
            </w:pPr>
            <w:r>
              <w:rPr>
                <w:rFonts w:ascii="仿宋_GB2312" w:eastAsia="仿宋_GB2312" w:cs="仿宋_GB2312" w:hint="eastAsia"/>
              </w:rPr>
              <w:t>3.75</w:t>
            </w:r>
          </w:p>
        </w:tc>
        <w:tc>
          <w:tcPr>
            <w:tcW w:w="657" w:type="dxa"/>
            <w:tcBorders>
              <w:top w:val="nil"/>
              <w:left w:val="nil"/>
              <w:bottom w:val="single" w:sz="8" w:space="0" w:color="auto"/>
              <w:right w:val="single" w:sz="8" w:space="0" w:color="auto"/>
            </w:tcBorders>
            <w:shd w:val="clear" w:color="auto" w:fill="auto"/>
            <w:vAlign w:val="center"/>
          </w:tcPr>
          <w:p w:rsidR="00114DE3" w:rsidRDefault="00963A3B">
            <w:pPr>
              <w:jc w:val="center"/>
              <w:rPr>
                <w:rFonts w:ascii="仿宋_GB2312" w:eastAsia="仿宋_GB2312" w:cs="仿宋_GB2312"/>
              </w:rPr>
            </w:pPr>
            <w:r>
              <w:rPr>
                <w:rFonts w:ascii="仿宋_GB2312" w:eastAsia="仿宋_GB2312" w:cs="仿宋_GB2312" w:hint="eastAsia"/>
              </w:rPr>
              <w:t>4</w:t>
            </w:r>
          </w:p>
        </w:tc>
        <w:tc>
          <w:tcPr>
            <w:tcW w:w="616" w:type="dxa"/>
            <w:tcBorders>
              <w:top w:val="nil"/>
              <w:left w:val="nil"/>
              <w:bottom w:val="single" w:sz="8" w:space="0" w:color="auto"/>
              <w:right w:val="single" w:sz="8" w:space="0" w:color="auto"/>
            </w:tcBorders>
            <w:shd w:val="clear" w:color="auto" w:fill="auto"/>
            <w:vAlign w:val="center"/>
          </w:tcPr>
          <w:p w:rsidR="00114DE3" w:rsidRDefault="00F33DD9">
            <w:pPr>
              <w:jc w:val="center"/>
              <w:rPr>
                <w:rFonts w:ascii="仿宋_GB2312" w:eastAsia="仿宋_GB2312" w:cs="仿宋_GB2312"/>
              </w:rPr>
            </w:pPr>
            <w:r>
              <w:rPr>
                <w:rFonts w:ascii="仿宋_GB2312" w:eastAsia="仿宋_GB2312" w:cs="仿宋_GB2312" w:hint="eastAsia"/>
              </w:rPr>
              <w:t>100</w:t>
            </w:r>
          </w:p>
        </w:tc>
        <w:tc>
          <w:tcPr>
            <w:tcW w:w="564" w:type="dxa"/>
            <w:tcBorders>
              <w:top w:val="nil"/>
              <w:left w:val="nil"/>
              <w:bottom w:val="single" w:sz="8" w:space="0" w:color="auto"/>
              <w:right w:val="single" w:sz="8" w:space="0" w:color="auto"/>
            </w:tcBorders>
            <w:shd w:val="clear" w:color="auto" w:fill="auto"/>
            <w:vAlign w:val="center"/>
          </w:tcPr>
          <w:p w:rsidR="00114DE3" w:rsidRDefault="00963A3B">
            <w:pPr>
              <w:jc w:val="center"/>
              <w:rPr>
                <w:rFonts w:ascii="仿宋_GB2312" w:eastAsia="仿宋_GB2312" w:cs="仿宋_GB2312"/>
              </w:rPr>
            </w:pPr>
            <w:r>
              <w:rPr>
                <w:rFonts w:ascii="仿宋_GB2312" w:eastAsia="仿宋_GB2312" w:cs="仿宋_GB2312" w:hint="eastAsia"/>
              </w:rPr>
              <w:t>1</w:t>
            </w:r>
            <w:r w:rsidR="00F33DD9">
              <w:rPr>
                <w:rFonts w:ascii="仿宋_GB2312" w:eastAsia="仿宋_GB2312" w:cs="仿宋_GB2312" w:hint="eastAsia"/>
              </w:rPr>
              <w:t>15</w:t>
            </w:r>
          </w:p>
        </w:tc>
        <w:tc>
          <w:tcPr>
            <w:tcW w:w="602" w:type="dxa"/>
            <w:tcBorders>
              <w:top w:val="nil"/>
              <w:left w:val="nil"/>
              <w:bottom w:val="single" w:sz="8" w:space="0" w:color="auto"/>
              <w:right w:val="single" w:sz="8" w:space="0" w:color="auto"/>
            </w:tcBorders>
            <w:shd w:val="clear" w:color="auto" w:fill="auto"/>
            <w:vAlign w:val="center"/>
          </w:tcPr>
          <w:p w:rsidR="00114DE3" w:rsidRDefault="00F33DD9">
            <w:pPr>
              <w:jc w:val="center"/>
              <w:rPr>
                <w:rFonts w:ascii="仿宋_GB2312" w:eastAsia="仿宋_GB2312" w:cs="仿宋_GB2312"/>
              </w:rPr>
            </w:pPr>
            <w:r>
              <w:rPr>
                <w:rFonts w:ascii="仿宋_GB2312" w:eastAsia="仿宋_GB2312" w:cs="仿宋_GB2312" w:hint="eastAsia"/>
              </w:rPr>
              <w:t>1</w:t>
            </w:r>
            <w:r w:rsidR="00963A3B">
              <w:rPr>
                <w:rFonts w:ascii="仿宋_GB2312" w:eastAsia="仿宋_GB2312" w:cs="仿宋_GB2312" w:hint="eastAsia"/>
              </w:rPr>
              <w:t>0</w:t>
            </w:r>
            <w:r>
              <w:rPr>
                <w:rFonts w:ascii="仿宋_GB2312" w:eastAsia="仿宋_GB2312" w:cs="仿宋_GB2312" w:hint="eastAsia"/>
              </w:rPr>
              <w:t>5</w:t>
            </w:r>
          </w:p>
        </w:tc>
        <w:tc>
          <w:tcPr>
            <w:tcW w:w="555" w:type="dxa"/>
            <w:tcBorders>
              <w:top w:val="nil"/>
              <w:left w:val="nil"/>
              <w:bottom w:val="single" w:sz="8" w:space="0" w:color="auto"/>
              <w:right w:val="single" w:sz="8" w:space="0" w:color="auto"/>
            </w:tcBorders>
            <w:shd w:val="clear" w:color="auto" w:fill="auto"/>
            <w:vAlign w:val="center"/>
          </w:tcPr>
          <w:p w:rsidR="00114DE3" w:rsidRDefault="00F33DD9">
            <w:pPr>
              <w:jc w:val="center"/>
              <w:rPr>
                <w:rFonts w:ascii="仿宋_GB2312" w:eastAsia="仿宋_GB2312" w:cs="仿宋_GB2312"/>
              </w:rPr>
            </w:pPr>
            <w:r>
              <w:rPr>
                <w:rFonts w:ascii="仿宋_GB2312" w:eastAsia="仿宋_GB2312" w:cs="仿宋_GB2312" w:hint="eastAsia"/>
              </w:rPr>
              <w:t>12</w:t>
            </w:r>
            <w:r w:rsidR="00963A3B">
              <w:rPr>
                <w:rFonts w:ascii="仿宋_GB2312" w:eastAsia="仿宋_GB2312" w:cs="仿宋_GB2312" w:hint="eastAsia"/>
              </w:rPr>
              <w:t>0</w:t>
            </w:r>
          </w:p>
        </w:tc>
        <w:tc>
          <w:tcPr>
            <w:tcW w:w="594" w:type="dxa"/>
            <w:tcBorders>
              <w:top w:val="nil"/>
              <w:left w:val="nil"/>
              <w:bottom w:val="single" w:sz="8" w:space="0" w:color="auto"/>
              <w:right w:val="single" w:sz="8" w:space="0" w:color="auto"/>
            </w:tcBorders>
            <w:shd w:val="clear" w:color="auto" w:fill="auto"/>
            <w:vAlign w:val="center"/>
          </w:tcPr>
          <w:p w:rsidR="00114DE3" w:rsidRDefault="00963A3B">
            <w:pPr>
              <w:jc w:val="center"/>
              <w:rPr>
                <w:rFonts w:ascii="仿宋_GB2312" w:eastAsia="仿宋_GB2312" w:cs="仿宋_GB2312"/>
              </w:rPr>
            </w:pPr>
            <w:r>
              <w:rPr>
                <w:rFonts w:ascii="仿宋_GB2312" w:eastAsia="仿宋_GB2312" w:cs="仿宋_GB2312" w:hint="eastAsia"/>
              </w:rPr>
              <w:t>195</w:t>
            </w:r>
          </w:p>
        </w:tc>
        <w:tc>
          <w:tcPr>
            <w:tcW w:w="609" w:type="dxa"/>
            <w:tcBorders>
              <w:top w:val="nil"/>
              <w:left w:val="nil"/>
              <w:bottom w:val="single" w:sz="8" w:space="0" w:color="auto"/>
              <w:right w:val="single" w:sz="8" w:space="0" w:color="auto"/>
            </w:tcBorders>
            <w:shd w:val="clear" w:color="auto" w:fill="auto"/>
            <w:vAlign w:val="center"/>
          </w:tcPr>
          <w:p w:rsidR="00114DE3" w:rsidRDefault="00963A3B">
            <w:pPr>
              <w:jc w:val="center"/>
              <w:rPr>
                <w:rFonts w:ascii="仿宋_GB2312" w:eastAsia="仿宋_GB2312" w:cs="仿宋_GB2312"/>
              </w:rPr>
            </w:pPr>
            <w:r>
              <w:rPr>
                <w:rFonts w:ascii="仿宋_GB2312" w:eastAsia="仿宋_GB2312" w:cs="仿宋_GB2312" w:hint="eastAsia"/>
              </w:rPr>
              <w:t>210</w:t>
            </w:r>
          </w:p>
        </w:tc>
        <w:tc>
          <w:tcPr>
            <w:tcW w:w="487" w:type="dxa"/>
            <w:tcBorders>
              <w:top w:val="nil"/>
              <w:left w:val="nil"/>
              <w:bottom w:val="single" w:sz="8" w:space="0" w:color="auto"/>
              <w:right w:val="single" w:sz="8" w:space="0" w:color="auto"/>
            </w:tcBorders>
            <w:shd w:val="clear" w:color="auto" w:fill="auto"/>
            <w:vAlign w:val="center"/>
          </w:tcPr>
          <w:p w:rsidR="00114DE3" w:rsidRDefault="00963A3B">
            <w:pPr>
              <w:jc w:val="center"/>
              <w:rPr>
                <w:rFonts w:ascii="仿宋_GB2312" w:eastAsia="仿宋_GB2312" w:cs="仿宋_GB2312"/>
              </w:rPr>
            </w:pPr>
            <w:r>
              <w:rPr>
                <w:rFonts w:ascii="仿宋_GB2312" w:eastAsia="仿宋_GB2312" w:cs="仿宋_GB2312" w:hint="eastAsia"/>
              </w:rPr>
              <w:t>75</w:t>
            </w:r>
          </w:p>
        </w:tc>
        <w:tc>
          <w:tcPr>
            <w:tcW w:w="488" w:type="dxa"/>
            <w:tcBorders>
              <w:top w:val="nil"/>
              <w:left w:val="nil"/>
              <w:bottom w:val="single" w:sz="8" w:space="0" w:color="auto"/>
              <w:right w:val="single" w:sz="8" w:space="0" w:color="auto"/>
            </w:tcBorders>
            <w:shd w:val="clear" w:color="auto" w:fill="auto"/>
            <w:vAlign w:val="center"/>
          </w:tcPr>
          <w:p w:rsidR="00114DE3" w:rsidRDefault="00963A3B">
            <w:pPr>
              <w:jc w:val="center"/>
              <w:rPr>
                <w:rFonts w:ascii="仿宋_GB2312" w:eastAsia="仿宋_GB2312" w:cs="仿宋_GB2312"/>
              </w:rPr>
            </w:pPr>
            <w:r>
              <w:rPr>
                <w:rFonts w:ascii="仿宋_GB2312" w:eastAsia="仿宋_GB2312" w:cs="仿宋_GB2312" w:hint="eastAsia"/>
              </w:rPr>
              <w:t>85</w:t>
            </w:r>
          </w:p>
        </w:tc>
        <w:tc>
          <w:tcPr>
            <w:tcW w:w="609" w:type="dxa"/>
            <w:tcBorders>
              <w:top w:val="nil"/>
              <w:left w:val="nil"/>
              <w:bottom w:val="single" w:sz="8" w:space="0" w:color="auto"/>
              <w:right w:val="single" w:sz="8" w:space="0" w:color="auto"/>
            </w:tcBorders>
            <w:shd w:val="clear" w:color="auto" w:fill="auto"/>
            <w:vAlign w:val="center"/>
          </w:tcPr>
          <w:p w:rsidR="00114DE3" w:rsidRDefault="00963A3B">
            <w:pPr>
              <w:jc w:val="center"/>
              <w:rPr>
                <w:rFonts w:ascii="仿宋_GB2312" w:eastAsia="仿宋_GB2312" w:cs="仿宋_GB2312"/>
              </w:rPr>
            </w:pPr>
            <w:r>
              <w:rPr>
                <w:rFonts w:ascii="仿宋_GB2312" w:eastAsia="仿宋_GB2312" w:cs="仿宋_GB2312" w:hint="eastAsia"/>
              </w:rPr>
              <w:t>720</w:t>
            </w:r>
          </w:p>
        </w:tc>
        <w:tc>
          <w:tcPr>
            <w:tcW w:w="705" w:type="dxa"/>
            <w:tcBorders>
              <w:top w:val="nil"/>
              <w:left w:val="nil"/>
              <w:bottom w:val="single" w:sz="8" w:space="0" w:color="auto"/>
              <w:right w:val="single" w:sz="8" w:space="0" w:color="auto"/>
            </w:tcBorders>
            <w:shd w:val="clear" w:color="auto" w:fill="auto"/>
            <w:vAlign w:val="center"/>
          </w:tcPr>
          <w:p w:rsidR="00114DE3" w:rsidRDefault="00963A3B">
            <w:pPr>
              <w:jc w:val="center"/>
              <w:rPr>
                <w:rFonts w:ascii="仿宋_GB2312" w:eastAsia="仿宋_GB2312" w:cs="仿宋_GB2312"/>
              </w:rPr>
            </w:pPr>
            <w:r>
              <w:rPr>
                <w:rFonts w:ascii="仿宋_GB2312" w:eastAsia="仿宋_GB2312" w:cs="仿宋_GB2312" w:hint="eastAsia"/>
              </w:rPr>
              <w:t>825</w:t>
            </w:r>
          </w:p>
        </w:tc>
      </w:tr>
    </w:tbl>
    <w:p w:rsidR="00114DE3" w:rsidRDefault="00114DE3"/>
    <w:p w:rsidR="00114DE3" w:rsidRDefault="00114DE3"/>
    <w:p w:rsidR="00114DE3" w:rsidRDefault="00963A3B">
      <w:pPr>
        <w:pStyle w:val="3"/>
        <w:spacing w:line="400" w:lineRule="exact"/>
        <w:rPr>
          <w:rFonts w:cs="宋体"/>
          <w:kern w:val="0"/>
        </w:rPr>
      </w:pPr>
      <w:bookmarkStart w:id="110" w:name="_Toc76568915"/>
      <w:r>
        <w:rPr>
          <w:kern w:val="0"/>
        </w:rPr>
        <w:t>2</w:t>
      </w:r>
      <w:r>
        <w:rPr>
          <w:rFonts w:cs="宋体" w:hint="eastAsia"/>
          <w:kern w:val="0"/>
        </w:rPr>
        <w:t>、欧洲鹿特丹小金属价格</w:t>
      </w:r>
      <w:bookmarkEnd w:id="110"/>
    </w:p>
    <w:tbl>
      <w:tblPr>
        <w:tblpPr w:leftFromText="180" w:rightFromText="180" w:vertAnchor="text" w:horzAnchor="page" w:tblpX="1342" w:tblpY="291"/>
        <w:tblOverlap w:val="never"/>
        <w:tblW w:w="9577" w:type="dxa"/>
        <w:tblLayout w:type="fixed"/>
        <w:tblLook w:val="04A0"/>
      </w:tblPr>
      <w:tblGrid>
        <w:gridCol w:w="1146"/>
        <w:gridCol w:w="978"/>
        <w:gridCol w:w="955"/>
        <w:gridCol w:w="1109"/>
        <w:gridCol w:w="1110"/>
        <w:gridCol w:w="1020"/>
        <w:gridCol w:w="1005"/>
        <w:gridCol w:w="1229"/>
        <w:gridCol w:w="1025"/>
      </w:tblGrid>
      <w:tr w:rsidR="00114DE3">
        <w:trPr>
          <w:trHeight w:val="427"/>
        </w:trPr>
        <w:tc>
          <w:tcPr>
            <w:tcW w:w="9577" w:type="dxa"/>
            <w:gridSpan w:val="9"/>
            <w:tcBorders>
              <w:top w:val="single" w:sz="8" w:space="0" w:color="auto"/>
              <w:left w:val="single" w:sz="8" w:space="0" w:color="auto"/>
              <w:bottom w:val="single" w:sz="4" w:space="0" w:color="auto"/>
              <w:right w:val="single" w:sz="8" w:space="0" w:color="000000"/>
            </w:tcBorders>
            <w:vAlign w:val="center"/>
          </w:tcPr>
          <w:p w:rsidR="00114DE3" w:rsidRDefault="00963A3B">
            <w:pPr>
              <w:spacing w:line="400" w:lineRule="exact"/>
              <w:jc w:val="center"/>
              <w:rPr>
                <w:rFonts w:ascii="仿宋_GB2312" w:eastAsia="仿宋_GB2312" w:cs="Times New Roman"/>
                <w:b/>
                <w:bCs/>
              </w:rPr>
            </w:pPr>
            <w:r>
              <w:rPr>
                <w:rFonts w:ascii="仿宋_GB2312" w:eastAsia="仿宋_GB2312" w:cs="仿宋_GB2312" w:hint="eastAsia"/>
                <w:b/>
                <w:bCs/>
              </w:rPr>
              <w:t>欧洲鹿特丹小金属价格一周汇总</w:t>
            </w:r>
          </w:p>
        </w:tc>
      </w:tr>
      <w:tr w:rsidR="00114DE3">
        <w:trPr>
          <w:trHeight w:val="1337"/>
        </w:trPr>
        <w:tc>
          <w:tcPr>
            <w:tcW w:w="1146" w:type="dxa"/>
            <w:tcBorders>
              <w:top w:val="nil"/>
              <w:left w:val="single" w:sz="8" w:space="0" w:color="auto"/>
              <w:bottom w:val="single" w:sz="4" w:space="0" w:color="auto"/>
              <w:right w:val="single" w:sz="4" w:space="0" w:color="auto"/>
            </w:tcBorders>
            <w:vAlign w:val="center"/>
          </w:tcPr>
          <w:p w:rsidR="00114DE3" w:rsidRDefault="00963A3B">
            <w:pPr>
              <w:spacing w:line="400" w:lineRule="exact"/>
              <w:jc w:val="center"/>
              <w:rPr>
                <w:rFonts w:ascii="仿宋_GB2312" w:eastAsia="仿宋_GB2312" w:cs="仿宋_GB2312"/>
              </w:rPr>
            </w:pPr>
            <w:r>
              <w:rPr>
                <w:rFonts w:ascii="仿宋_GB2312" w:eastAsia="仿宋_GB2312" w:cs="仿宋_GB2312" w:hint="eastAsia"/>
              </w:rPr>
              <w:t>日期</w:t>
            </w:r>
          </w:p>
        </w:tc>
        <w:tc>
          <w:tcPr>
            <w:tcW w:w="978" w:type="dxa"/>
            <w:tcBorders>
              <w:top w:val="single" w:sz="4" w:space="0" w:color="auto"/>
              <w:left w:val="nil"/>
              <w:bottom w:val="single" w:sz="4" w:space="0" w:color="auto"/>
              <w:right w:val="single" w:sz="4" w:space="0" w:color="auto"/>
            </w:tcBorders>
            <w:vAlign w:val="center"/>
          </w:tcPr>
          <w:p w:rsidR="00114DE3" w:rsidRDefault="00963A3B">
            <w:pPr>
              <w:spacing w:line="400" w:lineRule="exact"/>
              <w:jc w:val="center"/>
              <w:rPr>
                <w:rFonts w:ascii="仿宋_GB2312" w:eastAsia="仿宋_GB2312" w:cs="Times New Roman"/>
              </w:rPr>
            </w:pPr>
            <w:r>
              <w:rPr>
                <w:rFonts w:ascii="仿宋_GB2312" w:eastAsia="仿宋_GB2312" w:cs="仿宋_GB2312" w:hint="eastAsia"/>
              </w:rPr>
              <w:t>硒（美元</w:t>
            </w:r>
            <w:r>
              <w:rPr>
                <w:rFonts w:ascii="仿宋_GB2312" w:eastAsia="仿宋_GB2312" w:cs="仿宋_GB2312"/>
              </w:rPr>
              <w:t>/</w:t>
            </w:r>
            <w:r>
              <w:rPr>
                <w:rFonts w:ascii="仿宋_GB2312" w:eastAsia="仿宋_GB2312" w:cs="仿宋_GB2312" w:hint="eastAsia"/>
              </w:rPr>
              <w:t>磅）</w:t>
            </w:r>
          </w:p>
        </w:tc>
        <w:tc>
          <w:tcPr>
            <w:tcW w:w="955" w:type="dxa"/>
            <w:tcBorders>
              <w:top w:val="single" w:sz="4" w:space="0" w:color="auto"/>
              <w:left w:val="nil"/>
              <w:bottom w:val="single" w:sz="4" w:space="0" w:color="auto"/>
              <w:right w:val="single" w:sz="4" w:space="0" w:color="auto"/>
            </w:tcBorders>
            <w:vAlign w:val="center"/>
          </w:tcPr>
          <w:p w:rsidR="00114DE3" w:rsidRDefault="00963A3B">
            <w:pPr>
              <w:spacing w:line="400" w:lineRule="exact"/>
              <w:jc w:val="center"/>
              <w:rPr>
                <w:rFonts w:ascii="仿宋_GB2312" w:eastAsia="仿宋_GB2312" w:cs="Times New Roman"/>
              </w:rPr>
            </w:pPr>
            <w:r>
              <w:rPr>
                <w:rFonts w:ascii="仿宋_GB2312" w:eastAsia="仿宋_GB2312" w:cs="仿宋_GB2312" w:hint="eastAsia"/>
              </w:rPr>
              <w:t>铋（美元</w:t>
            </w:r>
            <w:r>
              <w:rPr>
                <w:rFonts w:ascii="仿宋_GB2312" w:eastAsia="仿宋_GB2312" w:cs="仿宋_GB2312"/>
              </w:rPr>
              <w:t>/</w:t>
            </w:r>
            <w:r>
              <w:rPr>
                <w:rFonts w:ascii="仿宋_GB2312" w:eastAsia="仿宋_GB2312" w:cs="仿宋_GB2312" w:hint="eastAsia"/>
              </w:rPr>
              <w:t>磅）</w:t>
            </w:r>
          </w:p>
        </w:tc>
        <w:tc>
          <w:tcPr>
            <w:tcW w:w="1109" w:type="dxa"/>
            <w:tcBorders>
              <w:top w:val="single" w:sz="4" w:space="0" w:color="auto"/>
              <w:left w:val="nil"/>
              <w:bottom w:val="single" w:sz="4" w:space="0" w:color="auto"/>
              <w:right w:val="single" w:sz="4" w:space="0" w:color="auto"/>
            </w:tcBorders>
            <w:vAlign w:val="center"/>
          </w:tcPr>
          <w:p w:rsidR="00114DE3" w:rsidRDefault="00963A3B">
            <w:pPr>
              <w:spacing w:line="400" w:lineRule="exact"/>
              <w:jc w:val="center"/>
              <w:rPr>
                <w:rFonts w:ascii="仿宋_GB2312" w:eastAsia="仿宋_GB2312" w:cs="Times New Roman"/>
              </w:rPr>
            </w:pPr>
            <w:r>
              <w:rPr>
                <w:rFonts w:ascii="仿宋_GB2312" w:eastAsia="仿宋_GB2312" w:cs="仿宋_GB2312" w:hint="eastAsia"/>
              </w:rPr>
              <w:t>镉（</w:t>
            </w:r>
            <w:r>
              <w:rPr>
                <w:rFonts w:ascii="仿宋_GB2312" w:eastAsia="仿宋_GB2312" w:cs="仿宋_GB2312"/>
              </w:rPr>
              <w:t>99.95</w:t>
            </w:r>
            <w:r>
              <w:rPr>
                <w:rFonts w:ascii="仿宋_GB2312" w:eastAsia="仿宋_GB2312" w:cs="仿宋_GB2312" w:hint="eastAsia"/>
              </w:rPr>
              <w:t>美元</w:t>
            </w:r>
            <w:r>
              <w:rPr>
                <w:rFonts w:ascii="仿宋_GB2312" w:eastAsia="仿宋_GB2312" w:cs="仿宋_GB2312"/>
              </w:rPr>
              <w:t>/</w:t>
            </w:r>
            <w:r>
              <w:rPr>
                <w:rFonts w:ascii="仿宋_GB2312" w:eastAsia="仿宋_GB2312" w:cs="仿宋_GB2312" w:hint="eastAsia"/>
              </w:rPr>
              <w:t>磅）</w:t>
            </w:r>
          </w:p>
        </w:tc>
        <w:tc>
          <w:tcPr>
            <w:tcW w:w="1110" w:type="dxa"/>
            <w:tcBorders>
              <w:top w:val="single" w:sz="4" w:space="0" w:color="auto"/>
              <w:left w:val="nil"/>
              <w:bottom w:val="single" w:sz="4" w:space="0" w:color="auto"/>
              <w:right w:val="single" w:sz="4" w:space="0" w:color="auto"/>
            </w:tcBorders>
            <w:vAlign w:val="center"/>
          </w:tcPr>
          <w:p w:rsidR="00114DE3" w:rsidRDefault="00963A3B">
            <w:pPr>
              <w:spacing w:line="400" w:lineRule="exact"/>
              <w:jc w:val="center"/>
              <w:rPr>
                <w:rFonts w:ascii="仿宋_GB2312" w:eastAsia="仿宋_GB2312" w:cs="Times New Roman"/>
              </w:rPr>
            </w:pPr>
            <w:r>
              <w:rPr>
                <w:rFonts w:ascii="仿宋_GB2312" w:eastAsia="仿宋_GB2312" w:cs="仿宋_GB2312" w:hint="eastAsia"/>
              </w:rPr>
              <w:t>镉（</w:t>
            </w:r>
            <w:r>
              <w:rPr>
                <w:rFonts w:ascii="仿宋_GB2312" w:eastAsia="仿宋_GB2312" w:cs="仿宋_GB2312"/>
              </w:rPr>
              <w:t>99.99</w:t>
            </w:r>
            <w:r>
              <w:rPr>
                <w:rFonts w:ascii="仿宋_GB2312" w:eastAsia="仿宋_GB2312" w:cs="仿宋_GB2312" w:hint="eastAsia"/>
              </w:rPr>
              <w:t>美元</w:t>
            </w:r>
            <w:r>
              <w:rPr>
                <w:rFonts w:ascii="仿宋_GB2312" w:eastAsia="仿宋_GB2312" w:cs="仿宋_GB2312"/>
              </w:rPr>
              <w:t>/</w:t>
            </w:r>
            <w:r>
              <w:rPr>
                <w:rFonts w:ascii="仿宋_GB2312" w:eastAsia="仿宋_GB2312" w:cs="仿宋_GB2312" w:hint="eastAsia"/>
              </w:rPr>
              <w:t>磅）</w:t>
            </w:r>
          </w:p>
        </w:tc>
        <w:tc>
          <w:tcPr>
            <w:tcW w:w="1020" w:type="dxa"/>
            <w:tcBorders>
              <w:top w:val="single" w:sz="4" w:space="0" w:color="auto"/>
              <w:left w:val="nil"/>
              <w:bottom w:val="single" w:sz="4" w:space="0" w:color="auto"/>
              <w:right w:val="single" w:sz="4" w:space="0" w:color="auto"/>
            </w:tcBorders>
            <w:vAlign w:val="center"/>
          </w:tcPr>
          <w:p w:rsidR="00114DE3" w:rsidRDefault="00963A3B">
            <w:pPr>
              <w:spacing w:line="400" w:lineRule="exact"/>
              <w:jc w:val="center"/>
              <w:rPr>
                <w:rFonts w:ascii="仿宋_GB2312" w:eastAsia="仿宋_GB2312" w:cs="Times New Roman"/>
              </w:rPr>
            </w:pPr>
            <w:r>
              <w:rPr>
                <w:rFonts w:ascii="仿宋_GB2312" w:eastAsia="仿宋_GB2312" w:cs="仿宋_GB2312" w:hint="eastAsia"/>
              </w:rPr>
              <w:t>铟（美元</w:t>
            </w:r>
            <w:r>
              <w:rPr>
                <w:rFonts w:ascii="仿宋_GB2312" w:eastAsia="仿宋_GB2312" w:cs="仿宋_GB2312"/>
              </w:rPr>
              <w:t>/</w:t>
            </w:r>
            <w:r>
              <w:rPr>
                <w:rFonts w:ascii="仿宋_GB2312" w:eastAsia="仿宋_GB2312" w:cs="仿宋_GB2312" w:hint="eastAsia"/>
              </w:rPr>
              <w:t>公斤）</w:t>
            </w:r>
          </w:p>
        </w:tc>
        <w:tc>
          <w:tcPr>
            <w:tcW w:w="1005" w:type="dxa"/>
            <w:tcBorders>
              <w:top w:val="single" w:sz="4" w:space="0" w:color="auto"/>
              <w:left w:val="nil"/>
              <w:bottom w:val="single" w:sz="4" w:space="0" w:color="auto"/>
              <w:right w:val="single" w:sz="4" w:space="0" w:color="auto"/>
            </w:tcBorders>
            <w:vAlign w:val="center"/>
          </w:tcPr>
          <w:p w:rsidR="00114DE3" w:rsidRDefault="00963A3B">
            <w:pPr>
              <w:spacing w:line="400" w:lineRule="exact"/>
              <w:jc w:val="center"/>
              <w:rPr>
                <w:rFonts w:ascii="仿宋_GB2312" w:eastAsia="仿宋_GB2312" w:cs="Times New Roman"/>
              </w:rPr>
            </w:pPr>
            <w:r>
              <w:rPr>
                <w:rFonts w:ascii="仿宋_GB2312" w:eastAsia="仿宋_GB2312" w:cs="仿宋_GB2312" w:hint="eastAsia"/>
              </w:rPr>
              <w:t>锗（元</w:t>
            </w:r>
            <w:r>
              <w:rPr>
                <w:rFonts w:ascii="仿宋_GB2312" w:eastAsia="仿宋_GB2312" w:cs="仿宋_GB2312"/>
              </w:rPr>
              <w:t>/</w:t>
            </w:r>
            <w:r>
              <w:rPr>
                <w:rFonts w:ascii="仿宋_GB2312" w:eastAsia="仿宋_GB2312" w:cs="仿宋_GB2312" w:hint="eastAsia"/>
              </w:rPr>
              <w:t>公斤）</w:t>
            </w:r>
          </w:p>
        </w:tc>
        <w:tc>
          <w:tcPr>
            <w:tcW w:w="1229" w:type="dxa"/>
            <w:tcBorders>
              <w:top w:val="single" w:sz="4" w:space="0" w:color="auto"/>
              <w:left w:val="nil"/>
              <w:bottom w:val="single" w:sz="4" w:space="0" w:color="auto"/>
              <w:right w:val="single" w:sz="4" w:space="0" w:color="auto"/>
            </w:tcBorders>
            <w:vAlign w:val="center"/>
          </w:tcPr>
          <w:p w:rsidR="00114DE3" w:rsidRDefault="00963A3B">
            <w:pPr>
              <w:spacing w:line="400" w:lineRule="exact"/>
              <w:jc w:val="center"/>
              <w:rPr>
                <w:rFonts w:ascii="仿宋_GB2312" w:eastAsia="仿宋_GB2312" w:cs="Times New Roman"/>
              </w:rPr>
            </w:pPr>
            <w:r>
              <w:rPr>
                <w:rFonts w:ascii="仿宋_GB2312" w:eastAsia="仿宋_GB2312" w:cs="仿宋_GB2312" w:hint="eastAsia"/>
              </w:rPr>
              <w:t>二氧化锗（美元</w:t>
            </w:r>
            <w:r>
              <w:rPr>
                <w:rFonts w:ascii="仿宋_GB2312" w:eastAsia="仿宋_GB2312" w:cs="仿宋_GB2312"/>
              </w:rPr>
              <w:t>/</w:t>
            </w:r>
            <w:r>
              <w:rPr>
                <w:rFonts w:ascii="仿宋_GB2312" w:eastAsia="仿宋_GB2312" w:cs="仿宋_GB2312" w:hint="eastAsia"/>
              </w:rPr>
              <w:t>公斤）</w:t>
            </w:r>
          </w:p>
        </w:tc>
        <w:tc>
          <w:tcPr>
            <w:tcW w:w="1025" w:type="dxa"/>
            <w:tcBorders>
              <w:top w:val="single" w:sz="4" w:space="0" w:color="auto"/>
              <w:left w:val="nil"/>
              <w:bottom w:val="single" w:sz="4" w:space="0" w:color="auto"/>
              <w:right w:val="single" w:sz="8" w:space="0" w:color="000000"/>
            </w:tcBorders>
            <w:vAlign w:val="center"/>
          </w:tcPr>
          <w:p w:rsidR="00114DE3" w:rsidRDefault="00963A3B">
            <w:pPr>
              <w:spacing w:line="400" w:lineRule="exact"/>
              <w:jc w:val="center"/>
              <w:rPr>
                <w:rFonts w:ascii="仿宋_GB2312" w:eastAsia="仿宋_GB2312" w:cs="Times New Roman"/>
              </w:rPr>
            </w:pPr>
            <w:r>
              <w:rPr>
                <w:rFonts w:ascii="仿宋_GB2312" w:eastAsia="仿宋_GB2312" w:cs="仿宋_GB2312" w:hint="eastAsia"/>
              </w:rPr>
              <w:t>镓（美元</w:t>
            </w:r>
            <w:r>
              <w:rPr>
                <w:rFonts w:ascii="仿宋_GB2312" w:eastAsia="仿宋_GB2312" w:cs="仿宋_GB2312"/>
              </w:rPr>
              <w:t>/</w:t>
            </w:r>
            <w:r>
              <w:rPr>
                <w:rFonts w:ascii="仿宋_GB2312" w:eastAsia="仿宋_GB2312" w:cs="仿宋_GB2312" w:hint="eastAsia"/>
              </w:rPr>
              <w:t>公斤）</w:t>
            </w:r>
          </w:p>
        </w:tc>
      </w:tr>
      <w:tr w:rsidR="00114DE3">
        <w:trPr>
          <w:trHeight w:val="824"/>
        </w:trPr>
        <w:tc>
          <w:tcPr>
            <w:tcW w:w="1146" w:type="dxa"/>
            <w:tcBorders>
              <w:top w:val="nil"/>
              <w:left w:val="single" w:sz="8" w:space="0" w:color="auto"/>
              <w:bottom w:val="single" w:sz="4" w:space="0" w:color="auto"/>
              <w:right w:val="single" w:sz="4" w:space="0" w:color="auto"/>
            </w:tcBorders>
            <w:vAlign w:val="center"/>
          </w:tcPr>
          <w:p w:rsidR="00114DE3" w:rsidRDefault="00963A3B">
            <w:pPr>
              <w:spacing w:line="400" w:lineRule="exact"/>
              <w:jc w:val="center"/>
              <w:rPr>
                <w:rFonts w:ascii="仿宋_GB2312" w:eastAsia="仿宋_GB2312" w:cs="Times New Roman"/>
              </w:rPr>
            </w:pPr>
            <w:r>
              <w:rPr>
                <w:rFonts w:ascii="仿宋_GB2312" w:eastAsia="仿宋_GB2312" w:cs="仿宋_GB2312" w:hint="eastAsia"/>
              </w:rPr>
              <w:t>6月</w:t>
            </w:r>
            <w:r w:rsidR="00F33DD9">
              <w:rPr>
                <w:rFonts w:ascii="仿宋_GB2312" w:eastAsia="仿宋_GB2312" w:cs="仿宋_GB2312" w:hint="eastAsia"/>
              </w:rPr>
              <w:t>3</w:t>
            </w:r>
            <w:r w:rsidR="009E45B4">
              <w:rPr>
                <w:rFonts w:ascii="仿宋_GB2312" w:eastAsia="仿宋_GB2312" w:cs="仿宋_GB2312" w:hint="eastAsia"/>
              </w:rPr>
              <w:t>0</w:t>
            </w:r>
            <w:r>
              <w:rPr>
                <w:rFonts w:ascii="仿宋_GB2312" w:eastAsia="仿宋_GB2312" w:cs="仿宋_GB2312" w:hint="eastAsia"/>
              </w:rPr>
              <w:t>日</w:t>
            </w:r>
          </w:p>
        </w:tc>
        <w:tc>
          <w:tcPr>
            <w:tcW w:w="978" w:type="dxa"/>
            <w:tcBorders>
              <w:top w:val="single" w:sz="4" w:space="0" w:color="auto"/>
              <w:left w:val="nil"/>
              <w:bottom w:val="single" w:sz="4" w:space="0" w:color="auto"/>
              <w:right w:val="single" w:sz="4" w:space="0" w:color="auto"/>
            </w:tcBorders>
            <w:noWrap/>
            <w:vAlign w:val="center"/>
          </w:tcPr>
          <w:p w:rsidR="00114DE3" w:rsidRDefault="00963A3B">
            <w:pPr>
              <w:jc w:val="center"/>
              <w:rPr>
                <w:rFonts w:ascii="仿宋_GB2312" w:eastAsia="仿宋_GB2312" w:cs="仿宋_GB2312"/>
              </w:rPr>
            </w:pPr>
            <w:r>
              <w:rPr>
                <w:rFonts w:ascii="仿宋_GB2312" w:eastAsia="仿宋_GB2312" w:cs="仿宋_GB2312" w:hint="eastAsia"/>
              </w:rPr>
              <w:t>9.07</w:t>
            </w:r>
          </w:p>
        </w:tc>
        <w:tc>
          <w:tcPr>
            <w:tcW w:w="955" w:type="dxa"/>
            <w:tcBorders>
              <w:top w:val="single" w:sz="4" w:space="0" w:color="auto"/>
              <w:left w:val="nil"/>
              <w:bottom w:val="single" w:sz="4" w:space="0" w:color="auto"/>
              <w:right w:val="single" w:sz="4" w:space="0" w:color="auto"/>
            </w:tcBorders>
            <w:noWrap/>
            <w:vAlign w:val="center"/>
          </w:tcPr>
          <w:p w:rsidR="00114DE3" w:rsidRDefault="00963A3B">
            <w:pPr>
              <w:jc w:val="center"/>
              <w:rPr>
                <w:rFonts w:ascii="仿宋_GB2312" w:eastAsia="仿宋_GB2312" w:cs="仿宋_GB2312"/>
              </w:rPr>
            </w:pPr>
            <w:r>
              <w:rPr>
                <w:rFonts w:ascii="仿宋_GB2312" w:eastAsia="仿宋_GB2312" w:cs="仿宋_GB2312" w:hint="eastAsia"/>
              </w:rPr>
              <w:t>3.9</w:t>
            </w:r>
          </w:p>
        </w:tc>
        <w:tc>
          <w:tcPr>
            <w:tcW w:w="1109" w:type="dxa"/>
            <w:tcBorders>
              <w:top w:val="single" w:sz="4" w:space="0" w:color="auto"/>
              <w:left w:val="nil"/>
              <w:bottom w:val="single" w:sz="4" w:space="0" w:color="auto"/>
              <w:right w:val="single" w:sz="4" w:space="0" w:color="auto"/>
            </w:tcBorders>
            <w:noWrap/>
            <w:vAlign w:val="center"/>
          </w:tcPr>
          <w:p w:rsidR="00114DE3" w:rsidRDefault="00963A3B">
            <w:pPr>
              <w:jc w:val="center"/>
              <w:rPr>
                <w:rFonts w:ascii="仿宋_GB2312" w:eastAsia="仿宋_GB2312" w:cs="仿宋_GB2312"/>
              </w:rPr>
            </w:pPr>
            <w:r>
              <w:rPr>
                <w:rFonts w:ascii="仿宋_GB2312" w:eastAsia="仿宋_GB2312" w:cs="仿宋_GB2312" w:hint="eastAsia"/>
              </w:rPr>
              <w:t>1.29</w:t>
            </w:r>
          </w:p>
        </w:tc>
        <w:tc>
          <w:tcPr>
            <w:tcW w:w="1110" w:type="dxa"/>
            <w:tcBorders>
              <w:top w:val="single" w:sz="4" w:space="0" w:color="auto"/>
              <w:left w:val="nil"/>
              <w:bottom w:val="single" w:sz="4" w:space="0" w:color="auto"/>
              <w:right w:val="single" w:sz="4" w:space="0" w:color="auto"/>
            </w:tcBorders>
            <w:noWrap/>
            <w:vAlign w:val="center"/>
          </w:tcPr>
          <w:p w:rsidR="00114DE3" w:rsidRDefault="00963A3B">
            <w:pPr>
              <w:jc w:val="center"/>
              <w:rPr>
                <w:rFonts w:ascii="仿宋_GB2312" w:eastAsia="仿宋_GB2312" w:cs="仿宋_GB2312"/>
              </w:rPr>
            </w:pPr>
            <w:r>
              <w:rPr>
                <w:rFonts w:ascii="仿宋_GB2312" w:eastAsia="仿宋_GB2312" w:cs="仿宋_GB2312" w:hint="eastAsia"/>
              </w:rPr>
              <w:t>1.32</w:t>
            </w:r>
          </w:p>
        </w:tc>
        <w:tc>
          <w:tcPr>
            <w:tcW w:w="1020" w:type="dxa"/>
            <w:tcBorders>
              <w:top w:val="single" w:sz="4" w:space="0" w:color="auto"/>
              <w:left w:val="nil"/>
              <w:bottom w:val="single" w:sz="4" w:space="0" w:color="auto"/>
              <w:right w:val="single" w:sz="4" w:space="0" w:color="auto"/>
            </w:tcBorders>
            <w:noWrap/>
            <w:vAlign w:val="center"/>
          </w:tcPr>
          <w:p w:rsidR="00114DE3" w:rsidRDefault="00963A3B">
            <w:pPr>
              <w:jc w:val="center"/>
              <w:rPr>
                <w:rFonts w:ascii="仿宋_GB2312" w:eastAsia="仿宋_GB2312" w:cs="仿宋_GB2312"/>
              </w:rPr>
            </w:pPr>
            <w:r>
              <w:rPr>
                <w:rFonts w:ascii="仿宋_GB2312" w:eastAsia="仿宋_GB2312" w:cs="仿宋_GB2312" w:hint="eastAsia"/>
              </w:rPr>
              <w:t>210.5</w:t>
            </w:r>
          </w:p>
        </w:tc>
        <w:tc>
          <w:tcPr>
            <w:tcW w:w="1005" w:type="dxa"/>
            <w:tcBorders>
              <w:top w:val="single" w:sz="4" w:space="0" w:color="auto"/>
              <w:left w:val="nil"/>
              <w:bottom w:val="single" w:sz="4" w:space="0" w:color="auto"/>
              <w:right w:val="single" w:sz="4" w:space="0" w:color="auto"/>
            </w:tcBorders>
            <w:noWrap/>
            <w:vAlign w:val="center"/>
          </w:tcPr>
          <w:p w:rsidR="00114DE3" w:rsidRDefault="00963A3B">
            <w:pPr>
              <w:jc w:val="center"/>
              <w:rPr>
                <w:rFonts w:ascii="仿宋_GB2312" w:eastAsia="仿宋_GB2312" w:cs="仿宋_GB2312"/>
              </w:rPr>
            </w:pPr>
            <w:r>
              <w:rPr>
                <w:rFonts w:ascii="仿宋_GB2312" w:eastAsia="仿宋_GB2312" w:cs="仿宋_GB2312" w:hint="eastAsia"/>
              </w:rPr>
              <w:t>1200</w:t>
            </w:r>
          </w:p>
        </w:tc>
        <w:tc>
          <w:tcPr>
            <w:tcW w:w="1229" w:type="dxa"/>
            <w:tcBorders>
              <w:top w:val="single" w:sz="4" w:space="0" w:color="auto"/>
              <w:left w:val="nil"/>
              <w:bottom w:val="single" w:sz="4" w:space="0" w:color="auto"/>
              <w:right w:val="single" w:sz="4" w:space="0" w:color="auto"/>
            </w:tcBorders>
            <w:noWrap/>
            <w:vAlign w:val="center"/>
          </w:tcPr>
          <w:p w:rsidR="00114DE3" w:rsidRDefault="00963A3B">
            <w:pPr>
              <w:jc w:val="center"/>
              <w:rPr>
                <w:rFonts w:ascii="仿宋_GB2312" w:eastAsia="仿宋_GB2312" w:cs="仿宋_GB2312"/>
              </w:rPr>
            </w:pPr>
            <w:r>
              <w:rPr>
                <w:rFonts w:ascii="仿宋_GB2312" w:eastAsia="仿宋_GB2312" w:cs="仿宋_GB2312" w:hint="eastAsia"/>
              </w:rPr>
              <w:t>850</w:t>
            </w:r>
          </w:p>
        </w:tc>
        <w:tc>
          <w:tcPr>
            <w:tcW w:w="1025" w:type="dxa"/>
            <w:tcBorders>
              <w:top w:val="single" w:sz="4" w:space="0" w:color="auto"/>
              <w:left w:val="nil"/>
              <w:bottom w:val="single" w:sz="4" w:space="0" w:color="auto"/>
              <w:right w:val="single" w:sz="8" w:space="0" w:color="000000"/>
            </w:tcBorders>
            <w:noWrap/>
            <w:vAlign w:val="center"/>
          </w:tcPr>
          <w:p w:rsidR="00114DE3" w:rsidRDefault="009E45B4">
            <w:pPr>
              <w:jc w:val="center"/>
              <w:rPr>
                <w:rFonts w:ascii="仿宋_GB2312" w:eastAsia="仿宋_GB2312" w:cs="仿宋_GB2312"/>
              </w:rPr>
            </w:pPr>
            <w:r>
              <w:rPr>
                <w:rFonts w:ascii="仿宋_GB2312" w:eastAsia="仿宋_GB2312" w:cs="仿宋_GB2312" w:hint="eastAsia"/>
              </w:rPr>
              <w:t>340</w:t>
            </w:r>
          </w:p>
        </w:tc>
      </w:tr>
      <w:tr w:rsidR="00114DE3">
        <w:trPr>
          <w:trHeight w:val="834"/>
        </w:trPr>
        <w:tc>
          <w:tcPr>
            <w:tcW w:w="1146" w:type="dxa"/>
            <w:tcBorders>
              <w:top w:val="nil"/>
              <w:left w:val="single" w:sz="8" w:space="0" w:color="auto"/>
              <w:bottom w:val="single" w:sz="4" w:space="0" w:color="auto"/>
              <w:right w:val="single" w:sz="4" w:space="0" w:color="auto"/>
            </w:tcBorders>
            <w:vAlign w:val="center"/>
          </w:tcPr>
          <w:p w:rsidR="00114DE3" w:rsidRDefault="009E45B4">
            <w:pPr>
              <w:widowControl/>
              <w:jc w:val="center"/>
              <w:textAlignment w:val="center"/>
              <w:rPr>
                <w:rFonts w:ascii="仿宋_GB2312" w:eastAsia="仿宋_GB2312" w:hAnsi="宋体" w:cs="仿宋_GB2312"/>
                <w:color w:val="000000"/>
              </w:rPr>
            </w:pPr>
            <w:r>
              <w:rPr>
                <w:rFonts w:ascii="仿宋_GB2312" w:eastAsia="仿宋_GB2312" w:hAnsi="宋体" w:cs="仿宋_GB2312" w:hint="eastAsia"/>
                <w:color w:val="000000"/>
                <w:kern w:val="0"/>
              </w:rPr>
              <w:t>7</w:t>
            </w:r>
            <w:r w:rsidR="00963A3B">
              <w:rPr>
                <w:rFonts w:ascii="仿宋_GB2312" w:eastAsia="仿宋_GB2312" w:hAnsi="宋体" w:cs="仿宋_GB2312"/>
                <w:color w:val="000000"/>
                <w:kern w:val="0"/>
              </w:rPr>
              <w:t>月</w:t>
            </w:r>
            <w:r>
              <w:rPr>
                <w:rFonts w:ascii="仿宋_GB2312" w:eastAsia="仿宋_GB2312" w:hAnsi="宋体" w:cs="仿宋_GB2312" w:hint="eastAsia"/>
                <w:color w:val="000000"/>
                <w:kern w:val="0"/>
              </w:rPr>
              <w:t>1</w:t>
            </w:r>
            <w:r w:rsidR="00963A3B">
              <w:rPr>
                <w:rFonts w:ascii="仿宋_GB2312" w:eastAsia="仿宋_GB2312" w:hAnsi="宋体" w:cs="仿宋_GB2312"/>
                <w:color w:val="000000"/>
                <w:kern w:val="0"/>
              </w:rPr>
              <w:t>日</w:t>
            </w:r>
          </w:p>
        </w:tc>
        <w:tc>
          <w:tcPr>
            <w:tcW w:w="978" w:type="dxa"/>
            <w:tcBorders>
              <w:top w:val="single" w:sz="4" w:space="0" w:color="auto"/>
              <w:left w:val="nil"/>
              <w:bottom w:val="single" w:sz="4" w:space="0" w:color="auto"/>
              <w:right w:val="single" w:sz="4" w:space="0" w:color="auto"/>
            </w:tcBorders>
            <w:noWrap/>
            <w:vAlign w:val="center"/>
          </w:tcPr>
          <w:p w:rsidR="00114DE3" w:rsidRDefault="00963A3B">
            <w:pPr>
              <w:jc w:val="center"/>
              <w:rPr>
                <w:rFonts w:ascii="仿宋_GB2312" w:eastAsia="仿宋_GB2312" w:cs="仿宋_GB2312"/>
              </w:rPr>
            </w:pPr>
            <w:r>
              <w:rPr>
                <w:rFonts w:ascii="仿宋_GB2312" w:eastAsia="仿宋_GB2312" w:cs="仿宋_GB2312" w:hint="eastAsia"/>
              </w:rPr>
              <w:t>9.07</w:t>
            </w:r>
          </w:p>
        </w:tc>
        <w:tc>
          <w:tcPr>
            <w:tcW w:w="955" w:type="dxa"/>
            <w:tcBorders>
              <w:top w:val="single" w:sz="4" w:space="0" w:color="auto"/>
              <w:left w:val="nil"/>
              <w:bottom w:val="single" w:sz="4" w:space="0" w:color="auto"/>
              <w:right w:val="single" w:sz="4" w:space="0" w:color="auto"/>
            </w:tcBorders>
            <w:noWrap/>
            <w:vAlign w:val="center"/>
          </w:tcPr>
          <w:p w:rsidR="00114DE3" w:rsidRDefault="00963A3B">
            <w:pPr>
              <w:jc w:val="center"/>
              <w:rPr>
                <w:rFonts w:ascii="仿宋_GB2312" w:eastAsia="仿宋_GB2312" w:cs="仿宋_GB2312"/>
              </w:rPr>
            </w:pPr>
            <w:r>
              <w:rPr>
                <w:rFonts w:ascii="仿宋_GB2312" w:eastAsia="仿宋_GB2312" w:cs="仿宋_GB2312" w:hint="eastAsia"/>
              </w:rPr>
              <w:t>3.9</w:t>
            </w:r>
          </w:p>
        </w:tc>
        <w:tc>
          <w:tcPr>
            <w:tcW w:w="1109" w:type="dxa"/>
            <w:tcBorders>
              <w:top w:val="single" w:sz="4" w:space="0" w:color="auto"/>
              <w:left w:val="nil"/>
              <w:bottom w:val="single" w:sz="4" w:space="0" w:color="auto"/>
              <w:right w:val="single" w:sz="4" w:space="0" w:color="auto"/>
            </w:tcBorders>
            <w:noWrap/>
            <w:vAlign w:val="center"/>
          </w:tcPr>
          <w:p w:rsidR="00114DE3" w:rsidRDefault="00963A3B">
            <w:pPr>
              <w:jc w:val="center"/>
              <w:rPr>
                <w:rFonts w:ascii="仿宋_GB2312" w:eastAsia="仿宋_GB2312" w:cs="仿宋_GB2312"/>
              </w:rPr>
            </w:pPr>
            <w:r>
              <w:rPr>
                <w:rFonts w:ascii="仿宋_GB2312" w:eastAsia="仿宋_GB2312" w:cs="仿宋_GB2312" w:hint="eastAsia"/>
              </w:rPr>
              <w:t>1.29</w:t>
            </w:r>
          </w:p>
        </w:tc>
        <w:tc>
          <w:tcPr>
            <w:tcW w:w="1110" w:type="dxa"/>
            <w:tcBorders>
              <w:top w:val="single" w:sz="4" w:space="0" w:color="auto"/>
              <w:left w:val="nil"/>
              <w:bottom w:val="single" w:sz="4" w:space="0" w:color="auto"/>
              <w:right w:val="single" w:sz="4" w:space="0" w:color="auto"/>
            </w:tcBorders>
            <w:noWrap/>
            <w:vAlign w:val="center"/>
          </w:tcPr>
          <w:p w:rsidR="00114DE3" w:rsidRDefault="00963A3B">
            <w:pPr>
              <w:jc w:val="center"/>
              <w:rPr>
                <w:rFonts w:ascii="仿宋_GB2312" w:eastAsia="仿宋_GB2312" w:cs="仿宋_GB2312"/>
              </w:rPr>
            </w:pPr>
            <w:r>
              <w:rPr>
                <w:rFonts w:ascii="仿宋_GB2312" w:eastAsia="仿宋_GB2312" w:cs="仿宋_GB2312" w:hint="eastAsia"/>
              </w:rPr>
              <w:t>1.32</w:t>
            </w:r>
          </w:p>
        </w:tc>
        <w:tc>
          <w:tcPr>
            <w:tcW w:w="1020" w:type="dxa"/>
            <w:tcBorders>
              <w:top w:val="single" w:sz="4" w:space="0" w:color="auto"/>
              <w:left w:val="nil"/>
              <w:bottom w:val="single" w:sz="4" w:space="0" w:color="auto"/>
              <w:right w:val="single" w:sz="4" w:space="0" w:color="auto"/>
            </w:tcBorders>
            <w:noWrap/>
            <w:vAlign w:val="center"/>
          </w:tcPr>
          <w:p w:rsidR="00114DE3" w:rsidRDefault="00963A3B">
            <w:pPr>
              <w:jc w:val="center"/>
              <w:rPr>
                <w:rFonts w:ascii="仿宋_GB2312" w:eastAsia="仿宋_GB2312" w:cs="仿宋_GB2312"/>
              </w:rPr>
            </w:pPr>
            <w:r>
              <w:rPr>
                <w:rFonts w:ascii="仿宋_GB2312" w:eastAsia="仿宋_GB2312" w:cs="仿宋_GB2312" w:hint="eastAsia"/>
              </w:rPr>
              <w:t>210.5</w:t>
            </w:r>
          </w:p>
        </w:tc>
        <w:tc>
          <w:tcPr>
            <w:tcW w:w="1005" w:type="dxa"/>
            <w:tcBorders>
              <w:top w:val="single" w:sz="4" w:space="0" w:color="auto"/>
              <w:left w:val="nil"/>
              <w:bottom w:val="single" w:sz="4" w:space="0" w:color="auto"/>
              <w:right w:val="single" w:sz="4" w:space="0" w:color="auto"/>
            </w:tcBorders>
            <w:noWrap/>
            <w:vAlign w:val="center"/>
          </w:tcPr>
          <w:p w:rsidR="00114DE3" w:rsidRDefault="00963A3B">
            <w:pPr>
              <w:jc w:val="center"/>
              <w:rPr>
                <w:rFonts w:ascii="仿宋_GB2312" w:eastAsia="仿宋_GB2312" w:cs="仿宋_GB2312"/>
              </w:rPr>
            </w:pPr>
            <w:r>
              <w:rPr>
                <w:rFonts w:ascii="仿宋_GB2312" w:eastAsia="仿宋_GB2312" w:cs="仿宋_GB2312" w:hint="eastAsia"/>
              </w:rPr>
              <w:t>1200</w:t>
            </w:r>
          </w:p>
        </w:tc>
        <w:tc>
          <w:tcPr>
            <w:tcW w:w="1229" w:type="dxa"/>
            <w:tcBorders>
              <w:top w:val="single" w:sz="4" w:space="0" w:color="auto"/>
              <w:left w:val="nil"/>
              <w:bottom w:val="single" w:sz="4" w:space="0" w:color="auto"/>
              <w:right w:val="single" w:sz="4" w:space="0" w:color="auto"/>
            </w:tcBorders>
            <w:noWrap/>
            <w:vAlign w:val="center"/>
          </w:tcPr>
          <w:p w:rsidR="00114DE3" w:rsidRDefault="00963A3B">
            <w:pPr>
              <w:jc w:val="center"/>
              <w:rPr>
                <w:rFonts w:ascii="仿宋_GB2312" w:eastAsia="仿宋_GB2312" w:cs="仿宋_GB2312"/>
              </w:rPr>
            </w:pPr>
            <w:r>
              <w:rPr>
                <w:rFonts w:ascii="仿宋_GB2312" w:eastAsia="仿宋_GB2312" w:cs="仿宋_GB2312" w:hint="eastAsia"/>
              </w:rPr>
              <w:t>850</w:t>
            </w:r>
          </w:p>
        </w:tc>
        <w:tc>
          <w:tcPr>
            <w:tcW w:w="1025" w:type="dxa"/>
            <w:tcBorders>
              <w:top w:val="single" w:sz="4" w:space="0" w:color="auto"/>
              <w:left w:val="nil"/>
              <w:bottom w:val="single" w:sz="4" w:space="0" w:color="auto"/>
              <w:right w:val="single" w:sz="8" w:space="0" w:color="000000"/>
            </w:tcBorders>
            <w:noWrap/>
            <w:vAlign w:val="center"/>
          </w:tcPr>
          <w:p w:rsidR="00114DE3" w:rsidRDefault="00963A3B">
            <w:pPr>
              <w:jc w:val="center"/>
              <w:rPr>
                <w:rFonts w:ascii="仿宋_GB2312" w:eastAsia="仿宋_GB2312" w:cs="仿宋_GB2312"/>
              </w:rPr>
            </w:pPr>
            <w:r>
              <w:rPr>
                <w:rFonts w:ascii="仿宋_GB2312" w:eastAsia="仿宋_GB2312" w:cs="仿宋_GB2312" w:hint="eastAsia"/>
              </w:rPr>
              <w:t>3</w:t>
            </w:r>
            <w:r w:rsidR="009E45B4">
              <w:rPr>
                <w:rFonts w:ascii="仿宋_GB2312" w:eastAsia="仿宋_GB2312" w:cs="仿宋_GB2312" w:hint="eastAsia"/>
              </w:rPr>
              <w:t>340</w:t>
            </w:r>
          </w:p>
        </w:tc>
      </w:tr>
    </w:tbl>
    <w:p w:rsidR="00114DE3" w:rsidRDefault="00114DE3"/>
    <w:p w:rsidR="00114DE3" w:rsidRDefault="00114DE3">
      <w:pPr>
        <w:rPr>
          <w:rFonts w:cs="Times New Roman"/>
        </w:rPr>
      </w:pPr>
    </w:p>
    <w:p w:rsidR="00114DE3" w:rsidRDefault="00114DE3">
      <w:pPr>
        <w:rPr>
          <w:rFonts w:cs="Times New Roman"/>
        </w:rPr>
      </w:pPr>
    </w:p>
    <w:p w:rsidR="00114DE3" w:rsidRDefault="00114DE3">
      <w:pPr>
        <w:rPr>
          <w:rFonts w:cs="Times New Roman"/>
        </w:rPr>
      </w:pPr>
    </w:p>
    <w:p w:rsidR="00114DE3" w:rsidRDefault="00963A3B">
      <w:pPr>
        <w:pStyle w:val="3"/>
        <w:numPr>
          <w:ilvl w:val="0"/>
          <w:numId w:val="3"/>
        </w:numPr>
        <w:spacing w:line="400" w:lineRule="exact"/>
        <w:rPr>
          <w:rFonts w:cs="宋体"/>
          <w:kern w:val="0"/>
        </w:rPr>
      </w:pPr>
      <w:bookmarkStart w:id="111" w:name="_Toc76568916"/>
      <w:r>
        <w:rPr>
          <w:rFonts w:cs="宋体" w:hint="eastAsia"/>
          <w:kern w:val="0"/>
        </w:rPr>
        <w:t>国内一周小金属价格汇总</w:t>
      </w:r>
      <w:bookmarkEnd w:id="111"/>
    </w:p>
    <w:tbl>
      <w:tblPr>
        <w:tblW w:w="8960" w:type="dxa"/>
        <w:jc w:val="center"/>
        <w:tblLayout w:type="fixed"/>
        <w:tblLook w:val="04A0"/>
      </w:tblPr>
      <w:tblGrid>
        <w:gridCol w:w="1258"/>
        <w:gridCol w:w="721"/>
        <w:gridCol w:w="722"/>
        <w:gridCol w:w="722"/>
        <w:gridCol w:w="785"/>
        <w:gridCol w:w="659"/>
        <w:gridCol w:w="724"/>
        <w:gridCol w:w="842"/>
        <w:gridCol w:w="843"/>
        <w:gridCol w:w="842"/>
        <w:gridCol w:w="842"/>
      </w:tblGrid>
      <w:tr w:rsidR="00114DE3">
        <w:trPr>
          <w:trHeight w:val="415"/>
          <w:jc w:val="center"/>
        </w:trPr>
        <w:tc>
          <w:tcPr>
            <w:tcW w:w="8960" w:type="dxa"/>
            <w:gridSpan w:val="11"/>
            <w:tcBorders>
              <w:top w:val="single" w:sz="4" w:space="0" w:color="auto"/>
              <w:left w:val="single" w:sz="4" w:space="0" w:color="auto"/>
              <w:bottom w:val="single" w:sz="4" w:space="0" w:color="auto"/>
              <w:right w:val="single" w:sz="4" w:space="0" w:color="auto"/>
            </w:tcBorders>
            <w:vAlign w:val="bottom"/>
          </w:tcPr>
          <w:p w:rsidR="00114DE3" w:rsidRDefault="00963A3B">
            <w:pPr>
              <w:widowControl/>
              <w:spacing w:line="400" w:lineRule="exact"/>
              <w:jc w:val="center"/>
              <w:rPr>
                <w:rFonts w:ascii="仿宋_GB2312" w:eastAsia="仿宋_GB2312" w:hAnsi="宋体" w:cs="Times New Roman"/>
                <w:b/>
                <w:bCs/>
                <w:kern w:val="0"/>
              </w:rPr>
            </w:pPr>
            <w:r>
              <w:rPr>
                <w:rFonts w:ascii="仿宋_GB2312" w:eastAsia="仿宋_GB2312" w:hAnsi="宋体" w:cs="仿宋_GB2312" w:hint="eastAsia"/>
                <w:b/>
                <w:bCs/>
                <w:kern w:val="0"/>
              </w:rPr>
              <w:t>国内小金属价格一周汇总</w:t>
            </w:r>
          </w:p>
        </w:tc>
      </w:tr>
      <w:tr w:rsidR="00114DE3">
        <w:trPr>
          <w:trHeight w:val="415"/>
          <w:jc w:val="center"/>
        </w:trPr>
        <w:tc>
          <w:tcPr>
            <w:tcW w:w="1258" w:type="dxa"/>
            <w:tcBorders>
              <w:top w:val="nil"/>
              <w:left w:val="single" w:sz="4" w:space="0" w:color="auto"/>
              <w:bottom w:val="single" w:sz="4" w:space="0" w:color="auto"/>
              <w:right w:val="single" w:sz="4" w:space="0" w:color="auto"/>
            </w:tcBorders>
            <w:vAlign w:val="bottom"/>
          </w:tcPr>
          <w:p w:rsidR="00114DE3" w:rsidRDefault="00963A3B">
            <w:pPr>
              <w:widowControl/>
              <w:spacing w:line="400" w:lineRule="exact"/>
              <w:jc w:val="center"/>
              <w:rPr>
                <w:rFonts w:ascii="仿宋_GB2312" w:eastAsia="仿宋_GB2312" w:hAnsi="宋体" w:cs="Times New Roman"/>
                <w:kern w:val="0"/>
              </w:rPr>
            </w:pPr>
            <w:r>
              <w:rPr>
                <w:rFonts w:ascii="仿宋_GB2312" w:eastAsia="仿宋_GB2312" w:hAnsi="宋体" w:cs="仿宋_GB2312" w:hint="eastAsia"/>
                <w:kern w:val="0"/>
              </w:rPr>
              <w:t>日期</w:t>
            </w:r>
          </w:p>
        </w:tc>
        <w:tc>
          <w:tcPr>
            <w:tcW w:w="1443" w:type="dxa"/>
            <w:gridSpan w:val="2"/>
            <w:tcBorders>
              <w:top w:val="single" w:sz="4" w:space="0" w:color="auto"/>
              <w:left w:val="nil"/>
              <w:bottom w:val="single" w:sz="4" w:space="0" w:color="auto"/>
              <w:right w:val="single" w:sz="4" w:space="0" w:color="auto"/>
            </w:tcBorders>
            <w:vAlign w:val="bottom"/>
          </w:tcPr>
          <w:p w:rsidR="00114DE3" w:rsidRDefault="00963A3B">
            <w:pPr>
              <w:widowControl/>
              <w:spacing w:line="400" w:lineRule="exact"/>
              <w:jc w:val="center"/>
              <w:rPr>
                <w:rFonts w:ascii="仿宋_GB2312" w:eastAsia="仿宋_GB2312" w:hAnsi="宋体" w:cs="仿宋_GB2312"/>
                <w:kern w:val="0"/>
              </w:rPr>
            </w:pPr>
            <w:r>
              <w:rPr>
                <w:rFonts w:ascii="仿宋_GB2312" w:eastAsia="仿宋_GB2312" w:hAnsi="宋体" w:cs="仿宋_GB2312" w:hint="eastAsia"/>
                <w:kern w:val="0"/>
              </w:rPr>
              <w:t>硒粉</w:t>
            </w:r>
            <w:r>
              <w:rPr>
                <w:rFonts w:ascii="仿宋_GB2312" w:eastAsia="仿宋_GB2312" w:hAnsi="宋体" w:cs="仿宋_GB2312"/>
                <w:kern w:val="0"/>
              </w:rPr>
              <w:t>99.9%</w:t>
            </w:r>
          </w:p>
        </w:tc>
        <w:tc>
          <w:tcPr>
            <w:tcW w:w="1507" w:type="dxa"/>
            <w:gridSpan w:val="2"/>
            <w:tcBorders>
              <w:top w:val="single" w:sz="4" w:space="0" w:color="auto"/>
              <w:left w:val="nil"/>
              <w:bottom w:val="single" w:sz="4" w:space="0" w:color="auto"/>
              <w:right w:val="single" w:sz="4" w:space="0" w:color="auto"/>
            </w:tcBorders>
            <w:vAlign w:val="bottom"/>
          </w:tcPr>
          <w:p w:rsidR="00114DE3" w:rsidRDefault="00963A3B">
            <w:pPr>
              <w:widowControl/>
              <w:spacing w:line="400" w:lineRule="exact"/>
              <w:jc w:val="center"/>
              <w:rPr>
                <w:rFonts w:ascii="仿宋_GB2312" w:eastAsia="仿宋_GB2312" w:hAnsi="宋体" w:cs="Times New Roman"/>
                <w:kern w:val="0"/>
              </w:rPr>
            </w:pPr>
            <w:r>
              <w:rPr>
                <w:rFonts w:ascii="仿宋_GB2312" w:eastAsia="仿宋_GB2312" w:hAnsi="宋体" w:cs="仿宋_GB2312" w:hint="eastAsia"/>
                <w:kern w:val="0"/>
              </w:rPr>
              <w:t>二氧化硒</w:t>
            </w:r>
          </w:p>
        </w:tc>
        <w:tc>
          <w:tcPr>
            <w:tcW w:w="1383" w:type="dxa"/>
            <w:gridSpan w:val="2"/>
            <w:tcBorders>
              <w:top w:val="single" w:sz="4" w:space="0" w:color="auto"/>
              <w:left w:val="nil"/>
              <w:bottom w:val="single" w:sz="4" w:space="0" w:color="auto"/>
              <w:right w:val="single" w:sz="4" w:space="0" w:color="auto"/>
            </w:tcBorders>
            <w:vAlign w:val="bottom"/>
          </w:tcPr>
          <w:p w:rsidR="00114DE3" w:rsidRDefault="00963A3B">
            <w:pPr>
              <w:widowControl/>
              <w:spacing w:line="400" w:lineRule="exact"/>
              <w:jc w:val="center"/>
              <w:rPr>
                <w:rFonts w:ascii="仿宋_GB2312" w:eastAsia="仿宋_GB2312" w:hAnsi="宋体" w:cs="Times New Roman"/>
                <w:kern w:val="0"/>
              </w:rPr>
            </w:pPr>
            <w:r>
              <w:rPr>
                <w:rFonts w:ascii="仿宋_GB2312" w:eastAsia="仿宋_GB2312" w:hAnsi="宋体" w:cs="仿宋_GB2312" w:hint="eastAsia"/>
                <w:kern w:val="0"/>
              </w:rPr>
              <w:t>精铟</w:t>
            </w:r>
          </w:p>
        </w:tc>
        <w:tc>
          <w:tcPr>
            <w:tcW w:w="1685" w:type="dxa"/>
            <w:gridSpan w:val="2"/>
            <w:tcBorders>
              <w:top w:val="single" w:sz="4" w:space="0" w:color="auto"/>
              <w:left w:val="nil"/>
              <w:bottom w:val="single" w:sz="4" w:space="0" w:color="auto"/>
              <w:right w:val="single" w:sz="4" w:space="0" w:color="auto"/>
            </w:tcBorders>
            <w:vAlign w:val="bottom"/>
          </w:tcPr>
          <w:p w:rsidR="00114DE3" w:rsidRDefault="00963A3B">
            <w:pPr>
              <w:widowControl/>
              <w:spacing w:line="400" w:lineRule="exact"/>
              <w:jc w:val="center"/>
              <w:rPr>
                <w:rFonts w:ascii="仿宋_GB2312" w:eastAsia="仿宋_GB2312" w:hAnsi="宋体" w:cs="Times New Roman"/>
                <w:kern w:val="0"/>
              </w:rPr>
            </w:pPr>
            <w:r>
              <w:rPr>
                <w:rFonts w:ascii="仿宋_GB2312" w:eastAsia="仿宋_GB2312" w:hAnsi="宋体" w:cs="仿宋_GB2312" w:hint="eastAsia"/>
                <w:kern w:val="0"/>
              </w:rPr>
              <w:t>粗铟</w:t>
            </w:r>
          </w:p>
        </w:tc>
        <w:tc>
          <w:tcPr>
            <w:tcW w:w="1684" w:type="dxa"/>
            <w:gridSpan w:val="2"/>
            <w:tcBorders>
              <w:top w:val="single" w:sz="4" w:space="0" w:color="auto"/>
              <w:left w:val="nil"/>
              <w:bottom w:val="single" w:sz="4" w:space="0" w:color="auto"/>
              <w:right w:val="single" w:sz="4" w:space="0" w:color="auto"/>
            </w:tcBorders>
            <w:vAlign w:val="bottom"/>
          </w:tcPr>
          <w:p w:rsidR="00114DE3" w:rsidRDefault="00963A3B">
            <w:pPr>
              <w:widowControl/>
              <w:spacing w:line="400" w:lineRule="exact"/>
              <w:jc w:val="center"/>
              <w:rPr>
                <w:rFonts w:ascii="仿宋_GB2312" w:eastAsia="仿宋_GB2312" w:hAnsi="宋体" w:cs="Times New Roman"/>
                <w:kern w:val="0"/>
              </w:rPr>
            </w:pPr>
            <w:r>
              <w:rPr>
                <w:rFonts w:ascii="仿宋_GB2312" w:eastAsia="仿宋_GB2312" w:hAnsi="宋体" w:cs="仿宋_GB2312" w:hint="eastAsia"/>
                <w:kern w:val="0"/>
              </w:rPr>
              <w:t>锗锭</w:t>
            </w:r>
          </w:p>
        </w:tc>
      </w:tr>
      <w:tr w:rsidR="00114DE3">
        <w:trPr>
          <w:trHeight w:val="387"/>
          <w:jc w:val="center"/>
        </w:trPr>
        <w:tc>
          <w:tcPr>
            <w:tcW w:w="1258" w:type="dxa"/>
            <w:tcBorders>
              <w:top w:val="nil"/>
              <w:left w:val="single" w:sz="4" w:space="0" w:color="auto"/>
              <w:bottom w:val="single" w:sz="4" w:space="0" w:color="auto"/>
              <w:right w:val="single" w:sz="4" w:space="0" w:color="auto"/>
            </w:tcBorders>
            <w:vAlign w:val="center"/>
          </w:tcPr>
          <w:p w:rsidR="00114DE3" w:rsidRDefault="00963A3B">
            <w:pPr>
              <w:spacing w:line="400" w:lineRule="exact"/>
              <w:jc w:val="center"/>
              <w:rPr>
                <w:rFonts w:ascii="仿宋_GB2312" w:eastAsia="仿宋_GB2312" w:cs="仿宋_GB2312"/>
              </w:rPr>
            </w:pPr>
            <w:r>
              <w:rPr>
                <w:rFonts w:ascii="仿宋_GB2312" w:eastAsia="仿宋_GB2312" w:cs="仿宋_GB2312" w:hint="eastAsia"/>
              </w:rPr>
              <w:t>6月</w:t>
            </w:r>
            <w:r w:rsidR="006C6864">
              <w:rPr>
                <w:rFonts w:ascii="仿宋_GB2312" w:eastAsia="仿宋_GB2312" w:cs="仿宋_GB2312" w:hint="eastAsia"/>
              </w:rPr>
              <w:t>30</w:t>
            </w:r>
            <w:r>
              <w:rPr>
                <w:rFonts w:ascii="仿宋_GB2312" w:eastAsia="仿宋_GB2312" w:cs="仿宋_GB2312" w:hint="eastAsia"/>
              </w:rPr>
              <w:t>日</w:t>
            </w:r>
          </w:p>
        </w:tc>
        <w:tc>
          <w:tcPr>
            <w:tcW w:w="721" w:type="dxa"/>
            <w:tcBorders>
              <w:top w:val="nil"/>
              <w:left w:val="nil"/>
              <w:bottom w:val="single" w:sz="4" w:space="0" w:color="auto"/>
              <w:right w:val="single" w:sz="4" w:space="0" w:color="auto"/>
            </w:tcBorders>
            <w:noWrap/>
            <w:vAlign w:val="center"/>
          </w:tcPr>
          <w:p w:rsidR="00114DE3" w:rsidRDefault="00963A3B">
            <w:pPr>
              <w:jc w:val="center"/>
              <w:rPr>
                <w:rFonts w:ascii="仿宋_GB2312" w:eastAsia="仿宋_GB2312" w:cs="仿宋_GB2312"/>
              </w:rPr>
            </w:pPr>
            <w:r>
              <w:rPr>
                <w:rFonts w:ascii="仿宋_GB2312" w:eastAsia="仿宋_GB2312" w:cs="仿宋_GB2312" w:hint="eastAsia"/>
              </w:rPr>
              <w:t>165</w:t>
            </w:r>
          </w:p>
        </w:tc>
        <w:tc>
          <w:tcPr>
            <w:tcW w:w="722" w:type="dxa"/>
            <w:tcBorders>
              <w:top w:val="nil"/>
              <w:left w:val="nil"/>
              <w:bottom w:val="single" w:sz="4" w:space="0" w:color="auto"/>
              <w:right w:val="single" w:sz="4" w:space="0" w:color="auto"/>
            </w:tcBorders>
            <w:noWrap/>
            <w:vAlign w:val="center"/>
          </w:tcPr>
          <w:p w:rsidR="00114DE3" w:rsidRDefault="00963A3B">
            <w:pPr>
              <w:jc w:val="center"/>
              <w:rPr>
                <w:rFonts w:ascii="仿宋_GB2312" w:eastAsia="仿宋_GB2312" w:cs="仿宋_GB2312"/>
              </w:rPr>
            </w:pPr>
            <w:r>
              <w:rPr>
                <w:rFonts w:ascii="仿宋_GB2312" w:eastAsia="仿宋_GB2312" w:cs="仿宋_GB2312" w:hint="eastAsia"/>
              </w:rPr>
              <w:t>180</w:t>
            </w:r>
          </w:p>
        </w:tc>
        <w:tc>
          <w:tcPr>
            <w:tcW w:w="722" w:type="dxa"/>
            <w:tcBorders>
              <w:top w:val="nil"/>
              <w:left w:val="nil"/>
              <w:bottom w:val="single" w:sz="4" w:space="0" w:color="auto"/>
              <w:right w:val="single" w:sz="4" w:space="0" w:color="auto"/>
            </w:tcBorders>
            <w:vAlign w:val="center"/>
          </w:tcPr>
          <w:p w:rsidR="00114DE3" w:rsidRDefault="00F33DD9">
            <w:pPr>
              <w:jc w:val="center"/>
              <w:rPr>
                <w:rFonts w:ascii="仿宋_GB2312" w:eastAsia="仿宋_GB2312" w:cs="仿宋_GB2312"/>
              </w:rPr>
            </w:pPr>
            <w:r>
              <w:rPr>
                <w:rFonts w:ascii="仿宋_GB2312" w:eastAsia="仿宋_GB2312" w:cs="仿宋_GB2312" w:hint="eastAsia"/>
              </w:rPr>
              <w:t>105</w:t>
            </w:r>
          </w:p>
        </w:tc>
        <w:tc>
          <w:tcPr>
            <w:tcW w:w="785" w:type="dxa"/>
            <w:tcBorders>
              <w:top w:val="nil"/>
              <w:left w:val="nil"/>
              <w:bottom w:val="single" w:sz="4" w:space="0" w:color="auto"/>
              <w:right w:val="single" w:sz="4" w:space="0" w:color="auto"/>
            </w:tcBorders>
            <w:vAlign w:val="center"/>
          </w:tcPr>
          <w:p w:rsidR="00114DE3" w:rsidRDefault="00963A3B">
            <w:pPr>
              <w:jc w:val="center"/>
              <w:rPr>
                <w:rFonts w:ascii="仿宋_GB2312" w:eastAsia="仿宋_GB2312" w:cs="仿宋_GB2312"/>
              </w:rPr>
            </w:pPr>
            <w:r>
              <w:rPr>
                <w:rFonts w:ascii="仿宋_GB2312" w:eastAsia="仿宋_GB2312" w:cs="仿宋_GB2312" w:hint="eastAsia"/>
              </w:rPr>
              <w:t>11</w:t>
            </w:r>
            <w:r w:rsidR="00F33DD9">
              <w:rPr>
                <w:rFonts w:ascii="仿宋_GB2312" w:eastAsia="仿宋_GB2312" w:cs="仿宋_GB2312" w:hint="eastAsia"/>
              </w:rPr>
              <w:t>0</w:t>
            </w:r>
          </w:p>
        </w:tc>
        <w:tc>
          <w:tcPr>
            <w:tcW w:w="659" w:type="dxa"/>
            <w:tcBorders>
              <w:top w:val="nil"/>
              <w:left w:val="nil"/>
              <w:bottom w:val="single" w:sz="4" w:space="0" w:color="auto"/>
              <w:right w:val="single" w:sz="4" w:space="0" w:color="auto"/>
            </w:tcBorders>
            <w:vAlign w:val="center"/>
          </w:tcPr>
          <w:p w:rsidR="00114DE3" w:rsidRDefault="006C6864">
            <w:pPr>
              <w:jc w:val="center"/>
              <w:rPr>
                <w:rFonts w:ascii="仿宋_GB2312" w:eastAsia="仿宋_GB2312" w:cs="仿宋_GB2312"/>
              </w:rPr>
            </w:pPr>
            <w:r w:rsidRPr="006C6864">
              <w:rPr>
                <w:rFonts w:ascii="仿宋_GB2312" w:eastAsia="仿宋_GB2312" w:cs="仿宋_GB2312" w:hint="eastAsia"/>
              </w:rPr>
              <w:t>1120</w:t>
            </w:r>
          </w:p>
        </w:tc>
        <w:tc>
          <w:tcPr>
            <w:tcW w:w="724" w:type="dxa"/>
            <w:tcBorders>
              <w:top w:val="nil"/>
              <w:left w:val="nil"/>
              <w:bottom w:val="single" w:sz="4" w:space="0" w:color="auto"/>
              <w:right w:val="single" w:sz="4" w:space="0" w:color="auto"/>
            </w:tcBorders>
            <w:vAlign w:val="center"/>
          </w:tcPr>
          <w:p w:rsidR="00114DE3" w:rsidRDefault="006C6864">
            <w:pPr>
              <w:jc w:val="center"/>
              <w:rPr>
                <w:rFonts w:ascii="仿宋_GB2312" w:eastAsia="仿宋_GB2312" w:cs="仿宋_GB2312"/>
              </w:rPr>
            </w:pPr>
            <w:r w:rsidRPr="006C6864">
              <w:rPr>
                <w:rFonts w:ascii="仿宋_GB2312" w:eastAsia="仿宋_GB2312" w:cs="仿宋_GB2312" w:hint="eastAsia"/>
              </w:rPr>
              <w:t>1150</w:t>
            </w:r>
          </w:p>
        </w:tc>
        <w:tc>
          <w:tcPr>
            <w:tcW w:w="842" w:type="dxa"/>
            <w:tcBorders>
              <w:top w:val="nil"/>
              <w:left w:val="nil"/>
              <w:bottom w:val="single" w:sz="4" w:space="0" w:color="auto"/>
              <w:right w:val="single" w:sz="4" w:space="0" w:color="auto"/>
            </w:tcBorders>
            <w:vAlign w:val="center"/>
          </w:tcPr>
          <w:p w:rsidR="00114DE3" w:rsidRDefault="006C6864">
            <w:pPr>
              <w:jc w:val="center"/>
              <w:rPr>
                <w:rFonts w:ascii="仿宋_GB2312" w:eastAsia="仿宋_GB2312" w:cs="仿宋_GB2312"/>
              </w:rPr>
            </w:pPr>
            <w:r w:rsidRPr="006C6864">
              <w:rPr>
                <w:rFonts w:ascii="仿宋_GB2312" w:eastAsia="仿宋_GB2312" w:cs="仿宋_GB2312" w:hint="eastAsia"/>
              </w:rPr>
              <w:t>1050</w:t>
            </w:r>
          </w:p>
        </w:tc>
        <w:tc>
          <w:tcPr>
            <w:tcW w:w="843" w:type="dxa"/>
            <w:tcBorders>
              <w:top w:val="nil"/>
              <w:left w:val="nil"/>
              <w:bottom w:val="single" w:sz="4" w:space="0" w:color="auto"/>
              <w:right w:val="single" w:sz="4" w:space="0" w:color="auto"/>
            </w:tcBorders>
            <w:vAlign w:val="center"/>
          </w:tcPr>
          <w:p w:rsidR="00114DE3" w:rsidRDefault="006C6864">
            <w:pPr>
              <w:jc w:val="center"/>
              <w:rPr>
                <w:rFonts w:ascii="仿宋_GB2312" w:eastAsia="仿宋_GB2312" w:cs="仿宋_GB2312"/>
              </w:rPr>
            </w:pPr>
            <w:r w:rsidRPr="006C6864">
              <w:rPr>
                <w:rFonts w:ascii="仿宋_GB2312" w:eastAsia="仿宋_GB2312" w:cs="仿宋_GB2312" w:hint="eastAsia"/>
              </w:rPr>
              <w:t>1080</w:t>
            </w:r>
          </w:p>
        </w:tc>
        <w:tc>
          <w:tcPr>
            <w:tcW w:w="842" w:type="dxa"/>
            <w:tcBorders>
              <w:top w:val="nil"/>
              <w:left w:val="nil"/>
              <w:bottom w:val="single" w:sz="4" w:space="0" w:color="auto"/>
              <w:right w:val="single" w:sz="4" w:space="0" w:color="auto"/>
            </w:tcBorders>
            <w:vAlign w:val="center"/>
          </w:tcPr>
          <w:p w:rsidR="00114DE3" w:rsidRDefault="006C6864">
            <w:pPr>
              <w:jc w:val="center"/>
              <w:rPr>
                <w:rFonts w:ascii="仿宋_GB2312" w:eastAsia="仿宋_GB2312" w:cs="仿宋_GB2312"/>
              </w:rPr>
            </w:pPr>
            <w:r w:rsidRPr="006C6864">
              <w:rPr>
                <w:rFonts w:ascii="仿宋_GB2312" w:eastAsia="仿宋_GB2312" w:cs="仿宋_GB2312" w:hint="eastAsia"/>
              </w:rPr>
              <w:t>7450</w:t>
            </w:r>
          </w:p>
        </w:tc>
        <w:tc>
          <w:tcPr>
            <w:tcW w:w="842" w:type="dxa"/>
            <w:tcBorders>
              <w:top w:val="nil"/>
              <w:left w:val="nil"/>
              <w:bottom w:val="single" w:sz="4" w:space="0" w:color="auto"/>
              <w:right w:val="single" w:sz="4" w:space="0" w:color="auto"/>
            </w:tcBorders>
            <w:vAlign w:val="center"/>
          </w:tcPr>
          <w:p w:rsidR="00114DE3" w:rsidRDefault="006C6864">
            <w:pPr>
              <w:jc w:val="center"/>
              <w:rPr>
                <w:rFonts w:ascii="仿宋_GB2312" w:eastAsia="仿宋_GB2312" w:cs="仿宋_GB2312"/>
              </w:rPr>
            </w:pPr>
            <w:r w:rsidRPr="006C6864">
              <w:rPr>
                <w:rFonts w:ascii="仿宋_GB2312" w:eastAsia="仿宋_GB2312" w:cs="仿宋_GB2312" w:hint="eastAsia"/>
              </w:rPr>
              <w:t>7850</w:t>
            </w:r>
          </w:p>
        </w:tc>
      </w:tr>
      <w:tr w:rsidR="006C6864" w:rsidTr="002C2582">
        <w:trPr>
          <w:trHeight w:val="415"/>
          <w:jc w:val="center"/>
        </w:trPr>
        <w:tc>
          <w:tcPr>
            <w:tcW w:w="1258" w:type="dxa"/>
            <w:tcBorders>
              <w:top w:val="nil"/>
              <w:left w:val="single" w:sz="4" w:space="0" w:color="auto"/>
              <w:bottom w:val="single" w:sz="4" w:space="0" w:color="auto"/>
              <w:right w:val="single" w:sz="4" w:space="0" w:color="auto"/>
            </w:tcBorders>
            <w:vAlign w:val="center"/>
          </w:tcPr>
          <w:p w:rsidR="006C6864" w:rsidRDefault="006C6864">
            <w:pPr>
              <w:widowControl/>
              <w:jc w:val="center"/>
              <w:textAlignment w:val="center"/>
              <w:rPr>
                <w:rFonts w:ascii="仿宋_GB2312" w:eastAsia="仿宋_GB2312" w:cs="仿宋_GB2312"/>
              </w:rPr>
            </w:pPr>
            <w:r>
              <w:rPr>
                <w:rFonts w:ascii="仿宋_GB2312" w:eastAsia="仿宋_GB2312" w:hAnsi="宋体" w:cs="仿宋_GB2312" w:hint="eastAsia"/>
                <w:color w:val="000000"/>
                <w:kern w:val="0"/>
              </w:rPr>
              <w:t>7</w:t>
            </w:r>
            <w:r>
              <w:rPr>
                <w:rFonts w:ascii="仿宋_GB2312" w:eastAsia="仿宋_GB2312" w:hAnsi="宋体" w:cs="仿宋_GB2312"/>
                <w:color w:val="000000"/>
                <w:kern w:val="0"/>
              </w:rPr>
              <w:t>月</w:t>
            </w:r>
            <w:r>
              <w:rPr>
                <w:rFonts w:ascii="仿宋_GB2312" w:eastAsia="仿宋_GB2312" w:hAnsi="宋体" w:cs="仿宋_GB2312" w:hint="eastAsia"/>
                <w:color w:val="000000"/>
                <w:kern w:val="0"/>
              </w:rPr>
              <w:t>1</w:t>
            </w:r>
            <w:r>
              <w:rPr>
                <w:rFonts w:ascii="仿宋_GB2312" w:eastAsia="仿宋_GB2312" w:hAnsi="宋体" w:cs="仿宋_GB2312"/>
                <w:color w:val="000000"/>
                <w:kern w:val="0"/>
              </w:rPr>
              <w:t>日</w:t>
            </w:r>
          </w:p>
        </w:tc>
        <w:tc>
          <w:tcPr>
            <w:tcW w:w="721" w:type="dxa"/>
            <w:tcBorders>
              <w:top w:val="nil"/>
              <w:left w:val="nil"/>
              <w:bottom w:val="single" w:sz="4" w:space="0" w:color="auto"/>
              <w:right w:val="single" w:sz="4" w:space="0" w:color="auto"/>
            </w:tcBorders>
            <w:noWrap/>
            <w:vAlign w:val="center"/>
          </w:tcPr>
          <w:p w:rsidR="006C6864" w:rsidRDefault="006C6864">
            <w:pPr>
              <w:jc w:val="center"/>
              <w:rPr>
                <w:rFonts w:ascii="仿宋_GB2312" w:eastAsia="仿宋_GB2312" w:cs="仿宋_GB2312"/>
              </w:rPr>
            </w:pPr>
            <w:r>
              <w:rPr>
                <w:rFonts w:ascii="仿宋_GB2312" w:eastAsia="仿宋_GB2312" w:cs="仿宋_GB2312" w:hint="eastAsia"/>
              </w:rPr>
              <w:t>165</w:t>
            </w:r>
          </w:p>
        </w:tc>
        <w:tc>
          <w:tcPr>
            <w:tcW w:w="722" w:type="dxa"/>
            <w:tcBorders>
              <w:top w:val="nil"/>
              <w:left w:val="nil"/>
              <w:bottom w:val="single" w:sz="4" w:space="0" w:color="auto"/>
              <w:right w:val="single" w:sz="4" w:space="0" w:color="auto"/>
            </w:tcBorders>
            <w:noWrap/>
            <w:vAlign w:val="center"/>
          </w:tcPr>
          <w:p w:rsidR="006C6864" w:rsidRDefault="006C6864">
            <w:pPr>
              <w:jc w:val="center"/>
              <w:rPr>
                <w:rFonts w:ascii="仿宋_GB2312" w:eastAsia="仿宋_GB2312" w:cs="仿宋_GB2312"/>
              </w:rPr>
            </w:pPr>
            <w:r>
              <w:rPr>
                <w:rFonts w:ascii="仿宋_GB2312" w:eastAsia="仿宋_GB2312" w:cs="仿宋_GB2312" w:hint="eastAsia"/>
              </w:rPr>
              <w:t>180</w:t>
            </w:r>
          </w:p>
        </w:tc>
        <w:tc>
          <w:tcPr>
            <w:tcW w:w="722" w:type="dxa"/>
            <w:tcBorders>
              <w:top w:val="nil"/>
              <w:left w:val="nil"/>
              <w:bottom w:val="single" w:sz="4" w:space="0" w:color="auto"/>
              <w:right w:val="single" w:sz="4" w:space="0" w:color="auto"/>
            </w:tcBorders>
            <w:vAlign w:val="center"/>
          </w:tcPr>
          <w:p w:rsidR="006C6864" w:rsidRDefault="006C6864">
            <w:pPr>
              <w:jc w:val="center"/>
              <w:rPr>
                <w:rFonts w:ascii="仿宋_GB2312" w:eastAsia="仿宋_GB2312" w:cs="仿宋_GB2312"/>
              </w:rPr>
            </w:pPr>
            <w:r w:rsidRPr="006C6864">
              <w:rPr>
                <w:rFonts w:ascii="仿宋_GB2312" w:eastAsia="仿宋_GB2312" w:cs="仿宋_GB2312" w:hint="eastAsia"/>
              </w:rPr>
              <w:t>100</w:t>
            </w:r>
          </w:p>
        </w:tc>
        <w:tc>
          <w:tcPr>
            <w:tcW w:w="785" w:type="dxa"/>
            <w:tcBorders>
              <w:top w:val="nil"/>
              <w:left w:val="nil"/>
              <w:bottom w:val="single" w:sz="4" w:space="0" w:color="auto"/>
              <w:right w:val="single" w:sz="4" w:space="0" w:color="auto"/>
            </w:tcBorders>
            <w:vAlign w:val="center"/>
          </w:tcPr>
          <w:p w:rsidR="006C6864" w:rsidRDefault="006C6864">
            <w:pPr>
              <w:jc w:val="center"/>
              <w:rPr>
                <w:rFonts w:ascii="仿宋_GB2312" w:eastAsia="仿宋_GB2312" w:cs="仿宋_GB2312"/>
              </w:rPr>
            </w:pPr>
            <w:r w:rsidRPr="006C6864">
              <w:rPr>
                <w:rFonts w:ascii="仿宋_GB2312" w:eastAsia="仿宋_GB2312" w:cs="仿宋_GB2312" w:hint="eastAsia"/>
              </w:rPr>
              <w:t>110</w:t>
            </w:r>
          </w:p>
        </w:tc>
        <w:tc>
          <w:tcPr>
            <w:tcW w:w="659" w:type="dxa"/>
            <w:tcBorders>
              <w:top w:val="nil"/>
              <w:left w:val="nil"/>
              <w:bottom w:val="single" w:sz="4" w:space="0" w:color="auto"/>
              <w:right w:val="single" w:sz="4" w:space="0" w:color="auto"/>
            </w:tcBorders>
            <w:vAlign w:val="center"/>
          </w:tcPr>
          <w:p w:rsidR="006C6864" w:rsidRDefault="006C6864">
            <w:pPr>
              <w:jc w:val="center"/>
              <w:rPr>
                <w:rFonts w:ascii="仿宋_GB2312" w:eastAsia="仿宋_GB2312" w:cs="仿宋_GB2312"/>
              </w:rPr>
            </w:pPr>
            <w:r w:rsidRPr="006C6864">
              <w:rPr>
                <w:rFonts w:ascii="仿宋_GB2312" w:eastAsia="仿宋_GB2312" w:cs="仿宋_GB2312" w:hint="eastAsia"/>
              </w:rPr>
              <w:t>1120</w:t>
            </w:r>
          </w:p>
        </w:tc>
        <w:tc>
          <w:tcPr>
            <w:tcW w:w="724" w:type="dxa"/>
            <w:tcBorders>
              <w:top w:val="nil"/>
              <w:left w:val="nil"/>
              <w:bottom w:val="single" w:sz="4" w:space="0" w:color="auto"/>
              <w:right w:val="single" w:sz="4" w:space="0" w:color="auto"/>
            </w:tcBorders>
            <w:vAlign w:val="center"/>
          </w:tcPr>
          <w:p w:rsidR="006C6864" w:rsidRDefault="006C6864">
            <w:pPr>
              <w:jc w:val="center"/>
              <w:rPr>
                <w:rFonts w:ascii="仿宋_GB2312" w:eastAsia="仿宋_GB2312" w:cs="仿宋_GB2312"/>
              </w:rPr>
            </w:pPr>
            <w:r w:rsidRPr="006C6864">
              <w:rPr>
                <w:rFonts w:ascii="仿宋_GB2312" w:eastAsia="仿宋_GB2312" w:cs="仿宋_GB2312" w:hint="eastAsia"/>
              </w:rPr>
              <w:t>1150</w:t>
            </w:r>
          </w:p>
        </w:tc>
        <w:tc>
          <w:tcPr>
            <w:tcW w:w="842" w:type="dxa"/>
            <w:tcBorders>
              <w:top w:val="nil"/>
              <w:left w:val="nil"/>
              <w:bottom w:val="single" w:sz="4" w:space="0" w:color="auto"/>
              <w:right w:val="single" w:sz="4" w:space="0" w:color="auto"/>
            </w:tcBorders>
          </w:tcPr>
          <w:p w:rsidR="006C6864" w:rsidRPr="006C6864" w:rsidRDefault="006C6864" w:rsidP="006C6864">
            <w:pPr>
              <w:jc w:val="center"/>
              <w:rPr>
                <w:rFonts w:ascii="仿宋_GB2312" w:eastAsia="仿宋_GB2312" w:cs="仿宋_GB2312"/>
              </w:rPr>
            </w:pPr>
            <w:r w:rsidRPr="006C6864">
              <w:rPr>
                <w:rFonts w:ascii="仿宋_GB2312" w:eastAsia="仿宋_GB2312" w:cs="仿宋_GB2312" w:hint="eastAsia"/>
              </w:rPr>
              <w:t>1050</w:t>
            </w:r>
          </w:p>
        </w:tc>
        <w:tc>
          <w:tcPr>
            <w:tcW w:w="843" w:type="dxa"/>
            <w:tcBorders>
              <w:top w:val="nil"/>
              <w:left w:val="nil"/>
              <w:bottom w:val="single" w:sz="4" w:space="0" w:color="auto"/>
              <w:right w:val="single" w:sz="4" w:space="0" w:color="auto"/>
            </w:tcBorders>
          </w:tcPr>
          <w:p w:rsidR="006C6864" w:rsidRPr="006C6864" w:rsidRDefault="006C6864" w:rsidP="006C6864">
            <w:pPr>
              <w:jc w:val="center"/>
              <w:rPr>
                <w:rFonts w:ascii="仿宋_GB2312" w:eastAsia="仿宋_GB2312" w:cs="仿宋_GB2312"/>
              </w:rPr>
            </w:pPr>
            <w:r w:rsidRPr="006C6864">
              <w:rPr>
                <w:rFonts w:ascii="仿宋_GB2312" w:eastAsia="仿宋_GB2312" w:cs="仿宋_GB2312" w:hint="eastAsia"/>
              </w:rPr>
              <w:t>1080</w:t>
            </w:r>
          </w:p>
        </w:tc>
        <w:tc>
          <w:tcPr>
            <w:tcW w:w="842" w:type="dxa"/>
            <w:tcBorders>
              <w:top w:val="nil"/>
              <w:left w:val="nil"/>
              <w:bottom w:val="single" w:sz="4" w:space="0" w:color="auto"/>
              <w:right w:val="single" w:sz="4" w:space="0" w:color="auto"/>
            </w:tcBorders>
            <w:vAlign w:val="center"/>
          </w:tcPr>
          <w:p w:rsidR="006C6864" w:rsidRDefault="006C6864" w:rsidP="00936B83">
            <w:pPr>
              <w:jc w:val="center"/>
              <w:rPr>
                <w:rFonts w:ascii="仿宋_GB2312" w:eastAsia="仿宋_GB2312" w:cs="仿宋_GB2312"/>
              </w:rPr>
            </w:pPr>
            <w:r w:rsidRPr="006C6864">
              <w:rPr>
                <w:rFonts w:ascii="仿宋_GB2312" w:eastAsia="仿宋_GB2312" w:cs="仿宋_GB2312" w:hint="eastAsia"/>
              </w:rPr>
              <w:t>7450</w:t>
            </w:r>
          </w:p>
        </w:tc>
        <w:tc>
          <w:tcPr>
            <w:tcW w:w="842" w:type="dxa"/>
            <w:tcBorders>
              <w:top w:val="nil"/>
              <w:left w:val="nil"/>
              <w:bottom w:val="single" w:sz="4" w:space="0" w:color="auto"/>
              <w:right w:val="single" w:sz="4" w:space="0" w:color="auto"/>
            </w:tcBorders>
            <w:vAlign w:val="center"/>
          </w:tcPr>
          <w:p w:rsidR="006C6864" w:rsidRDefault="006C6864" w:rsidP="00936B83">
            <w:pPr>
              <w:jc w:val="center"/>
              <w:rPr>
                <w:rFonts w:ascii="仿宋_GB2312" w:eastAsia="仿宋_GB2312" w:cs="仿宋_GB2312"/>
              </w:rPr>
            </w:pPr>
            <w:r w:rsidRPr="006C6864">
              <w:rPr>
                <w:rFonts w:ascii="仿宋_GB2312" w:eastAsia="仿宋_GB2312" w:cs="仿宋_GB2312" w:hint="eastAsia"/>
              </w:rPr>
              <w:t>7850</w:t>
            </w:r>
          </w:p>
        </w:tc>
      </w:tr>
      <w:tr w:rsidR="006C6864" w:rsidTr="002C2582">
        <w:trPr>
          <w:trHeight w:val="415"/>
          <w:jc w:val="center"/>
        </w:trPr>
        <w:tc>
          <w:tcPr>
            <w:tcW w:w="1258" w:type="dxa"/>
            <w:tcBorders>
              <w:top w:val="nil"/>
              <w:left w:val="single" w:sz="4" w:space="0" w:color="auto"/>
              <w:bottom w:val="single" w:sz="4" w:space="0" w:color="auto"/>
              <w:right w:val="single" w:sz="4" w:space="0" w:color="auto"/>
            </w:tcBorders>
            <w:vAlign w:val="center"/>
          </w:tcPr>
          <w:p w:rsidR="006C6864" w:rsidRDefault="006C6864">
            <w:pPr>
              <w:spacing w:line="400" w:lineRule="exact"/>
              <w:jc w:val="center"/>
              <w:rPr>
                <w:rFonts w:ascii="仿宋_GB2312" w:eastAsia="仿宋_GB2312" w:cs="仿宋_GB2312"/>
              </w:rPr>
            </w:pPr>
            <w:r>
              <w:rPr>
                <w:rFonts w:ascii="仿宋_GB2312" w:eastAsia="仿宋_GB2312" w:cs="仿宋_GB2312" w:hint="eastAsia"/>
              </w:rPr>
              <w:t>7月2日</w:t>
            </w:r>
          </w:p>
        </w:tc>
        <w:tc>
          <w:tcPr>
            <w:tcW w:w="721" w:type="dxa"/>
            <w:tcBorders>
              <w:top w:val="nil"/>
              <w:left w:val="nil"/>
              <w:bottom w:val="single" w:sz="4" w:space="0" w:color="auto"/>
              <w:right w:val="single" w:sz="4" w:space="0" w:color="auto"/>
            </w:tcBorders>
            <w:noWrap/>
            <w:vAlign w:val="center"/>
          </w:tcPr>
          <w:p w:rsidR="006C6864" w:rsidRDefault="006C6864">
            <w:pPr>
              <w:jc w:val="center"/>
              <w:rPr>
                <w:rFonts w:ascii="仿宋_GB2312" w:eastAsia="仿宋_GB2312" w:cs="仿宋_GB2312"/>
              </w:rPr>
            </w:pPr>
            <w:r>
              <w:rPr>
                <w:rFonts w:ascii="仿宋_GB2312" w:eastAsia="仿宋_GB2312" w:cs="仿宋_GB2312" w:hint="eastAsia"/>
              </w:rPr>
              <w:t>165</w:t>
            </w:r>
          </w:p>
        </w:tc>
        <w:tc>
          <w:tcPr>
            <w:tcW w:w="722" w:type="dxa"/>
            <w:tcBorders>
              <w:top w:val="nil"/>
              <w:left w:val="nil"/>
              <w:bottom w:val="single" w:sz="4" w:space="0" w:color="auto"/>
              <w:right w:val="single" w:sz="4" w:space="0" w:color="auto"/>
            </w:tcBorders>
            <w:noWrap/>
            <w:vAlign w:val="center"/>
          </w:tcPr>
          <w:p w:rsidR="006C6864" w:rsidRDefault="006C6864">
            <w:pPr>
              <w:jc w:val="center"/>
              <w:rPr>
                <w:rFonts w:ascii="仿宋_GB2312" w:eastAsia="仿宋_GB2312" w:cs="仿宋_GB2312"/>
              </w:rPr>
            </w:pPr>
            <w:r>
              <w:rPr>
                <w:rFonts w:ascii="仿宋_GB2312" w:eastAsia="仿宋_GB2312" w:cs="仿宋_GB2312" w:hint="eastAsia"/>
              </w:rPr>
              <w:t>180</w:t>
            </w:r>
          </w:p>
        </w:tc>
        <w:tc>
          <w:tcPr>
            <w:tcW w:w="722" w:type="dxa"/>
            <w:tcBorders>
              <w:top w:val="nil"/>
              <w:left w:val="nil"/>
              <w:bottom w:val="single" w:sz="4" w:space="0" w:color="auto"/>
              <w:right w:val="single" w:sz="4" w:space="0" w:color="auto"/>
            </w:tcBorders>
            <w:vAlign w:val="center"/>
          </w:tcPr>
          <w:p w:rsidR="006C6864" w:rsidRDefault="006C6864">
            <w:pPr>
              <w:jc w:val="center"/>
              <w:rPr>
                <w:rFonts w:ascii="仿宋_GB2312" w:eastAsia="仿宋_GB2312" w:cs="仿宋_GB2312"/>
              </w:rPr>
            </w:pPr>
            <w:r w:rsidRPr="006C6864">
              <w:rPr>
                <w:rFonts w:ascii="仿宋_GB2312" w:eastAsia="仿宋_GB2312" w:cs="仿宋_GB2312" w:hint="eastAsia"/>
              </w:rPr>
              <w:t>100</w:t>
            </w:r>
          </w:p>
        </w:tc>
        <w:tc>
          <w:tcPr>
            <w:tcW w:w="785" w:type="dxa"/>
            <w:tcBorders>
              <w:top w:val="nil"/>
              <w:left w:val="nil"/>
              <w:bottom w:val="single" w:sz="4" w:space="0" w:color="auto"/>
              <w:right w:val="single" w:sz="4" w:space="0" w:color="auto"/>
            </w:tcBorders>
            <w:vAlign w:val="center"/>
          </w:tcPr>
          <w:p w:rsidR="006C6864" w:rsidRDefault="006C6864">
            <w:pPr>
              <w:jc w:val="center"/>
              <w:rPr>
                <w:rFonts w:ascii="仿宋_GB2312" w:eastAsia="仿宋_GB2312" w:cs="仿宋_GB2312"/>
              </w:rPr>
            </w:pPr>
            <w:r>
              <w:rPr>
                <w:rFonts w:ascii="仿宋_GB2312" w:eastAsia="仿宋_GB2312" w:cs="仿宋_GB2312" w:hint="eastAsia"/>
              </w:rPr>
              <w:t>110</w:t>
            </w:r>
          </w:p>
        </w:tc>
        <w:tc>
          <w:tcPr>
            <w:tcW w:w="659" w:type="dxa"/>
            <w:tcBorders>
              <w:top w:val="nil"/>
              <w:left w:val="nil"/>
              <w:bottom w:val="single" w:sz="4" w:space="0" w:color="auto"/>
              <w:right w:val="single" w:sz="4" w:space="0" w:color="auto"/>
            </w:tcBorders>
            <w:vAlign w:val="center"/>
          </w:tcPr>
          <w:p w:rsidR="006C6864" w:rsidRDefault="006C6864">
            <w:pPr>
              <w:jc w:val="center"/>
              <w:rPr>
                <w:rFonts w:ascii="仿宋_GB2312" w:eastAsia="仿宋_GB2312" w:cs="仿宋_GB2312"/>
              </w:rPr>
            </w:pPr>
            <w:r w:rsidRPr="006C6864">
              <w:rPr>
                <w:rFonts w:ascii="仿宋_GB2312" w:eastAsia="仿宋_GB2312" w:cs="仿宋_GB2312" w:hint="eastAsia"/>
              </w:rPr>
              <w:t>1120</w:t>
            </w:r>
          </w:p>
        </w:tc>
        <w:tc>
          <w:tcPr>
            <w:tcW w:w="724" w:type="dxa"/>
            <w:tcBorders>
              <w:top w:val="nil"/>
              <w:left w:val="nil"/>
              <w:bottom w:val="single" w:sz="4" w:space="0" w:color="auto"/>
              <w:right w:val="single" w:sz="4" w:space="0" w:color="auto"/>
            </w:tcBorders>
            <w:vAlign w:val="center"/>
          </w:tcPr>
          <w:p w:rsidR="006C6864" w:rsidRDefault="006C6864">
            <w:pPr>
              <w:jc w:val="center"/>
              <w:rPr>
                <w:rFonts w:ascii="仿宋_GB2312" w:eastAsia="仿宋_GB2312" w:cs="仿宋_GB2312"/>
              </w:rPr>
            </w:pPr>
            <w:r w:rsidRPr="006C6864">
              <w:rPr>
                <w:rFonts w:ascii="仿宋_GB2312" w:eastAsia="仿宋_GB2312" w:cs="仿宋_GB2312" w:hint="eastAsia"/>
              </w:rPr>
              <w:t>1150</w:t>
            </w:r>
          </w:p>
        </w:tc>
        <w:tc>
          <w:tcPr>
            <w:tcW w:w="842" w:type="dxa"/>
            <w:tcBorders>
              <w:top w:val="nil"/>
              <w:left w:val="nil"/>
              <w:bottom w:val="single" w:sz="4" w:space="0" w:color="auto"/>
              <w:right w:val="single" w:sz="4" w:space="0" w:color="auto"/>
            </w:tcBorders>
          </w:tcPr>
          <w:p w:rsidR="006C6864" w:rsidRPr="006C6864" w:rsidRDefault="006C6864" w:rsidP="006C6864">
            <w:pPr>
              <w:jc w:val="center"/>
              <w:rPr>
                <w:rFonts w:ascii="仿宋_GB2312" w:eastAsia="仿宋_GB2312" w:cs="仿宋_GB2312"/>
              </w:rPr>
            </w:pPr>
            <w:r w:rsidRPr="006C6864">
              <w:rPr>
                <w:rFonts w:ascii="仿宋_GB2312" w:eastAsia="仿宋_GB2312" w:cs="仿宋_GB2312" w:hint="eastAsia"/>
              </w:rPr>
              <w:t>1050</w:t>
            </w:r>
          </w:p>
        </w:tc>
        <w:tc>
          <w:tcPr>
            <w:tcW w:w="843" w:type="dxa"/>
            <w:tcBorders>
              <w:top w:val="nil"/>
              <w:left w:val="nil"/>
              <w:bottom w:val="single" w:sz="4" w:space="0" w:color="auto"/>
              <w:right w:val="single" w:sz="4" w:space="0" w:color="auto"/>
            </w:tcBorders>
          </w:tcPr>
          <w:p w:rsidR="006C6864" w:rsidRPr="006C6864" w:rsidRDefault="006C6864" w:rsidP="006C6864">
            <w:pPr>
              <w:jc w:val="center"/>
              <w:rPr>
                <w:rFonts w:ascii="仿宋_GB2312" w:eastAsia="仿宋_GB2312" w:cs="仿宋_GB2312"/>
              </w:rPr>
            </w:pPr>
            <w:r w:rsidRPr="006C6864">
              <w:rPr>
                <w:rFonts w:ascii="仿宋_GB2312" w:eastAsia="仿宋_GB2312" w:cs="仿宋_GB2312" w:hint="eastAsia"/>
              </w:rPr>
              <w:t>1080</w:t>
            </w:r>
          </w:p>
        </w:tc>
        <w:tc>
          <w:tcPr>
            <w:tcW w:w="842" w:type="dxa"/>
            <w:tcBorders>
              <w:top w:val="nil"/>
              <w:left w:val="nil"/>
              <w:bottom w:val="single" w:sz="4" w:space="0" w:color="auto"/>
              <w:right w:val="single" w:sz="4" w:space="0" w:color="auto"/>
            </w:tcBorders>
            <w:vAlign w:val="center"/>
          </w:tcPr>
          <w:p w:rsidR="006C6864" w:rsidRDefault="006C6864" w:rsidP="00936B83">
            <w:pPr>
              <w:jc w:val="center"/>
              <w:rPr>
                <w:rFonts w:ascii="仿宋_GB2312" w:eastAsia="仿宋_GB2312" w:cs="仿宋_GB2312"/>
              </w:rPr>
            </w:pPr>
            <w:r w:rsidRPr="006C6864">
              <w:rPr>
                <w:rFonts w:ascii="仿宋_GB2312" w:eastAsia="仿宋_GB2312" w:cs="仿宋_GB2312" w:hint="eastAsia"/>
              </w:rPr>
              <w:t>7450</w:t>
            </w:r>
          </w:p>
        </w:tc>
        <w:tc>
          <w:tcPr>
            <w:tcW w:w="842" w:type="dxa"/>
            <w:tcBorders>
              <w:top w:val="nil"/>
              <w:left w:val="nil"/>
              <w:bottom w:val="single" w:sz="4" w:space="0" w:color="auto"/>
              <w:right w:val="single" w:sz="4" w:space="0" w:color="auto"/>
            </w:tcBorders>
            <w:vAlign w:val="center"/>
          </w:tcPr>
          <w:p w:rsidR="006C6864" w:rsidRDefault="006C6864" w:rsidP="00936B83">
            <w:pPr>
              <w:jc w:val="center"/>
              <w:rPr>
                <w:rFonts w:ascii="仿宋_GB2312" w:eastAsia="仿宋_GB2312" w:cs="仿宋_GB2312"/>
              </w:rPr>
            </w:pPr>
            <w:r w:rsidRPr="006C6864">
              <w:rPr>
                <w:rFonts w:ascii="仿宋_GB2312" w:eastAsia="仿宋_GB2312" w:cs="仿宋_GB2312" w:hint="eastAsia"/>
              </w:rPr>
              <w:t>7850</w:t>
            </w:r>
          </w:p>
        </w:tc>
      </w:tr>
      <w:tr w:rsidR="00114DE3">
        <w:trPr>
          <w:trHeight w:val="415"/>
          <w:jc w:val="center"/>
        </w:trPr>
        <w:tc>
          <w:tcPr>
            <w:tcW w:w="1258" w:type="dxa"/>
            <w:tcBorders>
              <w:top w:val="nil"/>
              <w:left w:val="single" w:sz="4" w:space="0" w:color="auto"/>
              <w:bottom w:val="single" w:sz="4" w:space="0" w:color="auto"/>
              <w:right w:val="single" w:sz="4" w:space="0" w:color="auto"/>
            </w:tcBorders>
            <w:noWrap/>
            <w:vAlign w:val="bottom"/>
          </w:tcPr>
          <w:p w:rsidR="00114DE3" w:rsidRDefault="00963A3B">
            <w:pPr>
              <w:spacing w:line="400" w:lineRule="exact"/>
              <w:jc w:val="center"/>
              <w:rPr>
                <w:rFonts w:ascii="仿宋_GB2312" w:eastAsia="仿宋_GB2312" w:cs="仿宋_GB2312"/>
              </w:rPr>
            </w:pPr>
            <w:r>
              <w:rPr>
                <w:rFonts w:ascii="仿宋_GB2312" w:eastAsia="仿宋_GB2312" w:cs="仿宋_GB2312" w:hint="eastAsia"/>
              </w:rPr>
              <w:t>单位</w:t>
            </w:r>
          </w:p>
        </w:tc>
        <w:tc>
          <w:tcPr>
            <w:tcW w:w="7702" w:type="dxa"/>
            <w:gridSpan w:val="10"/>
            <w:tcBorders>
              <w:top w:val="single" w:sz="4" w:space="0" w:color="auto"/>
              <w:left w:val="nil"/>
              <w:bottom w:val="single" w:sz="4" w:space="0" w:color="auto"/>
              <w:right w:val="single" w:sz="4" w:space="0" w:color="auto"/>
            </w:tcBorders>
            <w:noWrap/>
            <w:vAlign w:val="bottom"/>
          </w:tcPr>
          <w:p w:rsidR="00114DE3" w:rsidRDefault="00963A3B">
            <w:pPr>
              <w:jc w:val="center"/>
              <w:rPr>
                <w:rFonts w:ascii="仿宋_GB2312" w:eastAsia="仿宋_GB2312" w:cs="仿宋_GB2312"/>
              </w:rPr>
            </w:pPr>
            <w:r>
              <w:rPr>
                <w:rFonts w:ascii="仿宋_GB2312" w:eastAsia="仿宋_GB2312" w:cs="仿宋_GB2312" w:hint="eastAsia"/>
              </w:rPr>
              <w:t>元/公斤</w:t>
            </w:r>
          </w:p>
        </w:tc>
      </w:tr>
      <w:tr w:rsidR="00114DE3">
        <w:trPr>
          <w:trHeight w:val="415"/>
          <w:jc w:val="center"/>
        </w:trPr>
        <w:tc>
          <w:tcPr>
            <w:tcW w:w="1258" w:type="dxa"/>
            <w:tcBorders>
              <w:top w:val="nil"/>
              <w:left w:val="single" w:sz="4" w:space="0" w:color="auto"/>
              <w:bottom w:val="single" w:sz="4" w:space="0" w:color="auto"/>
              <w:right w:val="single" w:sz="4" w:space="0" w:color="auto"/>
            </w:tcBorders>
            <w:vAlign w:val="bottom"/>
          </w:tcPr>
          <w:p w:rsidR="00114DE3" w:rsidRDefault="00963A3B">
            <w:pPr>
              <w:spacing w:line="400" w:lineRule="exact"/>
              <w:jc w:val="center"/>
              <w:rPr>
                <w:rFonts w:ascii="仿宋_GB2312" w:eastAsia="仿宋_GB2312" w:cs="仿宋_GB2312"/>
              </w:rPr>
            </w:pPr>
            <w:r>
              <w:rPr>
                <w:rFonts w:ascii="仿宋_GB2312" w:eastAsia="仿宋_GB2312" w:cs="仿宋_GB2312" w:hint="eastAsia"/>
              </w:rPr>
              <w:lastRenderedPageBreak/>
              <w:t>日期</w:t>
            </w:r>
          </w:p>
        </w:tc>
        <w:tc>
          <w:tcPr>
            <w:tcW w:w="1443" w:type="dxa"/>
            <w:gridSpan w:val="2"/>
            <w:tcBorders>
              <w:top w:val="single" w:sz="4" w:space="0" w:color="auto"/>
              <w:left w:val="nil"/>
              <w:bottom w:val="single" w:sz="4" w:space="0" w:color="auto"/>
              <w:right w:val="single" w:sz="4" w:space="0" w:color="auto"/>
            </w:tcBorders>
            <w:vAlign w:val="bottom"/>
          </w:tcPr>
          <w:p w:rsidR="00114DE3" w:rsidRDefault="00963A3B">
            <w:pPr>
              <w:jc w:val="center"/>
              <w:rPr>
                <w:rFonts w:ascii="仿宋_GB2312" w:eastAsia="仿宋_GB2312" w:cs="仿宋_GB2312"/>
              </w:rPr>
            </w:pPr>
            <w:r>
              <w:rPr>
                <w:rFonts w:ascii="仿宋_GB2312" w:eastAsia="仿宋_GB2312" w:cs="仿宋_GB2312" w:hint="eastAsia"/>
              </w:rPr>
              <w:t>二氧化锗</w:t>
            </w:r>
          </w:p>
        </w:tc>
        <w:tc>
          <w:tcPr>
            <w:tcW w:w="1507" w:type="dxa"/>
            <w:gridSpan w:val="2"/>
            <w:tcBorders>
              <w:top w:val="single" w:sz="4" w:space="0" w:color="auto"/>
              <w:left w:val="nil"/>
              <w:bottom w:val="single" w:sz="4" w:space="0" w:color="auto"/>
              <w:right w:val="single" w:sz="4" w:space="0" w:color="auto"/>
            </w:tcBorders>
            <w:vAlign w:val="bottom"/>
          </w:tcPr>
          <w:p w:rsidR="00114DE3" w:rsidRDefault="00963A3B">
            <w:pPr>
              <w:jc w:val="center"/>
              <w:rPr>
                <w:rFonts w:ascii="仿宋_GB2312" w:eastAsia="仿宋_GB2312" w:cs="仿宋_GB2312"/>
              </w:rPr>
            </w:pPr>
            <w:r>
              <w:rPr>
                <w:rFonts w:ascii="仿宋_GB2312" w:eastAsia="仿宋_GB2312" w:cs="仿宋_GB2312" w:hint="eastAsia"/>
              </w:rPr>
              <w:t>镓锭</w:t>
            </w:r>
          </w:p>
        </w:tc>
        <w:tc>
          <w:tcPr>
            <w:tcW w:w="1383" w:type="dxa"/>
            <w:gridSpan w:val="2"/>
            <w:tcBorders>
              <w:top w:val="single" w:sz="4" w:space="0" w:color="auto"/>
              <w:left w:val="nil"/>
              <w:bottom w:val="single" w:sz="4" w:space="0" w:color="auto"/>
              <w:right w:val="single" w:sz="4" w:space="0" w:color="auto"/>
            </w:tcBorders>
            <w:vAlign w:val="bottom"/>
          </w:tcPr>
          <w:p w:rsidR="00114DE3" w:rsidRDefault="00963A3B">
            <w:pPr>
              <w:jc w:val="center"/>
              <w:rPr>
                <w:rFonts w:ascii="仿宋_GB2312" w:eastAsia="仿宋_GB2312" w:cs="仿宋_GB2312"/>
              </w:rPr>
            </w:pPr>
            <w:r>
              <w:rPr>
                <w:rFonts w:ascii="仿宋_GB2312" w:eastAsia="仿宋_GB2312" w:cs="仿宋_GB2312" w:hint="eastAsia"/>
              </w:rPr>
              <w:t>碲锭</w:t>
            </w:r>
          </w:p>
        </w:tc>
        <w:tc>
          <w:tcPr>
            <w:tcW w:w="1685" w:type="dxa"/>
            <w:gridSpan w:val="2"/>
            <w:tcBorders>
              <w:top w:val="single" w:sz="4" w:space="0" w:color="auto"/>
              <w:left w:val="nil"/>
              <w:bottom w:val="single" w:sz="4" w:space="0" w:color="auto"/>
              <w:right w:val="single" w:sz="4" w:space="0" w:color="auto"/>
            </w:tcBorders>
            <w:vAlign w:val="bottom"/>
          </w:tcPr>
          <w:p w:rsidR="00114DE3" w:rsidRDefault="00963A3B">
            <w:pPr>
              <w:jc w:val="center"/>
              <w:rPr>
                <w:rFonts w:ascii="仿宋_GB2312" w:eastAsia="仿宋_GB2312" w:cs="仿宋_GB2312"/>
              </w:rPr>
            </w:pPr>
            <w:r>
              <w:rPr>
                <w:rFonts w:ascii="仿宋_GB2312" w:eastAsia="仿宋_GB2312" w:cs="仿宋_GB2312" w:hint="eastAsia"/>
              </w:rPr>
              <w:t>铋锭</w:t>
            </w:r>
          </w:p>
        </w:tc>
        <w:tc>
          <w:tcPr>
            <w:tcW w:w="1684" w:type="dxa"/>
            <w:gridSpan w:val="2"/>
            <w:tcBorders>
              <w:top w:val="single" w:sz="4" w:space="0" w:color="auto"/>
              <w:left w:val="nil"/>
              <w:bottom w:val="single" w:sz="4" w:space="0" w:color="auto"/>
              <w:right w:val="single" w:sz="4" w:space="0" w:color="auto"/>
            </w:tcBorders>
            <w:vAlign w:val="bottom"/>
          </w:tcPr>
          <w:p w:rsidR="00114DE3" w:rsidRDefault="00963A3B">
            <w:pPr>
              <w:jc w:val="center"/>
              <w:rPr>
                <w:rFonts w:ascii="仿宋_GB2312" w:eastAsia="仿宋_GB2312" w:cs="仿宋_GB2312"/>
              </w:rPr>
            </w:pPr>
            <w:r>
              <w:rPr>
                <w:rFonts w:ascii="仿宋_GB2312" w:eastAsia="仿宋_GB2312" w:cs="仿宋_GB2312" w:hint="eastAsia"/>
              </w:rPr>
              <w:t>镉锭</w:t>
            </w:r>
          </w:p>
        </w:tc>
      </w:tr>
      <w:tr w:rsidR="006C6864">
        <w:trPr>
          <w:trHeight w:val="415"/>
          <w:jc w:val="center"/>
        </w:trPr>
        <w:tc>
          <w:tcPr>
            <w:tcW w:w="1258" w:type="dxa"/>
            <w:tcBorders>
              <w:top w:val="nil"/>
              <w:left w:val="single" w:sz="4" w:space="0" w:color="auto"/>
              <w:bottom w:val="single" w:sz="4" w:space="0" w:color="auto"/>
              <w:right w:val="single" w:sz="4" w:space="0" w:color="auto"/>
            </w:tcBorders>
            <w:vAlign w:val="center"/>
          </w:tcPr>
          <w:p w:rsidR="006C6864" w:rsidRDefault="006C6864" w:rsidP="00936B83">
            <w:pPr>
              <w:spacing w:line="400" w:lineRule="exact"/>
              <w:jc w:val="center"/>
              <w:rPr>
                <w:rFonts w:ascii="仿宋_GB2312" w:eastAsia="仿宋_GB2312" w:cs="仿宋_GB2312"/>
              </w:rPr>
            </w:pPr>
            <w:r>
              <w:rPr>
                <w:rFonts w:ascii="仿宋_GB2312" w:eastAsia="仿宋_GB2312" w:cs="仿宋_GB2312" w:hint="eastAsia"/>
              </w:rPr>
              <w:t>6月30日</w:t>
            </w:r>
          </w:p>
        </w:tc>
        <w:tc>
          <w:tcPr>
            <w:tcW w:w="721" w:type="dxa"/>
            <w:tcBorders>
              <w:top w:val="nil"/>
              <w:left w:val="nil"/>
              <w:bottom w:val="single" w:sz="4" w:space="0" w:color="auto"/>
              <w:right w:val="single" w:sz="4" w:space="0" w:color="auto"/>
            </w:tcBorders>
            <w:vAlign w:val="center"/>
          </w:tcPr>
          <w:p w:rsidR="006C6864" w:rsidRDefault="006C6864">
            <w:pPr>
              <w:jc w:val="center"/>
              <w:rPr>
                <w:rFonts w:ascii="仿宋_GB2312" w:eastAsia="仿宋_GB2312" w:cs="仿宋_GB2312"/>
              </w:rPr>
            </w:pPr>
            <w:r w:rsidRPr="006C6864">
              <w:rPr>
                <w:rFonts w:ascii="仿宋_GB2312" w:eastAsia="仿宋_GB2312" w:cs="仿宋_GB2312" w:hint="eastAsia"/>
              </w:rPr>
              <w:t>4700</w:t>
            </w:r>
          </w:p>
        </w:tc>
        <w:tc>
          <w:tcPr>
            <w:tcW w:w="722" w:type="dxa"/>
            <w:tcBorders>
              <w:top w:val="nil"/>
              <w:left w:val="nil"/>
              <w:bottom w:val="single" w:sz="4" w:space="0" w:color="auto"/>
              <w:right w:val="single" w:sz="4" w:space="0" w:color="auto"/>
            </w:tcBorders>
            <w:vAlign w:val="center"/>
          </w:tcPr>
          <w:p w:rsidR="006C6864" w:rsidRDefault="006C6864">
            <w:pPr>
              <w:jc w:val="center"/>
              <w:rPr>
                <w:rFonts w:ascii="仿宋_GB2312" w:eastAsia="仿宋_GB2312" w:cs="仿宋_GB2312"/>
              </w:rPr>
            </w:pPr>
            <w:r>
              <w:rPr>
                <w:rFonts w:ascii="仿宋_GB2312" w:eastAsia="仿宋_GB2312" w:cs="仿宋_GB2312" w:hint="eastAsia"/>
              </w:rPr>
              <w:t>4900</w:t>
            </w:r>
          </w:p>
        </w:tc>
        <w:tc>
          <w:tcPr>
            <w:tcW w:w="722" w:type="dxa"/>
            <w:tcBorders>
              <w:top w:val="nil"/>
              <w:left w:val="nil"/>
              <w:bottom w:val="single" w:sz="4" w:space="0" w:color="auto"/>
              <w:right w:val="single" w:sz="4" w:space="0" w:color="auto"/>
            </w:tcBorders>
            <w:vAlign w:val="center"/>
          </w:tcPr>
          <w:p w:rsidR="006C6864" w:rsidRDefault="006C6864">
            <w:pPr>
              <w:jc w:val="center"/>
              <w:rPr>
                <w:rFonts w:ascii="仿宋_GB2312" w:eastAsia="仿宋_GB2312" w:cs="仿宋_GB2312"/>
              </w:rPr>
            </w:pPr>
            <w:r w:rsidRPr="006C6864">
              <w:rPr>
                <w:rFonts w:ascii="仿宋_GB2312" w:eastAsia="仿宋_GB2312" w:cs="仿宋_GB2312" w:hint="eastAsia"/>
              </w:rPr>
              <w:t>2080</w:t>
            </w:r>
          </w:p>
        </w:tc>
        <w:tc>
          <w:tcPr>
            <w:tcW w:w="785" w:type="dxa"/>
            <w:tcBorders>
              <w:top w:val="nil"/>
              <w:left w:val="nil"/>
              <w:bottom w:val="single" w:sz="4" w:space="0" w:color="auto"/>
              <w:right w:val="single" w:sz="4" w:space="0" w:color="auto"/>
            </w:tcBorders>
            <w:vAlign w:val="center"/>
          </w:tcPr>
          <w:p w:rsidR="006C6864" w:rsidRDefault="006C6864">
            <w:pPr>
              <w:jc w:val="center"/>
              <w:rPr>
                <w:rFonts w:ascii="仿宋_GB2312" w:eastAsia="仿宋_GB2312" w:cs="仿宋_GB2312"/>
              </w:rPr>
            </w:pPr>
            <w:r w:rsidRPr="006C6864">
              <w:rPr>
                <w:rFonts w:ascii="仿宋_GB2312" w:eastAsia="仿宋_GB2312" w:cs="仿宋_GB2312" w:hint="eastAsia"/>
              </w:rPr>
              <w:t>2130</w:t>
            </w:r>
          </w:p>
        </w:tc>
        <w:tc>
          <w:tcPr>
            <w:tcW w:w="659" w:type="dxa"/>
            <w:tcBorders>
              <w:top w:val="nil"/>
              <w:left w:val="nil"/>
              <w:bottom w:val="single" w:sz="4" w:space="0" w:color="auto"/>
              <w:right w:val="single" w:sz="4" w:space="0" w:color="auto"/>
            </w:tcBorders>
            <w:noWrap/>
            <w:vAlign w:val="center"/>
          </w:tcPr>
          <w:p w:rsidR="006C6864" w:rsidRDefault="006C6864">
            <w:pPr>
              <w:jc w:val="center"/>
              <w:rPr>
                <w:rFonts w:ascii="仿宋_GB2312" w:eastAsia="仿宋_GB2312" w:cs="仿宋_GB2312"/>
              </w:rPr>
            </w:pPr>
            <w:r>
              <w:rPr>
                <w:rFonts w:ascii="仿宋_GB2312" w:eastAsia="仿宋_GB2312" w:cs="仿宋_GB2312" w:hint="eastAsia"/>
              </w:rPr>
              <w:t>580</w:t>
            </w:r>
          </w:p>
        </w:tc>
        <w:tc>
          <w:tcPr>
            <w:tcW w:w="724" w:type="dxa"/>
            <w:tcBorders>
              <w:top w:val="nil"/>
              <w:left w:val="nil"/>
              <w:bottom w:val="single" w:sz="4" w:space="0" w:color="auto"/>
              <w:right w:val="single" w:sz="4" w:space="0" w:color="auto"/>
            </w:tcBorders>
            <w:noWrap/>
            <w:vAlign w:val="center"/>
          </w:tcPr>
          <w:p w:rsidR="006C6864" w:rsidRDefault="006C6864">
            <w:pPr>
              <w:jc w:val="center"/>
              <w:rPr>
                <w:rFonts w:ascii="仿宋_GB2312" w:eastAsia="仿宋_GB2312" w:cs="仿宋_GB2312"/>
              </w:rPr>
            </w:pPr>
            <w:r>
              <w:rPr>
                <w:rFonts w:ascii="仿宋_GB2312" w:eastAsia="仿宋_GB2312" w:cs="仿宋_GB2312" w:hint="eastAsia"/>
              </w:rPr>
              <w:t>590</w:t>
            </w:r>
          </w:p>
        </w:tc>
        <w:tc>
          <w:tcPr>
            <w:tcW w:w="842" w:type="dxa"/>
            <w:tcBorders>
              <w:top w:val="nil"/>
              <w:left w:val="nil"/>
              <w:bottom w:val="single" w:sz="4" w:space="0" w:color="auto"/>
              <w:right w:val="single" w:sz="4" w:space="0" w:color="auto"/>
            </w:tcBorders>
            <w:vAlign w:val="center"/>
          </w:tcPr>
          <w:p w:rsidR="006C6864" w:rsidRDefault="006C6864">
            <w:pPr>
              <w:jc w:val="center"/>
              <w:rPr>
                <w:rFonts w:ascii="仿宋_GB2312" w:eastAsia="仿宋_GB2312" w:cs="仿宋_GB2312"/>
              </w:rPr>
            </w:pPr>
            <w:r w:rsidRPr="006C6864">
              <w:rPr>
                <w:rFonts w:ascii="仿宋_GB2312" w:eastAsia="仿宋_GB2312" w:cs="仿宋_GB2312" w:hint="eastAsia"/>
              </w:rPr>
              <w:t>42000</w:t>
            </w:r>
          </w:p>
        </w:tc>
        <w:tc>
          <w:tcPr>
            <w:tcW w:w="843" w:type="dxa"/>
            <w:tcBorders>
              <w:top w:val="nil"/>
              <w:left w:val="nil"/>
              <w:bottom w:val="single" w:sz="4" w:space="0" w:color="auto"/>
              <w:right w:val="single" w:sz="4" w:space="0" w:color="auto"/>
            </w:tcBorders>
            <w:vAlign w:val="center"/>
          </w:tcPr>
          <w:p w:rsidR="006C6864" w:rsidRDefault="006C6864">
            <w:pPr>
              <w:jc w:val="center"/>
              <w:rPr>
                <w:rFonts w:ascii="仿宋_GB2312" w:eastAsia="仿宋_GB2312" w:cs="仿宋_GB2312"/>
              </w:rPr>
            </w:pPr>
            <w:r w:rsidRPr="006C6864">
              <w:rPr>
                <w:rFonts w:ascii="仿宋_GB2312" w:eastAsia="仿宋_GB2312" w:cs="仿宋_GB2312" w:hint="eastAsia"/>
              </w:rPr>
              <w:t>43000</w:t>
            </w:r>
          </w:p>
        </w:tc>
        <w:tc>
          <w:tcPr>
            <w:tcW w:w="842" w:type="dxa"/>
            <w:tcBorders>
              <w:top w:val="nil"/>
              <w:left w:val="nil"/>
              <w:bottom w:val="single" w:sz="4" w:space="0" w:color="auto"/>
              <w:right w:val="single" w:sz="4" w:space="0" w:color="auto"/>
            </w:tcBorders>
            <w:noWrap/>
            <w:vAlign w:val="center"/>
          </w:tcPr>
          <w:p w:rsidR="006C6864" w:rsidRDefault="006C6864">
            <w:pPr>
              <w:jc w:val="center"/>
              <w:rPr>
                <w:rFonts w:ascii="仿宋_GB2312" w:eastAsia="仿宋_GB2312" w:cs="仿宋_GB2312"/>
              </w:rPr>
            </w:pPr>
            <w:r w:rsidRPr="006C6864">
              <w:rPr>
                <w:rFonts w:ascii="仿宋_GB2312" w:eastAsia="仿宋_GB2312" w:cs="仿宋_GB2312" w:hint="eastAsia"/>
              </w:rPr>
              <w:t>17500</w:t>
            </w:r>
          </w:p>
        </w:tc>
        <w:tc>
          <w:tcPr>
            <w:tcW w:w="842" w:type="dxa"/>
            <w:tcBorders>
              <w:top w:val="nil"/>
              <w:left w:val="nil"/>
              <w:bottom w:val="single" w:sz="4" w:space="0" w:color="auto"/>
              <w:right w:val="single" w:sz="4" w:space="0" w:color="auto"/>
            </w:tcBorders>
            <w:vAlign w:val="center"/>
          </w:tcPr>
          <w:p w:rsidR="006C6864" w:rsidRDefault="006C6864">
            <w:pPr>
              <w:jc w:val="center"/>
              <w:rPr>
                <w:rFonts w:ascii="仿宋_GB2312" w:eastAsia="仿宋_GB2312" w:cs="仿宋_GB2312"/>
              </w:rPr>
            </w:pPr>
            <w:r w:rsidRPr="006C6864">
              <w:rPr>
                <w:rFonts w:ascii="仿宋_GB2312" w:eastAsia="仿宋_GB2312" w:cs="仿宋_GB2312" w:hint="eastAsia"/>
              </w:rPr>
              <w:t>18000</w:t>
            </w:r>
          </w:p>
        </w:tc>
      </w:tr>
      <w:tr w:rsidR="006C6864">
        <w:trPr>
          <w:trHeight w:val="415"/>
          <w:jc w:val="center"/>
        </w:trPr>
        <w:tc>
          <w:tcPr>
            <w:tcW w:w="1258" w:type="dxa"/>
            <w:tcBorders>
              <w:top w:val="nil"/>
              <w:left w:val="single" w:sz="4" w:space="0" w:color="auto"/>
              <w:bottom w:val="single" w:sz="4" w:space="0" w:color="auto"/>
              <w:right w:val="single" w:sz="4" w:space="0" w:color="auto"/>
            </w:tcBorders>
            <w:vAlign w:val="center"/>
          </w:tcPr>
          <w:p w:rsidR="006C6864" w:rsidRDefault="006C6864" w:rsidP="00936B83">
            <w:pPr>
              <w:widowControl/>
              <w:jc w:val="center"/>
              <w:textAlignment w:val="center"/>
              <w:rPr>
                <w:rFonts w:ascii="仿宋_GB2312" w:eastAsia="仿宋_GB2312" w:cs="仿宋_GB2312"/>
              </w:rPr>
            </w:pPr>
            <w:r>
              <w:rPr>
                <w:rFonts w:ascii="仿宋_GB2312" w:eastAsia="仿宋_GB2312" w:hAnsi="宋体" w:cs="仿宋_GB2312" w:hint="eastAsia"/>
                <w:color w:val="000000"/>
                <w:kern w:val="0"/>
              </w:rPr>
              <w:t>7</w:t>
            </w:r>
            <w:r>
              <w:rPr>
                <w:rFonts w:ascii="仿宋_GB2312" w:eastAsia="仿宋_GB2312" w:hAnsi="宋体" w:cs="仿宋_GB2312"/>
                <w:color w:val="000000"/>
                <w:kern w:val="0"/>
              </w:rPr>
              <w:t>月</w:t>
            </w:r>
            <w:r>
              <w:rPr>
                <w:rFonts w:ascii="仿宋_GB2312" w:eastAsia="仿宋_GB2312" w:hAnsi="宋体" w:cs="仿宋_GB2312" w:hint="eastAsia"/>
                <w:color w:val="000000"/>
                <w:kern w:val="0"/>
              </w:rPr>
              <w:t>1</w:t>
            </w:r>
            <w:r>
              <w:rPr>
                <w:rFonts w:ascii="仿宋_GB2312" w:eastAsia="仿宋_GB2312" w:hAnsi="宋体" w:cs="仿宋_GB2312"/>
                <w:color w:val="000000"/>
                <w:kern w:val="0"/>
              </w:rPr>
              <w:t>日</w:t>
            </w:r>
          </w:p>
        </w:tc>
        <w:tc>
          <w:tcPr>
            <w:tcW w:w="721" w:type="dxa"/>
            <w:tcBorders>
              <w:top w:val="nil"/>
              <w:left w:val="nil"/>
              <w:bottom w:val="single" w:sz="4" w:space="0" w:color="auto"/>
              <w:right w:val="single" w:sz="4" w:space="0" w:color="auto"/>
            </w:tcBorders>
            <w:vAlign w:val="center"/>
          </w:tcPr>
          <w:p w:rsidR="006C6864" w:rsidRDefault="006C6864" w:rsidP="00936B83">
            <w:pPr>
              <w:jc w:val="center"/>
              <w:rPr>
                <w:rFonts w:ascii="仿宋_GB2312" w:eastAsia="仿宋_GB2312" w:cs="仿宋_GB2312"/>
              </w:rPr>
            </w:pPr>
            <w:r w:rsidRPr="006C6864">
              <w:rPr>
                <w:rFonts w:ascii="仿宋_GB2312" w:eastAsia="仿宋_GB2312" w:cs="仿宋_GB2312" w:hint="eastAsia"/>
              </w:rPr>
              <w:t>4700</w:t>
            </w:r>
          </w:p>
        </w:tc>
        <w:tc>
          <w:tcPr>
            <w:tcW w:w="722" w:type="dxa"/>
            <w:tcBorders>
              <w:top w:val="nil"/>
              <w:left w:val="nil"/>
              <w:bottom w:val="single" w:sz="4" w:space="0" w:color="auto"/>
              <w:right w:val="single" w:sz="4" w:space="0" w:color="auto"/>
            </w:tcBorders>
            <w:vAlign w:val="center"/>
          </w:tcPr>
          <w:p w:rsidR="006C6864" w:rsidRDefault="006C6864" w:rsidP="00936B83">
            <w:pPr>
              <w:jc w:val="center"/>
              <w:rPr>
                <w:rFonts w:ascii="仿宋_GB2312" w:eastAsia="仿宋_GB2312" w:cs="仿宋_GB2312"/>
              </w:rPr>
            </w:pPr>
            <w:r>
              <w:rPr>
                <w:rFonts w:ascii="仿宋_GB2312" w:eastAsia="仿宋_GB2312" w:cs="仿宋_GB2312" w:hint="eastAsia"/>
              </w:rPr>
              <w:t>4900</w:t>
            </w:r>
          </w:p>
        </w:tc>
        <w:tc>
          <w:tcPr>
            <w:tcW w:w="722" w:type="dxa"/>
            <w:tcBorders>
              <w:top w:val="nil"/>
              <w:left w:val="nil"/>
              <w:bottom w:val="single" w:sz="4" w:space="0" w:color="auto"/>
              <w:right w:val="single" w:sz="4" w:space="0" w:color="auto"/>
            </w:tcBorders>
            <w:vAlign w:val="center"/>
          </w:tcPr>
          <w:p w:rsidR="006C6864" w:rsidRDefault="006C6864">
            <w:pPr>
              <w:jc w:val="center"/>
              <w:rPr>
                <w:rFonts w:ascii="仿宋_GB2312" w:eastAsia="仿宋_GB2312" w:cs="仿宋_GB2312"/>
              </w:rPr>
            </w:pPr>
            <w:r w:rsidRPr="006C6864">
              <w:rPr>
                <w:rFonts w:ascii="仿宋_GB2312" w:eastAsia="仿宋_GB2312" w:cs="仿宋_GB2312" w:hint="eastAsia"/>
              </w:rPr>
              <w:t>2080</w:t>
            </w:r>
          </w:p>
        </w:tc>
        <w:tc>
          <w:tcPr>
            <w:tcW w:w="785" w:type="dxa"/>
            <w:tcBorders>
              <w:top w:val="nil"/>
              <w:left w:val="nil"/>
              <w:bottom w:val="single" w:sz="4" w:space="0" w:color="auto"/>
              <w:right w:val="single" w:sz="4" w:space="0" w:color="auto"/>
            </w:tcBorders>
            <w:vAlign w:val="center"/>
          </w:tcPr>
          <w:p w:rsidR="006C6864" w:rsidRDefault="006C6864">
            <w:pPr>
              <w:jc w:val="center"/>
              <w:rPr>
                <w:rFonts w:ascii="仿宋_GB2312" w:eastAsia="仿宋_GB2312" w:cs="仿宋_GB2312"/>
              </w:rPr>
            </w:pPr>
            <w:r w:rsidRPr="006C6864">
              <w:rPr>
                <w:rFonts w:ascii="仿宋_GB2312" w:eastAsia="仿宋_GB2312" w:cs="仿宋_GB2312" w:hint="eastAsia"/>
              </w:rPr>
              <w:t>2130</w:t>
            </w:r>
          </w:p>
        </w:tc>
        <w:tc>
          <w:tcPr>
            <w:tcW w:w="659" w:type="dxa"/>
            <w:tcBorders>
              <w:top w:val="nil"/>
              <w:left w:val="nil"/>
              <w:bottom w:val="single" w:sz="4" w:space="0" w:color="auto"/>
              <w:right w:val="single" w:sz="4" w:space="0" w:color="auto"/>
            </w:tcBorders>
            <w:noWrap/>
            <w:vAlign w:val="center"/>
          </w:tcPr>
          <w:p w:rsidR="006C6864" w:rsidRDefault="006C6864">
            <w:pPr>
              <w:jc w:val="center"/>
              <w:rPr>
                <w:rFonts w:ascii="仿宋_GB2312" w:eastAsia="仿宋_GB2312" w:cs="仿宋_GB2312"/>
              </w:rPr>
            </w:pPr>
            <w:r>
              <w:rPr>
                <w:rFonts w:ascii="仿宋_GB2312" w:eastAsia="仿宋_GB2312" w:cs="仿宋_GB2312" w:hint="eastAsia"/>
              </w:rPr>
              <w:t>580</w:t>
            </w:r>
          </w:p>
        </w:tc>
        <w:tc>
          <w:tcPr>
            <w:tcW w:w="724" w:type="dxa"/>
            <w:tcBorders>
              <w:top w:val="nil"/>
              <w:left w:val="nil"/>
              <w:bottom w:val="single" w:sz="4" w:space="0" w:color="auto"/>
              <w:right w:val="single" w:sz="4" w:space="0" w:color="auto"/>
            </w:tcBorders>
            <w:noWrap/>
            <w:vAlign w:val="center"/>
          </w:tcPr>
          <w:p w:rsidR="006C6864" w:rsidRDefault="006C6864">
            <w:pPr>
              <w:jc w:val="center"/>
              <w:rPr>
                <w:rFonts w:ascii="仿宋_GB2312" w:eastAsia="仿宋_GB2312" w:cs="仿宋_GB2312"/>
              </w:rPr>
            </w:pPr>
            <w:r>
              <w:rPr>
                <w:rFonts w:ascii="仿宋_GB2312" w:eastAsia="仿宋_GB2312" w:cs="仿宋_GB2312" w:hint="eastAsia"/>
              </w:rPr>
              <w:t>590</w:t>
            </w:r>
          </w:p>
        </w:tc>
        <w:tc>
          <w:tcPr>
            <w:tcW w:w="842" w:type="dxa"/>
            <w:tcBorders>
              <w:top w:val="nil"/>
              <w:left w:val="nil"/>
              <w:bottom w:val="single" w:sz="4" w:space="0" w:color="auto"/>
              <w:right w:val="single" w:sz="4" w:space="0" w:color="auto"/>
            </w:tcBorders>
            <w:vAlign w:val="center"/>
          </w:tcPr>
          <w:p w:rsidR="006C6864" w:rsidRDefault="006C6864">
            <w:pPr>
              <w:jc w:val="center"/>
              <w:rPr>
                <w:rFonts w:ascii="仿宋_GB2312" w:eastAsia="仿宋_GB2312" w:cs="仿宋_GB2312"/>
              </w:rPr>
            </w:pPr>
            <w:r w:rsidRPr="006C6864">
              <w:rPr>
                <w:rFonts w:ascii="仿宋_GB2312" w:eastAsia="仿宋_GB2312" w:cs="仿宋_GB2312" w:hint="eastAsia"/>
              </w:rPr>
              <w:t>42000</w:t>
            </w:r>
          </w:p>
        </w:tc>
        <w:tc>
          <w:tcPr>
            <w:tcW w:w="843" w:type="dxa"/>
            <w:tcBorders>
              <w:top w:val="nil"/>
              <w:left w:val="nil"/>
              <w:bottom w:val="single" w:sz="4" w:space="0" w:color="auto"/>
              <w:right w:val="single" w:sz="4" w:space="0" w:color="auto"/>
            </w:tcBorders>
            <w:vAlign w:val="center"/>
          </w:tcPr>
          <w:p w:rsidR="006C6864" w:rsidRDefault="006C6864">
            <w:pPr>
              <w:jc w:val="center"/>
              <w:rPr>
                <w:rFonts w:ascii="仿宋_GB2312" w:eastAsia="仿宋_GB2312" w:cs="仿宋_GB2312"/>
              </w:rPr>
            </w:pPr>
            <w:r w:rsidRPr="006C6864">
              <w:rPr>
                <w:rFonts w:ascii="仿宋_GB2312" w:eastAsia="仿宋_GB2312" w:cs="仿宋_GB2312" w:hint="eastAsia"/>
              </w:rPr>
              <w:t>43000</w:t>
            </w:r>
          </w:p>
        </w:tc>
        <w:tc>
          <w:tcPr>
            <w:tcW w:w="842" w:type="dxa"/>
            <w:tcBorders>
              <w:top w:val="nil"/>
              <w:left w:val="nil"/>
              <w:bottom w:val="single" w:sz="4" w:space="0" w:color="auto"/>
              <w:right w:val="single" w:sz="4" w:space="0" w:color="auto"/>
            </w:tcBorders>
            <w:noWrap/>
            <w:vAlign w:val="center"/>
          </w:tcPr>
          <w:p w:rsidR="006C6864" w:rsidRDefault="006C6864">
            <w:pPr>
              <w:jc w:val="center"/>
              <w:rPr>
                <w:rFonts w:ascii="仿宋_GB2312" w:eastAsia="仿宋_GB2312" w:cs="仿宋_GB2312"/>
              </w:rPr>
            </w:pPr>
            <w:r w:rsidRPr="006C6864">
              <w:rPr>
                <w:rFonts w:ascii="仿宋_GB2312" w:eastAsia="仿宋_GB2312" w:cs="仿宋_GB2312" w:hint="eastAsia"/>
              </w:rPr>
              <w:t>17500</w:t>
            </w:r>
          </w:p>
        </w:tc>
        <w:tc>
          <w:tcPr>
            <w:tcW w:w="842" w:type="dxa"/>
            <w:tcBorders>
              <w:top w:val="nil"/>
              <w:left w:val="nil"/>
              <w:bottom w:val="single" w:sz="4" w:space="0" w:color="auto"/>
              <w:right w:val="single" w:sz="4" w:space="0" w:color="auto"/>
            </w:tcBorders>
            <w:vAlign w:val="center"/>
          </w:tcPr>
          <w:p w:rsidR="006C6864" w:rsidRDefault="006C6864">
            <w:pPr>
              <w:jc w:val="center"/>
              <w:rPr>
                <w:rFonts w:ascii="仿宋_GB2312" w:eastAsia="仿宋_GB2312" w:cs="仿宋_GB2312"/>
              </w:rPr>
            </w:pPr>
            <w:r w:rsidRPr="006C6864">
              <w:rPr>
                <w:rFonts w:ascii="仿宋_GB2312" w:eastAsia="仿宋_GB2312" w:cs="仿宋_GB2312" w:hint="eastAsia"/>
              </w:rPr>
              <w:t>18000</w:t>
            </w:r>
          </w:p>
        </w:tc>
      </w:tr>
      <w:tr w:rsidR="006C6864">
        <w:trPr>
          <w:trHeight w:val="415"/>
          <w:jc w:val="center"/>
        </w:trPr>
        <w:tc>
          <w:tcPr>
            <w:tcW w:w="1258" w:type="dxa"/>
            <w:tcBorders>
              <w:top w:val="nil"/>
              <w:left w:val="single" w:sz="4" w:space="0" w:color="auto"/>
              <w:bottom w:val="single" w:sz="4" w:space="0" w:color="auto"/>
              <w:right w:val="single" w:sz="4" w:space="0" w:color="auto"/>
            </w:tcBorders>
            <w:vAlign w:val="center"/>
          </w:tcPr>
          <w:p w:rsidR="006C6864" w:rsidRDefault="006C6864" w:rsidP="00936B83">
            <w:pPr>
              <w:spacing w:line="400" w:lineRule="exact"/>
              <w:jc w:val="center"/>
              <w:rPr>
                <w:rFonts w:ascii="仿宋_GB2312" w:eastAsia="仿宋_GB2312" w:cs="仿宋_GB2312"/>
              </w:rPr>
            </w:pPr>
            <w:r>
              <w:rPr>
                <w:rFonts w:ascii="仿宋_GB2312" w:eastAsia="仿宋_GB2312" w:cs="仿宋_GB2312" w:hint="eastAsia"/>
              </w:rPr>
              <w:t>7月2日</w:t>
            </w:r>
          </w:p>
        </w:tc>
        <w:tc>
          <w:tcPr>
            <w:tcW w:w="721" w:type="dxa"/>
            <w:tcBorders>
              <w:top w:val="nil"/>
              <w:left w:val="nil"/>
              <w:bottom w:val="single" w:sz="4" w:space="0" w:color="auto"/>
              <w:right w:val="single" w:sz="4" w:space="0" w:color="auto"/>
            </w:tcBorders>
            <w:vAlign w:val="center"/>
          </w:tcPr>
          <w:p w:rsidR="006C6864" w:rsidRDefault="006C6864" w:rsidP="00936B83">
            <w:pPr>
              <w:jc w:val="center"/>
              <w:rPr>
                <w:rFonts w:ascii="仿宋_GB2312" w:eastAsia="仿宋_GB2312" w:cs="仿宋_GB2312"/>
              </w:rPr>
            </w:pPr>
            <w:r w:rsidRPr="006C6864">
              <w:rPr>
                <w:rFonts w:ascii="仿宋_GB2312" w:eastAsia="仿宋_GB2312" w:cs="仿宋_GB2312" w:hint="eastAsia"/>
              </w:rPr>
              <w:t>4700</w:t>
            </w:r>
          </w:p>
        </w:tc>
        <w:tc>
          <w:tcPr>
            <w:tcW w:w="722" w:type="dxa"/>
            <w:tcBorders>
              <w:top w:val="nil"/>
              <w:left w:val="nil"/>
              <w:bottom w:val="single" w:sz="4" w:space="0" w:color="auto"/>
              <w:right w:val="single" w:sz="4" w:space="0" w:color="auto"/>
            </w:tcBorders>
            <w:vAlign w:val="center"/>
          </w:tcPr>
          <w:p w:rsidR="006C6864" w:rsidRDefault="006C6864">
            <w:pPr>
              <w:jc w:val="center"/>
              <w:rPr>
                <w:rFonts w:ascii="仿宋_GB2312" w:eastAsia="仿宋_GB2312" w:cs="仿宋_GB2312"/>
              </w:rPr>
            </w:pPr>
            <w:r>
              <w:rPr>
                <w:rFonts w:ascii="仿宋_GB2312" w:eastAsia="仿宋_GB2312" w:cs="仿宋_GB2312" w:hint="eastAsia"/>
              </w:rPr>
              <w:t>4900</w:t>
            </w:r>
          </w:p>
        </w:tc>
        <w:tc>
          <w:tcPr>
            <w:tcW w:w="722" w:type="dxa"/>
            <w:tcBorders>
              <w:top w:val="nil"/>
              <w:left w:val="nil"/>
              <w:bottom w:val="single" w:sz="4" w:space="0" w:color="auto"/>
              <w:right w:val="single" w:sz="4" w:space="0" w:color="auto"/>
            </w:tcBorders>
            <w:vAlign w:val="center"/>
          </w:tcPr>
          <w:p w:rsidR="006C6864" w:rsidRDefault="006C6864">
            <w:pPr>
              <w:jc w:val="center"/>
              <w:rPr>
                <w:rFonts w:ascii="仿宋_GB2312" w:eastAsia="仿宋_GB2312" w:cs="仿宋_GB2312"/>
              </w:rPr>
            </w:pPr>
            <w:r w:rsidRPr="006C6864">
              <w:rPr>
                <w:rFonts w:ascii="仿宋_GB2312" w:eastAsia="仿宋_GB2312" w:cs="仿宋_GB2312" w:hint="eastAsia"/>
              </w:rPr>
              <w:t>2080</w:t>
            </w:r>
          </w:p>
        </w:tc>
        <w:tc>
          <w:tcPr>
            <w:tcW w:w="785" w:type="dxa"/>
            <w:tcBorders>
              <w:top w:val="nil"/>
              <w:left w:val="nil"/>
              <w:bottom w:val="single" w:sz="4" w:space="0" w:color="auto"/>
              <w:right w:val="single" w:sz="4" w:space="0" w:color="auto"/>
            </w:tcBorders>
            <w:vAlign w:val="center"/>
          </w:tcPr>
          <w:p w:rsidR="006C6864" w:rsidRDefault="006C6864">
            <w:pPr>
              <w:jc w:val="center"/>
              <w:rPr>
                <w:rFonts w:ascii="仿宋_GB2312" w:eastAsia="仿宋_GB2312" w:cs="仿宋_GB2312"/>
              </w:rPr>
            </w:pPr>
            <w:r w:rsidRPr="006C6864">
              <w:rPr>
                <w:rFonts w:ascii="仿宋_GB2312" w:eastAsia="仿宋_GB2312" w:cs="仿宋_GB2312" w:hint="eastAsia"/>
              </w:rPr>
              <w:t>2130</w:t>
            </w:r>
          </w:p>
        </w:tc>
        <w:tc>
          <w:tcPr>
            <w:tcW w:w="659" w:type="dxa"/>
            <w:tcBorders>
              <w:top w:val="nil"/>
              <w:left w:val="nil"/>
              <w:bottom w:val="single" w:sz="4" w:space="0" w:color="auto"/>
              <w:right w:val="single" w:sz="4" w:space="0" w:color="auto"/>
            </w:tcBorders>
            <w:noWrap/>
            <w:vAlign w:val="center"/>
          </w:tcPr>
          <w:p w:rsidR="006C6864" w:rsidRDefault="006C6864">
            <w:pPr>
              <w:jc w:val="center"/>
              <w:rPr>
                <w:rFonts w:ascii="仿宋_GB2312" w:eastAsia="仿宋_GB2312" w:cs="仿宋_GB2312"/>
              </w:rPr>
            </w:pPr>
            <w:r>
              <w:rPr>
                <w:rFonts w:ascii="仿宋_GB2312" w:eastAsia="仿宋_GB2312" w:cs="仿宋_GB2312" w:hint="eastAsia"/>
              </w:rPr>
              <w:t>580</w:t>
            </w:r>
          </w:p>
        </w:tc>
        <w:tc>
          <w:tcPr>
            <w:tcW w:w="724" w:type="dxa"/>
            <w:tcBorders>
              <w:top w:val="nil"/>
              <w:left w:val="nil"/>
              <w:bottom w:val="single" w:sz="4" w:space="0" w:color="auto"/>
              <w:right w:val="single" w:sz="4" w:space="0" w:color="auto"/>
            </w:tcBorders>
            <w:noWrap/>
            <w:vAlign w:val="center"/>
          </w:tcPr>
          <w:p w:rsidR="006C6864" w:rsidRDefault="006C6864">
            <w:pPr>
              <w:jc w:val="center"/>
              <w:rPr>
                <w:rFonts w:ascii="仿宋_GB2312" w:eastAsia="仿宋_GB2312" w:cs="仿宋_GB2312"/>
              </w:rPr>
            </w:pPr>
            <w:r>
              <w:rPr>
                <w:rFonts w:ascii="仿宋_GB2312" w:eastAsia="仿宋_GB2312" w:cs="仿宋_GB2312" w:hint="eastAsia"/>
              </w:rPr>
              <w:t>590</w:t>
            </w:r>
          </w:p>
        </w:tc>
        <w:tc>
          <w:tcPr>
            <w:tcW w:w="842" w:type="dxa"/>
            <w:tcBorders>
              <w:top w:val="nil"/>
              <w:left w:val="nil"/>
              <w:bottom w:val="single" w:sz="4" w:space="0" w:color="auto"/>
              <w:right w:val="single" w:sz="4" w:space="0" w:color="auto"/>
            </w:tcBorders>
            <w:vAlign w:val="center"/>
          </w:tcPr>
          <w:p w:rsidR="006C6864" w:rsidRDefault="006C6864">
            <w:pPr>
              <w:jc w:val="center"/>
              <w:rPr>
                <w:rFonts w:ascii="仿宋_GB2312" w:eastAsia="仿宋_GB2312" w:cs="仿宋_GB2312"/>
              </w:rPr>
            </w:pPr>
            <w:r w:rsidRPr="006C6864">
              <w:rPr>
                <w:rFonts w:ascii="仿宋_GB2312" w:eastAsia="仿宋_GB2312" w:cs="仿宋_GB2312" w:hint="eastAsia"/>
              </w:rPr>
              <w:t>42000</w:t>
            </w:r>
          </w:p>
        </w:tc>
        <w:tc>
          <w:tcPr>
            <w:tcW w:w="843" w:type="dxa"/>
            <w:tcBorders>
              <w:top w:val="nil"/>
              <w:left w:val="nil"/>
              <w:bottom w:val="single" w:sz="4" w:space="0" w:color="auto"/>
              <w:right w:val="single" w:sz="4" w:space="0" w:color="auto"/>
            </w:tcBorders>
            <w:vAlign w:val="center"/>
          </w:tcPr>
          <w:p w:rsidR="006C6864" w:rsidRDefault="006C6864">
            <w:pPr>
              <w:jc w:val="center"/>
              <w:rPr>
                <w:rFonts w:ascii="仿宋_GB2312" w:eastAsia="仿宋_GB2312" w:cs="仿宋_GB2312"/>
              </w:rPr>
            </w:pPr>
            <w:r w:rsidRPr="006C6864">
              <w:rPr>
                <w:rFonts w:ascii="仿宋_GB2312" w:eastAsia="仿宋_GB2312" w:cs="仿宋_GB2312" w:hint="eastAsia"/>
              </w:rPr>
              <w:t>43000</w:t>
            </w:r>
          </w:p>
        </w:tc>
        <w:tc>
          <w:tcPr>
            <w:tcW w:w="842" w:type="dxa"/>
            <w:tcBorders>
              <w:top w:val="nil"/>
              <w:left w:val="nil"/>
              <w:bottom w:val="single" w:sz="4" w:space="0" w:color="auto"/>
              <w:right w:val="single" w:sz="4" w:space="0" w:color="auto"/>
            </w:tcBorders>
            <w:noWrap/>
            <w:vAlign w:val="center"/>
          </w:tcPr>
          <w:p w:rsidR="006C6864" w:rsidRDefault="006C6864">
            <w:pPr>
              <w:jc w:val="center"/>
              <w:rPr>
                <w:rFonts w:ascii="仿宋_GB2312" w:eastAsia="仿宋_GB2312" w:cs="仿宋_GB2312"/>
              </w:rPr>
            </w:pPr>
            <w:r w:rsidRPr="006C6864">
              <w:rPr>
                <w:rFonts w:ascii="仿宋_GB2312" w:eastAsia="仿宋_GB2312" w:cs="仿宋_GB2312" w:hint="eastAsia"/>
              </w:rPr>
              <w:t>17500</w:t>
            </w:r>
          </w:p>
        </w:tc>
        <w:tc>
          <w:tcPr>
            <w:tcW w:w="842" w:type="dxa"/>
            <w:tcBorders>
              <w:top w:val="nil"/>
              <w:left w:val="nil"/>
              <w:bottom w:val="single" w:sz="4" w:space="0" w:color="auto"/>
              <w:right w:val="single" w:sz="4" w:space="0" w:color="auto"/>
            </w:tcBorders>
            <w:vAlign w:val="center"/>
          </w:tcPr>
          <w:p w:rsidR="006C6864" w:rsidRDefault="006C6864">
            <w:pPr>
              <w:jc w:val="center"/>
              <w:rPr>
                <w:rFonts w:ascii="仿宋_GB2312" w:eastAsia="仿宋_GB2312" w:cs="仿宋_GB2312"/>
              </w:rPr>
            </w:pPr>
            <w:r w:rsidRPr="006C6864">
              <w:rPr>
                <w:rFonts w:ascii="仿宋_GB2312" w:eastAsia="仿宋_GB2312" w:cs="仿宋_GB2312" w:hint="eastAsia"/>
              </w:rPr>
              <w:t>18000</w:t>
            </w:r>
          </w:p>
        </w:tc>
      </w:tr>
      <w:tr w:rsidR="006C6864">
        <w:trPr>
          <w:trHeight w:val="425"/>
          <w:jc w:val="center"/>
        </w:trPr>
        <w:tc>
          <w:tcPr>
            <w:tcW w:w="1258" w:type="dxa"/>
            <w:tcBorders>
              <w:top w:val="nil"/>
              <w:left w:val="single" w:sz="4" w:space="0" w:color="auto"/>
              <w:bottom w:val="single" w:sz="4" w:space="0" w:color="auto"/>
              <w:right w:val="single" w:sz="4" w:space="0" w:color="auto"/>
            </w:tcBorders>
            <w:noWrap/>
            <w:vAlign w:val="bottom"/>
          </w:tcPr>
          <w:p w:rsidR="006C6864" w:rsidRDefault="006C6864">
            <w:pPr>
              <w:widowControl/>
              <w:spacing w:line="400" w:lineRule="exact"/>
              <w:jc w:val="center"/>
              <w:rPr>
                <w:rFonts w:ascii="仿宋_GB2312" w:eastAsia="仿宋_GB2312" w:hAnsi="宋体" w:cs="Times New Roman"/>
                <w:kern w:val="0"/>
              </w:rPr>
            </w:pPr>
            <w:r>
              <w:rPr>
                <w:rFonts w:ascii="仿宋_GB2312" w:eastAsia="仿宋_GB2312" w:hAnsi="宋体" w:cs="仿宋_GB2312" w:hint="eastAsia"/>
                <w:kern w:val="0"/>
              </w:rPr>
              <w:t>单位</w:t>
            </w:r>
          </w:p>
        </w:tc>
        <w:tc>
          <w:tcPr>
            <w:tcW w:w="4333" w:type="dxa"/>
            <w:gridSpan w:val="6"/>
            <w:tcBorders>
              <w:top w:val="single" w:sz="4" w:space="0" w:color="auto"/>
              <w:left w:val="nil"/>
              <w:bottom w:val="single" w:sz="4" w:space="0" w:color="auto"/>
              <w:right w:val="single" w:sz="4" w:space="0" w:color="auto"/>
            </w:tcBorders>
            <w:noWrap/>
            <w:vAlign w:val="bottom"/>
          </w:tcPr>
          <w:p w:rsidR="006C6864" w:rsidRDefault="006C6864">
            <w:pPr>
              <w:widowControl/>
              <w:spacing w:line="400" w:lineRule="exact"/>
              <w:jc w:val="center"/>
              <w:rPr>
                <w:rFonts w:ascii="仿宋_GB2312" w:eastAsia="仿宋_GB2312" w:hAnsi="宋体" w:cs="Times New Roman"/>
                <w:kern w:val="0"/>
              </w:rPr>
            </w:pPr>
            <w:r>
              <w:rPr>
                <w:rFonts w:ascii="仿宋_GB2312" w:eastAsia="仿宋_GB2312" w:hAnsi="宋体" w:cs="仿宋_GB2312" w:hint="eastAsia"/>
                <w:kern w:val="0"/>
              </w:rPr>
              <w:t>元</w:t>
            </w:r>
            <w:r>
              <w:rPr>
                <w:rFonts w:ascii="仿宋_GB2312" w:eastAsia="仿宋_GB2312" w:hAnsi="宋体" w:cs="仿宋_GB2312"/>
                <w:kern w:val="0"/>
              </w:rPr>
              <w:t>/</w:t>
            </w:r>
            <w:r>
              <w:rPr>
                <w:rFonts w:ascii="仿宋_GB2312" w:eastAsia="仿宋_GB2312" w:hAnsi="宋体" w:cs="仿宋_GB2312" w:hint="eastAsia"/>
                <w:kern w:val="0"/>
              </w:rPr>
              <w:t>公斤</w:t>
            </w:r>
          </w:p>
        </w:tc>
        <w:tc>
          <w:tcPr>
            <w:tcW w:w="3369" w:type="dxa"/>
            <w:gridSpan w:val="4"/>
            <w:tcBorders>
              <w:top w:val="single" w:sz="4" w:space="0" w:color="auto"/>
              <w:left w:val="nil"/>
              <w:bottom w:val="single" w:sz="4" w:space="0" w:color="auto"/>
              <w:right w:val="single" w:sz="4" w:space="0" w:color="auto"/>
            </w:tcBorders>
            <w:noWrap/>
            <w:vAlign w:val="bottom"/>
          </w:tcPr>
          <w:p w:rsidR="006C6864" w:rsidRDefault="006C6864">
            <w:pPr>
              <w:widowControl/>
              <w:spacing w:line="400" w:lineRule="exact"/>
              <w:jc w:val="center"/>
              <w:rPr>
                <w:rFonts w:ascii="仿宋_GB2312" w:eastAsia="仿宋_GB2312" w:hAnsi="宋体" w:cs="Times New Roman"/>
                <w:kern w:val="0"/>
              </w:rPr>
            </w:pPr>
            <w:r>
              <w:rPr>
                <w:rFonts w:ascii="仿宋_GB2312" w:eastAsia="仿宋_GB2312" w:hAnsi="宋体" w:cs="仿宋_GB2312" w:hint="eastAsia"/>
                <w:kern w:val="0"/>
              </w:rPr>
              <w:t>元</w:t>
            </w:r>
            <w:r>
              <w:rPr>
                <w:rFonts w:ascii="仿宋_GB2312" w:eastAsia="仿宋_GB2312" w:hAnsi="宋体" w:cs="仿宋_GB2312"/>
                <w:kern w:val="0"/>
              </w:rPr>
              <w:t>/</w:t>
            </w:r>
            <w:r>
              <w:rPr>
                <w:rFonts w:ascii="仿宋_GB2312" w:eastAsia="仿宋_GB2312" w:hAnsi="宋体" w:cs="仿宋_GB2312" w:hint="eastAsia"/>
                <w:kern w:val="0"/>
              </w:rPr>
              <w:t>吨</w:t>
            </w:r>
          </w:p>
        </w:tc>
      </w:tr>
    </w:tbl>
    <w:p w:rsidR="00114DE3" w:rsidRDefault="00114DE3"/>
    <w:p w:rsidR="00114DE3" w:rsidRDefault="00114DE3"/>
    <w:p w:rsidR="00114DE3" w:rsidRDefault="00114DE3"/>
    <w:p w:rsidR="00114DE3" w:rsidRDefault="00114DE3"/>
    <w:p w:rsidR="00114DE3" w:rsidRDefault="00114DE3"/>
    <w:p w:rsidR="00114DE3" w:rsidRDefault="00963A3B">
      <w:pPr>
        <w:pStyle w:val="1"/>
        <w:numPr>
          <w:ilvl w:val="0"/>
          <w:numId w:val="4"/>
        </w:numPr>
        <w:spacing w:line="400" w:lineRule="exact"/>
      </w:pPr>
      <w:bookmarkStart w:id="112" w:name="_Toc76568917"/>
      <w:r>
        <w:rPr>
          <w:rFonts w:cs="黑体" w:hint="eastAsia"/>
          <w:kern w:val="0"/>
        </w:rPr>
        <w:t>一周市场动态回顾</w:t>
      </w:r>
      <w:bookmarkEnd w:id="112"/>
    </w:p>
    <w:p w:rsidR="00114DE3" w:rsidRDefault="00963A3B">
      <w:pPr>
        <w:widowControl/>
        <w:jc w:val="left"/>
        <w:outlineLvl w:val="1"/>
        <w:rPr>
          <w:rFonts w:ascii="宋体" w:hAnsi="宋体" w:cs="宋体"/>
          <w:b/>
          <w:bCs/>
          <w:kern w:val="0"/>
          <w:sz w:val="30"/>
          <w:szCs w:val="30"/>
        </w:rPr>
      </w:pPr>
      <w:bookmarkStart w:id="113" w:name="_Toc76568918"/>
      <w:r>
        <w:rPr>
          <w:rFonts w:ascii="宋体" w:hAnsi="宋体" w:cs="宋体" w:hint="eastAsia"/>
          <w:b/>
          <w:bCs/>
          <w:kern w:val="0"/>
          <w:sz w:val="30"/>
          <w:szCs w:val="30"/>
        </w:rPr>
        <w:t>中国</w:t>
      </w:r>
      <w:r w:rsidR="00BC10F9" w:rsidRPr="00BC10F9">
        <w:rPr>
          <w:rFonts w:ascii="宋体" w:hAnsi="宋体" w:cs="宋体" w:hint="eastAsia"/>
          <w:b/>
          <w:bCs/>
          <w:kern w:val="0"/>
          <w:sz w:val="30"/>
          <w:szCs w:val="30"/>
        </w:rPr>
        <w:t>未来铜市供应及缺口</w:t>
      </w:r>
      <w:bookmarkEnd w:id="113"/>
    </w:p>
    <w:p w:rsidR="00BC10F9" w:rsidRPr="00BC10F9" w:rsidRDefault="00BC10F9" w:rsidP="00BC10F9">
      <w:pPr>
        <w:widowControl/>
        <w:wordWrap w:val="0"/>
        <w:spacing w:after="90" w:line="288" w:lineRule="auto"/>
        <w:ind w:firstLine="480"/>
        <w:jc w:val="left"/>
        <w:rPr>
          <w:rFonts w:asciiTheme="minorEastAsia" w:eastAsiaTheme="minorEastAsia" w:hAnsiTheme="minorEastAsia" w:cstheme="minorEastAsia"/>
          <w:sz w:val="28"/>
          <w:szCs w:val="28"/>
        </w:rPr>
      </w:pPr>
      <w:r w:rsidRPr="00BC10F9">
        <w:rPr>
          <w:rFonts w:asciiTheme="minorEastAsia" w:eastAsiaTheme="minorEastAsia" w:hAnsiTheme="minorEastAsia" w:cstheme="minorEastAsia"/>
          <w:sz w:val="28"/>
          <w:szCs w:val="28"/>
        </w:rPr>
        <w:t>到本世纪20年代中期，将出现600万吨铜的供应缺口，但填补这一缺口所需的项目面临艰难的斗争。</w:t>
      </w:r>
    </w:p>
    <w:p w:rsidR="00BC10F9" w:rsidRPr="00BC10F9" w:rsidRDefault="00BC10F9" w:rsidP="00BC10F9">
      <w:pPr>
        <w:widowControl/>
        <w:wordWrap w:val="0"/>
        <w:spacing w:after="90" w:line="288" w:lineRule="auto"/>
        <w:ind w:firstLine="480"/>
        <w:jc w:val="left"/>
        <w:rPr>
          <w:rFonts w:asciiTheme="minorEastAsia" w:eastAsiaTheme="minorEastAsia" w:hAnsiTheme="minorEastAsia" w:cstheme="minorEastAsia"/>
          <w:sz w:val="28"/>
          <w:szCs w:val="28"/>
        </w:rPr>
      </w:pPr>
      <w:r w:rsidRPr="00BC10F9">
        <w:rPr>
          <w:rFonts w:asciiTheme="minorEastAsia" w:eastAsiaTheme="minorEastAsia" w:hAnsiTheme="minorEastAsia" w:cstheme="minorEastAsia"/>
          <w:sz w:val="28"/>
          <w:szCs w:val="28"/>
        </w:rPr>
        <w:t>自5月份触及每磅4.888美元(每吨10776美元)的盘中纪录高位以来，铜市场已大幅降温，但由于全球努力实现运输电气化并转向可再生能源发电，这种作为金属风向标的大宗商品的长期基本面依然存在。</w:t>
      </w:r>
    </w:p>
    <w:p w:rsidR="00BC10F9" w:rsidRPr="00BC10F9" w:rsidRDefault="00BC10F9" w:rsidP="00BC10F9">
      <w:pPr>
        <w:widowControl/>
        <w:wordWrap w:val="0"/>
        <w:spacing w:after="90" w:line="288" w:lineRule="auto"/>
        <w:ind w:firstLine="480"/>
        <w:jc w:val="left"/>
        <w:rPr>
          <w:rFonts w:asciiTheme="minorEastAsia" w:eastAsiaTheme="minorEastAsia" w:hAnsiTheme="minorEastAsia" w:cstheme="minorEastAsia"/>
          <w:sz w:val="28"/>
          <w:szCs w:val="28"/>
        </w:rPr>
      </w:pPr>
      <w:r w:rsidRPr="00BC10F9">
        <w:rPr>
          <w:rFonts w:asciiTheme="minorEastAsia" w:eastAsiaTheme="minorEastAsia" w:hAnsiTheme="minorEastAsia" w:cstheme="minorEastAsia"/>
          <w:sz w:val="28"/>
          <w:szCs w:val="28"/>
        </w:rPr>
        <w:t>CRU Group首席铜分析师埃里克•海姆利克(Erik Heimlich)最近在一个名为“引领基本金属绿色革命”的研讨会上指出，从本世纪20年代中期开始，长期供应缺口将达到590万吨。</w:t>
      </w:r>
    </w:p>
    <w:p w:rsidR="00BC10F9" w:rsidRPr="00BC10F9" w:rsidRDefault="00BC10F9" w:rsidP="00BC10F9">
      <w:pPr>
        <w:widowControl/>
        <w:wordWrap w:val="0"/>
        <w:spacing w:after="90" w:line="288" w:lineRule="auto"/>
        <w:ind w:firstLine="480"/>
        <w:jc w:val="left"/>
        <w:rPr>
          <w:rFonts w:asciiTheme="minorEastAsia" w:eastAsiaTheme="minorEastAsia" w:hAnsiTheme="minorEastAsia" w:cstheme="minorEastAsia"/>
          <w:sz w:val="28"/>
          <w:szCs w:val="28"/>
        </w:rPr>
      </w:pPr>
      <w:r w:rsidRPr="00BC10F9">
        <w:rPr>
          <w:rFonts w:asciiTheme="minorEastAsia" w:eastAsiaTheme="minorEastAsia" w:hAnsiTheme="minorEastAsia" w:cstheme="minorEastAsia"/>
          <w:sz w:val="28"/>
          <w:szCs w:val="28"/>
        </w:rPr>
        <w:t>10年的供应缺口与去年略高于2,000万吨的年产量相比，是指需求与现有项目和已承诺项目的初级产出之间的差距。</w:t>
      </w:r>
    </w:p>
    <w:p w:rsidR="00BC10F9" w:rsidRPr="00BC10F9" w:rsidRDefault="00BC10F9" w:rsidP="00BC10F9">
      <w:pPr>
        <w:widowControl/>
        <w:wordWrap w:val="0"/>
        <w:spacing w:after="90" w:line="288" w:lineRule="auto"/>
        <w:ind w:firstLine="480"/>
        <w:jc w:val="left"/>
        <w:rPr>
          <w:rFonts w:asciiTheme="minorEastAsia" w:eastAsiaTheme="minorEastAsia" w:hAnsiTheme="minorEastAsia" w:cstheme="minorEastAsia"/>
          <w:sz w:val="28"/>
          <w:szCs w:val="28"/>
        </w:rPr>
      </w:pPr>
      <w:r w:rsidRPr="00BC10F9">
        <w:rPr>
          <w:rFonts w:asciiTheme="minorEastAsia" w:eastAsiaTheme="minorEastAsia" w:hAnsiTheme="minorEastAsia" w:cstheme="minorEastAsia"/>
          <w:sz w:val="28"/>
          <w:szCs w:val="28"/>
        </w:rPr>
        <w:t>海姆利希说,这个行业不是面临供应缺口特别艰巨的历史标准——这是过去七年超过500万吨,其中包括在2015年和2016年在大宗商品市场底部的一个残酷的时间和铜是值得现在的一半。</w:t>
      </w:r>
    </w:p>
    <w:p w:rsidR="00BC10F9" w:rsidRPr="00BC10F9" w:rsidRDefault="00BC10F9" w:rsidP="00BC10F9">
      <w:pPr>
        <w:widowControl/>
        <w:wordWrap w:val="0"/>
        <w:spacing w:after="90" w:line="288" w:lineRule="auto"/>
        <w:ind w:firstLine="480"/>
        <w:jc w:val="left"/>
        <w:rPr>
          <w:rFonts w:asciiTheme="minorEastAsia" w:eastAsiaTheme="minorEastAsia" w:hAnsiTheme="minorEastAsia" w:cstheme="minorEastAsia"/>
          <w:sz w:val="28"/>
          <w:szCs w:val="28"/>
        </w:rPr>
      </w:pPr>
      <w:r w:rsidRPr="00BC10F9">
        <w:rPr>
          <w:rFonts w:asciiTheme="minorEastAsia" w:eastAsiaTheme="minorEastAsia" w:hAnsiTheme="minorEastAsia" w:cstheme="minorEastAsia"/>
          <w:sz w:val="28"/>
          <w:szCs w:val="28"/>
        </w:rPr>
        <w:lastRenderedPageBreak/>
        <w:t>然而，根据Heimlich的说法，该行业在填补这一缺口方面面临着许多挑战，开发商被迫调整一个日益复杂和令人担忧的过程，以便将这些项目投入生产。</w:t>
      </w:r>
    </w:p>
    <w:p w:rsidR="00BC10F9" w:rsidRPr="00BC10F9" w:rsidRDefault="00BC10F9" w:rsidP="00BC10F9">
      <w:pPr>
        <w:widowControl/>
        <w:wordWrap w:val="0"/>
        <w:spacing w:after="90" w:line="288" w:lineRule="auto"/>
        <w:ind w:firstLine="480"/>
        <w:jc w:val="left"/>
        <w:rPr>
          <w:rFonts w:asciiTheme="minorEastAsia" w:eastAsiaTheme="minorEastAsia" w:hAnsiTheme="minorEastAsia" w:cstheme="minorEastAsia"/>
          <w:sz w:val="28"/>
          <w:szCs w:val="28"/>
        </w:rPr>
      </w:pPr>
      <w:r w:rsidRPr="00BC10F9">
        <w:rPr>
          <w:rFonts w:asciiTheme="minorEastAsia" w:eastAsiaTheme="minorEastAsia" w:hAnsiTheme="minorEastAsia" w:cstheme="minorEastAsia"/>
          <w:sz w:val="28"/>
          <w:szCs w:val="28"/>
        </w:rPr>
        <w:t>Permit delayed表示拒绝许可</w:t>
      </w:r>
    </w:p>
    <w:p w:rsidR="00BC10F9" w:rsidRPr="00BC10F9" w:rsidRDefault="00BC10F9" w:rsidP="00BC10F9">
      <w:pPr>
        <w:widowControl/>
        <w:wordWrap w:val="0"/>
        <w:spacing w:after="90" w:line="288" w:lineRule="auto"/>
        <w:ind w:firstLine="480"/>
        <w:jc w:val="left"/>
        <w:rPr>
          <w:rFonts w:asciiTheme="minorEastAsia" w:eastAsiaTheme="minorEastAsia" w:hAnsiTheme="minorEastAsia" w:cstheme="minorEastAsia"/>
          <w:sz w:val="28"/>
          <w:szCs w:val="28"/>
        </w:rPr>
      </w:pPr>
      <w:r w:rsidRPr="00BC10F9">
        <w:rPr>
          <w:rFonts w:asciiTheme="minorEastAsia" w:eastAsiaTheme="minorEastAsia" w:hAnsiTheme="minorEastAsia" w:cstheme="minorEastAsia"/>
          <w:sz w:val="28"/>
          <w:szCs w:val="28"/>
        </w:rPr>
        <w:t>海姆利克说，ESG的担忧和利益相关者的要求将改变未来几十年该行业的项目批准趋势。</w:t>
      </w:r>
    </w:p>
    <w:p w:rsidR="00BC10F9" w:rsidRPr="00BC10F9" w:rsidRDefault="00BC10F9" w:rsidP="00BC10F9">
      <w:pPr>
        <w:widowControl/>
        <w:wordWrap w:val="0"/>
        <w:spacing w:after="90" w:line="288" w:lineRule="auto"/>
        <w:ind w:firstLine="480"/>
        <w:jc w:val="left"/>
        <w:rPr>
          <w:rFonts w:asciiTheme="minorEastAsia" w:eastAsiaTheme="minorEastAsia" w:hAnsiTheme="minorEastAsia" w:cstheme="minorEastAsia"/>
          <w:sz w:val="28"/>
          <w:szCs w:val="28"/>
        </w:rPr>
      </w:pPr>
      <w:r w:rsidRPr="00BC10F9">
        <w:rPr>
          <w:rFonts w:asciiTheme="minorEastAsia" w:eastAsiaTheme="minorEastAsia" w:hAnsiTheme="minorEastAsia" w:cstheme="minorEastAsia"/>
          <w:sz w:val="28"/>
          <w:szCs w:val="28"/>
        </w:rPr>
        <w:t>环境、当地社区和土地所有权问题，加上政客和非政府组织乐于煽风点火，成为许多此类项目的主要障碍，而那些今天看来可能的项目可能很快就会进入可能或投机的行列。</w:t>
      </w:r>
    </w:p>
    <w:p w:rsidR="00BC10F9" w:rsidRPr="00BC10F9" w:rsidRDefault="00BC10F9" w:rsidP="00BC10F9">
      <w:pPr>
        <w:widowControl/>
        <w:wordWrap w:val="0"/>
        <w:spacing w:after="90" w:line="288" w:lineRule="auto"/>
        <w:ind w:firstLine="480"/>
        <w:jc w:val="left"/>
        <w:rPr>
          <w:rFonts w:asciiTheme="minorEastAsia" w:eastAsiaTheme="minorEastAsia" w:hAnsiTheme="minorEastAsia" w:cstheme="minorEastAsia"/>
          <w:sz w:val="28"/>
          <w:szCs w:val="28"/>
        </w:rPr>
      </w:pPr>
      <w:r w:rsidRPr="00BC10F9">
        <w:rPr>
          <w:rFonts w:asciiTheme="minorEastAsia" w:eastAsiaTheme="minorEastAsia" w:hAnsiTheme="minorEastAsia" w:cstheme="minorEastAsia"/>
          <w:sz w:val="28"/>
          <w:szCs w:val="28"/>
        </w:rPr>
        <w:t>以Hudbay Minerals的Rosemont铜矿项目为例，该项目已经陷入了十多年的困境，因为不同的当局为争夺哪个部门的管辖权而争斗不休，使得本已漫长的审查和咨询过程变得复杂。</w:t>
      </w:r>
    </w:p>
    <w:p w:rsidR="00BC10F9" w:rsidRPr="00BC10F9" w:rsidRDefault="00BC10F9" w:rsidP="00BC10F9">
      <w:pPr>
        <w:widowControl/>
        <w:wordWrap w:val="0"/>
        <w:spacing w:after="90" w:line="288" w:lineRule="auto"/>
        <w:ind w:firstLine="480"/>
        <w:jc w:val="left"/>
        <w:rPr>
          <w:rFonts w:asciiTheme="minorEastAsia" w:eastAsiaTheme="minorEastAsia" w:hAnsiTheme="minorEastAsia" w:cstheme="minorEastAsia"/>
          <w:sz w:val="28"/>
          <w:szCs w:val="28"/>
        </w:rPr>
      </w:pPr>
      <w:r w:rsidRPr="00BC10F9">
        <w:rPr>
          <w:rFonts w:asciiTheme="minorEastAsia" w:eastAsiaTheme="minorEastAsia" w:hAnsiTheme="minorEastAsia" w:cstheme="minorEastAsia"/>
          <w:sz w:val="28"/>
          <w:szCs w:val="28"/>
        </w:rPr>
        <w:t>在一家下级法院否决了美国林务局(Forest Service)的矿山计划批准后，这家多伦多公司提出的上诉预计要到今年晚些时候才会有结果。(七年前，在摄像机在该地区发现豹猫后，森林组织就要求鱼类和野生动物重新开始咨询。)</w:t>
      </w:r>
    </w:p>
    <w:p w:rsidR="00BC10F9" w:rsidRPr="00BC10F9" w:rsidRDefault="00BC10F9" w:rsidP="00BC10F9">
      <w:pPr>
        <w:widowControl/>
        <w:wordWrap w:val="0"/>
        <w:spacing w:after="90" w:line="288" w:lineRule="auto"/>
        <w:ind w:firstLine="480"/>
        <w:jc w:val="left"/>
        <w:rPr>
          <w:rFonts w:asciiTheme="minorEastAsia" w:eastAsiaTheme="minorEastAsia" w:hAnsiTheme="minorEastAsia" w:cstheme="minorEastAsia"/>
          <w:sz w:val="28"/>
          <w:szCs w:val="28"/>
        </w:rPr>
      </w:pPr>
      <w:r w:rsidRPr="00BC10F9">
        <w:rPr>
          <w:rFonts w:asciiTheme="minorEastAsia" w:eastAsiaTheme="minorEastAsia" w:hAnsiTheme="minorEastAsia" w:cstheme="minorEastAsia"/>
          <w:sz w:val="28"/>
          <w:szCs w:val="28"/>
        </w:rPr>
        <w:t>今年4月，美国环境保护署(EPA)表示，美国陆军工兵部队(Army Corps of Engineers)根据《清洁水法》(CleanWater Act)决定，该矿山不需要获得许可，这违反了联邦政策。就这样来回移动。</w:t>
      </w:r>
    </w:p>
    <w:p w:rsidR="00BC10F9" w:rsidRPr="00BC10F9" w:rsidRDefault="00BC10F9" w:rsidP="00BC10F9">
      <w:pPr>
        <w:widowControl/>
        <w:wordWrap w:val="0"/>
        <w:spacing w:after="90" w:line="288" w:lineRule="auto"/>
        <w:ind w:firstLine="480"/>
        <w:jc w:val="left"/>
        <w:rPr>
          <w:rFonts w:asciiTheme="minorEastAsia" w:eastAsiaTheme="minorEastAsia" w:hAnsiTheme="minorEastAsia" w:cstheme="minorEastAsia"/>
          <w:sz w:val="28"/>
          <w:szCs w:val="28"/>
        </w:rPr>
      </w:pPr>
      <w:r w:rsidRPr="00BC10F9">
        <w:rPr>
          <w:rFonts w:asciiTheme="minorEastAsia" w:eastAsiaTheme="minorEastAsia" w:hAnsiTheme="minorEastAsia" w:cstheme="minorEastAsia"/>
          <w:sz w:val="28"/>
          <w:szCs w:val="28"/>
        </w:rPr>
        <w:t>虽然极端，罗斯蒙特的恶化不是典型的。哈莫尼黄金公司(Harmony Gold)和纽克瑞斯特矿业(Newcrest Mining)在巴布亚新几内亚的合资企业Waf</w:t>
      </w:r>
      <w:r w:rsidRPr="00BC10F9">
        <w:rPr>
          <w:rFonts w:asciiTheme="minorEastAsia" w:eastAsiaTheme="minorEastAsia" w:hAnsiTheme="minorEastAsia" w:cstheme="minorEastAsia"/>
          <w:sz w:val="28"/>
          <w:szCs w:val="28"/>
        </w:rPr>
        <w:lastRenderedPageBreak/>
        <w:t>i-Golpu获得的一份环境许可证，也在上个月因其深海尾矿处置计划遭到反对而被退回法庭。</w:t>
      </w:r>
    </w:p>
    <w:p w:rsidR="00BC10F9" w:rsidRPr="00BC10F9" w:rsidRDefault="00BC10F9" w:rsidP="00BC10F9">
      <w:pPr>
        <w:widowControl/>
        <w:wordWrap w:val="0"/>
        <w:spacing w:after="90" w:line="288" w:lineRule="auto"/>
        <w:ind w:firstLine="480"/>
        <w:jc w:val="left"/>
        <w:rPr>
          <w:rFonts w:asciiTheme="minorEastAsia" w:eastAsiaTheme="minorEastAsia" w:hAnsiTheme="minorEastAsia" w:cstheme="minorEastAsia"/>
          <w:sz w:val="28"/>
          <w:szCs w:val="28"/>
        </w:rPr>
      </w:pPr>
      <w:r w:rsidRPr="00BC10F9">
        <w:rPr>
          <w:rFonts w:asciiTheme="minorEastAsia" w:eastAsiaTheme="minorEastAsia" w:hAnsiTheme="minorEastAsia" w:cstheme="minorEastAsia"/>
          <w:sz w:val="28"/>
          <w:szCs w:val="28"/>
        </w:rPr>
        <w:t>同样在4月，智利法院下令对北阿比托原住民的影响进行特别审查，这是巴里克和纽蒙特共同拥有的一个绿地项目，这两家公司最近一直在向投资者兜售他们的铜矿雄心。</w:t>
      </w:r>
    </w:p>
    <w:p w:rsidR="00BC10F9" w:rsidRPr="00BC10F9" w:rsidRDefault="00BC10F9" w:rsidP="00BC10F9">
      <w:pPr>
        <w:widowControl/>
        <w:wordWrap w:val="0"/>
        <w:spacing w:after="90" w:line="288" w:lineRule="auto"/>
        <w:ind w:firstLine="480"/>
        <w:jc w:val="left"/>
        <w:rPr>
          <w:rFonts w:asciiTheme="minorEastAsia" w:eastAsiaTheme="minorEastAsia" w:hAnsiTheme="minorEastAsia" w:cstheme="minorEastAsia"/>
          <w:sz w:val="28"/>
          <w:szCs w:val="28"/>
        </w:rPr>
      </w:pPr>
      <w:r w:rsidRPr="00BC10F9">
        <w:rPr>
          <w:rFonts w:asciiTheme="minorEastAsia" w:eastAsiaTheme="minorEastAsia" w:hAnsiTheme="minorEastAsia" w:cstheme="minorEastAsia"/>
          <w:sz w:val="28"/>
          <w:szCs w:val="28"/>
        </w:rPr>
        <w:t>建好了，他们就会交新税</w:t>
      </w:r>
    </w:p>
    <w:p w:rsidR="00BC10F9" w:rsidRPr="00BC10F9" w:rsidRDefault="00BC10F9" w:rsidP="00BC10F9">
      <w:pPr>
        <w:widowControl/>
        <w:wordWrap w:val="0"/>
        <w:spacing w:after="90" w:line="288" w:lineRule="auto"/>
        <w:ind w:firstLine="480"/>
        <w:jc w:val="left"/>
        <w:rPr>
          <w:rFonts w:asciiTheme="minorEastAsia" w:eastAsiaTheme="minorEastAsia" w:hAnsiTheme="minorEastAsia" w:cstheme="minorEastAsia"/>
          <w:sz w:val="28"/>
          <w:szCs w:val="28"/>
        </w:rPr>
      </w:pPr>
      <w:r w:rsidRPr="00BC10F9">
        <w:rPr>
          <w:rFonts w:asciiTheme="minorEastAsia" w:eastAsiaTheme="minorEastAsia" w:hAnsiTheme="minorEastAsia" w:cstheme="minorEastAsia"/>
          <w:sz w:val="28"/>
          <w:szCs w:val="28"/>
        </w:rPr>
        <w:t>Pedro Castillo的当选可能会给Southern Copper在秘鲁的Tia Maria项目钉上最后一钉(70%的税率就可以实现)，该项目此前曾因致命的社区和环境抗议而被叫停两次。</w:t>
      </w:r>
    </w:p>
    <w:p w:rsidR="00BC10F9" w:rsidRPr="00BC10F9" w:rsidRDefault="00BC10F9" w:rsidP="00BC10F9">
      <w:pPr>
        <w:widowControl/>
        <w:wordWrap w:val="0"/>
        <w:spacing w:after="90" w:line="288" w:lineRule="auto"/>
        <w:ind w:firstLine="480"/>
        <w:jc w:val="left"/>
        <w:rPr>
          <w:rFonts w:asciiTheme="minorEastAsia" w:eastAsiaTheme="minorEastAsia" w:hAnsiTheme="minorEastAsia" w:cstheme="minorEastAsia"/>
          <w:sz w:val="28"/>
          <w:szCs w:val="28"/>
        </w:rPr>
      </w:pPr>
      <w:r w:rsidRPr="00BC10F9">
        <w:rPr>
          <w:rFonts w:asciiTheme="minorEastAsia" w:eastAsiaTheme="minorEastAsia" w:hAnsiTheme="minorEastAsia" w:cstheme="minorEastAsia"/>
          <w:sz w:val="28"/>
          <w:szCs w:val="28"/>
        </w:rPr>
        <w:t>智利的新权利金制度可能会被削弱，但如果你的起点是按现行铜价计算利润的四分之三，你将需要大量的水。</w:t>
      </w:r>
    </w:p>
    <w:p w:rsidR="00BC10F9" w:rsidRPr="00BC10F9" w:rsidRDefault="00BC10F9" w:rsidP="00BC10F9">
      <w:pPr>
        <w:widowControl/>
        <w:wordWrap w:val="0"/>
        <w:spacing w:after="90" w:line="288" w:lineRule="auto"/>
        <w:ind w:firstLine="480"/>
        <w:jc w:val="left"/>
        <w:rPr>
          <w:rFonts w:asciiTheme="minorEastAsia" w:eastAsiaTheme="minorEastAsia" w:hAnsiTheme="minorEastAsia" w:cstheme="minorEastAsia"/>
          <w:sz w:val="28"/>
          <w:szCs w:val="28"/>
        </w:rPr>
      </w:pPr>
      <w:r w:rsidRPr="00BC10F9">
        <w:rPr>
          <w:rFonts w:asciiTheme="minorEastAsia" w:eastAsiaTheme="minorEastAsia" w:hAnsiTheme="minorEastAsia" w:cstheme="minorEastAsia"/>
          <w:sz w:val="28"/>
          <w:szCs w:val="28"/>
        </w:rPr>
        <w:t>除了曲折的审批过程之外，环境方面的考虑也会对项目的经济造成严重破坏。</w:t>
      </w:r>
    </w:p>
    <w:p w:rsidR="00BC10F9" w:rsidRPr="00BC10F9" w:rsidRDefault="00BC10F9" w:rsidP="00BC10F9">
      <w:pPr>
        <w:widowControl/>
        <w:wordWrap w:val="0"/>
        <w:spacing w:after="90" w:line="288" w:lineRule="auto"/>
        <w:ind w:firstLine="480"/>
        <w:jc w:val="left"/>
        <w:rPr>
          <w:rFonts w:asciiTheme="minorEastAsia" w:eastAsiaTheme="minorEastAsia" w:hAnsiTheme="minorEastAsia" w:cstheme="minorEastAsia"/>
          <w:sz w:val="28"/>
          <w:szCs w:val="28"/>
        </w:rPr>
      </w:pPr>
      <w:r w:rsidRPr="00BC10F9">
        <w:rPr>
          <w:rFonts w:asciiTheme="minorEastAsia" w:eastAsiaTheme="minorEastAsia" w:hAnsiTheme="minorEastAsia" w:cstheme="minorEastAsia"/>
          <w:sz w:val="28"/>
          <w:szCs w:val="28"/>
        </w:rPr>
        <w:t>举例来说，英美资源集团耗资30亿美元的LosBronces地下扩建计划将采用分段回采方法，以便在冰川众多的地区不会对地表产生影响，但这样做意味着比块状崩落法或露天矿开采法的矿石提取量要低得多。这个15万吨/年的项目预计需要三年时间才能开工。</w:t>
      </w:r>
    </w:p>
    <w:p w:rsidR="00BC10F9" w:rsidRPr="00BC10F9" w:rsidRDefault="00BC10F9" w:rsidP="00BC10F9">
      <w:pPr>
        <w:widowControl/>
        <w:wordWrap w:val="0"/>
        <w:spacing w:after="90" w:line="288" w:lineRule="auto"/>
        <w:ind w:firstLine="480"/>
        <w:jc w:val="left"/>
        <w:rPr>
          <w:rFonts w:asciiTheme="minorEastAsia" w:eastAsiaTheme="minorEastAsia" w:hAnsiTheme="minorEastAsia" w:cstheme="minorEastAsia"/>
          <w:sz w:val="28"/>
          <w:szCs w:val="28"/>
        </w:rPr>
      </w:pPr>
      <w:r w:rsidRPr="00BC10F9">
        <w:rPr>
          <w:rFonts w:asciiTheme="minorEastAsia" w:eastAsiaTheme="minorEastAsia" w:hAnsiTheme="minorEastAsia" w:cstheme="minorEastAsia"/>
          <w:sz w:val="28"/>
          <w:szCs w:val="28"/>
        </w:rPr>
        <w:t>变大，变混合</w:t>
      </w:r>
    </w:p>
    <w:p w:rsidR="00BC10F9" w:rsidRPr="00BC10F9" w:rsidRDefault="00BC10F9" w:rsidP="00BC10F9">
      <w:pPr>
        <w:widowControl/>
        <w:wordWrap w:val="0"/>
        <w:spacing w:after="90" w:line="288" w:lineRule="auto"/>
        <w:ind w:firstLine="480"/>
        <w:jc w:val="left"/>
        <w:rPr>
          <w:rFonts w:asciiTheme="minorEastAsia" w:eastAsiaTheme="minorEastAsia" w:hAnsiTheme="minorEastAsia" w:cstheme="minorEastAsia"/>
          <w:sz w:val="28"/>
          <w:szCs w:val="28"/>
        </w:rPr>
      </w:pPr>
      <w:r w:rsidRPr="00BC10F9">
        <w:rPr>
          <w:rFonts w:asciiTheme="minorEastAsia" w:eastAsiaTheme="minorEastAsia" w:hAnsiTheme="minorEastAsia" w:cstheme="minorEastAsia"/>
          <w:sz w:val="28"/>
          <w:szCs w:val="28"/>
        </w:rPr>
        <w:t>基础设施的成本也在上升(那些海水淡化厂和输电线并不便宜)，随着矿石品位越来越低，必须建立更大的业务。</w:t>
      </w:r>
    </w:p>
    <w:p w:rsidR="00BC10F9" w:rsidRPr="00BC10F9" w:rsidRDefault="00BC10F9" w:rsidP="00BC10F9">
      <w:pPr>
        <w:widowControl/>
        <w:wordWrap w:val="0"/>
        <w:spacing w:after="90" w:line="288" w:lineRule="auto"/>
        <w:ind w:firstLine="480"/>
        <w:jc w:val="left"/>
        <w:rPr>
          <w:rFonts w:asciiTheme="minorEastAsia" w:eastAsiaTheme="minorEastAsia" w:hAnsiTheme="minorEastAsia" w:cstheme="minorEastAsia"/>
          <w:sz w:val="28"/>
          <w:szCs w:val="28"/>
        </w:rPr>
      </w:pPr>
      <w:r w:rsidRPr="00BC10F9">
        <w:rPr>
          <w:rFonts w:asciiTheme="minorEastAsia" w:eastAsiaTheme="minorEastAsia" w:hAnsiTheme="minorEastAsia" w:cstheme="minorEastAsia"/>
          <w:sz w:val="28"/>
          <w:szCs w:val="28"/>
        </w:rPr>
        <w:lastRenderedPageBreak/>
        <w:t>Kaz Minerals提议在偏远的楚科特卡(Chukotka)地区开采Baimskaya矿(每年7000万吨矿石，没有小鱼)就是一个很好的例子，说明这些支出是如何膨胀的。这不是开发商的错。</w:t>
      </w:r>
    </w:p>
    <w:p w:rsidR="00BC10F9" w:rsidRPr="00BC10F9" w:rsidRDefault="00BC10F9" w:rsidP="00BC10F9">
      <w:pPr>
        <w:widowControl/>
        <w:wordWrap w:val="0"/>
        <w:spacing w:after="90" w:line="288" w:lineRule="auto"/>
        <w:ind w:firstLine="480"/>
        <w:jc w:val="left"/>
        <w:rPr>
          <w:rFonts w:asciiTheme="minorEastAsia" w:eastAsiaTheme="minorEastAsia" w:hAnsiTheme="minorEastAsia" w:cstheme="minorEastAsia"/>
          <w:sz w:val="28"/>
          <w:szCs w:val="28"/>
        </w:rPr>
      </w:pPr>
      <w:r w:rsidRPr="00BC10F9">
        <w:rPr>
          <w:rFonts w:asciiTheme="minorEastAsia" w:eastAsiaTheme="minorEastAsia" w:hAnsiTheme="minorEastAsia" w:cstheme="minorEastAsia"/>
          <w:sz w:val="28"/>
          <w:szCs w:val="28"/>
        </w:rPr>
        <w:t>在俄罗斯政府决定矿商必须为该地区的新基础设施计划做出贡献后，和子见证了该项目的成本飙升至80亿美元。这家即将私有化的哈萨克斯坦矿商将该项目推迟了至少一年。</w:t>
      </w:r>
    </w:p>
    <w:p w:rsidR="00BC10F9" w:rsidRPr="00BC10F9" w:rsidRDefault="00BC10F9" w:rsidP="00BC10F9">
      <w:pPr>
        <w:widowControl/>
        <w:wordWrap w:val="0"/>
        <w:spacing w:after="90" w:line="288" w:lineRule="auto"/>
        <w:ind w:firstLine="480"/>
        <w:jc w:val="left"/>
        <w:rPr>
          <w:rFonts w:asciiTheme="minorEastAsia" w:eastAsiaTheme="minorEastAsia" w:hAnsiTheme="minorEastAsia" w:cstheme="minorEastAsia"/>
          <w:sz w:val="28"/>
          <w:szCs w:val="28"/>
        </w:rPr>
      </w:pPr>
      <w:r w:rsidRPr="00BC10F9">
        <w:rPr>
          <w:rFonts w:asciiTheme="minorEastAsia" w:eastAsiaTheme="minorEastAsia" w:hAnsiTheme="minorEastAsia" w:cstheme="minorEastAsia"/>
          <w:sz w:val="28"/>
          <w:szCs w:val="28"/>
        </w:rPr>
        <w:t>建造更大的建筑本身也会产生问题，因为砷、锑和铋等有害物质的比例更大，最终以浓缩形式出现。混合作为一种解决方案只能使用很长时间，因为，如果每个人都有同样的问题，你要和谁混合呢?</w:t>
      </w:r>
    </w:p>
    <w:p w:rsidR="00BC10F9" w:rsidRPr="00BC10F9" w:rsidRDefault="00BC10F9" w:rsidP="00BC10F9">
      <w:pPr>
        <w:widowControl/>
        <w:wordWrap w:val="0"/>
        <w:spacing w:after="90" w:line="288" w:lineRule="auto"/>
        <w:ind w:firstLine="480"/>
        <w:jc w:val="left"/>
        <w:rPr>
          <w:rFonts w:asciiTheme="minorEastAsia" w:eastAsiaTheme="minorEastAsia" w:hAnsiTheme="minorEastAsia" w:cstheme="minorEastAsia"/>
          <w:sz w:val="28"/>
          <w:szCs w:val="28"/>
        </w:rPr>
      </w:pPr>
      <w:r w:rsidRPr="00BC10F9">
        <w:rPr>
          <w:rFonts w:asciiTheme="minorEastAsia" w:eastAsiaTheme="minorEastAsia" w:hAnsiTheme="minorEastAsia" w:cstheme="minorEastAsia"/>
          <w:sz w:val="28"/>
          <w:szCs w:val="28"/>
        </w:rPr>
        <w:t>矿商目前显然在TC/RCs的拉锯战中占了上风，尽管价格已从历史低点缓慢回升，本周已回升至每吨30美元上方。</w:t>
      </w:r>
    </w:p>
    <w:p w:rsidR="00BC10F9" w:rsidRPr="00BC10F9" w:rsidRDefault="00BC10F9" w:rsidP="00BC10F9">
      <w:pPr>
        <w:widowControl/>
        <w:wordWrap w:val="0"/>
        <w:spacing w:after="90" w:line="288" w:lineRule="auto"/>
        <w:ind w:firstLine="480"/>
        <w:jc w:val="left"/>
        <w:rPr>
          <w:rFonts w:asciiTheme="minorEastAsia" w:eastAsiaTheme="minorEastAsia" w:hAnsiTheme="minorEastAsia" w:cstheme="minorEastAsia"/>
          <w:sz w:val="28"/>
          <w:szCs w:val="28"/>
        </w:rPr>
      </w:pPr>
      <w:r w:rsidRPr="00BC10F9">
        <w:rPr>
          <w:rFonts w:asciiTheme="minorEastAsia" w:eastAsiaTheme="minorEastAsia" w:hAnsiTheme="minorEastAsia" w:cstheme="minorEastAsia"/>
          <w:sz w:val="28"/>
          <w:szCs w:val="28"/>
        </w:rPr>
        <w:t>就在不久以前，冶炼厂——应对自身的环境限制——有足够的信心拒绝使用高杂质材料，并压榨矿商的应付款。</w:t>
      </w:r>
    </w:p>
    <w:p w:rsidR="00BC10F9" w:rsidRPr="00BC10F9" w:rsidRDefault="00BC10F9" w:rsidP="00BC10F9">
      <w:pPr>
        <w:widowControl/>
        <w:wordWrap w:val="0"/>
        <w:spacing w:after="90" w:line="288" w:lineRule="auto"/>
        <w:ind w:firstLine="480"/>
        <w:jc w:val="left"/>
        <w:rPr>
          <w:rFonts w:asciiTheme="minorEastAsia" w:eastAsiaTheme="minorEastAsia" w:hAnsiTheme="minorEastAsia" w:cstheme="minorEastAsia"/>
          <w:sz w:val="28"/>
          <w:szCs w:val="28"/>
        </w:rPr>
      </w:pPr>
      <w:r w:rsidRPr="00BC10F9">
        <w:rPr>
          <w:rFonts w:asciiTheme="minorEastAsia" w:eastAsiaTheme="minorEastAsia" w:hAnsiTheme="minorEastAsia" w:cstheme="minorEastAsia"/>
          <w:sz w:val="28"/>
          <w:szCs w:val="28"/>
        </w:rPr>
        <w:t>美元和激励</w:t>
      </w:r>
    </w:p>
    <w:p w:rsidR="00BC10F9" w:rsidRPr="00BC10F9" w:rsidRDefault="00BC10F9" w:rsidP="00BC10F9">
      <w:pPr>
        <w:widowControl/>
        <w:wordWrap w:val="0"/>
        <w:spacing w:after="90" w:line="288" w:lineRule="auto"/>
        <w:ind w:firstLine="480"/>
        <w:jc w:val="left"/>
        <w:rPr>
          <w:rFonts w:asciiTheme="minorEastAsia" w:eastAsiaTheme="minorEastAsia" w:hAnsiTheme="minorEastAsia" w:cstheme="minorEastAsia"/>
          <w:sz w:val="28"/>
          <w:szCs w:val="28"/>
        </w:rPr>
      </w:pPr>
      <w:r w:rsidRPr="00BC10F9">
        <w:rPr>
          <w:rFonts w:asciiTheme="minorEastAsia" w:eastAsiaTheme="minorEastAsia" w:hAnsiTheme="minorEastAsia" w:cstheme="minorEastAsia"/>
          <w:sz w:val="28"/>
          <w:szCs w:val="28"/>
        </w:rPr>
        <w:t>根据海姆利克的说法，目前的铜价为建设这些铜矿提供了充足的动力，CRU的可能类别项目将填补大部分预期缺口。海姆利克还指出，自2015年以来，一些地区，特别是俄罗斯和中非铜带地区，已经能够提升大多数项目的地位。</w:t>
      </w:r>
    </w:p>
    <w:p w:rsidR="00BC10F9" w:rsidRPr="00BC10F9" w:rsidRDefault="00BC10F9" w:rsidP="00BC10F9">
      <w:pPr>
        <w:widowControl/>
        <w:wordWrap w:val="0"/>
        <w:spacing w:after="90" w:line="288" w:lineRule="auto"/>
        <w:ind w:firstLine="480"/>
        <w:jc w:val="left"/>
        <w:rPr>
          <w:rFonts w:asciiTheme="minorEastAsia" w:eastAsiaTheme="minorEastAsia" w:hAnsiTheme="minorEastAsia" w:cstheme="minorEastAsia"/>
          <w:sz w:val="28"/>
          <w:szCs w:val="28"/>
        </w:rPr>
      </w:pPr>
      <w:r w:rsidRPr="00BC10F9">
        <w:rPr>
          <w:rFonts w:asciiTheme="minorEastAsia" w:eastAsiaTheme="minorEastAsia" w:hAnsiTheme="minorEastAsia" w:cstheme="minorEastAsia"/>
          <w:sz w:val="28"/>
          <w:szCs w:val="28"/>
        </w:rPr>
        <w:t>此外，近年来，尽管在项目管理和预算方面遭遇种种困境，但新铜矿项目的资本密集度一直保持稳定。从2009年到2015年，每吨产能所需的资本从每吨略高于1万美元飙升至目前的约2万美元。</w:t>
      </w:r>
    </w:p>
    <w:p w:rsidR="00BC10F9" w:rsidRPr="00BC10F9" w:rsidRDefault="00BC10F9" w:rsidP="00BC10F9">
      <w:pPr>
        <w:widowControl/>
        <w:wordWrap w:val="0"/>
        <w:spacing w:after="90" w:line="288" w:lineRule="auto"/>
        <w:ind w:firstLine="480"/>
        <w:jc w:val="left"/>
        <w:rPr>
          <w:rFonts w:asciiTheme="minorEastAsia" w:eastAsiaTheme="minorEastAsia" w:hAnsiTheme="minorEastAsia" w:cstheme="minorEastAsia"/>
          <w:sz w:val="28"/>
          <w:szCs w:val="28"/>
        </w:rPr>
      </w:pPr>
      <w:r w:rsidRPr="00BC10F9">
        <w:rPr>
          <w:rFonts w:asciiTheme="minorEastAsia" w:eastAsiaTheme="minorEastAsia" w:hAnsiTheme="minorEastAsia" w:cstheme="minorEastAsia"/>
          <w:sz w:val="28"/>
          <w:szCs w:val="28"/>
        </w:rPr>
        <w:lastRenderedPageBreak/>
        <w:t>显示的许多项目(未承诺的矿用年限为每年超过10万吨)都归同一家公司所有，因为就像铁矿石一样，铜正日益成为大公司的游戏。</w:t>
      </w:r>
    </w:p>
    <w:p w:rsidR="00BC10F9" w:rsidRPr="00BC10F9" w:rsidRDefault="00BC10F9" w:rsidP="00BC10F9">
      <w:pPr>
        <w:widowControl/>
        <w:wordWrap w:val="0"/>
        <w:spacing w:after="90" w:line="288" w:lineRule="auto"/>
        <w:ind w:firstLine="480"/>
        <w:jc w:val="left"/>
        <w:rPr>
          <w:rFonts w:asciiTheme="minorEastAsia" w:eastAsiaTheme="minorEastAsia" w:hAnsiTheme="minorEastAsia" w:cstheme="minorEastAsia"/>
          <w:sz w:val="28"/>
          <w:szCs w:val="28"/>
        </w:rPr>
      </w:pPr>
      <w:r w:rsidRPr="00BC10F9">
        <w:rPr>
          <w:rFonts w:asciiTheme="minorEastAsia" w:eastAsiaTheme="minorEastAsia" w:hAnsiTheme="minorEastAsia" w:cstheme="minorEastAsia"/>
          <w:sz w:val="28"/>
          <w:szCs w:val="28"/>
        </w:rPr>
        <w:t>海姆利克说，如果资本支出成本以过去10年前5年的速度上升，将给董事会带来问题，他们必须小心选择他们的斗争。</w:t>
      </w:r>
    </w:p>
    <w:p w:rsidR="00BC10F9" w:rsidRPr="00BC10F9" w:rsidRDefault="00BC10F9" w:rsidP="00BC10F9">
      <w:pPr>
        <w:widowControl/>
        <w:wordWrap w:val="0"/>
        <w:spacing w:after="90" w:line="288" w:lineRule="auto"/>
        <w:ind w:firstLine="480"/>
        <w:jc w:val="left"/>
        <w:rPr>
          <w:rFonts w:asciiTheme="minorEastAsia" w:eastAsiaTheme="minorEastAsia" w:hAnsiTheme="minorEastAsia" w:cstheme="minorEastAsia"/>
          <w:sz w:val="28"/>
          <w:szCs w:val="28"/>
        </w:rPr>
      </w:pPr>
      <w:r w:rsidRPr="00BC10F9">
        <w:rPr>
          <w:rFonts w:asciiTheme="minorEastAsia" w:eastAsiaTheme="minorEastAsia" w:hAnsiTheme="minorEastAsia" w:cstheme="minorEastAsia"/>
          <w:sz w:val="28"/>
          <w:szCs w:val="28"/>
        </w:rPr>
        <w:t>他们将会战斗。</w:t>
      </w:r>
    </w:p>
    <w:p w:rsidR="00114DE3" w:rsidRDefault="00114DE3" w:rsidP="00DA657E">
      <w:pPr>
        <w:widowControl/>
        <w:wordWrap w:val="0"/>
        <w:spacing w:after="86" w:line="288" w:lineRule="auto"/>
        <w:jc w:val="left"/>
        <w:rPr>
          <w:rFonts w:asciiTheme="minorEastAsia" w:eastAsiaTheme="minorEastAsia" w:hAnsiTheme="minorEastAsia" w:cstheme="minorEastAsia"/>
          <w:sz w:val="28"/>
          <w:szCs w:val="28"/>
        </w:rPr>
      </w:pPr>
    </w:p>
    <w:p w:rsidR="00114DE3" w:rsidRDefault="00DA657E">
      <w:pPr>
        <w:widowControl/>
        <w:jc w:val="left"/>
        <w:outlineLvl w:val="1"/>
        <w:rPr>
          <w:rFonts w:ascii="宋体" w:hAnsi="宋体" w:cs="宋体"/>
          <w:b/>
          <w:bCs/>
          <w:kern w:val="0"/>
          <w:sz w:val="30"/>
          <w:szCs w:val="30"/>
        </w:rPr>
      </w:pPr>
      <w:bookmarkStart w:id="114" w:name="_Toc76568919"/>
      <w:r w:rsidRPr="00DA657E">
        <w:rPr>
          <w:rFonts w:ascii="宋体" w:hAnsi="宋体" w:cs="宋体" w:hint="eastAsia"/>
          <w:b/>
          <w:bCs/>
          <w:kern w:val="0"/>
          <w:sz w:val="30"/>
          <w:szCs w:val="30"/>
        </w:rPr>
        <w:t>嘉能可首席执行官认为中国抛储影响铜价只能是暂时的</w:t>
      </w:r>
      <w:bookmarkEnd w:id="114"/>
    </w:p>
    <w:p w:rsidR="003436C0" w:rsidRDefault="003436C0" w:rsidP="00DA657E">
      <w:pPr>
        <w:widowControl/>
        <w:wordWrap w:val="0"/>
        <w:spacing w:after="86" w:line="288" w:lineRule="auto"/>
        <w:ind w:firstLine="480"/>
        <w:jc w:val="left"/>
        <w:rPr>
          <w:rFonts w:asciiTheme="minorEastAsia" w:eastAsiaTheme="minorEastAsia" w:hAnsiTheme="minorEastAsia" w:cstheme="minorEastAsia" w:hint="eastAsia"/>
          <w:sz w:val="28"/>
          <w:szCs w:val="28"/>
        </w:rPr>
      </w:pPr>
    </w:p>
    <w:p w:rsidR="00DA657E" w:rsidRPr="00DA657E" w:rsidRDefault="00DA657E" w:rsidP="00DA657E">
      <w:pPr>
        <w:widowControl/>
        <w:wordWrap w:val="0"/>
        <w:spacing w:after="86" w:line="288" w:lineRule="auto"/>
        <w:ind w:firstLine="480"/>
        <w:jc w:val="left"/>
        <w:rPr>
          <w:rFonts w:asciiTheme="minorEastAsia" w:eastAsiaTheme="minorEastAsia" w:hAnsiTheme="minorEastAsia" w:cstheme="minorEastAsia"/>
          <w:sz w:val="28"/>
          <w:szCs w:val="28"/>
        </w:rPr>
      </w:pPr>
      <w:r w:rsidRPr="00DA657E">
        <w:rPr>
          <w:rFonts w:asciiTheme="minorEastAsia" w:eastAsiaTheme="minorEastAsia" w:hAnsiTheme="minorEastAsia" w:cstheme="minorEastAsia"/>
          <w:sz w:val="28"/>
          <w:szCs w:val="28"/>
        </w:rPr>
        <w:t>嘉能可(Glencore)CEO格拉森伯格(Glasenberg)表示，中国不可能长期为大宗商品降温</w:t>
      </w:r>
    </w:p>
    <w:p w:rsidR="00DA657E" w:rsidRPr="00DA657E" w:rsidRDefault="00DA657E" w:rsidP="00DA657E">
      <w:pPr>
        <w:widowControl/>
        <w:wordWrap w:val="0"/>
        <w:spacing w:after="86" w:line="288" w:lineRule="auto"/>
        <w:ind w:firstLine="480"/>
        <w:jc w:val="left"/>
        <w:rPr>
          <w:rFonts w:asciiTheme="minorEastAsia" w:eastAsiaTheme="minorEastAsia" w:hAnsiTheme="minorEastAsia" w:cstheme="minorEastAsia"/>
          <w:sz w:val="28"/>
          <w:szCs w:val="28"/>
        </w:rPr>
      </w:pPr>
      <w:r w:rsidRPr="00DA657E">
        <w:rPr>
          <w:rFonts w:asciiTheme="minorEastAsia" w:eastAsiaTheme="minorEastAsia" w:hAnsiTheme="minorEastAsia" w:cstheme="minorEastAsia"/>
          <w:sz w:val="28"/>
          <w:szCs w:val="28"/>
        </w:rPr>
        <w:t>嘉能可(glencoreplc)的亿万富翁老板伊万?格拉森伯格(Ivan Glasenberg)表示，中国为金属价格飙升降温的努力不可能持续太久。</w:t>
      </w:r>
    </w:p>
    <w:p w:rsidR="00DA657E" w:rsidRPr="00DA657E" w:rsidRDefault="00DA657E" w:rsidP="00DA657E">
      <w:pPr>
        <w:widowControl/>
        <w:wordWrap w:val="0"/>
        <w:spacing w:after="86" w:line="288" w:lineRule="auto"/>
        <w:ind w:firstLine="480"/>
        <w:jc w:val="left"/>
        <w:rPr>
          <w:rFonts w:asciiTheme="minorEastAsia" w:eastAsiaTheme="minorEastAsia" w:hAnsiTheme="minorEastAsia" w:cstheme="minorEastAsia"/>
          <w:sz w:val="28"/>
          <w:szCs w:val="28"/>
        </w:rPr>
      </w:pPr>
      <w:r w:rsidRPr="00DA657E">
        <w:rPr>
          <w:rFonts w:asciiTheme="minorEastAsia" w:eastAsiaTheme="minorEastAsia" w:hAnsiTheme="minorEastAsia" w:cstheme="minorEastAsia"/>
          <w:sz w:val="28"/>
          <w:szCs w:val="28"/>
        </w:rPr>
        <w:t>嘉能可即将卸任的首席执行官周二在卡塔尔经济论坛上表示：“中国正试图把大宗商品价格压低，让它回到较低的水平。”我认为这是一个短期的行动，因为基本面将使商品价格保持在一定水平。”</w:t>
      </w:r>
    </w:p>
    <w:p w:rsidR="00DA657E" w:rsidRPr="00DA657E" w:rsidRDefault="00DA657E" w:rsidP="00DA657E">
      <w:pPr>
        <w:widowControl/>
        <w:wordWrap w:val="0"/>
        <w:spacing w:after="86" w:line="288" w:lineRule="auto"/>
        <w:ind w:firstLine="480"/>
        <w:jc w:val="left"/>
        <w:rPr>
          <w:rFonts w:asciiTheme="minorEastAsia" w:eastAsiaTheme="minorEastAsia" w:hAnsiTheme="minorEastAsia" w:cstheme="minorEastAsia"/>
          <w:sz w:val="28"/>
          <w:szCs w:val="28"/>
        </w:rPr>
      </w:pPr>
      <w:r w:rsidRPr="00DA657E">
        <w:rPr>
          <w:rFonts w:asciiTheme="minorEastAsia" w:eastAsiaTheme="minorEastAsia" w:hAnsiTheme="minorEastAsia" w:cstheme="minorEastAsia"/>
          <w:sz w:val="28"/>
          <w:szCs w:val="28"/>
        </w:rPr>
        <w:t>中国受到从铜到铁矿石等大宗商品价格飙升的影响，今年推出了多项措施，旨在通过冷却的原材料炒作来遏制通胀。其中包括10年来首次从战略储备中释放铜、铝和锌等金属的计划。</w:t>
      </w:r>
    </w:p>
    <w:p w:rsidR="00DA657E" w:rsidRPr="00DA657E" w:rsidRDefault="00DA657E" w:rsidP="00DA657E">
      <w:pPr>
        <w:widowControl/>
        <w:wordWrap w:val="0"/>
        <w:spacing w:after="86" w:line="288" w:lineRule="auto"/>
        <w:ind w:firstLine="480"/>
        <w:jc w:val="left"/>
        <w:rPr>
          <w:rFonts w:asciiTheme="minorEastAsia" w:eastAsiaTheme="minorEastAsia" w:hAnsiTheme="minorEastAsia" w:cstheme="minorEastAsia"/>
          <w:sz w:val="28"/>
          <w:szCs w:val="28"/>
        </w:rPr>
      </w:pPr>
      <w:r w:rsidRPr="00DA657E">
        <w:rPr>
          <w:rFonts w:asciiTheme="minorEastAsia" w:eastAsiaTheme="minorEastAsia" w:hAnsiTheme="minorEastAsia" w:cstheme="minorEastAsia"/>
          <w:sz w:val="28"/>
          <w:szCs w:val="28"/>
        </w:rPr>
        <w:t>格拉森伯格表示，一旦中国必须补充这些库存，这一举措的影响将是短暂的。目前格拉森伯格将于本月底离开嘉能可，此前担任全球最大大宗商品交易商近20年。</w:t>
      </w:r>
    </w:p>
    <w:p w:rsidR="00DA657E" w:rsidRPr="00DA657E" w:rsidRDefault="00DA657E" w:rsidP="00DA657E">
      <w:pPr>
        <w:widowControl/>
        <w:wordWrap w:val="0"/>
        <w:spacing w:after="86" w:line="288" w:lineRule="auto"/>
        <w:ind w:firstLine="480"/>
        <w:jc w:val="left"/>
        <w:rPr>
          <w:rFonts w:asciiTheme="minorEastAsia" w:eastAsiaTheme="minorEastAsia" w:hAnsiTheme="minorEastAsia" w:cstheme="minorEastAsia"/>
          <w:sz w:val="28"/>
          <w:szCs w:val="28"/>
        </w:rPr>
      </w:pPr>
      <w:r w:rsidRPr="00DA657E">
        <w:rPr>
          <w:rFonts w:asciiTheme="minorEastAsia" w:eastAsiaTheme="minorEastAsia" w:hAnsiTheme="minorEastAsia" w:cstheme="minorEastAsia"/>
          <w:sz w:val="28"/>
          <w:szCs w:val="28"/>
        </w:rPr>
        <w:lastRenderedPageBreak/>
        <w:t>格拉森伯格说，他预计金属价格将在很长一段时间内保持强劲，因为中国的需求与美国迫在眉睫的基础设施支出同时出现。</w:t>
      </w:r>
    </w:p>
    <w:p w:rsidR="00DA657E" w:rsidRPr="00DA657E" w:rsidRDefault="00DA657E" w:rsidP="00DA657E">
      <w:pPr>
        <w:widowControl/>
        <w:wordWrap w:val="0"/>
        <w:spacing w:after="86" w:line="288" w:lineRule="auto"/>
        <w:ind w:firstLine="480"/>
        <w:jc w:val="left"/>
        <w:rPr>
          <w:rFonts w:asciiTheme="minorEastAsia" w:eastAsiaTheme="minorEastAsia" w:hAnsiTheme="minorEastAsia" w:cstheme="minorEastAsia"/>
          <w:sz w:val="28"/>
          <w:szCs w:val="28"/>
        </w:rPr>
      </w:pPr>
      <w:r w:rsidRPr="00DA657E">
        <w:rPr>
          <w:rFonts w:asciiTheme="minorEastAsia" w:eastAsiaTheme="minorEastAsia" w:hAnsiTheme="minorEastAsia" w:cstheme="minorEastAsia"/>
          <w:sz w:val="28"/>
          <w:szCs w:val="28"/>
        </w:rPr>
        <w:t>近几周金属价格有所降温，从历史高位回落，美国联邦储备委员会(美联储，FED)暗示加息，同时中国采取措施为大宗商品价格降温。</w:t>
      </w:r>
    </w:p>
    <w:p w:rsidR="00DA657E" w:rsidRDefault="00DA657E" w:rsidP="00DA657E">
      <w:pPr>
        <w:widowControl/>
        <w:jc w:val="left"/>
        <w:outlineLvl w:val="1"/>
        <w:rPr>
          <w:rFonts w:ascii="宋体" w:hAnsi="宋体" w:cs="宋体"/>
          <w:b/>
          <w:bCs/>
          <w:kern w:val="0"/>
          <w:sz w:val="30"/>
          <w:szCs w:val="30"/>
        </w:rPr>
      </w:pPr>
      <w:bookmarkStart w:id="115" w:name="_Toc76568920"/>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r w:rsidRPr="00DA657E">
        <w:rPr>
          <w:rFonts w:ascii="宋体" w:hAnsi="宋体" w:cs="宋体" w:hint="eastAsia"/>
          <w:b/>
          <w:bCs/>
          <w:kern w:val="0"/>
          <w:sz w:val="30"/>
          <w:szCs w:val="30"/>
        </w:rPr>
        <w:t>铜箔公司加快企业新旧动能转换</w:t>
      </w:r>
      <w:bookmarkEnd w:id="115"/>
    </w:p>
    <w:p w:rsidR="00DA657E" w:rsidRPr="00DA657E" w:rsidRDefault="00DA657E" w:rsidP="003436C0">
      <w:pPr>
        <w:widowControl/>
        <w:wordWrap w:val="0"/>
        <w:spacing w:after="90" w:line="288" w:lineRule="auto"/>
        <w:ind w:firstLine="480"/>
        <w:jc w:val="left"/>
        <w:rPr>
          <w:rFonts w:asciiTheme="minorEastAsia" w:eastAsiaTheme="minorEastAsia" w:hAnsiTheme="minorEastAsia" w:cstheme="minorEastAsia"/>
          <w:sz w:val="28"/>
          <w:szCs w:val="28"/>
        </w:rPr>
      </w:pPr>
      <w:r w:rsidRPr="00DA657E">
        <w:rPr>
          <w:rFonts w:asciiTheme="minorEastAsia" w:eastAsiaTheme="minorEastAsia" w:hAnsiTheme="minorEastAsia" w:cstheme="minorEastAsia"/>
          <w:sz w:val="28"/>
          <w:szCs w:val="28"/>
        </w:rPr>
        <w:t>近年来，安徽铜冠铜箔集团公司以智能化改造为重点，加快新旧动能转换，持续优化产品结构，全力以赴推进企业高质量发展。</w:t>
      </w:r>
    </w:p>
    <w:p w:rsidR="00DA657E" w:rsidRPr="00DA657E" w:rsidRDefault="00DA657E" w:rsidP="00DA657E">
      <w:pPr>
        <w:widowControl/>
        <w:wordWrap w:val="0"/>
        <w:spacing w:after="90" w:line="288" w:lineRule="auto"/>
        <w:ind w:firstLine="480"/>
        <w:jc w:val="left"/>
        <w:rPr>
          <w:rFonts w:asciiTheme="minorEastAsia" w:eastAsiaTheme="minorEastAsia" w:hAnsiTheme="minorEastAsia" w:cstheme="minorEastAsia"/>
          <w:sz w:val="28"/>
          <w:szCs w:val="28"/>
        </w:rPr>
      </w:pPr>
      <w:r w:rsidRPr="00DA657E">
        <w:rPr>
          <w:rFonts w:asciiTheme="minorEastAsia" w:eastAsiaTheme="minorEastAsia" w:hAnsiTheme="minorEastAsia" w:cstheme="minorEastAsia"/>
          <w:sz w:val="28"/>
          <w:szCs w:val="28"/>
        </w:rPr>
        <w:t>“今年以来，公司对18台生箔机电源整流柜进行升级改造，经过4个月的投入使用，工场能源成本降幅明显，预计每年可节电300余万千瓦时。提升电流后，生箔产能提升10%。现后端工序的机速也全部提上来了，此举为公司抢抓市场机遇，从容应对供不应求的铜箔市场，打下坚实基础。”该公司铜箔一二工场负责人表示。</w:t>
      </w:r>
    </w:p>
    <w:p w:rsidR="00DA657E" w:rsidRPr="00DA657E" w:rsidRDefault="00DA657E" w:rsidP="00DA657E">
      <w:pPr>
        <w:widowControl/>
        <w:wordWrap w:val="0"/>
        <w:spacing w:after="90" w:line="288" w:lineRule="auto"/>
        <w:ind w:firstLine="480"/>
        <w:jc w:val="left"/>
        <w:rPr>
          <w:rFonts w:asciiTheme="minorEastAsia" w:eastAsiaTheme="minorEastAsia" w:hAnsiTheme="minorEastAsia" w:cstheme="minorEastAsia"/>
          <w:sz w:val="28"/>
          <w:szCs w:val="28"/>
        </w:rPr>
      </w:pPr>
      <w:r w:rsidRPr="00DA657E">
        <w:rPr>
          <w:rFonts w:asciiTheme="minorEastAsia" w:eastAsiaTheme="minorEastAsia" w:hAnsiTheme="minorEastAsia" w:cstheme="minorEastAsia"/>
          <w:sz w:val="28"/>
          <w:szCs w:val="28"/>
        </w:rPr>
        <w:t>加大设备升级力度，是铜冠铜箔公司转型升级的最好体现。随着技术创新和新产品的不断研发，该公司的生产能力和产品品质不断攀升，各类订单源源不断，呈现产销两旺的喜人态势。</w:t>
      </w:r>
    </w:p>
    <w:p w:rsidR="00DA657E" w:rsidRPr="00DA657E" w:rsidRDefault="00DA657E" w:rsidP="00DA657E">
      <w:pPr>
        <w:widowControl/>
        <w:wordWrap w:val="0"/>
        <w:spacing w:after="90" w:line="288" w:lineRule="auto"/>
        <w:ind w:firstLine="480"/>
        <w:jc w:val="left"/>
        <w:rPr>
          <w:rFonts w:asciiTheme="minorEastAsia" w:eastAsiaTheme="minorEastAsia" w:hAnsiTheme="minorEastAsia" w:cstheme="minorEastAsia"/>
          <w:sz w:val="28"/>
          <w:szCs w:val="28"/>
        </w:rPr>
      </w:pPr>
      <w:r w:rsidRPr="00DA657E">
        <w:rPr>
          <w:rFonts w:asciiTheme="minorEastAsia" w:eastAsiaTheme="minorEastAsia" w:hAnsiTheme="minorEastAsia" w:cstheme="minorEastAsia"/>
          <w:sz w:val="28"/>
          <w:szCs w:val="28"/>
        </w:rPr>
        <w:t>“目前订单已经排至7月底，公司一二季度始终处于满产排产状态，现已提前实现双过半目标。”该公司生产负责人说。</w:t>
      </w:r>
    </w:p>
    <w:p w:rsidR="00DA657E" w:rsidRPr="00DA657E" w:rsidRDefault="00DA657E" w:rsidP="00DA657E">
      <w:pPr>
        <w:widowControl/>
        <w:wordWrap w:val="0"/>
        <w:spacing w:after="90" w:line="288" w:lineRule="auto"/>
        <w:ind w:firstLine="480"/>
        <w:jc w:val="left"/>
        <w:rPr>
          <w:rFonts w:asciiTheme="minorEastAsia" w:eastAsiaTheme="minorEastAsia" w:hAnsiTheme="minorEastAsia" w:cstheme="minorEastAsia"/>
          <w:sz w:val="28"/>
          <w:szCs w:val="28"/>
        </w:rPr>
      </w:pPr>
      <w:r w:rsidRPr="00DA657E">
        <w:rPr>
          <w:rFonts w:asciiTheme="minorEastAsia" w:eastAsiaTheme="minorEastAsia" w:hAnsiTheme="minorEastAsia" w:cstheme="minorEastAsia"/>
          <w:sz w:val="28"/>
          <w:szCs w:val="28"/>
        </w:rPr>
        <w:t>近年来，铜冠铜箔公司提出并实施了“高端产品战略”目标规划，充分利用以国内大循环为主体、国内国际双循环相互促进的新发展格局所带来的机遇，通过深耕能源设备制造，加快实施智能化改造，不断提升自主创新能力等措施，紧紧抓住市场供需变化的有利窗口期，及时调整产品结构。</w:t>
      </w:r>
    </w:p>
    <w:p w:rsidR="00DA657E" w:rsidRPr="00DA657E" w:rsidRDefault="00DA657E" w:rsidP="00DA657E">
      <w:pPr>
        <w:widowControl/>
        <w:wordWrap w:val="0"/>
        <w:spacing w:after="90" w:line="288" w:lineRule="auto"/>
        <w:ind w:firstLine="480"/>
        <w:jc w:val="left"/>
        <w:rPr>
          <w:rFonts w:asciiTheme="minorEastAsia" w:eastAsiaTheme="minorEastAsia" w:hAnsiTheme="minorEastAsia" w:cstheme="minorEastAsia"/>
          <w:sz w:val="28"/>
          <w:szCs w:val="28"/>
        </w:rPr>
      </w:pPr>
      <w:r w:rsidRPr="00DA657E">
        <w:rPr>
          <w:rFonts w:asciiTheme="minorEastAsia" w:eastAsiaTheme="minorEastAsia" w:hAnsiTheme="minorEastAsia" w:cstheme="minorEastAsia"/>
          <w:sz w:val="28"/>
          <w:szCs w:val="28"/>
        </w:rPr>
        <w:lastRenderedPageBreak/>
        <w:t>2019年至今，铜冠铜箔公司相继完成了可控硅整流柜更新、高耗能电机升级更新、表面处理纯水改造、溶铜高位罐恒液位控制以及明胶流量自动控制改造、粗化冷却系统工艺及冷却泵的变频改造等。目前，该公司正在加快推进实验室数据的信息化改造以及表面处理在线离子浓度计的应用工作，有效推动公司向高端化、智能化、绿色化发展。</w:t>
      </w:r>
    </w:p>
    <w:p w:rsidR="00DA657E" w:rsidRPr="00DA657E" w:rsidRDefault="00DA657E" w:rsidP="00DA657E">
      <w:pPr>
        <w:widowControl/>
        <w:wordWrap w:val="0"/>
        <w:spacing w:after="90" w:line="288" w:lineRule="auto"/>
        <w:ind w:firstLine="480"/>
        <w:jc w:val="left"/>
        <w:rPr>
          <w:rFonts w:asciiTheme="minorEastAsia" w:eastAsiaTheme="minorEastAsia" w:hAnsiTheme="minorEastAsia" w:cstheme="minorEastAsia"/>
          <w:sz w:val="28"/>
          <w:szCs w:val="28"/>
        </w:rPr>
      </w:pPr>
      <w:r w:rsidRPr="00DA657E">
        <w:rPr>
          <w:rFonts w:asciiTheme="minorEastAsia" w:eastAsiaTheme="minorEastAsia" w:hAnsiTheme="minorEastAsia" w:cstheme="minorEastAsia"/>
          <w:sz w:val="28"/>
          <w:szCs w:val="28"/>
        </w:rPr>
        <w:t>下一步，铜冠铜箔公司将加快淘汰落后高耗能设备,大力实施技术改造升级，持续优化产业结构，加快推进5G通讯用RTF2和HVLP1等产品量产，努力在新旧动能转换发展格局中展现新作为。</w:t>
      </w:r>
    </w:p>
    <w:p w:rsidR="00DA657E" w:rsidRDefault="00DA657E" w:rsidP="00DA657E">
      <w:pPr>
        <w:widowControl/>
        <w:jc w:val="left"/>
        <w:outlineLvl w:val="1"/>
        <w:rPr>
          <w:rFonts w:ascii="宋体" w:hAnsi="宋体" w:cs="宋体"/>
          <w:b/>
          <w:bCs/>
          <w:kern w:val="0"/>
          <w:sz w:val="30"/>
          <w:szCs w:val="30"/>
        </w:rPr>
      </w:pPr>
      <w:bookmarkStart w:id="116" w:name="_Toc76568921"/>
      <w:r w:rsidRPr="00DA657E">
        <w:rPr>
          <w:rFonts w:ascii="宋体" w:hAnsi="宋体" w:cs="宋体" w:hint="eastAsia"/>
          <w:b/>
          <w:bCs/>
          <w:kern w:val="0"/>
          <w:sz w:val="30"/>
          <w:szCs w:val="30"/>
        </w:rPr>
        <w:t>矿冶集团“唱响新时代 红歌迎华诞”大家唱红歌活动营造庆祝建党百年浓厚氛围</w:t>
      </w:r>
      <w:bookmarkEnd w:id="116"/>
    </w:p>
    <w:p w:rsidR="003436C0" w:rsidRDefault="003436C0" w:rsidP="003436C0">
      <w:pPr>
        <w:widowControl/>
        <w:wordWrap w:val="0"/>
        <w:spacing w:after="90" w:line="288" w:lineRule="auto"/>
        <w:ind w:firstLine="480"/>
        <w:jc w:val="left"/>
        <w:rPr>
          <w:rFonts w:asciiTheme="minorEastAsia" w:eastAsiaTheme="minorEastAsia" w:hAnsiTheme="minorEastAsia" w:cstheme="minorEastAsia" w:hint="eastAsia"/>
          <w:sz w:val="28"/>
          <w:szCs w:val="28"/>
        </w:rPr>
      </w:pPr>
    </w:p>
    <w:p w:rsidR="003436C0" w:rsidRPr="003436C0" w:rsidRDefault="003436C0" w:rsidP="003436C0">
      <w:pPr>
        <w:widowControl/>
        <w:wordWrap w:val="0"/>
        <w:spacing w:after="90" w:line="288" w:lineRule="auto"/>
        <w:ind w:firstLine="480"/>
        <w:jc w:val="left"/>
        <w:rPr>
          <w:rFonts w:asciiTheme="minorEastAsia" w:eastAsiaTheme="minorEastAsia" w:hAnsiTheme="minorEastAsia" w:cstheme="minorEastAsia"/>
          <w:sz w:val="28"/>
          <w:szCs w:val="28"/>
        </w:rPr>
      </w:pPr>
      <w:r w:rsidRPr="003436C0">
        <w:rPr>
          <w:rFonts w:asciiTheme="minorEastAsia" w:eastAsiaTheme="minorEastAsia" w:hAnsiTheme="minorEastAsia" w:cstheme="minorEastAsia"/>
          <w:sz w:val="28"/>
          <w:szCs w:val="28"/>
        </w:rPr>
        <w:t>百年光辉，砥砺前行。为隆重纪念中国共产党成立100周年，引导广大党员干部职工知史爱党、知史爱国，根据国资委党委部署和集团党委“十个一”系列活动要求，矿冶集团党委组织开展了“唱响新时代红歌迎华诞”大家唱红歌活动，在集团全体职工中掀起唱红歌的热潮，营造了庆祝建党百年浓厚氛围。</w:t>
      </w:r>
    </w:p>
    <w:p w:rsidR="003436C0" w:rsidRPr="003436C0" w:rsidRDefault="003436C0" w:rsidP="003436C0">
      <w:pPr>
        <w:widowControl/>
        <w:wordWrap w:val="0"/>
        <w:spacing w:after="90" w:line="288" w:lineRule="auto"/>
        <w:ind w:firstLine="480"/>
        <w:jc w:val="left"/>
        <w:rPr>
          <w:rFonts w:asciiTheme="minorEastAsia" w:eastAsiaTheme="minorEastAsia" w:hAnsiTheme="minorEastAsia" w:cstheme="minorEastAsia"/>
          <w:sz w:val="28"/>
          <w:szCs w:val="28"/>
        </w:rPr>
      </w:pPr>
      <w:r w:rsidRPr="003436C0">
        <w:rPr>
          <w:rFonts w:asciiTheme="minorEastAsia" w:eastAsiaTheme="minorEastAsia" w:hAnsiTheme="minorEastAsia" w:cstheme="minorEastAsia"/>
          <w:sz w:val="28"/>
          <w:szCs w:val="28"/>
        </w:rPr>
        <w:t>全员参与 百年精神共传承</w:t>
      </w:r>
    </w:p>
    <w:p w:rsidR="003436C0" w:rsidRPr="003436C0" w:rsidRDefault="003436C0" w:rsidP="003436C0">
      <w:pPr>
        <w:widowControl/>
        <w:wordWrap w:val="0"/>
        <w:spacing w:after="90" w:line="288" w:lineRule="auto"/>
        <w:ind w:firstLine="480"/>
        <w:jc w:val="left"/>
        <w:rPr>
          <w:rFonts w:asciiTheme="minorEastAsia" w:eastAsiaTheme="minorEastAsia" w:hAnsiTheme="minorEastAsia" w:cstheme="minorEastAsia"/>
          <w:sz w:val="28"/>
          <w:szCs w:val="28"/>
        </w:rPr>
      </w:pPr>
      <w:r w:rsidRPr="003436C0">
        <w:rPr>
          <w:rFonts w:asciiTheme="minorEastAsia" w:eastAsiaTheme="minorEastAsia" w:hAnsiTheme="minorEastAsia" w:cstheme="minorEastAsia"/>
          <w:sz w:val="28"/>
          <w:szCs w:val="28"/>
        </w:rPr>
        <w:t>大家唱红歌活动自2021年4月份启动以来，京内外各级党组织高度重视，精心组织，各级工会和团组织积极行动，广大党员、群众、团员青年积极参与，在确保完成科研、生产、经营等工作任务的同时，通过红歌比赛、主题党日、党建活动等丰富多彩的表现形式，将红色旋律唱响在办公场所、</w:t>
      </w:r>
      <w:r w:rsidRPr="003436C0">
        <w:rPr>
          <w:rFonts w:asciiTheme="minorEastAsia" w:eastAsiaTheme="minorEastAsia" w:hAnsiTheme="minorEastAsia" w:cstheme="minorEastAsia"/>
          <w:sz w:val="28"/>
          <w:szCs w:val="28"/>
        </w:rPr>
        <w:lastRenderedPageBreak/>
        <w:t>生产车间、国内外项目现场，以及革命圣地等党建活动现场，深情歌颂党、歌颂祖国、歌颂伟大的新时代。同时，各单位认真策划，制作出富有特色的视频作品，在广大职工抒发爱党爱国爱社会主义爱企业的情感同时，生动展现了集团在生产经营、改革发展和党建等方面取得的成绩和员工昂扬向上的精神面貌。</w:t>
      </w:r>
    </w:p>
    <w:p w:rsidR="003436C0" w:rsidRPr="003436C0" w:rsidRDefault="003436C0" w:rsidP="003436C0">
      <w:pPr>
        <w:widowControl/>
        <w:wordWrap w:val="0"/>
        <w:spacing w:after="90" w:line="288" w:lineRule="auto"/>
        <w:ind w:firstLine="480"/>
        <w:jc w:val="left"/>
        <w:rPr>
          <w:rFonts w:asciiTheme="minorEastAsia" w:eastAsiaTheme="minorEastAsia" w:hAnsiTheme="minorEastAsia" w:cstheme="minorEastAsia"/>
          <w:sz w:val="28"/>
          <w:szCs w:val="28"/>
        </w:rPr>
      </w:pPr>
      <w:r w:rsidRPr="003436C0">
        <w:rPr>
          <w:rFonts w:asciiTheme="minorEastAsia" w:eastAsiaTheme="minorEastAsia" w:hAnsiTheme="minorEastAsia" w:cstheme="minorEastAsia"/>
          <w:sz w:val="28"/>
          <w:szCs w:val="28"/>
        </w:rPr>
        <w:t>风采展示 百花齐放颂党恩</w:t>
      </w:r>
    </w:p>
    <w:p w:rsidR="003436C0" w:rsidRPr="003436C0" w:rsidRDefault="003436C0" w:rsidP="003436C0">
      <w:pPr>
        <w:widowControl/>
        <w:wordWrap w:val="0"/>
        <w:spacing w:after="90" w:line="288" w:lineRule="auto"/>
        <w:ind w:firstLine="480"/>
        <w:jc w:val="left"/>
        <w:rPr>
          <w:rFonts w:asciiTheme="minorEastAsia" w:eastAsiaTheme="minorEastAsia" w:hAnsiTheme="minorEastAsia" w:cstheme="minorEastAsia"/>
          <w:sz w:val="28"/>
          <w:szCs w:val="28"/>
        </w:rPr>
      </w:pPr>
      <w:r w:rsidRPr="003436C0">
        <w:rPr>
          <w:rFonts w:asciiTheme="minorEastAsia" w:eastAsiaTheme="minorEastAsia" w:hAnsiTheme="minorEastAsia" w:cstheme="minorEastAsia"/>
          <w:sz w:val="28"/>
          <w:szCs w:val="28"/>
        </w:rPr>
        <w:t>6月18日，矿冶集团在集团总部举办“唱响新时代红歌迎华诞”大家唱红歌作品评选暨展示活动。集团党委副书记、工会主席王卫东出席活动并讲话，副总经理战凯、黄松涛，纪委书记薛松出席活动。国资委党建局群工处有关领导，《光明日报》杂志社、钢研集团、有研集团嘉宾出席活动并为获奖单位颁奖。</w:t>
      </w:r>
    </w:p>
    <w:p w:rsidR="003436C0" w:rsidRPr="003436C0" w:rsidRDefault="003436C0" w:rsidP="003436C0">
      <w:pPr>
        <w:widowControl/>
        <w:wordWrap w:val="0"/>
        <w:spacing w:after="90" w:line="288" w:lineRule="auto"/>
        <w:ind w:firstLine="480"/>
        <w:jc w:val="left"/>
        <w:rPr>
          <w:rFonts w:asciiTheme="minorEastAsia" w:eastAsiaTheme="minorEastAsia" w:hAnsiTheme="minorEastAsia" w:cstheme="minorEastAsia"/>
          <w:sz w:val="28"/>
          <w:szCs w:val="28"/>
        </w:rPr>
      </w:pPr>
      <w:r w:rsidRPr="003436C0">
        <w:rPr>
          <w:rFonts w:asciiTheme="minorEastAsia" w:eastAsiaTheme="minorEastAsia" w:hAnsiTheme="minorEastAsia" w:cstheme="minorEastAsia"/>
          <w:sz w:val="28"/>
          <w:szCs w:val="28"/>
        </w:rPr>
        <w:t>来自京内外18家单位(部门)的20个红歌视频作品参加评选，采用现场视频展示，评委打分的方式，评选出一等奖1名、二等奖2名、三等奖6名。矿山所《在灿烂阳光下》获一等奖，工程公司《我的祖国》、职能部门-信研中心《不忘初心》获二等奖，环境所《中国，中国，鲜红的太阳永不落》、新材公司《我们都是追梦人》、北矿检测《没有共产党就没有新中国》、当升科技《歌唱祖国》、北矿科技《祖国不会忘记》、选矿所-北矿化学《延安颂》获三等奖。</w:t>
      </w:r>
    </w:p>
    <w:p w:rsidR="003436C0" w:rsidRPr="003436C0" w:rsidRDefault="003436C0" w:rsidP="003436C0">
      <w:pPr>
        <w:widowControl/>
        <w:wordWrap w:val="0"/>
        <w:spacing w:after="90" w:line="288" w:lineRule="auto"/>
        <w:ind w:firstLine="480"/>
        <w:jc w:val="left"/>
        <w:rPr>
          <w:rFonts w:asciiTheme="minorEastAsia" w:eastAsiaTheme="minorEastAsia" w:hAnsiTheme="minorEastAsia" w:cstheme="minorEastAsia"/>
          <w:sz w:val="28"/>
          <w:szCs w:val="28"/>
        </w:rPr>
      </w:pPr>
      <w:r w:rsidRPr="003436C0">
        <w:rPr>
          <w:rFonts w:asciiTheme="minorEastAsia" w:eastAsiaTheme="minorEastAsia" w:hAnsiTheme="minorEastAsia" w:cstheme="minorEastAsia"/>
          <w:sz w:val="28"/>
          <w:szCs w:val="28"/>
        </w:rPr>
        <w:t>评选会上，王卫东对参加活动的所有单位和个人表示感谢，对大家克服各种困难，精心准备，积极参与给予肯定。王卫东强调，大家唱红歌活动是集团迎接建党百年“十个一”系列活动和党史学习教育工作之一，突出了矿</w:t>
      </w:r>
      <w:r w:rsidRPr="003436C0">
        <w:rPr>
          <w:rFonts w:asciiTheme="minorEastAsia" w:eastAsiaTheme="minorEastAsia" w:hAnsiTheme="minorEastAsia" w:cstheme="minorEastAsia"/>
          <w:sz w:val="28"/>
          <w:szCs w:val="28"/>
        </w:rPr>
        <w:lastRenderedPageBreak/>
        <w:t>冶特色、突出与业务结合、突出宣传动员。党史学习教育自开展以来，集团高度重视，扎实深入推动，取得了阶段性成果。我们要进一步提高认识，深入推进，体现主责主业，将党史学习教育成效体现在集团高质量发展上，将为民办实事体现在发展战略和企业使命上。希望大家把唱红歌唱出的激情、团结和力量用于集团改革发展和党史学习教育等各项工作中。</w:t>
      </w:r>
    </w:p>
    <w:p w:rsidR="003436C0" w:rsidRPr="003436C0" w:rsidRDefault="003436C0" w:rsidP="003436C0">
      <w:pPr>
        <w:widowControl/>
        <w:wordWrap w:val="0"/>
        <w:spacing w:after="90" w:line="288" w:lineRule="auto"/>
        <w:ind w:firstLine="480"/>
        <w:jc w:val="left"/>
        <w:rPr>
          <w:rFonts w:asciiTheme="minorEastAsia" w:eastAsiaTheme="minorEastAsia" w:hAnsiTheme="minorEastAsia" w:cstheme="minorEastAsia"/>
          <w:sz w:val="28"/>
          <w:szCs w:val="28"/>
        </w:rPr>
      </w:pPr>
      <w:r w:rsidRPr="003436C0">
        <w:rPr>
          <w:rFonts w:asciiTheme="minorEastAsia" w:eastAsiaTheme="minorEastAsia" w:hAnsiTheme="minorEastAsia" w:cstheme="minorEastAsia"/>
          <w:sz w:val="28"/>
          <w:szCs w:val="28"/>
        </w:rPr>
        <w:t>红歌快闪 百人齐唱燃激情</w:t>
      </w:r>
    </w:p>
    <w:p w:rsidR="003436C0" w:rsidRPr="003436C0" w:rsidRDefault="003436C0" w:rsidP="003436C0">
      <w:pPr>
        <w:widowControl/>
        <w:wordWrap w:val="0"/>
        <w:spacing w:after="90" w:line="288" w:lineRule="auto"/>
        <w:ind w:firstLine="480"/>
        <w:jc w:val="left"/>
        <w:rPr>
          <w:rFonts w:asciiTheme="minorEastAsia" w:eastAsiaTheme="minorEastAsia" w:hAnsiTheme="minorEastAsia" w:cstheme="minorEastAsia"/>
          <w:sz w:val="28"/>
          <w:szCs w:val="28"/>
        </w:rPr>
      </w:pPr>
      <w:r w:rsidRPr="003436C0">
        <w:rPr>
          <w:rFonts w:asciiTheme="minorEastAsia" w:eastAsiaTheme="minorEastAsia" w:hAnsiTheme="minorEastAsia" w:cstheme="minorEastAsia"/>
          <w:sz w:val="28"/>
          <w:szCs w:val="28"/>
        </w:rPr>
        <w:t>6月28日，一场红歌快闪在集团总部上演，集团青年乐队激情演奏，倾情演唱《我爱你中国》《红旗飘飘》等红色歌曲，瞬间吸引大量职工驻足观看，不约而同加入快闪队伍中，跟随旋律挥舞手中的红旗，用慷慨激昂的歌声向党和祖国深情告白，抒发了对党和祖国的无限热爱，为党的百年华诞送上最真挚的祝福。现场气氛热烈，高潮迭起，歌声、掌声、口号声此起彼伏，令人振奋。大家纷纷拿出手机拍照，记录下这激动人心、意义非凡的瞬间。最后的《相信自己》更唱出了矿冶人顽强拼搏、奋发向上的精神，鼓励大家不断超越自我，继续在追寻梦想的道路上创造矿冶奇迹。</w:t>
      </w:r>
    </w:p>
    <w:p w:rsidR="003436C0" w:rsidRPr="003436C0" w:rsidRDefault="003436C0" w:rsidP="003436C0">
      <w:pPr>
        <w:widowControl/>
        <w:wordWrap w:val="0"/>
        <w:spacing w:after="90" w:line="288" w:lineRule="auto"/>
        <w:ind w:firstLine="480"/>
        <w:jc w:val="left"/>
        <w:rPr>
          <w:rFonts w:asciiTheme="minorEastAsia" w:eastAsiaTheme="minorEastAsia" w:hAnsiTheme="minorEastAsia" w:cstheme="minorEastAsia"/>
          <w:sz w:val="28"/>
          <w:szCs w:val="28"/>
        </w:rPr>
      </w:pPr>
      <w:r w:rsidRPr="003436C0">
        <w:rPr>
          <w:rFonts w:asciiTheme="minorEastAsia" w:eastAsiaTheme="minorEastAsia" w:hAnsiTheme="minorEastAsia" w:cstheme="minorEastAsia"/>
          <w:sz w:val="28"/>
          <w:szCs w:val="28"/>
        </w:rPr>
        <w:t>通过开展大家唱红歌活动，唱出了集团职工对党、对祖国的真挚情感，坚定了广大党员群众跟党走的决心，传承红色基因、牢记初心使命，以更加饱满的热情和强大的动力，在集团高质量发展中展现更大作为，以优异的成绩迎接建党百年。</w:t>
      </w:r>
    </w:p>
    <w:p w:rsidR="003436C0" w:rsidRPr="003436C0" w:rsidRDefault="003436C0" w:rsidP="003436C0">
      <w:pPr>
        <w:widowControl/>
        <w:wordWrap w:val="0"/>
        <w:spacing w:after="90" w:line="288" w:lineRule="auto"/>
        <w:ind w:firstLine="480"/>
        <w:jc w:val="left"/>
        <w:rPr>
          <w:rFonts w:asciiTheme="minorEastAsia" w:eastAsiaTheme="minorEastAsia" w:hAnsiTheme="minorEastAsia" w:cstheme="minorEastAsia" w:hint="eastAsia"/>
          <w:sz w:val="28"/>
          <w:szCs w:val="28"/>
        </w:rPr>
      </w:pPr>
    </w:p>
    <w:p w:rsidR="003436C0" w:rsidRDefault="003436C0" w:rsidP="003436C0">
      <w:pPr>
        <w:widowControl/>
        <w:wordWrap w:val="0"/>
        <w:spacing w:after="90" w:line="288" w:lineRule="auto"/>
        <w:ind w:firstLine="480"/>
        <w:jc w:val="left"/>
        <w:rPr>
          <w:rFonts w:asciiTheme="minorEastAsia" w:eastAsiaTheme="minorEastAsia" w:hAnsiTheme="minorEastAsia" w:cstheme="minorEastAsia" w:hint="eastAsia"/>
          <w:sz w:val="28"/>
          <w:szCs w:val="28"/>
        </w:rPr>
      </w:pPr>
    </w:p>
    <w:p w:rsidR="00114DE3" w:rsidRDefault="00DA657E">
      <w:pPr>
        <w:widowControl/>
        <w:jc w:val="left"/>
        <w:outlineLvl w:val="1"/>
        <w:rPr>
          <w:rFonts w:ascii="宋体" w:hAnsi="宋体" w:cs="宋体"/>
          <w:b/>
          <w:bCs/>
          <w:kern w:val="0"/>
          <w:sz w:val="30"/>
          <w:szCs w:val="30"/>
        </w:rPr>
      </w:pPr>
      <w:bookmarkStart w:id="117" w:name="_Toc76568922"/>
      <w:r w:rsidRPr="00DA657E">
        <w:rPr>
          <w:rFonts w:ascii="宋体" w:hAnsi="宋体" w:cs="宋体" w:hint="eastAsia"/>
          <w:b/>
          <w:bCs/>
          <w:kern w:val="0"/>
          <w:sz w:val="30"/>
          <w:szCs w:val="30"/>
        </w:rPr>
        <w:t>人工智能数字助手帮助拉丁美洲采矿业现代化</w:t>
      </w:r>
      <w:bookmarkEnd w:id="117"/>
    </w:p>
    <w:p w:rsidR="003436C0" w:rsidRDefault="003436C0" w:rsidP="00DA657E">
      <w:pPr>
        <w:widowControl/>
        <w:wordWrap w:val="0"/>
        <w:spacing w:after="90" w:line="288" w:lineRule="auto"/>
        <w:ind w:firstLine="480"/>
        <w:jc w:val="left"/>
        <w:rPr>
          <w:rFonts w:asciiTheme="minorEastAsia" w:eastAsiaTheme="minorEastAsia" w:hAnsiTheme="minorEastAsia" w:cstheme="minorEastAsia" w:hint="eastAsia"/>
          <w:sz w:val="28"/>
          <w:szCs w:val="28"/>
        </w:rPr>
      </w:pPr>
    </w:p>
    <w:p w:rsidR="00DA657E" w:rsidRPr="00DA657E" w:rsidRDefault="00DA657E" w:rsidP="00DA657E">
      <w:pPr>
        <w:widowControl/>
        <w:wordWrap w:val="0"/>
        <w:spacing w:after="90" w:line="288" w:lineRule="auto"/>
        <w:ind w:firstLine="480"/>
        <w:jc w:val="left"/>
        <w:rPr>
          <w:rFonts w:asciiTheme="minorEastAsia" w:eastAsiaTheme="minorEastAsia" w:hAnsiTheme="minorEastAsia" w:cstheme="minorEastAsia"/>
          <w:sz w:val="28"/>
          <w:szCs w:val="28"/>
        </w:rPr>
      </w:pPr>
      <w:r w:rsidRPr="00DA657E">
        <w:rPr>
          <w:rFonts w:asciiTheme="minorEastAsia" w:eastAsiaTheme="minorEastAsia" w:hAnsiTheme="minorEastAsia" w:cstheme="minorEastAsia"/>
          <w:sz w:val="28"/>
          <w:szCs w:val="28"/>
        </w:rPr>
        <w:t>一种由人工智能支持的数字助手正在颠覆拉丁美洲的一些传统采矿方式。</w:t>
      </w:r>
    </w:p>
    <w:p w:rsidR="00DA657E" w:rsidRPr="00DA657E" w:rsidRDefault="00DA657E" w:rsidP="00DA657E">
      <w:pPr>
        <w:widowControl/>
        <w:wordWrap w:val="0"/>
        <w:spacing w:after="90" w:line="288" w:lineRule="auto"/>
        <w:ind w:firstLine="480"/>
        <w:jc w:val="left"/>
        <w:rPr>
          <w:rFonts w:asciiTheme="minorEastAsia" w:eastAsiaTheme="minorEastAsia" w:hAnsiTheme="minorEastAsia" w:cstheme="minorEastAsia"/>
          <w:sz w:val="28"/>
          <w:szCs w:val="28"/>
        </w:rPr>
      </w:pPr>
      <w:r w:rsidRPr="00DA657E">
        <w:rPr>
          <w:rFonts w:asciiTheme="minorEastAsia" w:eastAsiaTheme="minorEastAsia" w:hAnsiTheme="minorEastAsia" w:cstheme="minorEastAsia"/>
          <w:sz w:val="28"/>
          <w:szCs w:val="28"/>
        </w:rPr>
        <w:t>该方案被称为“智能采矿教练”(Smart Mining Coach)，由智利初创公司InDiMin于2016年开发，已被Antofagasta、英美资源集团(AngloAmerican)和Collahuasi等知名公司采用。它对流程和关键绩效指标提供实时反馈，预测事件，并建议矿山改善机会。</w:t>
      </w:r>
    </w:p>
    <w:p w:rsidR="00DA657E" w:rsidRPr="00DA657E" w:rsidRDefault="00DA657E" w:rsidP="00DA657E">
      <w:pPr>
        <w:widowControl/>
        <w:wordWrap w:val="0"/>
        <w:spacing w:after="90" w:line="288" w:lineRule="auto"/>
        <w:ind w:firstLine="480"/>
        <w:jc w:val="left"/>
        <w:rPr>
          <w:rFonts w:asciiTheme="minorEastAsia" w:eastAsiaTheme="minorEastAsia" w:hAnsiTheme="minorEastAsia" w:cstheme="minorEastAsia"/>
          <w:sz w:val="28"/>
          <w:szCs w:val="28"/>
        </w:rPr>
      </w:pPr>
      <w:r w:rsidRPr="00DA657E">
        <w:rPr>
          <w:rFonts w:asciiTheme="minorEastAsia" w:eastAsiaTheme="minorEastAsia" w:hAnsiTheme="minorEastAsia" w:cstheme="minorEastAsia"/>
          <w:sz w:val="28"/>
          <w:szCs w:val="28"/>
        </w:rPr>
        <w:t>InDiMin联合创始人Loreto Acevedo告诉MINING.COM:“我相信拉丁美洲拥有令人难以置信的人力资本、采矿知识和独特的多样性，这意味着它也有能力促成真正的、激进的变化。”</w:t>
      </w:r>
    </w:p>
    <w:p w:rsidR="00DA657E" w:rsidRPr="00DA657E" w:rsidRDefault="00DA657E" w:rsidP="00DA657E">
      <w:pPr>
        <w:widowControl/>
        <w:wordWrap w:val="0"/>
        <w:spacing w:after="90" w:line="288" w:lineRule="auto"/>
        <w:ind w:firstLine="480"/>
        <w:jc w:val="left"/>
        <w:rPr>
          <w:rFonts w:asciiTheme="minorEastAsia" w:eastAsiaTheme="minorEastAsia" w:hAnsiTheme="minorEastAsia" w:cstheme="minorEastAsia"/>
          <w:sz w:val="28"/>
          <w:szCs w:val="28"/>
        </w:rPr>
      </w:pPr>
      <w:r w:rsidRPr="00DA657E">
        <w:rPr>
          <w:rFonts w:asciiTheme="minorEastAsia" w:eastAsiaTheme="minorEastAsia" w:hAnsiTheme="minorEastAsia" w:cstheme="minorEastAsia"/>
          <w:sz w:val="28"/>
          <w:szCs w:val="28"/>
        </w:rPr>
        <w:t>阿塞韦多表示，她的公司的产品在智利Los Colorados矿山等矿区的现代化建设中起到了关键作用，因为该矿山拥有该国最大的铁矿，运营商可以利用智能数据分析成为自己的教练，根据流程数据的反馈学习最佳实践，并以明智的方式与团队协作。</w:t>
      </w:r>
    </w:p>
    <w:p w:rsidR="00DA657E" w:rsidRPr="00DA657E" w:rsidRDefault="00DA657E" w:rsidP="00DA657E">
      <w:pPr>
        <w:widowControl/>
        <w:wordWrap w:val="0"/>
        <w:spacing w:after="90" w:line="288" w:lineRule="auto"/>
        <w:ind w:firstLine="480"/>
        <w:jc w:val="left"/>
        <w:rPr>
          <w:rFonts w:asciiTheme="minorEastAsia" w:eastAsiaTheme="minorEastAsia" w:hAnsiTheme="minorEastAsia" w:cstheme="minorEastAsia"/>
          <w:sz w:val="28"/>
          <w:szCs w:val="28"/>
        </w:rPr>
      </w:pPr>
      <w:r w:rsidRPr="00DA657E">
        <w:rPr>
          <w:rFonts w:asciiTheme="minorEastAsia" w:eastAsiaTheme="minorEastAsia" w:hAnsiTheme="minorEastAsia" w:cstheme="minorEastAsia"/>
          <w:sz w:val="28"/>
          <w:szCs w:val="28"/>
        </w:rPr>
        <w:t>为了开发这个解决方案，Acevedo和她的商业伙伴Álvaro Díaz采访了几十个大中型矿场的人，了解他们的需求，以及在数字创新方面缺乏什么。然后，在最终用户的帮助下，他们在2013年创造了第一个原型。</w:t>
      </w:r>
    </w:p>
    <w:p w:rsidR="00DA657E" w:rsidRPr="00DA657E" w:rsidRDefault="00DA657E" w:rsidP="00DA657E">
      <w:pPr>
        <w:widowControl/>
        <w:wordWrap w:val="0"/>
        <w:spacing w:after="90" w:line="288" w:lineRule="auto"/>
        <w:ind w:firstLine="480"/>
        <w:jc w:val="left"/>
        <w:rPr>
          <w:rFonts w:asciiTheme="minorEastAsia" w:eastAsiaTheme="minorEastAsia" w:hAnsiTheme="minorEastAsia" w:cstheme="minorEastAsia"/>
          <w:sz w:val="28"/>
          <w:szCs w:val="28"/>
        </w:rPr>
      </w:pPr>
      <w:r w:rsidRPr="00DA657E">
        <w:rPr>
          <w:rFonts w:asciiTheme="minorEastAsia" w:eastAsiaTheme="minorEastAsia" w:hAnsiTheme="minorEastAsia" w:cstheme="minorEastAsia"/>
          <w:sz w:val="28"/>
          <w:szCs w:val="28"/>
        </w:rPr>
        <w:t>Acevedo说:“在过去的几年里，我们率先在采矿价值链中开发了人工智能，从计划到钻孔和爆破、装载和运输、矿物回收和磨矿过程。”“我们的业绩提高了25%，生产链优化了9%，这为拉丁美洲的一些大型矿商带来了超过750万美元的收益。”</w:t>
      </w:r>
    </w:p>
    <w:p w:rsidR="00DA657E" w:rsidRPr="00DA657E" w:rsidRDefault="00DA657E" w:rsidP="00DA657E">
      <w:pPr>
        <w:widowControl/>
        <w:wordWrap w:val="0"/>
        <w:spacing w:after="90" w:line="288" w:lineRule="auto"/>
        <w:ind w:firstLine="480"/>
        <w:jc w:val="left"/>
        <w:rPr>
          <w:rFonts w:asciiTheme="minorEastAsia" w:eastAsiaTheme="minorEastAsia" w:hAnsiTheme="minorEastAsia" w:cstheme="minorEastAsia"/>
          <w:sz w:val="28"/>
          <w:szCs w:val="28"/>
        </w:rPr>
      </w:pPr>
      <w:r w:rsidRPr="00DA657E">
        <w:rPr>
          <w:rFonts w:asciiTheme="minorEastAsia" w:eastAsiaTheme="minorEastAsia" w:hAnsiTheme="minorEastAsia" w:cstheme="minorEastAsia"/>
          <w:sz w:val="28"/>
          <w:szCs w:val="28"/>
        </w:rPr>
        <w:lastRenderedPageBreak/>
        <w:t>尽管这位高管相信，技术是改善流程和结果的关键，但她也相信，主要的转变必须发生在人的内部，以便在劳动力中灌输安全、可信和生产性的行为。</w:t>
      </w:r>
    </w:p>
    <w:p w:rsidR="00DA657E" w:rsidRPr="00DA657E" w:rsidRDefault="00DA657E" w:rsidP="00DA657E">
      <w:pPr>
        <w:widowControl/>
        <w:wordWrap w:val="0"/>
        <w:spacing w:after="90" w:line="288" w:lineRule="auto"/>
        <w:ind w:firstLine="480"/>
        <w:jc w:val="left"/>
        <w:rPr>
          <w:rFonts w:asciiTheme="minorEastAsia" w:eastAsiaTheme="minorEastAsia" w:hAnsiTheme="minorEastAsia" w:cstheme="minorEastAsia"/>
          <w:sz w:val="28"/>
          <w:szCs w:val="28"/>
        </w:rPr>
      </w:pPr>
      <w:r w:rsidRPr="00DA657E">
        <w:rPr>
          <w:rFonts w:asciiTheme="minorEastAsia" w:eastAsiaTheme="minorEastAsia" w:hAnsiTheme="minorEastAsia" w:cstheme="minorEastAsia"/>
          <w:sz w:val="28"/>
          <w:szCs w:val="28"/>
        </w:rPr>
        <w:t>从失败中学习</w:t>
      </w:r>
    </w:p>
    <w:p w:rsidR="00DA657E" w:rsidRPr="00DA657E" w:rsidRDefault="00DA657E" w:rsidP="00DA657E">
      <w:pPr>
        <w:widowControl/>
        <w:wordWrap w:val="0"/>
        <w:spacing w:after="90" w:line="288" w:lineRule="auto"/>
        <w:ind w:firstLine="480"/>
        <w:jc w:val="left"/>
        <w:rPr>
          <w:rFonts w:asciiTheme="minorEastAsia" w:eastAsiaTheme="minorEastAsia" w:hAnsiTheme="minorEastAsia" w:cstheme="minorEastAsia"/>
          <w:sz w:val="28"/>
          <w:szCs w:val="28"/>
        </w:rPr>
      </w:pPr>
      <w:r w:rsidRPr="00DA657E">
        <w:rPr>
          <w:rFonts w:asciiTheme="minorEastAsia" w:eastAsiaTheme="minorEastAsia" w:hAnsiTheme="minorEastAsia" w:cstheme="minorEastAsia"/>
          <w:sz w:val="28"/>
          <w:szCs w:val="28"/>
        </w:rPr>
        <w:t>2012年，当Loreto Acevedo参与的一个大项目失败后，她明白了改变必须从人开始。</w:t>
      </w:r>
    </w:p>
    <w:p w:rsidR="00DA657E" w:rsidRPr="00DA657E" w:rsidRDefault="00DA657E" w:rsidP="00DA657E">
      <w:pPr>
        <w:widowControl/>
        <w:wordWrap w:val="0"/>
        <w:spacing w:after="90" w:line="288" w:lineRule="auto"/>
        <w:ind w:firstLine="480"/>
        <w:jc w:val="left"/>
        <w:rPr>
          <w:rFonts w:asciiTheme="minorEastAsia" w:eastAsiaTheme="minorEastAsia" w:hAnsiTheme="minorEastAsia" w:cstheme="minorEastAsia"/>
          <w:sz w:val="28"/>
          <w:szCs w:val="28"/>
        </w:rPr>
      </w:pPr>
      <w:r w:rsidRPr="00DA657E">
        <w:rPr>
          <w:rFonts w:asciiTheme="minorEastAsia" w:eastAsiaTheme="minorEastAsia" w:hAnsiTheme="minorEastAsia" w:cstheme="minorEastAsia"/>
          <w:sz w:val="28"/>
          <w:szCs w:val="28"/>
        </w:rPr>
        <w:t>该项目的目标是在一个矿场安装半自主式巨型钻机，尽管她的团队试图让过渡顺利进行，但操作员拒绝采用这项新技术。</w:t>
      </w:r>
    </w:p>
    <w:p w:rsidR="00DA657E" w:rsidRPr="00DA657E" w:rsidRDefault="00DA657E" w:rsidP="00DA657E">
      <w:pPr>
        <w:widowControl/>
        <w:wordWrap w:val="0"/>
        <w:spacing w:after="90" w:line="288" w:lineRule="auto"/>
        <w:ind w:firstLine="480"/>
        <w:jc w:val="left"/>
        <w:rPr>
          <w:rFonts w:asciiTheme="minorEastAsia" w:eastAsiaTheme="minorEastAsia" w:hAnsiTheme="minorEastAsia" w:cstheme="minorEastAsia"/>
          <w:sz w:val="28"/>
          <w:szCs w:val="28"/>
        </w:rPr>
      </w:pPr>
      <w:r w:rsidRPr="00DA657E">
        <w:rPr>
          <w:rFonts w:asciiTheme="minorEastAsia" w:eastAsiaTheme="minorEastAsia" w:hAnsiTheme="minorEastAsia" w:cstheme="minorEastAsia"/>
          <w:sz w:val="28"/>
          <w:szCs w:val="28"/>
        </w:rPr>
        <w:t>“这促使我攻读创新专业的硕士学位，在那里我学会了如何管理具有高度不确定性的项目。我特别关注如何在流程和劳动力中引入技术变革。”Acevedo说。</w:t>
      </w:r>
    </w:p>
    <w:p w:rsidR="00DA657E" w:rsidRPr="00DA657E" w:rsidRDefault="00DA657E" w:rsidP="00DA657E">
      <w:pPr>
        <w:widowControl/>
        <w:wordWrap w:val="0"/>
        <w:spacing w:after="90" w:line="288" w:lineRule="auto"/>
        <w:ind w:firstLine="480"/>
        <w:jc w:val="left"/>
        <w:rPr>
          <w:rFonts w:asciiTheme="minorEastAsia" w:eastAsiaTheme="minorEastAsia" w:hAnsiTheme="minorEastAsia" w:cstheme="minorEastAsia"/>
          <w:sz w:val="28"/>
          <w:szCs w:val="28"/>
        </w:rPr>
      </w:pPr>
      <w:r w:rsidRPr="00DA657E">
        <w:rPr>
          <w:rFonts w:asciiTheme="minorEastAsia" w:eastAsiaTheme="minorEastAsia" w:hAnsiTheme="minorEastAsia" w:cstheme="minorEastAsia"/>
          <w:sz w:val="28"/>
          <w:szCs w:val="28"/>
        </w:rPr>
        <w:t>从最初的失败和她的课程中吸取教训后，第二年Loreto Acevedo开发了一个项目，让那些参加过关于如何操作大型钻机和螺栓钻机理论课程的女性获得一些实际经验。</w:t>
      </w:r>
    </w:p>
    <w:p w:rsidR="00DA657E" w:rsidRPr="00DA657E" w:rsidRDefault="00DA657E" w:rsidP="00DA657E">
      <w:pPr>
        <w:widowControl/>
        <w:wordWrap w:val="0"/>
        <w:spacing w:after="90" w:line="288" w:lineRule="auto"/>
        <w:ind w:firstLine="480"/>
        <w:jc w:val="left"/>
        <w:rPr>
          <w:rFonts w:asciiTheme="minorEastAsia" w:eastAsiaTheme="minorEastAsia" w:hAnsiTheme="minorEastAsia" w:cstheme="minorEastAsia"/>
          <w:sz w:val="28"/>
          <w:szCs w:val="28"/>
        </w:rPr>
      </w:pPr>
      <w:r w:rsidRPr="00DA657E">
        <w:rPr>
          <w:rFonts w:asciiTheme="minorEastAsia" w:eastAsiaTheme="minorEastAsia" w:hAnsiTheme="minorEastAsia" w:cstheme="minorEastAsia"/>
          <w:sz w:val="28"/>
          <w:szCs w:val="28"/>
        </w:rPr>
        <w:t>“这非常具有挑战性，因为公司的文化还没有准备好欢迎他们，改变他们的做事方式，”她回忆说。“然而，他们中的一些人能够继续发展，现在是分包公司的机械操作员。如果我必须重新启动这个项目，我肯定会首先把重点放在降低某些组织中仍然存在的障碍，以及消除对矿业女性的偏见。”</w:t>
      </w:r>
    </w:p>
    <w:p w:rsidR="00DA657E" w:rsidRPr="00DA657E" w:rsidRDefault="00DA657E" w:rsidP="00DA657E">
      <w:pPr>
        <w:widowControl/>
        <w:wordWrap w:val="0"/>
        <w:spacing w:after="90" w:line="288" w:lineRule="auto"/>
        <w:ind w:firstLine="480"/>
        <w:jc w:val="left"/>
        <w:rPr>
          <w:rFonts w:asciiTheme="minorEastAsia" w:eastAsiaTheme="minorEastAsia" w:hAnsiTheme="minorEastAsia" w:cstheme="minorEastAsia"/>
          <w:sz w:val="28"/>
          <w:szCs w:val="28"/>
        </w:rPr>
      </w:pPr>
      <w:r w:rsidRPr="00DA657E">
        <w:rPr>
          <w:rFonts w:asciiTheme="minorEastAsia" w:eastAsiaTheme="minorEastAsia" w:hAnsiTheme="minorEastAsia" w:cstheme="minorEastAsia"/>
          <w:sz w:val="28"/>
          <w:szCs w:val="28"/>
        </w:rPr>
        <w:t>幸运儿之一</w:t>
      </w:r>
    </w:p>
    <w:p w:rsidR="00DA657E" w:rsidRPr="00DA657E" w:rsidRDefault="00DA657E" w:rsidP="00DA657E">
      <w:pPr>
        <w:widowControl/>
        <w:wordWrap w:val="0"/>
        <w:spacing w:after="90" w:line="288" w:lineRule="auto"/>
        <w:ind w:firstLine="480"/>
        <w:jc w:val="left"/>
        <w:rPr>
          <w:rFonts w:asciiTheme="minorEastAsia" w:eastAsiaTheme="minorEastAsia" w:hAnsiTheme="minorEastAsia" w:cstheme="minorEastAsia"/>
          <w:sz w:val="28"/>
          <w:szCs w:val="28"/>
        </w:rPr>
      </w:pPr>
      <w:r w:rsidRPr="00DA657E">
        <w:rPr>
          <w:rFonts w:asciiTheme="minorEastAsia" w:eastAsiaTheme="minorEastAsia" w:hAnsiTheme="minorEastAsia" w:cstheme="minorEastAsia"/>
          <w:sz w:val="28"/>
          <w:szCs w:val="28"/>
        </w:rPr>
        <w:t>Loreto Acevedo相信，矿业内部的工作方式是可以改变的，不仅是在实施技术和可持续做法方面，而且在为妇女开辟空间方面。</w:t>
      </w:r>
    </w:p>
    <w:p w:rsidR="00DA657E" w:rsidRPr="00DA657E" w:rsidRDefault="00DA657E" w:rsidP="00DA657E">
      <w:pPr>
        <w:widowControl/>
        <w:wordWrap w:val="0"/>
        <w:spacing w:after="90" w:line="288" w:lineRule="auto"/>
        <w:ind w:firstLine="480"/>
        <w:jc w:val="left"/>
        <w:rPr>
          <w:rFonts w:asciiTheme="minorEastAsia" w:eastAsiaTheme="minorEastAsia" w:hAnsiTheme="minorEastAsia" w:cstheme="minorEastAsia"/>
          <w:sz w:val="28"/>
          <w:szCs w:val="28"/>
        </w:rPr>
      </w:pPr>
      <w:r w:rsidRPr="00DA657E">
        <w:rPr>
          <w:rFonts w:asciiTheme="minorEastAsia" w:eastAsiaTheme="minorEastAsia" w:hAnsiTheme="minorEastAsia" w:cstheme="minorEastAsia"/>
          <w:sz w:val="28"/>
          <w:szCs w:val="28"/>
        </w:rPr>
        <w:lastRenderedPageBreak/>
        <w:t>她说:“技术可以成为变革的杠杆，可以用来改变采矿职业的构想，以便人们理解，例如，抚养孩子是男人和女人之间的共同责任。”“现在是我们改变游戏规则的时候了，这样我们才能表现得最好。这些规则是由男性设计的，因为他们在这个行业中存在的时间更长。因此，我们迫切需要更多女性担任领导职位，发出强有力的声音，这样我们就可以改变现状。”</w:t>
      </w:r>
    </w:p>
    <w:p w:rsidR="00DA657E" w:rsidRPr="00DA657E" w:rsidRDefault="00DA657E" w:rsidP="00DA657E">
      <w:pPr>
        <w:widowControl/>
        <w:wordWrap w:val="0"/>
        <w:spacing w:after="90" w:line="288" w:lineRule="auto"/>
        <w:ind w:firstLine="480"/>
        <w:jc w:val="left"/>
        <w:rPr>
          <w:rFonts w:asciiTheme="minorEastAsia" w:eastAsiaTheme="minorEastAsia" w:hAnsiTheme="minorEastAsia" w:cstheme="minorEastAsia"/>
          <w:sz w:val="28"/>
          <w:szCs w:val="28"/>
        </w:rPr>
      </w:pPr>
      <w:r w:rsidRPr="00DA657E">
        <w:rPr>
          <w:rFonts w:asciiTheme="minorEastAsia" w:eastAsiaTheme="minorEastAsia" w:hAnsiTheme="minorEastAsia" w:cstheme="minorEastAsia"/>
          <w:sz w:val="28"/>
          <w:szCs w:val="28"/>
        </w:rPr>
        <w:t>Acevedo在职业生涯晚期开始与其他女性接触时，意识到阻碍女性参与的主要障碍。</w:t>
      </w:r>
    </w:p>
    <w:p w:rsidR="00DA657E" w:rsidRPr="00DA657E" w:rsidRDefault="00DA657E" w:rsidP="00DA657E">
      <w:pPr>
        <w:widowControl/>
        <w:wordWrap w:val="0"/>
        <w:spacing w:after="90" w:line="288" w:lineRule="auto"/>
        <w:ind w:firstLine="480"/>
        <w:jc w:val="left"/>
        <w:rPr>
          <w:rFonts w:asciiTheme="minorEastAsia" w:eastAsiaTheme="minorEastAsia" w:hAnsiTheme="minorEastAsia" w:cstheme="minorEastAsia"/>
          <w:sz w:val="28"/>
          <w:szCs w:val="28"/>
        </w:rPr>
      </w:pPr>
      <w:r w:rsidRPr="00DA657E">
        <w:rPr>
          <w:rFonts w:asciiTheme="minorEastAsia" w:eastAsiaTheme="minorEastAsia" w:hAnsiTheme="minorEastAsia" w:cstheme="minorEastAsia"/>
          <w:sz w:val="28"/>
          <w:szCs w:val="28"/>
        </w:rPr>
        <w:t>她在一个矿工家庭长大。她的祖父在Codelco的El Teniente铜矿工作，那时矿工们必须用铁锹工作，还要坐火车上山。她的叔叔们也在这个行业工作，甚至她的父亲也在前往一个矿场的途中死于一场事故。</w:t>
      </w:r>
    </w:p>
    <w:p w:rsidR="00DA657E" w:rsidRPr="00DA657E" w:rsidRDefault="00DA657E" w:rsidP="00DA657E">
      <w:pPr>
        <w:widowControl/>
        <w:wordWrap w:val="0"/>
        <w:spacing w:after="90" w:line="288" w:lineRule="auto"/>
        <w:ind w:firstLine="480"/>
        <w:jc w:val="left"/>
        <w:rPr>
          <w:rFonts w:asciiTheme="minorEastAsia" w:eastAsiaTheme="minorEastAsia" w:hAnsiTheme="minorEastAsia" w:cstheme="minorEastAsia"/>
          <w:sz w:val="28"/>
          <w:szCs w:val="28"/>
        </w:rPr>
      </w:pPr>
      <w:r w:rsidRPr="00DA657E">
        <w:rPr>
          <w:rFonts w:asciiTheme="minorEastAsia" w:eastAsiaTheme="minorEastAsia" w:hAnsiTheme="minorEastAsia" w:cstheme="minorEastAsia"/>
          <w:sz w:val="28"/>
          <w:szCs w:val="28"/>
        </w:rPr>
        <w:t>考虑到这样的家庭背景，当她决定学习土木工程，并开始在一家为采矿作业建造地下隧道的公司工作时，也就不足为奇了。</w:t>
      </w:r>
    </w:p>
    <w:p w:rsidR="00DA657E" w:rsidRPr="00DA657E" w:rsidRDefault="00DA657E" w:rsidP="00DA657E">
      <w:pPr>
        <w:widowControl/>
        <w:wordWrap w:val="0"/>
        <w:spacing w:after="90" w:line="288" w:lineRule="auto"/>
        <w:ind w:firstLine="480"/>
        <w:jc w:val="left"/>
        <w:rPr>
          <w:rFonts w:asciiTheme="minorEastAsia" w:eastAsiaTheme="minorEastAsia" w:hAnsiTheme="minorEastAsia" w:cstheme="minorEastAsia"/>
          <w:sz w:val="28"/>
          <w:szCs w:val="28"/>
        </w:rPr>
      </w:pPr>
      <w:r w:rsidRPr="00DA657E">
        <w:rPr>
          <w:rFonts w:asciiTheme="minorEastAsia" w:eastAsiaTheme="minorEastAsia" w:hAnsiTheme="minorEastAsia" w:cstheme="minorEastAsia"/>
          <w:sz w:val="28"/>
          <w:szCs w:val="28"/>
        </w:rPr>
        <w:t>Loreto Acevedo说，对她来说，在矿业工作是一种自然的发展，她能够基于自己的能力赢得空间，没有重大的性别相关问题。然而，她知道自己的旅程与众不同。</w:t>
      </w:r>
    </w:p>
    <w:p w:rsidR="00DA657E" w:rsidRPr="00DA657E" w:rsidRDefault="00DA657E" w:rsidP="00DA657E">
      <w:pPr>
        <w:widowControl/>
        <w:wordWrap w:val="0"/>
        <w:spacing w:after="90" w:line="288" w:lineRule="auto"/>
        <w:ind w:firstLine="480"/>
        <w:jc w:val="left"/>
        <w:rPr>
          <w:rFonts w:asciiTheme="minorEastAsia" w:eastAsiaTheme="minorEastAsia" w:hAnsiTheme="minorEastAsia" w:cstheme="minorEastAsia"/>
          <w:sz w:val="28"/>
          <w:szCs w:val="28"/>
        </w:rPr>
      </w:pPr>
      <w:r w:rsidRPr="00DA657E">
        <w:rPr>
          <w:rFonts w:asciiTheme="minorEastAsia" w:eastAsiaTheme="minorEastAsia" w:hAnsiTheme="minorEastAsia" w:cstheme="minorEastAsia"/>
          <w:sz w:val="28"/>
          <w:szCs w:val="28"/>
        </w:rPr>
        <w:t>她说:“我开始意识到，从这个意义上说，我是很幸运的，因为在我们这个行业，乃至这个世界，女性的竞争环境是完全不平等的。”</w:t>
      </w:r>
    </w:p>
    <w:p w:rsidR="00114DE3" w:rsidRDefault="00114DE3">
      <w:pPr>
        <w:pStyle w:val="ab"/>
        <w:wordWrap w:val="0"/>
        <w:spacing w:line="288" w:lineRule="auto"/>
        <w:ind w:firstLineChars="200" w:firstLine="560"/>
        <w:rPr>
          <w:rFonts w:asciiTheme="minorEastAsia" w:eastAsiaTheme="minorEastAsia" w:hAnsiTheme="minorEastAsia" w:cstheme="minorEastAsia"/>
          <w:kern w:val="2"/>
          <w:sz w:val="28"/>
          <w:szCs w:val="28"/>
        </w:rPr>
      </w:pPr>
    </w:p>
    <w:p w:rsidR="00DA657E" w:rsidRDefault="00DA657E" w:rsidP="00DA657E">
      <w:pPr>
        <w:widowControl/>
        <w:jc w:val="left"/>
        <w:outlineLvl w:val="1"/>
        <w:rPr>
          <w:rFonts w:ascii="宋体" w:hAnsi="宋体" w:cs="宋体"/>
          <w:b/>
          <w:bCs/>
          <w:kern w:val="0"/>
          <w:sz w:val="30"/>
          <w:szCs w:val="30"/>
        </w:rPr>
      </w:pPr>
      <w:r w:rsidRPr="00DA657E">
        <w:rPr>
          <w:rFonts w:ascii="宋体" w:hAnsi="宋体" w:cs="宋体" w:hint="eastAsia"/>
          <w:b/>
          <w:bCs/>
          <w:kern w:val="0"/>
          <w:sz w:val="30"/>
          <w:szCs w:val="30"/>
        </w:rPr>
        <w:t xml:space="preserve"> </w:t>
      </w:r>
      <w:bookmarkStart w:id="118" w:name="_Toc76568923"/>
      <w:r w:rsidRPr="00DA657E">
        <w:rPr>
          <w:rFonts w:ascii="宋体" w:hAnsi="宋体" w:cs="宋体" w:hint="eastAsia"/>
          <w:b/>
          <w:bCs/>
          <w:kern w:val="0"/>
          <w:sz w:val="30"/>
          <w:szCs w:val="30"/>
        </w:rPr>
        <w:t>“双循环”新发展格局下的矿业之路</w:t>
      </w:r>
      <w:bookmarkEnd w:id="118"/>
    </w:p>
    <w:p w:rsidR="003436C0" w:rsidRDefault="003436C0" w:rsidP="003436C0">
      <w:pPr>
        <w:widowControl/>
        <w:wordWrap w:val="0"/>
        <w:spacing w:after="90" w:line="288" w:lineRule="auto"/>
        <w:ind w:firstLine="480"/>
        <w:jc w:val="left"/>
        <w:rPr>
          <w:rFonts w:asciiTheme="minorEastAsia" w:eastAsiaTheme="minorEastAsia" w:hAnsiTheme="minorEastAsia" w:cstheme="minorEastAsia" w:hint="eastAsia"/>
          <w:sz w:val="28"/>
          <w:szCs w:val="28"/>
        </w:rPr>
      </w:pPr>
    </w:p>
    <w:p w:rsidR="00DA657E" w:rsidRPr="00DA657E" w:rsidRDefault="00DA657E" w:rsidP="003436C0">
      <w:pPr>
        <w:widowControl/>
        <w:wordWrap w:val="0"/>
        <w:spacing w:after="90" w:line="288" w:lineRule="auto"/>
        <w:ind w:firstLine="480"/>
        <w:jc w:val="left"/>
        <w:rPr>
          <w:rFonts w:asciiTheme="minorEastAsia" w:eastAsiaTheme="minorEastAsia" w:hAnsiTheme="minorEastAsia" w:cstheme="minorEastAsia"/>
          <w:sz w:val="28"/>
          <w:szCs w:val="28"/>
        </w:rPr>
      </w:pPr>
      <w:r w:rsidRPr="00DA657E">
        <w:rPr>
          <w:rFonts w:asciiTheme="minorEastAsia" w:eastAsiaTheme="minorEastAsia" w:hAnsiTheme="minorEastAsia" w:cstheme="minorEastAsia"/>
          <w:sz w:val="28"/>
          <w:szCs w:val="28"/>
        </w:rPr>
        <w:lastRenderedPageBreak/>
        <w:t>2021国际矿产品投资与发展高峰会议在京召开。围绕后疫情时代全球矿业发展机遇与挑战，与会专家共同研讨疫情对全球矿业形势的影响、国际矿产品价格走势与投资趋势、新兴产业对战略性矿产资源的新需求等热点议题，旨在把握“双循环”新发展格局下矿业投资机遇，分析研判矿业企业面临的风险与挑战，深化全产业链合作，推动行业高质量发展，促进矿业命运共同体建设。</w:t>
      </w:r>
    </w:p>
    <w:p w:rsidR="00DA657E" w:rsidRPr="00DA657E" w:rsidRDefault="00DA657E" w:rsidP="003436C0">
      <w:pPr>
        <w:widowControl/>
        <w:wordWrap w:val="0"/>
        <w:spacing w:after="90" w:line="288" w:lineRule="auto"/>
        <w:ind w:firstLine="480"/>
        <w:jc w:val="left"/>
        <w:rPr>
          <w:rFonts w:asciiTheme="minorEastAsia" w:eastAsiaTheme="minorEastAsia" w:hAnsiTheme="minorEastAsia" w:cstheme="minorEastAsia"/>
          <w:sz w:val="28"/>
          <w:szCs w:val="28"/>
        </w:rPr>
      </w:pPr>
      <w:r w:rsidRPr="00DA657E">
        <w:rPr>
          <w:rFonts w:asciiTheme="minorEastAsia" w:eastAsiaTheme="minorEastAsia" w:hAnsiTheme="minorEastAsia" w:cstheme="minorEastAsia"/>
          <w:sz w:val="28"/>
          <w:szCs w:val="28"/>
        </w:rPr>
        <w:t>6月24日，2021国际矿产品投资与发展高峰会议在京召开。围绕后疫情时代全球矿业发展机遇与挑战，与会专家共同研讨疫情对全球矿业形势的影响、国际矿产品价格走势与投资趋势、新兴产业对战略性矿产资源的新需求等热点议题，旨在把握“双循环”新发展格局下矿业投资机遇，分析研判矿业企业面临的风险与挑战，深化全产业链合作，推动行业高质量发展，促进矿业命运共同体建设。</w:t>
      </w:r>
    </w:p>
    <w:p w:rsidR="00DA657E" w:rsidRPr="00DA657E" w:rsidRDefault="00DA657E" w:rsidP="003436C0">
      <w:pPr>
        <w:widowControl/>
        <w:wordWrap w:val="0"/>
        <w:spacing w:after="90" w:line="288" w:lineRule="auto"/>
        <w:ind w:firstLine="480"/>
        <w:jc w:val="left"/>
        <w:rPr>
          <w:rFonts w:asciiTheme="minorEastAsia" w:eastAsiaTheme="minorEastAsia" w:hAnsiTheme="minorEastAsia" w:cstheme="minorEastAsia"/>
          <w:sz w:val="28"/>
          <w:szCs w:val="28"/>
        </w:rPr>
      </w:pPr>
      <w:r w:rsidRPr="00DA657E">
        <w:rPr>
          <w:rFonts w:asciiTheme="minorEastAsia" w:eastAsiaTheme="minorEastAsia" w:hAnsiTheme="minorEastAsia" w:cstheme="minorEastAsia"/>
          <w:sz w:val="28"/>
          <w:szCs w:val="28"/>
        </w:rPr>
        <w:t>全球能源资源供应链</w:t>
      </w:r>
    </w:p>
    <w:p w:rsidR="00DA657E" w:rsidRPr="00DA657E" w:rsidRDefault="00DA657E" w:rsidP="003436C0">
      <w:pPr>
        <w:widowControl/>
        <w:wordWrap w:val="0"/>
        <w:spacing w:after="90" w:line="288" w:lineRule="auto"/>
        <w:ind w:firstLine="480"/>
        <w:jc w:val="left"/>
        <w:rPr>
          <w:rFonts w:asciiTheme="minorEastAsia" w:eastAsiaTheme="minorEastAsia" w:hAnsiTheme="minorEastAsia" w:cstheme="minorEastAsia"/>
          <w:sz w:val="28"/>
          <w:szCs w:val="28"/>
        </w:rPr>
      </w:pPr>
      <w:r w:rsidRPr="00DA657E">
        <w:rPr>
          <w:rFonts w:asciiTheme="minorEastAsia" w:eastAsiaTheme="minorEastAsia" w:hAnsiTheme="minorEastAsia" w:cstheme="minorEastAsia"/>
          <w:sz w:val="28"/>
          <w:szCs w:val="28"/>
        </w:rPr>
        <w:t>在2021国际矿产品投资与发展高峰会议上，中国地质调查局全球矿产资源战略研究中心副主任李建武，分享了全球矿产资源战略研究中心近期的研究成果，对后疫情时代全球矿产资源形势进行了分析和总结，作出了判断和建议。</w:t>
      </w:r>
    </w:p>
    <w:p w:rsidR="00DA657E" w:rsidRPr="00DA657E" w:rsidRDefault="00DA657E" w:rsidP="003436C0">
      <w:pPr>
        <w:widowControl/>
        <w:wordWrap w:val="0"/>
        <w:spacing w:after="90" w:line="288" w:lineRule="auto"/>
        <w:ind w:firstLine="480"/>
        <w:jc w:val="left"/>
        <w:rPr>
          <w:rFonts w:asciiTheme="minorEastAsia" w:eastAsiaTheme="minorEastAsia" w:hAnsiTheme="minorEastAsia" w:cstheme="minorEastAsia"/>
          <w:sz w:val="28"/>
          <w:szCs w:val="28"/>
        </w:rPr>
      </w:pPr>
      <w:r w:rsidRPr="00DA657E">
        <w:rPr>
          <w:rFonts w:asciiTheme="minorEastAsia" w:eastAsiaTheme="minorEastAsia" w:hAnsiTheme="minorEastAsia" w:cstheme="minorEastAsia"/>
          <w:sz w:val="28"/>
          <w:szCs w:val="28"/>
        </w:rPr>
        <w:t>目前，在全球经济发展版图上，主要国家经济体正处在一个复苏过程中，率先控制住疫情的国家会有一定优势，中国最先恢复，美欧随后，发展中国家和地区如印度、南美洲、非洲等滞后，在中短期内形成了资源消费国率先恢复、供应国滞后的局面，对资源供应平衡造成一定影响。从长期来看，全</w:t>
      </w:r>
      <w:r w:rsidRPr="00DA657E">
        <w:rPr>
          <w:rFonts w:asciiTheme="minorEastAsia" w:eastAsiaTheme="minorEastAsia" w:hAnsiTheme="minorEastAsia" w:cstheme="minorEastAsia"/>
          <w:sz w:val="28"/>
          <w:szCs w:val="28"/>
        </w:rPr>
        <w:lastRenderedPageBreak/>
        <w:t>球经济发展基本格局不变，但是受疫情影响，各国对矿产资源供应链本土化要求增强。此外，为应对气候变化，世界开始进入低碳发展时期。</w:t>
      </w:r>
    </w:p>
    <w:p w:rsidR="00DA657E" w:rsidRPr="00DA657E" w:rsidRDefault="00DA657E" w:rsidP="003436C0">
      <w:pPr>
        <w:widowControl/>
        <w:wordWrap w:val="0"/>
        <w:spacing w:after="90" w:line="288" w:lineRule="auto"/>
        <w:ind w:firstLine="480"/>
        <w:jc w:val="left"/>
        <w:rPr>
          <w:rFonts w:asciiTheme="minorEastAsia" w:eastAsiaTheme="minorEastAsia" w:hAnsiTheme="minorEastAsia" w:cstheme="minorEastAsia"/>
          <w:sz w:val="28"/>
          <w:szCs w:val="28"/>
        </w:rPr>
      </w:pPr>
      <w:r w:rsidRPr="00DA657E">
        <w:rPr>
          <w:rFonts w:asciiTheme="minorEastAsia" w:eastAsiaTheme="minorEastAsia" w:hAnsiTheme="minorEastAsia" w:cstheme="minorEastAsia"/>
          <w:sz w:val="28"/>
          <w:szCs w:val="28"/>
        </w:rPr>
        <w:t>李建武认为，全球大宗矿产需求格局基本保持不变，2035年前，中国仍将主导全球大宗矿产需求。中国仍将是大宗矿产主要进口国，国内供需缺口巨大，对外依存度长期居于高位。全球铜、铝等其他大宗资源有进入低速增长周期的趋势。本轮大宗商品价格上涨是一个短期波动，并非一个新增长周期的开端。新能源等战略新兴产业矿产资源需求快速增长，镍、钴、锂被称为新能源时代的“石油”，重要性显著提高。</w:t>
      </w:r>
    </w:p>
    <w:p w:rsidR="00DA657E" w:rsidRPr="00DA657E" w:rsidRDefault="00DA657E" w:rsidP="003436C0">
      <w:pPr>
        <w:widowControl/>
        <w:wordWrap w:val="0"/>
        <w:spacing w:after="90" w:line="288" w:lineRule="auto"/>
        <w:ind w:firstLine="480"/>
        <w:jc w:val="left"/>
        <w:rPr>
          <w:rFonts w:asciiTheme="minorEastAsia" w:eastAsiaTheme="minorEastAsia" w:hAnsiTheme="minorEastAsia" w:cstheme="minorEastAsia"/>
          <w:sz w:val="28"/>
          <w:szCs w:val="28"/>
        </w:rPr>
      </w:pPr>
      <w:r w:rsidRPr="00DA657E">
        <w:rPr>
          <w:rFonts w:asciiTheme="minorEastAsia" w:eastAsiaTheme="minorEastAsia" w:hAnsiTheme="minorEastAsia" w:cstheme="minorEastAsia"/>
          <w:sz w:val="28"/>
          <w:szCs w:val="28"/>
        </w:rPr>
        <w:t>对于全球资源供应格局的变化，中国企业海外投资面临着机遇。非洲、南美洲、东南亚及其他“一带一路”国家资源地位上升，中国企业正在成为全球矿业的重要力量。同时，全球战略性新兴产业矿产竞争加剧，钴、锂、铌、钽、铍、锆、锰、铬、铼、铂族等资源成为竞争主要品种。</w:t>
      </w:r>
    </w:p>
    <w:p w:rsidR="00DA657E" w:rsidRPr="00DA657E" w:rsidRDefault="00DA657E" w:rsidP="003436C0">
      <w:pPr>
        <w:widowControl/>
        <w:wordWrap w:val="0"/>
        <w:spacing w:after="90" w:line="288" w:lineRule="auto"/>
        <w:ind w:firstLine="480"/>
        <w:jc w:val="left"/>
        <w:rPr>
          <w:rFonts w:asciiTheme="minorEastAsia" w:eastAsiaTheme="minorEastAsia" w:hAnsiTheme="minorEastAsia" w:cstheme="minorEastAsia"/>
          <w:sz w:val="28"/>
          <w:szCs w:val="28"/>
        </w:rPr>
      </w:pPr>
      <w:r w:rsidRPr="00DA657E">
        <w:rPr>
          <w:rFonts w:asciiTheme="minorEastAsia" w:eastAsiaTheme="minorEastAsia" w:hAnsiTheme="minorEastAsia" w:cstheme="minorEastAsia"/>
          <w:sz w:val="28"/>
          <w:szCs w:val="28"/>
        </w:rPr>
        <w:t>面对后疫情时代全球矿产资源形势，李建武表示：“除了加大国内勘查，增加国内供应之外，还应该抓住机遇，构建自主可控的全球能源资源供应链，保证国家资源安全。遵循资源分布规律，以我国紧缺战略性矿产为重点矿种(铀、锰、铬、铜、铝、镍、钴、锂等)，以非洲、南美洲、东南亚、中亚等地区为重点区域，直接投资全球优质资源和产能。</w:t>
      </w:r>
    </w:p>
    <w:p w:rsidR="00DA657E" w:rsidRPr="00DA657E" w:rsidRDefault="00DA657E" w:rsidP="003436C0">
      <w:pPr>
        <w:widowControl/>
        <w:wordWrap w:val="0"/>
        <w:spacing w:after="90" w:line="288" w:lineRule="auto"/>
        <w:ind w:firstLine="480"/>
        <w:jc w:val="left"/>
        <w:rPr>
          <w:rFonts w:asciiTheme="minorEastAsia" w:eastAsiaTheme="minorEastAsia" w:hAnsiTheme="minorEastAsia" w:cstheme="minorEastAsia"/>
          <w:sz w:val="28"/>
          <w:szCs w:val="28"/>
        </w:rPr>
      </w:pPr>
      <w:r w:rsidRPr="00DA657E">
        <w:rPr>
          <w:rFonts w:asciiTheme="minorEastAsia" w:eastAsiaTheme="minorEastAsia" w:hAnsiTheme="minorEastAsia" w:cstheme="minorEastAsia"/>
          <w:sz w:val="28"/>
          <w:szCs w:val="28"/>
        </w:rPr>
        <w:t>减碳需从自身实际出发</w:t>
      </w:r>
    </w:p>
    <w:p w:rsidR="00DA657E" w:rsidRPr="00DA657E" w:rsidRDefault="00DA657E" w:rsidP="003436C0">
      <w:pPr>
        <w:widowControl/>
        <w:wordWrap w:val="0"/>
        <w:spacing w:after="90" w:line="288" w:lineRule="auto"/>
        <w:ind w:firstLine="480"/>
        <w:jc w:val="left"/>
        <w:rPr>
          <w:rFonts w:asciiTheme="minorEastAsia" w:eastAsiaTheme="minorEastAsia" w:hAnsiTheme="minorEastAsia" w:cstheme="minorEastAsia"/>
          <w:sz w:val="28"/>
          <w:szCs w:val="28"/>
        </w:rPr>
      </w:pPr>
      <w:r w:rsidRPr="00DA657E">
        <w:rPr>
          <w:rFonts w:asciiTheme="minorEastAsia" w:eastAsiaTheme="minorEastAsia" w:hAnsiTheme="minorEastAsia" w:cstheme="minorEastAsia"/>
          <w:sz w:val="28"/>
          <w:szCs w:val="28"/>
        </w:rPr>
        <w:t>在2021国际矿产品投资与发展高峰会议上，中国地质调查局国际矿业研究中心副主任邹谢华，对疫情以来全球矿业公司发展态势做出了自己的研判。他认为，新冠肺炎疫情加速了全球经济格局重塑。发达经济体受到的冲</w:t>
      </w:r>
      <w:r w:rsidRPr="00DA657E">
        <w:rPr>
          <w:rFonts w:asciiTheme="minorEastAsia" w:eastAsiaTheme="minorEastAsia" w:hAnsiTheme="minorEastAsia" w:cstheme="minorEastAsia"/>
          <w:sz w:val="28"/>
          <w:szCs w:val="28"/>
        </w:rPr>
        <w:lastRenderedPageBreak/>
        <w:t>击和影响更大，新兴市场和发展中经济体加快复苏，占全球经济的比重进一步加大。全球能源资源需求复苏预期较强，大宗矿产需求预计增长，中国成为推动全球能源资源市场回暖的重要引领者。</w:t>
      </w:r>
    </w:p>
    <w:p w:rsidR="00DA657E" w:rsidRPr="00DA657E" w:rsidRDefault="00DA657E" w:rsidP="003436C0">
      <w:pPr>
        <w:widowControl/>
        <w:wordWrap w:val="0"/>
        <w:spacing w:after="90" w:line="288" w:lineRule="auto"/>
        <w:ind w:firstLine="480"/>
        <w:jc w:val="left"/>
        <w:rPr>
          <w:rFonts w:asciiTheme="minorEastAsia" w:eastAsiaTheme="minorEastAsia" w:hAnsiTheme="minorEastAsia" w:cstheme="minorEastAsia"/>
          <w:sz w:val="28"/>
          <w:szCs w:val="28"/>
        </w:rPr>
      </w:pPr>
      <w:r w:rsidRPr="00DA657E">
        <w:rPr>
          <w:rFonts w:asciiTheme="minorEastAsia" w:eastAsiaTheme="minorEastAsia" w:hAnsiTheme="minorEastAsia" w:cstheme="minorEastAsia"/>
          <w:sz w:val="28"/>
          <w:szCs w:val="28"/>
        </w:rPr>
        <w:t>在各大型矿业公司和矿业行业协会积极的防疫措施下，各矿山通过加强对资金链、供应链、矿区与工作区、社区、区域政府关系等5个方面的管理，已于2020年7月逐步恢复产能，实现复工复产。但是，受新冠肺炎疫情影响，全球主要大型矿业公司分化加快。优质资源储备和良好的财务状况成为矿业公司应对疫情影响的重要保障。综合型矿业公司展现出极强的抗风险能力，整体经营有条不紊、业绩相对稳定;矿种单一型矿业公司发展遭遇瓶颈，且上升空间有限，是遭受疫情冲击最大的一类矿业公司;新兴大型矿业公司快速崛起，紫金矿业、洛阳钼业等中国新兴矿业公司综合实力不断增强，在疫情期间韧性更强，多表现为逆市增长。</w:t>
      </w:r>
    </w:p>
    <w:p w:rsidR="00DA657E" w:rsidRPr="00DA657E" w:rsidRDefault="00DA657E" w:rsidP="003436C0">
      <w:pPr>
        <w:widowControl/>
        <w:wordWrap w:val="0"/>
        <w:spacing w:after="90" w:line="288" w:lineRule="auto"/>
        <w:ind w:firstLine="480"/>
        <w:jc w:val="left"/>
        <w:rPr>
          <w:rFonts w:asciiTheme="minorEastAsia" w:eastAsiaTheme="minorEastAsia" w:hAnsiTheme="minorEastAsia" w:cstheme="minorEastAsia"/>
          <w:sz w:val="28"/>
          <w:szCs w:val="28"/>
        </w:rPr>
      </w:pPr>
      <w:r w:rsidRPr="00DA657E">
        <w:rPr>
          <w:rFonts w:asciiTheme="minorEastAsia" w:eastAsiaTheme="minorEastAsia" w:hAnsiTheme="minorEastAsia" w:cstheme="minorEastAsia"/>
          <w:sz w:val="28"/>
          <w:szCs w:val="28"/>
        </w:rPr>
        <w:t>双碳目标下，大型矿业企业面临着哪些挑战与机遇?邹谢华表示，减碳将促进矿产资源消费结构调整，战略性新兴矿产消费量发生增长，电力供给将转换到高效、清洁的的风能和太阳能等可再生能源，技术创新成为减碳的关键变量。目前，传统能源仍然比重较大，技术研发和规模化困难重重，要进行经济绩效增长和减碳之间的成本考量，选择合适的碳减排技术，以降低投资风险、提高投资收益。对此，邹谢华建议：“矿业企业要主动应对，积极布局。减碳需根据自身情况出发，要综合考量行业特点、规模特点、所在国别特点等。</w:t>
      </w:r>
    </w:p>
    <w:p w:rsidR="00DA657E" w:rsidRPr="00DA657E" w:rsidRDefault="00DA657E" w:rsidP="003436C0">
      <w:pPr>
        <w:widowControl/>
        <w:wordWrap w:val="0"/>
        <w:spacing w:after="90" w:line="288" w:lineRule="auto"/>
        <w:ind w:firstLine="480"/>
        <w:jc w:val="left"/>
        <w:rPr>
          <w:rFonts w:asciiTheme="minorEastAsia" w:eastAsiaTheme="minorEastAsia" w:hAnsiTheme="minorEastAsia" w:cstheme="minorEastAsia"/>
          <w:sz w:val="28"/>
          <w:szCs w:val="28"/>
        </w:rPr>
      </w:pPr>
      <w:r w:rsidRPr="00DA657E">
        <w:rPr>
          <w:rFonts w:asciiTheme="minorEastAsia" w:eastAsiaTheme="minorEastAsia" w:hAnsiTheme="minorEastAsia" w:cstheme="minorEastAsia"/>
          <w:sz w:val="28"/>
          <w:szCs w:val="28"/>
        </w:rPr>
        <w:t>在2021国际矿产品投资与发展高峰会议上，北京安泰科信息股份有限公司首席专家冯君从，作了题为《有色金属矿业现状及未来趋势》的主旨发</w:t>
      </w:r>
      <w:r w:rsidRPr="00DA657E">
        <w:rPr>
          <w:rFonts w:asciiTheme="minorEastAsia" w:eastAsiaTheme="minorEastAsia" w:hAnsiTheme="minorEastAsia" w:cstheme="minorEastAsia"/>
          <w:sz w:val="28"/>
          <w:szCs w:val="28"/>
        </w:rPr>
        <w:lastRenderedPageBreak/>
        <w:t>言。从我国有色金属矿业与全球简单对比、中国有色金属产业现状和趋势以及有色金属市场运行状况和趋势等三部分进行了详细的分析讲解。</w:t>
      </w:r>
    </w:p>
    <w:p w:rsidR="00DA657E" w:rsidRPr="00DA657E" w:rsidRDefault="00DA657E" w:rsidP="003436C0">
      <w:pPr>
        <w:widowControl/>
        <w:wordWrap w:val="0"/>
        <w:spacing w:after="90" w:line="288" w:lineRule="auto"/>
        <w:ind w:firstLine="480"/>
        <w:jc w:val="left"/>
        <w:rPr>
          <w:rFonts w:asciiTheme="minorEastAsia" w:eastAsiaTheme="minorEastAsia" w:hAnsiTheme="minorEastAsia" w:cstheme="minorEastAsia"/>
          <w:sz w:val="28"/>
          <w:szCs w:val="28"/>
        </w:rPr>
      </w:pPr>
      <w:r w:rsidRPr="00DA657E">
        <w:rPr>
          <w:rFonts w:asciiTheme="minorEastAsia" w:eastAsiaTheme="minorEastAsia" w:hAnsiTheme="minorEastAsia" w:cstheme="minorEastAsia"/>
          <w:sz w:val="28"/>
          <w:szCs w:val="28"/>
        </w:rPr>
        <w:t>冯君从表示，全球有色金属矿产勘查投入在2012年达到峰值之后，一直处于较低水平，我国有色金属矿产勘查投资持续下降。过去10年，全球金、铜、铅、锌、锂、镍等矿种勘查新发现的矿石品位呈下降趋势，易开采、易选冶的富矿找矿难度逐步加大。随着全球经济增速的放缓，勘查公司在不断优化资本配置，致力于把有限的资金投入到更加成熟的项目中，而不是早期高风险的项目，有意识地规避投资中的各种风险。</w:t>
      </w:r>
    </w:p>
    <w:p w:rsidR="00DA657E" w:rsidRPr="00DA657E" w:rsidRDefault="00DA657E" w:rsidP="003436C0">
      <w:pPr>
        <w:widowControl/>
        <w:wordWrap w:val="0"/>
        <w:spacing w:after="90" w:line="288" w:lineRule="auto"/>
        <w:ind w:firstLine="480"/>
        <w:jc w:val="left"/>
        <w:rPr>
          <w:rFonts w:asciiTheme="minorEastAsia" w:eastAsiaTheme="minorEastAsia" w:hAnsiTheme="minorEastAsia" w:cstheme="minorEastAsia"/>
          <w:sz w:val="28"/>
          <w:szCs w:val="28"/>
        </w:rPr>
      </w:pPr>
      <w:r w:rsidRPr="00DA657E">
        <w:rPr>
          <w:rFonts w:asciiTheme="minorEastAsia" w:eastAsiaTheme="minorEastAsia" w:hAnsiTheme="minorEastAsia" w:cstheme="minorEastAsia"/>
          <w:sz w:val="28"/>
          <w:szCs w:val="28"/>
        </w:rPr>
        <w:t>我国有色金属冶炼产量持续增长，矿产量萎缩。绝大部分有色金属产品产量占世界比重超过30%，优势品种超过70%，平均49.5%，但矿产品比重明显低于冶炼产量。国内资源增长速度弱于产消增长速度，主要有色金属品种原料对外依存度高。我国有色金属贸易的主要特点是进口以原料性产品为主，出口以冶炼为主。其中，出口以优势资源和初级冶炼加工产品为主，进口以短缺资源和加工产品为主</w:t>
      </w:r>
    </w:p>
    <w:p w:rsidR="00DA657E" w:rsidRPr="00DA657E" w:rsidRDefault="00DA657E" w:rsidP="003436C0">
      <w:pPr>
        <w:widowControl/>
        <w:wordWrap w:val="0"/>
        <w:spacing w:after="90" w:line="288" w:lineRule="auto"/>
        <w:ind w:firstLine="480"/>
        <w:jc w:val="left"/>
        <w:rPr>
          <w:rFonts w:asciiTheme="minorEastAsia" w:eastAsiaTheme="minorEastAsia" w:hAnsiTheme="minorEastAsia" w:cstheme="minorEastAsia"/>
          <w:sz w:val="28"/>
          <w:szCs w:val="28"/>
        </w:rPr>
      </w:pPr>
      <w:r w:rsidRPr="00DA657E">
        <w:rPr>
          <w:rFonts w:asciiTheme="minorEastAsia" w:eastAsiaTheme="minorEastAsia" w:hAnsiTheme="minorEastAsia" w:cstheme="minorEastAsia"/>
          <w:sz w:val="28"/>
          <w:szCs w:val="28"/>
        </w:rPr>
        <w:t>谈到未来我国有色金属产业发展的基本态势时，冯君从指出：“我国主要有色金属消费量增长将呈放缓趋势，但实际需求量依旧很大。在未来5年内，多数有色金属矿产将陆续达到需求峰值;有色金属矿产资源对外依存度依然维持较高水平，矿产资源供需矛盾依然突出，矿业发展空间大，是矿业企业发展的机会。”其中，资源安全保障和高效利用问题、低碳发展和智能化、解决新材料卡脖子问题、培育世界级矿业公司是发展中需要关注的主要问题。</w:t>
      </w:r>
    </w:p>
    <w:p w:rsidR="00DA657E" w:rsidRPr="00DA657E" w:rsidRDefault="00DA657E" w:rsidP="003436C0">
      <w:pPr>
        <w:widowControl/>
        <w:wordWrap w:val="0"/>
        <w:spacing w:after="90" w:line="288" w:lineRule="auto"/>
        <w:ind w:firstLine="480"/>
        <w:jc w:val="left"/>
        <w:rPr>
          <w:rFonts w:asciiTheme="minorEastAsia" w:eastAsiaTheme="minorEastAsia" w:hAnsiTheme="minorEastAsia" w:cstheme="minorEastAsia"/>
          <w:sz w:val="28"/>
          <w:szCs w:val="28"/>
        </w:rPr>
      </w:pPr>
      <w:r w:rsidRPr="00DA657E">
        <w:rPr>
          <w:rFonts w:asciiTheme="minorEastAsia" w:eastAsiaTheme="minorEastAsia" w:hAnsiTheme="minorEastAsia" w:cstheme="minorEastAsia"/>
          <w:sz w:val="28"/>
          <w:szCs w:val="28"/>
        </w:rPr>
        <w:lastRenderedPageBreak/>
        <w:t>“双碳”目标也将给我国有色金属工业带来新变化。主要体现在能源结构、原料结构、产品结构、技术及装配结构上，将进一步提高清洁能源应用，扩大原料渠道，加大新能源材料、智能领域新材料、航空航天高温合金、电池材料等科技研发力度，提高智能化、数字化技术装备应用，呈现短期成本上升、产能产量天花板出现，技术进步以及产能向优势地区集中的趋势。</w:t>
      </w:r>
    </w:p>
    <w:p w:rsidR="00DA657E" w:rsidRPr="00DA657E" w:rsidRDefault="00DA657E" w:rsidP="003436C0">
      <w:pPr>
        <w:widowControl/>
        <w:wordWrap w:val="0"/>
        <w:spacing w:after="90" w:line="288" w:lineRule="auto"/>
        <w:ind w:firstLine="480"/>
        <w:jc w:val="left"/>
        <w:rPr>
          <w:rFonts w:asciiTheme="minorEastAsia" w:eastAsiaTheme="minorEastAsia" w:hAnsiTheme="minorEastAsia" w:cstheme="minorEastAsia"/>
          <w:sz w:val="28"/>
          <w:szCs w:val="28"/>
        </w:rPr>
      </w:pPr>
      <w:r w:rsidRPr="00DA657E">
        <w:rPr>
          <w:rFonts w:asciiTheme="minorEastAsia" w:eastAsiaTheme="minorEastAsia" w:hAnsiTheme="minorEastAsia" w:cstheme="minorEastAsia"/>
          <w:sz w:val="28"/>
          <w:szCs w:val="28"/>
        </w:rPr>
        <w:t>冯君从预测，主要有色金属消费平台期可能延长。预计2030年，全球新能源汽车新增用铜量180万吨，充电桩新增23万吨用铜量;全球新增铝用量将达到820万吨。稀有金属消费有较大增长潜力。</w:t>
      </w:r>
    </w:p>
    <w:p w:rsidR="00DA657E" w:rsidRPr="00DA657E" w:rsidRDefault="00DA657E" w:rsidP="003436C0">
      <w:pPr>
        <w:widowControl/>
        <w:wordWrap w:val="0"/>
        <w:spacing w:after="90" w:line="288" w:lineRule="auto"/>
        <w:ind w:firstLine="480"/>
        <w:jc w:val="left"/>
        <w:rPr>
          <w:rFonts w:asciiTheme="minorEastAsia" w:eastAsiaTheme="minorEastAsia" w:hAnsiTheme="minorEastAsia" w:cstheme="minorEastAsia"/>
          <w:sz w:val="28"/>
          <w:szCs w:val="28"/>
        </w:rPr>
      </w:pPr>
      <w:r w:rsidRPr="00DA657E">
        <w:rPr>
          <w:rFonts w:asciiTheme="minorEastAsia" w:eastAsiaTheme="minorEastAsia" w:hAnsiTheme="minorEastAsia" w:cstheme="minorEastAsia"/>
          <w:sz w:val="28"/>
          <w:szCs w:val="28"/>
        </w:rPr>
        <w:t>今年以来，受资本市场流动性增强的刺激，大宗金属矿产品的代表品种铜、铁矿石价格不断上行。截至4月份，主要金属矿产品价格平均涨幅近70%。</w:t>
      </w:r>
    </w:p>
    <w:p w:rsidR="00DA657E" w:rsidRPr="00DA657E" w:rsidRDefault="00DA657E" w:rsidP="003436C0">
      <w:pPr>
        <w:widowControl/>
        <w:wordWrap w:val="0"/>
        <w:spacing w:after="90" w:line="288" w:lineRule="auto"/>
        <w:ind w:firstLine="480"/>
        <w:jc w:val="left"/>
        <w:rPr>
          <w:rFonts w:asciiTheme="minorEastAsia" w:eastAsiaTheme="minorEastAsia" w:hAnsiTheme="minorEastAsia" w:cstheme="minorEastAsia"/>
          <w:sz w:val="28"/>
          <w:szCs w:val="28"/>
        </w:rPr>
      </w:pPr>
      <w:r w:rsidRPr="00DA657E">
        <w:rPr>
          <w:rFonts w:asciiTheme="minorEastAsia" w:eastAsiaTheme="minorEastAsia" w:hAnsiTheme="minorEastAsia" w:cstheme="minorEastAsia"/>
          <w:sz w:val="28"/>
          <w:szCs w:val="28"/>
        </w:rPr>
        <w:t>中国五矿集团有限公司、中国金属矿业经济研究院首席研究员左更分析了近期大宗金属矿产品价格上涨背后的逻辑。</w:t>
      </w:r>
    </w:p>
    <w:p w:rsidR="00DA657E" w:rsidRPr="00DA657E" w:rsidRDefault="00DA657E" w:rsidP="003436C0">
      <w:pPr>
        <w:widowControl/>
        <w:wordWrap w:val="0"/>
        <w:spacing w:after="90" w:line="288" w:lineRule="auto"/>
        <w:ind w:firstLine="480"/>
        <w:jc w:val="left"/>
        <w:rPr>
          <w:rFonts w:asciiTheme="minorEastAsia" w:eastAsiaTheme="minorEastAsia" w:hAnsiTheme="minorEastAsia" w:cstheme="minorEastAsia"/>
          <w:sz w:val="28"/>
          <w:szCs w:val="28"/>
        </w:rPr>
      </w:pPr>
      <w:r w:rsidRPr="00DA657E">
        <w:rPr>
          <w:rFonts w:asciiTheme="minorEastAsia" w:eastAsiaTheme="minorEastAsia" w:hAnsiTheme="minorEastAsia" w:cstheme="minorEastAsia"/>
          <w:sz w:val="28"/>
          <w:szCs w:val="28"/>
        </w:rPr>
        <w:t>逻辑一：大幅增加的全球资本流动性推高了大宗金属矿产品价格。从2020年4月至2021年3月，仅全球前三大经济体的M2增加值就高达43万亿元以上，致使全球范围内资本流动性大幅增加。资本的“偏好设置”导致资本向相对资金较为安全的大宗金属商品市场靠拢，成为推高商品价格的重要推手。</w:t>
      </w:r>
    </w:p>
    <w:p w:rsidR="00DA657E" w:rsidRPr="00DA657E" w:rsidRDefault="00DA657E" w:rsidP="003436C0">
      <w:pPr>
        <w:widowControl/>
        <w:wordWrap w:val="0"/>
        <w:spacing w:after="90" w:line="288" w:lineRule="auto"/>
        <w:ind w:firstLine="480"/>
        <w:jc w:val="left"/>
        <w:rPr>
          <w:rFonts w:asciiTheme="minorEastAsia" w:eastAsiaTheme="minorEastAsia" w:hAnsiTheme="minorEastAsia" w:cstheme="minorEastAsia"/>
          <w:sz w:val="28"/>
          <w:szCs w:val="28"/>
        </w:rPr>
      </w:pPr>
      <w:r w:rsidRPr="00DA657E">
        <w:rPr>
          <w:rFonts w:asciiTheme="minorEastAsia" w:eastAsiaTheme="minorEastAsia" w:hAnsiTheme="minorEastAsia" w:cstheme="minorEastAsia"/>
          <w:sz w:val="28"/>
          <w:szCs w:val="28"/>
        </w:rPr>
        <w:t>逻辑二：各国抗击新冠肺炎疫情结果差别使得金属矿产品供需格局发生变化。作为全球经济最重要的两个经济体，美国和中国的经济增长，尤其是中国经济的快速增长，带动了大宗金属商品价格的恢复和反弹。</w:t>
      </w:r>
    </w:p>
    <w:p w:rsidR="00DA657E" w:rsidRPr="00DA657E" w:rsidRDefault="00DA657E" w:rsidP="003436C0">
      <w:pPr>
        <w:widowControl/>
        <w:wordWrap w:val="0"/>
        <w:spacing w:after="90" w:line="288" w:lineRule="auto"/>
        <w:ind w:firstLine="480"/>
        <w:jc w:val="left"/>
        <w:rPr>
          <w:rFonts w:asciiTheme="minorEastAsia" w:eastAsiaTheme="minorEastAsia" w:hAnsiTheme="minorEastAsia" w:cstheme="minorEastAsia"/>
          <w:sz w:val="28"/>
          <w:szCs w:val="28"/>
        </w:rPr>
      </w:pPr>
      <w:r w:rsidRPr="00DA657E">
        <w:rPr>
          <w:rFonts w:asciiTheme="minorEastAsia" w:eastAsiaTheme="minorEastAsia" w:hAnsiTheme="minorEastAsia" w:cstheme="minorEastAsia"/>
          <w:sz w:val="28"/>
          <w:szCs w:val="28"/>
        </w:rPr>
        <w:lastRenderedPageBreak/>
        <w:t>“此轮大宗金属原料市场价格暴涨远不同于以往，中国因素和金融资本的双‘引擎’发力成就了以铜、铁矿石为代表的大宗金属商品创纪录的突破。从理论上分析，本轮大宗金属矿产品价格上行趋势在短期内仍将保持。”左更表示。</w:t>
      </w:r>
    </w:p>
    <w:p w:rsidR="00DA657E" w:rsidRPr="00DA657E" w:rsidRDefault="00DA657E" w:rsidP="003436C0">
      <w:pPr>
        <w:widowControl/>
        <w:wordWrap w:val="0"/>
        <w:spacing w:after="90" w:line="288" w:lineRule="auto"/>
        <w:ind w:firstLine="480"/>
        <w:jc w:val="left"/>
        <w:rPr>
          <w:rFonts w:asciiTheme="minorEastAsia" w:eastAsiaTheme="minorEastAsia" w:hAnsiTheme="minorEastAsia" w:cstheme="minorEastAsia"/>
          <w:sz w:val="28"/>
          <w:szCs w:val="28"/>
        </w:rPr>
      </w:pPr>
      <w:r w:rsidRPr="00DA657E">
        <w:rPr>
          <w:rFonts w:asciiTheme="minorEastAsia" w:eastAsiaTheme="minorEastAsia" w:hAnsiTheme="minorEastAsia" w:cstheme="minorEastAsia"/>
          <w:sz w:val="28"/>
          <w:szCs w:val="28"/>
        </w:rPr>
        <w:t>左更看来，面对大宗金属矿产品价格在资本推动和市场恶意炒作下的飞涨，有效、关键和唯一的步骤就是，必须坚持在以国内大循环为主、国内国际双循环相互促进的新发展格局下，对实体经济与金融市场的双向调节和有效、有力的政府政策纾解。</w:t>
      </w:r>
    </w:p>
    <w:p w:rsidR="00DA657E" w:rsidRPr="00DA657E" w:rsidRDefault="00DA657E" w:rsidP="003436C0">
      <w:pPr>
        <w:widowControl/>
        <w:wordWrap w:val="0"/>
        <w:spacing w:after="90" w:line="288" w:lineRule="auto"/>
        <w:ind w:firstLine="480"/>
        <w:jc w:val="left"/>
        <w:rPr>
          <w:rFonts w:asciiTheme="minorEastAsia" w:eastAsiaTheme="minorEastAsia" w:hAnsiTheme="minorEastAsia" w:cstheme="minorEastAsia"/>
          <w:sz w:val="28"/>
          <w:szCs w:val="28"/>
        </w:rPr>
      </w:pPr>
      <w:r w:rsidRPr="00DA657E">
        <w:rPr>
          <w:rFonts w:asciiTheme="minorEastAsia" w:eastAsiaTheme="minorEastAsia" w:hAnsiTheme="minorEastAsia" w:cstheme="minorEastAsia"/>
          <w:sz w:val="28"/>
          <w:szCs w:val="28"/>
        </w:rPr>
        <w:t>“国际矿业资源向头部集中，全球4%的矿业上市公司市值占比80%，前十大矿业公司占据全球超过一半的主要矿产资源，控制全球铁矿资源达82%、铝土矿资源达60%。”赤峰黄金副董事长、总裁吕晓兆在2021国际矿产品投资与发展高峰会议上说。对比高度金融化的国际矿业巨头，中国在初级矿产品生产方面较弱，在初级矿产品生产和全球主要矿种最大生产商占比方面，中国公司数量有限，但未来可期。</w:t>
      </w:r>
    </w:p>
    <w:p w:rsidR="00DA657E" w:rsidRPr="00DA657E" w:rsidRDefault="00DA657E" w:rsidP="003436C0">
      <w:pPr>
        <w:widowControl/>
        <w:wordWrap w:val="0"/>
        <w:spacing w:after="90" w:line="288" w:lineRule="auto"/>
        <w:ind w:firstLine="480"/>
        <w:jc w:val="left"/>
        <w:rPr>
          <w:rFonts w:asciiTheme="minorEastAsia" w:eastAsiaTheme="minorEastAsia" w:hAnsiTheme="minorEastAsia" w:cstheme="minorEastAsia"/>
          <w:sz w:val="28"/>
          <w:szCs w:val="28"/>
        </w:rPr>
      </w:pPr>
      <w:r w:rsidRPr="00DA657E">
        <w:rPr>
          <w:rFonts w:asciiTheme="minorEastAsia" w:eastAsiaTheme="minorEastAsia" w:hAnsiTheme="minorEastAsia" w:cstheme="minorEastAsia"/>
          <w:sz w:val="28"/>
          <w:szCs w:val="28"/>
        </w:rPr>
        <w:t>吕晓兆表示，目前，我国矿产资源存在资源总量大，人均少，资源禀赋不佳;优质大型矿床少，贫矿、难选矿较多;主要资源对外依存度大;资源消耗量大，后备资源储备严重不足;找矿潜力大，但勘探投入下行的现状。而日趋严峻的安全环保要求，增加了矿业项目的勘探和生产成本，对于品位低的贫矿影响尤甚，大量国内的矿山和项目不再具有经济性，进一步加剧国内资源短缺，增加对海外资源的依存度。</w:t>
      </w:r>
    </w:p>
    <w:p w:rsidR="00DA657E" w:rsidRPr="00DA657E" w:rsidRDefault="00DA657E" w:rsidP="003436C0">
      <w:pPr>
        <w:widowControl/>
        <w:wordWrap w:val="0"/>
        <w:spacing w:after="90" w:line="288" w:lineRule="auto"/>
        <w:ind w:firstLine="480"/>
        <w:jc w:val="left"/>
        <w:rPr>
          <w:rFonts w:asciiTheme="minorEastAsia" w:eastAsiaTheme="minorEastAsia" w:hAnsiTheme="minorEastAsia" w:cstheme="minorEastAsia"/>
          <w:sz w:val="28"/>
          <w:szCs w:val="28"/>
        </w:rPr>
      </w:pPr>
      <w:r w:rsidRPr="00DA657E">
        <w:rPr>
          <w:rFonts w:asciiTheme="minorEastAsia" w:eastAsiaTheme="minorEastAsia" w:hAnsiTheme="minorEastAsia" w:cstheme="minorEastAsia"/>
          <w:sz w:val="28"/>
          <w:szCs w:val="28"/>
        </w:rPr>
        <w:lastRenderedPageBreak/>
        <w:t>而行业和市场的变化，为中国矿企发展，尤其是“走出去”带来新机遇。以赤峰黄金为例，并购Sepon金铜矿后，赤峰黄金海外主营业务占比增至66%，2020年黄金业务营收增长率达153%，黄金资源量增长192%，净利润复合增长率达94%。能取得这些成果，得益于赤峰黄金的企业文化：一是海外团队具有多元、包容、共生的开放文化;二是管理资源下移，资源向一线全面倾斜，向一线团队授权赋能;三是高管、中层、一线团队分别赋予价值、效益、效率职能，实现分层激励、全面激活;四是构建了拒绝平庸，持续学习，提高认知，自我挑战，不断成长的文化。吕晓兆认为，充裕的现金储备、丰富的国际人才梯队、快速的决策效率等因素，支撑赤峰黄金迈入了高质量快速发展轨道，未来会适时开展海外并购，获取更多优质黄金矿山资源。</w:t>
      </w:r>
    </w:p>
    <w:p w:rsidR="00114DE3" w:rsidRPr="00DA657E" w:rsidRDefault="00114DE3" w:rsidP="003436C0">
      <w:pPr>
        <w:widowControl/>
        <w:wordWrap w:val="0"/>
        <w:spacing w:after="90" w:line="288" w:lineRule="auto"/>
        <w:ind w:firstLine="480"/>
        <w:jc w:val="left"/>
        <w:rPr>
          <w:rFonts w:asciiTheme="minorEastAsia" w:eastAsiaTheme="minorEastAsia" w:hAnsiTheme="minorEastAsia" w:cstheme="minorEastAsia"/>
          <w:sz w:val="28"/>
          <w:szCs w:val="28"/>
        </w:rPr>
      </w:pPr>
    </w:p>
    <w:p w:rsidR="00114DE3" w:rsidRDefault="00DA657E">
      <w:pPr>
        <w:widowControl/>
        <w:jc w:val="left"/>
        <w:outlineLvl w:val="1"/>
        <w:rPr>
          <w:rFonts w:ascii="宋体" w:hAnsi="宋体" w:cs="宋体"/>
          <w:b/>
          <w:bCs/>
          <w:kern w:val="0"/>
          <w:sz w:val="30"/>
          <w:szCs w:val="30"/>
        </w:rPr>
      </w:pPr>
      <w:bookmarkStart w:id="119" w:name="_Toc76568924"/>
      <w:r w:rsidRPr="00DA657E">
        <w:rPr>
          <w:rFonts w:ascii="宋体" w:hAnsi="宋体" w:cs="宋体" w:hint="eastAsia"/>
          <w:b/>
          <w:bCs/>
          <w:kern w:val="0"/>
          <w:sz w:val="30"/>
          <w:szCs w:val="30"/>
        </w:rPr>
        <w:t>全球半导体产区产能趋势：五大晶圆厂占全球市场大半</w:t>
      </w:r>
      <w:bookmarkEnd w:id="119"/>
    </w:p>
    <w:p w:rsidR="003436C0" w:rsidRDefault="003436C0" w:rsidP="00DA657E">
      <w:pPr>
        <w:widowControl/>
        <w:wordWrap w:val="0"/>
        <w:spacing w:after="90" w:line="360" w:lineRule="auto"/>
        <w:ind w:firstLineChars="200" w:firstLine="560"/>
        <w:jc w:val="left"/>
        <w:rPr>
          <w:rFonts w:asciiTheme="minorEastAsia" w:eastAsiaTheme="minorEastAsia" w:hAnsiTheme="minorEastAsia" w:cstheme="minorEastAsia" w:hint="eastAsia"/>
          <w:sz w:val="28"/>
          <w:szCs w:val="28"/>
        </w:rPr>
      </w:pPr>
    </w:p>
    <w:p w:rsidR="00DA657E" w:rsidRPr="00DA657E" w:rsidRDefault="00DA657E" w:rsidP="00DA657E">
      <w:pPr>
        <w:widowControl/>
        <w:wordWrap w:val="0"/>
        <w:spacing w:after="90" w:line="360" w:lineRule="auto"/>
        <w:ind w:firstLineChars="200" w:firstLine="560"/>
        <w:jc w:val="left"/>
        <w:rPr>
          <w:rFonts w:asciiTheme="minorEastAsia" w:eastAsiaTheme="minorEastAsia" w:hAnsiTheme="minorEastAsia" w:cstheme="minorEastAsia"/>
          <w:sz w:val="28"/>
          <w:szCs w:val="28"/>
        </w:rPr>
      </w:pPr>
      <w:r w:rsidRPr="00DA657E">
        <w:rPr>
          <w:rFonts w:asciiTheme="minorEastAsia" w:eastAsiaTheme="minorEastAsia" w:hAnsiTheme="minorEastAsia" w:cstheme="minorEastAsia"/>
          <w:sz w:val="28"/>
          <w:szCs w:val="28"/>
        </w:rPr>
        <w:t>SEMI(国际半导体产业协会)近日发布了全球晶圆产能的最新数据,显示过去5年中国大陆晶圆产能翻了一倍,占全球总量的22.8%。</w:t>
      </w:r>
    </w:p>
    <w:p w:rsidR="00DA657E" w:rsidRPr="00DA657E" w:rsidRDefault="00DA657E" w:rsidP="00DA657E">
      <w:pPr>
        <w:widowControl/>
        <w:wordWrap w:val="0"/>
        <w:spacing w:after="90" w:line="360" w:lineRule="auto"/>
        <w:ind w:firstLineChars="200" w:firstLine="560"/>
        <w:jc w:val="left"/>
        <w:rPr>
          <w:rFonts w:asciiTheme="minorEastAsia" w:eastAsiaTheme="minorEastAsia" w:hAnsiTheme="minorEastAsia" w:cstheme="minorEastAsia"/>
          <w:sz w:val="28"/>
          <w:szCs w:val="28"/>
        </w:rPr>
      </w:pPr>
      <w:r w:rsidRPr="00DA657E">
        <w:rPr>
          <w:rFonts w:asciiTheme="minorEastAsia" w:eastAsiaTheme="minorEastAsia" w:hAnsiTheme="minorEastAsia" w:cstheme="minorEastAsia"/>
          <w:sz w:val="28"/>
          <w:szCs w:val="28"/>
        </w:rPr>
        <w:t>全球半导体产区产能趋势</w:t>
      </w:r>
    </w:p>
    <w:p w:rsidR="00DA657E" w:rsidRPr="00DA657E" w:rsidRDefault="00DA657E" w:rsidP="00DA657E">
      <w:pPr>
        <w:widowControl/>
        <w:wordWrap w:val="0"/>
        <w:spacing w:after="90" w:line="360" w:lineRule="auto"/>
        <w:ind w:firstLineChars="200" w:firstLine="560"/>
        <w:jc w:val="left"/>
        <w:rPr>
          <w:rFonts w:asciiTheme="minorEastAsia" w:eastAsiaTheme="minorEastAsia" w:hAnsiTheme="minorEastAsia" w:cstheme="minorEastAsia"/>
          <w:sz w:val="28"/>
          <w:szCs w:val="28"/>
        </w:rPr>
      </w:pPr>
      <w:r w:rsidRPr="00DA657E">
        <w:rPr>
          <w:rFonts w:asciiTheme="minorEastAsia" w:eastAsiaTheme="minorEastAsia" w:hAnsiTheme="minorEastAsia" w:cstheme="minorEastAsia"/>
          <w:sz w:val="28"/>
          <w:szCs w:val="28"/>
        </w:rPr>
        <w:t>近来,鉴于半导体的异常需求情况,ESIA正在研究与全球半导体产区产能相关的趋势。其中百分比来自每月的晶圆启动,产能则归一化为200毫米晶圆当量。</w:t>
      </w:r>
    </w:p>
    <w:p w:rsidR="00DA657E" w:rsidRPr="00DA657E" w:rsidRDefault="00DA657E" w:rsidP="00DA657E">
      <w:pPr>
        <w:widowControl/>
        <w:wordWrap w:val="0"/>
        <w:spacing w:after="90" w:line="360" w:lineRule="auto"/>
        <w:ind w:firstLineChars="200" w:firstLine="560"/>
        <w:jc w:val="left"/>
        <w:rPr>
          <w:rFonts w:asciiTheme="minorEastAsia" w:eastAsiaTheme="minorEastAsia" w:hAnsiTheme="minorEastAsia" w:cstheme="minorEastAsia"/>
          <w:sz w:val="28"/>
          <w:szCs w:val="28"/>
        </w:rPr>
      </w:pPr>
      <w:r w:rsidRPr="00DA657E">
        <w:rPr>
          <w:rFonts w:asciiTheme="minorEastAsia" w:eastAsiaTheme="minorEastAsia" w:hAnsiTheme="minorEastAsia" w:cstheme="minorEastAsia"/>
          <w:sz w:val="28"/>
          <w:szCs w:val="28"/>
        </w:rPr>
        <w:lastRenderedPageBreak/>
        <w:t>数据把每月产能的晶圆统一标准化为8英寸晶圆计算。该图表显示,除中国大陆以外的所有半导体产区在2015年至 2020年的五年内的份额均出现下降。</w:t>
      </w:r>
    </w:p>
    <w:p w:rsidR="00DA657E" w:rsidRPr="00DA657E" w:rsidRDefault="00DA657E" w:rsidP="00DA657E">
      <w:pPr>
        <w:widowControl/>
        <w:wordWrap w:val="0"/>
        <w:spacing w:after="90" w:line="360" w:lineRule="auto"/>
        <w:ind w:firstLineChars="200" w:firstLine="560"/>
        <w:jc w:val="left"/>
        <w:rPr>
          <w:rFonts w:asciiTheme="minorEastAsia" w:eastAsiaTheme="minorEastAsia" w:hAnsiTheme="minorEastAsia" w:cstheme="minorEastAsia"/>
          <w:sz w:val="28"/>
          <w:szCs w:val="28"/>
        </w:rPr>
      </w:pPr>
      <w:r w:rsidRPr="00DA657E">
        <w:rPr>
          <w:rFonts w:asciiTheme="minorEastAsia" w:eastAsiaTheme="minorEastAsia" w:hAnsiTheme="minorEastAsia" w:cstheme="minorEastAsia"/>
          <w:sz w:val="28"/>
          <w:szCs w:val="28"/>
        </w:rPr>
        <w:t>其中,中国大陆从 1995 年占全球产量的14.4%上升到2020年的22.8%。</w:t>
      </w:r>
    </w:p>
    <w:p w:rsidR="00DA657E" w:rsidRPr="00DA657E" w:rsidRDefault="00DA657E" w:rsidP="00DA657E">
      <w:pPr>
        <w:widowControl/>
        <w:wordWrap w:val="0"/>
        <w:spacing w:after="90" w:line="360" w:lineRule="auto"/>
        <w:ind w:firstLineChars="200" w:firstLine="560"/>
        <w:jc w:val="left"/>
        <w:rPr>
          <w:rFonts w:asciiTheme="minorEastAsia" w:eastAsiaTheme="minorEastAsia" w:hAnsiTheme="minorEastAsia" w:cstheme="minorEastAsia"/>
          <w:sz w:val="28"/>
          <w:szCs w:val="28"/>
        </w:rPr>
      </w:pPr>
      <w:r w:rsidRPr="00DA657E">
        <w:rPr>
          <w:rFonts w:asciiTheme="minorEastAsia" w:eastAsiaTheme="minorEastAsia" w:hAnsiTheme="minorEastAsia" w:cstheme="minorEastAsia"/>
          <w:sz w:val="28"/>
          <w:szCs w:val="28"/>
        </w:rPr>
        <w:t>同期,欧洲从9.4%下降到7.2%,美国从5年前的12.6%下降到了2020年的10.6%。</w:t>
      </w:r>
    </w:p>
    <w:p w:rsidR="00DA657E" w:rsidRPr="00DA657E" w:rsidRDefault="00DA657E" w:rsidP="00DA657E">
      <w:pPr>
        <w:widowControl/>
        <w:wordWrap w:val="0"/>
        <w:spacing w:after="90" w:line="360" w:lineRule="auto"/>
        <w:ind w:firstLineChars="200" w:firstLine="560"/>
        <w:jc w:val="left"/>
        <w:rPr>
          <w:rFonts w:asciiTheme="minorEastAsia" w:eastAsiaTheme="minorEastAsia" w:hAnsiTheme="minorEastAsia" w:cstheme="minorEastAsia"/>
          <w:sz w:val="28"/>
          <w:szCs w:val="28"/>
        </w:rPr>
      </w:pPr>
      <w:r w:rsidRPr="00DA657E">
        <w:rPr>
          <w:rFonts w:asciiTheme="minorEastAsia" w:eastAsiaTheme="minorEastAsia" w:hAnsiTheme="minorEastAsia" w:cstheme="minorEastAsia"/>
          <w:sz w:val="28"/>
          <w:szCs w:val="28"/>
        </w:rPr>
        <w:t>排名第二的是中国台湾地区,不过也从2015年的18.8%略降到了2020年的17.8%。</w:t>
      </w:r>
    </w:p>
    <w:p w:rsidR="00DA657E" w:rsidRPr="00DA657E" w:rsidRDefault="00DA657E" w:rsidP="00DA657E">
      <w:pPr>
        <w:widowControl/>
        <w:wordWrap w:val="0"/>
        <w:spacing w:after="90" w:line="360" w:lineRule="auto"/>
        <w:ind w:firstLineChars="200" w:firstLine="560"/>
        <w:jc w:val="left"/>
        <w:rPr>
          <w:rFonts w:asciiTheme="minorEastAsia" w:eastAsiaTheme="minorEastAsia" w:hAnsiTheme="minorEastAsia" w:cstheme="minorEastAsia"/>
          <w:sz w:val="28"/>
          <w:szCs w:val="28"/>
        </w:rPr>
      </w:pPr>
      <w:r w:rsidRPr="00DA657E">
        <w:rPr>
          <w:rFonts w:asciiTheme="minorEastAsia" w:eastAsiaTheme="minorEastAsia" w:hAnsiTheme="minorEastAsia" w:cstheme="minorEastAsia"/>
          <w:sz w:val="28"/>
          <w:szCs w:val="28"/>
        </w:rPr>
        <w:t>韩国以 15.3%位居第三,2015年这个数字为18.4%,另外,新加坡的晶圆产能占4.7%。</w:t>
      </w:r>
    </w:p>
    <w:p w:rsidR="00DA657E" w:rsidRPr="00DA657E" w:rsidRDefault="00DA657E" w:rsidP="00DA657E">
      <w:pPr>
        <w:widowControl/>
        <w:wordWrap w:val="0"/>
        <w:spacing w:after="90" w:line="360" w:lineRule="auto"/>
        <w:ind w:firstLineChars="200" w:firstLine="560"/>
        <w:jc w:val="left"/>
        <w:rPr>
          <w:rFonts w:asciiTheme="minorEastAsia" w:eastAsiaTheme="minorEastAsia" w:hAnsiTheme="minorEastAsia" w:cstheme="minorEastAsia"/>
          <w:sz w:val="28"/>
          <w:szCs w:val="28"/>
        </w:rPr>
      </w:pPr>
      <w:r w:rsidRPr="00DA657E">
        <w:rPr>
          <w:rFonts w:asciiTheme="minorEastAsia" w:eastAsiaTheme="minorEastAsia" w:hAnsiTheme="minorEastAsia" w:cstheme="minorEastAsia"/>
          <w:sz w:val="28"/>
          <w:szCs w:val="28"/>
        </w:rPr>
        <w:t>五大晶圆厂产能占据全球市场大半</w:t>
      </w:r>
    </w:p>
    <w:p w:rsidR="00DA657E" w:rsidRPr="00DA657E" w:rsidRDefault="00DA657E" w:rsidP="00DA657E">
      <w:pPr>
        <w:widowControl/>
        <w:wordWrap w:val="0"/>
        <w:spacing w:after="90" w:line="360" w:lineRule="auto"/>
        <w:ind w:firstLineChars="200" w:firstLine="560"/>
        <w:jc w:val="left"/>
        <w:rPr>
          <w:rFonts w:asciiTheme="minorEastAsia" w:eastAsiaTheme="minorEastAsia" w:hAnsiTheme="minorEastAsia" w:cstheme="minorEastAsia"/>
          <w:sz w:val="28"/>
          <w:szCs w:val="28"/>
        </w:rPr>
      </w:pPr>
      <w:r w:rsidRPr="00DA657E">
        <w:rPr>
          <w:rFonts w:asciiTheme="minorEastAsia" w:eastAsiaTheme="minorEastAsia" w:hAnsiTheme="minorEastAsia" w:cstheme="minorEastAsia"/>
          <w:sz w:val="28"/>
          <w:szCs w:val="28"/>
        </w:rPr>
        <w:t>IC Insights在今年二月发布了新的全球晶圆产能 2021-2025 报告。前五大晶圆产能领导者,三星、台积电、Micron、SK Hynix、Kioxia每月至少拥有150万片晶圆加工量。</w:t>
      </w:r>
    </w:p>
    <w:p w:rsidR="00DA657E" w:rsidRPr="00DA657E" w:rsidRDefault="00DA657E" w:rsidP="00DA657E">
      <w:pPr>
        <w:widowControl/>
        <w:wordWrap w:val="0"/>
        <w:spacing w:after="90" w:line="360" w:lineRule="auto"/>
        <w:ind w:firstLineChars="200" w:firstLine="560"/>
        <w:jc w:val="left"/>
        <w:rPr>
          <w:rFonts w:asciiTheme="minorEastAsia" w:eastAsiaTheme="minorEastAsia" w:hAnsiTheme="minorEastAsia" w:cstheme="minorEastAsia"/>
          <w:sz w:val="28"/>
          <w:szCs w:val="28"/>
        </w:rPr>
      </w:pPr>
      <w:r w:rsidRPr="00DA657E">
        <w:rPr>
          <w:rFonts w:asciiTheme="minorEastAsia" w:eastAsiaTheme="minorEastAsia" w:hAnsiTheme="minorEastAsia" w:cstheme="minorEastAsia"/>
          <w:sz w:val="28"/>
          <w:szCs w:val="28"/>
        </w:rPr>
        <w:t>进入前五名之后,其他半导体领导者的晶圆容量迅速下降。英特尔(884K晶圆/月)、UMC(772K 晶圆/月)、德州仪器和中芯国际(SMIC)排在前 10 位。</w:t>
      </w:r>
    </w:p>
    <w:p w:rsidR="00DA657E" w:rsidRPr="00DA657E" w:rsidRDefault="00DA657E" w:rsidP="00DA657E">
      <w:pPr>
        <w:widowControl/>
        <w:wordWrap w:val="0"/>
        <w:spacing w:after="90" w:line="360" w:lineRule="auto"/>
        <w:ind w:firstLineChars="200" w:firstLine="560"/>
        <w:jc w:val="left"/>
        <w:rPr>
          <w:rFonts w:asciiTheme="minorEastAsia" w:eastAsiaTheme="minorEastAsia" w:hAnsiTheme="minorEastAsia" w:cstheme="minorEastAsia"/>
          <w:sz w:val="28"/>
          <w:szCs w:val="28"/>
        </w:rPr>
      </w:pPr>
      <w:r w:rsidRPr="00DA657E">
        <w:rPr>
          <w:rFonts w:asciiTheme="minorEastAsia" w:eastAsiaTheme="minorEastAsia" w:hAnsiTheme="minorEastAsia" w:cstheme="minorEastAsia"/>
          <w:sz w:val="28"/>
          <w:szCs w:val="28"/>
        </w:rPr>
        <w:t>2020年12月,三星、台积电、Micron、SK Hynix、Kioxia前五家公司的总产能占全球晶圆总产能的54%,比2019年的53%上升1个百分点。 相比之下,2009年,前10大晶圆产能领导者占全球总产能 的54%,前五位的晶圆产能占全球产能的36%。</w:t>
      </w:r>
    </w:p>
    <w:p w:rsidR="00DA657E" w:rsidRPr="00DA657E" w:rsidRDefault="00DA657E" w:rsidP="00DA657E">
      <w:pPr>
        <w:widowControl/>
        <w:wordWrap w:val="0"/>
        <w:spacing w:after="90" w:line="360" w:lineRule="auto"/>
        <w:ind w:firstLineChars="200" w:firstLine="560"/>
        <w:jc w:val="left"/>
        <w:rPr>
          <w:rFonts w:asciiTheme="minorEastAsia" w:eastAsiaTheme="minorEastAsia" w:hAnsiTheme="minorEastAsia" w:cstheme="minorEastAsia"/>
          <w:sz w:val="28"/>
          <w:szCs w:val="28"/>
        </w:rPr>
      </w:pPr>
      <w:r w:rsidRPr="00DA657E">
        <w:rPr>
          <w:rFonts w:asciiTheme="minorEastAsia" w:eastAsiaTheme="minorEastAsia" w:hAnsiTheme="minorEastAsia" w:cstheme="minorEastAsia"/>
          <w:sz w:val="28"/>
          <w:szCs w:val="28"/>
        </w:rPr>
        <w:lastRenderedPageBreak/>
        <w:t>三星的晶圆装机容量最大,每月为310万片200mm当量晶圆,这占世界总容量的14.7%。</w:t>
      </w:r>
    </w:p>
    <w:p w:rsidR="00DA657E" w:rsidRPr="00DA657E" w:rsidRDefault="00DA657E" w:rsidP="00DA657E">
      <w:pPr>
        <w:widowControl/>
        <w:wordWrap w:val="0"/>
        <w:spacing w:after="90" w:line="360" w:lineRule="auto"/>
        <w:ind w:firstLineChars="200" w:firstLine="560"/>
        <w:jc w:val="left"/>
        <w:rPr>
          <w:rFonts w:asciiTheme="minorEastAsia" w:eastAsiaTheme="minorEastAsia" w:hAnsiTheme="minorEastAsia" w:cstheme="minorEastAsia"/>
          <w:sz w:val="28"/>
          <w:szCs w:val="28"/>
        </w:rPr>
      </w:pPr>
      <w:r w:rsidRPr="00DA657E">
        <w:rPr>
          <w:rFonts w:asciiTheme="minorEastAsia" w:eastAsiaTheme="minorEastAsia" w:hAnsiTheme="minorEastAsia" w:cstheme="minorEastAsia"/>
          <w:sz w:val="28"/>
          <w:szCs w:val="28"/>
        </w:rPr>
        <w:t>2020年的产能增长似乎低于预期,因为该公司的13号线晶圆厂在2020年部分被排除在 2020年之外,因为该工厂的一部分在2020年从DRAM转换为CMOS图像传感器生产。</w:t>
      </w:r>
    </w:p>
    <w:p w:rsidR="00DA657E" w:rsidRPr="00DA657E" w:rsidRDefault="00DA657E" w:rsidP="00DA657E">
      <w:pPr>
        <w:widowControl/>
        <w:wordWrap w:val="0"/>
        <w:spacing w:after="90" w:line="360" w:lineRule="auto"/>
        <w:ind w:firstLineChars="200" w:firstLine="560"/>
        <w:jc w:val="left"/>
        <w:rPr>
          <w:rFonts w:asciiTheme="minorEastAsia" w:eastAsiaTheme="minorEastAsia" w:hAnsiTheme="minorEastAsia" w:cstheme="minorEastAsia"/>
          <w:sz w:val="28"/>
          <w:szCs w:val="28"/>
        </w:rPr>
      </w:pPr>
      <w:r w:rsidRPr="00DA657E">
        <w:rPr>
          <w:rFonts w:asciiTheme="minorEastAsia" w:eastAsiaTheme="minorEastAsia" w:hAnsiTheme="minorEastAsia" w:cstheme="minorEastAsia"/>
          <w:sz w:val="28"/>
          <w:szCs w:val="28"/>
        </w:rPr>
        <w:t>如果全部13号线都包括在内,三星的产能增长将是11%。 三星2020年的巨额支出大部分将在2021年出现,特别是2020年总支出中的105亿美元是在2020年第四季度支出的。</w:t>
      </w:r>
    </w:p>
    <w:p w:rsidR="00DA657E" w:rsidRPr="00DA657E" w:rsidRDefault="00DA657E" w:rsidP="00DA657E">
      <w:pPr>
        <w:widowControl/>
        <w:wordWrap w:val="0"/>
        <w:spacing w:after="90" w:line="360" w:lineRule="auto"/>
        <w:ind w:firstLineChars="200" w:firstLine="560"/>
        <w:jc w:val="left"/>
        <w:rPr>
          <w:rFonts w:asciiTheme="minorEastAsia" w:eastAsiaTheme="minorEastAsia" w:hAnsiTheme="minorEastAsia" w:cstheme="minorEastAsia"/>
          <w:sz w:val="28"/>
          <w:szCs w:val="28"/>
        </w:rPr>
      </w:pPr>
      <w:r w:rsidRPr="00DA657E">
        <w:rPr>
          <w:rFonts w:asciiTheme="minorEastAsia" w:eastAsiaTheme="minorEastAsia" w:hAnsiTheme="minorEastAsia" w:cstheme="minorEastAsia"/>
          <w:sz w:val="28"/>
          <w:szCs w:val="28"/>
        </w:rPr>
        <w:t>排名第二的台积电是全球最大的纯晶圆代工厂,每月产能约为270万片,占全球总产能的13.1%。</w:t>
      </w:r>
    </w:p>
    <w:p w:rsidR="00DA657E" w:rsidRPr="00DA657E" w:rsidRDefault="00DA657E" w:rsidP="00DA657E">
      <w:pPr>
        <w:widowControl/>
        <w:wordWrap w:val="0"/>
        <w:spacing w:after="90" w:line="360" w:lineRule="auto"/>
        <w:ind w:firstLineChars="200" w:firstLine="560"/>
        <w:jc w:val="left"/>
        <w:rPr>
          <w:rFonts w:asciiTheme="minorEastAsia" w:eastAsiaTheme="minorEastAsia" w:hAnsiTheme="minorEastAsia" w:cstheme="minorEastAsia"/>
          <w:sz w:val="28"/>
          <w:szCs w:val="28"/>
        </w:rPr>
      </w:pPr>
      <w:r w:rsidRPr="00DA657E">
        <w:rPr>
          <w:rFonts w:asciiTheme="minorEastAsia" w:eastAsiaTheme="minorEastAsia" w:hAnsiTheme="minorEastAsia" w:cstheme="minorEastAsia"/>
          <w:sz w:val="28"/>
          <w:szCs w:val="28"/>
        </w:rPr>
        <w:t>2020年,该公司在台南Fab 14工厂附近新工厂综合体的首批两期开业。Fab 18的第1阶段和2期正在批量生产,第3-6阶段的设施正在建设中。台积电在2020年也在台中Fab 15开通了10期产线。</w:t>
      </w:r>
    </w:p>
    <w:p w:rsidR="00DA657E" w:rsidRPr="00DA657E" w:rsidRDefault="00DA657E" w:rsidP="00DA657E">
      <w:pPr>
        <w:widowControl/>
        <w:wordWrap w:val="0"/>
        <w:spacing w:after="90" w:line="360" w:lineRule="auto"/>
        <w:ind w:firstLineChars="200" w:firstLine="560"/>
        <w:jc w:val="left"/>
        <w:rPr>
          <w:rFonts w:asciiTheme="minorEastAsia" w:eastAsiaTheme="minorEastAsia" w:hAnsiTheme="minorEastAsia" w:cstheme="minorEastAsia"/>
          <w:sz w:val="28"/>
          <w:szCs w:val="28"/>
        </w:rPr>
      </w:pPr>
      <w:r w:rsidRPr="00DA657E">
        <w:rPr>
          <w:rFonts w:asciiTheme="minorEastAsia" w:eastAsiaTheme="minorEastAsia" w:hAnsiTheme="minorEastAsia" w:cstheme="minorEastAsia"/>
          <w:sz w:val="28"/>
          <w:szCs w:val="28"/>
        </w:rPr>
        <w:t>到2020年底,Micron的产能量排名第三,晶圆量超过 190 万片,占全球产能的 9.3%。</w:t>
      </w:r>
    </w:p>
    <w:p w:rsidR="00DA657E" w:rsidRPr="00DA657E" w:rsidRDefault="00DA657E" w:rsidP="00DA657E">
      <w:pPr>
        <w:widowControl/>
        <w:wordWrap w:val="0"/>
        <w:spacing w:after="90" w:line="360" w:lineRule="auto"/>
        <w:ind w:firstLineChars="200" w:firstLine="560"/>
        <w:jc w:val="left"/>
        <w:rPr>
          <w:rFonts w:asciiTheme="minorEastAsia" w:eastAsiaTheme="minorEastAsia" w:hAnsiTheme="minorEastAsia" w:cstheme="minorEastAsia"/>
          <w:sz w:val="28"/>
          <w:szCs w:val="28"/>
        </w:rPr>
      </w:pPr>
      <w:r w:rsidRPr="00DA657E">
        <w:rPr>
          <w:rFonts w:asciiTheme="minorEastAsia" w:eastAsiaTheme="minorEastAsia" w:hAnsiTheme="minorEastAsia" w:cstheme="minorEastAsia"/>
          <w:sz w:val="28"/>
          <w:szCs w:val="28"/>
        </w:rPr>
        <w:t>该公司在 2020年的资本支出主要用于更先进的设备升级现有晶圆厂,但在日本广岛和中国台湾台中的工厂增加了一些新的产能。第二个工厂正在弗吉尼亚州的马纳萨斯建造,该公司在那里生产长生命周期产品。</w:t>
      </w:r>
    </w:p>
    <w:p w:rsidR="00DA657E" w:rsidRPr="00DA657E" w:rsidRDefault="00DA657E" w:rsidP="00DA657E">
      <w:pPr>
        <w:widowControl/>
        <w:wordWrap w:val="0"/>
        <w:spacing w:after="90" w:line="360" w:lineRule="auto"/>
        <w:ind w:firstLineChars="200" w:firstLine="560"/>
        <w:jc w:val="left"/>
        <w:rPr>
          <w:rFonts w:asciiTheme="minorEastAsia" w:eastAsiaTheme="minorEastAsia" w:hAnsiTheme="minorEastAsia" w:cstheme="minorEastAsia"/>
          <w:sz w:val="28"/>
          <w:szCs w:val="28"/>
        </w:rPr>
      </w:pPr>
      <w:r w:rsidRPr="00DA657E">
        <w:rPr>
          <w:rFonts w:asciiTheme="minorEastAsia" w:eastAsiaTheme="minorEastAsia" w:hAnsiTheme="minorEastAsia" w:cstheme="minorEastAsia"/>
          <w:sz w:val="28"/>
          <w:szCs w:val="28"/>
        </w:rPr>
        <w:t>2020 年底的第四大晶圆厂是SK Hynix,其月晶圆加工量近 190 万(占全球总容量的 9.0%),其中 80% 以上用于制造 DRAM 和 NAND 闪存芯片。</w:t>
      </w:r>
    </w:p>
    <w:p w:rsidR="00DA657E" w:rsidRPr="00DA657E" w:rsidRDefault="00DA657E" w:rsidP="00DA657E">
      <w:pPr>
        <w:widowControl/>
        <w:wordWrap w:val="0"/>
        <w:spacing w:after="90" w:line="360" w:lineRule="auto"/>
        <w:ind w:firstLineChars="200" w:firstLine="560"/>
        <w:jc w:val="left"/>
        <w:rPr>
          <w:rFonts w:asciiTheme="minorEastAsia" w:eastAsiaTheme="minorEastAsia" w:hAnsiTheme="minorEastAsia" w:cstheme="minorEastAsia"/>
          <w:sz w:val="28"/>
          <w:szCs w:val="28"/>
        </w:rPr>
      </w:pPr>
      <w:r w:rsidRPr="00DA657E">
        <w:rPr>
          <w:rFonts w:asciiTheme="minorEastAsia" w:eastAsiaTheme="minorEastAsia" w:hAnsiTheme="minorEastAsia" w:cstheme="minorEastAsia"/>
          <w:sz w:val="28"/>
          <w:szCs w:val="28"/>
        </w:rPr>
        <w:lastRenderedPageBreak/>
        <w:t>2019年,该公司在韩国长州和中国无锡完成了两个新的大型晶圆厂。 位于韩国仁川的新Fab M16将于2021年开始量产。</w:t>
      </w:r>
    </w:p>
    <w:p w:rsidR="00DA657E" w:rsidRPr="00DA657E" w:rsidRDefault="00DA657E" w:rsidP="00DA657E">
      <w:pPr>
        <w:widowControl/>
        <w:wordWrap w:val="0"/>
        <w:spacing w:after="90" w:line="360" w:lineRule="auto"/>
        <w:ind w:firstLineChars="200" w:firstLine="560"/>
        <w:jc w:val="left"/>
        <w:rPr>
          <w:rFonts w:asciiTheme="minorEastAsia" w:eastAsiaTheme="minorEastAsia" w:hAnsiTheme="minorEastAsia" w:cstheme="minorEastAsia"/>
          <w:sz w:val="28"/>
          <w:szCs w:val="28"/>
        </w:rPr>
      </w:pPr>
      <w:r w:rsidRPr="00DA657E">
        <w:rPr>
          <w:rFonts w:asciiTheme="minorEastAsia" w:eastAsiaTheme="minorEastAsia" w:hAnsiTheme="minorEastAsia" w:cstheme="minorEastAsia"/>
          <w:sz w:val="28"/>
          <w:szCs w:val="28"/>
        </w:rPr>
        <w:t>排名第五的公司是另一家内存IC供应商Kioxia,其晶圆/月为 160 万片(占全球总容量的 7.7%), 包括其晶圆厂投资和技术开发合作伙伴西部数据的大量 NAND 闪存。</w:t>
      </w:r>
    </w:p>
    <w:p w:rsidR="00DA657E" w:rsidRPr="00DA657E" w:rsidRDefault="00DA657E" w:rsidP="00DA657E">
      <w:pPr>
        <w:widowControl/>
        <w:wordWrap w:val="0"/>
        <w:spacing w:after="90" w:line="360" w:lineRule="auto"/>
        <w:ind w:firstLineChars="200" w:firstLine="560"/>
        <w:jc w:val="left"/>
        <w:rPr>
          <w:rFonts w:asciiTheme="minorEastAsia" w:eastAsiaTheme="minorEastAsia" w:hAnsiTheme="minorEastAsia" w:cstheme="minorEastAsia"/>
          <w:sz w:val="28"/>
          <w:szCs w:val="28"/>
        </w:rPr>
      </w:pPr>
      <w:r w:rsidRPr="00DA657E">
        <w:rPr>
          <w:rFonts w:asciiTheme="minorEastAsia" w:eastAsiaTheme="minorEastAsia" w:hAnsiTheme="minorEastAsia" w:cstheme="minorEastAsia"/>
          <w:sz w:val="28"/>
          <w:szCs w:val="28"/>
        </w:rPr>
        <w:t>2020年,合作伙伴在日本北卡米开设了一个新的300mm晶圆厂。日本Ykkaichi综合体的Fab 7将于2021年动工。</w:t>
      </w:r>
    </w:p>
    <w:p w:rsidR="00114DE3" w:rsidRPr="00DA657E" w:rsidRDefault="00114DE3" w:rsidP="00DA657E">
      <w:pPr>
        <w:pStyle w:val="ab"/>
        <w:wordWrap w:val="0"/>
        <w:spacing w:line="360" w:lineRule="auto"/>
        <w:ind w:firstLineChars="200" w:firstLine="560"/>
        <w:rPr>
          <w:rFonts w:asciiTheme="minorEastAsia" w:eastAsiaTheme="minorEastAsia" w:hAnsiTheme="minorEastAsia" w:cstheme="minorEastAsia"/>
          <w:kern w:val="2"/>
          <w:sz w:val="28"/>
          <w:szCs w:val="28"/>
        </w:rPr>
      </w:pPr>
    </w:p>
    <w:p w:rsidR="00114DE3" w:rsidRDefault="00DA657E">
      <w:pPr>
        <w:widowControl/>
        <w:jc w:val="left"/>
        <w:outlineLvl w:val="1"/>
        <w:rPr>
          <w:rFonts w:ascii="宋体" w:hAnsi="宋体" w:cs="宋体"/>
          <w:b/>
          <w:bCs/>
          <w:kern w:val="0"/>
          <w:sz w:val="30"/>
          <w:szCs w:val="30"/>
        </w:rPr>
      </w:pPr>
      <w:r w:rsidRPr="00DA657E">
        <w:rPr>
          <w:rFonts w:ascii="宋体" w:hAnsi="宋体" w:cs="宋体" w:hint="eastAsia"/>
          <w:b/>
          <w:bCs/>
          <w:kern w:val="0"/>
          <w:sz w:val="30"/>
          <w:szCs w:val="30"/>
        </w:rPr>
        <w:t xml:space="preserve"> </w:t>
      </w:r>
      <w:bookmarkStart w:id="120" w:name="_Toc76568925"/>
      <w:r w:rsidRPr="00DA657E">
        <w:rPr>
          <w:rFonts w:ascii="宋体" w:hAnsi="宋体" w:cs="宋体" w:hint="eastAsia"/>
          <w:b/>
          <w:bCs/>
          <w:kern w:val="0"/>
          <w:sz w:val="30"/>
          <w:szCs w:val="30"/>
        </w:rPr>
        <w:t>“花式”产业投资配套：平价光伏难以承受之重</w:t>
      </w:r>
      <w:bookmarkEnd w:id="120"/>
    </w:p>
    <w:p w:rsidR="003436C0" w:rsidRDefault="003436C0" w:rsidP="00DA657E">
      <w:pPr>
        <w:widowControl/>
        <w:wordWrap w:val="0"/>
        <w:spacing w:after="90" w:line="360" w:lineRule="auto"/>
        <w:ind w:firstLine="482"/>
        <w:jc w:val="left"/>
        <w:rPr>
          <w:rFonts w:asciiTheme="minorEastAsia" w:eastAsiaTheme="minorEastAsia" w:hAnsiTheme="minorEastAsia" w:cstheme="minorEastAsia" w:hint="eastAsia"/>
          <w:sz w:val="28"/>
          <w:szCs w:val="28"/>
        </w:rPr>
      </w:pPr>
    </w:p>
    <w:p w:rsidR="00DA657E" w:rsidRPr="00DA657E" w:rsidRDefault="00DA657E" w:rsidP="00DA657E">
      <w:pPr>
        <w:widowControl/>
        <w:wordWrap w:val="0"/>
        <w:spacing w:after="90" w:line="360" w:lineRule="auto"/>
        <w:ind w:firstLine="482"/>
        <w:jc w:val="left"/>
        <w:rPr>
          <w:rFonts w:asciiTheme="minorEastAsia" w:eastAsiaTheme="minorEastAsia" w:hAnsiTheme="minorEastAsia" w:cstheme="minorEastAsia"/>
          <w:sz w:val="28"/>
          <w:szCs w:val="28"/>
        </w:rPr>
      </w:pPr>
      <w:r w:rsidRPr="00DA657E">
        <w:rPr>
          <w:rFonts w:asciiTheme="minorEastAsia" w:eastAsiaTheme="minorEastAsia" w:hAnsiTheme="minorEastAsia" w:cstheme="minorEastAsia"/>
          <w:sz w:val="28"/>
          <w:szCs w:val="28"/>
        </w:rPr>
        <w:t>“十四五”对于中国光伏产业是一个分界点，这不仅仅是源于2020年双碳目标的提出为光伏产业描绘了一副宏大的发展愿景，另一方面光伏产业正式进入平价，意味着这个此前一直在补贴与国家管理的扶持下快速发展的行业，正式进入激烈的市场竞争。</w:t>
      </w:r>
    </w:p>
    <w:p w:rsidR="00DA657E" w:rsidRPr="00DA657E" w:rsidRDefault="00DA657E" w:rsidP="00DA657E">
      <w:pPr>
        <w:widowControl/>
        <w:wordWrap w:val="0"/>
        <w:spacing w:after="90" w:line="360" w:lineRule="auto"/>
        <w:ind w:firstLine="482"/>
        <w:jc w:val="left"/>
        <w:rPr>
          <w:rFonts w:asciiTheme="minorEastAsia" w:eastAsiaTheme="minorEastAsia" w:hAnsiTheme="minorEastAsia" w:cstheme="minorEastAsia"/>
          <w:sz w:val="28"/>
          <w:szCs w:val="28"/>
        </w:rPr>
      </w:pPr>
      <w:r w:rsidRPr="00DA657E">
        <w:rPr>
          <w:rFonts w:asciiTheme="minorEastAsia" w:eastAsiaTheme="minorEastAsia" w:hAnsiTheme="minorEastAsia" w:cstheme="minorEastAsia"/>
          <w:sz w:val="28"/>
          <w:szCs w:val="28"/>
        </w:rPr>
        <w:t>但同时，在国家简政放权的大政方针下，对于光伏电站的管理权限进一步下放至省级主管部门。不同于补贴时代国家能源局统一制定优选规则，“十四五”之后，规则制定的主导权更多的移交至至省级主管部门。一方面，这有利于地方政府结合当地发展情况，制定符合实际情况的政策，引导行业健康发展;但另一方面，持续加码的“花式”产业投资愈演愈烈，平价后的光伏电站尚未获得喘息，又被迫背负上了另一座大山。</w:t>
      </w:r>
    </w:p>
    <w:p w:rsidR="00DA657E" w:rsidRPr="00DA657E" w:rsidRDefault="00DA657E" w:rsidP="00DA657E">
      <w:pPr>
        <w:widowControl/>
        <w:wordWrap w:val="0"/>
        <w:spacing w:after="90" w:line="360" w:lineRule="auto"/>
        <w:ind w:firstLine="482"/>
        <w:jc w:val="left"/>
        <w:rPr>
          <w:rFonts w:asciiTheme="minorEastAsia" w:eastAsiaTheme="minorEastAsia" w:hAnsiTheme="minorEastAsia" w:cstheme="minorEastAsia"/>
          <w:sz w:val="28"/>
          <w:szCs w:val="28"/>
        </w:rPr>
      </w:pPr>
      <w:r w:rsidRPr="00DA657E">
        <w:rPr>
          <w:rFonts w:asciiTheme="minorEastAsia" w:eastAsiaTheme="minorEastAsia" w:hAnsiTheme="minorEastAsia" w:cstheme="minorEastAsia"/>
          <w:sz w:val="28"/>
          <w:szCs w:val="28"/>
        </w:rPr>
        <w:lastRenderedPageBreak/>
        <w:t>新能源投资火爆，“花式”产业配套蔚然成风</w:t>
      </w:r>
    </w:p>
    <w:p w:rsidR="00DA657E" w:rsidRPr="00DA657E" w:rsidRDefault="00DA657E" w:rsidP="00DA657E">
      <w:pPr>
        <w:widowControl/>
        <w:wordWrap w:val="0"/>
        <w:spacing w:after="90" w:line="360" w:lineRule="auto"/>
        <w:ind w:firstLine="482"/>
        <w:jc w:val="left"/>
        <w:rPr>
          <w:rFonts w:asciiTheme="minorEastAsia" w:eastAsiaTheme="minorEastAsia" w:hAnsiTheme="minorEastAsia" w:cstheme="minorEastAsia"/>
          <w:sz w:val="28"/>
          <w:szCs w:val="28"/>
        </w:rPr>
      </w:pPr>
      <w:r w:rsidRPr="00DA657E">
        <w:rPr>
          <w:rFonts w:asciiTheme="minorEastAsia" w:eastAsiaTheme="minorEastAsia" w:hAnsiTheme="minorEastAsia" w:cstheme="minorEastAsia"/>
          <w:sz w:val="28"/>
          <w:szCs w:val="28"/>
        </w:rPr>
        <w:t>尽管国家能源局在管理办法中多次强调——要优化营商环境，规范开发建设秩序，不得将配套产业作为项目开发建设的门槛。但在光伏管理的主导权移交至地方政府之后，产业配套或者其他变相投资之风正愈演愈烈。日前，包括四川甘孜州、湖北、贵州、吉林等地陆续出台了相应的优选规则，均涉及产业投资及相关的规则要求。</w:t>
      </w:r>
    </w:p>
    <w:p w:rsidR="00DA657E" w:rsidRPr="00DA657E" w:rsidRDefault="00DA657E" w:rsidP="00DA657E">
      <w:pPr>
        <w:widowControl/>
        <w:wordWrap w:val="0"/>
        <w:spacing w:after="90" w:line="360" w:lineRule="auto"/>
        <w:ind w:firstLine="482"/>
        <w:jc w:val="left"/>
        <w:rPr>
          <w:rFonts w:asciiTheme="minorEastAsia" w:eastAsiaTheme="minorEastAsia" w:hAnsiTheme="minorEastAsia" w:cstheme="minorEastAsia"/>
          <w:sz w:val="28"/>
          <w:szCs w:val="28"/>
        </w:rPr>
      </w:pPr>
      <w:r w:rsidRPr="00DA657E">
        <w:rPr>
          <w:rFonts w:asciiTheme="minorEastAsia" w:eastAsiaTheme="minorEastAsia" w:hAnsiTheme="minorEastAsia" w:cstheme="minorEastAsia"/>
          <w:sz w:val="28"/>
          <w:szCs w:val="28"/>
        </w:rPr>
        <w:t>以湖北的标准为例，1GW项目指标大约对应10亿元的投资总额，折合相当于14-15GW的组件产能投资;如果5GW的项目指标全部用来配套组件产线投资，对应将超过70GW的组件产能。中国的组件产能或将需要飙升到500GW，才能满足全国的项目指标分配，但这显然是不现实的。</w:t>
      </w:r>
    </w:p>
    <w:p w:rsidR="00DA657E" w:rsidRPr="00DA657E" w:rsidRDefault="00DA657E" w:rsidP="00DA657E">
      <w:pPr>
        <w:widowControl/>
        <w:wordWrap w:val="0"/>
        <w:spacing w:after="90" w:line="360" w:lineRule="auto"/>
        <w:ind w:firstLine="482"/>
        <w:jc w:val="left"/>
        <w:rPr>
          <w:rFonts w:asciiTheme="minorEastAsia" w:eastAsiaTheme="minorEastAsia" w:hAnsiTheme="minorEastAsia" w:cstheme="minorEastAsia"/>
          <w:sz w:val="28"/>
          <w:szCs w:val="28"/>
        </w:rPr>
      </w:pPr>
      <w:r w:rsidRPr="00DA657E">
        <w:rPr>
          <w:rFonts w:asciiTheme="minorEastAsia" w:eastAsiaTheme="minorEastAsia" w:hAnsiTheme="minorEastAsia" w:cstheme="minorEastAsia"/>
          <w:sz w:val="28"/>
          <w:szCs w:val="28"/>
        </w:rPr>
        <w:t>值得注意的是，上述表格中仅是公开的信息整理，在光伏們的采访调研中，全国要求产业配套或者变相投资的地区高达数十个。光伏們了解到，某东部沿海省份，一不足100MW的渔光互补项目，要求以超过1300元/亩/年的土地租金一次性缴纳8年，并且配套1000万外资、500万补贴以及每年完成500万元税收入库的投资标准进行谈判。</w:t>
      </w:r>
    </w:p>
    <w:p w:rsidR="00DA657E" w:rsidRPr="00DA657E" w:rsidRDefault="00DA657E" w:rsidP="00DA657E">
      <w:pPr>
        <w:widowControl/>
        <w:wordWrap w:val="0"/>
        <w:spacing w:after="90" w:line="360" w:lineRule="auto"/>
        <w:ind w:firstLine="482"/>
        <w:jc w:val="left"/>
        <w:rPr>
          <w:rFonts w:asciiTheme="minorEastAsia" w:eastAsiaTheme="minorEastAsia" w:hAnsiTheme="minorEastAsia" w:cstheme="minorEastAsia"/>
          <w:sz w:val="28"/>
          <w:szCs w:val="28"/>
        </w:rPr>
      </w:pPr>
      <w:r w:rsidRPr="00DA657E">
        <w:rPr>
          <w:rFonts w:asciiTheme="minorEastAsia" w:eastAsiaTheme="minorEastAsia" w:hAnsiTheme="minorEastAsia" w:cstheme="minorEastAsia"/>
          <w:sz w:val="28"/>
          <w:szCs w:val="28"/>
        </w:rPr>
        <w:t>更让人忧心的是，产业配套的要求并不仅仅来自于省级或者市级，某中部省份开发人员告诉光伏們，几乎每一个县都要求产业配套，但大部分投资商都不会真正落实，“虚晃一枪”。</w:t>
      </w:r>
    </w:p>
    <w:p w:rsidR="00DA657E" w:rsidRPr="00DA657E" w:rsidRDefault="00DA657E" w:rsidP="00DA657E">
      <w:pPr>
        <w:widowControl/>
        <w:wordWrap w:val="0"/>
        <w:spacing w:after="90" w:line="360" w:lineRule="auto"/>
        <w:ind w:firstLine="482"/>
        <w:jc w:val="left"/>
        <w:rPr>
          <w:rFonts w:asciiTheme="minorEastAsia" w:eastAsiaTheme="minorEastAsia" w:hAnsiTheme="minorEastAsia" w:cstheme="minorEastAsia"/>
          <w:sz w:val="28"/>
          <w:szCs w:val="28"/>
        </w:rPr>
      </w:pPr>
      <w:r w:rsidRPr="00DA657E">
        <w:rPr>
          <w:rFonts w:asciiTheme="minorEastAsia" w:eastAsiaTheme="minorEastAsia" w:hAnsiTheme="minorEastAsia" w:cstheme="minorEastAsia"/>
          <w:sz w:val="28"/>
          <w:szCs w:val="28"/>
        </w:rPr>
        <w:t>在双谈目标的催化下，央、国企大举进入新能源电站投资领域，资源竞争日趋激烈，地方政府开始将新能源作为“增收”的主要抓手之一。从建学</w:t>
      </w:r>
      <w:r w:rsidRPr="00DA657E">
        <w:rPr>
          <w:rFonts w:asciiTheme="minorEastAsia" w:eastAsiaTheme="minorEastAsia" w:hAnsiTheme="minorEastAsia" w:cstheme="minorEastAsia"/>
          <w:sz w:val="28"/>
          <w:szCs w:val="28"/>
        </w:rPr>
        <w:lastRenderedPageBreak/>
        <w:t>校、化肥厂到配套产业、供暖甚至直接捐款……在开发人员眼中，这已经成为行业常态，却也深受困扰。</w:t>
      </w:r>
    </w:p>
    <w:p w:rsidR="00DA657E" w:rsidRPr="00DA657E" w:rsidRDefault="00DA657E" w:rsidP="00DA657E">
      <w:pPr>
        <w:widowControl/>
        <w:wordWrap w:val="0"/>
        <w:spacing w:after="90" w:line="360" w:lineRule="auto"/>
        <w:ind w:firstLine="482"/>
        <w:jc w:val="left"/>
        <w:rPr>
          <w:rFonts w:asciiTheme="minorEastAsia" w:eastAsiaTheme="minorEastAsia" w:hAnsiTheme="minorEastAsia" w:cstheme="minorEastAsia"/>
          <w:sz w:val="28"/>
          <w:szCs w:val="28"/>
        </w:rPr>
      </w:pPr>
      <w:r w:rsidRPr="00DA657E">
        <w:rPr>
          <w:rFonts w:asciiTheme="minorEastAsia" w:eastAsiaTheme="minorEastAsia" w:hAnsiTheme="minorEastAsia" w:cstheme="minorEastAsia"/>
          <w:sz w:val="28"/>
          <w:szCs w:val="28"/>
        </w:rPr>
        <w:t>虽然当下新能源项目开发是行业公认的最火业务之一，但在实际操作中却面临着从省里到市里诸多难以言喻的挑战。某行业资深电站开发业务人士补充道，“目前地方招商引资力度空前大。实际上，地方政府也没有竞价的动力，没有产业来投资，压根就不给并网指标”。</w:t>
      </w:r>
    </w:p>
    <w:p w:rsidR="00DA657E" w:rsidRPr="00DA657E" w:rsidRDefault="00DA657E" w:rsidP="00DA657E">
      <w:pPr>
        <w:widowControl/>
        <w:wordWrap w:val="0"/>
        <w:spacing w:after="90" w:line="360" w:lineRule="auto"/>
        <w:ind w:firstLine="482"/>
        <w:jc w:val="left"/>
        <w:rPr>
          <w:rFonts w:asciiTheme="minorEastAsia" w:eastAsiaTheme="minorEastAsia" w:hAnsiTheme="minorEastAsia" w:cstheme="minorEastAsia"/>
          <w:sz w:val="28"/>
          <w:szCs w:val="28"/>
        </w:rPr>
      </w:pPr>
      <w:r w:rsidRPr="00DA657E">
        <w:rPr>
          <w:rFonts w:asciiTheme="minorEastAsia" w:eastAsiaTheme="minorEastAsia" w:hAnsiTheme="minorEastAsia" w:cstheme="minorEastAsia"/>
          <w:sz w:val="28"/>
          <w:szCs w:val="28"/>
        </w:rPr>
        <w:t>一位从事一线开发多年的资深行业人士认为，“与强制配套储能相比，产业配套绝对是毒药，如果开了先河势必局面难控。一线从业多年，531都没有这么难，就像玻璃上的苍蝇，看着前途一片光明，就是找不到出路。”</w:t>
      </w:r>
    </w:p>
    <w:p w:rsidR="00DA657E" w:rsidRPr="00DA657E" w:rsidRDefault="00DA657E" w:rsidP="00DA657E">
      <w:pPr>
        <w:widowControl/>
        <w:wordWrap w:val="0"/>
        <w:spacing w:after="90" w:line="360" w:lineRule="auto"/>
        <w:ind w:firstLine="482"/>
        <w:jc w:val="left"/>
        <w:rPr>
          <w:rFonts w:asciiTheme="minorEastAsia" w:eastAsiaTheme="minorEastAsia" w:hAnsiTheme="minorEastAsia" w:cstheme="minorEastAsia"/>
          <w:sz w:val="28"/>
          <w:szCs w:val="28"/>
        </w:rPr>
      </w:pPr>
      <w:r w:rsidRPr="00DA657E">
        <w:rPr>
          <w:rFonts w:asciiTheme="minorEastAsia" w:eastAsiaTheme="minorEastAsia" w:hAnsiTheme="minorEastAsia" w:cstheme="minorEastAsia"/>
          <w:sz w:val="28"/>
          <w:szCs w:val="28"/>
        </w:rPr>
        <w:t>在产业配套的风气下，不仅是地面电站项目的开发成本陡增，近日行业进展迅速的分布式光伏整县开发也正被卷入其中。有行业知情人士透露，某东部省份地级市计划引入央企参与整县分布式光伏开发，条件是需要借助该投资企业引入外资，完成当地外资投资任务。</w:t>
      </w:r>
    </w:p>
    <w:p w:rsidR="00DA657E" w:rsidRPr="00DA657E" w:rsidRDefault="00DA657E" w:rsidP="00DA657E">
      <w:pPr>
        <w:widowControl/>
        <w:wordWrap w:val="0"/>
        <w:spacing w:after="90" w:line="360" w:lineRule="auto"/>
        <w:ind w:firstLine="482"/>
        <w:jc w:val="left"/>
        <w:rPr>
          <w:rFonts w:asciiTheme="minorEastAsia" w:eastAsiaTheme="minorEastAsia" w:hAnsiTheme="minorEastAsia" w:cstheme="minorEastAsia"/>
          <w:sz w:val="28"/>
          <w:szCs w:val="28"/>
        </w:rPr>
      </w:pPr>
      <w:r w:rsidRPr="00DA657E">
        <w:rPr>
          <w:rFonts w:asciiTheme="minorEastAsia" w:eastAsiaTheme="minorEastAsia" w:hAnsiTheme="minorEastAsia" w:cstheme="minorEastAsia"/>
          <w:sz w:val="28"/>
          <w:szCs w:val="28"/>
        </w:rPr>
        <w:t>新能源“增收”是否合理?</w:t>
      </w:r>
    </w:p>
    <w:p w:rsidR="00DA657E" w:rsidRPr="00DA657E" w:rsidRDefault="00DA657E" w:rsidP="00DA657E">
      <w:pPr>
        <w:widowControl/>
        <w:wordWrap w:val="0"/>
        <w:spacing w:after="90" w:line="360" w:lineRule="auto"/>
        <w:ind w:firstLine="482"/>
        <w:jc w:val="left"/>
        <w:rPr>
          <w:rFonts w:asciiTheme="minorEastAsia" w:eastAsiaTheme="minorEastAsia" w:hAnsiTheme="minorEastAsia" w:cstheme="minorEastAsia"/>
          <w:sz w:val="28"/>
          <w:szCs w:val="28"/>
        </w:rPr>
      </w:pPr>
      <w:r w:rsidRPr="00DA657E">
        <w:rPr>
          <w:rFonts w:asciiTheme="minorEastAsia" w:eastAsiaTheme="minorEastAsia" w:hAnsiTheme="minorEastAsia" w:cstheme="minorEastAsia"/>
          <w:sz w:val="28"/>
          <w:szCs w:val="28"/>
        </w:rPr>
        <w:t>在补贴时代，土地、电网、融资成本被称誉为国内光伏电站非技术成本的“三座大山”。在央、国企大规模进军之后，融资成本随之下降，紧随其后的还有产业配套投资的“替补军团”。</w:t>
      </w:r>
    </w:p>
    <w:p w:rsidR="00DA657E" w:rsidRPr="00DA657E" w:rsidRDefault="00DA657E" w:rsidP="00DA657E">
      <w:pPr>
        <w:widowControl/>
        <w:wordWrap w:val="0"/>
        <w:spacing w:after="90" w:line="360" w:lineRule="auto"/>
        <w:ind w:firstLine="482"/>
        <w:jc w:val="left"/>
        <w:rPr>
          <w:rFonts w:asciiTheme="minorEastAsia" w:eastAsiaTheme="minorEastAsia" w:hAnsiTheme="minorEastAsia" w:cstheme="minorEastAsia"/>
          <w:sz w:val="28"/>
          <w:szCs w:val="28"/>
        </w:rPr>
      </w:pPr>
      <w:r w:rsidRPr="00DA657E">
        <w:rPr>
          <w:rFonts w:asciiTheme="minorEastAsia" w:eastAsiaTheme="minorEastAsia" w:hAnsiTheme="minorEastAsia" w:cstheme="minorEastAsia"/>
          <w:sz w:val="28"/>
          <w:szCs w:val="28"/>
        </w:rPr>
        <w:t>“在今年组件价格这么高的情况下，央、国企都愿意无底限的承诺投资，之后等组件降价了，非技术成本有更大空间了，地方政府和各路神仙更可以漫天要价了，反正有人愿意买单”，上述人士感慨道，有的地方就是明码标价，非技术成本究竟该怎么降?</w:t>
      </w:r>
    </w:p>
    <w:p w:rsidR="00DA657E" w:rsidRPr="00DA657E" w:rsidRDefault="00DA657E" w:rsidP="00DA657E">
      <w:pPr>
        <w:widowControl/>
        <w:wordWrap w:val="0"/>
        <w:spacing w:after="90" w:line="360" w:lineRule="auto"/>
        <w:ind w:firstLine="482"/>
        <w:jc w:val="left"/>
        <w:rPr>
          <w:rFonts w:asciiTheme="minorEastAsia" w:eastAsiaTheme="minorEastAsia" w:hAnsiTheme="minorEastAsia" w:cstheme="minorEastAsia"/>
          <w:sz w:val="28"/>
          <w:szCs w:val="28"/>
        </w:rPr>
      </w:pPr>
      <w:r w:rsidRPr="00DA657E">
        <w:rPr>
          <w:rFonts w:asciiTheme="minorEastAsia" w:eastAsiaTheme="minorEastAsia" w:hAnsiTheme="minorEastAsia" w:cstheme="minorEastAsia"/>
          <w:sz w:val="28"/>
          <w:szCs w:val="28"/>
        </w:rPr>
        <w:lastRenderedPageBreak/>
        <w:t>事实上，对于光伏产业来说，平价也仅仅是未来征程中的一个拐点，而不是终点。无论是实现30·60大目标还是构建以新能源为主体的新型电力系统，都需要新能源电力持续降本。如果仅靠投资企业不断的下调收益率的政治任务来推动下游需求，这显然是不可持续也不利于行业持久发展的。但现实是由地方产业配套主导的非技术成本居高不下正吞噬着光伏电力技术降本的空间。</w:t>
      </w:r>
    </w:p>
    <w:p w:rsidR="00DA657E" w:rsidRPr="00DA657E" w:rsidRDefault="00DA657E" w:rsidP="00DA657E">
      <w:pPr>
        <w:widowControl/>
        <w:wordWrap w:val="0"/>
        <w:spacing w:after="90" w:line="360" w:lineRule="auto"/>
        <w:ind w:firstLine="482"/>
        <w:jc w:val="left"/>
        <w:rPr>
          <w:rFonts w:asciiTheme="minorEastAsia" w:eastAsiaTheme="minorEastAsia" w:hAnsiTheme="minorEastAsia" w:cstheme="minorEastAsia"/>
          <w:sz w:val="28"/>
          <w:szCs w:val="28"/>
        </w:rPr>
      </w:pPr>
      <w:r w:rsidRPr="00DA657E">
        <w:rPr>
          <w:rFonts w:asciiTheme="minorEastAsia" w:eastAsiaTheme="minorEastAsia" w:hAnsiTheme="minorEastAsia" w:cstheme="minorEastAsia"/>
          <w:sz w:val="28"/>
          <w:szCs w:val="28"/>
        </w:rPr>
        <w:t>另一方面，这些承诺下的产业投资与捐款配套能否落地，尚不得知。光伏們在此前文章中曾分析过，目前行业的产业布局基本已经成形，高能耗的多晶硅与拉棒产能大多集中在云南、新疆等低电价地区，组件、电池基本围绕江浙布局，这些省份配套产业链齐全，可以节省运费成本，同时也方便出口。不同环节产能布局即成体系，与各方面因素息息相关，并不是孤立存在的。退一步来说，即使企业承诺了投资计划，2-3年后，如果招商引资不具备优势，出于成本等考虑，企业也可以搬厂撤回。</w:t>
      </w:r>
    </w:p>
    <w:p w:rsidR="00DA657E" w:rsidRPr="00DA657E" w:rsidRDefault="00DA657E" w:rsidP="00DA657E">
      <w:pPr>
        <w:widowControl/>
        <w:wordWrap w:val="0"/>
        <w:spacing w:after="90" w:line="360" w:lineRule="auto"/>
        <w:ind w:firstLine="482"/>
        <w:jc w:val="left"/>
        <w:rPr>
          <w:rFonts w:asciiTheme="minorEastAsia" w:eastAsiaTheme="minorEastAsia" w:hAnsiTheme="minorEastAsia" w:cstheme="minorEastAsia"/>
          <w:sz w:val="28"/>
          <w:szCs w:val="28"/>
        </w:rPr>
      </w:pPr>
      <w:r w:rsidRPr="00DA657E">
        <w:rPr>
          <w:rFonts w:asciiTheme="minorEastAsia" w:eastAsiaTheme="minorEastAsia" w:hAnsiTheme="minorEastAsia" w:cstheme="minorEastAsia"/>
          <w:sz w:val="28"/>
          <w:szCs w:val="28"/>
        </w:rPr>
        <w:t>诚然，地方政府以资源换产业或者其他增收形式也无可厚非，随着光伏电站走向全面平价，作为一个独立的、具有市场竞争力的产业，的确需要为社会经济发展贡献力量，从税收到GDP、就业等方面承担责任。但新能源成本下降带来的利润空间并不应该只分给某一个环节，在地方政府的管理中，需要整体统筹新能源降本带来的利润空间，给政府(招商引资、税收)、电网(调峰运营等)、企业(项目收益率)、用电价格以合理的方案。</w:t>
      </w:r>
    </w:p>
    <w:p w:rsidR="00DA657E" w:rsidRPr="00DA657E" w:rsidRDefault="00DA657E" w:rsidP="00DA657E">
      <w:pPr>
        <w:widowControl/>
        <w:wordWrap w:val="0"/>
        <w:spacing w:after="90" w:line="360" w:lineRule="auto"/>
        <w:ind w:firstLine="482"/>
        <w:jc w:val="left"/>
        <w:rPr>
          <w:rFonts w:asciiTheme="minorEastAsia" w:eastAsiaTheme="minorEastAsia" w:hAnsiTheme="minorEastAsia" w:cstheme="minorEastAsia"/>
          <w:sz w:val="28"/>
          <w:szCs w:val="28"/>
        </w:rPr>
      </w:pPr>
      <w:r w:rsidRPr="00DA657E">
        <w:rPr>
          <w:rFonts w:asciiTheme="minorEastAsia" w:eastAsiaTheme="minorEastAsia" w:hAnsiTheme="minorEastAsia" w:cstheme="minorEastAsia"/>
          <w:sz w:val="28"/>
          <w:szCs w:val="28"/>
        </w:rPr>
        <w:t>一味的透支某一环节的利润以及毫无底线的承诺产业配套，最终留给地方政府以及投资商的，除了一场空欢喜可能还有一地鸡毛。此外，也有行业人士强调，如果一定要以资源换产业这样的方式发展新能源，那么公平公正</w:t>
      </w:r>
      <w:r w:rsidRPr="00DA657E">
        <w:rPr>
          <w:rFonts w:asciiTheme="minorEastAsia" w:eastAsiaTheme="minorEastAsia" w:hAnsiTheme="minorEastAsia" w:cstheme="minorEastAsia"/>
          <w:sz w:val="28"/>
          <w:szCs w:val="28"/>
        </w:rPr>
        <w:lastRenderedPageBreak/>
        <w:t>公开的规则对于行业及地方政府才是最合理的规则，否则只会沦为权力寻租的工具。</w:t>
      </w:r>
    </w:p>
    <w:p w:rsidR="00114DE3" w:rsidRDefault="00963A3B">
      <w:pPr>
        <w:pStyle w:val="ab"/>
        <w:wordWrap w:val="0"/>
        <w:spacing w:line="288" w:lineRule="auto"/>
        <w:ind w:firstLineChars="200" w:firstLine="560"/>
        <w:rPr>
          <w:rFonts w:asciiTheme="minorEastAsia" w:eastAsiaTheme="minorEastAsia" w:hAnsiTheme="minorEastAsia" w:cstheme="minorEastAsia"/>
          <w:kern w:val="2"/>
          <w:sz w:val="28"/>
          <w:szCs w:val="28"/>
        </w:rPr>
      </w:pPr>
      <w:r>
        <w:rPr>
          <w:rFonts w:asciiTheme="minorEastAsia" w:eastAsiaTheme="minorEastAsia" w:hAnsiTheme="minorEastAsia" w:cstheme="minorEastAsia"/>
          <w:kern w:val="2"/>
          <w:sz w:val="28"/>
          <w:szCs w:val="28"/>
        </w:rPr>
        <w:t> </w:t>
      </w:r>
    </w:p>
    <w:p w:rsidR="00114DE3" w:rsidRDefault="00DA657E">
      <w:pPr>
        <w:widowControl/>
        <w:jc w:val="left"/>
        <w:outlineLvl w:val="1"/>
        <w:rPr>
          <w:rFonts w:ascii="宋体" w:hAnsi="宋体" w:cs="宋体"/>
          <w:b/>
          <w:bCs/>
          <w:kern w:val="0"/>
          <w:sz w:val="30"/>
          <w:szCs w:val="30"/>
        </w:rPr>
      </w:pPr>
      <w:bookmarkStart w:id="121" w:name="_Toc76568926"/>
      <w:r w:rsidRPr="00DA657E">
        <w:rPr>
          <w:rFonts w:ascii="宋体" w:hAnsi="宋体" w:cs="宋体" w:hint="eastAsia"/>
          <w:b/>
          <w:bCs/>
          <w:kern w:val="0"/>
          <w:sz w:val="30"/>
          <w:szCs w:val="30"/>
        </w:rPr>
        <w:t>移动制冷产业快速发展，看看有哪些增长点</w:t>
      </w:r>
      <w:bookmarkEnd w:id="121"/>
    </w:p>
    <w:p w:rsidR="003436C0" w:rsidRDefault="003436C0" w:rsidP="00DA657E">
      <w:pPr>
        <w:widowControl/>
        <w:wordWrap w:val="0"/>
        <w:spacing w:after="90" w:line="360" w:lineRule="auto"/>
        <w:ind w:firstLine="482"/>
        <w:jc w:val="left"/>
        <w:rPr>
          <w:rFonts w:asciiTheme="minorEastAsia" w:eastAsiaTheme="minorEastAsia" w:hAnsiTheme="minorEastAsia" w:cstheme="minorEastAsia" w:hint="eastAsia"/>
          <w:sz w:val="28"/>
          <w:szCs w:val="28"/>
        </w:rPr>
      </w:pPr>
    </w:p>
    <w:p w:rsidR="00DA657E" w:rsidRPr="00DA657E" w:rsidRDefault="00DA657E" w:rsidP="00DA657E">
      <w:pPr>
        <w:widowControl/>
        <w:wordWrap w:val="0"/>
        <w:spacing w:after="90" w:line="360" w:lineRule="auto"/>
        <w:ind w:firstLine="482"/>
        <w:jc w:val="left"/>
        <w:rPr>
          <w:rFonts w:asciiTheme="minorEastAsia" w:eastAsiaTheme="minorEastAsia" w:hAnsiTheme="minorEastAsia" w:cstheme="minorEastAsia"/>
          <w:sz w:val="28"/>
          <w:szCs w:val="28"/>
        </w:rPr>
      </w:pPr>
      <w:r w:rsidRPr="00DA657E">
        <w:rPr>
          <w:rFonts w:asciiTheme="minorEastAsia" w:eastAsiaTheme="minorEastAsia" w:hAnsiTheme="minorEastAsia" w:cstheme="minorEastAsia"/>
          <w:sz w:val="28"/>
          <w:szCs w:val="28"/>
        </w:rPr>
        <w:t>近年来，随着农业结构调整与居民消费力的提升，生鲜农副产品的产量与流通量不断攀升。国家对冷链产业的关注度也越来越高，并不断加大对冷链装备、冷链系统建设的政策性扶持。在此背景下，以冷藏车和冷藏集装箱为主的移动制冷市场得到了快速发展。据产业在线统计，2020年移动制冷占到了我国制冷设备市场的9.5%，规模达到196亿元。</w:t>
      </w:r>
    </w:p>
    <w:p w:rsidR="00DA657E" w:rsidRPr="00DA657E" w:rsidRDefault="00DA657E" w:rsidP="00DA657E">
      <w:pPr>
        <w:widowControl/>
        <w:wordWrap w:val="0"/>
        <w:spacing w:after="90" w:line="360" w:lineRule="auto"/>
        <w:ind w:firstLine="482"/>
        <w:jc w:val="left"/>
        <w:rPr>
          <w:rFonts w:asciiTheme="minorEastAsia" w:eastAsiaTheme="minorEastAsia" w:hAnsiTheme="minorEastAsia" w:cstheme="minorEastAsia"/>
          <w:sz w:val="28"/>
          <w:szCs w:val="28"/>
        </w:rPr>
      </w:pPr>
      <w:r w:rsidRPr="00DA657E">
        <w:rPr>
          <w:rFonts w:asciiTheme="minorEastAsia" w:eastAsiaTheme="minorEastAsia" w:hAnsiTheme="minorEastAsia" w:cstheme="minorEastAsia"/>
          <w:sz w:val="28"/>
          <w:szCs w:val="28"/>
        </w:rPr>
        <w:t>冷藏车市场持续高速增长</w:t>
      </w:r>
    </w:p>
    <w:p w:rsidR="00DA657E" w:rsidRPr="00DA657E" w:rsidRDefault="00DA657E" w:rsidP="00DA657E">
      <w:pPr>
        <w:widowControl/>
        <w:wordWrap w:val="0"/>
        <w:spacing w:after="90" w:line="360" w:lineRule="auto"/>
        <w:ind w:firstLine="482"/>
        <w:jc w:val="left"/>
        <w:rPr>
          <w:rFonts w:asciiTheme="minorEastAsia" w:eastAsiaTheme="minorEastAsia" w:hAnsiTheme="minorEastAsia" w:cstheme="minorEastAsia"/>
          <w:sz w:val="28"/>
          <w:szCs w:val="28"/>
        </w:rPr>
      </w:pPr>
      <w:r w:rsidRPr="00DA657E">
        <w:rPr>
          <w:rFonts w:asciiTheme="minorEastAsia" w:eastAsiaTheme="minorEastAsia" w:hAnsiTheme="minorEastAsia" w:cstheme="minorEastAsia"/>
          <w:sz w:val="28"/>
          <w:szCs w:val="28"/>
        </w:rPr>
        <w:t>我国冷藏车自2016年开始连续5年市场保有量增长率超过10%，2020年冷藏车市场保有量达到20.4万辆，同比增长13.5%。广东、上海等经济发达地区冷藏车销量及保有量位居全国首列。冷藏车市场增量也十分可观，同样2016年以来我国冷藏车行业销售实现五连涨，2020年冷藏车销售量达到3.4万辆，同比增长17.1%。</w:t>
      </w:r>
    </w:p>
    <w:p w:rsidR="00DA657E" w:rsidRPr="00DA657E" w:rsidRDefault="00DA657E" w:rsidP="00DA657E">
      <w:pPr>
        <w:widowControl/>
        <w:wordWrap w:val="0"/>
        <w:spacing w:after="90" w:line="360" w:lineRule="auto"/>
        <w:ind w:firstLine="482"/>
        <w:jc w:val="left"/>
        <w:rPr>
          <w:rFonts w:asciiTheme="minorEastAsia" w:eastAsiaTheme="minorEastAsia" w:hAnsiTheme="minorEastAsia" w:cstheme="minorEastAsia"/>
          <w:sz w:val="28"/>
          <w:szCs w:val="28"/>
        </w:rPr>
      </w:pPr>
      <w:r w:rsidRPr="00DA657E">
        <w:rPr>
          <w:rFonts w:asciiTheme="minorEastAsia" w:eastAsiaTheme="minorEastAsia" w:hAnsiTheme="minorEastAsia" w:cstheme="minorEastAsia"/>
          <w:sz w:val="28"/>
          <w:szCs w:val="28"/>
        </w:rPr>
        <w:t>冷藏车的快速增长，离不开政策上的支持，2020年有关部门相继出台了《关于做好2020年国家骨干冷链物流基地建设工作的通知》等一系列利好政策，加速全国冷链物流基础设施布局，为国内冷链物流发展营造良好的政策环境。各地方也在大力支持冷链物流骨干基地建设、财政专项产业扶贫项目、鼓励规范屠宰、要求企业配备冷藏车提高长距离运输能力等方面出台一</w:t>
      </w:r>
      <w:r w:rsidRPr="00DA657E">
        <w:rPr>
          <w:rFonts w:asciiTheme="minorEastAsia" w:eastAsiaTheme="minorEastAsia" w:hAnsiTheme="minorEastAsia" w:cstheme="minorEastAsia"/>
          <w:sz w:val="28"/>
          <w:szCs w:val="28"/>
        </w:rPr>
        <w:lastRenderedPageBreak/>
        <w:t>系列具体政策，鼓励发展多温层冷藏车，支持冷藏车绿色高效发展，探索网络货运经营。同时，受新冠疫情影响卫生防疫部门也在积极加快建设医用冷链运输。</w:t>
      </w:r>
    </w:p>
    <w:p w:rsidR="00DA657E" w:rsidRPr="00DA657E" w:rsidRDefault="00DA657E" w:rsidP="00DA657E">
      <w:pPr>
        <w:widowControl/>
        <w:wordWrap w:val="0"/>
        <w:spacing w:after="90" w:line="360" w:lineRule="auto"/>
        <w:ind w:firstLine="482"/>
        <w:jc w:val="left"/>
        <w:rPr>
          <w:rFonts w:asciiTheme="minorEastAsia" w:eastAsiaTheme="minorEastAsia" w:hAnsiTheme="minorEastAsia" w:cstheme="minorEastAsia"/>
          <w:sz w:val="28"/>
          <w:szCs w:val="28"/>
        </w:rPr>
      </w:pPr>
      <w:r w:rsidRPr="00DA657E">
        <w:rPr>
          <w:rFonts w:asciiTheme="minorEastAsia" w:eastAsiaTheme="minorEastAsia" w:hAnsiTheme="minorEastAsia" w:cstheme="minorEastAsia"/>
          <w:sz w:val="28"/>
          <w:szCs w:val="28"/>
        </w:rPr>
        <w:t>从市场集中度来看，我国冷藏车TOP5生产厂家为中集车辆、河南冰熊、河南新飞、郑州红宇、镇江飞驰，占比分比为14.9%、11.3%、7.8%、7.5%、5.4%，市场的企业格局基本稳定，但行业内的竞争也在加剧。</w:t>
      </w:r>
    </w:p>
    <w:p w:rsidR="00DA657E" w:rsidRPr="00DA657E" w:rsidRDefault="00DA657E" w:rsidP="00DA657E">
      <w:pPr>
        <w:widowControl/>
        <w:wordWrap w:val="0"/>
        <w:spacing w:after="90" w:line="360" w:lineRule="auto"/>
        <w:ind w:firstLine="482"/>
        <w:jc w:val="left"/>
        <w:rPr>
          <w:rFonts w:asciiTheme="minorEastAsia" w:eastAsiaTheme="minorEastAsia" w:hAnsiTheme="minorEastAsia" w:cstheme="minorEastAsia"/>
          <w:sz w:val="28"/>
          <w:szCs w:val="28"/>
        </w:rPr>
      </w:pPr>
      <w:r w:rsidRPr="00DA657E">
        <w:rPr>
          <w:rFonts w:asciiTheme="minorEastAsia" w:eastAsiaTheme="minorEastAsia" w:hAnsiTheme="minorEastAsia" w:cstheme="minorEastAsia"/>
          <w:sz w:val="28"/>
          <w:szCs w:val="28"/>
        </w:rPr>
        <w:t>2021年是“十四五”开局之年，我国冷链运输和冷链装备制造业将得到飞速发展。从“十四五规划”上不难发现，物流行业尤其是冷链物流仍然是发展重点。此外，伴随着社会消费不断升级，对生鲜食品品质要求提高，加之社区团购等线上生鲜消费需求得到激活，2021年冷藏车市场预计销售量为4.1万辆，同比增长22.4%。</w:t>
      </w:r>
    </w:p>
    <w:p w:rsidR="00DA657E" w:rsidRPr="00DA657E" w:rsidRDefault="00DA657E" w:rsidP="00DA657E">
      <w:pPr>
        <w:widowControl/>
        <w:wordWrap w:val="0"/>
        <w:spacing w:after="90" w:line="360" w:lineRule="auto"/>
        <w:ind w:firstLine="482"/>
        <w:jc w:val="left"/>
        <w:rPr>
          <w:rFonts w:asciiTheme="minorEastAsia" w:eastAsiaTheme="minorEastAsia" w:hAnsiTheme="minorEastAsia" w:cstheme="minorEastAsia"/>
          <w:sz w:val="28"/>
          <w:szCs w:val="28"/>
        </w:rPr>
      </w:pPr>
      <w:r w:rsidRPr="00DA657E">
        <w:rPr>
          <w:rFonts w:asciiTheme="minorEastAsia" w:eastAsiaTheme="minorEastAsia" w:hAnsiTheme="minorEastAsia" w:cstheme="minorEastAsia"/>
          <w:sz w:val="28"/>
          <w:szCs w:val="28"/>
        </w:rPr>
        <w:t>冷藏集装箱市场量价齐升</w:t>
      </w:r>
    </w:p>
    <w:p w:rsidR="00DA657E" w:rsidRPr="00DA657E" w:rsidRDefault="00DA657E" w:rsidP="00DA657E">
      <w:pPr>
        <w:widowControl/>
        <w:wordWrap w:val="0"/>
        <w:spacing w:after="90" w:line="360" w:lineRule="auto"/>
        <w:ind w:firstLine="482"/>
        <w:jc w:val="left"/>
        <w:rPr>
          <w:rFonts w:asciiTheme="minorEastAsia" w:eastAsiaTheme="minorEastAsia" w:hAnsiTheme="minorEastAsia" w:cstheme="minorEastAsia"/>
          <w:sz w:val="28"/>
          <w:szCs w:val="28"/>
        </w:rPr>
      </w:pPr>
      <w:r w:rsidRPr="00DA657E">
        <w:rPr>
          <w:rFonts w:asciiTheme="minorEastAsia" w:eastAsiaTheme="minorEastAsia" w:hAnsiTheme="minorEastAsia" w:cstheme="minorEastAsia"/>
          <w:sz w:val="28"/>
          <w:szCs w:val="28"/>
        </w:rPr>
        <w:t>2020年初受新冠肺炎疫情影响，全球集运需求受到较大冲击，2月份中国主要港口集装箱吞吐量同比下降38%，大量冷藏集装箱停放在港口，部分地区相继出现堆存难、运输难的问题。另外自疫情发生以来，我国餐饮业也受到极大冲击，春节期间多地的冻品海鲜销量下降近九成，部分水产交易市场处于停摆状态，进口海鲜、冻肉等货类市场需求较往年同期大幅降低。</w:t>
      </w:r>
    </w:p>
    <w:p w:rsidR="00DA657E" w:rsidRPr="00DA657E" w:rsidRDefault="00DA657E" w:rsidP="00DA657E">
      <w:pPr>
        <w:widowControl/>
        <w:wordWrap w:val="0"/>
        <w:spacing w:after="90" w:line="360" w:lineRule="auto"/>
        <w:ind w:firstLine="482"/>
        <w:jc w:val="left"/>
        <w:rPr>
          <w:rFonts w:asciiTheme="minorEastAsia" w:eastAsiaTheme="minorEastAsia" w:hAnsiTheme="minorEastAsia" w:cstheme="minorEastAsia"/>
          <w:sz w:val="28"/>
          <w:szCs w:val="28"/>
        </w:rPr>
      </w:pPr>
      <w:r w:rsidRPr="00DA657E">
        <w:rPr>
          <w:rFonts w:asciiTheme="minorEastAsia" w:eastAsiaTheme="minorEastAsia" w:hAnsiTheme="minorEastAsia" w:cstheme="minorEastAsia"/>
          <w:sz w:val="28"/>
          <w:szCs w:val="28"/>
        </w:rPr>
        <w:t>同时，多数港口集卡司机尚未复工，导致2020年年初到港的较大数量冷藏集装箱未被提货，只能在港口堆存。宁波舟山港、天津港、上海港等部分港口冷藏箱堆存场地一度紧张，其中部分港区堆存能力接近或达到饱和。</w:t>
      </w:r>
      <w:r w:rsidRPr="00DA657E">
        <w:rPr>
          <w:rFonts w:asciiTheme="minorEastAsia" w:eastAsiaTheme="minorEastAsia" w:hAnsiTheme="minorEastAsia" w:cstheme="minorEastAsia"/>
          <w:sz w:val="28"/>
          <w:szCs w:val="28"/>
        </w:rPr>
        <w:lastRenderedPageBreak/>
        <w:t>由于冷藏集装箱需要接通专用的冷藏集装箱插座，因此冷藏箱的堆存不仅缺乏空间，插座更是紧缺。</w:t>
      </w:r>
    </w:p>
    <w:p w:rsidR="00DA657E" w:rsidRPr="00DA657E" w:rsidRDefault="00DA657E" w:rsidP="00DA657E">
      <w:pPr>
        <w:widowControl/>
        <w:wordWrap w:val="0"/>
        <w:spacing w:after="90" w:line="360" w:lineRule="auto"/>
        <w:ind w:firstLine="482"/>
        <w:jc w:val="left"/>
        <w:rPr>
          <w:rFonts w:asciiTheme="minorEastAsia" w:eastAsiaTheme="minorEastAsia" w:hAnsiTheme="minorEastAsia" w:cstheme="minorEastAsia"/>
          <w:sz w:val="28"/>
          <w:szCs w:val="28"/>
        </w:rPr>
      </w:pPr>
      <w:r w:rsidRPr="00DA657E">
        <w:rPr>
          <w:rFonts w:asciiTheme="minorEastAsia" w:eastAsiaTheme="minorEastAsia" w:hAnsiTheme="minorEastAsia" w:cstheme="minorEastAsia"/>
          <w:sz w:val="28"/>
          <w:szCs w:val="28"/>
        </w:rPr>
        <w:t>随着国内新冠疫情得到良好控制，经济复苏回暖速度较快，全球经济对中国依赖明显，中国港口集装箱吞吐量在6月份实现同比增速转正，8月同比增速提升到8.8%。国内冷藏集装箱市场从年初的堆存难，逐渐发展成下半年“一箱难求”的情况，主要受以下几方面影响：</w:t>
      </w:r>
    </w:p>
    <w:p w:rsidR="00DA657E" w:rsidRPr="00DA657E" w:rsidRDefault="00DA657E" w:rsidP="00DA657E">
      <w:pPr>
        <w:widowControl/>
        <w:wordWrap w:val="0"/>
        <w:spacing w:after="90" w:line="360" w:lineRule="auto"/>
        <w:ind w:firstLine="482"/>
        <w:jc w:val="left"/>
        <w:rPr>
          <w:rFonts w:asciiTheme="minorEastAsia" w:eastAsiaTheme="minorEastAsia" w:hAnsiTheme="minorEastAsia" w:cstheme="minorEastAsia"/>
          <w:sz w:val="28"/>
          <w:szCs w:val="28"/>
        </w:rPr>
      </w:pPr>
      <w:r w:rsidRPr="00DA657E">
        <w:rPr>
          <w:rFonts w:asciiTheme="minorEastAsia" w:eastAsiaTheme="minorEastAsia" w:hAnsiTheme="minorEastAsia" w:cstheme="minorEastAsia"/>
          <w:sz w:val="28"/>
          <w:szCs w:val="28"/>
        </w:rPr>
        <w:t>1)冷藏集装箱需求近年来连续增长，行业本身处于增长期;</w:t>
      </w:r>
    </w:p>
    <w:p w:rsidR="00DA657E" w:rsidRPr="00DA657E" w:rsidRDefault="00DA657E" w:rsidP="00DA657E">
      <w:pPr>
        <w:widowControl/>
        <w:wordWrap w:val="0"/>
        <w:spacing w:after="90" w:line="360" w:lineRule="auto"/>
        <w:ind w:firstLine="482"/>
        <w:jc w:val="left"/>
        <w:rPr>
          <w:rFonts w:asciiTheme="minorEastAsia" w:eastAsiaTheme="minorEastAsia" w:hAnsiTheme="minorEastAsia" w:cstheme="minorEastAsia"/>
          <w:sz w:val="28"/>
          <w:szCs w:val="28"/>
        </w:rPr>
      </w:pPr>
      <w:r w:rsidRPr="00DA657E">
        <w:rPr>
          <w:rFonts w:asciiTheme="minorEastAsia" w:eastAsiaTheme="minorEastAsia" w:hAnsiTheme="minorEastAsia" w:cstheme="minorEastAsia"/>
          <w:sz w:val="28"/>
          <w:szCs w:val="28"/>
        </w:rPr>
        <w:t>2)疫情后中国率先复工复产，欧美地区封禁不解，国内相继检出冻品沾染新冠病毒，加强了对进口冷冻冷藏食品的监管，造成去程货量高于回程货量，冷藏集装箱流出多流入少;</w:t>
      </w:r>
    </w:p>
    <w:p w:rsidR="00DA657E" w:rsidRPr="00DA657E" w:rsidRDefault="00DA657E" w:rsidP="00DA657E">
      <w:pPr>
        <w:widowControl/>
        <w:wordWrap w:val="0"/>
        <w:spacing w:after="90" w:line="360" w:lineRule="auto"/>
        <w:ind w:firstLine="482"/>
        <w:jc w:val="left"/>
        <w:rPr>
          <w:rFonts w:asciiTheme="minorEastAsia" w:eastAsiaTheme="minorEastAsia" w:hAnsiTheme="minorEastAsia" w:cstheme="minorEastAsia"/>
          <w:sz w:val="28"/>
          <w:szCs w:val="28"/>
        </w:rPr>
      </w:pPr>
      <w:r w:rsidRPr="00DA657E">
        <w:rPr>
          <w:rFonts w:asciiTheme="minorEastAsia" w:eastAsiaTheme="minorEastAsia" w:hAnsiTheme="minorEastAsia" w:cstheme="minorEastAsia"/>
          <w:sz w:val="28"/>
          <w:szCs w:val="28"/>
        </w:rPr>
        <w:t>3)在空运运力大幅缩减的情况下，医药物资、易腐食品海运需求增加;</w:t>
      </w:r>
    </w:p>
    <w:p w:rsidR="00DA657E" w:rsidRPr="00DA657E" w:rsidRDefault="00DA657E" w:rsidP="00DA657E">
      <w:pPr>
        <w:widowControl/>
        <w:wordWrap w:val="0"/>
        <w:spacing w:after="90" w:line="360" w:lineRule="auto"/>
        <w:ind w:firstLine="482"/>
        <w:jc w:val="left"/>
        <w:rPr>
          <w:rFonts w:asciiTheme="minorEastAsia" w:eastAsiaTheme="minorEastAsia" w:hAnsiTheme="minorEastAsia" w:cstheme="minorEastAsia"/>
          <w:sz w:val="28"/>
          <w:szCs w:val="28"/>
        </w:rPr>
      </w:pPr>
      <w:r w:rsidRPr="00DA657E">
        <w:rPr>
          <w:rFonts w:asciiTheme="minorEastAsia" w:eastAsiaTheme="minorEastAsia" w:hAnsiTheme="minorEastAsia" w:cstheme="minorEastAsia"/>
          <w:sz w:val="28"/>
          <w:szCs w:val="28"/>
        </w:rPr>
        <w:t>4)欧美地区卫生事件持续蔓延，相继出现多次高潮，居家隔离和远程办公使得对部分国产食品需求出现增长。</w:t>
      </w:r>
    </w:p>
    <w:p w:rsidR="00DA657E" w:rsidRPr="00DA657E" w:rsidRDefault="00DA657E" w:rsidP="00DA657E">
      <w:pPr>
        <w:widowControl/>
        <w:wordWrap w:val="0"/>
        <w:spacing w:after="90" w:line="360" w:lineRule="auto"/>
        <w:ind w:firstLine="482"/>
        <w:jc w:val="left"/>
        <w:rPr>
          <w:rFonts w:asciiTheme="minorEastAsia" w:eastAsiaTheme="minorEastAsia" w:hAnsiTheme="minorEastAsia" w:cstheme="minorEastAsia"/>
          <w:sz w:val="28"/>
          <w:szCs w:val="28"/>
        </w:rPr>
      </w:pPr>
      <w:r w:rsidRPr="00DA657E">
        <w:rPr>
          <w:rFonts w:asciiTheme="minorEastAsia" w:eastAsiaTheme="minorEastAsia" w:hAnsiTheme="minorEastAsia" w:cstheme="minorEastAsia"/>
          <w:sz w:val="28"/>
          <w:szCs w:val="28"/>
        </w:rPr>
        <w:t>目前，国际冷藏集装箱市场高度集中，主要由中集集团、胜狮货柜、马士基等企业构成，生产基地主要分布在上海、青岛等东部沿海地区。作为全球冷藏箱产销量第一的中集集团，在标准冷藏集装箱全球市场中占有率超过30%，特种冷藏箱全球市场占有率更是超过70%。</w:t>
      </w:r>
    </w:p>
    <w:p w:rsidR="00DA657E" w:rsidRPr="00DA657E" w:rsidRDefault="00DA657E" w:rsidP="00DA657E">
      <w:pPr>
        <w:widowControl/>
        <w:wordWrap w:val="0"/>
        <w:spacing w:after="90" w:line="360" w:lineRule="auto"/>
        <w:ind w:firstLine="482"/>
        <w:jc w:val="left"/>
        <w:rPr>
          <w:rFonts w:asciiTheme="minorEastAsia" w:eastAsiaTheme="minorEastAsia" w:hAnsiTheme="minorEastAsia" w:cstheme="minorEastAsia"/>
          <w:sz w:val="28"/>
          <w:szCs w:val="28"/>
        </w:rPr>
      </w:pPr>
      <w:r w:rsidRPr="00DA657E">
        <w:rPr>
          <w:rFonts w:asciiTheme="minorEastAsia" w:eastAsiaTheme="minorEastAsia" w:hAnsiTheme="minorEastAsia" w:cstheme="minorEastAsia"/>
          <w:sz w:val="28"/>
          <w:szCs w:val="28"/>
        </w:rPr>
        <w:t>产业在线数据监测显示，2016-2020年冷藏集装箱实现了可观的增长，五年复合增长率为6.0%。2020年冷藏集装箱市场规模达到14.8万TEU，同比增长5.0%。预计2021年冷藏集装箱销售量为15.4万TEU，同比增长4.1%。</w:t>
      </w:r>
    </w:p>
    <w:p w:rsidR="00DA657E" w:rsidRPr="00DA657E" w:rsidRDefault="00DA657E" w:rsidP="00DA657E">
      <w:pPr>
        <w:widowControl/>
        <w:wordWrap w:val="0"/>
        <w:spacing w:after="90" w:line="360" w:lineRule="auto"/>
        <w:ind w:firstLine="482"/>
        <w:jc w:val="left"/>
        <w:rPr>
          <w:rFonts w:asciiTheme="minorEastAsia" w:eastAsiaTheme="minorEastAsia" w:hAnsiTheme="minorEastAsia" w:cstheme="minorEastAsia"/>
          <w:sz w:val="28"/>
          <w:szCs w:val="28"/>
        </w:rPr>
      </w:pPr>
      <w:r w:rsidRPr="00DA657E">
        <w:rPr>
          <w:rFonts w:asciiTheme="minorEastAsia" w:eastAsiaTheme="minorEastAsia" w:hAnsiTheme="minorEastAsia" w:cstheme="minorEastAsia"/>
          <w:sz w:val="28"/>
          <w:szCs w:val="28"/>
        </w:rPr>
        <w:t>新能源汽车制冷是未来的重要增长点</w:t>
      </w:r>
    </w:p>
    <w:p w:rsidR="00DA657E" w:rsidRPr="00DA657E" w:rsidRDefault="00DA657E" w:rsidP="00DA657E">
      <w:pPr>
        <w:widowControl/>
        <w:wordWrap w:val="0"/>
        <w:spacing w:after="90" w:line="360" w:lineRule="auto"/>
        <w:ind w:firstLine="482"/>
        <w:jc w:val="left"/>
        <w:rPr>
          <w:rFonts w:asciiTheme="minorEastAsia" w:eastAsiaTheme="minorEastAsia" w:hAnsiTheme="minorEastAsia" w:cstheme="minorEastAsia"/>
          <w:sz w:val="28"/>
          <w:szCs w:val="28"/>
        </w:rPr>
      </w:pPr>
      <w:r w:rsidRPr="00DA657E">
        <w:rPr>
          <w:rFonts w:asciiTheme="minorEastAsia" w:eastAsiaTheme="minorEastAsia" w:hAnsiTheme="minorEastAsia" w:cstheme="minorEastAsia"/>
          <w:sz w:val="28"/>
          <w:szCs w:val="28"/>
        </w:rPr>
        <w:lastRenderedPageBreak/>
        <w:t>除了冷藏车和冷藏集装箱以外，新能源载客汽车制冷领域也值得关注。在全球气候变暖、极端气候频发的背景下，全球多国制定了碳中和时间表。汽车交通运输业占全国燃料燃烧产生的二氧化碳排放总量的9.66%，新能源汽车能显著降低碳排放，是实现“碳中和”的重要环节。</w:t>
      </w:r>
    </w:p>
    <w:p w:rsidR="00DA657E" w:rsidRPr="00DA657E" w:rsidRDefault="00DA657E" w:rsidP="00DA657E">
      <w:pPr>
        <w:widowControl/>
        <w:wordWrap w:val="0"/>
        <w:spacing w:after="90" w:line="360" w:lineRule="auto"/>
        <w:ind w:firstLine="482"/>
        <w:jc w:val="left"/>
        <w:rPr>
          <w:rFonts w:asciiTheme="minorEastAsia" w:eastAsiaTheme="minorEastAsia" w:hAnsiTheme="minorEastAsia" w:cstheme="minorEastAsia"/>
          <w:sz w:val="28"/>
          <w:szCs w:val="28"/>
        </w:rPr>
      </w:pPr>
      <w:r w:rsidRPr="00DA657E">
        <w:rPr>
          <w:rFonts w:asciiTheme="minorEastAsia" w:eastAsiaTheme="minorEastAsia" w:hAnsiTheme="minorEastAsia" w:cstheme="minorEastAsia"/>
          <w:sz w:val="28"/>
          <w:szCs w:val="28"/>
        </w:rPr>
        <w:t>其中，乘用车和大巴车是载客运输及日常通勤主要的交通工具，也是目前新能源汽车最主要的应用领域，载客汽车的新能源化是推动交通运输行业实现“碳中和”的重要举措。2020年我国新能源汽车销量达136.73万辆，是全球最大的新能源汽车产销市场之一。</w:t>
      </w:r>
    </w:p>
    <w:p w:rsidR="00DA657E" w:rsidRPr="00DA657E" w:rsidRDefault="00DA657E" w:rsidP="00DA657E">
      <w:pPr>
        <w:widowControl/>
        <w:wordWrap w:val="0"/>
        <w:spacing w:after="90" w:line="360" w:lineRule="auto"/>
        <w:ind w:firstLine="482"/>
        <w:jc w:val="left"/>
        <w:rPr>
          <w:rFonts w:asciiTheme="minorEastAsia" w:eastAsiaTheme="minorEastAsia" w:hAnsiTheme="minorEastAsia" w:cstheme="minorEastAsia"/>
          <w:sz w:val="28"/>
          <w:szCs w:val="28"/>
        </w:rPr>
      </w:pPr>
      <w:r w:rsidRPr="00DA657E">
        <w:rPr>
          <w:rFonts w:asciiTheme="minorEastAsia" w:eastAsiaTheme="minorEastAsia" w:hAnsiTheme="minorEastAsia" w:cstheme="minorEastAsia"/>
          <w:sz w:val="28"/>
          <w:szCs w:val="28"/>
        </w:rPr>
        <w:t>新能源汽车市场空间巨大，相关研究机构分析认为：2025年国内新能源车销量有望达到710万辆的规模，对应热管理系统的空间约为500亿元，其中空调系统的空间约为280亿元。从产品技术角度来看，新能源汽车空调与燃油车空调有着非常大的区别，新能源车用制冷设备有望成为移动制冷领域未来的重要增长点。</w:t>
      </w:r>
    </w:p>
    <w:p w:rsidR="00DA657E" w:rsidRPr="00DA657E" w:rsidRDefault="00DA657E" w:rsidP="00DA657E">
      <w:pPr>
        <w:widowControl/>
        <w:wordWrap w:val="0"/>
        <w:spacing w:after="90" w:line="360" w:lineRule="auto"/>
        <w:ind w:firstLine="482"/>
        <w:jc w:val="left"/>
        <w:rPr>
          <w:rFonts w:asciiTheme="minorEastAsia" w:eastAsiaTheme="minorEastAsia" w:hAnsiTheme="minorEastAsia" w:cstheme="minorEastAsia"/>
          <w:sz w:val="28"/>
          <w:szCs w:val="28"/>
        </w:rPr>
      </w:pPr>
      <w:r w:rsidRPr="00DA657E">
        <w:rPr>
          <w:rFonts w:asciiTheme="minorEastAsia" w:eastAsiaTheme="minorEastAsia" w:hAnsiTheme="minorEastAsia" w:cstheme="minorEastAsia"/>
          <w:sz w:val="28"/>
          <w:szCs w:val="28"/>
        </w:rPr>
        <w:t>总之，在经济转型、消费升级的大背景下，依托政策层面的推动和行业发展的内生动力，移动制冷设备应用市场前景可期。</w:t>
      </w:r>
    </w:p>
    <w:p w:rsidR="00114DE3" w:rsidRDefault="00DA657E">
      <w:pPr>
        <w:widowControl/>
        <w:jc w:val="left"/>
        <w:outlineLvl w:val="1"/>
        <w:rPr>
          <w:rFonts w:ascii="宋体" w:hAnsi="宋体" w:cs="宋体"/>
          <w:b/>
          <w:bCs/>
          <w:kern w:val="0"/>
          <w:sz w:val="30"/>
          <w:szCs w:val="30"/>
        </w:rPr>
      </w:pPr>
      <w:bookmarkStart w:id="122" w:name="_Toc76568927"/>
      <w:r w:rsidRPr="00DA657E">
        <w:rPr>
          <w:rFonts w:ascii="宋体" w:hAnsi="宋体" w:cs="宋体" w:hint="eastAsia"/>
          <w:b/>
          <w:bCs/>
          <w:kern w:val="0"/>
          <w:sz w:val="30"/>
          <w:szCs w:val="30"/>
        </w:rPr>
        <w:t>好消息！在深建冷库，有望获资助</w:t>
      </w:r>
      <w:bookmarkEnd w:id="122"/>
    </w:p>
    <w:p w:rsidR="003436C0" w:rsidRDefault="003436C0" w:rsidP="00DA657E">
      <w:pPr>
        <w:widowControl/>
        <w:wordWrap w:val="0"/>
        <w:spacing w:after="90" w:line="360" w:lineRule="auto"/>
        <w:ind w:firstLine="482"/>
        <w:jc w:val="left"/>
        <w:rPr>
          <w:rFonts w:asciiTheme="minorEastAsia" w:eastAsiaTheme="minorEastAsia" w:hAnsiTheme="minorEastAsia" w:cstheme="minorEastAsia" w:hint="eastAsia"/>
          <w:sz w:val="28"/>
          <w:szCs w:val="28"/>
        </w:rPr>
      </w:pPr>
    </w:p>
    <w:p w:rsidR="00DA657E" w:rsidRPr="00DA657E" w:rsidRDefault="00DA657E" w:rsidP="00DA657E">
      <w:pPr>
        <w:widowControl/>
        <w:wordWrap w:val="0"/>
        <w:spacing w:after="90" w:line="360" w:lineRule="auto"/>
        <w:ind w:firstLine="482"/>
        <w:jc w:val="left"/>
        <w:rPr>
          <w:rFonts w:asciiTheme="minorEastAsia" w:eastAsiaTheme="minorEastAsia" w:hAnsiTheme="minorEastAsia" w:cstheme="minorEastAsia"/>
          <w:sz w:val="28"/>
          <w:szCs w:val="28"/>
        </w:rPr>
      </w:pPr>
      <w:r w:rsidRPr="00DA657E">
        <w:rPr>
          <w:rFonts w:asciiTheme="minorEastAsia" w:eastAsiaTheme="minorEastAsia" w:hAnsiTheme="minorEastAsia" w:cstheme="minorEastAsia"/>
          <w:sz w:val="28"/>
          <w:szCs w:val="28"/>
        </w:rPr>
        <w:t>深圳市交通运输局近日发布《深圳市交通运输专项资金现代物流业领域资助资金实施细则(征求意见稿)》(以下简称“《实施细则》”)。其中提出将新增运输结构调整和冷链物流发展等资助项目，以分别推动深圳中长途货</w:t>
      </w:r>
      <w:r w:rsidRPr="00DA657E">
        <w:rPr>
          <w:rFonts w:asciiTheme="minorEastAsia" w:eastAsiaTheme="minorEastAsia" w:hAnsiTheme="minorEastAsia" w:cstheme="minorEastAsia"/>
          <w:sz w:val="28"/>
          <w:szCs w:val="28"/>
        </w:rPr>
        <w:lastRenderedPageBreak/>
        <w:t>运“公转铁”和增加全市冷链设施供给。此外，深圳拟取消对纯电动物流配送车辆的运营资助。</w:t>
      </w:r>
    </w:p>
    <w:p w:rsidR="00DA657E" w:rsidRPr="00DA657E" w:rsidRDefault="00DA657E" w:rsidP="00DA657E">
      <w:pPr>
        <w:widowControl/>
        <w:wordWrap w:val="0"/>
        <w:spacing w:after="90" w:line="360" w:lineRule="auto"/>
        <w:ind w:firstLine="482"/>
        <w:jc w:val="left"/>
        <w:rPr>
          <w:rFonts w:asciiTheme="minorEastAsia" w:eastAsiaTheme="minorEastAsia" w:hAnsiTheme="minorEastAsia" w:cstheme="minorEastAsia"/>
          <w:sz w:val="28"/>
          <w:szCs w:val="28"/>
        </w:rPr>
      </w:pPr>
      <w:r w:rsidRPr="00DA657E">
        <w:rPr>
          <w:rFonts w:asciiTheme="minorEastAsia" w:eastAsiaTheme="minorEastAsia" w:hAnsiTheme="minorEastAsia" w:cstheme="minorEastAsia"/>
          <w:sz w:val="28"/>
          <w:szCs w:val="28"/>
        </w:rPr>
        <w:t>据介绍，《实施细则》新增了运输结构调整资助项目，以提高铁路货运量占全市货运量的比例，完善深圳面向国内和全球的运输网络，通过铁路进一步提高深圳与国内国际重要经济区域的连接度，推动实现深圳打造全球物流枢纽城市的战略目标。</w:t>
      </w:r>
    </w:p>
    <w:p w:rsidR="00DA657E" w:rsidRPr="00DA657E" w:rsidRDefault="00DA657E" w:rsidP="00DA657E">
      <w:pPr>
        <w:widowControl/>
        <w:wordWrap w:val="0"/>
        <w:spacing w:after="90" w:line="360" w:lineRule="auto"/>
        <w:ind w:firstLine="482"/>
        <w:jc w:val="left"/>
        <w:rPr>
          <w:rFonts w:asciiTheme="minorEastAsia" w:eastAsiaTheme="minorEastAsia" w:hAnsiTheme="minorEastAsia" w:cstheme="minorEastAsia"/>
          <w:sz w:val="28"/>
          <w:szCs w:val="28"/>
        </w:rPr>
      </w:pPr>
      <w:r w:rsidRPr="00DA657E">
        <w:rPr>
          <w:rFonts w:asciiTheme="minorEastAsia" w:eastAsiaTheme="minorEastAsia" w:hAnsiTheme="minorEastAsia" w:cstheme="minorEastAsia"/>
          <w:sz w:val="28"/>
          <w:szCs w:val="28"/>
        </w:rPr>
        <w:t>在深圳行政区域内(含深汕)依法注册登记，以物流运营作为主营业务的法人企业，在深圳铁路货运场站以铁路运输方式开展集装箱重箱运输业务，以深圳为起点或终点的集装箱重箱全程铁路运输距离在1000公里以上的，可获得该项目资助。按照运输距离，每标箱资助金额最高可达到15000元。</w:t>
      </w:r>
    </w:p>
    <w:p w:rsidR="00DA657E" w:rsidRPr="00DA657E" w:rsidRDefault="00DA657E" w:rsidP="00DA657E">
      <w:pPr>
        <w:widowControl/>
        <w:wordWrap w:val="0"/>
        <w:spacing w:after="90" w:line="360" w:lineRule="auto"/>
        <w:ind w:firstLine="482"/>
        <w:jc w:val="left"/>
        <w:rPr>
          <w:rFonts w:asciiTheme="minorEastAsia" w:eastAsiaTheme="minorEastAsia" w:hAnsiTheme="minorEastAsia" w:cstheme="minorEastAsia"/>
          <w:sz w:val="28"/>
          <w:szCs w:val="28"/>
        </w:rPr>
      </w:pPr>
      <w:r w:rsidRPr="00DA657E">
        <w:rPr>
          <w:rFonts w:asciiTheme="minorEastAsia" w:eastAsiaTheme="minorEastAsia" w:hAnsiTheme="minorEastAsia" w:cstheme="minorEastAsia"/>
          <w:sz w:val="28"/>
          <w:szCs w:val="28"/>
        </w:rPr>
        <w:t>《实施细则》新增了冷链物流发展资助项目，对社会投资建设改造冷库、购置冷链运输车辆提供政策支持。</w:t>
      </w:r>
    </w:p>
    <w:p w:rsidR="00DA657E" w:rsidRPr="00DA657E" w:rsidRDefault="00DA657E" w:rsidP="00DA657E">
      <w:pPr>
        <w:widowControl/>
        <w:wordWrap w:val="0"/>
        <w:spacing w:after="90" w:line="360" w:lineRule="auto"/>
        <w:ind w:firstLine="482"/>
        <w:jc w:val="left"/>
        <w:rPr>
          <w:rFonts w:asciiTheme="minorEastAsia" w:eastAsiaTheme="minorEastAsia" w:hAnsiTheme="minorEastAsia" w:cstheme="minorEastAsia"/>
          <w:sz w:val="28"/>
          <w:szCs w:val="28"/>
        </w:rPr>
      </w:pPr>
      <w:r w:rsidRPr="00DA657E">
        <w:rPr>
          <w:rFonts w:asciiTheme="minorEastAsia" w:eastAsiaTheme="minorEastAsia" w:hAnsiTheme="minorEastAsia" w:cstheme="minorEastAsia"/>
          <w:sz w:val="28"/>
          <w:szCs w:val="28"/>
        </w:rPr>
        <w:t>其中，在冷库新建方面，对符合条件的企业项目，按照实际投资额的20%给予一次性财政资金资助，单个项目资助总额不超过500万元。在冷链运输新增运力资助方面，对符合条件的企业，按照考核年度内，轻型冷链运输车辆的核定载质量每新增10吨，给予财政资助20万元，单个企业年度资助总额不超过100万元。</w:t>
      </w:r>
    </w:p>
    <w:p w:rsidR="00DA657E" w:rsidRPr="00DA657E" w:rsidRDefault="00DA657E" w:rsidP="00DA657E">
      <w:pPr>
        <w:widowControl/>
        <w:wordWrap w:val="0"/>
        <w:spacing w:after="90" w:line="360" w:lineRule="auto"/>
        <w:ind w:firstLine="482"/>
        <w:jc w:val="left"/>
        <w:rPr>
          <w:rFonts w:asciiTheme="minorEastAsia" w:eastAsiaTheme="minorEastAsia" w:hAnsiTheme="minorEastAsia" w:cstheme="minorEastAsia"/>
          <w:sz w:val="28"/>
          <w:szCs w:val="28"/>
        </w:rPr>
      </w:pPr>
      <w:r w:rsidRPr="00DA657E">
        <w:rPr>
          <w:rFonts w:asciiTheme="minorEastAsia" w:eastAsiaTheme="minorEastAsia" w:hAnsiTheme="minorEastAsia" w:cstheme="minorEastAsia"/>
          <w:sz w:val="28"/>
          <w:szCs w:val="28"/>
        </w:rPr>
        <w:t>此外，记者了解到，《实施细则》取消了全市性物流公共信息服务平台一次性资助项目，以及纯电动物流配送车辆运营资助项目。市交通运输局称，截至2020年底，深圳新能源物流车保有量已达8.6万辆，位于全国第一。该资助项目已实现政策既定目标。</w:t>
      </w:r>
    </w:p>
    <w:p w:rsidR="00114DE3" w:rsidRDefault="00114DE3" w:rsidP="00DA657E">
      <w:pPr>
        <w:widowControl/>
        <w:wordWrap w:val="0"/>
        <w:spacing w:after="86" w:line="360" w:lineRule="auto"/>
        <w:ind w:firstLine="482"/>
        <w:jc w:val="left"/>
        <w:rPr>
          <w:rFonts w:asciiTheme="minorEastAsia" w:eastAsiaTheme="minorEastAsia" w:hAnsiTheme="minorEastAsia" w:cstheme="minorEastAsia"/>
          <w:sz w:val="28"/>
          <w:szCs w:val="28"/>
        </w:rPr>
      </w:pPr>
    </w:p>
    <w:sectPr w:rsidR="00114DE3" w:rsidSect="00114DE3">
      <w:headerReference w:type="default" r:id="rId11"/>
      <w:footerReference w:type="default" r:id="rId12"/>
      <w:pgSz w:w="11906" w:h="16838"/>
      <w:pgMar w:top="1418" w:right="1701" w:bottom="1418" w:left="1081" w:header="851" w:footer="992" w:gutter="0"/>
      <w:pgNumType w:start="1"/>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5197" w:rsidRDefault="006D5197" w:rsidP="00114DE3">
      <w:r>
        <w:separator/>
      </w:r>
    </w:p>
  </w:endnote>
  <w:endnote w:type="continuationSeparator" w:id="1">
    <w:p w:rsidR="006D5197" w:rsidRDefault="006D5197" w:rsidP="00114DE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仿宋_GB2312">
    <w:altName w:val="仿宋"/>
    <w:panose1 w:val="02010609030101010101"/>
    <w:charset w:val="86"/>
    <w:family w:val="modern"/>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4DE3" w:rsidRDefault="00694F64">
    <w:pPr>
      <w:pStyle w:val="a8"/>
      <w:jc w:val="center"/>
      <w:rPr>
        <w:rFonts w:cs="Times New Roman"/>
      </w:rPr>
    </w:pPr>
    <w:r>
      <w:rPr>
        <w:b/>
        <w:bCs/>
      </w:rPr>
      <w:fldChar w:fldCharType="begin"/>
    </w:r>
    <w:r w:rsidR="00963A3B">
      <w:rPr>
        <w:b/>
        <w:bCs/>
      </w:rPr>
      <w:instrText>PAGE</w:instrText>
    </w:r>
    <w:r>
      <w:rPr>
        <w:b/>
        <w:bCs/>
      </w:rPr>
      <w:fldChar w:fldCharType="separate"/>
    </w:r>
    <w:r w:rsidR="003436C0">
      <w:rPr>
        <w:b/>
        <w:bCs/>
        <w:noProof/>
      </w:rPr>
      <w:t>2</w:t>
    </w:r>
    <w:r>
      <w:rPr>
        <w:b/>
        <w:bCs/>
      </w:rPr>
      <w:fldChar w:fldCharType="end"/>
    </w:r>
    <w:r w:rsidR="00963A3B">
      <w:rPr>
        <w:lang w:val="zh-CN"/>
      </w:rPr>
      <w:t xml:space="preserve"> / </w:t>
    </w:r>
    <w:r>
      <w:rPr>
        <w:b/>
        <w:bCs/>
      </w:rPr>
      <w:fldChar w:fldCharType="begin"/>
    </w:r>
    <w:r w:rsidR="00963A3B">
      <w:rPr>
        <w:b/>
        <w:bCs/>
      </w:rPr>
      <w:instrText>NUMPAGES</w:instrText>
    </w:r>
    <w:r>
      <w:rPr>
        <w:b/>
        <w:bCs/>
      </w:rPr>
      <w:fldChar w:fldCharType="separate"/>
    </w:r>
    <w:r w:rsidR="003436C0">
      <w:rPr>
        <w:b/>
        <w:bCs/>
        <w:noProof/>
      </w:rPr>
      <w:t>37</w:t>
    </w:r>
    <w:r>
      <w:rPr>
        <w:b/>
        <w:bCs/>
      </w:rPr>
      <w:fldChar w:fldCharType="end"/>
    </w:r>
  </w:p>
  <w:p w:rsidR="00114DE3" w:rsidRDefault="00114DE3">
    <w:pPr>
      <w:pStyle w:val="a8"/>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5197" w:rsidRDefault="006D5197" w:rsidP="00114DE3">
      <w:r>
        <w:separator/>
      </w:r>
    </w:p>
  </w:footnote>
  <w:footnote w:type="continuationSeparator" w:id="1">
    <w:p w:rsidR="006D5197" w:rsidRDefault="006D5197" w:rsidP="00114DE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4DE3" w:rsidRDefault="00963A3B">
    <w:pPr>
      <w:pStyle w:val="a9"/>
      <w:pBdr>
        <w:bottom w:val="none" w:sz="0" w:space="0" w:color="auto"/>
      </w:pBdr>
      <w:jc w:val="both"/>
      <w:rPr>
        <w:rFonts w:cs="Times New Roman"/>
      </w:rPr>
    </w:pPr>
    <w:r>
      <w:rPr>
        <w:noProof/>
      </w:rPr>
      <w:drawing>
        <wp:anchor distT="0" distB="0" distL="114300" distR="114300" simplePos="0" relativeHeight="251661312" behindDoc="1" locked="0" layoutInCell="1" allowOverlap="1">
          <wp:simplePos x="0" y="0"/>
          <wp:positionH relativeFrom="column">
            <wp:posOffset>-1073785</wp:posOffset>
          </wp:positionH>
          <wp:positionV relativeFrom="paragraph">
            <wp:posOffset>-549910</wp:posOffset>
          </wp:positionV>
          <wp:extent cx="7551420" cy="10696575"/>
          <wp:effectExtent l="0" t="0" r="11430" b="9525"/>
          <wp:wrapNone/>
          <wp:docPr id="4" name="图片 7" descr="内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7" descr="内页.jpg"/>
                  <pic:cNvPicPr>
                    <a:picLocks noChangeAspect="1"/>
                  </pic:cNvPicPr>
                </pic:nvPicPr>
                <pic:blipFill>
                  <a:blip r:embed="rId1"/>
                  <a:stretch>
                    <a:fillRect/>
                  </a:stretch>
                </pic:blipFill>
                <pic:spPr>
                  <a:xfrm>
                    <a:off x="0" y="0"/>
                    <a:ext cx="7551420" cy="10696575"/>
                  </a:xfrm>
                  <a:prstGeom prst="rect">
                    <a:avLst/>
                  </a:prstGeom>
                  <a:noFill/>
                  <a:ln>
                    <a:noFill/>
                  </a:ln>
                </pic:spPr>
              </pic:pic>
            </a:graphicData>
          </a:graphic>
        </wp:anchor>
      </w:drawing>
    </w:r>
  </w:p>
  <w:p w:rsidR="00114DE3" w:rsidRDefault="00114DE3">
    <w:pPr>
      <w:pStyle w:val="a9"/>
      <w:pBdr>
        <w:bottom w:val="none" w:sz="0" w:space="0" w:color="auto"/>
      </w:pBdr>
      <w:rPr>
        <w:rFonts w:cs="Times New Roman"/>
      </w:rPr>
    </w:pPr>
  </w:p>
  <w:p w:rsidR="00114DE3" w:rsidRDefault="00114DE3">
    <w:pPr>
      <w:pStyle w:val="a9"/>
      <w:pBdr>
        <w:bottom w:val="none" w:sz="0" w:space="0" w:color="auto"/>
      </w:pBdr>
      <w:rPr>
        <w:rFonts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2C91833"/>
    <w:multiLevelType w:val="singleLevel"/>
    <w:tmpl w:val="E2C91833"/>
    <w:lvl w:ilvl="0">
      <w:start w:val="3"/>
      <w:numFmt w:val="chineseCounting"/>
      <w:suff w:val="nothing"/>
      <w:lvlText w:val="%1、"/>
      <w:lvlJc w:val="left"/>
      <w:rPr>
        <w:rFonts w:hint="eastAsia"/>
      </w:rPr>
    </w:lvl>
  </w:abstractNum>
  <w:abstractNum w:abstractNumId="1">
    <w:nsid w:val="F4158E7E"/>
    <w:multiLevelType w:val="singleLevel"/>
    <w:tmpl w:val="F4158E7E"/>
    <w:lvl w:ilvl="0">
      <w:start w:val="3"/>
      <w:numFmt w:val="decimal"/>
      <w:suff w:val="nothing"/>
      <w:lvlText w:val="%1、"/>
      <w:lvlJc w:val="left"/>
    </w:lvl>
  </w:abstractNum>
  <w:abstractNum w:abstractNumId="2">
    <w:nsid w:val="53E44DFE"/>
    <w:multiLevelType w:val="singleLevel"/>
    <w:tmpl w:val="53E44DFE"/>
    <w:lvl w:ilvl="0">
      <w:start w:val="1"/>
      <w:numFmt w:val="decimal"/>
      <w:suff w:val="nothing"/>
      <w:lvlText w:val="%1、"/>
      <w:lvlJc w:val="left"/>
    </w:lvl>
  </w:abstractNum>
  <w:abstractNum w:abstractNumId="3">
    <w:nsid w:val="5A925894"/>
    <w:multiLevelType w:val="singleLevel"/>
    <w:tmpl w:val="5A925894"/>
    <w:lvl w:ilvl="0">
      <w:start w:val="2"/>
      <w:numFmt w:val="decimal"/>
      <w:suff w:val="nothing"/>
      <w:lvlText w:val="%1、"/>
      <w:lvlJc w:val="left"/>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HorizontalSpacing w:val="105"/>
  <w:drawingGridVerticalSpacing w:val="156"/>
  <w:noPunctuationKerning/>
  <w:characterSpacingControl w:val="compressPunctuation"/>
  <w:noLineBreaksAfter w:lang="zh-CN" w:val="$([{£¥·‘“〈《「『【〔〖〝﹙﹛﹝＄（．［｛￡￥"/>
  <w:noLineBreaksBefore w:lang="zh-CN" w:val="!%),.:;&gt;?]}¢¨°·ˇˉ―‖’”…‰′″›℃∶、。〃〉》」』】〕〗〞︶︺︾﹀﹄﹚﹜﹞！＂％＇），．：；？］｀｜｝～￠"/>
  <w:doNotValidateAgainstSchema/>
  <w:doNotDemarcateInvalidXml/>
  <w:hdrShapeDefaults>
    <o:shapedefaults v:ext="edit" spidmax="12290"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underlineTabInNumList/>
  </w:compat>
  <w:rsids>
    <w:rsidRoot w:val="00D013C8"/>
    <w:rsid w:val="0000164D"/>
    <w:rsid w:val="000023DE"/>
    <w:rsid w:val="00002929"/>
    <w:rsid w:val="00002C03"/>
    <w:rsid w:val="00005671"/>
    <w:rsid w:val="00006A3F"/>
    <w:rsid w:val="0000704F"/>
    <w:rsid w:val="000072C7"/>
    <w:rsid w:val="0000785A"/>
    <w:rsid w:val="0001002D"/>
    <w:rsid w:val="00010390"/>
    <w:rsid w:val="00010683"/>
    <w:rsid w:val="00011A1B"/>
    <w:rsid w:val="00012D4A"/>
    <w:rsid w:val="00012EC2"/>
    <w:rsid w:val="000145BC"/>
    <w:rsid w:val="00014742"/>
    <w:rsid w:val="00014B6A"/>
    <w:rsid w:val="00014D50"/>
    <w:rsid w:val="000150E9"/>
    <w:rsid w:val="00017663"/>
    <w:rsid w:val="000235A8"/>
    <w:rsid w:val="00030460"/>
    <w:rsid w:val="000310B6"/>
    <w:rsid w:val="00031306"/>
    <w:rsid w:val="0003248E"/>
    <w:rsid w:val="00032629"/>
    <w:rsid w:val="0003276C"/>
    <w:rsid w:val="0003297B"/>
    <w:rsid w:val="00033FBD"/>
    <w:rsid w:val="0003445A"/>
    <w:rsid w:val="00034F78"/>
    <w:rsid w:val="00036352"/>
    <w:rsid w:val="00037B9C"/>
    <w:rsid w:val="000410A2"/>
    <w:rsid w:val="00041B6C"/>
    <w:rsid w:val="00041DB8"/>
    <w:rsid w:val="000420B4"/>
    <w:rsid w:val="00042B27"/>
    <w:rsid w:val="00042FFB"/>
    <w:rsid w:val="00043595"/>
    <w:rsid w:val="00043D9B"/>
    <w:rsid w:val="0004411B"/>
    <w:rsid w:val="00044BF8"/>
    <w:rsid w:val="00045414"/>
    <w:rsid w:val="00046255"/>
    <w:rsid w:val="00047438"/>
    <w:rsid w:val="00047807"/>
    <w:rsid w:val="00050BD4"/>
    <w:rsid w:val="000532C5"/>
    <w:rsid w:val="00054E7E"/>
    <w:rsid w:val="00054EED"/>
    <w:rsid w:val="0005569C"/>
    <w:rsid w:val="000556F3"/>
    <w:rsid w:val="00057482"/>
    <w:rsid w:val="0005749A"/>
    <w:rsid w:val="00060FCE"/>
    <w:rsid w:val="000613DF"/>
    <w:rsid w:val="00062564"/>
    <w:rsid w:val="00063006"/>
    <w:rsid w:val="000639E0"/>
    <w:rsid w:val="00066AF7"/>
    <w:rsid w:val="00067072"/>
    <w:rsid w:val="00070B0E"/>
    <w:rsid w:val="0007291A"/>
    <w:rsid w:val="0007291D"/>
    <w:rsid w:val="0007623B"/>
    <w:rsid w:val="00080DC4"/>
    <w:rsid w:val="00081704"/>
    <w:rsid w:val="00082494"/>
    <w:rsid w:val="00082C31"/>
    <w:rsid w:val="0008358B"/>
    <w:rsid w:val="0008392C"/>
    <w:rsid w:val="00083F35"/>
    <w:rsid w:val="00084511"/>
    <w:rsid w:val="000855D6"/>
    <w:rsid w:val="00085917"/>
    <w:rsid w:val="00087161"/>
    <w:rsid w:val="00090CF0"/>
    <w:rsid w:val="00090D4A"/>
    <w:rsid w:val="000918D1"/>
    <w:rsid w:val="00092293"/>
    <w:rsid w:val="00094A4C"/>
    <w:rsid w:val="00096020"/>
    <w:rsid w:val="00096836"/>
    <w:rsid w:val="00096A95"/>
    <w:rsid w:val="00097F69"/>
    <w:rsid w:val="000A231F"/>
    <w:rsid w:val="000A2C7F"/>
    <w:rsid w:val="000A332A"/>
    <w:rsid w:val="000A3424"/>
    <w:rsid w:val="000A456A"/>
    <w:rsid w:val="000A4E2A"/>
    <w:rsid w:val="000B1AA8"/>
    <w:rsid w:val="000B38B5"/>
    <w:rsid w:val="000B4231"/>
    <w:rsid w:val="000B5856"/>
    <w:rsid w:val="000B6672"/>
    <w:rsid w:val="000B7055"/>
    <w:rsid w:val="000B72A8"/>
    <w:rsid w:val="000B7699"/>
    <w:rsid w:val="000B7F4B"/>
    <w:rsid w:val="000C10EA"/>
    <w:rsid w:val="000C1646"/>
    <w:rsid w:val="000C268D"/>
    <w:rsid w:val="000C3548"/>
    <w:rsid w:val="000C3B3F"/>
    <w:rsid w:val="000C3E03"/>
    <w:rsid w:val="000C419D"/>
    <w:rsid w:val="000C7CAB"/>
    <w:rsid w:val="000D0159"/>
    <w:rsid w:val="000D08F1"/>
    <w:rsid w:val="000D13E7"/>
    <w:rsid w:val="000D1522"/>
    <w:rsid w:val="000D1EAE"/>
    <w:rsid w:val="000D250F"/>
    <w:rsid w:val="000D476D"/>
    <w:rsid w:val="000D4F65"/>
    <w:rsid w:val="000D5396"/>
    <w:rsid w:val="000D68C1"/>
    <w:rsid w:val="000D6D53"/>
    <w:rsid w:val="000D7735"/>
    <w:rsid w:val="000E04F3"/>
    <w:rsid w:val="000E19A5"/>
    <w:rsid w:val="000E1A86"/>
    <w:rsid w:val="000E3115"/>
    <w:rsid w:val="000E5B3F"/>
    <w:rsid w:val="000E63DD"/>
    <w:rsid w:val="000E684D"/>
    <w:rsid w:val="000E6FDC"/>
    <w:rsid w:val="000F004C"/>
    <w:rsid w:val="000F1AAE"/>
    <w:rsid w:val="000F1D47"/>
    <w:rsid w:val="000F2134"/>
    <w:rsid w:val="000F2383"/>
    <w:rsid w:val="000F350C"/>
    <w:rsid w:val="000F39E9"/>
    <w:rsid w:val="000F4766"/>
    <w:rsid w:val="000F5073"/>
    <w:rsid w:val="000F6D3C"/>
    <w:rsid w:val="000F77DF"/>
    <w:rsid w:val="001002DC"/>
    <w:rsid w:val="00100CDC"/>
    <w:rsid w:val="00101AAD"/>
    <w:rsid w:val="0010286F"/>
    <w:rsid w:val="00102BD0"/>
    <w:rsid w:val="00103274"/>
    <w:rsid w:val="001033F1"/>
    <w:rsid w:val="00103654"/>
    <w:rsid w:val="00103BC8"/>
    <w:rsid w:val="00104F1E"/>
    <w:rsid w:val="001059FB"/>
    <w:rsid w:val="001065B6"/>
    <w:rsid w:val="0010737C"/>
    <w:rsid w:val="00107905"/>
    <w:rsid w:val="00110161"/>
    <w:rsid w:val="00110AB6"/>
    <w:rsid w:val="001126D4"/>
    <w:rsid w:val="00113534"/>
    <w:rsid w:val="0011357F"/>
    <w:rsid w:val="00114658"/>
    <w:rsid w:val="00114DE3"/>
    <w:rsid w:val="00115129"/>
    <w:rsid w:val="00115C98"/>
    <w:rsid w:val="001175FC"/>
    <w:rsid w:val="0012059B"/>
    <w:rsid w:val="00121020"/>
    <w:rsid w:val="00122098"/>
    <w:rsid w:val="00122983"/>
    <w:rsid w:val="00122E33"/>
    <w:rsid w:val="00124BF3"/>
    <w:rsid w:val="00125046"/>
    <w:rsid w:val="00125E71"/>
    <w:rsid w:val="00126A57"/>
    <w:rsid w:val="00126B61"/>
    <w:rsid w:val="00126EE1"/>
    <w:rsid w:val="00127433"/>
    <w:rsid w:val="00130300"/>
    <w:rsid w:val="00130EEF"/>
    <w:rsid w:val="00131120"/>
    <w:rsid w:val="00135E23"/>
    <w:rsid w:val="001379DC"/>
    <w:rsid w:val="001405D5"/>
    <w:rsid w:val="00140CB9"/>
    <w:rsid w:val="00141AAC"/>
    <w:rsid w:val="00142A3D"/>
    <w:rsid w:val="00143B25"/>
    <w:rsid w:val="00144657"/>
    <w:rsid w:val="00145BEC"/>
    <w:rsid w:val="00146750"/>
    <w:rsid w:val="0014733D"/>
    <w:rsid w:val="0014751E"/>
    <w:rsid w:val="00150242"/>
    <w:rsid w:val="00150FB0"/>
    <w:rsid w:val="0015125D"/>
    <w:rsid w:val="001554BA"/>
    <w:rsid w:val="001556C0"/>
    <w:rsid w:val="00161AB7"/>
    <w:rsid w:val="00164A96"/>
    <w:rsid w:val="00165D9C"/>
    <w:rsid w:val="00165FC3"/>
    <w:rsid w:val="00166319"/>
    <w:rsid w:val="00166B9E"/>
    <w:rsid w:val="00167A49"/>
    <w:rsid w:val="001716CE"/>
    <w:rsid w:val="00171E56"/>
    <w:rsid w:val="001721CD"/>
    <w:rsid w:val="00172511"/>
    <w:rsid w:val="00174241"/>
    <w:rsid w:val="00174588"/>
    <w:rsid w:val="0017642D"/>
    <w:rsid w:val="001802AB"/>
    <w:rsid w:val="0018060F"/>
    <w:rsid w:val="00180CCE"/>
    <w:rsid w:val="00182277"/>
    <w:rsid w:val="00182F87"/>
    <w:rsid w:val="001844DE"/>
    <w:rsid w:val="001846B4"/>
    <w:rsid w:val="001852F4"/>
    <w:rsid w:val="00185C68"/>
    <w:rsid w:val="00185C94"/>
    <w:rsid w:val="00185F90"/>
    <w:rsid w:val="00186B3A"/>
    <w:rsid w:val="001903B4"/>
    <w:rsid w:val="00190682"/>
    <w:rsid w:val="0019346C"/>
    <w:rsid w:val="00193980"/>
    <w:rsid w:val="00196875"/>
    <w:rsid w:val="00197134"/>
    <w:rsid w:val="001A6042"/>
    <w:rsid w:val="001B028D"/>
    <w:rsid w:val="001B138B"/>
    <w:rsid w:val="001B14BE"/>
    <w:rsid w:val="001B1C5D"/>
    <w:rsid w:val="001B1D12"/>
    <w:rsid w:val="001B5168"/>
    <w:rsid w:val="001B59EE"/>
    <w:rsid w:val="001B6F3F"/>
    <w:rsid w:val="001B7D09"/>
    <w:rsid w:val="001C15D8"/>
    <w:rsid w:val="001C20CD"/>
    <w:rsid w:val="001C2862"/>
    <w:rsid w:val="001C5D2A"/>
    <w:rsid w:val="001C5DD3"/>
    <w:rsid w:val="001C747D"/>
    <w:rsid w:val="001C78D9"/>
    <w:rsid w:val="001D0F23"/>
    <w:rsid w:val="001D1728"/>
    <w:rsid w:val="001D3943"/>
    <w:rsid w:val="001D4D1D"/>
    <w:rsid w:val="001D60C6"/>
    <w:rsid w:val="001E028E"/>
    <w:rsid w:val="001E06DC"/>
    <w:rsid w:val="001E1BFC"/>
    <w:rsid w:val="001E1C2E"/>
    <w:rsid w:val="001E2609"/>
    <w:rsid w:val="001E2D0E"/>
    <w:rsid w:val="001E3A10"/>
    <w:rsid w:val="001E512C"/>
    <w:rsid w:val="001E6668"/>
    <w:rsid w:val="001E7F7D"/>
    <w:rsid w:val="001F12AB"/>
    <w:rsid w:val="001F58D4"/>
    <w:rsid w:val="001F61F9"/>
    <w:rsid w:val="001F6F0D"/>
    <w:rsid w:val="001F71C1"/>
    <w:rsid w:val="002006C0"/>
    <w:rsid w:val="00201E3A"/>
    <w:rsid w:val="00201F8A"/>
    <w:rsid w:val="0020242D"/>
    <w:rsid w:val="002038BB"/>
    <w:rsid w:val="00204E9F"/>
    <w:rsid w:val="00206C07"/>
    <w:rsid w:val="002151B0"/>
    <w:rsid w:val="00215BBF"/>
    <w:rsid w:val="00216F82"/>
    <w:rsid w:val="002177E6"/>
    <w:rsid w:val="0022151C"/>
    <w:rsid w:val="00221C2A"/>
    <w:rsid w:val="0022357C"/>
    <w:rsid w:val="00223800"/>
    <w:rsid w:val="00223BE2"/>
    <w:rsid w:val="00225A7B"/>
    <w:rsid w:val="00225EE0"/>
    <w:rsid w:val="00227A47"/>
    <w:rsid w:val="00227E52"/>
    <w:rsid w:val="00234285"/>
    <w:rsid w:val="00234AA3"/>
    <w:rsid w:val="00234E8B"/>
    <w:rsid w:val="00235A5E"/>
    <w:rsid w:val="00235EF1"/>
    <w:rsid w:val="00237572"/>
    <w:rsid w:val="002404AF"/>
    <w:rsid w:val="002421B0"/>
    <w:rsid w:val="002436EB"/>
    <w:rsid w:val="002441BB"/>
    <w:rsid w:val="0024492A"/>
    <w:rsid w:val="00246E47"/>
    <w:rsid w:val="0024750A"/>
    <w:rsid w:val="00250E9E"/>
    <w:rsid w:val="0025303B"/>
    <w:rsid w:val="00253DAC"/>
    <w:rsid w:val="00254DA9"/>
    <w:rsid w:val="002553C5"/>
    <w:rsid w:val="0025713E"/>
    <w:rsid w:val="00257554"/>
    <w:rsid w:val="0025799A"/>
    <w:rsid w:val="00257EB1"/>
    <w:rsid w:val="002601A7"/>
    <w:rsid w:val="002607F2"/>
    <w:rsid w:val="00261082"/>
    <w:rsid w:val="002618E1"/>
    <w:rsid w:val="002621B3"/>
    <w:rsid w:val="00262686"/>
    <w:rsid w:val="00262B33"/>
    <w:rsid w:val="00263BD6"/>
    <w:rsid w:val="00263C9F"/>
    <w:rsid w:val="002643DC"/>
    <w:rsid w:val="00264953"/>
    <w:rsid w:val="002670ED"/>
    <w:rsid w:val="00270F0C"/>
    <w:rsid w:val="00271C00"/>
    <w:rsid w:val="00271D34"/>
    <w:rsid w:val="00272695"/>
    <w:rsid w:val="00273751"/>
    <w:rsid w:val="00273AEE"/>
    <w:rsid w:val="002760C2"/>
    <w:rsid w:val="00277CC1"/>
    <w:rsid w:val="00277D2C"/>
    <w:rsid w:val="00277FA3"/>
    <w:rsid w:val="002814B6"/>
    <w:rsid w:val="002814F0"/>
    <w:rsid w:val="0028353D"/>
    <w:rsid w:val="002835B8"/>
    <w:rsid w:val="0028375E"/>
    <w:rsid w:val="00284079"/>
    <w:rsid w:val="002841C6"/>
    <w:rsid w:val="002843C1"/>
    <w:rsid w:val="00286308"/>
    <w:rsid w:val="0028637B"/>
    <w:rsid w:val="00286EFF"/>
    <w:rsid w:val="00287E96"/>
    <w:rsid w:val="0029150F"/>
    <w:rsid w:val="002916F1"/>
    <w:rsid w:val="00292E3F"/>
    <w:rsid w:val="00293587"/>
    <w:rsid w:val="00294288"/>
    <w:rsid w:val="002944A3"/>
    <w:rsid w:val="0029651F"/>
    <w:rsid w:val="0029679E"/>
    <w:rsid w:val="00296F3C"/>
    <w:rsid w:val="002972A2"/>
    <w:rsid w:val="002A062D"/>
    <w:rsid w:val="002A1A42"/>
    <w:rsid w:val="002A1F0A"/>
    <w:rsid w:val="002A23D9"/>
    <w:rsid w:val="002A24D4"/>
    <w:rsid w:val="002A316B"/>
    <w:rsid w:val="002A4CF5"/>
    <w:rsid w:val="002A4E33"/>
    <w:rsid w:val="002A5501"/>
    <w:rsid w:val="002A5C82"/>
    <w:rsid w:val="002A63E1"/>
    <w:rsid w:val="002A6995"/>
    <w:rsid w:val="002A6B16"/>
    <w:rsid w:val="002B08AD"/>
    <w:rsid w:val="002B0EB6"/>
    <w:rsid w:val="002B2681"/>
    <w:rsid w:val="002B2E78"/>
    <w:rsid w:val="002B4B92"/>
    <w:rsid w:val="002B4C15"/>
    <w:rsid w:val="002C04B7"/>
    <w:rsid w:val="002C1014"/>
    <w:rsid w:val="002C4AA0"/>
    <w:rsid w:val="002C4BD7"/>
    <w:rsid w:val="002C6CA2"/>
    <w:rsid w:val="002C7801"/>
    <w:rsid w:val="002C7D85"/>
    <w:rsid w:val="002D0532"/>
    <w:rsid w:val="002D1CDF"/>
    <w:rsid w:val="002D2F5B"/>
    <w:rsid w:val="002D3F5D"/>
    <w:rsid w:val="002D4903"/>
    <w:rsid w:val="002D4D7F"/>
    <w:rsid w:val="002D67FA"/>
    <w:rsid w:val="002D6C2D"/>
    <w:rsid w:val="002E00B3"/>
    <w:rsid w:val="002E2E08"/>
    <w:rsid w:val="002E3374"/>
    <w:rsid w:val="002E37F4"/>
    <w:rsid w:val="002E42E9"/>
    <w:rsid w:val="002E448A"/>
    <w:rsid w:val="002E50E5"/>
    <w:rsid w:val="002E6E8E"/>
    <w:rsid w:val="002E719A"/>
    <w:rsid w:val="002E7C02"/>
    <w:rsid w:val="002F0164"/>
    <w:rsid w:val="002F0B56"/>
    <w:rsid w:val="00301012"/>
    <w:rsid w:val="0030162D"/>
    <w:rsid w:val="00302630"/>
    <w:rsid w:val="003031DE"/>
    <w:rsid w:val="00303A60"/>
    <w:rsid w:val="00303DCB"/>
    <w:rsid w:val="0030617E"/>
    <w:rsid w:val="00306439"/>
    <w:rsid w:val="00306604"/>
    <w:rsid w:val="00307A43"/>
    <w:rsid w:val="0031156C"/>
    <w:rsid w:val="003121D0"/>
    <w:rsid w:val="00312710"/>
    <w:rsid w:val="003130A5"/>
    <w:rsid w:val="003152F5"/>
    <w:rsid w:val="00315946"/>
    <w:rsid w:val="003174DA"/>
    <w:rsid w:val="00321001"/>
    <w:rsid w:val="003213DC"/>
    <w:rsid w:val="003216AF"/>
    <w:rsid w:val="00322D80"/>
    <w:rsid w:val="0032365E"/>
    <w:rsid w:val="00324420"/>
    <w:rsid w:val="00325DD9"/>
    <w:rsid w:val="003273CA"/>
    <w:rsid w:val="00327763"/>
    <w:rsid w:val="00327786"/>
    <w:rsid w:val="003277BA"/>
    <w:rsid w:val="00330018"/>
    <w:rsid w:val="00332F02"/>
    <w:rsid w:val="00333794"/>
    <w:rsid w:val="00333909"/>
    <w:rsid w:val="0033583F"/>
    <w:rsid w:val="0034016C"/>
    <w:rsid w:val="003415DF"/>
    <w:rsid w:val="003417CB"/>
    <w:rsid w:val="00341D37"/>
    <w:rsid w:val="0034247C"/>
    <w:rsid w:val="0034319B"/>
    <w:rsid w:val="003436C0"/>
    <w:rsid w:val="00343A50"/>
    <w:rsid w:val="003440C6"/>
    <w:rsid w:val="0034629C"/>
    <w:rsid w:val="00346721"/>
    <w:rsid w:val="003468A0"/>
    <w:rsid w:val="003477E7"/>
    <w:rsid w:val="00347AB7"/>
    <w:rsid w:val="00350264"/>
    <w:rsid w:val="003521D9"/>
    <w:rsid w:val="003522CF"/>
    <w:rsid w:val="003530CB"/>
    <w:rsid w:val="00353387"/>
    <w:rsid w:val="00353F81"/>
    <w:rsid w:val="0035481B"/>
    <w:rsid w:val="00355942"/>
    <w:rsid w:val="00355FE1"/>
    <w:rsid w:val="003568E2"/>
    <w:rsid w:val="00357904"/>
    <w:rsid w:val="003606FB"/>
    <w:rsid w:val="00361079"/>
    <w:rsid w:val="00361156"/>
    <w:rsid w:val="00361BB4"/>
    <w:rsid w:val="00364017"/>
    <w:rsid w:val="003646C3"/>
    <w:rsid w:val="00364C76"/>
    <w:rsid w:val="00364CFF"/>
    <w:rsid w:val="00365869"/>
    <w:rsid w:val="00365CE1"/>
    <w:rsid w:val="003701EA"/>
    <w:rsid w:val="003702ED"/>
    <w:rsid w:val="003717BF"/>
    <w:rsid w:val="0037320C"/>
    <w:rsid w:val="003777F9"/>
    <w:rsid w:val="00380612"/>
    <w:rsid w:val="00382B9E"/>
    <w:rsid w:val="00384CB1"/>
    <w:rsid w:val="00385A2E"/>
    <w:rsid w:val="003862C6"/>
    <w:rsid w:val="003862E3"/>
    <w:rsid w:val="00391184"/>
    <w:rsid w:val="00391485"/>
    <w:rsid w:val="00393F72"/>
    <w:rsid w:val="003950E7"/>
    <w:rsid w:val="00396977"/>
    <w:rsid w:val="003A0B5B"/>
    <w:rsid w:val="003A159D"/>
    <w:rsid w:val="003A316B"/>
    <w:rsid w:val="003A4580"/>
    <w:rsid w:val="003A4D39"/>
    <w:rsid w:val="003A641D"/>
    <w:rsid w:val="003A7094"/>
    <w:rsid w:val="003B02D4"/>
    <w:rsid w:val="003B45FC"/>
    <w:rsid w:val="003B68FE"/>
    <w:rsid w:val="003B6C61"/>
    <w:rsid w:val="003C206F"/>
    <w:rsid w:val="003C2C65"/>
    <w:rsid w:val="003C4602"/>
    <w:rsid w:val="003C5BF5"/>
    <w:rsid w:val="003C70E5"/>
    <w:rsid w:val="003C72F5"/>
    <w:rsid w:val="003D23C6"/>
    <w:rsid w:val="003D407E"/>
    <w:rsid w:val="003D53A8"/>
    <w:rsid w:val="003D5DBC"/>
    <w:rsid w:val="003D695D"/>
    <w:rsid w:val="003D758B"/>
    <w:rsid w:val="003E1D18"/>
    <w:rsid w:val="003E22EE"/>
    <w:rsid w:val="003E4889"/>
    <w:rsid w:val="003E69D2"/>
    <w:rsid w:val="003E7707"/>
    <w:rsid w:val="003F0B7F"/>
    <w:rsid w:val="003F1F4A"/>
    <w:rsid w:val="003F2085"/>
    <w:rsid w:val="003F4558"/>
    <w:rsid w:val="003F58E3"/>
    <w:rsid w:val="003F5C6F"/>
    <w:rsid w:val="003F619C"/>
    <w:rsid w:val="003F6D8E"/>
    <w:rsid w:val="003F7C59"/>
    <w:rsid w:val="00400E9F"/>
    <w:rsid w:val="004034A7"/>
    <w:rsid w:val="00404236"/>
    <w:rsid w:val="00404D87"/>
    <w:rsid w:val="00404EF3"/>
    <w:rsid w:val="00404FF8"/>
    <w:rsid w:val="00406C09"/>
    <w:rsid w:val="00410044"/>
    <w:rsid w:val="0041011B"/>
    <w:rsid w:val="00411C73"/>
    <w:rsid w:val="004126C9"/>
    <w:rsid w:val="00413EB7"/>
    <w:rsid w:val="00414230"/>
    <w:rsid w:val="00414BEC"/>
    <w:rsid w:val="004157DF"/>
    <w:rsid w:val="00416956"/>
    <w:rsid w:val="00416BC5"/>
    <w:rsid w:val="004170D8"/>
    <w:rsid w:val="00417F16"/>
    <w:rsid w:val="00420BBE"/>
    <w:rsid w:val="00422538"/>
    <w:rsid w:val="0042465D"/>
    <w:rsid w:val="00425E6D"/>
    <w:rsid w:val="0042613F"/>
    <w:rsid w:val="0042627F"/>
    <w:rsid w:val="0042684C"/>
    <w:rsid w:val="00431287"/>
    <w:rsid w:val="00431B97"/>
    <w:rsid w:val="00435025"/>
    <w:rsid w:val="004352B3"/>
    <w:rsid w:val="00435969"/>
    <w:rsid w:val="0043742D"/>
    <w:rsid w:val="00437E07"/>
    <w:rsid w:val="0044090E"/>
    <w:rsid w:val="004409DC"/>
    <w:rsid w:val="00440D13"/>
    <w:rsid w:val="00441AE9"/>
    <w:rsid w:val="00441F9E"/>
    <w:rsid w:val="004429BB"/>
    <w:rsid w:val="004438E7"/>
    <w:rsid w:val="00443E9E"/>
    <w:rsid w:val="00447E49"/>
    <w:rsid w:val="0045009B"/>
    <w:rsid w:val="00450796"/>
    <w:rsid w:val="00452C8A"/>
    <w:rsid w:val="00453B1C"/>
    <w:rsid w:val="00454F3C"/>
    <w:rsid w:val="00455321"/>
    <w:rsid w:val="00456724"/>
    <w:rsid w:val="00456C1E"/>
    <w:rsid w:val="00460BA4"/>
    <w:rsid w:val="00462C59"/>
    <w:rsid w:val="0046384A"/>
    <w:rsid w:val="00464EEF"/>
    <w:rsid w:val="004662B9"/>
    <w:rsid w:val="0046710F"/>
    <w:rsid w:val="004720A3"/>
    <w:rsid w:val="00473B9A"/>
    <w:rsid w:val="004741B2"/>
    <w:rsid w:val="004743F3"/>
    <w:rsid w:val="00476DD6"/>
    <w:rsid w:val="004773A5"/>
    <w:rsid w:val="0047760B"/>
    <w:rsid w:val="00477A72"/>
    <w:rsid w:val="0048065C"/>
    <w:rsid w:val="004809C3"/>
    <w:rsid w:val="00481314"/>
    <w:rsid w:val="004818BE"/>
    <w:rsid w:val="00484082"/>
    <w:rsid w:val="00484361"/>
    <w:rsid w:val="004843F7"/>
    <w:rsid w:val="00484679"/>
    <w:rsid w:val="00486E13"/>
    <w:rsid w:val="004879FC"/>
    <w:rsid w:val="00490324"/>
    <w:rsid w:val="00491182"/>
    <w:rsid w:val="00491A4E"/>
    <w:rsid w:val="0049461D"/>
    <w:rsid w:val="00494703"/>
    <w:rsid w:val="0049725F"/>
    <w:rsid w:val="00497708"/>
    <w:rsid w:val="004A1AD2"/>
    <w:rsid w:val="004A2427"/>
    <w:rsid w:val="004A2B33"/>
    <w:rsid w:val="004A3751"/>
    <w:rsid w:val="004A3FED"/>
    <w:rsid w:val="004A595A"/>
    <w:rsid w:val="004A70D5"/>
    <w:rsid w:val="004B1844"/>
    <w:rsid w:val="004B1EFC"/>
    <w:rsid w:val="004B2294"/>
    <w:rsid w:val="004B2332"/>
    <w:rsid w:val="004B32E5"/>
    <w:rsid w:val="004B4AA9"/>
    <w:rsid w:val="004C020A"/>
    <w:rsid w:val="004C23CB"/>
    <w:rsid w:val="004C39F6"/>
    <w:rsid w:val="004C4ABB"/>
    <w:rsid w:val="004C4C42"/>
    <w:rsid w:val="004C4E7B"/>
    <w:rsid w:val="004C527D"/>
    <w:rsid w:val="004C5AE4"/>
    <w:rsid w:val="004C5CF2"/>
    <w:rsid w:val="004C5F2C"/>
    <w:rsid w:val="004C6991"/>
    <w:rsid w:val="004D049A"/>
    <w:rsid w:val="004D095D"/>
    <w:rsid w:val="004D10CD"/>
    <w:rsid w:val="004D193A"/>
    <w:rsid w:val="004D1F90"/>
    <w:rsid w:val="004D4995"/>
    <w:rsid w:val="004D5897"/>
    <w:rsid w:val="004E0B28"/>
    <w:rsid w:val="004E1D63"/>
    <w:rsid w:val="004E407E"/>
    <w:rsid w:val="004E46C6"/>
    <w:rsid w:val="004E7D3B"/>
    <w:rsid w:val="004E7F95"/>
    <w:rsid w:val="004F0A3E"/>
    <w:rsid w:val="004F153D"/>
    <w:rsid w:val="004F16FA"/>
    <w:rsid w:val="004F19E8"/>
    <w:rsid w:val="004F1DE4"/>
    <w:rsid w:val="004F23E2"/>
    <w:rsid w:val="004F2A89"/>
    <w:rsid w:val="004F2D4D"/>
    <w:rsid w:val="004F31CC"/>
    <w:rsid w:val="004F3C42"/>
    <w:rsid w:val="004F46B3"/>
    <w:rsid w:val="004F5FEF"/>
    <w:rsid w:val="004F6856"/>
    <w:rsid w:val="00500BAA"/>
    <w:rsid w:val="00502224"/>
    <w:rsid w:val="00502628"/>
    <w:rsid w:val="00506114"/>
    <w:rsid w:val="00506C06"/>
    <w:rsid w:val="00512BEA"/>
    <w:rsid w:val="00513848"/>
    <w:rsid w:val="00514925"/>
    <w:rsid w:val="00514AB6"/>
    <w:rsid w:val="005165DB"/>
    <w:rsid w:val="00516B24"/>
    <w:rsid w:val="00520230"/>
    <w:rsid w:val="00521526"/>
    <w:rsid w:val="0052587F"/>
    <w:rsid w:val="005261AA"/>
    <w:rsid w:val="00526816"/>
    <w:rsid w:val="00527B84"/>
    <w:rsid w:val="0053039A"/>
    <w:rsid w:val="0053046E"/>
    <w:rsid w:val="005321A5"/>
    <w:rsid w:val="00532707"/>
    <w:rsid w:val="00535118"/>
    <w:rsid w:val="00535EB1"/>
    <w:rsid w:val="00537228"/>
    <w:rsid w:val="0054117E"/>
    <w:rsid w:val="00543C8B"/>
    <w:rsid w:val="005441D5"/>
    <w:rsid w:val="0054514E"/>
    <w:rsid w:val="005474BF"/>
    <w:rsid w:val="00547B4F"/>
    <w:rsid w:val="00551088"/>
    <w:rsid w:val="005525C3"/>
    <w:rsid w:val="0055316F"/>
    <w:rsid w:val="005534A2"/>
    <w:rsid w:val="00557F3F"/>
    <w:rsid w:val="0056042D"/>
    <w:rsid w:val="0056124C"/>
    <w:rsid w:val="00561CAA"/>
    <w:rsid w:val="00563AC5"/>
    <w:rsid w:val="005653FF"/>
    <w:rsid w:val="005670F4"/>
    <w:rsid w:val="00570509"/>
    <w:rsid w:val="00570689"/>
    <w:rsid w:val="0057205C"/>
    <w:rsid w:val="00573036"/>
    <w:rsid w:val="00573125"/>
    <w:rsid w:val="00575214"/>
    <w:rsid w:val="00576027"/>
    <w:rsid w:val="005764DE"/>
    <w:rsid w:val="00581E30"/>
    <w:rsid w:val="005820EB"/>
    <w:rsid w:val="0058214C"/>
    <w:rsid w:val="005829E5"/>
    <w:rsid w:val="00583B9F"/>
    <w:rsid w:val="00585014"/>
    <w:rsid w:val="005859F0"/>
    <w:rsid w:val="00585AC7"/>
    <w:rsid w:val="00587747"/>
    <w:rsid w:val="0059119D"/>
    <w:rsid w:val="0059156F"/>
    <w:rsid w:val="00591AEE"/>
    <w:rsid w:val="00593FB7"/>
    <w:rsid w:val="00595101"/>
    <w:rsid w:val="00595EC0"/>
    <w:rsid w:val="00597146"/>
    <w:rsid w:val="005A05B9"/>
    <w:rsid w:val="005A1692"/>
    <w:rsid w:val="005A1CB1"/>
    <w:rsid w:val="005A300A"/>
    <w:rsid w:val="005A34C5"/>
    <w:rsid w:val="005A34E9"/>
    <w:rsid w:val="005B079A"/>
    <w:rsid w:val="005B18EA"/>
    <w:rsid w:val="005B1CD6"/>
    <w:rsid w:val="005B2C61"/>
    <w:rsid w:val="005B4A21"/>
    <w:rsid w:val="005B4B32"/>
    <w:rsid w:val="005B69A1"/>
    <w:rsid w:val="005B7CDA"/>
    <w:rsid w:val="005C0F01"/>
    <w:rsid w:val="005C18CB"/>
    <w:rsid w:val="005C4050"/>
    <w:rsid w:val="005C51E3"/>
    <w:rsid w:val="005C7EAA"/>
    <w:rsid w:val="005D04F4"/>
    <w:rsid w:val="005D1B84"/>
    <w:rsid w:val="005D4422"/>
    <w:rsid w:val="005D4A0A"/>
    <w:rsid w:val="005D64FF"/>
    <w:rsid w:val="005D6CA2"/>
    <w:rsid w:val="005E0CCA"/>
    <w:rsid w:val="005E1AC5"/>
    <w:rsid w:val="005E4262"/>
    <w:rsid w:val="005F0751"/>
    <w:rsid w:val="005F2508"/>
    <w:rsid w:val="005F2DC3"/>
    <w:rsid w:val="005F3CA0"/>
    <w:rsid w:val="005F4155"/>
    <w:rsid w:val="005F52E4"/>
    <w:rsid w:val="005F5891"/>
    <w:rsid w:val="005F5A63"/>
    <w:rsid w:val="005F61E3"/>
    <w:rsid w:val="005F6957"/>
    <w:rsid w:val="005F6A94"/>
    <w:rsid w:val="00604E89"/>
    <w:rsid w:val="00605C3A"/>
    <w:rsid w:val="0060712D"/>
    <w:rsid w:val="0060721F"/>
    <w:rsid w:val="006104D4"/>
    <w:rsid w:val="00610F0E"/>
    <w:rsid w:val="00612392"/>
    <w:rsid w:val="00612CD5"/>
    <w:rsid w:val="006149D9"/>
    <w:rsid w:val="00615670"/>
    <w:rsid w:val="00615C56"/>
    <w:rsid w:val="006160CC"/>
    <w:rsid w:val="0061624D"/>
    <w:rsid w:val="006162B1"/>
    <w:rsid w:val="00616BC1"/>
    <w:rsid w:val="00617D07"/>
    <w:rsid w:val="0062192C"/>
    <w:rsid w:val="00621EA6"/>
    <w:rsid w:val="00626496"/>
    <w:rsid w:val="00627C9F"/>
    <w:rsid w:val="00630058"/>
    <w:rsid w:val="00630DA5"/>
    <w:rsid w:val="00631138"/>
    <w:rsid w:val="00632E68"/>
    <w:rsid w:val="0063342E"/>
    <w:rsid w:val="006344AC"/>
    <w:rsid w:val="0063603D"/>
    <w:rsid w:val="0063690E"/>
    <w:rsid w:val="00637AE0"/>
    <w:rsid w:val="00640076"/>
    <w:rsid w:val="00640F3D"/>
    <w:rsid w:val="00641639"/>
    <w:rsid w:val="006443C4"/>
    <w:rsid w:val="00644751"/>
    <w:rsid w:val="00647953"/>
    <w:rsid w:val="00651CCE"/>
    <w:rsid w:val="006540F9"/>
    <w:rsid w:val="00654976"/>
    <w:rsid w:val="00655832"/>
    <w:rsid w:val="00656A82"/>
    <w:rsid w:val="006577CF"/>
    <w:rsid w:val="00657893"/>
    <w:rsid w:val="00657B7C"/>
    <w:rsid w:val="00657D8D"/>
    <w:rsid w:val="0066239D"/>
    <w:rsid w:val="0066360E"/>
    <w:rsid w:val="00663D56"/>
    <w:rsid w:val="00664926"/>
    <w:rsid w:val="006655CF"/>
    <w:rsid w:val="00666596"/>
    <w:rsid w:val="0067060B"/>
    <w:rsid w:val="00671B4E"/>
    <w:rsid w:val="00672353"/>
    <w:rsid w:val="00672945"/>
    <w:rsid w:val="006747DC"/>
    <w:rsid w:val="00674C98"/>
    <w:rsid w:val="006758C7"/>
    <w:rsid w:val="00675A4E"/>
    <w:rsid w:val="00675FCF"/>
    <w:rsid w:val="0067630D"/>
    <w:rsid w:val="006814AA"/>
    <w:rsid w:val="006819E6"/>
    <w:rsid w:val="00681CCC"/>
    <w:rsid w:val="00681F15"/>
    <w:rsid w:val="00682458"/>
    <w:rsid w:val="0068514D"/>
    <w:rsid w:val="00686B77"/>
    <w:rsid w:val="006874B2"/>
    <w:rsid w:val="00690601"/>
    <w:rsid w:val="00690940"/>
    <w:rsid w:val="00691858"/>
    <w:rsid w:val="00693AC8"/>
    <w:rsid w:val="00694239"/>
    <w:rsid w:val="006944EC"/>
    <w:rsid w:val="00694F64"/>
    <w:rsid w:val="0069644B"/>
    <w:rsid w:val="006A00ED"/>
    <w:rsid w:val="006A01FB"/>
    <w:rsid w:val="006A0418"/>
    <w:rsid w:val="006A1156"/>
    <w:rsid w:val="006A1E96"/>
    <w:rsid w:val="006A21CE"/>
    <w:rsid w:val="006A3ACD"/>
    <w:rsid w:val="006A6A33"/>
    <w:rsid w:val="006A76C0"/>
    <w:rsid w:val="006B1D15"/>
    <w:rsid w:val="006B2E09"/>
    <w:rsid w:val="006B307C"/>
    <w:rsid w:val="006B3D9E"/>
    <w:rsid w:val="006B4BDB"/>
    <w:rsid w:val="006B4F62"/>
    <w:rsid w:val="006B617D"/>
    <w:rsid w:val="006B66FD"/>
    <w:rsid w:val="006B673C"/>
    <w:rsid w:val="006B7DFD"/>
    <w:rsid w:val="006C0172"/>
    <w:rsid w:val="006C02F7"/>
    <w:rsid w:val="006C15FF"/>
    <w:rsid w:val="006C1D58"/>
    <w:rsid w:val="006C20EA"/>
    <w:rsid w:val="006C5103"/>
    <w:rsid w:val="006C5B7E"/>
    <w:rsid w:val="006C6864"/>
    <w:rsid w:val="006D1C04"/>
    <w:rsid w:val="006D20E7"/>
    <w:rsid w:val="006D2388"/>
    <w:rsid w:val="006D2710"/>
    <w:rsid w:val="006D2B68"/>
    <w:rsid w:val="006D31C4"/>
    <w:rsid w:val="006D3AD7"/>
    <w:rsid w:val="006D4AC9"/>
    <w:rsid w:val="006D5197"/>
    <w:rsid w:val="006D55FA"/>
    <w:rsid w:val="006D5E9F"/>
    <w:rsid w:val="006E152B"/>
    <w:rsid w:val="006E2C5C"/>
    <w:rsid w:val="006E2ED0"/>
    <w:rsid w:val="006E2F6E"/>
    <w:rsid w:val="006E39EF"/>
    <w:rsid w:val="006E428D"/>
    <w:rsid w:val="006E52D5"/>
    <w:rsid w:val="006E5B88"/>
    <w:rsid w:val="006E69F2"/>
    <w:rsid w:val="006E7177"/>
    <w:rsid w:val="006E7D36"/>
    <w:rsid w:val="006F1CC3"/>
    <w:rsid w:val="006F2671"/>
    <w:rsid w:val="006F2E00"/>
    <w:rsid w:val="006F2EC1"/>
    <w:rsid w:val="006F5AB8"/>
    <w:rsid w:val="006F77DB"/>
    <w:rsid w:val="007005CF"/>
    <w:rsid w:val="00702106"/>
    <w:rsid w:val="00702A49"/>
    <w:rsid w:val="00705DF9"/>
    <w:rsid w:val="0070634A"/>
    <w:rsid w:val="007101CB"/>
    <w:rsid w:val="007109D6"/>
    <w:rsid w:val="007123CD"/>
    <w:rsid w:val="007123F3"/>
    <w:rsid w:val="00712B04"/>
    <w:rsid w:val="007130C2"/>
    <w:rsid w:val="007132E7"/>
    <w:rsid w:val="007133ED"/>
    <w:rsid w:val="00713BB8"/>
    <w:rsid w:val="00713EE3"/>
    <w:rsid w:val="0071461A"/>
    <w:rsid w:val="00714EE4"/>
    <w:rsid w:val="007155B2"/>
    <w:rsid w:val="00716FFD"/>
    <w:rsid w:val="00720E9B"/>
    <w:rsid w:val="007218DB"/>
    <w:rsid w:val="00726B2F"/>
    <w:rsid w:val="00726EAC"/>
    <w:rsid w:val="00726ED8"/>
    <w:rsid w:val="00727244"/>
    <w:rsid w:val="007276F1"/>
    <w:rsid w:val="00727B88"/>
    <w:rsid w:val="007311D1"/>
    <w:rsid w:val="007329CE"/>
    <w:rsid w:val="00736D01"/>
    <w:rsid w:val="00737385"/>
    <w:rsid w:val="007376CD"/>
    <w:rsid w:val="007376E1"/>
    <w:rsid w:val="00741129"/>
    <w:rsid w:val="007419CA"/>
    <w:rsid w:val="00742169"/>
    <w:rsid w:val="00743092"/>
    <w:rsid w:val="0074389B"/>
    <w:rsid w:val="00743A24"/>
    <w:rsid w:val="00743C79"/>
    <w:rsid w:val="00744241"/>
    <w:rsid w:val="0074454C"/>
    <w:rsid w:val="007445B1"/>
    <w:rsid w:val="0074578F"/>
    <w:rsid w:val="0074740D"/>
    <w:rsid w:val="007479D1"/>
    <w:rsid w:val="0075063E"/>
    <w:rsid w:val="007515C2"/>
    <w:rsid w:val="00751A99"/>
    <w:rsid w:val="00753404"/>
    <w:rsid w:val="00753AE5"/>
    <w:rsid w:val="00754726"/>
    <w:rsid w:val="007556C7"/>
    <w:rsid w:val="00756501"/>
    <w:rsid w:val="00756A73"/>
    <w:rsid w:val="00760DCB"/>
    <w:rsid w:val="00760E7B"/>
    <w:rsid w:val="007610DB"/>
    <w:rsid w:val="00761194"/>
    <w:rsid w:val="0077176F"/>
    <w:rsid w:val="00771D94"/>
    <w:rsid w:val="00772518"/>
    <w:rsid w:val="00772750"/>
    <w:rsid w:val="007733E7"/>
    <w:rsid w:val="00773679"/>
    <w:rsid w:val="00774C7C"/>
    <w:rsid w:val="00775501"/>
    <w:rsid w:val="00775826"/>
    <w:rsid w:val="007761E7"/>
    <w:rsid w:val="00776872"/>
    <w:rsid w:val="007771AA"/>
    <w:rsid w:val="00783018"/>
    <w:rsid w:val="00784B7A"/>
    <w:rsid w:val="007858F0"/>
    <w:rsid w:val="007871F4"/>
    <w:rsid w:val="0079048B"/>
    <w:rsid w:val="00790D42"/>
    <w:rsid w:val="007916E8"/>
    <w:rsid w:val="00795498"/>
    <w:rsid w:val="00796029"/>
    <w:rsid w:val="00796101"/>
    <w:rsid w:val="00797A74"/>
    <w:rsid w:val="007A2D91"/>
    <w:rsid w:val="007A30D6"/>
    <w:rsid w:val="007A392A"/>
    <w:rsid w:val="007A435A"/>
    <w:rsid w:val="007A6FD2"/>
    <w:rsid w:val="007A748D"/>
    <w:rsid w:val="007A7D80"/>
    <w:rsid w:val="007B280B"/>
    <w:rsid w:val="007B4348"/>
    <w:rsid w:val="007C0A0A"/>
    <w:rsid w:val="007C19C2"/>
    <w:rsid w:val="007C1A4C"/>
    <w:rsid w:val="007C2667"/>
    <w:rsid w:val="007C279C"/>
    <w:rsid w:val="007C2890"/>
    <w:rsid w:val="007C32F6"/>
    <w:rsid w:val="007C3B5D"/>
    <w:rsid w:val="007C3D4B"/>
    <w:rsid w:val="007C4501"/>
    <w:rsid w:val="007C501A"/>
    <w:rsid w:val="007C57E0"/>
    <w:rsid w:val="007C63D5"/>
    <w:rsid w:val="007C6E52"/>
    <w:rsid w:val="007C6FC6"/>
    <w:rsid w:val="007C70CD"/>
    <w:rsid w:val="007C7BBA"/>
    <w:rsid w:val="007C7ECA"/>
    <w:rsid w:val="007D0EC7"/>
    <w:rsid w:val="007D0F4A"/>
    <w:rsid w:val="007D2BDC"/>
    <w:rsid w:val="007D2E8B"/>
    <w:rsid w:val="007D3FC2"/>
    <w:rsid w:val="007D4F0A"/>
    <w:rsid w:val="007D6813"/>
    <w:rsid w:val="007D6CD5"/>
    <w:rsid w:val="007E1E41"/>
    <w:rsid w:val="007E35E5"/>
    <w:rsid w:val="007E5826"/>
    <w:rsid w:val="007E58EA"/>
    <w:rsid w:val="007E6D59"/>
    <w:rsid w:val="007E723F"/>
    <w:rsid w:val="007E7924"/>
    <w:rsid w:val="007F1CCD"/>
    <w:rsid w:val="007F1EEB"/>
    <w:rsid w:val="007F2F2E"/>
    <w:rsid w:val="007F3BA3"/>
    <w:rsid w:val="007F557D"/>
    <w:rsid w:val="007F5EC7"/>
    <w:rsid w:val="008008BA"/>
    <w:rsid w:val="008015AF"/>
    <w:rsid w:val="00802FD5"/>
    <w:rsid w:val="00803AA2"/>
    <w:rsid w:val="008040FB"/>
    <w:rsid w:val="008045C7"/>
    <w:rsid w:val="00804B5E"/>
    <w:rsid w:val="00804D77"/>
    <w:rsid w:val="00804F20"/>
    <w:rsid w:val="00806018"/>
    <w:rsid w:val="00806678"/>
    <w:rsid w:val="00810F81"/>
    <w:rsid w:val="00811649"/>
    <w:rsid w:val="00811CCD"/>
    <w:rsid w:val="008126C5"/>
    <w:rsid w:val="0081434D"/>
    <w:rsid w:val="00814A74"/>
    <w:rsid w:val="00814F43"/>
    <w:rsid w:val="00816EC1"/>
    <w:rsid w:val="00817751"/>
    <w:rsid w:val="00821B01"/>
    <w:rsid w:val="00821C39"/>
    <w:rsid w:val="00823E81"/>
    <w:rsid w:val="008253C5"/>
    <w:rsid w:val="008300A7"/>
    <w:rsid w:val="0083114D"/>
    <w:rsid w:val="00831BFA"/>
    <w:rsid w:val="0083232B"/>
    <w:rsid w:val="00832939"/>
    <w:rsid w:val="00833501"/>
    <w:rsid w:val="00833831"/>
    <w:rsid w:val="008346B9"/>
    <w:rsid w:val="00836E0F"/>
    <w:rsid w:val="0083765B"/>
    <w:rsid w:val="00837B65"/>
    <w:rsid w:val="00840D5B"/>
    <w:rsid w:val="00841FF3"/>
    <w:rsid w:val="0084220F"/>
    <w:rsid w:val="00843318"/>
    <w:rsid w:val="00843476"/>
    <w:rsid w:val="008446D6"/>
    <w:rsid w:val="00844E69"/>
    <w:rsid w:val="0084540B"/>
    <w:rsid w:val="00846387"/>
    <w:rsid w:val="00847DA2"/>
    <w:rsid w:val="00850037"/>
    <w:rsid w:val="00850C77"/>
    <w:rsid w:val="00851423"/>
    <w:rsid w:val="0085394D"/>
    <w:rsid w:val="0085407C"/>
    <w:rsid w:val="00854C5D"/>
    <w:rsid w:val="0085622B"/>
    <w:rsid w:val="0085771B"/>
    <w:rsid w:val="00860E3A"/>
    <w:rsid w:val="00861CCD"/>
    <w:rsid w:val="00865DA4"/>
    <w:rsid w:val="00872EA3"/>
    <w:rsid w:val="008732ED"/>
    <w:rsid w:val="0087404C"/>
    <w:rsid w:val="00875534"/>
    <w:rsid w:val="00876F5C"/>
    <w:rsid w:val="00877560"/>
    <w:rsid w:val="00877C1E"/>
    <w:rsid w:val="00882193"/>
    <w:rsid w:val="008823AC"/>
    <w:rsid w:val="00883427"/>
    <w:rsid w:val="00884015"/>
    <w:rsid w:val="008843F8"/>
    <w:rsid w:val="008845E9"/>
    <w:rsid w:val="00886D6C"/>
    <w:rsid w:val="00887BE6"/>
    <w:rsid w:val="008901F7"/>
    <w:rsid w:val="00891FBF"/>
    <w:rsid w:val="00892CD8"/>
    <w:rsid w:val="00893621"/>
    <w:rsid w:val="0089690C"/>
    <w:rsid w:val="008976F9"/>
    <w:rsid w:val="008A0087"/>
    <w:rsid w:val="008A0D60"/>
    <w:rsid w:val="008A1638"/>
    <w:rsid w:val="008A1AC2"/>
    <w:rsid w:val="008A21EE"/>
    <w:rsid w:val="008A350A"/>
    <w:rsid w:val="008A49E1"/>
    <w:rsid w:val="008A652C"/>
    <w:rsid w:val="008B2404"/>
    <w:rsid w:val="008B346D"/>
    <w:rsid w:val="008B3C8E"/>
    <w:rsid w:val="008B42AC"/>
    <w:rsid w:val="008B507B"/>
    <w:rsid w:val="008B58D3"/>
    <w:rsid w:val="008B6E40"/>
    <w:rsid w:val="008B770B"/>
    <w:rsid w:val="008B7927"/>
    <w:rsid w:val="008C240D"/>
    <w:rsid w:val="008C48BF"/>
    <w:rsid w:val="008C54A7"/>
    <w:rsid w:val="008C5895"/>
    <w:rsid w:val="008C70D4"/>
    <w:rsid w:val="008C716A"/>
    <w:rsid w:val="008C7CAA"/>
    <w:rsid w:val="008C7F14"/>
    <w:rsid w:val="008D0411"/>
    <w:rsid w:val="008D163B"/>
    <w:rsid w:val="008D2584"/>
    <w:rsid w:val="008D301B"/>
    <w:rsid w:val="008D4896"/>
    <w:rsid w:val="008D49AB"/>
    <w:rsid w:val="008D5150"/>
    <w:rsid w:val="008D6103"/>
    <w:rsid w:val="008D6F81"/>
    <w:rsid w:val="008E1272"/>
    <w:rsid w:val="008E3581"/>
    <w:rsid w:val="008E4011"/>
    <w:rsid w:val="008E4C83"/>
    <w:rsid w:val="008F00F2"/>
    <w:rsid w:val="008F0CE5"/>
    <w:rsid w:val="008F132F"/>
    <w:rsid w:val="008F2A79"/>
    <w:rsid w:val="008F3930"/>
    <w:rsid w:val="008F3970"/>
    <w:rsid w:val="008F3ED7"/>
    <w:rsid w:val="008F457D"/>
    <w:rsid w:val="008F6F34"/>
    <w:rsid w:val="0090154F"/>
    <w:rsid w:val="00901CEE"/>
    <w:rsid w:val="00901FD6"/>
    <w:rsid w:val="009025E3"/>
    <w:rsid w:val="00903973"/>
    <w:rsid w:val="00903FFB"/>
    <w:rsid w:val="0090506B"/>
    <w:rsid w:val="00905AB4"/>
    <w:rsid w:val="0090606B"/>
    <w:rsid w:val="0090738D"/>
    <w:rsid w:val="00910C0F"/>
    <w:rsid w:val="0091265F"/>
    <w:rsid w:val="009129B2"/>
    <w:rsid w:val="00912C4A"/>
    <w:rsid w:val="00913B40"/>
    <w:rsid w:val="009166B7"/>
    <w:rsid w:val="00916A85"/>
    <w:rsid w:val="00916F7E"/>
    <w:rsid w:val="0091750C"/>
    <w:rsid w:val="00917B43"/>
    <w:rsid w:val="00917D1A"/>
    <w:rsid w:val="009215B5"/>
    <w:rsid w:val="00922747"/>
    <w:rsid w:val="00922A53"/>
    <w:rsid w:val="00922FD5"/>
    <w:rsid w:val="00927114"/>
    <w:rsid w:val="0092753E"/>
    <w:rsid w:val="00932EA5"/>
    <w:rsid w:val="00932FDD"/>
    <w:rsid w:val="00934068"/>
    <w:rsid w:val="00942147"/>
    <w:rsid w:val="00942A8D"/>
    <w:rsid w:val="00944950"/>
    <w:rsid w:val="00944A3B"/>
    <w:rsid w:val="00950842"/>
    <w:rsid w:val="00950F72"/>
    <w:rsid w:val="0095209A"/>
    <w:rsid w:val="00953007"/>
    <w:rsid w:val="00953735"/>
    <w:rsid w:val="009552E8"/>
    <w:rsid w:val="00955702"/>
    <w:rsid w:val="00955E8B"/>
    <w:rsid w:val="00957ABA"/>
    <w:rsid w:val="00957D21"/>
    <w:rsid w:val="00957F63"/>
    <w:rsid w:val="0096005A"/>
    <w:rsid w:val="009623EB"/>
    <w:rsid w:val="009627D8"/>
    <w:rsid w:val="00963A3B"/>
    <w:rsid w:val="00964218"/>
    <w:rsid w:val="009661F0"/>
    <w:rsid w:val="00967566"/>
    <w:rsid w:val="00967891"/>
    <w:rsid w:val="009730B8"/>
    <w:rsid w:val="00973870"/>
    <w:rsid w:val="00975962"/>
    <w:rsid w:val="00975F78"/>
    <w:rsid w:val="00976601"/>
    <w:rsid w:val="0097690A"/>
    <w:rsid w:val="00976B58"/>
    <w:rsid w:val="009778B1"/>
    <w:rsid w:val="009812D7"/>
    <w:rsid w:val="00985AF4"/>
    <w:rsid w:val="0098652A"/>
    <w:rsid w:val="009903AC"/>
    <w:rsid w:val="009915B9"/>
    <w:rsid w:val="00991F20"/>
    <w:rsid w:val="00993180"/>
    <w:rsid w:val="009939DB"/>
    <w:rsid w:val="00993D68"/>
    <w:rsid w:val="00994A1B"/>
    <w:rsid w:val="00995DCC"/>
    <w:rsid w:val="009972C8"/>
    <w:rsid w:val="009A01F9"/>
    <w:rsid w:val="009A3CCF"/>
    <w:rsid w:val="009A4ADC"/>
    <w:rsid w:val="009A50A7"/>
    <w:rsid w:val="009A5559"/>
    <w:rsid w:val="009B0625"/>
    <w:rsid w:val="009B0640"/>
    <w:rsid w:val="009B0CC4"/>
    <w:rsid w:val="009B0F7C"/>
    <w:rsid w:val="009B105F"/>
    <w:rsid w:val="009B10CF"/>
    <w:rsid w:val="009B1742"/>
    <w:rsid w:val="009B1DA0"/>
    <w:rsid w:val="009B41A2"/>
    <w:rsid w:val="009B496D"/>
    <w:rsid w:val="009B66A4"/>
    <w:rsid w:val="009B74DD"/>
    <w:rsid w:val="009B7652"/>
    <w:rsid w:val="009C10DF"/>
    <w:rsid w:val="009C1AFA"/>
    <w:rsid w:val="009C2915"/>
    <w:rsid w:val="009C31C6"/>
    <w:rsid w:val="009C4097"/>
    <w:rsid w:val="009C54C1"/>
    <w:rsid w:val="009C5857"/>
    <w:rsid w:val="009C5C05"/>
    <w:rsid w:val="009C62A7"/>
    <w:rsid w:val="009D0434"/>
    <w:rsid w:val="009D1786"/>
    <w:rsid w:val="009D2758"/>
    <w:rsid w:val="009D2B25"/>
    <w:rsid w:val="009D37F7"/>
    <w:rsid w:val="009D6530"/>
    <w:rsid w:val="009E0706"/>
    <w:rsid w:val="009E16FE"/>
    <w:rsid w:val="009E45B4"/>
    <w:rsid w:val="009E45F5"/>
    <w:rsid w:val="009E51EF"/>
    <w:rsid w:val="009E59AC"/>
    <w:rsid w:val="009E7308"/>
    <w:rsid w:val="009E74F7"/>
    <w:rsid w:val="009E76EE"/>
    <w:rsid w:val="009F0D7D"/>
    <w:rsid w:val="009F141C"/>
    <w:rsid w:val="009F1917"/>
    <w:rsid w:val="009F1AF9"/>
    <w:rsid w:val="009F4AD1"/>
    <w:rsid w:val="009F4CEC"/>
    <w:rsid w:val="009F4D8A"/>
    <w:rsid w:val="009F5095"/>
    <w:rsid w:val="009F5E6F"/>
    <w:rsid w:val="009F7541"/>
    <w:rsid w:val="009F7E88"/>
    <w:rsid w:val="00A01E2B"/>
    <w:rsid w:val="00A024BE"/>
    <w:rsid w:val="00A030D6"/>
    <w:rsid w:val="00A03943"/>
    <w:rsid w:val="00A04FDA"/>
    <w:rsid w:val="00A05175"/>
    <w:rsid w:val="00A05B98"/>
    <w:rsid w:val="00A0658F"/>
    <w:rsid w:val="00A06FD2"/>
    <w:rsid w:val="00A0706B"/>
    <w:rsid w:val="00A07A72"/>
    <w:rsid w:val="00A10077"/>
    <w:rsid w:val="00A1311C"/>
    <w:rsid w:val="00A13359"/>
    <w:rsid w:val="00A135CD"/>
    <w:rsid w:val="00A13F55"/>
    <w:rsid w:val="00A14925"/>
    <w:rsid w:val="00A15ABD"/>
    <w:rsid w:val="00A21C07"/>
    <w:rsid w:val="00A21CEF"/>
    <w:rsid w:val="00A24702"/>
    <w:rsid w:val="00A24D4E"/>
    <w:rsid w:val="00A25CBE"/>
    <w:rsid w:val="00A25FB1"/>
    <w:rsid w:val="00A26150"/>
    <w:rsid w:val="00A27175"/>
    <w:rsid w:val="00A31F3B"/>
    <w:rsid w:val="00A337F7"/>
    <w:rsid w:val="00A33DCC"/>
    <w:rsid w:val="00A34074"/>
    <w:rsid w:val="00A35129"/>
    <w:rsid w:val="00A4058E"/>
    <w:rsid w:val="00A405C2"/>
    <w:rsid w:val="00A41126"/>
    <w:rsid w:val="00A415F3"/>
    <w:rsid w:val="00A42C1D"/>
    <w:rsid w:val="00A43ED1"/>
    <w:rsid w:val="00A43EE6"/>
    <w:rsid w:val="00A44409"/>
    <w:rsid w:val="00A47B61"/>
    <w:rsid w:val="00A513C5"/>
    <w:rsid w:val="00A5207B"/>
    <w:rsid w:val="00A5211A"/>
    <w:rsid w:val="00A52B34"/>
    <w:rsid w:val="00A52FC8"/>
    <w:rsid w:val="00A5346E"/>
    <w:rsid w:val="00A53C16"/>
    <w:rsid w:val="00A54248"/>
    <w:rsid w:val="00A54E91"/>
    <w:rsid w:val="00A562EC"/>
    <w:rsid w:val="00A57C22"/>
    <w:rsid w:val="00A60442"/>
    <w:rsid w:val="00A62E2E"/>
    <w:rsid w:val="00A63389"/>
    <w:rsid w:val="00A63962"/>
    <w:rsid w:val="00A63E61"/>
    <w:rsid w:val="00A6518B"/>
    <w:rsid w:val="00A65902"/>
    <w:rsid w:val="00A65F78"/>
    <w:rsid w:val="00A67273"/>
    <w:rsid w:val="00A70569"/>
    <w:rsid w:val="00A7061F"/>
    <w:rsid w:val="00A70C5F"/>
    <w:rsid w:val="00A724A2"/>
    <w:rsid w:val="00A73B39"/>
    <w:rsid w:val="00A742C7"/>
    <w:rsid w:val="00A74822"/>
    <w:rsid w:val="00A74E55"/>
    <w:rsid w:val="00A75954"/>
    <w:rsid w:val="00A77306"/>
    <w:rsid w:val="00A80FA6"/>
    <w:rsid w:val="00A82A8A"/>
    <w:rsid w:val="00A835FA"/>
    <w:rsid w:val="00A83D0E"/>
    <w:rsid w:val="00A8464B"/>
    <w:rsid w:val="00A85B66"/>
    <w:rsid w:val="00A86F45"/>
    <w:rsid w:val="00A9211A"/>
    <w:rsid w:val="00A9326D"/>
    <w:rsid w:val="00A953B0"/>
    <w:rsid w:val="00A957FD"/>
    <w:rsid w:val="00A95C6F"/>
    <w:rsid w:val="00A97684"/>
    <w:rsid w:val="00AA000E"/>
    <w:rsid w:val="00AA0853"/>
    <w:rsid w:val="00AA1950"/>
    <w:rsid w:val="00AA264B"/>
    <w:rsid w:val="00AA40EC"/>
    <w:rsid w:val="00AA623A"/>
    <w:rsid w:val="00AB2229"/>
    <w:rsid w:val="00AB3166"/>
    <w:rsid w:val="00AB3649"/>
    <w:rsid w:val="00AB4BF5"/>
    <w:rsid w:val="00AB5F5A"/>
    <w:rsid w:val="00AB77D4"/>
    <w:rsid w:val="00AC028F"/>
    <w:rsid w:val="00AC0BBE"/>
    <w:rsid w:val="00AC2702"/>
    <w:rsid w:val="00AC2964"/>
    <w:rsid w:val="00AC4518"/>
    <w:rsid w:val="00AC5505"/>
    <w:rsid w:val="00AC6830"/>
    <w:rsid w:val="00AC795B"/>
    <w:rsid w:val="00AC7EF2"/>
    <w:rsid w:val="00AD062B"/>
    <w:rsid w:val="00AD7637"/>
    <w:rsid w:val="00AD7DFF"/>
    <w:rsid w:val="00AE1C8B"/>
    <w:rsid w:val="00AE2118"/>
    <w:rsid w:val="00AE37C4"/>
    <w:rsid w:val="00AE6E69"/>
    <w:rsid w:val="00AE79D4"/>
    <w:rsid w:val="00AE7D82"/>
    <w:rsid w:val="00AF16BD"/>
    <w:rsid w:val="00AF24DA"/>
    <w:rsid w:val="00AF2DDB"/>
    <w:rsid w:val="00AF58A8"/>
    <w:rsid w:val="00AF59E0"/>
    <w:rsid w:val="00AF6624"/>
    <w:rsid w:val="00AF717A"/>
    <w:rsid w:val="00B004C4"/>
    <w:rsid w:val="00B00B16"/>
    <w:rsid w:val="00B01324"/>
    <w:rsid w:val="00B03EA0"/>
    <w:rsid w:val="00B050A6"/>
    <w:rsid w:val="00B06A33"/>
    <w:rsid w:val="00B103F3"/>
    <w:rsid w:val="00B11AF3"/>
    <w:rsid w:val="00B12C9E"/>
    <w:rsid w:val="00B12EDA"/>
    <w:rsid w:val="00B130A7"/>
    <w:rsid w:val="00B13493"/>
    <w:rsid w:val="00B17945"/>
    <w:rsid w:val="00B17E32"/>
    <w:rsid w:val="00B20774"/>
    <w:rsid w:val="00B20957"/>
    <w:rsid w:val="00B231AE"/>
    <w:rsid w:val="00B24E78"/>
    <w:rsid w:val="00B25E17"/>
    <w:rsid w:val="00B25FF4"/>
    <w:rsid w:val="00B26E44"/>
    <w:rsid w:val="00B27903"/>
    <w:rsid w:val="00B30154"/>
    <w:rsid w:val="00B332C2"/>
    <w:rsid w:val="00B33AE7"/>
    <w:rsid w:val="00B34277"/>
    <w:rsid w:val="00B342CF"/>
    <w:rsid w:val="00B376DB"/>
    <w:rsid w:val="00B37CFB"/>
    <w:rsid w:val="00B42EE8"/>
    <w:rsid w:val="00B44247"/>
    <w:rsid w:val="00B450FD"/>
    <w:rsid w:val="00B459CC"/>
    <w:rsid w:val="00B45F8D"/>
    <w:rsid w:val="00B46EDF"/>
    <w:rsid w:val="00B477AF"/>
    <w:rsid w:val="00B51EA0"/>
    <w:rsid w:val="00B51F09"/>
    <w:rsid w:val="00B5276B"/>
    <w:rsid w:val="00B53D48"/>
    <w:rsid w:val="00B5417E"/>
    <w:rsid w:val="00B55BE0"/>
    <w:rsid w:val="00B55F79"/>
    <w:rsid w:val="00B60167"/>
    <w:rsid w:val="00B60AD1"/>
    <w:rsid w:val="00B61D67"/>
    <w:rsid w:val="00B62B27"/>
    <w:rsid w:val="00B63577"/>
    <w:rsid w:val="00B65A7B"/>
    <w:rsid w:val="00B65F51"/>
    <w:rsid w:val="00B67838"/>
    <w:rsid w:val="00B67B48"/>
    <w:rsid w:val="00B740D6"/>
    <w:rsid w:val="00B74AE1"/>
    <w:rsid w:val="00B74CAC"/>
    <w:rsid w:val="00B76BCE"/>
    <w:rsid w:val="00B76C00"/>
    <w:rsid w:val="00B80E93"/>
    <w:rsid w:val="00B813CA"/>
    <w:rsid w:val="00B81DCA"/>
    <w:rsid w:val="00B82555"/>
    <w:rsid w:val="00B82C31"/>
    <w:rsid w:val="00B82E30"/>
    <w:rsid w:val="00B85347"/>
    <w:rsid w:val="00B873C9"/>
    <w:rsid w:val="00B90235"/>
    <w:rsid w:val="00B903E1"/>
    <w:rsid w:val="00B93843"/>
    <w:rsid w:val="00B94601"/>
    <w:rsid w:val="00B94A10"/>
    <w:rsid w:val="00B95561"/>
    <w:rsid w:val="00B9588A"/>
    <w:rsid w:val="00B9591C"/>
    <w:rsid w:val="00B95CB5"/>
    <w:rsid w:val="00B96A3E"/>
    <w:rsid w:val="00B9779A"/>
    <w:rsid w:val="00BA0B33"/>
    <w:rsid w:val="00BA0D69"/>
    <w:rsid w:val="00BA11F2"/>
    <w:rsid w:val="00BA1BFB"/>
    <w:rsid w:val="00BA1D3C"/>
    <w:rsid w:val="00BA2D1E"/>
    <w:rsid w:val="00BA3AC6"/>
    <w:rsid w:val="00BA5385"/>
    <w:rsid w:val="00BA5DC2"/>
    <w:rsid w:val="00BA6AD4"/>
    <w:rsid w:val="00BA7BA1"/>
    <w:rsid w:val="00BB15FF"/>
    <w:rsid w:val="00BB1735"/>
    <w:rsid w:val="00BB1C2D"/>
    <w:rsid w:val="00BB4AEC"/>
    <w:rsid w:val="00BB6FFD"/>
    <w:rsid w:val="00BB7F17"/>
    <w:rsid w:val="00BC023B"/>
    <w:rsid w:val="00BC10F9"/>
    <w:rsid w:val="00BC25E5"/>
    <w:rsid w:val="00BC29C9"/>
    <w:rsid w:val="00BC3398"/>
    <w:rsid w:val="00BC36EC"/>
    <w:rsid w:val="00BC572A"/>
    <w:rsid w:val="00BC6013"/>
    <w:rsid w:val="00BC7E55"/>
    <w:rsid w:val="00BD707E"/>
    <w:rsid w:val="00BE0DCD"/>
    <w:rsid w:val="00BE1DB9"/>
    <w:rsid w:val="00BE3CBC"/>
    <w:rsid w:val="00BE4CC4"/>
    <w:rsid w:val="00BF0988"/>
    <w:rsid w:val="00BF0A36"/>
    <w:rsid w:val="00BF0C4C"/>
    <w:rsid w:val="00BF1E6C"/>
    <w:rsid w:val="00BF1F25"/>
    <w:rsid w:val="00BF265E"/>
    <w:rsid w:val="00BF5311"/>
    <w:rsid w:val="00BF71DD"/>
    <w:rsid w:val="00BF75C2"/>
    <w:rsid w:val="00C00895"/>
    <w:rsid w:val="00C01448"/>
    <w:rsid w:val="00C024F2"/>
    <w:rsid w:val="00C02B6B"/>
    <w:rsid w:val="00C03251"/>
    <w:rsid w:val="00C07892"/>
    <w:rsid w:val="00C104EA"/>
    <w:rsid w:val="00C10A64"/>
    <w:rsid w:val="00C116A8"/>
    <w:rsid w:val="00C13E02"/>
    <w:rsid w:val="00C16628"/>
    <w:rsid w:val="00C17260"/>
    <w:rsid w:val="00C20157"/>
    <w:rsid w:val="00C21A5A"/>
    <w:rsid w:val="00C21C22"/>
    <w:rsid w:val="00C239CF"/>
    <w:rsid w:val="00C24EEE"/>
    <w:rsid w:val="00C260CE"/>
    <w:rsid w:val="00C2620F"/>
    <w:rsid w:val="00C3065F"/>
    <w:rsid w:val="00C31766"/>
    <w:rsid w:val="00C3299F"/>
    <w:rsid w:val="00C33776"/>
    <w:rsid w:val="00C349F7"/>
    <w:rsid w:val="00C3543A"/>
    <w:rsid w:val="00C3567F"/>
    <w:rsid w:val="00C35DF0"/>
    <w:rsid w:val="00C36FBC"/>
    <w:rsid w:val="00C379E9"/>
    <w:rsid w:val="00C4050A"/>
    <w:rsid w:val="00C434E3"/>
    <w:rsid w:val="00C44778"/>
    <w:rsid w:val="00C44885"/>
    <w:rsid w:val="00C44984"/>
    <w:rsid w:val="00C5270F"/>
    <w:rsid w:val="00C527B1"/>
    <w:rsid w:val="00C5299A"/>
    <w:rsid w:val="00C5354C"/>
    <w:rsid w:val="00C537F0"/>
    <w:rsid w:val="00C53ED0"/>
    <w:rsid w:val="00C544EC"/>
    <w:rsid w:val="00C549BB"/>
    <w:rsid w:val="00C566F8"/>
    <w:rsid w:val="00C614D8"/>
    <w:rsid w:val="00C6248A"/>
    <w:rsid w:val="00C63E1C"/>
    <w:rsid w:val="00C65508"/>
    <w:rsid w:val="00C674B0"/>
    <w:rsid w:val="00C70183"/>
    <w:rsid w:val="00C713D5"/>
    <w:rsid w:val="00C71802"/>
    <w:rsid w:val="00C726E8"/>
    <w:rsid w:val="00C72ABB"/>
    <w:rsid w:val="00C7363D"/>
    <w:rsid w:val="00C75309"/>
    <w:rsid w:val="00C75C2A"/>
    <w:rsid w:val="00C7606A"/>
    <w:rsid w:val="00C764CD"/>
    <w:rsid w:val="00C77A62"/>
    <w:rsid w:val="00C81949"/>
    <w:rsid w:val="00C84B82"/>
    <w:rsid w:val="00C85528"/>
    <w:rsid w:val="00C85F08"/>
    <w:rsid w:val="00C872CF"/>
    <w:rsid w:val="00C901A5"/>
    <w:rsid w:val="00C90B30"/>
    <w:rsid w:val="00C9181D"/>
    <w:rsid w:val="00C91C4E"/>
    <w:rsid w:val="00C924D7"/>
    <w:rsid w:val="00C926B2"/>
    <w:rsid w:val="00C930F1"/>
    <w:rsid w:val="00C93294"/>
    <w:rsid w:val="00C9403C"/>
    <w:rsid w:val="00CA0BC9"/>
    <w:rsid w:val="00CA1530"/>
    <w:rsid w:val="00CA1F8C"/>
    <w:rsid w:val="00CA27FA"/>
    <w:rsid w:val="00CA3E63"/>
    <w:rsid w:val="00CA4352"/>
    <w:rsid w:val="00CA661A"/>
    <w:rsid w:val="00CA77C7"/>
    <w:rsid w:val="00CB1819"/>
    <w:rsid w:val="00CB2298"/>
    <w:rsid w:val="00CB28B0"/>
    <w:rsid w:val="00CB2FA9"/>
    <w:rsid w:val="00CB338A"/>
    <w:rsid w:val="00CB3498"/>
    <w:rsid w:val="00CB4262"/>
    <w:rsid w:val="00CB4273"/>
    <w:rsid w:val="00CB61A7"/>
    <w:rsid w:val="00CB6FCC"/>
    <w:rsid w:val="00CB70B0"/>
    <w:rsid w:val="00CC09FA"/>
    <w:rsid w:val="00CC0D2A"/>
    <w:rsid w:val="00CC4814"/>
    <w:rsid w:val="00CC48FD"/>
    <w:rsid w:val="00CC544B"/>
    <w:rsid w:val="00CC68CC"/>
    <w:rsid w:val="00CC70FB"/>
    <w:rsid w:val="00CC73E2"/>
    <w:rsid w:val="00CD06AF"/>
    <w:rsid w:val="00CD0B79"/>
    <w:rsid w:val="00CD1746"/>
    <w:rsid w:val="00CD1793"/>
    <w:rsid w:val="00CD1A57"/>
    <w:rsid w:val="00CD1A7B"/>
    <w:rsid w:val="00CD1C33"/>
    <w:rsid w:val="00CD2BF9"/>
    <w:rsid w:val="00CD35F2"/>
    <w:rsid w:val="00CD3B89"/>
    <w:rsid w:val="00CD3EEB"/>
    <w:rsid w:val="00CE4D81"/>
    <w:rsid w:val="00CE57E6"/>
    <w:rsid w:val="00CE580C"/>
    <w:rsid w:val="00CE5A62"/>
    <w:rsid w:val="00CE7BB6"/>
    <w:rsid w:val="00CF3D7D"/>
    <w:rsid w:val="00CF760B"/>
    <w:rsid w:val="00CF79A0"/>
    <w:rsid w:val="00D00B5C"/>
    <w:rsid w:val="00D013C8"/>
    <w:rsid w:val="00D022D2"/>
    <w:rsid w:val="00D03439"/>
    <w:rsid w:val="00D037FE"/>
    <w:rsid w:val="00D04127"/>
    <w:rsid w:val="00D0463F"/>
    <w:rsid w:val="00D0738F"/>
    <w:rsid w:val="00D07FE8"/>
    <w:rsid w:val="00D10559"/>
    <w:rsid w:val="00D15114"/>
    <w:rsid w:val="00D164FC"/>
    <w:rsid w:val="00D16828"/>
    <w:rsid w:val="00D16C60"/>
    <w:rsid w:val="00D16E1E"/>
    <w:rsid w:val="00D17725"/>
    <w:rsid w:val="00D200E8"/>
    <w:rsid w:val="00D20A82"/>
    <w:rsid w:val="00D22228"/>
    <w:rsid w:val="00D230DA"/>
    <w:rsid w:val="00D232F0"/>
    <w:rsid w:val="00D2334B"/>
    <w:rsid w:val="00D23EF1"/>
    <w:rsid w:val="00D24345"/>
    <w:rsid w:val="00D24BC4"/>
    <w:rsid w:val="00D262A7"/>
    <w:rsid w:val="00D266AF"/>
    <w:rsid w:val="00D2736F"/>
    <w:rsid w:val="00D31000"/>
    <w:rsid w:val="00D3161A"/>
    <w:rsid w:val="00D31C00"/>
    <w:rsid w:val="00D31C91"/>
    <w:rsid w:val="00D3246B"/>
    <w:rsid w:val="00D332E0"/>
    <w:rsid w:val="00D33418"/>
    <w:rsid w:val="00D35129"/>
    <w:rsid w:val="00D35283"/>
    <w:rsid w:val="00D35981"/>
    <w:rsid w:val="00D365FC"/>
    <w:rsid w:val="00D405DC"/>
    <w:rsid w:val="00D40BED"/>
    <w:rsid w:val="00D42332"/>
    <w:rsid w:val="00D44E76"/>
    <w:rsid w:val="00D47A30"/>
    <w:rsid w:val="00D50791"/>
    <w:rsid w:val="00D508E5"/>
    <w:rsid w:val="00D51B20"/>
    <w:rsid w:val="00D52026"/>
    <w:rsid w:val="00D529D9"/>
    <w:rsid w:val="00D53E4C"/>
    <w:rsid w:val="00D54213"/>
    <w:rsid w:val="00D61273"/>
    <w:rsid w:val="00D631F9"/>
    <w:rsid w:val="00D640D6"/>
    <w:rsid w:val="00D65583"/>
    <w:rsid w:val="00D6667F"/>
    <w:rsid w:val="00D66923"/>
    <w:rsid w:val="00D66E7D"/>
    <w:rsid w:val="00D66FDC"/>
    <w:rsid w:val="00D67FB4"/>
    <w:rsid w:val="00D7019B"/>
    <w:rsid w:val="00D703E9"/>
    <w:rsid w:val="00D71F31"/>
    <w:rsid w:val="00D7221A"/>
    <w:rsid w:val="00D72257"/>
    <w:rsid w:val="00D7311D"/>
    <w:rsid w:val="00D73635"/>
    <w:rsid w:val="00D73B1A"/>
    <w:rsid w:val="00D75566"/>
    <w:rsid w:val="00D7557C"/>
    <w:rsid w:val="00D759FE"/>
    <w:rsid w:val="00D7638C"/>
    <w:rsid w:val="00D76B5B"/>
    <w:rsid w:val="00D76E49"/>
    <w:rsid w:val="00D77BEA"/>
    <w:rsid w:val="00D77ED9"/>
    <w:rsid w:val="00D8001A"/>
    <w:rsid w:val="00D802BC"/>
    <w:rsid w:val="00D80DED"/>
    <w:rsid w:val="00D82EC8"/>
    <w:rsid w:val="00D833BA"/>
    <w:rsid w:val="00D835B3"/>
    <w:rsid w:val="00D8412B"/>
    <w:rsid w:val="00D8701D"/>
    <w:rsid w:val="00D873DC"/>
    <w:rsid w:val="00D879D3"/>
    <w:rsid w:val="00D9002E"/>
    <w:rsid w:val="00D909BD"/>
    <w:rsid w:val="00D94552"/>
    <w:rsid w:val="00D9548D"/>
    <w:rsid w:val="00D955BE"/>
    <w:rsid w:val="00D95ABE"/>
    <w:rsid w:val="00D96657"/>
    <w:rsid w:val="00D96ADF"/>
    <w:rsid w:val="00D96C83"/>
    <w:rsid w:val="00DA04A6"/>
    <w:rsid w:val="00DA1213"/>
    <w:rsid w:val="00DA2E8A"/>
    <w:rsid w:val="00DA3D1E"/>
    <w:rsid w:val="00DA657E"/>
    <w:rsid w:val="00DA796D"/>
    <w:rsid w:val="00DB0740"/>
    <w:rsid w:val="00DB0A83"/>
    <w:rsid w:val="00DB0ECD"/>
    <w:rsid w:val="00DB13AF"/>
    <w:rsid w:val="00DB2C0C"/>
    <w:rsid w:val="00DB5DD3"/>
    <w:rsid w:val="00DC0B4A"/>
    <w:rsid w:val="00DC13F0"/>
    <w:rsid w:val="00DC3571"/>
    <w:rsid w:val="00DC3D13"/>
    <w:rsid w:val="00DC5863"/>
    <w:rsid w:val="00DC58A2"/>
    <w:rsid w:val="00DD133D"/>
    <w:rsid w:val="00DD36BB"/>
    <w:rsid w:val="00DD56BE"/>
    <w:rsid w:val="00DD68FF"/>
    <w:rsid w:val="00DD7914"/>
    <w:rsid w:val="00DE0041"/>
    <w:rsid w:val="00DE2130"/>
    <w:rsid w:val="00DE2872"/>
    <w:rsid w:val="00DE3FEF"/>
    <w:rsid w:val="00DE4F66"/>
    <w:rsid w:val="00DE504F"/>
    <w:rsid w:val="00DE617E"/>
    <w:rsid w:val="00DE6297"/>
    <w:rsid w:val="00DF2D16"/>
    <w:rsid w:val="00DF2F76"/>
    <w:rsid w:val="00DF4D67"/>
    <w:rsid w:val="00DF4EF8"/>
    <w:rsid w:val="00DF4F24"/>
    <w:rsid w:val="00DF5787"/>
    <w:rsid w:val="00DF5AB9"/>
    <w:rsid w:val="00DF6299"/>
    <w:rsid w:val="00DF64BE"/>
    <w:rsid w:val="00DF6718"/>
    <w:rsid w:val="00DF753A"/>
    <w:rsid w:val="00DF7DBB"/>
    <w:rsid w:val="00E00E1B"/>
    <w:rsid w:val="00E01628"/>
    <w:rsid w:val="00E01F4E"/>
    <w:rsid w:val="00E036A9"/>
    <w:rsid w:val="00E1312D"/>
    <w:rsid w:val="00E138C7"/>
    <w:rsid w:val="00E15856"/>
    <w:rsid w:val="00E15E23"/>
    <w:rsid w:val="00E17C0A"/>
    <w:rsid w:val="00E20441"/>
    <w:rsid w:val="00E2152D"/>
    <w:rsid w:val="00E219FC"/>
    <w:rsid w:val="00E21DE8"/>
    <w:rsid w:val="00E2223A"/>
    <w:rsid w:val="00E25E3B"/>
    <w:rsid w:val="00E25EF2"/>
    <w:rsid w:val="00E3223D"/>
    <w:rsid w:val="00E3230E"/>
    <w:rsid w:val="00E3251A"/>
    <w:rsid w:val="00E32AF4"/>
    <w:rsid w:val="00E34E0F"/>
    <w:rsid w:val="00E365D6"/>
    <w:rsid w:val="00E36FB7"/>
    <w:rsid w:val="00E37DDF"/>
    <w:rsid w:val="00E4459D"/>
    <w:rsid w:val="00E44CF8"/>
    <w:rsid w:val="00E4646D"/>
    <w:rsid w:val="00E5040D"/>
    <w:rsid w:val="00E5067C"/>
    <w:rsid w:val="00E50CEC"/>
    <w:rsid w:val="00E5106E"/>
    <w:rsid w:val="00E51081"/>
    <w:rsid w:val="00E5110C"/>
    <w:rsid w:val="00E533A8"/>
    <w:rsid w:val="00E53C8A"/>
    <w:rsid w:val="00E55984"/>
    <w:rsid w:val="00E56251"/>
    <w:rsid w:val="00E56825"/>
    <w:rsid w:val="00E60638"/>
    <w:rsid w:val="00E60837"/>
    <w:rsid w:val="00E61A00"/>
    <w:rsid w:val="00E63351"/>
    <w:rsid w:val="00E6450F"/>
    <w:rsid w:val="00E66BB5"/>
    <w:rsid w:val="00E6716A"/>
    <w:rsid w:val="00E70C66"/>
    <w:rsid w:val="00E70F83"/>
    <w:rsid w:val="00E71682"/>
    <w:rsid w:val="00E73852"/>
    <w:rsid w:val="00E74534"/>
    <w:rsid w:val="00E74C8B"/>
    <w:rsid w:val="00E75478"/>
    <w:rsid w:val="00E76019"/>
    <w:rsid w:val="00E762DB"/>
    <w:rsid w:val="00E76E94"/>
    <w:rsid w:val="00E778BA"/>
    <w:rsid w:val="00E812CF"/>
    <w:rsid w:val="00E83240"/>
    <w:rsid w:val="00E86211"/>
    <w:rsid w:val="00E87735"/>
    <w:rsid w:val="00E8799A"/>
    <w:rsid w:val="00E9002E"/>
    <w:rsid w:val="00E903E7"/>
    <w:rsid w:val="00E9224E"/>
    <w:rsid w:val="00E93828"/>
    <w:rsid w:val="00E94998"/>
    <w:rsid w:val="00E94C65"/>
    <w:rsid w:val="00E94F6F"/>
    <w:rsid w:val="00E96604"/>
    <w:rsid w:val="00EA018F"/>
    <w:rsid w:val="00EA0C33"/>
    <w:rsid w:val="00EA0F5B"/>
    <w:rsid w:val="00EA23C8"/>
    <w:rsid w:val="00EA390F"/>
    <w:rsid w:val="00EA6A3C"/>
    <w:rsid w:val="00EA6D65"/>
    <w:rsid w:val="00EA7589"/>
    <w:rsid w:val="00EB0F97"/>
    <w:rsid w:val="00EB16E2"/>
    <w:rsid w:val="00EB1871"/>
    <w:rsid w:val="00EB2077"/>
    <w:rsid w:val="00EB43C9"/>
    <w:rsid w:val="00EB51D6"/>
    <w:rsid w:val="00EB52B8"/>
    <w:rsid w:val="00EB54EC"/>
    <w:rsid w:val="00EB5575"/>
    <w:rsid w:val="00EB59EF"/>
    <w:rsid w:val="00EB6734"/>
    <w:rsid w:val="00EB6DDC"/>
    <w:rsid w:val="00EC038C"/>
    <w:rsid w:val="00EC1D73"/>
    <w:rsid w:val="00EC2874"/>
    <w:rsid w:val="00EC2981"/>
    <w:rsid w:val="00EC2AD1"/>
    <w:rsid w:val="00EC2B17"/>
    <w:rsid w:val="00EC6409"/>
    <w:rsid w:val="00EC6F7D"/>
    <w:rsid w:val="00ED1167"/>
    <w:rsid w:val="00ED20C0"/>
    <w:rsid w:val="00ED22C9"/>
    <w:rsid w:val="00ED22FA"/>
    <w:rsid w:val="00ED3D86"/>
    <w:rsid w:val="00ED5C99"/>
    <w:rsid w:val="00ED77F6"/>
    <w:rsid w:val="00EE122A"/>
    <w:rsid w:val="00EE15AE"/>
    <w:rsid w:val="00EE29F8"/>
    <w:rsid w:val="00EE452F"/>
    <w:rsid w:val="00EE5200"/>
    <w:rsid w:val="00EE5E64"/>
    <w:rsid w:val="00EF0231"/>
    <w:rsid w:val="00EF1C72"/>
    <w:rsid w:val="00EF1D55"/>
    <w:rsid w:val="00EF211D"/>
    <w:rsid w:val="00EF28B0"/>
    <w:rsid w:val="00EF4DFE"/>
    <w:rsid w:val="00EF5596"/>
    <w:rsid w:val="00EF6211"/>
    <w:rsid w:val="00EF6947"/>
    <w:rsid w:val="00EF7755"/>
    <w:rsid w:val="00F01BF1"/>
    <w:rsid w:val="00F02076"/>
    <w:rsid w:val="00F034BE"/>
    <w:rsid w:val="00F0392D"/>
    <w:rsid w:val="00F0553B"/>
    <w:rsid w:val="00F075E6"/>
    <w:rsid w:val="00F079CA"/>
    <w:rsid w:val="00F07A0C"/>
    <w:rsid w:val="00F1284A"/>
    <w:rsid w:val="00F140D5"/>
    <w:rsid w:val="00F15BAE"/>
    <w:rsid w:val="00F172BE"/>
    <w:rsid w:val="00F17D5C"/>
    <w:rsid w:val="00F20820"/>
    <w:rsid w:val="00F22288"/>
    <w:rsid w:val="00F22DF7"/>
    <w:rsid w:val="00F238DB"/>
    <w:rsid w:val="00F30EC2"/>
    <w:rsid w:val="00F328CF"/>
    <w:rsid w:val="00F33DD9"/>
    <w:rsid w:val="00F358BF"/>
    <w:rsid w:val="00F35C8C"/>
    <w:rsid w:val="00F37A25"/>
    <w:rsid w:val="00F40203"/>
    <w:rsid w:val="00F40F52"/>
    <w:rsid w:val="00F41EF7"/>
    <w:rsid w:val="00F42865"/>
    <w:rsid w:val="00F432C6"/>
    <w:rsid w:val="00F4421B"/>
    <w:rsid w:val="00F4585A"/>
    <w:rsid w:val="00F45C7F"/>
    <w:rsid w:val="00F5005D"/>
    <w:rsid w:val="00F50107"/>
    <w:rsid w:val="00F512F2"/>
    <w:rsid w:val="00F52C8E"/>
    <w:rsid w:val="00F538FD"/>
    <w:rsid w:val="00F54400"/>
    <w:rsid w:val="00F55EFC"/>
    <w:rsid w:val="00F57807"/>
    <w:rsid w:val="00F6073B"/>
    <w:rsid w:val="00F60CFA"/>
    <w:rsid w:val="00F60FC5"/>
    <w:rsid w:val="00F6353A"/>
    <w:rsid w:val="00F64672"/>
    <w:rsid w:val="00F6791D"/>
    <w:rsid w:val="00F6794B"/>
    <w:rsid w:val="00F7112D"/>
    <w:rsid w:val="00F715EF"/>
    <w:rsid w:val="00F71643"/>
    <w:rsid w:val="00F7259F"/>
    <w:rsid w:val="00F73914"/>
    <w:rsid w:val="00F7520A"/>
    <w:rsid w:val="00F7694B"/>
    <w:rsid w:val="00F76A10"/>
    <w:rsid w:val="00F77DFA"/>
    <w:rsid w:val="00F8196F"/>
    <w:rsid w:val="00F84D43"/>
    <w:rsid w:val="00F86A87"/>
    <w:rsid w:val="00F870DC"/>
    <w:rsid w:val="00F873D1"/>
    <w:rsid w:val="00F906CB"/>
    <w:rsid w:val="00F93ABE"/>
    <w:rsid w:val="00F967C7"/>
    <w:rsid w:val="00F972FE"/>
    <w:rsid w:val="00F97D48"/>
    <w:rsid w:val="00FA088A"/>
    <w:rsid w:val="00FA0B85"/>
    <w:rsid w:val="00FA1206"/>
    <w:rsid w:val="00FA3249"/>
    <w:rsid w:val="00FA4CD2"/>
    <w:rsid w:val="00FA54F4"/>
    <w:rsid w:val="00FA7B77"/>
    <w:rsid w:val="00FA7D48"/>
    <w:rsid w:val="00FB056F"/>
    <w:rsid w:val="00FB33A5"/>
    <w:rsid w:val="00FB362B"/>
    <w:rsid w:val="00FB3700"/>
    <w:rsid w:val="00FB3D41"/>
    <w:rsid w:val="00FB4311"/>
    <w:rsid w:val="00FB697E"/>
    <w:rsid w:val="00FB795E"/>
    <w:rsid w:val="00FC11BE"/>
    <w:rsid w:val="00FC12F1"/>
    <w:rsid w:val="00FC23FB"/>
    <w:rsid w:val="00FC247A"/>
    <w:rsid w:val="00FC3BAA"/>
    <w:rsid w:val="00FC4189"/>
    <w:rsid w:val="00FC5237"/>
    <w:rsid w:val="00FC52B8"/>
    <w:rsid w:val="00FC5F90"/>
    <w:rsid w:val="00FD0B9C"/>
    <w:rsid w:val="00FD277B"/>
    <w:rsid w:val="00FD35FA"/>
    <w:rsid w:val="00FD4547"/>
    <w:rsid w:val="00FD4AFD"/>
    <w:rsid w:val="00FD51A3"/>
    <w:rsid w:val="00FD5EC4"/>
    <w:rsid w:val="00FD5F31"/>
    <w:rsid w:val="00FD600D"/>
    <w:rsid w:val="00FE1599"/>
    <w:rsid w:val="00FE273E"/>
    <w:rsid w:val="00FE2C9A"/>
    <w:rsid w:val="00FE322B"/>
    <w:rsid w:val="00FE3EEF"/>
    <w:rsid w:val="00FE3F12"/>
    <w:rsid w:val="00FE3F25"/>
    <w:rsid w:val="00FE4DBA"/>
    <w:rsid w:val="00FE75B5"/>
    <w:rsid w:val="00FF1362"/>
    <w:rsid w:val="00FF1686"/>
    <w:rsid w:val="00FF2828"/>
    <w:rsid w:val="00FF3509"/>
    <w:rsid w:val="00FF5CE6"/>
    <w:rsid w:val="00FF621D"/>
    <w:rsid w:val="00FF690A"/>
    <w:rsid w:val="00FF7EF7"/>
    <w:rsid w:val="0108647F"/>
    <w:rsid w:val="010A2584"/>
    <w:rsid w:val="01105331"/>
    <w:rsid w:val="01242B97"/>
    <w:rsid w:val="012A0256"/>
    <w:rsid w:val="01417F28"/>
    <w:rsid w:val="01443004"/>
    <w:rsid w:val="0149071E"/>
    <w:rsid w:val="014F542C"/>
    <w:rsid w:val="015140BF"/>
    <w:rsid w:val="01545618"/>
    <w:rsid w:val="01597905"/>
    <w:rsid w:val="015A415F"/>
    <w:rsid w:val="015A6A42"/>
    <w:rsid w:val="015E3A3B"/>
    <w:rsid w:val="017964A9"/>
    <w:rsid w:val="01807584"/>
    <w:rsid w:val="01851778"/>
    <w:rsid w:val="018C0CEB"/>
    <w:rsid w:val="01931CEA"/>
    <w:rsid w:val="019927F8"/>
    <w:rsid w:val="01996FC1"/>
    <w:rsid w:val="019B6843"/>
    <w:rsid w:val="019C4149"/>
    <w:rsid w:val="019C6895"/>
    <w:rsid w:val="01A24C7D"/>
    <w:rsid w:val="01B843D4"/>
    <w:rsid w:val="01BA3658"/>
    <w:rsid w:val="01BA5102"/>
    <w:rsid w:val="01BB1C5F"/>
    <w:rsid w:val="01BC4DAE"/>
    <w:rsid w:val="01C00A40"/>
    <w:rsid w:val="01CA1504"/>
    <w:rsid w:val="01CB47CC"/>
    <w:rsid w:val="01E76287"/>
    <w:rsid w:val="01EB5F26"/>
    <w:rsid w:val="01F330C9"/>
    <w:rsid w:val="02013B5B"/>
    <w:rsid w:val="020341D0"/>
    <w:rsid w:val="021D656C"/>
    <w:rsid w:val="02245B6D"/>
    <w:rsid w:val="0231243F"/>
    <w:rsid w:val="02485075"/>
    <w:rsid w:val="024D768C"/>
    <w:rsid w:val="025B102D"/>
    <w:rsid w:val="0261048B"/>
    <w:rsid w:val="0268131B"/>
    <w:rsid w:val="026815E4"/>
    <w:rsid w:val="02817194"/>
    <w:rsid w:val="02860313"/>
    <w:rsid w:val="029112D6"/>
    <w:rsid w:val="029268E0"/>
    <w:rsid w:val="02982787"/>
    <w:rsid w:val="02A365E6"/>
    <w:rsid w:val="02A64D34"/>
    <w:rsid w:val="02AB6784"/>
    <w:rsid w:val="02B51262"/>
    <w:rsid w:val="02B71908"/>
    <w:rsid w:val="02BD19E7"/>
    <w:rsid w:val="02C1524B"/>
    <w:rsid w:val="02C910D6"/>
    <w:rsid w:val="02C91949"/>
    <w:rsid w:val="02D70712"/>
    <w:rsid w:val="02DF22A3"/>
    <w:rsid w:val="02E00554"/>
    <w:rsid w:val="02E33A9D"/>
    <w:rsid w:val="02F04FE7"/>
    <w:rsid w:val="02F15691"/>
    <w:rsid w:val="02F472CF"/>
    <w:rsid w:val="02F80385"/>
    <w:rsid w:val="02FD5A42"/>
    <w:rsid w:val="02FF4EEA"/>
    <w:rsid w:val="030158B6"/>
    <w:rsid w:val="03197B3C"/>
    <w:rsid w:val="03262337"/>
    <w:rsid w:val="032C59AD"/>
    <w:rsid w:val="0347409F"/>
    <w:rsid w:val="0357514B"/>
    <w:rsid w:val="036B29A7"/>
    <w:rsid w:val="037F0BFE"/>
    <w:rsid w:val="038378BB"/>
    <w:rsid w:val="038B7B8E"/>
    <w:rsid w:val="038E3DE1"/>
    <w:rsid w:val="03917E92"/>
    <w:rsid w:val="0394153D"/>
    <w:rsid w:val="0397466A"/>
    <w:rsid w:val="03980DE2"/>
    <w:rsid w:val="03A31238"/>
    <w:rsid w:val="03A83FB4"/>
    <w:rsid w:val="03B8109A"/>
    <w:rsid w:val="03B95609"/>
    <w:rsid w:val="03BD361F"/>
    <w:rsid w:val="03CB79A9"/>
    <w:rsid w:val="03CD7DD8"/>
    <w:rsid w:val="03D63A51"/>
    <w:rsid w:val="03DB0AA4"/>
    <w:rsid w:val="03E944AB"/>
    <w:rsid w:val="03F366B1"/>
    <w:rsid w:val="03F74844"/>
    <w:rsid w:val="041820F9"/>
    <w:rsid w:val="041B675B"/>
    <w:rsid w:val="041C31CE"/>
    <w:rsid w:val="0436281A"/>
    <w:rsid w:val="04460152"/>
    <w:rsid w:val="04480271"/>
    <w:rsid w:val="044944E2"/>
    <w:rsid w:val="045734E9"/>
    <w:rsid w:val="04813DEE"/>
    <w:rsid w:val="048B3E14"/>
    <w:rsid w:val="048F04B6"/>
    <w:rsid w:val="048F0882"/>
    <w:rsid w:val="04964A50"/>
    <w:rsid w:val="04996AF4"/>
    <w:rsid w:val="049B65BC"/>
    <w:rsid w:val="04A17A33"/>
    <w:rsid w:val="04A35EBA"/>
    <w:rsid w:val="04A859D9"/>
    <w:rsid w:val="04CC765A"/>
    <w:rsid w:val="04D11DD0"/>
    <w:rsid w:val="04E04747"/>
    <w:rsid w:val="04E17836"/>
    <w:rsid w:val="04E47B19"/>
    <w:rsid w:val="04EC3A82"/>
    <w:rsid w:val="04ED12F3"/>
    <w:rsid w:val="04EE40EE"/>
    <w:rsid w:val="04F01ED9"/>
    <w:rsid w:val="05036B30"/>
    <w:rsid w:val="05044BB3"/>
    <w:rsid w:val="050C4F1E"/>
    <w:rsid w:val="051D27ED"/>
    <w:rsid w:val="051E0EED"/>
    <w:rsid w:val="052C7985"/>
    <w:rsid w:val="05397005"/>
    <w:rsid w:val="053B03B1"/>
    <w:rsid w:val="054114DF"/>
    <w:rsid w:val="05541983"/>
    <w:rsid w:val="05581755"/>
    <w:rsid w:val="055E5928"/>
    <w:rsid w:val="056A01C4"/>
    <w:rsid w:val="05894796"/>
    <w:rsid w:val="058F5787"/>
    <w:rsid w:val="05924B19"/>
    <w:rsid w:val="05932F6A"/>
    <w:rsid w:val="05B11F63"/>
    <w:rsid w:val="05B203ED"/>
    <w:rsid w:val="05B744C1"/>
    <w:rsid w:val="05BD07EA"/>
    <w:rsid w:val="05C65AF1"/>
    <w:rsid w:val="05F51BD4"/>
    <w:rsid w:val="05F84F04"/>
    <w:rsid w:val="05FC3ECD"/>
    <w:rsid w:val="06022A2D"/>
    <w:rsid w:val="060E0D3B"/>
    <w:rsid w:val="060F333B"/>
    <w:rsid w:val="06182D3C"/>
    <w:rsid w:val="0620643B"/>
    <w:rsid w:val="062537B4"/>
    <w:rsid w:val="0627678C"/>
    <w:rsid w:val="06364DF6"/>
    <w:rsid w:val="06525A6F"/>
    <w:rsid w:val="065C25C0"/>
    <w:rsid w:val="06624310"/>
    <w:rsid w:val="066820CF"/>
    <w:rsid w:val="06873ED8"/>
    <w:rsid w:val="06A35EB8"/>
    <w:rsid w:val="06A3745D"/>
    <w:rsid w:val="06A85C49"/>
    <w:rsid w:val="06AA2949"/>
    <w:rsid w:val="06B94B23"/>
    <w:rsid w:val="06BD64BD"/>
    <w:rsid w:val="06BE656A"/>
    <w:rsid w:val="06CB11A6"/>
    <w:rsid w:val="06DB4EFA"/>
    <w:rsid w:val="06DE1ED6"/>
    <w:rsid w:val="06EC1374"/>
    <w:rsid w:val="07005A9A"/>
    <w:rsid w:val="070E02F5"/>
    <w:rsid w:val="07196EB3"/>
    <w:rsid w:val="071B239F"/>
    <w:rsid w:val="072561E2"/>
    <w:rsid w:val="0727457C"/>
    <w:rsid w:val="07616C52"/>
    <w:rsid w:val="0765579C"/>
    <w:rsid w:val="07772215"/>
    <w:rsid w:val="07831197"/>
    <w:rsid w:val="078A2DA7"/>
    <w:rsid w:val="079314E2"/>
    <w:rsid w:val="0797412C"/>
    <w:rsid w:val="079B0250"/>
    <w:rsid w:val="07A53EA2"/>
    <w:rsid w:val="07C076EA"/>
    <w:rsid w:val="07C541BE"/>
    <w:rsid w:val="07C83235"/>
    <w:rsid w:val="07CA7C2E"/>
    <w:rsid w:val="07CD1E18"/>
    <w:rsid w:val="07F23B5B"/>
    <w:rsid w:val="07F53984"/>
    <w:rsid w:val="07F93D2E"/>
    <w:rsid w:val="08006EF8"/>
    <w:rsid w:val="081B1CFB"/>
    <w:rsid w:val="081C4F49"/>
    <w:rsid w:val="08201859"/>
    <w:rsid w:val="082E3338"/>
    <w:rsid w:val="083D5742"/>
    <w:rsid w:val="085417EE"/>
    <w:rsid w:val="086F5437"/>
    <w:rsid w:val="08892842"/>
    <w:rsid w:val="08971593"/>
    <w:rsid w:val="08971C56"/>
    <w:rsid w:val="0898116B"/>
    <w:rsid w:val="08986B18"/>
    <w:rsid w:val="089D188E"/>
    <w:rsid w:val="089E1975"/>
    <w:rsid w:val="08AF1457"/>
    <w:rsid w:val="08B37367"/>
    <w:rsid w:val="08D62603"/>
    <w:rsid w:val="08D84C82"/>
    <w:rsid w:val="08E36401"/>
    <w:rsid w:val="08E960D2"/>
    <w:rsid w:val="08FB0A6A"/>
    <w:rsid w:val="08FC6833"/>
    <w:rsid w:val="09033637"/>
    <w:rsid w:val="09064A46"/>
    <w:rsid w:val="09097F4E"/>
    <w:rsid w:val="090C3906"/>
    <w:rsid w:val="090C68E1"/>
    <w:rsid w:val="090F0F52"/>
    <w:rsid w:val="091E42C0"/>
    <w:rsid w:val="09200547"/>
    <w:rsid w:val="09240971"/>
    <w:rsid w:val="09296AB4"/>
    <w:rsid w:val="0930437B"/>
    <w:rsid w:val="09314DB3"/>
    <w:rsid w:val="09341DC4"/>
    <w:rsid w:val="0936071C"/>
    <w:rsid w:val="09366598"/>
    <w:rsid w:val="093B2658"/>
    <w:rsid w:val="093C72B1"/>
    <w:rsid w:val="093F3C9A"/>
    <w:rsid w:val="09404F53"/>
    <w:rsid w:val="09425BB3"/>
    <w:rsid w:val="094947ED"/>
    <w:rsid w:val="094A4C9B"/>
    <w:rsid w:val="094C5FAC"/>
    <w:rsid w:val="094D2924"/>
    <w:rsid w:val="095D7857"/>
    <w:rsid w:val="09784107"/>
    <w:rsid w:val="097A4867"/>
    <w:rsid w:val="097C0921"/>
    <w:rsid w:val="09832117"/>
    <w:rsid w:val="09A14DA5"/>
    <w:rsid w:val="09C54723"/>
    <w:rsid w:val="09CF221D"/>
    <w:rsid w:val="09D4617D"/>
    <w:rsid w:val="09F3797E"/>
    <w:rsid w:val="09F4732C"/>
    <w:rsid w:val="09F70254"/>
    <w:rsid w:val="09FE71CA"/>
    <w:rsid w:val="0A013A04"/>
    <w:rsid w:val="0A015B5D"/>
    <w:rsid w:val="0A045E46"/>
    <w:rsid w:val="0A047790"/>
    <w:rsid w:val="0A0E6785"/>
    <w:rsid w:val="0A107183"/>
    <w:rsid w:val="0A134179"/>
    <w:rsid w:val="0A134ED9"/>
    <w:rsid w:val="0A196020"/>
    <w:rsid w:val="0A1E0336"/>
    <w:rsid w:val="0A3E3491"/>
    <w:rsid w:val="0A412697"/>
    <w:rsid w:val="0A460406"/>
    <w:rsid w:val="0A596F6B"/>
    <w:rsid w:val="0A5B7993"/>
    <w:rsid w:val="0A5C75DB"/>
    <w:rsid w:val="0A6510C2"/>
    <w:rsid w:val="0A6A1033"/>
    <w:rsid w:val="0A6B43FA"/>
    <w:rsid w:val="0A752525"/>
    <w:rsid w:val="0A7D73CF"/>
    <w:rsid w:val="0A841766"/>
    <w:rsid w:val="0A8C18FB"/>
    <w:rsid w:val="0A9A0E02"/>
    <w:rsid w:val="0AA50CBC"/>
    <w:rsid w:val="0AC54A23"/>
    <w:rsid w:val="0AC6783F"/>
    <w:rsid w:val="0AE015E2"/>
    <w:rsid w:val="0AE02339"/>
    <w:rsid w:val="0AE36A5B"/>
    <w:rsid w:val="0AF530C3"/>
    <w:rsid w:val="0B002F30"/>
    <w:rsid w:val="0B0C0E63"/>
    <w:rsid w:val="0B0F2CFE"/>
    <w:rsid w:val="0B2C49CE"/>
    <w:rsid w:val="0B2E0DCF"/>
    <w:rsid w:val="0B43373E"/>
    <w:rsid w:val="0B44567B"/>
    <w:rsid w:val="0B58489E"/>
    <w:rsid w:val="0B5A2860"/>
    <w:rsid w:val="0B707968"/>
    <w:rsid w:val="0B7C1DFC"/>
    <w:rsid w:val="0B80619A"/>
    <w:rsid w:val="0B91235B"/>
    <w:rsid w:val="0B914B0A"/>
    <w:rsid w:val="0B9E6170"/>
    <w:rsid w:val="0BA472B3"/>
    <w:rsid w:val="0BA66A88"/>
    <w:rsid w:val="0BB7467A"/>
    <w:rsid w:val="0BC30206"/>
    <w:rsid w:val="0BC5722B"/>
    <w:rsid w:val="0BCA3809"/>
    <w:rsid w:val="0BD811DC"/>
    <w:rsid w:val="0BDE2C73"/>
    <w:rsid w:val="0BE47F61"/>
    <w:rsid w:val="0C0153FE"/>
    <w:rsid w:val="0C0E4327"/>
    <w:rsid w:val="0C10398A"/>
    <w:rsid w:val="0C1736AF"/>
    <w:rsid w:val="0C1F2C32"/>
    <w:rsid w:val="0C210DBD"/>
    <w:rsid w:val="0C286DF9"/>
    <w:rsid w:val="0C3A5158"/>
    <w:rsid w:val="0C3C2191"/>
    <w:rsid w:val="0C3F65E6"/>
    <w:rsid w:val="0C442023"/>
    <w:rsid w:val="0C4439C8"/>
    <w:rsid w:val="0C764F66"/>
    <w:rsid w:val="0C766B89"/>
    <w:rsid w:val="0C78584F"/>
    <w:rsid w:val="0C853D18"/>
    <w:rsid w:val="0C8D0BF8"/>
    <w:rsid w:val="0C90518E"/>
    <w:rsid w:val="0C922523"/>
    <w:rsid w:val="0C9743E1"/>
    <w:rsid w:val="0CA05D96"/>
    <w:rsid w:val="0CA06248"/>
    <w:rsid w:val="0CA46A90"/>
    <w:rsid w:val="0CAC554D"/>
    <w:rsid w:val="0CB10D14"/>
    <w:rsid w:val="0CBB296A"/>
    <w:rsid w:val="0CBD6A35"/>
    <w:rsid w:val="0CBF550E"/>
    <w:rsid w:val="0CC2631A"/>
    <w:rsid w:val="0CCE2E12"/>
    <w:rsid w:val="0CD17DC0"/>
    <w:rsid w:val="0CD64C58"/>
    <w:rsid w:val="0CD83D9B"/>
    <w:rsid w:val="0CDB28F9"/>
    <w:rsid w:val="0CE265FE"/>
    <w:rsid w:val="0CE36E6F"/>
    <w:rsid w:val="0CE64E73"/>
    <w:rsid w:val="0CE752C4"/>
    <w:rsid w:val="0CEB7EB2"/>
    <w:rsid w:val="0CEF4FFA"/>
    <w:rsid w:val="0CF51BF3"/>
    <w:rsid w:val="0D0C7BA3"/>
    <w:rsid w:val="0D192737"/>
    <w:rsid w:val="0D1F2AC7"/>
    <w:rsid w:val="0D23201B"/>
    <w:rsid w:val="0D4161D6"/>
    <w:rsid w:val="0D4D084E"/>
    <w:rsid w:val="0D5C3DD8"/>
    <w:rsid w:val="0D5F0C35"/>
    <w:rsid w:val="0D621920"/>
    <w:rsid w:val="0D651073"/>
    <w:rsid w:val="0D683FF2"/>
    <w:rsid w:val="0D743CA4"/>
    <w:rsid w:val="0D7B528E"/>
    <w:rsid w:val="0D7D72C8"/>
    <w:rsid w:val="0D8D5550"/>
    <w:rsid w:val="0D946D30"/>
    <w:rsid w:val="0D98113F"/>
    <w:rsid w:val="0DA73B86"/>
    <w:rsid w:val="0DAD4AAC"/>
    <w:rsid w:val="0DD84583"/>
    <w:rsid w:val="0DDA2EE0"/>
    <w:rsid w:val="0DEC1246"/>
    <w:rsid w:val="0DFF3426"/>
    <w:rsid w:val="0E036F7D"/>
    <w:rsid w:val="0E095CB3"/>
    <w:rsid w:val="0E0D6430"/>
    <w:rsid w:val="0E0E2616"/>
    <w:rsid w:val="0E152345"/>
    <w:rsid w:val="0E1D2431"/>
    <w:rsid w:val="0E1F00E7"/>
    <w:rsid w:val="0E2B0999"/>
    <w:rsid w:val="0E380969"/>
    <w:rsid w:val="0E3C03C0"/>
    <w:rsid w:val="0E433C11"/>
    <w:rsid w:val="0E5E2E22"/>
    <w:rsid w:val="0E6144B4"/>
    <w:rsid w:val="0E6E1577"/>
    <w:rsid w:val="0E710FA0"/>
    <w:rsid w:val="0E757792"/>
    <w:rsid w:val="0E7C5D7D"/>
    <w:rsid w:val="0E8E115B"/>
    <w:rsid w:val="0E9577A4"/>
    <w:rsid w:val="0EB01CFD"/>
    <w:rsid w:val="0EBD3E9D"/>
    <w:rsid w:val="0ECD290C"/>
    <w:rsid w:val="0ECF4562"/>
    <w:rsid w:val="0ED055FB"/>
    <w:rsid w:val="0ED5398D"/>
    <w:rsid w:val="0ED71B13"/>
    <w:rsid w:val="0EDC4477"/>
    <w:rsid w:val="0EDC523C"/>
    <w:rsid w:val="0EDD5F2B"/>
    <w:rsid w:val="0EE624BF"/>
    <w:rsid w:val="0EED3B46"/>
    <w:rsid w:val="0EF163FE"/>
    <w:rsid w:val="0F0F7B37"/>
    <w:rsid w:val="0F1259A0"/>
    <w:rsid w:val="0F1F371E"/>
    <w:rsid w:val="0F1F63BF"/>
    <w:rsid w:val="0F2065EB"/>
    <w:rsid w:val="0F296838"/>
    <w:rsid w:val="0F2E4E2E"/>
    <w:rsid w:val="0F313473"/>
    <w:rsid w:val="0F390336"/>
    <w:rsid w:val="0F391DAD"/>
    <w:rsid w:val="0F425E16"/>
    <w:rsid w:val="0F444528"/>
    <w:rsid w:val="0F4827EE"/>
    <w:rsid w:val="0F4827FA"/>
    <w:rsid w:val="0F520A09"/>
    <w:rsid w:val="0F59008A"/>
    <w:rsid w:val="0F616109"/>
    <w:rsid w:val="0F6316A0"/>
    <w:rsid w:val="0F637711"/>
    <w:rsid w:val="0F85491C"/>
    <w:rsid w:val="0F8C4F75"/>
    <w:rsid w:val="0F946AAC"/>
    <w:rsid w:val="0F9A087F"/>
    <w:rsid w:val="0F9C09BA"/>
    <w:rsid w:val="0FA20DA6"/>
    <w:rsid w:val="0FA6632D"/>
    <w:rsid w:val="0FA751D8"/>
    <w:rsid w:val="0FB159D8"/>
    <w:rsid w:val="0FC936E2"/>
    <w:rsid w:val="0FD359B9"/>
    <w:rsid w:val="0FDA0251"/>
    <w:rsid w:val="0FDD0A3F"/>
    <w:rsid w:val="0FDD2FCD"/>
    <w:rsid w:val="0FDF6501"/>
    <w:rsid w:val="0FE00240"/>
    <w:rsid w:val="0FE5580E"/>
    <w:rsid w:val="0FF01693"/>
    <w:rsid w:val="0FF061F2"/>
    <w:rsid w:val="0FF22C95"/>
    <w:rsid w:val="0FF4582F"/>
    <w:rsid w:val="100052DC"/>
    <w:rsid w:val="100750C9"/>
    <w:rsid w:val="100A14E3"/>
    <w:rsid w:val="102449F6"/>
    <w:rsid w:val="102711A2"/>
    <w:rsid w:val="102A0764"/>
    <w:rsid w:val="102F2633"/>
    <w:rsid w:val="102F7394"/>
    <w:rsid w:val="103E273A"/>
    <w:rsid w:val="10436635"/>
    <w:rsid w:val="10476346"/>
    <w:rsid w:val="10497E94"/>
    <w:rsid w:val="104C0A82"/>
    <w:rsid w:val="104D3A29"/>
    <w:rsid w:val="104F19D3"/>
    <w:rsid w:val="105F3BD0"/>
    <w:rsid w:val="106141F5"/>
    <w:rsid w:val="10642746"/>
    <w:rsid w:val="10826FCE"/>
    <w:rsid w:val="10871E49"/>
    <w:rsid w:val="108C58FC"/>
    <w:rsid w:val="10DB1532"/>
    <w:rsid w:val="10E27E69"/>
    <w:rsid w:val="10EB59A7"/>
    <w:rsid w:val="10F96BC6"/>
    <w:rsid w:val="11015A1F"/>
    <w:rsid w:val="11031393"/>
    <w:rsid w:val="11041752"/>
    <w:rsid w:val="110D0B25"/>
    <w:rsid w:val="110E5598"/>
    <w:rsid w:val="11162729"/>
    <w:rsid w:val="11171289"/>
    <w:rsid w:val="112137E7"/>
    <w:rsid w:val="112B64AC"/>
    <w:rsid w:val="11352257"/>
    <w:rsid w:val="11437B53"/>
    <w:rsid w:val="11443064"/>
    <w:rsid w:val="1154496C"/>
    <w:rsid w:val="11561DE1"/>
    <w:rsid w:val="11667AAD"/>
    <w:rsid w:val="11726B17"/>
    <w:rsid w:val="117E6A7D"/>
    <w:rsid w:val="11A6040F"/>
    <w:rsid w:val="11B159CB"/>
    <w:rsid w:val="11B73F42"/>
    <w:rsid w:val="11B84B36"/>
    <w:rsid w:val="11C12C04"/>
    <w:rsid w:val="11CE0A81"/>
    <w:rsid w:val="11D556D2"/>
    <w:rsid w:val="11DC0E58"/>
    <w:rsid w:val="11EF7A94"/>
    <w:rsid w:val="11F2404A"/>
    <w:rsid w:val="11FA23A8"/>
    <w:rsid w:val="11FA52C9"/>
    <w:rsid w:val="1202616C"/>
    <w:rsid w:val="12060814"/>
    <w:rsid w:val="12112589"/>
    <w:rsid w:val="121869C8"/>
    <w:rsid w:val="12191200"/>
    <w:rsid w:val="122F0942"/>
    <w:rsid w:val="124222F8"/>
    <w:rsid w:val="12457F15"/>
    <w:rsid w:val="124608DE"/>
    <w:rsid w:val="124725F5"/>
    <w:rsid w:val="124779E4"/>
    <w:rsid w:val="12477A61"/>
    <w:rsid w:val="124D28E3"/>
    <w:rsid w:val="125957A7"/>
    <w:rsid w:val="125B433E"/>
    <w:rsid w:val="126169E1"/>
    <w:rsid w:val="12662687"/>
    <w:rsid w:val="126C2CAD"/>
    <w:rsid w:val="126D59A0"/>
    <w:rsid w:val="12820742"/>
    <w:rsid w:val="129D4DE6"/>
    <w:rsid w:val="12B45379"/>
    <w:rsid w:val="12BC4EBB"/>
    <w:rsid w:val="12C62E07"/>
    <w:rsid w:val="12C9780A"/>
    <w:rsid w:val="12CB623F"/>
    <w:rsid w:val="12DC62C0"/>
    <w:rsid w:val="12DF1793"/>
    <w:rsid w:val="12E80F52"/>
    <w:rsid w:val="12E90E57"/>
    <w:rsid w:val="12FC5163"/>
    <w:rsid w:val="130F304C"/>
    <w:rsid w:val="13122100"/>
    <w:rsid w:val="13146AEB"/>
    <w:rsid w:val="131A53DB"/>
    <w:rsid w:val="13200581"/>
    <w:rsid w:val="13247460"/>
    <w:rsid w:val="134E626A"/>
    <w:rsid w:val="13622547"/>
    <w:rsid w:val="13675076"/>
    <w:rsid w:val="13684A7E"/>
    <w:rsid w:val="138D3940"/>
    <w:rsid w:val="139871D0"/>
    <w:rsid w:val="13AD5213"/>
    <w:rsid w:val="13AF4099"/>
    <w:rsid w:val="13B17070"/>
    <w:rsid w:val="13C222F2"/>
    <w:rsid w:val="13C93737"/>
    <w:rsid w:val="13D22E16"/>
    <w:rsid w:val="13D600B4"/>
    <w:rsid w:val="13D653E9"/>
    <w:rsid w:val="13D67BBF"/>
    <w:rsid w:val="13DB38A7"/>
    <w:rsid w:val="13DB55AF"/>
    <w:rsid w:val="13E06F65"/>
    <w:rsid w:val="13EE087E"/>
    <w:rsid w:val="13F43368"/>
    <w:rsid w:val="13F827F3"/>
    <w:rsid w:val="13FA141C"/>
    <w:rsid w:val="13FC09DD"/>
    <w:rsid w:val="140B717A"/>
    <w:rsid w:val="140E5F99"/>
    <w:rsid w:val="141A2D35"/>
    <w:rsid w:val="141B236E"/>
    <w:rsid w:val="141C6064"/>
    <w:rsid w:val="142A2C0E"/>
    <w:rsid w:val="14325239"/>
    <w:rsid w:val="143E6954"/>
    <w:rsid w:val="14432EB8"/>
    <w:rsid w:val="144333DD"/>
    <w:rsid w:val="14473A35"/>
    <w:rsid w:val="146549BC"/>
    <w:rsid w:val="14742ECD"/>
    <w:rsid w:val="14770A08"/>
    <w:rsid w:val="14856A8B"/>
    <w:rsid w:val="1491280A"/>
    <w:rsid w:val="149639D9"/>
    <w:rsid w:val="149916E5"/>
    <w:rsid w:val="14AB79CD"/>
    <w:rsid w:val="14AC56E1"/>
    <w:rsid w:val="14BC7913"/>
    <w:rsid w:val="14C24D6E"/>
    <w:rsid w:val="14CC08AA"/>
    <w:rsid w:val="14E63199"/>
    <w:rsid w:val="14EE35A5"/>
    <w:rsid w:val="150D5489"/>
    <w:rsid w:val="15134B73"/>
    <w:rsid w:val="151F2E24"/>
    <w:rsid w:val="15303292"/>
    <w:rsid w:val="15460BDD"/>
    <w:rsid w:val="15555768"/>
    <w:rsid w:val="15663557"/>
    <w:rsid w:val="15681016"/>
    <w:rsid w:val="156A01D3"/>
    <w:rsid w:val="156B7854"/>
    <w:rsid w:val="157A6087"/>
    <w:rsid w:val="158A69C4"/>
    <w:rsid w:val="158B35E9"/>
    <w:rsid w:val="15A13CB2"/>
    <w:rsid w:val="15A63561"/>
    <w:rsid w:val="15B20AD3"/>
    <w:rsid w:val="15B53B9F"/>
    <w:rsid w:val="15B9648E"/>
    <w:rsid w:val="15BE7CAB"/>
    <w:rsid w:val="15C06257"/>
    <w:rsid w:val="15C574B2"/>
    <w:rsid w:val="15D23282"/>
    <w:rsid w:val="15D5355B"/>
    <w:rsid w:val="15D76788"/>
    <w:rsid w:val="15DA6E9E"/>
    <w:rsid w:val="15DC32D9"/>
    <w:rsid w:val="15E04E5A"/>
    <w:rsid w:val="15EB4BE7"/>
    <w:rsid w:val="15EC4CC4"/>
    <w:rsid w:val="15F40B5B"/>
    <w:rsid w:val="15F905BA"/>
    <w:rsid w:val="160A5CEF"/>
    <w:rsid w:val="16183AB0"/>
    <w:rsid w:val="16193FF4"/>
    <w:rsid w:val="161D7A9A"/>
    <w:rsid w:val="162115DE"/>
    <w:rsid w:val="16212955"/>
    <w:rsid w:val="16236722"/>
    <w:rsid w:val="163026FD"/>
    <w:rsid w:val="163E3747"/>
    <w:rsid w:val="16415AEB"/>
    <w:rsid w:val="16456CC4"/>
    <w:rsid w:val="164813C6"/>
    <w:rsid w:val="1650706E"/>
    <w:rsid w:val="16531805"/>
    <w:rsid w:val="165F736A"/>
    <w:rsid w:val="16710B48"/>
    <w:rsid w:val="16770956"/>
    <w:rsid w:val="16774C37"/>
    <w:rsid w:val="167E6CBA"/>
    <w:rsid w:val="169460F8"/>
    <w:rsid w:val="16984A05"/>
    <w:rsid w:val="1699530B"/>
    <w:rsid w:val="16A4751D"/>
    <w:rsid w:val="16AB3ED9"/>
    <w:rsid w:val="16AC1DD6"/>
    <w:rsid w:val="16BC62B8"/>
    <w:rsid w:val="16CD5080"/>
    <w:rsid w:val="16E8527E"/>
    <w:rsid w:val="16F80E67"/>
    <w:rsid w:val="17106D13"/>
    <w:rsid w:val="17125301"/>
    <w:rsid w:val="171C34BA"/>
    <w:rsid w:val="171D1F4E"/>
    <w:rsid w:val="17286204"/>
    <w:rsid w:val="17324695"/>
    <w:rsid w:val="174B6876"/>
    <w:rsid w:val="17583913"/>
    <w:rsid w:val="175C2D88"/>
    <w:rsid w:val="17602DE7"/>
    <w:rsid w:val="17624592"/>
    <w:rsid w:val="17632756"/>
    <w:rsid w:val="17662980"/>
    <w:rsid w:val="176713E6"/>
    <w:rsid w:val="17684D51"/>
    <w:rsid w:val="1771724D"/>
    <w:rsid w:val="17732ABC"/>
    <w:rsid w:val="1777019E"/>
    <w:rsid w:val="178027AF"/>
    <w:rsid w:val="17814CF8"/>
    <w:rsid w:val="17935A31"/>
    <w:rsid w:val="17993FD1"/>
    <w:rsid w:val="17997876"/>
    <w:rsid w:val="17A25569"/>
    <w:rsid w:val="17AA57C4"/>
    <w:rsid w:val="17AE3E62"/>
    <w:rsid w:val="17B8211C"/>
    <w:rsid w:val="17BE42E9"/>
    <w:rsid w:val="17C37954"/>
    <w:rsid w:val="17C64A09"/>
    <w:rsid w:val="17C749E7"/>
    <w:rsid w:val="17DB2EE0"/>
    <w:rsid w:val="17DD4E0B"/>
    <w:rsid w:val="17DF4776"/>
    <w:rsid w:val="17E05D29"/>
    <w:rsid w:val="17E2473E"/>
    <w:rsid w:val="17E83AA7"/>
    <w:rsid w:val="17F47BED"/>
    <w:rsid w:val="17F67C40"/>
    <w:rsid w:val="17F779DA"/>
    <w:rsid w:val="1801357B"/>
    <w:rsid w:val="18117495"/>
    <w:rsid w:val="181548D3"/>
    <w:rsid w:val="181C4222"/>
    <w:rsid w:val="18435EB9"/>
    <w:rsid w:val="184E2578"/>
    <w:rsid w:val="18514210"/>
    <w:rsid w:val="18520AC3"/>
    <w:rsid w:val="18630A2D"/>
    <w:rsid w:val="186572CC"/>
    <w:rsid w:val="1869633E"/>
    <w:rsid w:val="186D39B7"/>
    <w:rsid w:val="18724607"/>
    <w:rsid w:val="18826DA1"/>
    <w:rsid w:val="18891CD8"/>
    <w:rsid w:val="18975092"/>
    <w:rsid w:val="18995E47"/>
    <w:rsid w:val="18A53C62"/>
    <w:rsid w:val="18A85616"/>
    <w:rsid w:val="18B01BFD"/>
    <w:rsid w:val="18B054FD"/>
    <w:rsid w:val="18B175CE"/>
    <w:rsid w:val="18B55398"/>
    <w:rsid w:val="18BC6BF0"/>
    <w:rsid w:val="18DE7BA1"/>
    <w:rsid w:val="18F46FDC"/>
    <w:rsid w:val="18F615BD"/>
    <w:rsid w:val="18FF234A"/>
    <w:rsid w:val="19135BCB"/>
    <w:rsid w:val="1922739E"/>
    <w:rsid w:val="19251DDD"/>
    <w:rsid w:val="19270435"/>
    <w:rsid w:val="192B0F35"/>
    <w:rsid w:val="19302A18"/>
    <w:rsid w:val="193A577E"/>
    <w:rsid w:val="194A56E2"/>
    <w:rsid w:val="195053E2"/>
    <w:rsid w:val="19717A60"/>
    <w:rsid w:val="197B3D12"/>
    <w:rsid w:val="197D519C"/>
    <w:rsid w:val="1982122A"/>
    <w:rsid w:val="198928A5"/>
    <w:rsid w:val="19A47B04"/>
    <w:rsid w:val="19C81FC8"/>
    <w:rsid w:val="19CC3B3C"/>
    <w:rsid w:val="19D65731"/>
    <w:rsid w:val="19D91D07"/>
    <w:rsid w:val="19D96C72"/>
    <w:rsid w:val="19DE6957"/>
    <w:rsid w:val="19E316AB"/>
    <w:rsid w:val="19E846B4"/>
    <w:rsid w:val="19EA74E1"/>
    <w:rsid w:val="19F92510"/>
    <w:rsid w:val="19FC22E9"/>
    <w:rsid w:val="1A03142E"/>
    <w:rsid w:val="1A0873FB"/>
    <w:rsid w:val="1A260FC1"/>
    <w:rsid w:val="1A323497"/>
    <w:rsid w:val="1A343C07"/>
    <w:rsid w:val="1A3C0102"/>
    <w:rsid w:val="1A3C0E71"/>
    <w:rsid w:val="1A407A93"/>
    <w:rsid w:val="1A4407D8"/>
    <w:rsid w:val="1A462421"/>
    <w:rsid w:val="1A482B8B"/>
    <w:rsid w:val="1A5A06D1"/>
    <w:rsid w:val="1A5B1916"/>
    <w:rsid w:val="1A5E10C1"/>
    <w:rsid w:val="1A5F22FE"/>
    <w:rsid w:val="1A5F34B6"/>
    <w:rsid w:val="1A66238D"/>
    <w:rsid w:val="1A7018B1"/>
    <w:rsid w:val="1A730CA0"/>
    <w:rsid w:val="1A733E3A"/>
    <w:rsid w:val="1A7C5346"/>
    <w:rsid w:val="1A836B32"/>
    <w:rsid w:val="1A867C1D"/>
    <w:rsid w:val="1A893033"/>
    <w:rsid w:val="1A9504BD"/>
    <w:rsid w:val="1AAC029B"/>
    <w:rsid w:val="1AB77DC3"/>
    <w:rsid w:val="1ABE6FDA"/>
    <w:rsid w:val="1AC7392A"/>
    <w:rsid w:val="1AD65AB7"/>
    <w:rsid w:val="1AD96637"/>
    <w:rsid w:val="1AE31190"/>
    <w:rsid w:val="1AF444A6"/>
    <w:rsid w:val="1AF84403"/>
    <w:rsid w:val="1B0812F5"/>
    <w:rsid w:val="1B1A019C"/>
    <w:rsid w:val="1B475DF2"/>
    <w:rsid w:val="1B526DB5"/>
    <w:rsid w:val="1B642879"/>
    <w:rsid w:val="1B660F6F"/>
    <w:rsid w:val="1B760630"/>
    <w:rsid w:val="1B86008C"/>
    <w:rsid w:val="1B880AAE"/>
    <w:rsid w:val="1B9A0095"/>
    <w:rsid w:val="1B9D5AAC"/>
    <w:rsid w:val="1BA66F4F"/>
    <w:rsid w:val="1BAE1032"/>
    <w:rsid w:val="1BC2309E"/>
    <w:rsid w:val="1BC40DFA"/>
    <w:rsid w:val="1BC67F80"/>
    <w:rsid w:val="1BC72767"/>
    <w:rsid w:val="1BC964B7"/>
    <w:rsid w:val="1BD52663"/>
    <w:rsid w:val="1BED0619"/>
    <w:rsid w:val="1C027678"/>
    <w:rsid w:val="1C05313C"/>
    <w:rsid w:val="1C081316"/>
    <w:rsid w:val="1C2166EA"/>
    <w:rsid w:val="1C3135C2"/>
    <w:rsid w:val="1C3173A3"/>
    <w:rsid w:val="1C36543C"/>
    <w:rsid w:val="1C435338"/>
    <w:rsid w:val="1C6D189F"/>
    <w:rsid w:val="1C7604A2"/>
    <w:rsid w:val="1C864142"/>
    <w:rsid w:val="1C8B44F4"/>
    <w:rsid w:val="1C9112ED"/>
    <w:rsid w:val="1C9A5BC2"/>
    <w:rsid w:val="1C9F16B4"/>
    <w:rsid w:val="1CA01CB6"/>
    <w:rsid w:val="1CA45B08"/>
    <w:rsid w:val="1CA83290"/>
    <w:rsid w:val="1CC564AD"/>
    <w:rsid w:val="1CDD743E"/>
    <w:rsid w:val="1CEF1489"/>
    <w:rsid w:val="1CFA2BC1"/>
    <w:rsid w:val="1D010E4D"/>
    <w:rsid w:val="1D056CD6"/>
    <w:rsid w:val="1D1046FD"/>
    <w:rsid w:val="1D155885"/>
    <w:rsid w:val="1D254CD8"/>
    <w:rsid w:val="1D2B46FD"/>
    <w:rsid w:val="1D2E0287"/>
    <w:rsid w:val="1D3022DA"/>
    <w:rsid w:val="1D3321DF"/>
    <w:rsid w:val="1D3F4FAE"/>
    <w:rsid w:val="1D483740"/>
    <w:rsid w:val="1D5948A7"/>
    <w:rsid w:val="1D604A38"/>
    <w:rsid w:val="1D660E0F"/>
    <w:rsid w:val="1D671E57"/>
    <w:rsid w:val="1D6C768D"/>
    <w:rsid w:val="1D6F1461"/>
    <w:rsid w:val="1D710F76"/>
    <w:rsid w:val="1D730B79"/>
    <w:rsid w:val="1D735C80"/>
    <w:rsid w:val="1D846F1C"/>
    <w:rsid w:val="1D9502FC"/>
    <w:rsid w:val="1D950793"/>
    <w:rsid w:val="1D970891"/>
    <w:rsid w:val="1DA132ED"/>
    <w:rsid w:val="1DB24D34"/>
    <w:rsid w:val="1DB42F60"/>
    <w:rsid w:val="1DB77537"/>
    <w:rsid w:val="1DD25EBA"/>
    <w:rsid w:val="1DDE384F"/>
    <w:rsid w:val="1DEA25B4"/>
    <w:rsid w:val="1DF203AA"/>
    <w:rsid w:val="1E0123E7"/>
    <w:rsid w:val="1E0276C8"/>
    <w:rsid w:val="1E234579"/>
    <w:rsid w:val="1E350312"/>
    <w:rsid w:val="1E48470A"/>
    <w:rsid w:val="1E494AB5"/>
    <w:rsid w:val="1E494D7E"/>
    <w:rsid w:val="1E513D41"/>
    <w:rsid w:val="1E582A2B"/>
    <w:rsid w:val="1E764FE4"/>
    <w:rsid w:val="1E8E117C"/>
    <w:rsid w:val="1E993BBB"/>
    <w:rsid w:val="1E9F10B7"/>
    <w:rsid w:val="1E9F6ABA"/>
    <w:rsid w:val="1EA828EE"/>
    <w:rsid w:val="1EB36CCC"/>
    <w:rsid w:val="1EB548EA"/>
    <w:rsid w:val="1EB72B83"/>
    <w:rsid w:val="1EBA4E89"/>
    <w:rsid w:val="1EBB6992"/>
    <w:rsid w:val="1EBE0723"/>
    <w:rsid w:val="1EC12F4F"/>
    <w:rsid w:val="1EC401B0"/>
    <w:rsid w:val="1ECA1BDC"/>
    <w:rsid w:val="1ED26BBC"/>
    <w:rsid w:val="1EDA4D0D"/>
    <w:rsid w:val="1EDA7E05"/>
    <w:rsid w:val="1EDB3B74"/>
    <w:rsid w:val="1EE258C2"/>
    <w:rsid w:val="1EF00C21"/>
    <w:rsid w:val="1EF04B90"/>
    <w:rsid w:val="1EF30AA1"/>
    <w:rsid w:val="1EF57078"/>
    <w:rsid w:val="1F0075EB"/>
    <w:rsid w:val="1F095979"/>
    <w:rsid w:val="1F0C0B3D"/>
    <w:rsid w:val="1F1B78D6"/>
    <w:rsid w:val="1F1C5A02"/>
    <w:rsid w:val="1F29051A"/>
    <w:rsid w:val="1F2B5A74"/>
    <w:rsid w:val="1F3B7BA0"/>
    <w:rsid w:val="1F3D40B7"/>
    <w:rsid w:val="1F4128FD"/>
    <w:rsid w:val="1F4650D6"/>
    <w:rsid w:val="1F54115B"/>
    <w:rsid w:val="1F574879"/>
    <w:rsid w:val="1F5D725B"/>
    <w:rsid w:val="1F63167A"/>
    <w:rsid w:val="1F6D3C9A"/>
    <w:rsid w:val="1F733D0E"/>
    <w:rsid w:val="1F867115"/>
    <w:rsid w:val="1F8D4C71"/>
    <w:rsid w:val="1F9D6E82"/>
    <w:rsid w:val="1FA140BF"/>
    <w:rsid w:val="1FB635E0"/>
    <w:rsid w:val="1FC134AF"/>
    <w:rsid w:val="1FC92C72"/>
    <w:rsid w:val="1FCD69F4"/>
    <w:rsid w:val="1FD032CE"/>
    <w:rsid w:val="1FD22E33"/>
    <w:rsid w:val="1FD4007F"/>
    <w:rsid w:val="1FEF11C1"/>
    <w:rsid w:val="1FF27D84"/>
    <w:rsid w:val="1FF4292B"/>
    <w:rsid w:val="1FF90C1E"/>
    <w:rsid w:val="2003785A"/>
    <w:rsid w:val="200A11A8"/>
    <w:rsid w:val="200F1565"/>
    <w:rsid w:val="202368F6"/>
    <w:rsid w:val="20280EAE"/>
    <w:rsid w:val="203B20DE"/>
    <w:rsid w:val="203D6C88"/>
    <w:rsid w:val="20530D3C"/>
    <w:rsid w:val="2064519B"/>
    <w:rsid w:val="20652A60"/>
    <w:rsid w:val="206644EA"/>
    <w:rsid w:val="20697515"/>
    <w:rsid w:val="207362D6"/>
    <w:rsid w:val="20781440"/>
    <w:rsid w:val="207C1201"/>
    <w:rsid w:val="207D14EC"/>
    <w:rsid w:val="208278CA"/>
    <w:rsid w:val="20891E72"/>
    <w:rsid w:val="208B772A"/>
    <w:rsid w:val="20942B02"/>
    <w:rsid w:val="20AF3D0F"/>
    <w:rsid w:val="20B131D7"/>
    <w:rsid w:val="20B44159"/>
    <w:rsid w:val="20B8725A"/>
    <w:rsid w:val="20BE044E"/>
    <w:rsid w:val="20CE3120"/>
    <w:rsid w:val="20D00272"/>
    <w:rsid w:val="20D3005A"/>
    <w:rsid w:val="20D46A76"/>
    <w:rsid w:val="20D81A37"/>
    <w:rsid w:val="20D91233"/>
    <w:rsid w:val="20EA13C3"/>
    <w:rsid w:val="20EC69F0"/>
    <w:rsid w:val="20F77642"/>
    <w:rsid w:val="20F8466E"/>
    <w:rsid w:val="20FA1161"/>
    <w:rsid w:val="20FB583E"/>
    <w:rsid w:val="211155AB"/>
    <w:rsid w:val="211C4C2C"/>
    <w:rsid w:val="212750AE"/>
    <w:rsid w:val="214039B1"/>
    <w:rsid w:val="21480631"/>
    <w:rsid w:val="214A3887"/>
    <w:rsid w:val="214E21E3"/>
    <w:rsid w:val="215460E7"/>
    <w:rsid w:val="215C4E51"/>
    <w:rsid w:val="216451EB"/>
    <w:rsid w:val="216F2746"/>
    <w:rsid w:val="2172148D"/>
    <w:rsid w:val="21736C7D"/>
    <w:rsid w:val="217A1804"/>
    <w:rsid w:val="217C50F0"/>
    <w:rsid w:val="21820AA0"/>
    <w:rsid w:val="21A02AA3"/>
    <w:rsid w:val="21A17F75"/>
    <w:rsid w:val="21A60B14"/>
    <w:rsid w:val="21C46DBD"/>
    <w:rsid w:val="21C669A0"/>
    <w:rsid w:val="21D90E21"/>
    <w:rsid w:val="21DB1567"/>
    <w:rsid w:val="21DC3B74"/>
    <w:rsid w:val="21E34985"/>
    <w:rsid w:val="21F31F7D"/>
    <w:rsid w:val="21FD5A86"/>
    <w:rsid w:val="22055232"/>
    <w:rsid w:val="22076518"/>
    <w:rsid w:val="220A47EC"/>
    <w:rsid w:val="220F7598"/>
    <w:rsid w:val="2213595A"/>
    <w:rsid w:val="22145220"/>
    <w:rsid w:val="221A73D8"/>
    <w:rsid w:val="221F4E4C"/>
    <w:rsid w:val="2222557F"/>
    <w:rsid w:val="22234CE7"/>
    <w:rsid w:val="22253AED"/>
    <w:rsid w:val="22366FE8"/>
    <w:rsid w:val="2237544B"/>
    <w:rsid w:val="223C1CB7"/>
    <w:rsid w:val="223E7B56"/>
    <w:rsid w:val="225069CE"/>
    <w:rsid w:val="22674B89"/>
    <w:rsid w:val="22686412"/>
    <w:rsid w:val="2276215C"/>
    <w:rsid w:val="2278728D"/>
    <w:rsid w:val="227F3860"/>
    <w:rsid w:val="227F7663"/>
    <w:rsid w:val="22845F20"/>
    <w:rsid w:val="22880AD5"/>
    <w:rsid w:val="22A26A1D"/>
    <w:rsid w:val="22A4321D"/>
    <w:rsid w:val="22A74B1B"/>
    <w:rsid w:val="22AA766E"/>
    <w:rsid w:val="22B731A6"/>
    <w:rsid w:val="22BB44AB"/>
    <w:rsid w:val="22BC62E5"/>
    <w:rsid w:val="22BD2D50"/>
    <w:rsid w:val="22C6189D"/>
    <w:rsid w:val="22DD41C5"/>
    <w:rsid w:val="22E10FAA"/>
    <w:rsid w:val="22E22992"/>
    <w:rsid w:val="22F24B2A"/>
    <w:rsid w:val="2308481C"/>
    <w:rsid w:val="23085487"/>
    <w:rsid w:val="230D060F"/>
    <w:rsid w:val="231448E4"/>
    <w:rsid w:val="231922C3"/>
    <w:rsid w:val="23211693"/>
    <w:rsid w:val="232744FF"/>
    <w:rsid w:val="232B68A0"/>
    <w:rsid w:val="233157E3"/>
    <w:rsid w:val="23442125"/>
    <w:rsid w:val="234B086B"/>
    <w:rsid w:val="234B5C81"/>
    <w:rsid w:val="236576EE"/>
    <w:rsid w:val="236E1D10"/>
    <w:rsid w:val="23726A23"/>
    <w:rsid w:val="23747063"/>
    <w:rsid w:val="237836E4"/>
    <w:rsid w:val="237C49CD"/>
    <w:rsid w:val="237D1BED"/>
    <w:rsid w:val="2381270C"/>
    <w:rsid w:val="238E7C7B"/>
    <w:rsid w:val="239A211F"/>
    <w:rsid w:val="23AF2A51"/>
    <w:rsid w:val="23C13274"/>
    <w:rsid w:val="23C36F25"/>
    <w:rsid w:val="23C848BE"/>
    <w:rsid w:val="23CA40A4"/>
    <w:rsid w:val="23E43FFD"/>
    <w:rsid w:val="23EA1982"/>
    <w:rsid w:val="23EE429C"/>
    <w:rsid w:val="23F671C2"/>
    <w:rsid w:val="2409769C"/>
    <w:rsid w:val="240C33A2"/>
    <w:rsid w:val="240E7FE8"/>
    <w:rsid w:val="24220F18"/>
    <w:rsid w:val="2425528C"/>
    <w:rsid w:val="242E6734"/>
    <w:rsid w:val="24373B1E"/>
    <w:rsid w:val="244341C9"/>
    <w:rsid w:val="2443438B"/>
    <w:rsid w:val="245855D0"/>
    <w:rsid w:val="24611851"/>
    <w:rsid w:val="24676000"/>
    <w:rsid w:val="24814B82"/>
    <w:rsid w:val="24867876"/>
    <w:rsid w:val="248D1F4B"/>
    <w:rsid w:val="249069DD"/>
    <w:rsid w:val="24934C99"/>
    <w:rsid w:val="24A32827"/>
    <w:rsid w:val="24A3388B"/>
    <w:rsid w:val="24A77048"/>
    <w:rsid w:val="24AC5A62"/>
    <w:rsid w:val="24B35CEB"/>
    <w:rsid w:val="24BC7011"/>
    <w:rsid w:val="24BE7483"/>
    <w:rsid w:val="24C92AAE"/>
    <w:rsid w:val="24CA2140"/>
    <w:rsid w:val="24CA4967"/>
    <w:rsid w:val="24CC1094"/>
    <w:rsid w:val="24D651B8"/>
    <w:rsid w:val="24DA0BED"/>
    <w:rsid w:val="24E85686"/>
    <w:rsid w:val="24EB5053"/>
    <w:rsid w:val="24F52E5D"/>
    <w:rsid w:val="24FB3C7B"/>
    <w:rsid w:val="25177996"/>
    <w:rsid w:val="252639FD"/>
    <w:rsid w:val="252D5DCA"/>
    <w:rsid w:val="25324209"/>
    <w:rsid w:val="2533439A"/>
    <w:rsid w:val="25395A39"/>
    <w:rsid w:val="254476F1"/>
    <w:rsid w:val="255874E3"/>
    <w:rsid w:val="255A6863"/>
    <w:rsid w:val="255F2922"/>
    <w:rsid w:val="25600D9D"/>
    <w:rsid w:val="2572391E"/>
    <w:rsid w:val="257815FF"/>
    <w:rsid w:val="25782608"/>
    <w:rsid w:val="25790711"/>
    <w:rsid w:val="257C0DE8"/>
    <w:rsid w:val="2588079D"/>
    <w:rsid w:val="25897072"/>
    <w:rsid w:val="259F3C60"/>
    <w:rsid w:val="25A80FC7"/>
    <w:rsid w:val="25AE1D99"/>
    <w:rsid w:val="25BD376F"/>
    <w:rsid w:val="25CB272D"/>
    <w:rsid w:val="25D20602"/>
    <w:rsid w:val="25D20840"/>
    <w:rsid w:val="25F41480"/>
    <w:rsid w:val="25F86939"/>
    <w:rsid w:val="25FA004D"/>
    <w:rsid w:val="26046CAA"/>
    <w:rsid w:val="26236D7B"/>
    <w:rsid w:val="262B3229"/>
    <w:rsid w:val="262F6AF1"/>
    <w:rsid w:val="263F31FC"/>
    <w:rsid w:val="264D2030"/>
    <w:rsid w:val="264D66B1"/>
    <w:rsid w:val="26513E52"/>
    <w:rsid w:val="2654468B"/>
    <w:rsid w:val="265E1847"/>
    <w:rsid w:val="266E5C88"/>
    <w:rsid w:val="26791843"/>
    <w:rsid w:val="267B1F77"/>
    <w:rsid w:val="267B4C3D"/>
    <w:rsid w:val="26825EC5"/>
    <w:rsid w:val="26945F27"/>
    <w:rsid w:val="269C2BCB"/>
    <w:rsid w:val="269E0014"/>
    <w:rsid w:val="26A15F14"/>
    <w:rsid w:val="26A65B40"/>
    <w:rsid w:val="26B25E5A"/>
    <w:rsid w:val="26B47515"/>
    <w:rsid w:val="26C27167"/>
    <w:rsid w:val="26C467A8"/>
    <w:rsid w:val="26C84387"/>
    <w:rsid w:val="26D77F81"/>
    <w:rsid w:val="26E520F6"/>
    <w:rsid w:val="26E85FB9"/>
    <w:rsid w:val="26EB0F75"/>
    <w:rsid w:val="27006CA7"/>
    <w:rsid w:val="27034324"/>
    <w:rsid w:val="27065997"/>
    <w:rsid w:val="27110EDF"/>
    <w:rsid w:val="271432DD"/>
    <w:rsid w:val="271D7D92"/>
    <w:rsid w:val="273079EF"/>
    <w:rsid w:val="27384EB5"/>
    <w:rsid w:val="27591990"/>
    <w:rsid w:val="275D65F5"/>
    <w:rsid w:val="2777263E"/>
    <w:rsid w:val="2788244C"/>
    <w:rsid w:val="2792434F"/>
    <w:rsid w:val="27973E78"/>
    <w:rsid w:val="27A157F2"/>
    <w:rsid w:val="27A7768E"/>
    <w:rsid w:val="27AC7671"/>
    <w:rsid w:val="27B2328B"/>
    <w:rsid w:val="27B72AB2"/>
    <w:rsid w:val="27C402A1"/>
    <w:rsid w:val="27CB550A"/>
    <w:rsid w:val="27D822B7"/>
    <w:rsid w:val="27DB2338"/>
    <w:rsid w:val="27DD735E"/>
    <w:rsid w:val="27DF4418"/>
    <w:rsid w:val="27F17EA2"/>
    <w:rsid w:val="27FC34A8"/>
    <w:rsid w:val="28052F25"/>
    <w:rsid w:val="281938FF"/>
    <w:rsid w:val="281E5776"/>
    <w:rsid w:val="28233194"/>
    <w:rsid w:val="282B2EDA"/>
    <w:rsid w:val="282D4355"/>
    <w:rsid w:val="2839061D"/>
    <w:rsid w:val="283A05DC"/>
    <w:rsid w:val="283B37A3"/>
    <w:rsid w:val="28417B29"/>
    <w:rsid w:val="28461FD9"/>
    <w:rsid w:val="28474EA4"/>
    <w:rsid w:val="285151A7"/>
    <w:rsid w:val="28563C77"/>
    <w:rsid w:val="28636BC2"/>
    <w:rsid w:val="287761B8"/>
    <w:rsid w:val="287E5786"/>
    <w:rsid w:val="2880001A"/>
    <w:rsid w:val="28866E4D"/>
    <w:rsid w:val="28893CD3"/>
    <w:rsid w:val="28911BFF"/>
    <w:rsid w:val="289312FE"/>
    <w:rsid w:val="289B4C3C"/>
    <w:rsid w:val="28A43C82"/>
    <w:rsid w:val="28A626AF"/>
    <w:rsid w:val="28B8305D"/>
    <w:rsid w:val="28BD13AF"/>
    <w:rsid w:val="28C51B12"/>
    <w:rsid w:val="28D31CBE"/>
    <w:rsid w:val="28D774B2"/>
    <w:rsid w:val="28D863A4"/>
    <w:rsid w:val="28DF2D3D"/>
    <w:rsid w:val="28E42E0B"/>
    <w:rsid w:val="28F95975"/>
    <w:rsid w:val="29013E32"/>
    <w:rsid w:val="29024553"/>
    <w:rsid w:val="29101103"/>
    <w:rsid w:val="291503A3"/>
    <w:rsid w:val="291B3F04"/>
    <w:rsid w:val="292915B2"/>
    <w:rsid w:val="292F7E41"/>
    <w:rsid w:val="2935068F"/>
    <w:rsid w:val="293A5CD5"/>
    <w:rsid w:val="293D2793"/>
    <w:rsid w:val="29401EC1"/>
    <w:rsid w:val="29491CBA"/>
    <w:rsid w:val="295358BD"/>
    <w:rsid w:val="295D10F0"/>
    <w:rsid w:val="29601B52"/>
    <w:rsid w:val="296D1796"/>
    <w:rsid w:val="296D732A"/>
    <w:rsid w:val="296F0D2D"/>
    <w:rsid w:val="296F7B40"/>
    <w:rsid w:val="297719FE"/>
    <w:rsid w:val="297C5227"/>
    <w:rsid w:val="29827584"/>
    <w:rsid w:val="298F7759"/>
    <w:rsid w:val="299475F9"/>
    <w:rsid w:val="299623F1"/>
    <w:rsid w:val="299E44D6"/>
    <w:rsid w:val="29A872FB"/>
    <w:rsid w:val="29B04909"/>
    <w:rsid w:val="29BF4824"/>
    <w:rsid w:val="29C0676D"/>
    <w:rsid w:val="29CB004A"/>
    <w:rsid w:val="29CD187A"/>
    <w:rsid w:val="29D1014C"/>
    <w:rsid w:val="29D63757"/>
    <w:rsid w:val="29D67C37"/>
    <w:rsid w:val="29DC525C"/>
    <w:rsid w:val="29DD582A"/>
    <w:rsid w:val="29E008AE"/>
    <w:rsid w:val="29E72216"/>
    <w:rsid w:val="29EB0A8C"/>
    <w:rsid w:val="29F05AFF"/>
    <w:rsid w:val="29FC358C"/>
    <w:rsid w:val="29FD79C7"/>
    <w:rsid w:val="2A085829"/>
    <w:rsid w:val="2A0F6CDF"/>
    <w:rsid w:val="2A101D4A"/>
    <w:rsid w:val="2A122555"/>
    <w:rsid w:val="2A1568E5"/>
    <w:rsid w:val="2A1F69C8"/>
    <w:rsid w:val="2A265EBF"/>
    <w:rsid w:val="2A270294"/>
    <w:rsid w:val="2A3369DC"/>
    <w:rsid w:val="2A524BDB"/>
    <w:rsid w:val="2A581A47"/>
    <w:rsid w:val="2A5912F4"/>
    <w:rsid w:val="2A5B618F"/>
    <w:rsid w:val="2A5C4EB7"/>
    <w:rsid w:val="2A6931D1"/>
    <w:rsid w:val="2A7077EE"/>
    <w:rsid w:val="2A74736B"/>
    <w:rsid w:val="2A795800"/>
    <w:rsid w:val="2A7C4F9A"/>
    <w:rsid w:val="2A7D1B82"/>
    <w:rsid w:val="2A83374A"/>
    <w:rsid w:val="2A8750C2"/>
    <w:rsid w:val="2A963093"/>
    <w:rsid w:val="2AA62D58"/>
    <w:rsid w:val="2AA92A21"/>
    <w:rsid w:val="2ACD3663"/>
    <w:rsid w:val="2ADE2C6B"/>
    <w:rsid w:val="2ADF68C1"/>
    <w:rsid w:val="2AE361BD"/>
    <w:rsid w:val="2AE37803"/>
    <w:rsid w:val="2AE51EDC"/>
    <w:rsid w:val="2AF00CED"/>
    <w:rsid w:val="2AF2514C"/>
    <w:rsid w:val="2B0166AA"/>
    <w:rsid w:val="2B062E16"/>
    <w:rsid w:val="2B1356E2"/>
    <w:rsid w:val="2B1C4340"/>
    <w:rsid w:val="2B1F1308"/>
    <w:rsid w:val="2B2071C5"/>
    <w:rsid w:val="2B2731C6"/>
    <w:rsid w:val="2B356C62"/>
    <w:rsid w:val="2B36148A"/>
    <w:rsid w:val="2B513F18"/>
    <w:rsid w:val="2B5D62B7"/>
    <w:rsid w:val="2B601423"/>
    <w:rsid w:val="2B605A31"/>
    <w:rsid w:val="2B636B26"/>
    <w:rsid w:val="2B650E1B"/>
    <w:rsid w:val="2B68461C"/>
    <w:rsid w:val="2B6F3D81"/>
    <w:rsid w:val="2B791BEE"/>
    <w:rsid w:val="2B7D52D3"/>
    <w:rsid w:val="2B8942BD"/>
    <w:rsid w:val="2B8A0BF6"/>
    <w:rsid w:val="2B905FB7"/>
    <w:rsid w:val="2BA30D4A"/>
    <w:rsid w:val="2BA5147A"/>
    <w:rsid w:val="2BAD053A"/>
    <w:rsid w:val="2BAD423A"/>
    <w:rsid w:val="2BB00031"/>
    <w:rsid w:val="2BC96365"/>
    <w:rsid w:val="2BCD03D2"/>
    <w:rsid w:val="2BCD2278"/>
    <w:rsid w:val="2BDB6D0B"/>
    <w:rsid w:val="2BE34810"/>
    <w:rsid w:val="2BEC15D5"/>
    <w:rsid w:val="2BF42C52"/>
    <w:rsid w:val="2BFE5197"/>
    <w:rsid w:val="2C376C86"/>
    <w:rsid w:val="2C4B08C7"/>
    <w:rsid w:val="2C5F0EC7"/>
    <w:rsid w:val="2C611C67"/>
    <w:rsid w:val="2C652437"/>
    <w:rsid w:val="2C6D00A1"/>
    <w:rsid w:val="2C6F2844"/>
    <w:rsid w:val="2C7910D6"/>
    <w:rsid w:val="2C7E7214"/>
    <w:rsid w:val="2C8B79F5"/>
    <w:rsid w:val="2C8C5DDC"/>
    <w:rsid w:val="2C8E00B2"/>
    <w:rsid w:val="2C9D2E10"/>
    <w:rsid w:val="2C9D4247"/>
    <w:rsid w:val="2CA1037B"/>
    <w:rsid w:val="2CB164D9"/>
    <w:rsid w:val="2CC34986"/>
    <w:rsid w:val="2CC5732A"/>
    <w:rsid w:val="2CCE1340"/>
    <w:rsid w:val="2CD0152F"/>
    <w:rsid w:val="2CD40E14"/>
    <w:rsid w:val="2CE46F96"/>
    <w:rsid w:val="2CF32354"/>
    <w:rsid w:val="2D167838"/>
    <w:rsid w:val="2D2A5546"/>
    <w:rsid w:val="2D2E2133"/>
    <w:rsid w:val="2D3E0CD9"/>
    <w:rsid w:val="2D513A5A"/>
    <w:rsid w:val="2D544D9D"/>
    <w:rsid w:val="2D556980"/>
    <w:rsid w:val="2D5700A0"/>
    <w:rsid w:val="2D6A7C5B"/>
    <w:rsid w:val="2D760F47"/>
    <w:rsid w:val="2D7E2D12"/>
    <w:rsid w:val="2D8D4E9E"/>
    <w:rsid w:val="2DBA1B2D"/>
    <w:rsid w:val="2DCA314E"/>
    <w:rsid w:val="2DCB5D17"/>
    <w:rsid w:val="2DE63084"/>
    <w:rsid w:val="2DE75242"/>
    <w:rsid w:val="2DEA21B6"/>
    <w:rsid w:val="2DF865B4"/>
    <w:rsid w:val="2DFE05FD"/>
    <w:rsid w:val="2E0C7B1B"/>
    <w:rsid w:val="2E293828"/>
    <w:rsid w:val="2E2B0304"/>
    <w:rsid w:val="2E2E4769"/>
    <w:rsid w:val="2E2F21C5"/>
    <w:rsid w:val="2E2F5EBB"/>
    <w:rsid w:val="2E341077"/>
    <w:rsid w:val="2E3C6328"/>
    <w:rsid w:val="2E3F5109"/>
    <w:rsid w:val="2E452F00"/>
    <w:rsid w:val="2E566088"/>
    <w:rsid w:val="2E570260"/>
    <w:rsid w:val="2E5E298B"/>
    <w:rsid w:val="2E644886"/>
    <w:rsid w:val="2E746E03"/>
    <w:rsid w:val="2E8B045E"/>
    <w:rsid w:val="2EA902D2"/>
    <w:rsid w:val="2EB15FD4"/>
    <w:rsid w:val="2EB20C71"/>
    <w:rsid w:val="2EC753F9"/>
    <w:rsid w:val="2ECD0A59"/>
    <w:rsid w:val="2ECD0F2D"/>
    <w:rsid w:val="2ED05631"/>
    <w:rsid w:val="2ED505C7"/>
    <w:rsid w:val="2EDC5322"/>
    <w:rsid w:val="2EE00CD2"/>
    <w:rsid w:val="2EF72ABA"/>
    <w:rsid w:val="2EFB192A"/>
    <w:rsid w:val="2F023CC9"/>
    <w:rsid w:val="2F044FB5"/>
    <w:rsid w:val="2F0B239A"/>
    <w:rsid w:val="2F163812"/>
    <w:rsid w:val="2F1A7CA8"/>
    <w:rsid w:val="2F216FA9"/>
    <w:rsid w:val="2F2D6512"/>
    <w:rsid w:val="2F327F6D"/>
    <w:rsid w:val="2F39427A"/>
    <w:rsid w:val="2F54333B"/>
    <w:rsid w:val="2F55409B"/>
    <w:rsid w:val="2F5E1470"/>
    <w:rsid w:val="2F677E00"/>
    <w:rsid w:val="2F685B6D"/>
    <w:rsid w:val="2F6D5CB1"/>
    <w:rsid w:val="2F77649C"/>
    <w:rsid w:val="2F810841"/>
    <w:rsid w:val="2F824E76"/>
    <w:rsid w:val="2F853FB8"/>
    <w:rsid w:val="2F8E2E2F"/>
    <w:rsid w:val="2F9B3E80"/>
    <w:rsid w:val="2FB456E1"/>
    <w:rsid w:val="2FB62E3E"/>
    <w:rsid w:val="2FB703CF"/>
    <w:rsid w:val="2FB85EBF"/>
    <w:rsid w:val="2FB910A8"/>
    <w:rsid w:val="2FBE30D4"/>
    <w:rsid w:val="2FC0200A"/>
    <w:rsid w:val="2FC75150"/>
    <w:rsid w:val="2FC806BD"/>
    <w:rsid w:val="2FC914A7"/>
    <w:rsid w:val="2FD07634"/>
    <w:rsid w:val="2FD53D74"/>
    <w:rsid w:val="2FE26DF0"/>
    <w:rsid w:val="2FE40AA5"/>
    <w:rsid w:val="2FF03F85"/>
    <w:rsid w:val="2FF74E4F"/>
    <w:rsid w:val="2FFB6B44"/>
    <w:rsid w:val="302E4FA6"/>
    <w:rsid w:val="303A1144"/>
    <w:rsid w:val="303E4D49"/>
    <w:rsid w:val="30423960"/>
    <w:rsid w:val="30460629"/>
    <w:rsid w:val="30535A4F"/>
    <w:rsid w:val="305539A8"/>
    <w:rsid w:val="30573F46"/>
    <w:rsid w:val="30613682"/>
    <w:rsid w:val="30645027"/>
    <w:rsid w:val="306652A1"/>
    <w:rsid w:val="30797A56"/>
    <w:rsid w:val="308374E9"/>
    <w:rsid w:val="30873541"/>
    <w:rsid w:val="30881FEA"/>
    <w:rsid w:val="308E1BA8"/>
    <w:rsid w:val="309504AE"/>
    <w:rsid w:val="309C5662"/>
    <w:rsid w:val="30A539CB"/>
    <w:rsid w:val="30A771A5"/>
    <w:rsid w:val="30B26F9C"/>
    <w:rsid w:val="30BE7437"/>
    <w:rsid w:val="30C2575D"/>
    <w:rsid w:val="30C3689F"/>
    <w:rsid w:val="30C73D33"/>
    <w:rsid w:val="30CF2C52"/>
    <w:rsid w:val="30DA6383"/>
    <w:rsid w:val="30EF072F"/>
    <w:rsid w:val="30F129C8"/>
    <w:rsid w:val="30F51292"/>
    <w:rsid w:val="30FB2EDD"/>
    <w:rsid w:val="30FF2476"/>
    <w:rsid w:val="31090F6E"/>
    <w:rsid w:val="310D65A8"/>
    <w:rsid w:val="311A538B"/>
    <w:rsid w:val="3124116F"/>
    <w:rsid w:val="312507CD"/>
    <w:rsid w:val="31464598"/>
    <w:rsid w:val="31480B6E"/>
    <w:rsid w:val="31631C14"/>
    <w:rsid w:val="317C238C"/>
    <w:rsid w:val="317E1824"/>
    <w:rsid w:val="317E455E"/>
    <w:rsid w:val="31812D26"/>
    <w:rsid w:val="318A7C6E"/>
    <w:rsid w:val="318C4D09"/>
    <w:rsid w:val="318D1861"/>
    <w:rsid w:val="319240D6"/>
    <w:rsid w:val="31970337"/>
    <w:rsid w:val="31A60C85"/>
    <w:rsid w:val="31AD17FA"/>
    <w:rsid w:val="31B2735B"/>
    <w:rsid w:val="31C279AF"/>
    <w:rsid w:val="31C34E26"/>
    <w:rsid w:val="31C7704A"/>
    <w:rsid w:val="31D93ABB"/>
    <w:rsid w:val="31DB5B96"/>
    <w:rsid w:val="31E145D4"/>
    <w:rsid w:val="31E367AE"/>
    <w:rsid w:val="31E85216"/>
    <w:rsid w:val="31EB22ED"/>
    <w:rsid w:val="31ED43E4"/>
    <w:rsid w:val="31F010E3"/>
    <w:rsid w:val="31F5587C"/>
    <w:rsid w:val="31FA2DA0"/>
    <w:rsid w:val="32060A85"/>
    <w:rsid w:val="320C3C60"/>
    <w:rsid w:val="32182BCD"/>
    <w:rsid w:val="321B42B4"/>
    <w:rsid w:val="32225EF3"/>
    <w:rsid w:val="32232C98"/>
    <w:rsid w:val="322546A8"/>
    <w:rsid w:val="32271DDC"/>
    <w:rsid w:val="322A05BF"/>
    <w:rsid w:val="322C16CD"/>
    <w:rsid w:val="322F2C68"/>
    <w:rsid w:val="32326D27"/>
    <w:rsid w:val="3235149E"/>
    <w:rsid w:val="323A37A9"/>
    <w:rsid w:val="32405914"/>
    <w:rsid w:val="3256227B"/>
    <w:rsid w:val="325A7AB6"/>
    <w:rsid w:val="32671087"/>
    <w:rsid w:val="32684B25"/>
    <w:rsid w:val="326C6F87"/>
    <w:rsid w:val="327C1BD6"/>
    <w:rsid w:val="32926BB9"/>
    <w:rsid w:val="329471E9"/>
    <w:rsid w:val="3299520A"/>
    <w:rsid w:val="329B5FA6"/>
    <w:rsid w:val="329E2208"/>
    <w:rsid w:val="32A65EC0"/>
    <w:rsid w:val="32A80F1E"/>
    <w:rsid w:val="32C02977"/>
    <w:rsid w:val="32C51287"/>
    <w:rsid w:val="32D824A0"/>
    <w:rsid w:val="32E2757F"/>
    <w:rsid w:val="32E57252"/>
    <w:rsid w:val="33091E1F"/>
    <w:rsid w:val="330B0FD0"/>
    <w:rsid w:val="331E099F"/>
    <w:rsid w:val="33202541"/>
    <w:rsid w:val="3328336B"/>
    <w:rsid w:val="3328734C"/>
    <w:rsid w:val="333663FF"/>
    <w:rsid w:val="333C7FDD"/>
    <w:rsid w:val="3342213D"/>
    <w:rsid w:val="334C1DC5"/>
    <w:rsid w:val="33522F6A"/>
    <w:rsid w:val="336F2358"/>
    <w:rsid w:val="33727633"/>
    <w:rsid w:val="338F7249"/>
    <w:rsid w:val="339077F6"/>
    <w:rsid w:val="33A57923"/>
    <w:rsid w:val="33B2461C"/>
    <w:rsid w:val="33B75090"/>
    <w:rsid w:val="33C01E31"/>
    <w:rsid w:val="33C67C3F"/>
    <w:rsid w:val="33CD2311"/>
    <w:rsid w:val="33D10BAC"/>
    <w:rsid w:val="33DA4207"/>
    <w:rsid w:val="33F10FBA"/>
    <w:rsid w:val="33F47F2B"/>
    <w:rsid w:val="33F97298"/>
    <w:rsid w:val="33FF3035"/>
    <w:rsid w:val="340163F7"/>
    <w:rsid w:val="34086603"/>
    <w:rsid w:val="342C4726"/>
    <w:rsid w:val="34367ABB"/>
    <w:rsid w:val="343A2409"/>
    <w:rsid w:val="344A01CD"/>
    <w:rsid w:val="344B0C26"/>
    <w:rsid w:val="34544B80"/>
    <w:rsid w:val="34573198"/>
    <w:rsid w:val="345A3805"/>
    <w:rsid w:val="346269C2"/>
    <w:rsid w:val="34656F77"/>
    <w:rsid w:val="34683A41"/>
    <w:rsid w:val="346C6EA1"/>
    <w:rsid w:val="347910EA"/>
    <w:rsid w:val="347F690C"/>
    <w:rsid w:val="348147E7"/>
    <w:rsid w:val="349162E4"/>
    <w:rsid w:val="34974F9E"/>
    <w:rsid w:val="34996D25"/>
    <w:rsid w:val="34A355B5"/>
    <w:rsid w:val="34AF30DC"/>
    <w:rsid w:val="34B60E57"/>
    <w:rsid w:val="34B951CB"/>
    <w:rsid w:val="34BC4D7C"/>
    <w:rsid w:val="34BD7F3F"/>
    <w:rsid w:val="34C21327"/>
    <w:rsid w:val="34CC202E"/>
    <w:rsid w:val="34E078A9"/>
    <w:rsid w:val="34E55ACF"/>
    <w:rsid w:val="34E85DEA"/>
    <w:rsid w:val="34F00DF2"/>
    <w:rsid w:val="34F106F0"/>
    <w:rsid w:val="34F81B04"/>
    <w:rsid w:val="35002171"/>
    <w:rsid w:val="350B4466"/>
    <w:rsid w:val="350C7565"/>
    <w:rsid w:val="35120F9A"/>
    <w:rsid w:val="353131CF"/>
    <w:rsid w:val="353321A9"/>
    <w:rsid w:val="3537276F"/>
    <w:rsid w:val="3544634A"/>
    <w:rsid w:val="35465A59"/>
    <w:rsid w:val="35486087"/>
    <w:rsid w:val="354B08E8"/>
    <w:rsid w:val="355307CF"/>
    <w:rsid w:val="355B48AB"/>
    <w:rsid w:val="35600185"/>
    <w:rsid w:val="35620EF0"/>
    <w:rsid w:val="356D316B"/>
    <w:rsid w:val="357D6614"/>
    <w:rsid w:val="35821149"/>
    <w:rsid w:val="358A72E3"/>
    <w:rsid w:val="35970A54"/>
    <w:rsid w:val="359875F2"/>
    <w:rsid w:val="35A112FC"/>
    <w:rsid w:val="35A11DFC"/>
    <w:rsid w:val="35B37939"/>
    <w:rsid w:val="35BA79A5"/>
    <w:rsid w:val="35BB6E07"/>
    <w:rsid w:val="35BD3CA0"/>
    <w:rsid w:val="35C05B93"/>
    <w:rsid w:val="35C30497"/>
    <w:rsid w:val="35E171AE"/>
    <w:rsid w:val="35E50252"/>
    <w:rsid w:val="36023959"/>
    <w:rsid w:val="3607468D"/>
    <w:rsid w:val="360A4192"/>
    <w:rsid w:val="361356F4"/>
    <w:rsid w:val="36210FFD"/>
    <w:rsid w:val="362B1E1E"/>
    <w:rsid w:val="362E2A50"/>
    <w:rsid w:val="36346D86"/>
    <w:rsid w:val="36361977"/>
    <w:rsid w:val="364E1A98"/>
    <w:rsid w:val="3650709A"/>
    <w:rsid w:val="36513B29"/>
    <w:rsid w:val="3655701B"/>
    <w:rsid w:val="366B4C8F"/>
    <w:rsid w:val="366D4FFF"/>
    <w:rsid w:val="366D78DF"/>
    <w:rsid w:val="36781966"/>
    <w:rsid w:val="368C6C52"/>
    <w:rsid w:val="369170DE"/>
    <w:rsid w:val="36A25EC2"/>
    <w:rsid w:val="36A41741"/>
    <w:rsid w:val="36B93617"/>
    <w:rsid w:val="36BE6055"/>
    <w:rsid w:val="36C34072"/>
    <w:rsid w:val="36C57B1E"/>
    <w:rsid w:val="36C85C75"/>
    <w:rsid w:val="36DB10FE"/>
    <w:rsid w:val="36E8044B"/>
    <w:rsid w:val="36E91683"/>
    <w:rsid w:val="36EA3D4F"/>
    <w:rsid w:val="36F2259C"/>
    <w:rsid w:val="371662A1"/>
    <w:rsid w:val="371C24A9"/>
    <w:rsid w:val="37255810"/>
    <w:rsid w:val="373C3878"/>
    <w:rsid w:val="373F62BD"/>
    <w:rsid w:val="374C0007"/>
    <w:rsid w:val="375B6B0F"/>
    <w:rsid w:val="3760474D"/>
    <w:rsid w:val="37686EB4"/>
    <w:rsid w:val="377170E6"/>
    <w:rsid w:val="37722D2E"/>
    <w:rsid w:val="37734F87"/>
    <w:rsid w:val="37746BED"/>
    <w:rsid w:val="37751AC9"/>
    <w:rsid w:val="377B64D6"/>
    <w:rsid w:val="377F061F"/>
    <w:rsid w:val="378657D6"/>
    <w:rsid w:val="37934DB9"/>
    <w:rsid w:val="3793622A"/>
    <w:rsid w:val="37995ED9"/>
    <w:rsid w:val="379A3596"/>
    <w:rsid w:val="379A59B1"/>
    <w:rsid w:val="379D3D73"/>
    <w:rsid w:val="379E413F"/>
    <w:rsid w:val="379F5E8C"/>
    <w:rsid w:val="37A479A0"/>
    <w:rsid w:val="37AB48B6"/>
    <w:rsid w:val="37AE273A"/>
    <w:rsid w:val="37B000F0"/>
    <w:rsid w:val="37B4685D"/>
    <w:rsid w:val="37B72C58"/>
    <w:rsid w:val="37D44150"/>
    <w:rsid w:val="37D66A1A"/>
    <w:rsid w:val="37DB5A5E"/>
    <w:rsid w:val="37DE6FA2"/>
    <w:rsid w:val="37E521BA"/>
    <w:rsid w:val="37EF1BA8"/>
    <w:rsid w:val="37F040A2"/>
    <w:rsid w:val="37F54D8E"/>
    <w:rsid w:val="37FA4D9A"/>
    <w:rsid w:val="37FC5367"/>
    <w:rsid w:val="3814721C"/>
    <w:rsid w:val="381A4012"/>
    <w:rsid w:val="383226D8"/>
    <w:rsid w:val="38446316"/>
    <w:rsid w:val="3852039C"/>
    <w:rsid w:val="385648F0"/>
    <w:rsid w:val="385C5F9D"/>
    <w:rsid w:val="386C1027"/>
    <w:rsid w:val="386D4E39"/>
    <w:rsid w:val="387463BA"/>
    <w:rsid w:val="38873B70"/>
    <w:rsid w:val="38876362"/>
    <w:rsid w:val="388B19D2"/>
    <w:rsid w:val="388B319D"/>
    <w:rsid w:val="38A35A2F"/>
    <w:rsid w:val="38A56BEC"/>
    <w:rsid w:val="38A772CB"/>
    <w:rsid w:val="38AB10AC"/>
    <w:rsid w:val="38B07447"/>
    <w:rsid w:val="38D059AD"/>
    <w:rsid w:val="38D230C4"/>
    <w:rsid w:val="38D724CF"/>
    <w:rsid w:val="38DE17A7"/>
    <w:rsid w:val="38E01952"/>
    <w:rsid w:val="38E273DE"/>
    <w:rsid w:val="38E300DE"/>
    <w:rsid w:val="38E95637"/>
    <w:rsid w:val="38F02BCD"/>
    <w:rsid w:val="38F51A80"/>
    <w:rsid w:val="38F838E7"/>
    <w:rsid w:val="38F85971"/>
    <w:rsid w:val="38F86B35"/>
    <w:rsid w:val="390242F7"/>
    <w:rsid w:val="39087AAC"/>
    <w:rsid w:val="39100DF2"/>
    <w:rsid w:val="39115E2E"/>
    <w:rsid w:val="391221EA"/>
    <w:rsid w:val="39221761"/>
    <w:rsid w:val="39263607"/>
    <w:rsid w:val="393A4DDE"/>
    <w:rsid w:val="39646A00"/>
    <w:rsid w:val="396C3880"/>
    <w:rsid w:val="396D7809"/>
    <w:rsid w:val="396E5F6F"/>
    <w:rsid w:val="396F048B"/>
    <w:rsid w:val="39774085"/>
    <w:rsid w:val="39795A1C"/>
    <w:rsid w:val="39972387"/>
    <w:rsid w:val="39985C46"/>
    <w:rsid w:val="39BA0F37"/>
    <w:rsid w:val="39C01F33"/>
    <w:rsid w:val="39C77392"/>
    <w:rsid w:val="39C77F2D"/>
    <w:rsid w:val="39CC07B5"/>
    <w:rsid w:val="39CC6B14"/>
    <w:rsid w:val="39DE0F70"/>
    <w:rsid w:val="39E5396F"/>
    <w:rsid w:val="39F163EB"/>
    <w:rsid w:val="3A2D575A"/>
    <w:rsid w:val="3A394365"/>
    <w:rsid w:val="3A4654B4"/>
    <w:rsid w:val="3A4F43C9"/>
    <w:rsid w:val="3A515D38"/>
    <w:rsid w:val="3A5B61BD"/>
    <w:rsid w:val="3A5F6842"/>
    <w:rsid w:val="3A670D48"/>
    <w:rsid w:val="3A6E5E84"/>
    <w:rsid w:val="3A6F2BCE"/>
    <w:rsid w:val="3A7955AF"/>
    <w:rsid w:val="3A7A2779"/>
    <w:rsid w:val="3A7B0D81"/>
    <w:rsid w:val="3A7D61BB"/>
    <w:rsid w:val="3A8374A1"/>
    <w:rsid w:val="3A890429"/>
    <w:rsid w:val="3A8D0FD9"/>
    <w:rsid w:val="3AB143B7"/>
    <w:rsid w:val="3AB84C3E"/>
    <w:rsid w:val="3AB92080"/>
    <w:rsid w:val="3AC825C3"/>
    <w:rsid w:val="3ACB21A9"/>
    <w:rsid w:val="3AD122A6"/>
    <w:rsid w:val="3AD43239"/>
    <w:rsid w:val="3AD63BB7"/>
    <w:rsid w:val="3ADE374C"/>
    <w:rsid w:val="3AE01FA0"/>
    <w:rsid w:val="3AE561D7"/>
    <w:rsid w:val="3AFC0BC3"/>
    <w:rsid w:val="3B022B6D"/>
    <w:rsid w:val="3B0E2B16"/>
    <w:rsid w:val="3B183708"/>
    <w:rsid w:val="3B1F0229"/>
    <w:rsid w:val="3B246E2E"/>
    <w:rsid w:val="3B290B8E"/>
    <w:rsid w:val="3B3014F8"/>
    <w:rsid w:val="3B3C1FAF"/>
    <w:rsid w:val="3B453479"/>
    <w:rsid w:val="3B4B178C"/>
    <w:rsid w:val="3B5164A6"/>
    <w:rsid w:val="3B5A2CE0"/>
    <w:rsid w:val="3B661DC9"/>
    <w:rsid w:val="3B796936"/>
    <w:rsid w:val="3B7B0C90"/>
    <w:rsid w:val="3B8F13C5"/>
    <w:rsid w:val="3B95315B"/>
    <w:rsid w:val="3B9E725F"/>
    <w:rsid w:val="3BA13B63"/>
    <w:rsid w:val="3BA44C35"/>
    <w:rsid w:val="3BB6233E"/>
    <w:rsid w:val="3BBA02BC"/>
    <w:rsid w:val="3BC27FB5"/>
    <w:rsid w:val="3BCB20E3"/>
    <w:rsid w:val="3BD425FD"/>
    <w:rsid w:val="3BD929F9"/>
    <w:rsid w:val="3BD956D9"/>
    <w:rsid w:val="3BDA5158"/>
    <w:rsid w:val="3BDE6EFF"/>
    <w:rsid w:val="3BE77EEA"/>
    <w:rsid w:val="3BEF57B0"/>
    <w:rsid w:val="3BF954BD"/>
    <w:rsid w:val="3BFE001F"/>
    <w:rsid w:val="3C044707"/>
    <w:rsid w:val="3C2E5F65"/>
    <w:rsid w:val="3C2F7719"/>
    <w:rsid w:val="3C3F29C6"/>
    <w:rsid w:val="3C416727"/>
    <w:rsid w:val="3C4A6363"/>
    <w:rsid w:val="3C5F4B2F"/>
    <w:rsid w:val="3C664615"/>
    <w:rsid w:val="3C6F7B5F"/>
    <w:rsid w:val="3C727162"/>
    <w:rsid w:val="3C74006B"/>
    <w:rsid w:val="3C7930F2"/>
    <w:rsid w:val="3C7F7DFB"/>
    <w:rsid w:val="3C986C47"/>
    <w:rsid w:val="3C9E041C"/>
    <w:rsid w:val="3CA00029"/>
    <w:rsid w:val="3CA1191A"/>
    <w:rsid w:val="3CA94DEC"/>
    <w:rsid w:val="3CB02AAB"/>
    <w:rsid w:val="3CB93CB8"/>
    <w:rsid w:val="3CC61B79"/>
    <w:rsid w:val="3CCB5C04"/>
    <w:rsid w:val="3CD474D4"/>
    <w:rsid w:val="3CE02FD0"/>
    <w:rsid w:val="3CEE3501"/>
    <w:rsid w:val="3CFA5A23"/>
    <w:rsid w:val="3D275DBA"/>
    <w:rsid w:val="3D3E3674"/>
    <w:rsid w:val="3D461A5A"/>
    <w:rsid w:val="3D532E81"/>
    <w:rsid w:val="3D567A39"/>
    <w:rsid w:val="3D650222"/>
    <w:rsid w:val="3D684DEB"/>
    <w:rsid w:val="3D6C17FC"/>
    <w:rsid w:val="3D6D23C3"/>
    <w:rsid w:val="3D701C3D"/>
    <w:rsid w:val="3D8A2BAA"/>
    <w:rsid w:val="3D8F5EA5"/>
    <w:rsid w:val="3D943A67"/>
    <w:rsid w:val="3D9504BC"/>
    <w:rsid w:val="3DB7580E"/>
    <w:rsid w:val="3DB940D6"/>
    <w:rsid w:val="3DBE2FCD"/>
    <w:rsid w:val="3DC570FC"/>
    <w:rsid w:val="3DD5187B"/>
    <w:rsid w:val="3DD85148"/>
    <w:rsid w:val="3DDC3A49"/>
    <w:rsid w:val="3DE51836"/>
    <w:rsid w:val="3DE5587D"/>
    <w:rsid w:val="3DED1B45"/>
    <w:rsid w:val="3DF54F6F"/>
    <w:rsid w:val="3DF60777"/>
    <w:rsid w:val="3DF71D8D"/>
    <w:rsid w:val="3E04336D"/>
    <w:rsid w:val="3E053E45"/>
    <w:rsid w:val="3E0F5BA0"/>
    <w:rsid w:val="3E165F5C"/>
    <w:rsid w:val="3E193B69"/>
    <w:rsid w:val="3E200F88"/>
    <w:rsid w:val="3E2B57AD"/>
    <w:rsid w:val="3E325315"/>
    <w:rsid w:val="3E3D1D75"/>
    <w:rsid w:val="3E4052E4"/>
    <w:rsid w:val="3E4640A4"/>
    <w:rsid w:val="3E4D2DEF"/>
    <w:rsid w:val="3E6D2C01"/>
    <w:rsid w:val="3E8244B3"/>
    <w:rsid w:val="3E8E5530"/>
    <w:rsid w:val="3E9032CC"/>
    <w:rsid w:val="3E9763F1"/>
    <w:rsid w:val="3E9806E3"/>
    <w:rsid w:val="3EA47BF8"/>
    <w:rsid w:val="3EA7382D"/>
    <w:rsid w:val="3EAB48D0"/>
    <w:rsid w:val="3EAE56C8"/>
    <w:rsid w:val="3ED32005"/>
    <w:rsid w:val="3EEC7EAE"/>
    <w:rsid w:val="3EED6ED0"/>
    <w:rsid w:val="3F0630DE"/>
    <w:rsid w:val="3F120BFC"/>
    <w:rsid w:val="3F44549B"/>
    <w:rsid w:val="3F465336"/>
    <w:rsid w:val="3F4A37A4"/>
    <w:rsid w:val="3F4E66DA"/>
    <w:rsid w:val="3F573BFB"/>
    <w:rsid w:val="3F6461EB"/>
    <w:rsid w:val="3F6552D8"/>
    <w:rsid w:val="3F764CB6"/>
    <w:rsid w:val="3F8846CA"/>
    <w:rsid w:val="3F8C4A01"/>
    <w:rsid w:val="3FA31805"/>
    <w:rsid w:val="3FA80697"/>
    <w:rsid w:val="3FB84DAC"/>
    <w:rsid w:val="3FBA3BBE"/>
    <w:rsid w:val="3FBD1474"/>
    <w:rsid w:val="3FC958A1"/>
    <w:rsid w:val="3FCA4585"/>
    <w:rsid w:val="3FCE4237"/>
    <w:rsid w:val="3FD31FB0"/>
    <w:rsid w:val="3FDE4C6F"/>
    <w:rsid w:val="3FE4329E"/>
    <w:rsid w:val="3FE63308"/>
    <w:rsid w:val="3FF14625"/>
    <w:rsid w:val="3FFA2385"/>
    <w:rsid w:val="3FFA72BE"/>
    <w:rsid w:val="3FFD720F"/>
    <w:rsid w:val="40114AE3"/>
    <w:rsid w:val="40120871"/>
    <w:rsid w:val="401210FD"/>
    <w:rsid w:val="40194819"/>
    <w:rsid w:val="401A42AF"/>
    <w:rsid w:val="40233488"/>
    <w:rsid w:val="402F4730"/>
    <w:rsid w:val="40316BC9"/>
    <w:rsid w:val="40352A8F"/>
    <w:rsid w:val="404A5684"/>
    <w:rsid w:val="404B6889"/>
    <w:rsid w:val="404D0F0F"/>
    <w:rsid w:val="405412EF"/>
    <w:rsid w:val="405564D7"/>
    <w:rsid w:val="40564435"/>
    <w:rsid w:val="405A1195"/>
    <w:rsid w:val="405A511F"/>
    <w:rsid w:val="405C03E2"/>
    <w:rsid w:val="407F0233"/>
    <w:rsid w:val="40832DCD"/>
    <w:rsid w:val="4089292E"/>
    <w:rsid w:val="408A73A2"/>
    <w:rsid w:val="40944871"/>
    <w:rsid w:val="4095082D"/>
    <w:rsid w:val="409D0860"/>
    <w:rsid w:val="40B67BF6"/>
    <w:rsid w:val="40B87577"/>
    <w:rsid w:val="40C5104B"/>
    <w:rsid w:val="40C95826"/>
    <w:rsid w:val="40CB2F61"/>
    <w:rsid w:val="40E512A7"/>
    <w:rsid w:val="40E86470"/>
    <w:rsid w:val="40E902B3"/>
    <w:rsid w:val="40EB287B"/>
    <w:rsid w:val="40FE6C8B"/>
    <w:rsid w:val="410616BA"/>
    <w:rsid w:val="410900F8"/>
    <w:rsid w:val="410A31FA"/>
    <w:rsid w:val="410E127E"/>
    <w:rsid w:val="411207D9"/>
    <w:rsid w:val="412F501C"/>
    <w:rsid w:val="413718B3"/>
    <w:rsid w:val="413E27B5"/>
    <w:rsid w:val="41484EBE"/>
    <w:rsid w:val="414B75DE"/>
    <w:rsid w:val="415873A9"/>
    <w:rsid w:val="416C026F"/>
    <w:rsid w:val="417018D6"/>
    <w:rsid w:val="41726BCC"/>
    <w:rsid w:val="41763726"/>
    <w:rsid w:val="417737AE"/>
    <w:rsid w:val="417B59BD"/>
    <w:rsid w:val="417C4337"/>
    <w:rsid w:val="417D2D8B"/>
    <w:rsid w:val="418B2A50"/>
    <w:rsid w:val="4197477D"/>
    <w:rsid w:val="41A0300C"/>
    <w:rsid w:val="41A11517"/>
    <w:rsid w:val="41B64AE9"/>
    <w:rsid w:val="41BC419D"/>
    <w:rsid w:val="41CB4AEE"/>
    <w:rsid w:val="41D00168"/>
    <w:rsid w:val="41D319EF"/>
    <w:rsid w:val="41D95FE7"/>
    <w:rsid w:val="41E06063"/>
    <w:rsid w:val="41E72FF8"/>
    <w:rsid w:val="41FB1716"/>
    <w:rsid w:val="41FE2189"/>
    <w:rsid w:val="42045612"/>
    <w:rsid w:val="42074113"/>
    <w:rsid w:val="420A6CA2"/>
    <w:rsid w:val="42116B8E"/>
    <w:rsid w:val="421216AC"/>
    <w:rsid w:val="421F3146"/>
    <w:rsid w:val="42296EAE"/>
    <w:rsid w:val="422A55FD"/>
    <w:rsid w:val="423D69C9"/>
    <w:rsid w:val="424726FF"/>
    <w:rsid w:val="424A51FE"/>
    <w:rsid w:val="424D0797"/>
    <w:rsid w:val="425266F2"/>
    <w:rsid w:val="425356DC"/>
    <w:rsid w:val="42567125"/>
    <w:rsid w:val="425A7100"/>
    <w:rsid w:val="426715F4"/>
    <w:rsid w:val="42695B1C"/>
    <w:rsid w:val="426D7E7B"/>
    <w:rsid w:val="427A2083"/>
    <w:rsid w:val="4282654F"/>
    <w:rsid w:val="428F5036"/>
    <w:rsid w:val="4290297E"/>
    <w:rsid w:val="42984001"/>
    <w:rsid w:val="429E1094"/>
    <w:rsid w:val="429F256E"/>
    <w:rsid w:val="42A843E5"/>
    <w:rsid w:val="42AD00EA"/>
    <w:rsid w:val="42AF6A1F"/>
    <w:rsid w:val="42B15F4C"/>
    <w:rsid w:val="42BA7974"/>
    <w:rsid w:val="42BF6859"/>
    <w:rsid w:val="42C204F9"/>
    <w:rsid w:val="42C54707"/>
    <w:rsid w:val="42DD51E4"/>
    <w:rsid w:val="42DE256C"/>
    <w:rsid w:val="42DF3827"/>
    <w:rsid w:val="42E03D8E"/>
    <w:rsid w:val="42E3585D"/>
    <w:rsid w:val="42EC08A2"/>
    <w:rsid w:val="42F33AA7"/>
    <w:rsid w:val="43097C0A"/>
    <w:rsid w:val="430E2245"/>
    <w:rsid w:val="430E6064"/>
    <w:rsid w:val="43171367"/>
    <w:rsid w:val="43194625"/>
    <w:rsid w:val="431C397B"/>
    <w:rsid w:val="4321748E"/>
    <w:rsid w:val="433F1CA5"/>
    <w:rsid w:val="434502BA"/>
    <w:rsid w:val="43450646"/>
    <w:rsid w:val="435430F2"/>
    <w:rsid w:val="436C37A7"/>
    <w:rsid w:val="436E5EB2"/>
    <w:rsid w:val="4381703E"/>
    <w:rsid w:val="43863D0D"/>
    <w:rsid w:val="438649F6"/>
    <w:rsid w:val="438C5FDD"/>
    <w:rsid w:val="43905F10"/>
    <w:rsid w:val="439B293D"/>
    <w:rsid w:val="43B60CBE"/>
    <w:rsid w:val="43BB37E0"/>
    <w:rsid w:val="43D703E1"/>
    <w:rsid w:val="43DA7172"/>
    <w:rsid w:val="43DD3DFF"/>
    <w:rsid w:val="43DF3FA1"/>
    <w:rsid w:val="43E20803"/>
    <w:rsid w:val="43E22E35"/>
    <w:rsid w:val="43EF75E2"/>
    <w:rsid w:val="43FD0E9C"/>
    <w:rsid w:val="43FD170E"/>
    <w:rsid w:val="44005F72"/>
    <w:rsid w:val="440310C7"/>
    <w:rsid w:val="44075BEE"/>
    <w:rsid w:val="44080C0B"/>
    <w:rsid w:val="44234B30"/>
    <w:rsid w:val="44331E41"/>
    <w:rsid w:val="44461484"/>
    <w:rsid w:val="44473058"/>
    <w:rsid w:val="44475323"/>
    <w:rsid w:val="444B2089"/>
    <w:rsid w:val="444D5F18"/>
    <w:rsid w:val="444E4A5D"/>
    <w:rsid w:val="444E5999"/>
    <w:rsid w:val="444E63DD"/>
    <w:rsid w:val="44520AFD"/>
    <w:rsid w:val="44665DA5"/>
    <w:rsid w:val="44687584"/>
    <w:rsid w:val="4469726B"/>
    <w:rsid w:val="446F65EF"/>
    <w:rsid w:val="447C4D4B"/>
    <w:rsid w:val="447D40E6"/>
    <w:rsid w:val="449644A1"/>
    <w:rsid w:val="449D0C1F"/>
    <w:rsid w:val="44A20477"/>
    <w:rsid w:val="44A26746"/>
    <w:rsid w:val="44A341F6"/>
    <w:rsid w:val="44AE13D1"/>
    <w:rsid w:val="44B02729"/>
    <w:rsid w:val="44C01334"/>
    <w:rsid w:val="44EC7EDE"/>
    <w:rsid w:val="45105F55"/>
    <w:rsid w:val="4512322B"/>
    <w:rsid w:val="45133FDB"/>
    <w:rsid w:val="451E40FE"/>
    <w:rsid w:val="4522741D"/>
    <w:rsid w:val="45460F7F"/>
    <w:rsid w:val="454C350F"/>
    <w:rsid w:val="454E5DE4"/>
    <w:rsid w:val="45506683"/>
    <w:rsid w:val="45601473"/>
    <w:rsid w:val="456B68A5"/>
    <w:rsid w:val="456E0AEF"/>
    <w:rsid w:val="4573790E"/>
    <w:rsid w:val="457B50FE"/>
    <w:rsid w:val="457F0733"/>
    <w:rsid w:val="4583452C"/>
    <w:rsid w:val="458F75FE"/>
    <w:rsid w:val="45900604"/>
    <w:rsid w:val="45933A3C"/>
    <w:rsid w:val="45A57AEF"/>
    <w:rsid w:val="45A81CAF"/>
    <w:rsid w:val="45BC59F4"/>
    <w:rsid w:val="45C75579"/>
    <w:rsid w:val="45DE22BB"/>
    <w:rsid w:val="45E1426A"/>
    <w:rsid w:val="45E30817"/>
    <w:rsid w:val="45E76D0F"/>
    <w:rsid w:val="45F136BB"/>
    <w:rsid w:val="45F77657"/>
    <w:rsid w:val="45F77FD2"/>
    <w:rsid w:val="46061CC6"/>
    <w:rsid w:val="460A4AAB"/>
    <w:rsid w:val="46150FC7"/>
    <w:rsid w:val="46152507"/>
    <w:rsid w:val="4623003D"/>
    <w:rsid w:val="46237144"/>
    <w:rsid w:val="46261F0D"/>
    <w:rsid w:val="4630529E"/>
    <w:rsid w:val="46387F31"/>
    <w:rsid w:val="46391326"/>
    <w:rsid w:val="46414153"/>
    <w:rsid w:val="464C08C1"/>
    <w:rsid w:val="465476A3"/>
    <w:rsid w:val="46557527"/>
    <w:rsid w:val="465A66EF"/>
    <w:rsid w:val="46664938"/>
    <w:rsid w:val="466B2E85"/>
    <w:rsid w:val="466E742C"/>
    <w:rsid w:val="4673124E"/>
    <w:rsid w:val="467659B7"/>
    <w:rsid w:val="467858AE"/>
    <w:rsid w:val="46892F02"/>
    <w:rsid w:val="468A0358"/>
    <w:rsid w:val="46916EEF"/>
    <w:rsid w:val="46A6276B"/>
    <w:rsid w:val="46AA04EA"/>
    <w:rsid w:val="46B731EB"/>
    <w:rsid w:val="46B73D2A"/>
    <w:rsid w:val="46B80FC5"/>
    <w:rsid w:val="46C86A0C"/>
    <w:rsid w:val="46D24C4B"/>
    <w:rsid w:val="46D55B53"/>
    <w:rsid w:val="46D57AEC"/>
    <w:rsid w:val="46ED3840"/>
    <w:rsid w:val="46F4204B"/>
    <w:rsid w:val="46F647EB"/>
    <w:rsid w:val="46FE6CEF"/>
    <w:rsid w:val="46FF3FAD"/>
    <w:rsid w:val="4706371E"/>
    <w:rsid w:val="471127B2"/>
    <w:rsid w:val="472056B7"/>
    <w:rsid w:val="472C7358"/>
    <w:rsid w:val="47454DE8"/>
    <w:rsid w:val="47544795"/>
    <w:rsid w:val="475A294E"/>
    <w:rsid w:val="47616E4B"/>
    <w:rsid w:val="47672FDB"/>
    <w:rsid w:val="476971AA"/>
    <w:rsid w:val="476B64CB"/>
    <w:rsid w:val="477667CA"/>
    <w:rsid w:val="479C3F79"/>
    <w:rsid w:val="479E6BC6"/>
    <w:rsid w:val="47A6747F"/>
    <w:rsid w:val="47AC4EFC"/>
    <w:rsid w:val="47B01B8B"/>
    <w:rsid w:val="47B453F7"/>
    <w:rsid w:val="47B628AB"/>
    <w:rsid w:val="47C5237F"/>
    <w:rsid w:val="47CA346E"/>
    <w:rsid w:val="47D23DC8"/>
    <w:rsid w:val="47EB78E1"/>
    <w:rsid w:val="47F0252D"/>
    <w:rsid w:val="47FA7CCE"/>
    <w:rsid w:val="47FB2D0F"/>
    <w:rsid w:val="47FB7786"/>
    <w:rsid w:val="48011587"/>
    <w:rsid w:val="481B0557"/>
    <w:rsid w:val="48284003"/>
    <w:rsid w:val="482B79CE"/>
    <w:rsid w:val="484720BC"/>
    <w:rsid w:val="484900F0"/>
    <w:rsid w:val="484E51E0"/>
    <w:rsid w:val="48542476"/>
    <w:rsid w:val="485955DD"/>
    <w:rsid w:val="4875142A"/>
    <w:rsid w:val="48770272"/>
    <w:rsid w:val="487F0024"/>
    <w:rsid w:val="4887505E"/>
    <w:rsid w:val="48A76DE5"/>
    <w:rsid w:val="48AC6EE1"/>
    <w:rsid w:val="48C60E9B"/>
    <w:rsid w:val="48D3456D"/>
    <w:rsid w:val="48D879FA"/>
    <w:rsid w:val="48DA5553"/>
    <w:rsid w:val="48DF3A7B"/>
    <w:rsid w:val="48FF01A8"/>
    <w:rsid w:val="49016E12"/>
    <w:rsid w:val="49043E87"/>
    <w:rsid w:val="49056F88"/>
    <w:rsid w:val="49060ABF"/>
    <w:rsid w:val="4906123E"/>
    <w:rsid w:val="4910246D"/>
    <w:rsid w:val="491505D8"/>
    <w:rsid w:val="493056E7"/>
    <w:rsid w:val="49336CD8"/>
    <w:rsid w:val="49355605"/>
    <w:rsid w:val="494503EF"/>
    <w:rsid w:val="495A64A3"/>
    <w:rsid w:val="496C362B"/>
    <w:rsid w:val="496E444D"/>
    <w:rsid w:val="49757E15"/>
    <w:rsid w:val="497F3985"/>
    <w:rsid w:val="49895CE7"/>
    <w:rsid w:val="498D3DDF"/>
    <w:rsid w:val="49964232"/>
    <w:rsid w:val="4999724F"/>
    <w:rsid w:val="49AE1417"/>
    <w:rsid w:val="49B4639F"/>
    <w:rsid w:val="49B7344A"/>
    <w:rsid w:val="49C87F3D"/>
    <w:rsid w:val="49C94085"/>
    <w:rsid w:val="49C96DC1"/>
    <w:rsid w:val="49D449CF"/>
    <w:rsid w:val="49D455A4"/>
    <w:rsid w:val="49DB0327"/>
    <w:rsid w:val="49E66B93"/>
    <w:rsid w:val="49EA067F"/>
    <w:rsid w:val="49F46F67"/>
    <w:rsid w:val="49F52088"/>
    <w:rsid w:val="49FA6479"/>
    <w:rsid w:val="4A1C0AF5"/>
    <w:rsid w:val="4A1E1F41"/>
    <w:rsid w:val="4A217D5E"/>
    <w:rsid w:val="4A296E9E"/>
    <w:rsid w:val="4A2C0AF2"/>
    <w:rsid w:val="4A59338B"/>
    <w:rsid w:val="4A5E3635"/>
    <w:rsid w:val="4A6A37DF"/>
    <w:rsid w:val="4A7C4CE6"/>
    <w:rsid w:val="4A817A58"/>
    <w:rsid w:val="4A8F5C3B"/>
    <w:rsid w:val="4A967911"/>
    <w:rsid w:val="4AA411E4"/>
    <w:rsid w:val="4AAA4A09"/>
    <w:rsid w:val="4AAE7B25"/>
    <w:rsid w:val="4AB22154"/>
    <w:rsid w:val="4AC9217A"/>
    <w:rsid w:val="4AD82D66"/>
    <w:rsid w:val="4ADE37CC"/>
    <w:rsid w:val="4AE46FD7"/>
    <w:rsid w:val="4AE80607"/>
    <w:rsid w:val="4AE97AEC"/>
    <w:rsid w:val="4AF7280C"/>
    <w:rsid w:val="4B036D1E"/>
    <w:rsid w:val="4B0F7FE7"/>
    <w:rsid w:val="4B131532"/>
    <w:rsid w:val="4B174817"/>
    <w:rsid w:val="4B2748B2"/>
    <w:rsid w:val="4B2F5C92"/>
    <w:rsid w:val="4B321871"/>
    <w:rsid w:val="4B38503E"/>
    <w:rsid w:val="4B3F2BB2"/>
    <w:rsid w:val="4B401565"/>
    <w:rsid w:val="4B502687"/>
    <w:rsid w:val="4B577DBD"/>
    <w:rsid w:val="4B581065"/>
    <w:rsid w:val="4B6A3BDA"/>
    <w:rsid w:val="4B6F7292"/>
    <w:rsid w:val="4B796029"/>
    <w:rsid w:val="4B7D71A1"/>
    <w:rsid w:val="4B854A16"/>
    <w:rsid w:val="4B95428D"/>
    <w:rsid w:val="4B9C5A05"/>
    <w:rsid w:val="4BAE2158"/>
    <w:rsid w:val="4BAF506E"/>
    <w:rsid w:val="4BC279D1"/>
    <w:rsid w:val="4BD407DF"/>
    <w:rsid w:val="4BDD4486"/>
    <w:rsid w:val="4BE227C4"/>
    <w:rsid w:val="4BE61DCA"/>
    <w:rsid w:val="4BE64D5E"/>
    <w:rsid w:val="4BE7585B"/>
    <w:rsid w:val="4BED75B3"/>
    <w:rsid w:val="4BFC0E56"/>
    <w:rsid w:val="4C1B5C5E"/>
    <w:rsid w:val="4C1D1656"/>
    <w:rsid w:val="4C1F1F04"/>
    <w:rsid w:val="4C21225A"/>
    <w:rsid w:val="4C232482"/>
    <w:rsid w:val="4C2960A8"/>
    <w:rsid w:val="4C2E4749"/>
    <w:rsid w:val="4C3E5050"/>
    <w:rsid w:val="4C5B33F5"/>
    <w:rsid w:val="4C5D5897"/>
    <w:rsid w:val="4C634BDA"/>
    <w:rsid w:val="4C720BCA"/>
    <w:rsid w:val="4C8014E7"/>
    <w:rsid w:val="4C8244E4"/>
    <w:rsid w:val="4C8F1BFA"/>
    <w:rsid w:val="4C9E1769"/>
    <w:rsid w:val="4CA616F7"/>
    <w:rsid w:val="4CA85EEC"/>
    <w:rsid w:val="4CB04A99"/>
    <w:rsid w:val="4CBB634B"/>
    <w:rsid w:val="4CC94FD4"/>
    <w:rsid w:val="4CDA0CD0"/>
    <w:rsid w:val="4CE03EB0"/>
    <w:rsid w:val="4CE72B7B"/>
    <w:rsid w:val="4CF90C53"/>
    <w:rsid w:val="4CFA5510"/>
    <w:rsid w:val="4CFB513A"/>
    <w:rsid w:val="4CFC3A79"/>
    <w:rsid w:val="4CFF4AA3"/>
    <w:rsid w:val="4D0C4C59"/>
    <w:rsid w:val="4D125FFB"/>
    <w:rsid w:val="4D165CE6"/>
    <w:rsid w:val="4D177A2A"/>
    <w:rsid w:val="4D190C0C"/>
    <w:rsid w:val="4D233B24"/>
    <w:rsid w:val="4D2F0077"/>
    <w:rsid w:val="4D3B5336"/>
    <w:rsid w:val="4D434BB1"/>
    <w:rsid w:val="4D48368A"/>
    <w:rsid w:val="4D4C5BF9"/>
    <w:rsid w:val="4D4D5B95"/>
    <w:rsid w:val="4D586626"/>
    <w:rsid w:val="4D5A5563"/>
    <w:rsid w:val="4D611273"/>
    <w:rsid w:val="4D64646D"/>
    <w:rsid w:val="4D7031F0"/>
    <w:rsid w:val="4D705BB9"/>
    <w:rsid w:val="4D77762A"/>
    <w:rsid w:val="4D843254"/>
    <w:rsid w:val="4D973B20"/>
    <w:rsid w:val="4DA442DB"/>
    <w:rsid w:val="4DBC6A01"/>
    <w:rsid w:val="4DC958A0"/>
    <w:rsid w:val="4DE04ADB"/>
    <w:rsid w:val="4DE7622F"/>
    <w:rsid w:val="4DEE04CA"/>
    <w:rsid w:val="4DF6154F"/>
    <w:rsid w:val="4DFD4A7B"/>
    <w:rsid w:val="4E08577E"/>
    <w:rsid w:val="4E125963"/>
    <w:rsid w:val="4E125A8D"/>
    <w:rsid w:val="4E1463AF"/>
    <w:rsid w:val="4E176D04"/>
    <w:rsid w:val="4E1960E0"/>
    <w:rsid w:val="4E370795"/>
    <w:rsid w:val="4E3A3DC2"/>
    <w:rsid w:val="4E482991"/>
    <w:rsid w:val="4E6F77EF"/>
    <w:rsid w:val="4E780638"/>
    <w:rsid w:val="4E874EAF"/>
    <w:rsid w:val="4E9419E9"/>
    <w:rsid w:val="4E9D003E"/>
    <w:rsid w:val="4EA259F4"/>
    <w:rsid w:val="4EA84E68"/>
    <w:rsid w:val="4EAF09B4"/>
    <w:rsid w:val="4EB73374"/>
    <w:rsid w:val="4EBC092C"/>
    <w:rsid w:val="4ECB2F72"/>
    <w:rsid w:val="4ECE7E4C"/>
    <w:rsid w:val="4ED36A97"/>
    <w:rsid w:val="4ED409F0"/>
    <w:rsid w:val="4EE13635"/>
    <w:rsid w:val="4EE60914"/>
    <w:rsid w:val="4EFA5B0B"/>
    <w:rsid w:val="4EFB30EB"/>
    <w:rsid w:val="4EFF016C"/>
    <w:rsid w:val="4F240380"/>
    <w:rsid w:val="4F331C3F"/>
    <w:rsid w:val="4F36090C"/>
    <w:rsid w:val="4F387A7A"/>
    <w:rsid w:val="4F4D3A36"/>
    <w:rsid w:val="4F4F6AEF"/>
    <w:rsid w:val="4F5D07FA"/>
    <w:rsid w:val="4F693AE1"/>
    <w:rsid w:val="4F6E28F0"/>
    <w:rsid w:val="4F727D38"/>
    <w:rsid w:val="4F740049"/>
    <w:rsid w:val="4F7B6984"/>
    <w:rsid w:val="4F80518F"/>
    <w:rsid w:val="4F8B3E99"/>
    <w:rsid w:val="4F8B78AD"/>
    <w:rsid w:val="4F8E3A2B"/>
    <w:rsid w:val="4F8F0460"/>
    <w:rsid w:val="4F95683B"/>
    <w:rsid w:val="4F9808E5"/>
    <w:rsid w:val="4F9923DD"/>
    <w:rsid w:val="4F9A5A6F"/>
    <w:rsid w:val="4FA32D3C"/>
    <w:rsid w:val="4FAC5A65"/>
    <w:rsid w:val="4FAE3B43"/>
    <w:rsid w:val="4FBA6DAF"/>
    <w:rsid w:val="4FC46069"/>
    <w:rsid w:val="4FD005AE"/>
    <w:rsid w:val="4FD00ED4"/>
    <w:rsid w:val="4FD44291"/>
    <w:rsid w:val="4FD8161E"/>
    <w:rsid w:val="4FDD68B1"/>
    <w:rsid w:val="4FFE7A14"/>
    <w:rsid w:val="50065D0E"/>
    <w:rsid w:val="500B06DB"/>
    <w:rsid w:val="500F7736"/>
    <w:rsid w:val="50171F3E"/>
    <w:rsid w:val="5022591F"/>
    <w:rsid w:val="50246125"/>
    <w:rsid w:val="50321875"/>
    <w:rsid w:val="50323347"/>
    <w:rsid w:val="503407B2"/>
    <w:rsid w:val="50412F93"/>
    <w:rsid w:val="50483F4A"/>
    <w:rsid w:val="50524B73"/>
    <w:rsid w:val="50555D7D"/>
    <w:rsid w:val="50561B9F"/>
    <w:rsid w:val="50602F3A"/>
    <w:rsid w:val="506F6890"/>
    <w:rsid w:val="50763178"/>
    <w:rsid w:val="50837E02"/>
    <w:rsid w:val="508401A2"/>
    <w:rsid w:val="5088525D"/>
    <w:rsid w:val="508B7E3B"/>
    <w:rsid w:val="508C68CF"/>
    <w:rsid w:val="509C7642"/>
    <w:rsid w:val="50A01B73"/>
    <w:rsid w:val="50A070F7"/>
    <w:rsid w:val="50A127F0"/>
    <w:rsid w:val="50A772A8"/>
    <w:rsid w:val="50AC659C"/>
    <w:rsid w:val="50B8243D"/>
    <w:rsid w:val="50B8492C"/>
    <w:rsid w:val="50BE5D38"/>
    <w:rsid w:val="50C35330"/>
    <w:rsid w:val="50E15C8A"/>
    <w:rsid w:val="50E34DD4"/>
    <w:rsid w:val="50F62B3A"/>
    <w:rsid w:val="510151B0"/>
    <w:rsid w:val="510225F7"/>
    <w:rsid w:val="510B3904"/>
    <w:rsid w:val="510F3E01"/>
    <w:rsid w:val="51153AD7"/>
    <w:rsid w:val="511A579C"/>
    <w:rsid w:val="511B2786"/>
    <w:rsid w:val="512D76A1"/>
    <w:rsid w:val="512E0C2A"/>
    <w:rsid w:val="51331E0F"/>
    <w:rsid w:val="51332677"/>
    <w:rsid w:val="513B73E6"/>
    <w:rsid w:val="51474308"/>
    <w:rsid w:val="51543E0F"/>
    <w:rsid w:val="51703CF0"/>
    <w:rsid w:val="51704DEF"/>
    <w:rsid w:val="51705999"/>
    <w:rsid w:val="51742D26"/>
    <w:rsid w:val="517717FB"/>
    <w:rsid w:val="51786C7A"/>
    <w:rsid w:val="517E75CA"/>
    <w:rsid w:val="51892924"/>
    <w:rsid w:val="518B2498"/>
    <w:rsid w:val="51951CAC"/>
    <w:rsid w:val="51A05D2D"/>
    <w:rsid w:val="51AC3B5E"/>
    <w:rsid w:val="51B0761D"/>
    <w:rsid w:val="51B80466"/>
    <w:rsid w:val="51D91B75"/>
    <w:rsid w:val="51DC42F5"/>
    <w:rsid w:val="51DF0E7E"/>
    <w:rsid w:val="51E2122F"/>
    <w:rsid w:val="51EE03ED"/>
    <w:rsid w:val="51F11C10"/>
    <w:rsid w:val="51F156AC"/>
    <w:rsid w:val="51F652BF"/>
    <w:rsid w:val="521F7979"/>
    <w:rsid w:val="52213D07"/>
    <w:rsid w:val="52253AF4"/>
    <w:rsid w:val="5225429E"/>
    <w:rsid w:val="52256C51"/>
    <w:rsid w:val="5226051E"/>
    <w:rsid w:val="52260F3C"/>
    <w:rsid w:val="5238649A"/>
    <w:rsid w:val="523A43B3"/>
    <w:rsid w:val="525B4336"/>
    <w:rsid w:val="525D71E5"/>
    <w:rsid w:val="5265040F"/>
    <w:rsid w:val="526958F5"/>
    <w:rsid w:val="52820E07"/>
    <w:rsid w:val="528237C8"/>
    <w:rsid w:val="528536D3"/>
    <w:rsid w:val="529564DA"/>
    <w:rsid w:val="529C695A"/>
    <w:rsid w:val="52A42333"/>
    <w:rsid w:val="52A709F0"/>
    <w:rsid w:val="52A77DA4"/>
    <w:rsid w:val="52AA6179"/>
    <w:rsid w:val="52AD549D"/>
    <w:rsid w:val="52AE6B5D"/>
    <w:rsid w:val="52B87E6C"/>
    <w:rsid w:val="52C2691E"/>
    <w:rsid w:val="52C42F8A"/>
    <w:rsid w:val="52E26079"/>
    <w:rsid w:val="52EA4A58"/>
    <w:rsid w:val="52F258D0"/>
    <w:rsid w:val="52FB6187"/>
    <w:rsid w:val="52FD63F3"/>
    <w:rsid w:val="530267BC"/>
    <w:rsid w:val="530C2379"/>
    <w:rsid w:val="53161BCB"/>
    <w:rsid w:val="531B755A"/>
    <w:rsid w:val="53312E2B"/>
    <w:rsid w:val="53326CBA"/>
    <w:rsid w:val="5338038A"/>
    <w:rsid w:val="53394967"/>
    <w:rsid w:val="533A7D4C"/>
    <w:rsid w:val="533F1C76"/>
    <w:rsid w:val="53402C3D"/>
    <w:rsid w:val="53482CFE"/>
    <w:rsid w:val="534C2BF2"/>
    <w:rsid w:val="53522854"/>
    <w:rsid w:val="53617DBC"/>
    <w:rsid w:val="53662852"/>
    <w:rsid w:val="536C0FFE"/>
    <w:rsid w:val="53701411"/>
    <w:rsid w:val="538F661B"/>
    <w:rsid w:val="539F4368"/>
    <w:rsid w:val="53A056AF"/>
    <w:rsid w:val="53B04CEA"/>
    <w:rsid w:val="53B41457"/>
    <w:rsid w:val="53C66C7D"/>
    <w:rsid w:val="53C670D6"/>
    <w:rsid w:val="53C70346"/>
    <w:rsid w:val="53D4424E"/>
    <w:rsid w:val="53D56DDB"/>
    <w:rsid w:val="53D7441D"/>
    <w:rsid w:val="53E75376"/>
    <w:rsid w:val="53EC2E08"/>
    <w:rsid w:val="53EC4903"/>
    <w:rsid w:val="53F36F42"/>
    <w:rsid w:val="53FE3D83"/>
    <w:rsid w:val="54110EB1"/>
    <w:rsid w:val="54117610"/>
    <w:rsid w:val="54136C0F"/>
    <w:rsid w:val="54146CD1"/>
    <w:rsid w:val="54177F1E"/>
    <w:rsid w:val="541A6B7B"/>
    <w:rsid w:val="54240990"/>
    <w:rsid w:val="5426161C"/>
    <w:rsid w:val="54296180"/>
    <w:rsid w:val="543633AA"/>
    <w:rsid w:val="543E79C7"/>
    <w:rsid w:val="54413CAD"/>
    <w:rsid w:val="54477234"/>
    <w:rsid w:val="544F12C8"/>
    <w:rsid w:val="545F6399"/>
    <w:rsid w:val="54671F32"/>
    <w:rsid w:val="546949FA"/>
    <w:rsid w:val="54781525"/>
    <w:rsid w:val="54814372"/>
    <w:rsid w:val="54857BEE"/>
    <w:rsid w:val="5488547E"/>
    <w:rsid w:val="549801F3"/>
    <w:rsid w:val="549B7EDB"/>
    <w:rsid w:val="54A32CBC"/>
    <w:rsid w:val="54C03918"/>
    <w:rsid w:val="54C74059"/>
    <w:rsid w:val="54CC1E57"/>
    <w:rsid w:val="54E3627C"/>
    <w:rsid w:val="54E92B4F"/>
    <w:rsid w:val="54F129E6"/>
    <w:rsid w:val="54F626A4"/>
    <w:rsid w:val="54F97996"/>
    <w:rsid w:val="54FA4FAE"/>
    <w:rsid w:val="5503350D"/>
    <w:rsid w:val="550B460A"/>
    <w:rsid w:val="55176A2B"/>
    <w:rsid w:val="551E374A"/>
    <w:rsid w:val="551F0799"/>
    <w:rsid w:val="553532AC"/>
    <w:rsid w:val="553D24BD"/>
    <w:rsid w:val="553E6F15"/>
    <w:rsid w:val="55421AD5"/>
    <w:rsid w:val="554B46D2"/>
    <w:rsid w:val="555332A3"/>
    <w:rsid w:val="55655076"/>
    <w:rsid w:val="55695A1B"/>
    <w:rsid w:val="556F03E8"/>
    <w:rsid w:val="558B4E93"/>
    <w:rsid w:val="55944FA1"/>
    <w:rsid w:val="559D1A44"/>
    <w:rsid w:val="559F7186"/>
    <w:rsid w:val="55B069CB"/>
    <w:rsid w:val="55B801FF"/>
    <w:rsid w:val="55BD09E1"/>
    <w:rsid w:val="55CD74C5"/>
    <w:rsid w:val="55CE55CB"/>
    <w:rsid w:val="55D17D1F"/>
    <w:rsid w:val="55DF5C52"/>
    <w:rsid w:val="55E04FE8"/>
    <w:rsid w:val="55EE1803"/>
    <w:rsid w:val="55F86272"/>
    <w:rsid w:val="55FB03CD"/>
    <w:rsid w:val="55FF4A8C"/>
    <w:rsid w:val="56027B82"/>
    <w:rsid w:val="560450B4"/>
    <w:rsid w:val="56052CB9"/>
    <w:rsid w:val="5611078F"/>
    <w:rsid w:val="56145C30"/>
    <w:rsid w:val="561925D2"/>
    <w:rsid w:val="561B311C"/>
    <w:rsid w:val="56251E61"/>
    <w:rsid w:val="563929C4"/>
    <w:rsid w:val="56416714"/>
    <w:rsid w:val="5645084B"/>
    <w:rsid w:val="56497232"/>
    <w:rsid w:val="56551F12"/>
    <w:rsid w:val="565F4BDD"/>
    <w:rsid w:val="56651503"/>
    <w:rsid w:val="566677E7"/>
    <w:rsid w:val="567A01B4"/>
    <w:rsid w:val="56942292"/>
    <w:rsid w:val="569B722C"/>
    <w:rsid w:val="56AE330A"/>
    <w:rsid w:val="56B10B48"/>
    <w:rsid w:val="56B623BF"/>
    <w:rsid w:val="56C117F4"/>
    <w:rsid w:val="56CD05E7"/>
    <w:rsid w:val="56CE0269"/>
    <w:rsid w:val="56DD1DDA"/>
    <w:rsid w:val="56F47FB4"/>
    <w:rsid w:val="56FC0A49"/>
    <w:rsid w:val="57064B4C"/>
    <w:rsid w:val="57095B1E"/>
    <w:rsid w:val="570A76C8"/>
    <w:rsid w:val="57106064"/>
    <w:rsid w:val="57145535"/>
    <w:rsid w:val="57246A24"/>
    <w:rsid w:val="572C0E04"/>
    <w:rsid w:val="57301D4B"/>
    <w:rsid w:val="573F1740"/>
    <w:rsid w:val="57411F14"/>
    <w:rsid w:val="57427B7C"/>
    <w:rsid w:val="57471345"/>
    <w:rsid w:val="576B20F1"/>
    <w:rsid w:val="57785918"/>
    <w:rsid w:val="578F5EE6"/>
    <w:rsid w:val="5792772E"/>
    <w:rsid w:val="57932A52"/>
    <w:rsid w:val="57A059B3"/>
    <w:rsid w:val="57B371CD"/>
    <w:rsid w:val="57C322BB"/>
    <w:rsid w:val="57C85AB0"/>
    <w:rsid w:val="57D2341F"/>
    <w:rsid w:val="57DB167B"/>
    <w:rsid w:val="57DD6B0D"/>
    <w:rsid w:val="57DF14E5"/>
    <w:rsid w:val="57E17BD4"/>
    <w:rsid w:val="57E723D7"/>
    <w:rsid w:val="57EF25AF"/>
    <w:rsid w:val="57F32F0F"/>
    <w:rsid w:val="57F75A67"/>
    <w:rsid w:val="57FF3638"/>
    <w:rsid w:val="580C7187"/>
    <w:rsid w:val="58105F17"/>
    <w:rsid w:val="58124BB0"/>
    <w:rsid w:val="581D09E9"/>
    <w:rsid w:val="582A30C3"/>
    <w:rsid w:val="58377C0A"/>
    <w:rsid w:val="58445A1C"/>
    <w:rsid w:val="584E4E9D"/>
    <w:rsid w:val="58561751"/>
    <w:rsid w:val="58597722"/>
    <w:rsid w:val="58630B4D"/>
    <w:rsid w:val="586F6E5B"/>
    <w:rsid w:val="587421D2"/>
    <w:rsid w:val="58815460"/>
    <w:rsid w:val="588358E0"/>
    <w:rsid w:val="588F74D8"/>
    <w:rsid w:val="589E7F77"/>
    <w:rsid w:val="58BF26CD"/>
    <w:rsid w:val="58C07187"/>
    <w:rsid w:val="58C567CC"/>
    <w:rsid w:val="58C7113D"/>
    <w:rsid w:val="58CA4C0F"/>
    <w:rsid w:val="58DE0D44"/>
    <w:rsid w:val="58E67D87"/>
    <w:rsid w:val="58E9631A"/>
    <w:rsid w:val="58ED46B0"/>
    <w:rsid w:val="58F84723"/>
    <w:rsid w:val="58FD2305"/>
    <w:rsid w:val="58FE056E"/>
    <w:rsid w:val="59020075"/>
    <w:rsid w:val="591D1144"/>
    <w:rsid w:val="592A6B20"/>
    <w:rsid w:val="59393C4A"/>
    <w:rsid w:val="594B234B"/>
    <w:rsid w:val="594F4E65"/>
    <w:rsid w:val="59570B0F"/>
    <w:rsid w:val="595B1147"/>
    <w:rsid w:val="59602D28"/>
    <w:rsid w:val="596B5674"/>
    <w:rsid w:val="597C1452"/>
    <w:rsid w:val="59816D48"/>
    <w:rsid w:val="5984460A"/>
    <w:rsid w:val="59877187"/>
    <w:rsid w:val="599638FE"/>
    <w:rsid w:val="59BA3069"/>
    <w:rsid w:val="59BA5683"/>
    <w:rsid w:val="59BB3967"/>
    <w:rsid w:val="59D27A0C"/>
    <w:rsid w:val="59DA0E7E"/>
    <w:rsid w:val="59E40202"/>
    <w:rsid w:val="59F04EF4"/>
    <w:rsid w:val="59F44F54"/>
    <w:rsid w:val="59F708AE"/>
    <w:rsid w:val="5A0435C3"/>
    <w:rsid w:val="5A0E495B"/>
    <w:rsid w:val="5A1C36DE"/>
    <w:rsid w:val="5A1E73AC"/>
    <w:rsid w:val="5A236FD7"/>
    <w:rsid w:val="5A2A2459"/>
    <w:rsid w:val="5A394FC1"/>
    <w:rsid w:val="5A3A1659"/>
    <w:rsid w:val="5A5160A0"/>
    <w:rsid w:val="5A516620"/>
    <w:rsid w:val="5A613ED0"/>
    <w:rsid w:val="5A6205BF"/>
    <w:rsid w:val="5A6A7E8E"/>
    <w:rsid w:val="5A747F80"/>
    <w:rsid w:val="5A7711FB"/>
    <w:rsid w:val="5A8159FC"/>
    <w:rsid w:val="5A832A71"/>
    <w:rsid w:val="5A850B38"/>
    <w:rsid w:val="5A921AF9"/>
    <w:rsid w:val="5AAA25E0"/>
    <w:rsid w:val="5AB53231"/>
    <w:rsid w:val="5AB86419"/>
    <w:rsid w:val="5AB952E0"/>
    <w:rsid w:val="5ABF418F"/>
    <w:rsid w:val="5AC33E4A"/>
    <w:rsid w:val="5AC3786F"/>
    <w:rsid w:val="5AD46F7D"/>
    <w:rsid w:val="5ADA18C2"/>
    <w:rsid w:val="5ADB511C"/>
    <w:rsid w:val="5AE56AC1"/>
    <w:rsid w:val="5AE8587B"/>
    <w:rsid w:val="5AEA51AD"/>
    <w:rsid w:val="5AF276DD"/>
    <w:rsid w:val="5AF94149"/>
    <w:rsid w:val="5AFE2FB7"/>
    <w:rsid w:val="5B005798"/>
    <w:rsid w:val="5B021E37"/>
    <w:rsid w:val="5B0D434A"/>
    <w:rsid w:val="5B0E3373"/>
    <w:rsid w:val="5B1B4538"/>
    <w:rsid w:val="5B210FE2"/>
    <w:rsid w:val="5B27242C"/>
    <w:rsid w:val="5B401695"/>
    <w:rsid w:val="5B4A136B"/>
    <w:rsid w:val="5B4D1416"/>
    <w:rsid w:val="5B4E0FF4"/>
    <w:rsid w:val="5B5A0F59"/>
    <w:rsid w:val="5B656999"/>
    <w:rsid w:val="5B6B292A"/>
    <w:rsid w:val="5B701E45"/>
    <w:rsid w:val="5B762626"/>
    <w:rsid w:val="5B7F5251"/>
    <w:rsid w:val="5B84119B"/>
    <w:rsid w:val="5BA46B12"/>
    <w:rsid w:val="5BA64DD8"/>
    <w:rsid w:val="5BB73DD6"/>
    <w:rsid w:val="5BBA0393"/>
    <w:rsid w:val="5BBB7739"/>
    <w:rsid w:val="5BBD4EF8"/>
    <w:rsid w:val="5BC03CD5"/>
    <w:rsid w:val="5BC2428B"/>
    <w:rsid w:val="5BC62D16"/>
    <w:rsid w:val="5BC73F5C"/>
    <w:rsid w:val="5BD510D5"/>
    <w:rsid w:val="5BDD6627"/>
    <w:rsid w:val="5BE81573"/>
    <w:rsid w:val="5BEA0183"/>
    <w:rsid w:val="5BEF264F"/>
    <w:rsid w:val="5C0363E8"/>
    <w:rsid w:val="5C062F01"/>
    <w:rsid w:val="5C1A342F"/>
    <w:rsid w:val="5C1C5B61"/>
    <w:rsid w:val="5C1D21E6"/>
    <w:rsid w:val="5C207C7D"/>
    <w:rsid w:val="5C346D0B"/>
    <w:rsid w:val="5C63317F"/>
    <w:rsid w:val="5C637FA9"/>
    <w:rsid w:val="5C684F53"/>
    <w:rsid w:val="5C6A536D"/>
    <w:rsid w:val="5C6B23AF"/>
    <w:rsid w:val="5C7130A4"/>
    <w:rsid w:val="5C727F12"/>
    <w:rsid w:val="5C734B0D"/>
    <w:rsid w:val="5C774EB1"/>
    <w:rsid w:val="5C7C6F1B"/>
    <w:rsid w:val="5C803D24"/>
    <w:rsid w:val="5C844AAD"/>
    <w:rsid w:val="5C925AD2"/>
    <w:rsid w:val="5CBB052F"/>
    <w:rsid w:val="5CBD3DCF"/>
    <w:rsid w:val="5CC35654"/>
    <w:rsid w:val="5CD53E8F"/>
    <w:rsid w:val="5CDE76B5"/>
    <w:rsid w:val="5CE76D57"/>
    <w:rsid w:val="5CE81E5F"/>
    <w:rsid w:val="5CEA5721"/>
    <w:rsid w:val="5CF114E9"/>
    <w:rsid w:val="5D0759EE"/>
    <w:rsid w:val="5D085C4B"/>
    <w:rsid w:val="5D093637"/>
    <w:rsid w:val="5D0D3559"/>
    <w:rsid w:val="5D1B1B06"/>
    <w:rsid w:val="5D2719C4"/>
    <w:rsid w:val="5D3155A0"/>
    <w:rsid w:val="5D3775F3"/>
    <w:rsid w:val="5D3E3F6B"/>
    <w:rsid w:val="5D480F76"/>
    <w:rsid w:val="5D5177F4"/>
    <w:rsid w:val="5D53174C"/>
    <w:rsid w:val="5D6060B3"/>
    <w:rsid w:val="5D6806FF"/>
    <w:rsid w:val="5D6D70AD"/>
    <w:rsid w:val="5D7515CD"/>
    <w:rsid w:val="5D7C6A1B"/>
    <w:rsid w:val="5D89574C"/>
    <w:rsid w:val="5D9321D4"/>
    <w:rsid w:val="5D9C6CB4"/>
    <w:rsid w:val="5DA1110C"/>
    <w:rsid w:val="5DA225D3"/>
    <w:rsid w:val="5DA67C4D"/>
    <w:rsid w:val="5DAB0707"/>
    <w:rsid w:val="5DB56868"/>
    <w:rsid w:val="5DBF55DF"/>
    <w:rsid w:val="5DC20727"/>
    <w:rsid w:val="5DCB3ADC"/>
    <w:rsid w:val="5DD03D5D"/>
    <w:rsid w:val="5DD27ECB"/>
    <w:rsid w:val="5DE12CF4"/>
    <w:rsid w:val="5DE316B6"/>
    <w:rsid w:val="5DED103D"/>
    <w:rsid w:val="5DED5F5A"/>
    <w:rsid w:val="5DF30D93"/>
    <w:rsid w:val="5DF3643E"/>
    <w:rsid w:val="5E221C59"/>
    <w:rsid w:val="5E3160BC"/>
    <w:rsid w:val="5E3E79C1"/>
    <w:rsid w:val="5E6549F3"/>
    <w:rsid w:val="5E6B414A"/>
    <w:rsid w:val="5E6D54CE"/>
    <w:rsid w:val="5E6E470D"/>
    <w:rsid w:val="5E712529"/>
    <w:rsid w:val="5E7576BB"/>
    <w:rsid w:val="5E7D03CD"/>
    <w:rsid w:val="5E8A5468"/>
    <w:rsid w:val="5E8F0444"/>
    <w:rsid w:val="5E9268DE"/>
    <w:rsid w:val="5E963D1F"/>
    <w:rsid w:val="5EAB3806"/>
    <w:rsid w:val="5EBD09D6"/>
    <w:rsid w:val="5EC87508"/>
    <w:rsid w:val="5ED61040"/>
    <w:rsid w:val="5EDB6C56"/>
    <w:rsid w:val="5EEF5AA9"/>
    <w:rsid w:val="5EF523AE"/>
    <w:rsid w:val="5EF80B89"/>
    <w:rsid w:val="5EFE2228"/>
    <w:rsid w:val="5F017CE8"/>
    <w:rsid w:val="5F1A20DE"/>
    <w:rsid w:val="5F1B37BA"/>
    <w:rsid w:val="5F227D9A"/>
    <w:rsid w:val="5F2D56C2"/>
    <w:rsid w:val="5F34378F"/>
    <w:rsid w:val="5F3F2C3C"/>
    <w:rsid w:val="5F5C40A1"/>
    <w:rsid w:val="5F5D637E"/>
    <w:rsid w:val="5F5E47C0"/>
    <w:rsid w:val="5F6C3B8B"/>
    <w:rsid w:val="5F8C496E"/>
    <w:rsid w:val="5F952CB4"/>
    <w:rsid w:val="5F965A70"/>
    <w:rsid w:val="5FAA133D"/>
    <w:rsid w:val="5FB70A21"/>
    <w:rsid w:val="5FC43259"/>
    <w:rsid w:val="5FC86C19"/>
    <w:rsid w:val="5FCB3B6B"/>
    <w:rsid w:val="5FD92561"/>
    <w:rsid w:val="5FEA6F0C"/>
    <w:rsid w:val="600109F6"/>
    <w:rsid w:val="60056893"/>
    <w:rsid w:val="600F0278"/>
    <w:rsid w:val="602118F9"/>
    <w:rsid w:val="60257273"/>
    <w:rsid w:val="60271C63"/>
    <w:rsid w:val="602A0E6D"/>
    <w:rsid w:val="602B75EC"/>
    <w:rsid w:val="602E3449"/>
    <w:rsid w:val="603270C2"/>
    <w:rsid w:val="603C5EF7"/>
    <w:rsid w:val="60570D1F"/>
    <w:rsid w:val="605B4253"/>
    <w:rsid w:val="605F0547"/>
    <w:rsid w:val="60624606"/>
    <w:rsid w:val="606B29C3"/>
    <w:rsid w:val="606D3842"/>
    <w:rsid w:val="606D463D"/>
    <w:rsid w:val="607D2D0B"/>
    <w:rsid w:val="60817B02"/>
    <w:rsid w:val="608A20DB"/>
    <w:rsid w:val="60927C86"/>
    <w:rsid w:val="609F35F2"/>
    <w:rsid w:val="60B562FF"/>
    <w:rsid w:val="60E1162B"/>
    <w:rsid w:val="60E179EA"/>
    <w:rsid w:val="60E65BFD"/>
    <w:rsid w:val="60E8083C"/>
    <w:rsid w:val="60F07DF5"/>
    <w:rsid w:val="60F97FAF"/>
    <w:rsid w:val="60FB588D"/>
    <w:rsid w:val="61046033"/>
    <w:rsid w:val="610927E6"/>
    <w:rsid w:val="6113267F"/>
    <w:rsid w:val="61132A3F"/>
    <w:rsid w:val="61155F4E"/>
    <w:rsid w:val="612251B5"/>
    <w:rsid w:val="61226A9A"/>
    <w:rsid w:val="61494D95"/>
    <w:rsid w:val="6155111F"/>
    <w:rsid w:val="615A6953"/>
    <w:rsid w:val="61617739"/>
    <w:rsid w:val="61721DB6"/>
    <w:rsid w:val="61797972"/>
    <w:rsid w:val="617A5EF2"/>
    <w:rsid w:val="617C04E5"/>
    <w:rsid w:val="618121E7"/>
    <w:rsid w:val="619257F0"/>
    <w:rsid w:val="61991B06"/>
    <w:rsid w:val="61B14C85"/>
    <w:rsid w:val="61B432B0"/>
    <w:rsid w:val="61D45FF6"/>
    <w:rsid w:val="61DB18E7"/>
    <w:rsid w:val="61E908AE"/>
    <w:rsid w:val="61E96EB6"/>
    <w:rsid w:val="61EF1F5F"/>
    <w:rsid w:val="61FF1CD2"/>
    <w:rsid w:val="62043CD1"/>
    <w:rsid w:val="62272837"/>
    <w:rsid w:val="625006EB"/>
    <w:rsid w:val="6256049A"/>
    <w:rsid w:val="62571012"/>
    <w:rsid w:val="62576E93"/>
    <w:rsid w:val="625E0706"/>
    <w:rsid w:val="62624386"/>
    <w:rsid w:val="62652FF1"/>
    <w:rsid w:val="627760FE"/>
    <w:rsid w:val="62B050EB"/>
    <w:rsid w:val="62B3374E"/>
    <w:rsid w:val="62B868C8"/>
    <w:rsid w:val="62BE1307"/>
    <w:rsid w:val="62C2420B"/>
    <w:rsid w:val="62D30A82"/>
    <w:rsid w:val="62DA5CC1"/>
    <w:rsid w:val="62EB2CA3"/>
    <w:rsid w:val="62ED47EA"/>
    <w:rsid w:val="62F608A7"/>
    <w:rsid w:val="62F8392E"/>
    <w:rsid w:val="62F95DBF"/>
    <w:rsid w:val="62F967CA"/>
    <w:rsid w:val="62FB09B2"/>
    <w:rsid w:val="63056D14"/>
    <w:rsid w:val="63071D09"/>
    <w:rsid w:val="63125D14"/>
    <w:rsid w:val="631911FE"/>
    <w:rsid w:val="6325360B"/>
    <w:rsid w:val="633C318C"/>
    <w:rsid w:val="6342316F"/>
    <w:rsid w:val="63430E1A"/>
    <w:rsid w:val="6344140D"/>
    <w:rsid w:val="634A6B57"/>
    <w:rsid w:val="63545F49"/>
    <w:rsid w:val="635A14F9"/>
    <w:rsid w:val="636039A5"/>
    <w:rsid w:val="63606F30"/>
    <w:rsid w:val="63952DA7"/>
    <w:rsid w:val="639A51AE"/>
    <w:rsid w:val="639E2987"/>
    <w:rsid w:val="63A61AB6"/>
    <w:rsid w:val="63B54BF5"/>
    <w:rsid w:val="63BA0005"/>
    <w:rsid w:val="63BD3303"/>
    <w:rsid w:val="63BF1C02"/>
    <w:rsid w:val="63C206B6"/>
    <w:rsid w:val="63C45EFD"/>
    <w:rsid w:val="63D534E1"/>
    <w:rsid w:val="63D847A4"/>
    <w:rsid w:val="63DD6EDF"/>
    <w:rsid w:val="63E00D6A"/>
    <w:rsid w:val="63E43ADB"/>
    <w:rsid w:val="63EE6AA5"/>
    <w:rsid w:val="63F663B9"/>
    <w:rsid w:val="63F819E2"/>
    <w:rsid w:val="63F91DD1"/>
    <w:rsid w:val="63F944E9"/>
    <w:rsid w:val="64121B55"/>
    <w:rsid w:val="64191367"/>
    <w:rsid w:val="641B2CDA"/>
    <w:rsid w:val="642076A7"/>
    <w:rsid w:val="64227D00"/>
    <w:rsid w:val="642C68D5"/>
    <w:rsid w:val="642E1831"/>
    <w:rsid w:val="64315EF0"/>
    <w:rsid w:val="64345199"/>
    <w:rsid w:val="643B303F"/>
    <w:rsid w:val="643D666B"/>
    <w:rsid w:val="644F181B"/>
    <w:rsid w:val="646335D4"/>
    <w:rsid w:val="6467200B"/>
    <w:rsid w:val="646A7721"/>
    <w:rsid w:val="646E4E4A"/>
    <w:rsid w:val="6471283B"/>
    <w:rsid w:val="647B4418"/>
    <w:rsid w:val="648009D3"/>
    <w:rsid w:val="64900424"/>
    <w:rsid w:val="64952510"/>
    <w:rsid w:val="649D693D"/>
    <w:rsid w:val="64A21F14"/>
    <w:rsid w:val="64A23235"/>
    <w:rsid w:val="64A46C03"/>
    <w:rsid w:val="64B21CC3"/>
    <w:rsid w:val="64B53A3B"/>
    <w:rsid w:val="64BD6BD6"/>
    <w:rsid w:val="64BF69F8"/>
    <w:rsid w:val="64C024B5"/>
    <w:rsid w:val="64CB1E6A"/>
    <w:rsid w:val="64DD40F9"/>
    <w:rsid w:val="64DD7183"/>
    <w:rsid w:val="64DF6428"/>
    <w:rsid w:val="64E34F6D"/>
    <w:rsid w:val="64F2701E"/>
    <w:rsid w:val="64F85497"/>
    <w:rsid w:val="65081438"/>
    <w:rsid w:val="650C3F9A"/>
    <w:rsid w:val="65133997"/>
    <w:rsid w:val="651A194B"/>
    <w:rsid w:val="651C2544"/>
    <w:rsid w:val="651E0433"/>
    <w:rsid w:val="65220A66"/>
    <w:rsid w:val="6535349A"/>
    <w:rsid w:val="654B42BB"/>
    <w:rsid w:val="65551A82"/>
    <w:rsid w:val="655E6055"/>
    <w:rsid w:val="656216CE"/>
    <w:rsid w:val="65630AB4"/>
    <w:rsid w:val="656503AA"/>
    <w:rsid w:val="656C7E56"/>
    <w:rsid w:val="65701A2A"/>
    <w:rsid w:val="65776363"/>
    <w:rsid w:val="657E2A91"/>
    <w:rsid w:val="658155F4"/>
    <w:rsid w:val="65945CE1"/>
    <w:rsid w:val="659E5553"/>
    <w:rsid w:val="65A90D6C"/>
    <w:rsid w:val="65B24835"/>
    <w:rsid w:val="65BA2F3E"/>
    <w:rsid w:val="65BC6B82"/>
    <w:rsid w:val="65CC36C6"/>
    <w:rsid w:val="65D57BC5"/>
    <w:rsid w:val="65EA1E47"/>
    <w:rsid w:val="66012883"/>
    <w:rsid w:val="661246D3"/>
    <w:rsid w:val="66157245"/>
    <w:rsid w:val="66172913"/>
    <w:rsid w:val="66461635"/>
    <w:rsid w:val="66492BA9"/>
    <w:rsid w:val="664C25E3"/>
    <w:rsid w:val="665C7028"/>
    <w:rsid w:val="666843F9"/>
    <w:rsid w:val="66712FBC"/>
    <w:rsid w:val="66856946"/>
    <w:rsid w:val="66870FC6"/>
    <w:rsid w:val="669113C8"/>
    <w:rsid w:val="669127E3"/>
    <w:rsid w:val="66916820"/>
    <w:rsid w:val="66917BDF"/>
    <w:rsid w:val="66950B92"/>
    <w:rsid w:val="6698611D"/>
    <w:rsid w:val="669A3BE4"/>
    <w:rsid w:val="669F584F"/>
    <w:rsid w:val="66A020CF"/>
    <w:rsid w:val="66AD3E3A"/>
    <w:rsid w:val="66B355EA"/>
    <w:rsid w:val="66C76396"/>
    <w:rsid w:val="66E922DE"/>
    <w:rsid w:val="66F42122"/>
    <w:rsid w:val="66F67869"/>
    <w:rsid w:val="66FA201E"/>
    <w:rsid w:val="6702569A"/>
    <w:rsid w:val="67027AB0"/>
    <w:rsid w:val="67121940"/>
    <w:rsid w:val="67151DB5"/>
    <w:rsid w:val="67292E8F"/>
    <w:rsid w:val="672B5BF5"/>
    <w:rsid w:val="67302D9A"/>
    <w:rsid w:val="6742385D"/>
    <w:rsid w:val="67436582"/>
    <w:rsid w:val="67474A88"/>
    <w:rsid w:val="674960D8"/>
    <w:rsid w:val="674B1014"/>
    <w:rsid w:val="674D579C"/>
    <w:rsid w:val="675073AC"/>
    <w:rsid w:val="6758166F"/>
    <w:rsid w:val="676101A1"/>
    <w:rsid w:val="67656AFC"/>
    <w:rsid w:val="67696216"/>
    <w:rsid w:val="676A0E3C"/>
    <w:rsid w:val="676E234A"/>
    <w:rsid w:val="677203F4"/>
    <w:rsid w:val="67727547"/>
    <w:rsid w:val="677B7D02"/>
    <w:rsid w:val="678619E7"/>
    <w:rsid w:val="6789183E"/>
    <w:rsid w:val="6793150D"/>
    <w:rsid w:val="679354F9"/>
    <w:rsid w:val="679663FA"/>
    <w:rsid w:val="67A03992"/>
    <w:rsid w:val="67A877DE"/>
    <w:rsid w:val="67A92F96"/>
    <w:rsid w:val="67AF0A0D"/>
    <w:rsid w:val="67B11DDA"/>
    <w:rsid w:val="67C659C5"/>
    <w:rsid w:val="67DC74F1"/>
    <w:rsid w:val="67DD542C"/>
    <w:rsid w:val="67DD62C6"/>
    <w:rsid w:val="67E53218"/>
    <w:rsid w:val="67E61EEE"/>
    <w:rsid w:val="67EB6A18"/>
    <w:rsid w:val="67F13292"/>
    <w:rsid w:val="680E6A4F"/>
    <w:rsid w:val="68105C11"/>
    <w:rsid w:val="68122BF4"/>
    <w:rsid w:val="681249FA"/>
    <w:rsid w:val="68240787"/>
    <w:rsid w:val="682675C7"/>
    <w:rsid w:val="6828292B"/>
    <w:rsid w:val="68361B0A"/>
    <w:rsid w:val="68383B8E"/>
    <w:rsid w:val="68457F57"/>
    <w:rsid w:val="68477360"/>
    <w:rsid w:val="68483DFE"/>
    <w:rsid w:val="684A7DCA"/>
    <w:rsid w:val="68542010"/>
    <w:rsid w:val="68562D9F"/>
    <w:rsid w:val="686B3D2A"/>
    <w:rsid w:val="686C2748"/>
    <w:rsid w:val="687C0256"/>
    <w:rsid w:val="687E2CC0"/>
    <w:rsid w:val="688426FD"/>
    <w:rsid w:val="688A0DDC"/>
    <w:rsid w:val="688B032C"/>
    <w:rsid w:val="68A122B4"/>
    <w:rsid w:val="68D4092C"/>
    <w:rsid w:val="68D76254"/>
    <w:rsid w:val="68DB0264"/>
    <w:rsid w:val="68DC2551"/>
    <w:rsid w:val="68E23561"/>
    <w:rsid w:val="68E37F97"/>
    <w:rsid w:val="68EC13C4"/>
    <w:rsid w:val="690C626D"/>
    <w:rsid w:val="69105582"/>
    <w:rsid w:val="69160E87"/>
    <w:rsid w:val="692D38DE"/>
    <w:rsid w:val="69383EDC"/>
    <w:rsid w:val="693E0E17"/>
    <w:rsid w:val="69454E15"/>
    <w:rsid w:val="69540761"/>
    <w:rsid w:val="6957719D"/>
    <w:rsid w:val="695A7016"/>
    <w:rsid w:val="69620C08"/>
    <w:rsid w:val="6965287E"/>
    <w:rsid w:val="6967409A"/>
    <w:rsid w:val="696A4DA6"/>
    <w:rsid w:val="696E2AC8"/>
    <w:rsid w:val="696F202C"/>
    <w:rsid w:val="698D4719"/>
    <w:rsid w:val="698D59B4"/>
    <w:rsid w:val="698E291F"/>
    <w:rsid w:val="699B2EE1"/>
    <w:rsid w:val="699C1BF8"/>
    <w:rsid w:val="69A50226"/>
    <w:rsid w:val="69AA3D5A"/>
    <w:rsid w:val="69CA6535"/>
    <w:rsid w:val="69D216DC"/>
    <w:rsid w:val="69DD6730"/>
    <w:rsid w:val="69E16D26"/>
    <w:rsid w:val="69EC595A"/>
    <w:rsid w:val="69F42341"/>
    <w:rsid w:val="69F70497"/>
    <w:rsid w:val="69F82084"/>
    <w:rsid w:val="69FC137F"/>
    <w:rsid w:val="6A0173D8"/>
    <w:rsid w:val="6A0B1C5D"/>
    <w:rsid w:val="6A193589"/>
    <w:rsid w:val="6A1D4B86"/>
    <w:rsid w:val="6A1F1916"/>
    <w:rsid w:val="6A3A44DB"/>
    <w:rsid w:val="6A3F2459"/>
    <w:rsid w:val="6A57083F"/>
    <w:rsid w:val="6A595409"/>
    <w:rsid w:val="6A5E55D2"/>
    <w:rsid w:val="6A600ED2"/>
    <w:rsid w:val="6A7369A7"/>
    <w:rsid w:val="6A801E2D"/>
    <w:rsid w:val="6A8279E8"/>
    <w:rsid w:val="6A852FB7"/>
    <w:rsid w:val="6A93449F"/>
    <w:rsid w:val="6A985B25"/>
    <w:rsid w:val="6AA7523C"/>
    <w:rsid w:val="6ABD7161"/>
    <w:rsid w:val="6AC87527"/>
    <w:rsid w:val="6AD54CC1"/>
    <w:rsid w:val="6AD57C2F"/>
    <w:rsid w:val="6AD7438A"/>
    <w:rsid w:val="6ADE270F"/>
    <w:rsid w:val="6AE763E7"/>
    <w:rsid w:val="6AF23BA6"/>
    <w:rsid w:val="6AF305AB"/>
    <w:rsid w:val="6AFC42BE"/>
    <w:rsid w:val="6B0E2BCD"/>
    <w:rsid w:val="6B141F0F"/>
    <w:rsid w:val="6B1857C9"/>
    <w:rsid w:val="6B2675D6"/>
    <w:rsid w:val="6B2E23D2"/>
    <w:rsid w:val="6B310FB4"/>
    <w:rsid w:val="6B39578B"/>
    <w:rsid w:val="6B396BAF"/>
    <w:rsid w:val="6B464026"/>
    <w:rsid w:val="6B4A760B"/>
    <w:rsid w:val="6B575D76"/>
    <w:rsid w:val="6B615997"/>
    <w:rsid w:val="6B636AD0"/>
    <w:rsid w:val="6B640E28"/>
    <w:rsid w:val="6B653230"/>
    <w:rsid w:val="6B68217B"/>
    <w:rsid w:val="6B70167D"/>
    <w:rsid w:val="6B806A43"/>
    <w:rsid w:val="6B81117A"/>
    <w:rsid w:val="6B900202"/>
    <w:rsid w:val="6B943053"/>
    <w:rsid w:val="6BA0601F"/>
    <w:rsid w:val="6BA14D79"/>
    <w:rsid w:val="6BA52C19"/>
    <w:rsid w:val="6BB64455"/>
    <w:rsid w:val="6BBA1F7E"/>
    <w:rsid w:val="6BBE33C1"/>
    <w:rsid w:val="6BCF1502"/>
    <w:rsid w:val="6BD22770"/>
    <w:rsid w:val="6BD65546"/>
    <w:rsid w:val="6BD946F2"/>
    <w:rsid w:val="6BDB5572"/>
    <w:rsid w:val="6BE432D1"/>
    <w:rsid w:val="6BE44406"/>
    <w:rsid w:val="6BE60023"/>
    <w:rsid w:val="6BEC244D"/>
    <w:rsid w:val="6BF86920"/>
    <w:rsid w:val="6C051791"/>
    <w:rsid w:val="6C0D6051"/>
    <w:rsid w:val="6C175221"/>
    <w:rsid w:val="6C1820FA"/>
    <w:rsid w:val="6C421228"/>
    <w:rsid w:val="6C474192"/>
    <w:rsid w:val="6C4A324C"/>
    <w:rsid w:val="6C5A6EC6"/>
    <w:rsid w:val="6C5C511D"/>
    <w:rsid w:val="6C600B68"/>
    <w:rsid w:val="6C7232E2"/>
    <w:rsid w:val="6C815485"/>
    <w:rsid w:val="6C8B32E6"/>
    <w:rsid w:val="6CA8782A"/>
    <w:rsid w:val="6CC24049"/>
    <w:rsid w:val="6CC6639F"/>
    <w:rsid w:val="6CCC213B"/>
    <w:rsid w:val="6CCE25FC"/>
    <w:rsid w:val="6CD43BA0"/>
    <w:rsid w:val="6CD71CBC"/>
    <w:rsid w:val="6CD83C46"/>
    <w:rsid w:val="6CD931D7"/>
    <w:rsid w:val="6CE60FF2"/>
    <w:rsid w:val="6CE834AF"/>
    <w:rsid w:val="6CEA401C"/>
    <w:rsid w:val="6CEB4936"/>
    <w:rsid w:val="6CED13A1"/>
    <w:rsid w:val="6CED61AB"/>
    <w:rsid w:val="6CF4589B"/>
    <w:rsid w:val="6CF904D5"/>
    <w:rsid w:val="6CFE2E77"/>
    <w:rsid w:val="6D002660"/>
    <w:rsid w:val="6D032A2B"/>
    <w:rsid w:val="6D136F98"/>
    <w:rsid w:val="6D1F5BED"/>
    <w:rsid w:val="6D204343"/>
    <w:rsid w:val="6D243269"/>
    <w:rsid w:val="6D2937AB"/>
    <w:rsid w:val="6D3E6170"/>
    <w:rsid w:val="6D404D0D"/>
    <w:rsid w:val="6D417174"/>
    <w:rsid w:val="6D437756"/>
    <w:rsid w:val="6D457A77"/>
    <w:rsid w:val="6D484EE3"/>
    <w:rsid w:val="6D5304D8"/>
    <w:rsid w:val="6D6032F4"/>
    <w:rsid w:val="6D65363B"/>
    <w:rsid w:val="6D6A7564"/>
    <w:rsid w:val="6D742F08"/>
    <w:rsid w:val="6D747013"/>
    <w:rsid w:val="6D82542C"/>
    <w:rsid w:val="6D9A6675"/>
    <w:rsid w:val="6DA9438E"/>
    <w:rsid w:val="6DAC2609"/>
    <w:rsid w:val="6DB71141"/>
    <w:rsid w:val="6DBF5D3D"/>
    <w:rsid w:val="6DC37FB5"/>
    <w:rsid w:val="6DCB49BA"/>
    <w:rsid w:val="6DD80F27"/>
    <w:rsid w:val="6DDA45DC"/>
    <w:rsid w:val="6DE558B2"/>
    <w:rsid w:val="6DE62069"/>
    <w:rsid w:val="6DEF3975"/>
    <w:rsid w:val="6DF45C04"/>
    <w:rsid w:val="6DF765B6"/>
    <w:rsid w:val="6DF95413"/>
    <w:rsid w:val="6DFA2822"/>
    <w:rsid w:val="6DFC56A1"/>
    <w:rsid w:val="6E015685"/>
    <w:rsid w:val="6E157DCE"/>
    <w:rsid w:val="6E2067D8"/>
    <w:rsid w:val="6E206C81"/>
    <w:rsid w:val="6E2A1BF7"/>
    <w:rsid w:val="6E2F7731"/>
    <w:rsid w:val="6E307386"/>
    <w:rsid w:val="6E31618C"/>
    <w:rsid w:val="6E352986"/>
    <w:rsid w:val="6E360766"/>
    <w:rsid w:val="6E391CF9"/>
    <w:rsid w:val="6E466DCC"/>
    <w:rsid w:val="6E4D3581"/>
    <w:rsid w:val="6E5422C7"/>
    <w:rsid w:val="6E657FE9"/>
    <w:rsid w:val="6E7A13A6"/>
    <w:rsid w:val="6E95174B"/>
    <w:rsid w:val="6EB05515"/>
    <w:rsid w:val="6EB76243"/>
    <w:rsid w:val="6EBA5F14"/>
    <w:rsid w:val="6EBF4896"/>
    <w:rsid w:val="6EC205DA"/>
    <w:rsid w:val="6EC36ECA"/>
    <w:rsid w:val="6ECA12D3"/>
    <w:rsid w:val="6ED709A0"/>
    <w:rsid w:val="6ED754F5"/>
    <w:rsid w:val="6ED96738"/>
    <w:rsid w:val="6EDB6D73"/>
    <w:rsid w:val="6EDD4BFC"/>
    <w:rsid w:val="6EDD6EB0"/>
    <w:rsid w:val="6EE25A4E"/>
    <w:rsid w:val="6EEF5E09"/>
    <w:rsid w:val="6EFC63FB"/>
    <w:rsid w:val="6EFD4645"/>
    <w:rsid w:val="6F126E38"/>
    <w:rsid w:val="6F22197D"/>
    <w:rsid w:val="6F291037"/>
    <w:rsid w:val="6F2A41B1"/>
    <w:rsid w:val="6F3A31C7"/>
    <w:rsid w:val="6F3E0B66"/>
    <w:rsid w:val="6F4870FA"/>
    <w:rsid w:val="6F522D33"/>
    <w:rsid w:val="6F591359"/>
    <w:rsid w:val="6F5F591F"/>
    <w:rsid w:val="6F621139"/>
    <w:rsid w:val="6F6C6375"/>
    <w:rsid w:val="6F85742F"/>
    <w:rsid w:val="6F880714"/>
    <w:rsid w:val="6FAC2527"/>
    <w:rsid w:val="6FBF525E"/>
    <w:rsid w:val="6FCA0F99"/>
    <w:rsid w:val="6FD11917"/>
    <w:rsid w:val="6FD26DE3"/>
    <w:rsid w:val="6FD528AE"/>
    <w:rsid w:val="6FE74E1B"/>
    <w:rsid w:val="6FF01A2A"/>
    <w:rsid w:val="6FFB0406"/>
    <w:rsid w:val="70074091"/>
    <w:rsid w:val="70124813"/>
    <w:rsid w:val="7016359D"/>
    <w:rsid w:val="702748FD"/>
    <w:rsid w:val="702B3724"/>
    <w:rsid w:val="70351877"/>
    <w:rsid w:val="703957EF"/>
    <w:rsid w:val="7045784A"/>
    <w:rsid w:val="704B62D2"/>
    <w:rsid w:val="704C7BCB"/>
    <w:rsid w:val="705C606B"/>
    <w:rsid w:val="706708A1"/>
    <w:rsid w:val="707F7309"/>
    <w:rsid w:val="70872C41"/>
    <w:rsid w:val="709426F4"/>
    <w:rsid w:val="709F1057"/>
    <w:rsid w:val="70A9168B"/>
    <w:rsid w:val="70AA0BCC"/>
    <w:rsid w:val="70AB4EE8"/>
    <w:rsid w:val="70BF6AD0"/>
    <w:rsid w:val="70C04E4A"/>
    <w:rsid w:val="70C549AB"/>
    <w:rsid w:val="70DF7AD4"/>
    <w:rsid w:val="70E0708A"/>
    <w:rsid w:val="70EF636C"/>
    <w:rsid w:val="71123738"/>
    <w:rsid w:val="712A749B"/>
    <w:rsid w:val="713E263B"/>
    <w:rsid w:val="71407F91"/>
    <w:rsid w:val="71461B15"/>
    <w:rsid w:val="716006DB"/>
    <w:rsid w:val="717202BF"/>
    <w:rsid w:val="717331B6"/>
    <w:rsid w:val="71782312"/>
    <w:rsid w:val="71802534"/>
    <w:rsid w:val="71845216"/>
    <w:rsid w:val="71874FB0"/>
    <w:rsid w:val="718E1437"/>
    <w:rsid w:val="719012DB"/>
    <w:rsid w:val="71A02F71"/>
    <w:rsid w:val="71C91228"/>
    <w:rsid w:val="71CC1CFA"/>
    <w:rsid w:val="71CC3DA8"/>
    <w:rsid w:val="71D14840"/>
    <w:rsid w:val="71D711C3"/>
    <w:rsid w:val="71E6294E"/>
    <w:rsid w:val="71FB1A9C"/>
    <w:rsid w:val="72016658"/>
    <w:rsid w:val="720D0148"/>
    <w:rsid w:val="72194B2E"/>
    <w:rsid w:val="721E5FBA"/>
    <w:rsid w:val="72207F84"/>
    <w:rsid w:val="72272CE6"/>
    <w:rsid w:val="72283B36"/>
    <w:rsid w:val="723033D4"/>
    <w:rsid w:val="72314DA0"/>
    <w:rsid w:val="723C689E"/>
    <w:rsid w:val="724975C0"/>
    <w:rsid w:val="7254376E"/>
    <w:rsid w:val="725D7152"/>
    <w:rsid w:val="72645445"/>
    <w:rsid w:val="7269457E"/>
    <w:rsid w:val="726B64BE"/>
    <w:rsid w:val="72747071"/>
    <w:rsid w:val="72780975"/>
    <w:rsid w:val="72832AB8"/>
    <w:rsid w:val="728A4468"/>
    <w:rsid w:val="728B4B4E"/>
    <w:rsid w:val="7290490C"/>
    <w:rsid w:val="72924C27"/>
    <w:rsid w:val="729E415B"/>
    <w:rsid w:val="72A024AA"/>
    <w:rsid w:val="72A47FCA"/>
    <w:rsid w:val="72B102DA"/>
    <w:rsid w:val="72B15C6E"/>
    <w:rsid w:val="72B4351B"/>
    <w:rsid w:val="72B901BD"/>
    <w:rsid w:val="72C558F0"/>
    <w:rsid w:val="72CA074B"/>
    <w:rsid w:val="72D22768"/>
    <w:rsid w:val="72D45F66"/>
    <w:rsid w:val="72DF2591"/>
    <w:rsid w:val="72E26A70"/>
    <w:rsid w:val="72EE7124"/>
    <w:rsid w:val="72F25CAF"/>
    <w:rsid w:val="72F5198C"/>
    <w:rsid w:val="7302318A"/>
    <w:rsid w:val="730F1037"/>
    <w:rsid w:val="73130220"/>
    <w:rsid w:val="731B1D78"/>
    <w:rsid w:val="732A3862"/>
    <w:rsid w:val="733340B1"/>
    <w:rsid w:val="73517931"/>
    <w:rsid w:val="73617C79"/>
    <w:rsid w:val="73650E8C"/>
    <w:rsid w:val="73804895"/>
    <w:rsid w:val="73804EDA"/>
    <w:rsid w:val="738A706E"/>
    <w:rsid w:val="73AF1454"/>
    <w:rsid w:val="73B551B4"/>
    <w:rsid w:val="73B72C3D"/>
    <w:rsid w:val="73B85B6A"/>
    <w:rsid w:val="73D22A68"/>
    <w:rsid w:val="73D9513D"/>
    <w:rsid w:val="73DE0E8B"/>
    <w:rsid w:val="73E25F6B"/>
    <w:rsid w:val="73F25289"/>
    <w:rsid w:val="73F50ED4"/>
    <w:rsid w:val="73FD1F94"/>
    <w:rsid w:val="74065BF4"/>
    <w:rsid w:val="740F7452"/>
    <w:rsid w:val="74112642"/>
    <w:rsid w:val="74137741"/>
    <w:rsid w:val="741527F4"/>
    <w:rsid w:val="741B24B6"/>
    <w:rsid w:val="741F6939"/>
    <w:rsid w:val="74250AD9"/>
    <w:rsid w:val="74261AA0"/>
    <w:rsid w:val="74367F9A"/>
    <w:rsid w:val="74377E02"/>
    <w:rsid w:val="7440552B"/>
    <w:rsid w:val="74457D26"/>
    <w:rsid w:val="744D7B2C"/>
    <w:rsid w:val="744E575C"/>
    <w:rsid w:val="74560531"/>
    <w:rsid w:val="745B40EF"/>
    <w:rsid w:val="746C4805"/>
    <w:rsid w:val="747E4B93"/>
    <w:rsid w:val="7485580D"/>
    <w:rsid w:val="74891383"/>
    <w:rsid w:val="748D32C7"/>
    <w:rsid w:val="748F1DC0"/>
    <w:rsid w:val="74901773"/>
    <w:rsid w:val="749470B9"/>
    <w:rsid w:val="749D0945"/>
    <w:rsid w:val="74A716F7"/>
    <w:rsid w:val="74B30711"/>
    <w:rsid w:val="74C1742F"/>
    <w:rsid w:val="74C21D7A"/>
    <w:rsid w:val="74CD00C6"/>
    <w:rsid w:val="74DA2F09"/>
    <w:rsid w:val="74E7666D"/>
    <w:rsid w:val="74FF3F52"/>
    <w:rsid w:val="75034532"/>
    <w:rsid w:val="75091547"/>
    <w:rsid w:val="751C0CC1"/>
    <w:rsid w:val="752E4E36"/>
    <w:rsid w:val="75333240"/>
    <w:rsid w:val="753C2335"/>
    <w:rsid w:val="753D327B"/>
    <w:rsid w:val="753D3FCB"/>
    <w:rsid w:val="755C214B"/>
    <w:rsid w:val="75701FC6"/>
    <w:rsid w:val="75757AE8"/>
    <w:rsid w:val="757C086D"/>
    <w:rsid w:val="757F1702"/>
    <w:rsid w:val="757F73DB"/>
    <w:rsid w:val="75804A36"/>
    <w:rsid w:val="75850A11"/>
    <w:rsid w:val="758551DD"/>
    <w:rsid w:val="7587156E"/>
    <w:rsid w:val="758C0209"/>
    <w:rsid w:val="75930F2A"/>
    <w:rsid w:val="759512AD"/>
    <w:rsid w:val="759845BE"/>
    <w:rsid w:val="759D22B8"/>
    <w:rsid w:val="75A5486A"/>
    <w:rsid w:val="75A829F5"/>
    <w:rsid w:val="75B02134"/>
    <w:rsid w:val="75B24F32"/>
    <w:rsid w:val="75B87975"/>
    <w:rsid w:val="75D76591"/>
    <w:rsid w:val="75E20E46"/>
    <w:rsid w:val="75E5622F"/>
    <w:rsid w:val="75EF20B3"/>
    <w:rsid w:val="75F102AA"/>
    <w:rsid w:val="75F43634"/>
    <w:rsid w:val="75F579B5"/>
    <w:rsid w:val="75FC147B"/>
    <w:rsid w:val="76007719"/>
    <w:rsid w:val="76123D5E"/>
    <w:rsid w:val="76132823"/>
    <w:rsid w:val="761A40E1"/>
    <w:rsid w:val="761D3CE2"/>
    <w:rsid w:val="76206FD8"/>
    <w:rsid w:val="76217D3F"/>
    <w:rsid w:val="76224E2B"/>
    <w:rsid w:val="76235875"/>
    <w:rsid w:val="762D6C3F"/>
    <w:rsid w:val="76361A99"/>
    <w:rsid w:val="76405339"/>
    <w:rsid w:val="76434758"/>
    <w:rsid w:val="76565341"/>
    <w:rsid w:val="765834FB"/>
    <w:rsid w:val="765B1240"/>
    <w:rsid w:val="765C05F9"/>
    <w:rsid w:val="765C4CA7"/>
    <w:rsid w:val="7662420C"/>
    <w:rsid w:val="76633BD0"/>
    <w:rsid w:val="76662CE9"/>
    <w:rsid w:val="76704F0D"/>
    <w:rsid w:val="76773EA4"/>
    <w:rsid w:val="767B16BB"/>
    <w:rsid w:val="767D0282"/>
    <w:rsid w:val="76872EE8"/>
    <w:rsid w:val="76956BE2"/>
    <w:rsid w:val="769E2517"/>
    <w:rsid w:val="76B83AB6"/>
    <w:rsid w:val="76B86C49"/>
    <w:rsid w:val="76BE461C"/>
    <w:rsid w:val="76CB0952"/>
    <w:rsid w:val="76CE1B13"/>
    <w:rsid w:val="76D1082B"/>
    <w:rsid w:val="76F9774F"/>
    <w:rsid w:val="770C542B"/>
    <w:rsid w:val="770F2115"/>
    <w:rsid w:val="77162BA0"/>
    <w:rsid w:val="772813B5"/>
    <w:rsid w:val="77292BEF"/>
    <w:rsid w:val="772B10B5"/>
    <w:rsid w:val="773012B8"/>
    <w:rsid w:val="77336B40"/>
    <w:rsid w:val="77437EDD"/>
    <w:rsid w:val="775201FE"/>
    <w:rsid w:val="775E317E"/>
    <w:rsid w:val="7760310B"/>
    <w:rsid w:val="77676780"/>
    <w:rsid w:val="77803376"/>
    <w:rsid w:val="77805A01"/>
    <w:rsid w:val="77914195"/>
    <w:rsid w:val="779C1023"/>
    <w:rsid w:val="77A30DFD"/>
    <w:rsid w:val="77AB046C"/>
    <w:rsid w:val="77AD185B"/>
    <w:rsid w:val="77B023B6"/>
    <w:rsid w:val="77B243E7"/>
    <w:rsid w:val="77BA0140"/>
    <w:rsid w:val="77BB2BAF"/>
    <w:rsid w:val="77C223A2"/>
    <w:rsid w:val="77C521AE"/>
    <w:rsid w:val="77C970F3"/>
    <w:rsid w:val="77CA4372"/>
    <w:rsid w:val="77CB1E7A"/>
    <w:rsid w:val="77D73095"/>
    <w:rsid w:val="77FA3B5C"/>
    <w:rsid w:val="78015FAB"/>
    <w:rsid w:val="7802271B"/>
    <w:rsid w:val="78041330"/>
    <w:rsid w:val="781F2121"/>
    <w:rsid w:val="781F67B1"/>
    <w:rsid w:val="782417B2"/>
    <w:rsid w:val="782908E8"/>
    <w:rsid w:val="78360102"/>
    <w:rsid w:val="783B110F"/>
    <w:rsid w:val="783C54C1"/>
    <w:rsid w:val="783F0F53"/>
    <w:rsid w:val="784139CE"/>
    <w:rsid w:val="78475CA8"/>
    <w:rsid w:val="784C58FE"/>
    <w:rsid w:val="784C5E87"/>
    <w:rsid w:val="78501E6F"/>
    <w:rsid w:val="785638C1"/>
    <w:rsid w:val="786A1CB9"/>
    <w:rsid w:val="787A3A58"/>
    <w:rsid w:val="787D268B"/>
    <w:rsid w:val="787F1F88"/>
    <w:rsid w:val="7896056D"/>
    <w:rsid w:val="789C500B"/>
    <w:rsid w:val="78A44AF9"/>
    <w:rsid w:val="78AE0EB0"/>
    <w:rsid w:val="78BC4FA4"/>
    <w:rsid w:val="78C24E38"/>
    <w:rsid w:val="78D20C3C"/>
    <w:rsid w:val="78D625B2"/>
    <w:rsid w:val="78DE07EB"/>
    <w:rsid w:val="78E26C10"/>
    <w:rsid w:val="78ED7872"/>
    <w:rsid w:val="78F1608B"/>
    <w:rsid w:val="78FC7AE8"/>
    <w:rsid w:val="78FD5E38"/>
    <w:rsid w:val="79032E47"/>
    <w:rsid w:val="7917402D"/>
    <w:rsid w:val="791F3D17"/>
    <w:rsid w:val="792B2646"/>
    <w:rsid w:val="79303C90"/>
    <w:rsid w:val="79335632"/>
    <w:rsid w:val="793823B7"/>
    <w:rsid w:val="793E54ED"/>
    <w:rsid w:val="793F1F59"/>
    <w:rsid w:val="793F4EB7"/>
    <w:rsid w:val="794127F8"/>
    <w:rsid w:val="794400BD"/>
    <w:rsid w:val="79485A24"/>
    <w:rsid w:val="794F06EA"/>
    <w:rsid w:val="79532DAB"/>
    <w:rsid w:val="795368A6"/>
    <w:rsid w:val="795E624A"/>
    <w:rsid w:val="79601281"/>
    <w:rsid w:val="796C00E0"/>
    <w:rsid w:val="796D6F33"/>
    <w:rsid w:val="797314BE"/>
    <w:rsid w:val="79737A36"/>
    <w:rsid w:val="79761A69"/>
    <w:rsid w:val="797862DB"/>
    <w:rsid w:val="797B0E20"/>
    <w:rsid w:val="79854F3B"/>
    <w:rsid w:val="79864455"/>
    <w:rsid w:val="79922A8A"/>
    <w:rsid w:val="7999084D"/>
    <w:rsid w:val="79B478E8"/>
    <w:rsid w:val="79B80E37"/>
    <w:rsid w:val="79BB3FD7"/>
    <w:rsid w:val="79C20C54"/>
    <w:rsid w:val="79D74407"/>
    <w:rsid w:val="79F558D2"/>
    <w:rsid w:val="79F86DF8"/>
    <w:rsid w:val="7A0052D3"/>
    <w:rsid w:val="7A05268C"/>
    <w:rsid w:val="7A0A28A9"/>
    <w:rsid w:val="7A0C139B"/>
    <w:rsid w:val="7A0D4339"/>
    <w:rsid w:val="7A1E119A"/>
    <w:rsid w:val="7A227EB8"/>
    <w:rsid w:val="7A2A404F"/>
    <w:rsid w:val="7A321AF4"/>
    <w:rsid w:val="7A3A3ECE"/>
    <w:rsid w:val="7A5E5467"/>
    <w:rsid w:val="7A6A7AA8"/>
    <w:rsid w:val="7A6B6119"/>
    <w:rsid w:val="7A70122C"/>
    <w:rsid w:val="7A7E0950"/>
    <w:rsid w:val="7A7F48DD"/>
    <w:rsid w:val="7A811B0F"/>
    <w:rsid w:val="7A814276"/>
    <w:rsid w:val="7A815268"/>
    <w:rsid w:val="7A9022D3"/>
    <w:rsid w:val="7AAA5456"/>
    <w:rsid w:val="7AAE5D90"/>
    <w:rsid w:val="7AC27D82"/>
    <w:rsid w:val="7ACA6BA0"/>
    <w:rsid w:val="7ACE005E"/>
    <w:rsid w:val="7AE200C0"/>
    <w:rsid w:val="7AE869CD"/>
    <w:rsid w:val="7AFF1C73"/>
    <w:rsid w:val="7B022882"/>
    <w:rsid w:val="7B061534"/>
    <w:rsid w:val="7B0737B3"/>
    <w:rsid w:val="7B27610E"/>
    <w:rsid w:val="7B2A631E"/>
    <w:rsid w:val="7B2B7D4E"/>
    <w:rsid w:val="7B2C2D56"/>
    <w:rsid w:val="7B2C6C04"/>
    <w:rsid w:val="7B3602D6"/>
    <w:rsid w:val="7B413193"/>
    <w:rsid w:val="7B472316"/>
    <w:rsid w:val="7B491543"/>
    <w:rsid w:val="7B4F5B04"/>
    <w:rsid w:val="7B591F8E"/>
    <w:rsid w:val="7B612AFF"/>
    <w:rsid w:val="7B625C70"/>
    <w:rsid w:val="7B7A444D"/>
    <w:rsid w:val="7B840CF6"/>
    <w:rsid w:val="7B8A16F8"/>
    <w:rsid w:val="7B8B0E1A"/>
    <w:rsid w:val="7B95314A"/>
    <w:rsid w:val="7BA16B18"/>
    <w:rsid w:val="7BAD6818"/>
    <w:rsid w:val="7BC00C98"/>
    <w:rsid w:val="7BC075EC"/>
    <w:rsid w:val="7BC11A9E"/>
    <w:rsid w:val="7BC20FE5"/>
    <w:rsid w:val="7BD25C6B"/>
    <w:rsid w:val="7BD37DCF"/>
    <w:rsid w:val="7BD42C02"/>
    <w:rsid w:val="7BD6789B"/>
    <w:rsid w:val="7BE10C07"/>
    <w:rsid w:val="7BF77374"/>
    <w:rsid w:val="7BFA399F"/>
    <w:rsid w:val="7BFD6082"/>
    <w:rsid w:val="7C01688A"/>
    <w:rsid w:val="7C092860"/>
    <w:rsid w:val="7C0F319A"/>
    <w:rsid w:val="7C161D7E"/>
    <w:rsid w:val="7C282E72"/>
    <w:rsid w:val="7C2869ED"/>
    <w:rsid w:val="7C293142"/>
    <w:rsid w:val="7C444C34"/>
    <w:rsid w:val="7C5E23BD"/>
    <w:rsid w:val="7C6D1911"/>
    <w:rsid w:val="7C732264"/>
    <w:rsid w:val="7C745B76"/>
    <w:rsid w:val="7C8022A4"/>
    <w:rsid w:val="7C8A2209"/>
    <w:rsid w:val="7C992514"/>
    <w:rsid w:val="7C9D0F17"/>
    <w:rsid w:val="7C9D7850"/>
    <w:rsid w:val="7CA17931"/>
    <w:rsid w:val="7CA949A1"/>
    <w:rsid w:val="7CB26FCE"/>
    <w:rsid w:val="7CB566D5"/>
    <w:rsid w:val="7CCC72D8"/>
    <w:rsid w:val="7CCF2D25"/>
    <w:rsid w:val="7CCF55B1"/>
    <w:rsid w:val="7CD4291E"/>
    <w:rsid w:val="7CE028C5"/>
    <w:rsid w:val="7CE858AB"/>
    <w:rsid w:val="7CF254A6"/>
    <w:rsid w:val="7CFC48E8"/>
    <w:rsid w:val="7D0542C2"/>
    <w:rsid w:val="7D086862"/>
    <w:rsid w:val="7D163441"/>
    <w:rsid w:val="7D2438A6"/>
    <w:rsid w:val="7D283684"/>
    <w:rsid w:val="7D2D048D"/>
    <w:rsid w:val="7D2E4372"/>
    <w:rsid w:val="7D3517CC"/>
    <w:rsid w:val="7D4904F0"/>
    <w:rsid w:val="7D4E1559"/>
    <w:rsid w:val="7D54727E"/>
    <w:rsid w:val="7D650914"/>
    <w:rsid w:val="7D673EBC"/>
    <w:rsid w:val="7D705D10"/>
    <w:rsid w:val="7D781A73"/>
    <w:rsid w:val="7D7B605B"/>
    <w:rsid w:val="7D7C7421"/>
    <w:rsid w:val="7D8145C5"/>
    <w:rsid w:val="7D931792"/>
    <w:rsid w:val="7D9D5587"/>
    <w:rsid w:val="7DA51012"/>
    <w:rsid w:val="7DAC4042"/>
    <w:rsid w:val="7DAF4C59"/>
    <w:rsid w:val="7DCC5E1D"/>
    <w:rsid w:val="7DCE3A9F"/>
    <w:rsid w:val="7DD0553E"/>
    <w:rsid w:val="7DE27E16"/>
    <w:rsid w:val="7DF50700"/>
    <w:rsid w:val="7E040A9B"/>
    <w:rsid w:val="7E0E0B22"/>
    <w:rsid w:val="7E0F4EE6"/>
    <w:rsid w:val="7E1172EE"/>
    <w:rsid w:val="7E1D690D"/>
    <w:rsid w:val="7E335DA5"/>
    <w:rsid w:val="7E3B226C"/>
    <w:rsid w:val="7E3C19F6"/>
    <w:rsid w:val="7E402C65"/>
    <w:rsid w:val="7E481DB2"/>
    <w:rsid w:val="7E5B72F5"/>
    <w:rsid w:val="7E637AC3"/>
    <w:rsid w:val="7E6B66DA"/>
    <w:rsid w:val="7E712358"/>
    <w:rsid w:val="7E7A610F"/>
    <w:rsid w:val="7E805DB3"/>
    <w:rsid w:val="7E910B19"/>
    <w:rsid w:val="7E920903"/>
    <w:rsid w:val="7E932601"/>
    <w:rsid w:val="7E9A13E9"/>
    <w:rsid w:val="7EB473BA"/>
    <w:rsid w:val="7EBF5B8E"/>
    <w:rsid w:val="7EC959CC"/>
    <w:rsid w:val="7ECA7722"/>
    <w:rsid w:val="7ED03FDC"/>
    <w:rsid w:val="7ED97B29"/>
    <w:rsid w:val="7EDC06F6"/>
    <w:rsid w:val="7EEC11CE"/>
    <w:rsid w:val="7EF56519"/>
    <w:rsid w:val="7EF64A80"/>
    <w:rsid w:val="7F00651A"/>
    <w:rsid w:val="7F0A064A"/>
    <w:rsid w:val="7F1D458E"/>
    <w:rsid w:val="7F253F6A"/>
    <w:rsid w:val="7F274BEC"/>
    <w:rsid w:val="7F446EA8"/>
    <w:rsid w:val="7F465986"/>
    <w:rsid w:val="7F4A758B"/>
    <w:rsid w:val="7F556DCF"/>
    <w:rsid w:val="7F772B83"/>
    <w:rsid w:val="7F86656B"/>
    <w:rsid w:val="7F8726F5"/>
    <w:rsid w:val="7F9A0839"/>
    <w:rsid w:val="7F9E213B"/>
    <w:rsid w:val="7FB07741"/>
    <w:rsid w:val="7FB16C6E"/>
    <w:rsid w:val="7FB92FFA"/>
    <w:rsid w:val="7FD2526D"/>
    <w:rsid w:val="7FD67E94"/>
    <w:rsid w:val="7FDA55B6"/>
    <w:rsid w:val="7FF5482C"/>
    <w:rsid w:val="7FFA4466"/>
    <w:rsid w:val="7FFB0EA2"/>
    <w:rsid w:val="7FFE001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90"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locked="1" w:semiHidden="0" w:unhideWhenUsed="0"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39" w:unhideWhenUsed="0" w:qFormat="1"/>
    <w:lsdException w:name="toc 2" w:semiHidden="0" w:uiPriority="39" w:unhideWhenUsed="0" w:qFormat="1"/>
    <w:lsdException w:name="toc 3" w:semiHidden="0" w:uiPriority="39" w:unhideWhenUsed="0" w:qFormat="1"/>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locked="1"/>
    <w:lsdException w:name="footnote text" w:locked="1"/>
    <w:lsdException w:name="annotation text" w:locked="1"/>
    <w:lsdException w:name="header" w:semiHidden="0" w:unhideWhenUsed="0" w:qFormat="1"/>
    <w:lsdException w:name="footer" w:semiHidden="0" w:unhideWhenUsed="0" w:qFormat="1"/>
    <w:lsdException w:name="index heading" w:locked="1"/>
    <w:lsdException w:name="caption" w:locked="1" w:uiPriority="35"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semiHidden="0" w:uiPriority="10" w:unhideWhenUsed="0" w:qFormat="1"/>
    <w:lsdException w:name="Closing" w:locked="1"/>
    <w:lsdException w:name="Signature" w:locked="1"/>
    <w:lsdException w:name="Default Paragraph Font" w:uiPriority="1"/>
    <w:lsdException w:name="Body Text" w:semiHidden="0" w:unhideWhenUsed="0" w:qFormat="1"/>
    <w:lsdException w:name="Body Text Indent" w:semiHidden="0" w:unhideWhenUsed="0" w:qFormat="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nhideWhenUsed="0" w:qFormat="1"/>
    <w:lsdException w:name="Salutation" w:locked="1"/>
    <w:lsdException w:name="Date" w:locked="1"/>
    <w:lsdException w:name="Body Text First Indent" w:semiHidden="0" w:unhideWhenUsed="0" w:qFormat="1"/>
    <w:lsdException w:name="Body Text First Indent 2" w:semiHidden="0" w:unhideWhenUsed="0" w:qFormat="1"/>
    <w:lsdException w:name="Note Heading" w:locked="1"/>
    <w:lsdException w:name="Body Text 2" w:locked="1"/>
    <w:lsdException w:name="Body Text 3" w:locked="1"/>
    <w:lsdException w:name="Body Text Indent 2" w:semiHidden="0" w:unhideWhenUsed="0" w:qFormat="1"/>
    <w:lsdException w:name="Body Text Indent 3" w:locked="1"/>
    <w:lsdException w:name="Block Text" w:locked="1"/>
    <w:lsdException w:name="Hyperlink" w:semiHidden="0" w:unhideWhenUsed="0" w:qFormat="1"/>
    <w:lsdException w:name="FollowedHyperlink" w:locked="1"/>
    <w:lsdException w:name="Strong" w:semiHidden="0" w:unhideWhenUsed="0" w:qFormat="1"/>
    <w:lsdException w:name="Emphasis" w:locked="1" w:semiHidden="0" w:uiPriority="20" w:unhideWhenUsed="0" w:qFormat="1"/>
    <w:lsdException w:name="Document Map" w:unhideWhenUsed="0" w:qFormat="1"/>
    <w:lsdException w:name="Plain Text" w:semiHidden="0" w:unhideWhenUsed="0" w:qFormat="1"/>
    <w:lsdException w:name="E-mail Signature" w:locked="1"/>
    <w:lsdException w:name="Normal (Web)" w:semiHidden="0" w:unhideWhenUsed="0" w:qFormat="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qFormat="1"/>
    <w:lsdException w:name="annotation subject"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unhideWhenUsed="0" w:qFormat="1"/>
    <w:lsdException w:name="Table Grid" w:locked="1" w:semiHidden="0" w:uiPriority="59" w:unhideWhenUsed="0"/>
    <w:lsdException w:name="Table Theme" w:locked="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4DE3"/>
    <w:pPr>
      <w:widowControl w:val="0"/>
      <w:jc w:val="both"/>
    </w:pPr>
    <w:rPr>
      <w:rFonts w:ascii="Calibri" w:hAnsi="Calibri" w:cs="Calibri"/>
      <w:kern w:val="2"/>
      <w:sz w:val="21"/>
      <w:szCs w:val="21"/>
    </w:rPr>
  </w:style>
  <w:style w:type="paragraph" w:styleId="1">
    <w:name w:val="heading 1"/>
    <w:basedOn w:val="a"/>
    <w:next w:val="a"/>
    <w:link w:val="1Char"/>
    <w:uiPriority w:val="99"/>
    <w:qFormat/>
    <w:rsid w:val="00114DE3"/>
    <w:pPr>
      <w:keepNext/>
      <w:keepLines/>
      <w:spacing w:before="340" w:after="330" w:line="578" w:lineRule="auto"/>
      <w:outlineLvl w:val="0"/>
    </w:pPr>
    <w:rPr>
      <w:rFonts w:eastAsia="黑体"/>
      <w:b/>
      <w:bCs/>
      <w:kern w:val="44"/>
      <w:sz w:val="32"/>
      <w:szCs w:val="32"/>
    </w:rPr>
  </w:style>
  <w:style w:type="paragraph" w:styleId="2">
    <w:name w:val="heading 2"/>
    <w:basedOn w:val="a"/>
    <w:next w:val="a"/>
    <w:link w:val="2Char"/>
    <w:uiPriority w:val="99"/>
    <w:qFormat/>
    <w:rsid w:val="00114DE3"/>
    <w:pPr>
      <w:keepNext/>
      <w:keepLines/>
      <w:spacing w:before="260" w:after="260" w:line="416" w:lineRule="auto"/>
      <w:outlineLvl w:val="1"/>
    </w:pPr>
    <w:rPr>
      <w:rFonts w:ascii="Cambria" w:hAnsi="Cambria" w:cs="Cambria"/>
      <w:b/>
      <w:bCs/>
      <w:sz w:val="28"/>
      <w:szCs w:val="28"/>
    </w:rPr>
  </w:style>
  <w:style w:type="paragraph" w:styleId="3">
    <w:name w:val="heading 3"/>
    <w:basedOn w:val="a"/>
    <w:next w:val="a"/>
    <w:link w:val="3Char"/>
    <w:uiPriority w:val="99"/>
    <w:qFormat/>
    <w:rsid w:val="00114DE3"/>
    <w:pPr>
      <w:keepNext/>
      <w:keepLines/>
      <w:spacing w:before="260" w:after="260" w:line="416" w:lineRule="auto"/>
      <w:outlineLvl w:val="2"/>
    </w:pPr>
    <w:rPr>
      <w:b/>
      <w:bCs/>
      <w:sz w:val="32"/>
      <w:szCs w:val="32"/>
    </w:rPr>
  </w:style>
  <w:style w:type="paragraph" w:styleId="4">
    <w:name w:val="heading 4"/>
    <w:basedOn w:val="a"/>
    <w:next w:val="a"/>
    <w:link w:val="4Char"/>
    <w:uiPriority w:val="99"/>
    <w:qFormat/>
    <w:locked/>
    <w:rsid w:val="00114DE3"/>
    <w:pPr>
      <w:keepNext/>
      <w:keepLines/>
      <w:spacing w:before="280" w:after="290" w:line="376" w:lineRule="auto"/>
      <w:outlineLvl w:val="3"/>
    </w:pPr>
    <w:rPr>
      <w:rFonts w:ascii="Arial" w:eastAsia="黑体" w:hAnsi="Arial" w:cs="Arial"/>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semiHidden/>
    <w:qFormat/>
    <w:rsid w:val="00114DE3"/>
    <w:pPr>
      <w:shd w:val="clear" w:color="auto" w:fill="000080"/>
    </w:pPr>
  </w:style>
  <w:style w:type="paragraph" w:styleId="a4">
    <w:name w:val="Body Text"/>
    <w:basedOn w:val="a"/>
    <w:link w:val="Char0"/>
    <w:uiPriority w:val="99"/>
    <w:qFormat/>
    <w:rsid w:val="00114DE3"/>
    <w:pPr>
      <w:spacing w:after="120"/>
    </w:pPr>
  </w:style>
  <w:style w:type="paragraph" w:styleId="a5">
    <w:name w:val="Body Text Indent"/>
    <w:basedOn w:val="a"/>
    <w:link w:val="Char1"/>
    <w:uiPriority w:val="99"/>
    <w:qFormat/>
    <w:rsid w:val="00114DE3"/>
    <w:pPr>
      <w:spacing w:after="120"/>
      <w:ind w:leftChars="200" w:left="420"/>
    </w:pPr>
  </w:style>
  <w:style w:type="paragraph" w:styleId="30">
    <w:name w:val="toc 3"/>
    <w:basedOn w:val="a"/>
    <w:next w:val="a"/>
    <w:uiPriority w:val="39"/>
    <w:qFormat/>
    <w:rsid w:val="00114DE3"/>
    <w:pPr>
      <w:tabs>
        <w:tab w:val="right" w:leader="dot" w:pos="8494"/>
      </w:tabs>
      <w:ind w:leftChars="400" w:left="840"/>
    </w:pPr>
    <w:rPr>
      <w:b/>
      <w:bCs/>
      <w:kern w:val="0"/>
      <w:sz w:val="30"/>
      <w:szCs w:val="30"/>
    </w:rPr>
  </w:style>
  <w:style w:type="paragraph" w:styleId="a6">
    <w:name w:val="Plain Text"/>
    <w:basedOn w:val="a"/>
    <w:link w:val="Char2"/>
    <w:uiPriority w:val="99"/>
    <w:qFormat/>
    <w:rsid w:val="00114DE3"/>
    <w:rPr>
      <w:rFonts w:ascii="宋体" w:hAnsi="Courier New" w:cs="宋体"/>
    </w:rPr>
  </w:style>
  <w:style w:type="paragraph" w:styleId="20">
    <w:name w:val="Body Text Indent 2"/>
    <w:basedOn w:val="a"/>
    <w:link w:val="2Char0"/>
    <w:uiPriority w:val="99"/>
    <w:qFormat/>
    <w:rsid w:val="00114DE3"/>
    <w:pPr>
      <w:spacing w:after="120" w:line="480" w:lineRule="auto"/>
      <w:ind w:leftChars="200" w:left="420"/>
    </w:pPr>
  </w:style>
  <w:style w:type="paragraph" w:styleId="a7">
    <w:name w:val="Balloon Text"/>
    <w:basedOn w:val="a"/>
    <w:link w:val="Char3"/>
    <w:uiPriority w:val="99"/>
    <w:semiHidden/>
    <w:qFormat/>
    <w:rsid w:val="00114DE3"/>
    <w:rPr>
      <w:kern w:val="0"/>
      <w:sz w:val="18"/>
      <w:szCs w:val="18"/>
    </w:rPr>
  </w:style>
  <w:style w:type="paragraph" w:styleId="a8">
    <w:name w:val="footer"/>
    <w:basedOn w:val="a"/>
    <w:link w:val="Char4"/>
    <w:uiPriority w:val="99"/>
    <w:qFormat/>
    <w:rsid w:val="00114DE3"/>
    <w:pPr>
      <w:tabs>
        <w:tab w:val="center" w:pos="4153"/>
        <w:tab w:val="right" w:pos="8306"/>
      </w:tabs>
      <w:snapToGrid w:val="0"/>
      <w:jc w:val="left"/>
    </w:pPr>
    <w:rPr>
      <w:kern w:val="0"/>
      <w:sz w:val="18"/>
      <w:szCs w:val="18"/>
    </w:rPr>
  </w:style>
  <w:style w:type="paragraph" w:styleId="a9">
    <w:name w:val="header"/>
    <w:basedOn w:val="a"/>
    <w:link w:val="Char5"/>
    <w:uiPriority w:val="99"/>
    <w:qFormat/>
    <w:rsid w:val="00114DE3"/>
    <w:pPr>
      <w:pBdr>
        <w:bottom w:val="single" w:sz="6" w:space="1" w:color="auto"/>
      </w:pBdr>
      <w:tabs>
        <w:tab w:val="center" w:pos="4153"/>
        <w:tab w:val="right" w:pos="8306"/>
      </w:tabs>
      <w:snapToGrid w:val="0"/>
      <w:jc w:val="center"/>
    </w:pPr>
    <w:rPr>
      <w:kern w:val="0"/>
      <w:sz w:val="18"/>
      <w:szCs w:val="18"/>
    </w:rPr>
  </w:style>
  <w:style w:type="paragraph" w:styleId="10">
    <w:name w:val="toc 1"/>
    <w:basedOn w:val="a"/>
    <w:next w:val="a"/>
    <w:uiPriority w:val="39"/>
    <w:qFormat/>
    <w:rsid w:val="00114DE3"/>
    <w:pPr>
      <w:tabs>
        <w:tab w:val="right" w:leader="dot" w:pos="9170"/>
      </w:tabs>
      <w:spacing w:before="120" w:after="120"/>
      <w:jc w:val="left"/>
    </w:pPr>
    <w:rPr>
      <w:rFonts w:ascii="宋体" w:hAnsi="宋体" w:cs="宋体"/>
      <w:b/>
      <w:bCs/>
      <w:caps/>
      <w:sz w:val="24"/>
      <w:szCs w:val="24"/>
    </w:rPr>
  </w:style>
  <w:style w:type="paragraph" w:styleId="aa">
    <w:name w:val="Subtitle"/>
    <w:basedOn w:val="a"/>
    <w:next w:val="a"/>
    <w:link w:val="Char6"/>
    <w:uiPriority w:val="99"/>
    <w:qFormat/>
    <w:rsid w:val="00114DE3"/>
    <w:pPr>
      <w:spacing w:before="240" w:after="60" w:line="312" w:lineRule="auto"/>
      <w:jc w:val="center"/>
      <w:outlineLvl w:val="1"/>
    </w:pPr>
    <w:rPr>
      <w:rFonts w:ascii="Cambria" w:hAnsi="Cambria" w:cs="Cambria"/>
      <w:b/>
      <w:bCs/>
      <w:kern w:val="28"/>
      <w:sz w:val="32"/>
      <w:szCs w:val="32"/>
    </w:rPr>
  </w:style>
  <w:style w:type="paragraph" w:styleId="21">
    <w:name w:val="toc 2"/>
    <w:basedOn w:val="a"/>
    <w:next w:val="a"/>
    <w:uiPriority w:val="39"/>
    <w:qFormat/>
    <w:rsid w:val="00114DE3"/>
    <w:pPr>
      <w:tabs>
        <w:tab w:val="right" w:leader="dot" w:pos="9170"/>
      </w:tabs>
      <w:spacing w:line="360" w:lineRule="auto"/>
      <w:ind w:left="210"/>
      <w:jc w:val="left"/>
    </w:pPr>
    <w:rPr>
      <w:rFonts w:ascii="宋体" w:hAnsi="宋体" w:cs="宋体"/>
      <w:b/>
      <w:bCs/>
      <w:smallCaps/>
      <w:color w:val="000000"/>
      <w:kern w:val="0"/>
      <w:sz w:val="30"/>
      <w:szCs w:val="30"/>
    </w:rPr>
  </w:style>
  <w:style w:type="paragraph" w:styleId="ab">
    <w:name w:val="Normal (Web)"/>
    <w:basedOn w:val="a"/>
    <w:uiPriority w:val="99"/>
    <w:qFormat/>
    <w:rsid w:val="00114DE3"/>
    <w:pPr>
      <w:widowControl/>
      <w:spacing w:before="100" w:beforeAutospacing="1" w:after="100" w:afterAutospacing="1"/>
      <w:jc w:val="left"/>
    </w:pPr>
    <w:rPr>
      <w:rFonts w:ascii="宋体" w:hAnsi="宋体" w:cs="宋体"/>
      <w:kern w:val="0"/>
      <w:sz w:val="24"/>
      <w:szCs w:val="24"/>
    </w:rPr>
  </w:style>
  <w:style w:type="paragraph" w:styleId="ac">
    <w:name w:val="Body Text First Indent"/>
    <w:basedOn w:val="a4"/>
    <w:link w:val="Char7"/>
    <w:uiPriority w:val="99"/>
    <w:qFormat/>
    <w:rsid w:val="00114DE3"/>
    <w:pPr>
      <w:ind w:firstLineChars="100" w:firstLine="420"/>
    </w:pPr>
  </w:style>
  <w:style w:type="paragraph" w:styleId="22">
    <w:name w:val="Body Text First Indent 2"/>
    <w:basedOn w:val="a5"/>
    <w:link w:val="2Char1"/>
    <w:uiPriority w:val="99"/>
    <w:qFormat/>
    <w:rsid w:val="00114DE3"/>
    <w:pPr>
      <w:ind w:firstLineChars="200" w:firstLine="420"/>
    </w:pPr>
  </w:style>
  <w:style w:type="character" w:styleId="ad">
    <w:name w:val="Strong"/>
    <w:basedOn w:val="a0"/>
    <w:uiPriority w:val="99"/>
    <w:qFormat/>
    <w:rsid w:val="00114DE3"/>
    <w:rPr>
      <w:b/>
      <w:bCs/>
    </w:rPr>
  </w:style>
  <w:style w:type="character" w:styleId="ae">
    <w:name w:val="Hyperlink"/>
    <w:basedOn w:val="a0"/>
    <w:uiPriority w:val="99"/>
    <w:qFormat/>
    <w:rsid w:val="00114DE3"/>
    <w:rPr>
      <w:color w:val="0000FF"/>
      <w:u w:val="single"/>
    </w:rPr>
  </w:style>
  <w:style w:type="character" w:customStyle="1" w:styleId="1Char">
    <w:name w:val="标题 1 Char"/>
    <w:basedOn w:val="a0"/>
    <w:link w:val="1"/>
    <w:uiPriority w:val="99"/>
    <w:qFormat/>
    <w:locked/>
    <w:rsid w:val="00114DE3"/>
    <w:rPr>
      <w:rFonts w:eastAsia="黑体"/>
      <w:b/>
      <w:bCs/>
      <w:kern w:val="44"/>
      <w:sz w:val="44"/>
      <w:szCs w:val="44"/>
    </w:rPr>
  </w:style>
  <w:style w:type="character" w:customStyle="1" w:styleId="2Char">
    <w:name w:val="标题 2 Char"/>
    <w:basedOn w:val="a0"/>
    <w:link w:val="2"/>
    <w:uiPriority w:val="99"/>
    <w:qFormat/>
    <w:locked/>
    <w:rsid w:val="00114DE3"/>
    <w:rPr>
      <w:rFonts w:ascii="Cambria" w:hAnsi="Cambria" w:cs="Cambria"/>
      <w:b/>
      <w:bCs/>
      <w:kern w:val="2"/>
      <w:sz w:val="32"/>
      <w:szCs w:val="32"/>
    </w:rPr>
  </w:style>
  <w:style w:type="character" w:customStyle="1" w:styleId="3Char">
    <w:name w:val="标题 3 Char"/>
    <w:basedOn w:val="a0"/>
    <w:link w:val="3"/>
    <w:uiPriority w:val="99"/>
    <w:semiHidden/>
    <w:qFormat/>
    <w:locked/>
    <w:rsid w:val="00114DE3"/>
    <w:rPr>
      <w:b/>
      <w:bCs/>
      <w:sz w:val="32"/>
      <w:szCs w:val="32"/>
    </w:rPr>
  </w:style>
  <w:style w:type="character" w:customStyle="1" w:styleId="4Char">
    <w:name w:val="标题 4 Char"/>
    <w:basedOn w:val="a0"/>
    <w:link w:val="4"/>
    <w:uiPriority w:val="99"/>
    <w:semiHidden/>
    <w:qFormat/>
    <w:locked/>
    <w:rsid w:val="00114DE3"/>
    <w:rPr>
      <w:rFonts w:ascii="Cambria" w:eastAsia="宋体" w:hAnsi="Cambria" w:cs="Cambria"/>
      <w:b/>
      <w:bCs/>
      <w:sz w:val="28"/>
      <w:szCs w:val="28"/>
    </w:rPr>
  </w:style>
  <w:style w:type="character" w:customStyle="1" w:styleId="Char0">
    <w:name w:val="正文文本 Char"/>
    <w:basedOn w:val="a0"/>
    <w:link w:val="a4"/>
    <w:uiPriority w:val="99"/>
    <w:semiHidden/>
    <w:qFormat/>
    <w:locked/>
    <w:rsid w:val="00114DE3"/>
    <w:rPr>
      <w:sz w:val="21"/>
      <w:szCs w:val="21"/>
    </w:rPr>
  </w:style>
  <w:style w:type="character" w:customStyle="1" w:styleId="Char7">
    <w:name w:val="正文首行缩进 Char"/>
    <w:basedOn w:val="Char0"/>
    <w:link w:val="ac"/>
    <w:uiPriority w:val="99"/>
    <w:semiHidden/>
    <w:qFormat/>
    <w:locked/>
    <w:rsid w:val="00114DE3"/>
  </w:style>
  <w:style w:type="character" w:customStyle="1" w:styleId="Char">
    <w:name w:val="文档结构图 Char"/>
    <w:basedOn w:val="a0"/>
    <w:link w:val="a3"/>
    <w:uiPriority w:val="99"/>
    <w:semiHidden/>
    <w:qFormat/>
    <w:locked/>
    <w:rsid w:val="00114DE3"/>
    <w:rPr>
      <w:rFonts w:ascii="Times New Roman" w:hAnsi="Times New Roman" w:cs="Times New Roman"/>
      <w:sz w:val="2"/>
      <w:szCs w:val="2"/>
    </w:rPr>
  </w:style>
  <w:style w:type="character" w:customStyle="1" w:styleId="Char1">
    <w:name w:val="正文文本缩进 Char"/>
    <w:basedOn w:val="a0"/>
    <w:link w:val="a5"/>
    <w:uiPriority w:val="99"/>
    <w:semiHidden/>
    <w:qFormat/>
    <w:locked/>
    <w:rsid w:val="00114DE3"/>
    <w:rPr>
      <w:sz w:val="21"/>
      <w:szCs w:val="21"/>
    </w:rPr>
  </w:style>
  <w:style w:type="character" w:customStyle="1" w:styleId="Char2">
    <w:name w:val="纯文本 Char"/>
    <w:basedOn w:val="a0"/>
    <w:link w:val="a6"/>
    <w:uiPriority w:val="99"/>
    <w:semiHidden/>
    <w:qFormat/>
    <w:locked/>
    <w:rsid w:val="00114DE3"/>
    <w:rPr>
      <w:rFonts w:ascii="宋体" w:hAnsi="Courier New" w:cs="宋体"/>
      <w:sz w:val="21"/>
      <w:szCs w:val="21"/>
    </w:rPr>
  </w:style>
  <w:style w:type="character" w:customStyle="1" w:styleId="2Char0">
    <w:name w:val="正文文本缩进 2 Char"/>
    <w:basedOn w:val="a0"/>
    <w:link w:val="20"/>
    <w:uiPriority w:val="99"/>
    <w:semiHidden/>
    <w:qFormat/>
    <w:locked/>
    <w:rsid w:val="00114DE3"/>
    <w:rPr>
      <w:sz w:val="21"/>
      <w:szCs w:val="21"/>
    </w:rPr>
  </w:style>
  <w:style w:type="character" w:customStyle="1" w:styleId="Char3">
    <w:name w:val="批注框文本 Char"/>
    <w:basedOn w:val="a0"/>
    <w:link w:val="a7"/>
    <w:uiPriority w:val="99"/>
    <w:semiHidden/>
    <w:qFormat/>
    <w:locked/>
    <w:rsid w:val="00114DE3"/>
    <w:rPr>
      <w:sz w:val="18"/>
      <w:szCs w:val="18"/>
    </w:rPr>
  </w:style>
  <w:style w:type="character" w:customStyle="1" w:styleId="Char4">
    <w:name w:val="页脚 Char"/>
    <w:basedOn w:val="a0"/>
    <w:link w:val="a8"/>
    <w:uiPriority w:val="99"/>
    <w:qFormat/>
    <w:locked/>
    <w:rsid w:val="00114DE3"/>
    <w:rPr>
      <w:sz w:val="18"/>
      <w:szCs w:val="18"/>
    </w:rPr>
  </w:style>
  <w:style w:type="character" w:customStyle="1" w:styleId="2Char1">
    <w:name w:val="正文首行缩进 2 Char"/>
    <w:basedOn w:val="Char1"/>
    <w:link w:val="22"/>
    <w:uiPriority w:val="99"/>
    <w:semiHidden/>
    <w:qFormat/>
    <w:locked/>
    <w:rsid w:val="00114DE3"/>
  </w:style>
  <w:style w:type="character" w:customStyle="1" w:styleId="Char5">
    <w:name w:val="页眉 Char"/>
    <w:basedOn w:val="a0"/>
    <w:link w:val="a9"/>
    <w:uiPriority w:val="99"/>
    <w:qFormat/>
    <w:locked/>
    <w:rsid w:val="00114DE3"/>
    <w:rPr>
      <w:sz w:val="18"/>
      <w:szCs w:val="18"/>
    </w:rPr>
  </w:style>
  <w:style w:type="character" w:customStyle="1" w:styleId="Char6">
    <w:name w:val="副标题 Char"/>
    <w:basedOn w:val="a0"/>
    <w:link w:val="aa"/>
    <w:uiPriority w:val="99"/>
    <w:qFormat/>
    <w:locked/>
    <w:rsid w:val="00114DE3"/>
    <w:rPr>
      <w:rFonts w:ascii="Cambria" w:hAnsi="Cambria" w:cs="Cambria"/>
      <w:b/>
      <w:bCs/>
      <w:kern w:val="28"/>
      <w:sz w:val="32"/>
      <w:szCs w:val="32"/>
    </w:rPr>
  </w:style>
  <w:style w:type="paragraph" w:customStyle="1" w:styleId="CharCharChar">
    <w:name w:val="Char Char Char"/>
    <w:basedOn w:val="a"/>
    <w:uiPriority w:val="99"/>
    <w:qFormat/>
    <w:rsid w:val="00114DE3"/>
    <w:pPr>
      <w:widowControl/>
      <w:spacing w:after="160" w:line="240" w:lineRule="exact"/>
      <w:jc w:val="left"/>
    </w:pPr>
    <w:rPr>
      <w:rFonts w:ascii="Verdana" w:hAnsi="Verdana" w:cs="Verdana"/>
      <w:kern w:val="0"/>
      <w:sz w:val="20"/>
      <w:szCs w:val="20"/>
      <w:lang w:eastAsia="en-US"/>
    </w:rPr>
  </w:style>
  <w:style w:type="paragraph" w:styleId="af">
    <w:name w:val="List Paragraph"/>
    <w:basedOn w:val="a"/>
    <w:uiPriority w:val="99"/>
    <w:unhideWhenUsed/>
    <w:qFormat/>
    <w:rsid w:val="00114DE3"/>
    <w:pPr>
      <w:ind w:firstLineChars="200" w:firstLine="420"/>
    </w:pPr>
  </w:style>
</w:styles>
</file>

<file path=word/webSettings.xml><?xml version="1.0" encoding="utf-8"?>
<w:webSettings xmlns:r="http://schemas.openxmlformats.org/officeDocument/2006/relationships" xmlns:w="http://schemas.openxmlformats.org/wordprocessingml/2006/main">
  <w:divs>
    <w:div w:id="96759550">
      <w:bodyDiv w:val="1"/>
      <w:marLeft w:val="0"/>
      <w:marRight w:val="0"/>
      <w:marTop w:val="0"/>
      <w:marBottom w:val="0"/>
      <w:divBdr>
        <w:top w:val="none" w:sz="0" w:space="0" w:color="auto"/>
        <w:left w:val="none" w:sz="0" w:space="0" w:color="auto"/>
        <w:bottom w:val="none" w:sz="0" w:space="0" w:color="auto"/>
        <w:right w:val="none" w:sz="0" w:space="0" w:color="auto"/>
      </w:divBdr>
    </w:div>
    <w:div w:id="339697432">
      <w:bodyDiv w:val="1"/>
      <w:marLeft w:val="0"/>
      <w:marRight w:val="0"/>
      <w:marTop w:val="0"/>
      <w:marBottom w:val="0"/>
      <w:divBdr>
        <w:top w:val="none" w:sz="0" w:space="0" w:color="auto"/>
        <w:left w:val="none" w:sz="0" w:space="0" w:color="auto"/>
        <w:bottom w:val="none" w:sz="0" w:space="0" w:color="auto"/>
        <w:right w:val="none" w:sz="0" w:space="0" w:color="auto"/>
      </w:divBdr>
    </w:div>
    <w:div w:id="627901317">
      <w:bodyDiv w:val="1"/>
      <w:marLeft w:val="0"/>
      <w:marRight w:val="0"/>
      <w:marTop w:val="0"/>
      <w:marBottom w:val="0"/>
      <w:divBdr>
        <w:top w:val="none" w:sz="0" w:space="0" w:color="auto"/>
        <w:left w:val="none" w:sz="0" w:space="0" w:color="auto"/>
        <w:bottom w:val="none" w:sz="0" w:space="0" w:color="auto"/>
        <w:right w:val="none" w:sz="0" w:space="0" w:color="auto"/>
      </w:divBdr>
    </w:div>
    <w:div w:id="682586615">
      <w:bodyDiv w:val="1"/>
      <w:marLeft w:val="0"/>
      <w:marRight w:val="0"/>
      <w:marTop w:val="0"/>
      <w:marBottom w:val="0"/>
      <w:divBdr>
        <w:top w:val="none" w:sz="0" w:space="0" w:color="auto"/>
        <w:left w:val="none" w:sz="0" w:space="0" w:color="auto"/>
        <w:bottom w:val="none" w:sz="0" w:space="0" w:color="auto"/>
        <w:right w:val="none" w:sz="0" w:space="0" w:color="auto"/>
      </w:divBdr>
    </w:div>
    <w:div w:id="943270194">
      <w:bodyDiv w:val="1"/>
      <w:marLeft w:val="0"/>
      <w:marRight w:val="0"/>
      <w:marTop w:val="0"/>
      <w:marBottom w:val="0"/>
      <w:divBdr>
        <w:top w:val="none" w:sz="0" w:space="0" w:color="auto"/>
        <w:left w:val="none" w:sz="0" w:space="0" w:color="auto"/>
        <w:bottom w:val="none" w:sz="0" w:space="0" w:color="auto"/>
        <w:right w:val="none" w:sz="0" w:space="0" w:color="auto"/>
      </w:divBdr>
    </w:div>
    <w:div w:id="1122841276">
      <w:bodyDiv w:val="1"/>
      <w:marLeft w:val="0"/>
      <w:marRight w:val="0"/>
      <w:marTop w:val="0"/>
      <w:marBottom w:val="0"/>
      <w:divBdr>
        <w:top w:val="none" w:sz="0" w:space="0" w:color="auto"/>
        <w:left w:val="none" w:sz="0" w:space="0" w:color="auto"/>
        <w:bottom w:val="none" w:sz="0" w:space="0" w:color="auto"/>
        <w:right w:val="none" w:sz="0" w:space="0" w:color="auto"/>
      </w:divBdr>
    </w:div>
    <w:div w:id="1141653824">
      <w:bodyDiv w:val="1"/>
      <w:marLeft w:val="0"/>
      <w:marRight w:val="0"/>
      <w:marTop w:val="0"/>
      <w:marBottom w:val="0"/>
      <w:divBdr>
        <w:top w:val="none" w:sz="0" w:space="0" w:color="auto"/>
        <w:left w:val="none" w:sz="0" w:space="0" w:color="auto"/>
        <w:bottom w:val="none" w:sz="0" w:space="0" w:color="auto"/>
        <w:right w:val="none" w:sz="0" w:space="0" w:color="auto"/>
      </w:divBdr>
    </w:div>
    <w:div w:id="1406998109">
      <w:bodyDiv w:val="1"/>
      <w:marLeft w:val="0"/>
      <w:marRight w:val="0"/>
      <w:marTop w:val="0"/>
      <w:marBottom w:val="0"/>
      <w:divBdr>
        <w:top w:val="none" w:sz="0" w:space="0" w:color="auto"/>
        <w:left w:val="none" w:sz="0" w:space="0" w:color="auto"/>
        <w:bottom w:val="none" w:sz="0" w:space="0" w:color="auto"/>
        <w:right w:val="none" w:sz="0" w:space="0" w:color="auto"/>
      </w:divBdr>
    </w:div>
    <w:div w:id="1533301712">
      <w:bodyDiv w:val="1"/>
      <w:marLeft w:val="0"/>
      <w:marRight w:val="0"/>
      <w:marTop w:val="0"/>
      <w:marBottom w:val="0"/>
      <w:divBdr>
        <w:top w:val="none" w:sz="0" w:space="0" w:color="auto"/>
        <w:left w:val="none" w:sz="0" w:space="0" w:color="auto"/>
        <w:bottom w:val="none" w:sz="0" w:space="0" w:color="auto"/>
        <w:right w:val="none" w:sz="0" w:space="0" w:color="auto"/>
      </w:divBdr>
    </w:div>
    <w:div w:id="1654328930">
      <w:bodyDiv w:val="1"/>
      <w:marLeft w:val="0"/>
      <w:marRight w:val="0"/>
      <w:marTop w:val="0"/>
      <w:marBottom w:val="0"/>
      <w:divBdr>
        <w:top w:val="none" w:sz="0" w:space="0" w:color="auto"/>
        <w:left w:val="none" w:sz="0" w:space="0" w:color="auto"/>
        <w:bottom w:val="none" w:sz="0" w:space="0" w:color="auto"/>
        <w:right w:val="none" w:sz="0" w:space="0" w:color="auto"/>
      </w:divBdr>
    </w:div>
    <w:div w:id="1685864168">
      <w:bodyDiv w:val="1"/>
      <w:marLeft w:val="0"/>
      <w:marRight w:val="0"/>
      <w:marTop w:val="0"/>
      <w:marBottom w:val="0"/>
      <w:divBdr>
        <w:top w:val="none" w:sz="0" w:space="0" w:color="auto"/>
        <w:left w:val="none" w:sz="0" w:space="0" w:color="auto"/>
        <w:bottom w:val="none" w:sz="0" w:space="0" w:color="auto"/>
        <w:right w:val="none" w:sz="0" w:space="0" w:color="auto"/>
      </w:divBdr>
    </w:div>
    <w:div w:id="1746370198">
      <w:bodyDiv w:val="1"/>
      <w:marLeft w:val="0"/>
      <w:marRight w:val="0"/>
      <w:marTop w:val="0"/>
      <w:marBottom w:val="0"/>
      <w:divBdr>
        <w:top w:val="none" w:sz="0" w:space="0" w:color="auto"/>
        <w:left w:val="none" w:sz="0" w:space="0" w:color="auto"/>
        <w:bottom w:val="none" w:sz="0" w:space="0" w:color="auto"/>
        <w:right w:val="none" w:sz="0" w:space="0" w:color="auto"/>
      </w:divBdr>
    </w:div>
    <w:div w:id="1978140851">
      <w:bodyDiv w:val="1"/>
      <w:marLeft w:val="0"/>
      <w:marRight w:val="0"/>
      <w:marTop w:val="0"/>
      <w:marBottom w:val="0"/>
      <w:divBdr>
        <w:top w:val="none" w:sz="0" w:space="0" w:color="auto"/>
        <w:left w:val="none" w:sz="0" w:space="0" w:color="auto"/>
        <w:bottom w:val="none" w:sz="0" w:space="0" w:color="auto"/>
        <w:right w:val="none" w:sz="0" w:space="0" w:color="auto"/>
      </w:divBdr>
    </w:div>
    <w:div w:id="20225083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file:///C:\Documents%20and%20Settings\Administrator\&#26700;&#38754;\144006.docx"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s:customData xmlns="http://www.wps.cn/officeDocument/2013/wpsCustomData" xmlns:s="http://www.wps.cn/officeDocument/2013/wpsCustomData">
  <customSectProps>
    <customSectPr/>
  </customSectProps>
  <customShpExts>
    <customShpInfo spid="_x0000_s1026"/>
    <customShpInfo spid="_x0000_s1027"/>
  </customShpExts>
</s:customData>
</file>

<file path=customXml/itemProps1.xml><?xml version="1.0" encoding="utf-8"?>
<ds:datastoreItem xmlns:ds="http://schemas.openxmlformats.org/officeDocument/2006/customXml" ds:itemID="{9008A6E3-3086-4711-8D43-27BA221D6710}">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37</Pages>
  <Words>3192</Words>
  <Characters>18198</Characters>
  <Application>Microsoft Office Word</Application>
  <DocSecurity>0</DocSecurity>
  <Lines>151</Lines>
  <Paragraphs>42</Paragraphs>
  <ScaleCrop>false</ScaleCrop>
  <Company>china</Company>
  <LinksUpToDate>false</LinksUpToDate>
  <CharactersWithSpaces>21348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微软用户</cp:lastModifiedBy>
  <cp:revision>314</cp:revision>
  <dcterms:created xsi:type="dcterms:W3CDTF">2019-09-11T05:50:00Z</dcterms:created>
  <dcterms:modified xsi:type="dcterms:W3CDTF">2021-07-07T08:48:00Z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y fmtid="{D5CDD505-2E9C-101B-9397-08002B2CF9AE}" pid="3" name="ICV">
    <vt:lpwstr>9CE342D309EC48CA9D102E1F00CF371C</vt:lpwstr>
  </property>
</Properties>
</file>