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0190043"/>
                            <w:bookmarkStart w:id="23" w:name="_Toc527035872"/>
                            <w:bookmarkStart w:id="24" w:name="_Toc504123327"/>
                            <w:bookmarkStart w:id="25" w:name="_Toc508960595"/>
                            <w:bookmarkStart w:id="26" w:name="_Toc519865236"/>
                            <w:bookmarkStart w:id="27" w:name="_Toc520366056"/>
                            <w:bookmarkStart w:id="28" w:name="_Toc517448405"/>
                            <w:bookmarkStart w:id="29" w:name="_Toc520452528"/>
                            <w:bookmarkStart w:id="30" w:name="_Toc508975637"/>
                            <w:bookmarkStart w:id="31" w:name="_Toc511397199"/>
                            <w:bookmarkStart w:id="32" w:name="_Toc533168359"/>
                            <w:bookmarkStart w:id="33" w:name="_Toc523991798"/>
                            <w:bookmarkStart w:id="34" w:name="_Toc515027608"/>
                            <w:bookmarkStart w:id="35" w:name="_Toc522179796"/>
                            <w:bookmarkStart w:id="36" w:name="_Toc522285450"/>
                            <w:bookmarkStart w:id="37" w:name="_Toc528222492"/>
                            <w:bookmarkStart w:id="38" w:name="_Toc530728485"/>
                            <w:bookmarkStart w:id="39" w:name="_Toc513816736"/>
                            <w:bookmarkStart w:id="40" w:name="_Toc510166278"/>
                            <w:bookmarkStart w:id="41" w:name="_Toc516237036"/>
                            <w:bookmarkStart w:id="42" w:name="_Toc521053860"/>
                            <w:bookmarkStart w:id="43" w:name="_Toc519258206"/>
                            <w:bookmarkStart w:id="44" w:name="_Toc530149342"/>
                            <w:bookmarkStart w:id="45" w:name="_Toc524334722"/>
                            <w:bookmarkStart w:id="46" w:name="_Toc515611913"/>
                            <w:bookmarkStart w:id="47" w:name="_Toc521586415"/>
                            <w:bookmarkStart w:id="48" w:name="_Toc527640818"/>
                            <w:bookmarkStart w:id="49" w:name="_Toc511375612"/>
                            <w:bookmarkStart w:id="50" w:name="_Toc512521225"/>
                            <w:bookmarkStart w:id="51" w:name="_Toc508369676"/>
                            <w:bookmarkStart w:id="52" w:name="_Toc519147013"/>
                            <w:bookmarkStart w:id="53" w:name="_Toc523494890"/>
                            <w:bookmarkStart w:id="54" w:name="_Toc530751847"/>
                            <w:bookmarkStart w:id="55" w:name="_Toc530147840"/>
                            <w:bookmarkStart w:id="56" w:name="_Toc531358358"/>
                            <w:bookmarkStart w:id="57" w:name="_Toc518650435"/>
                            <w:bookmarkStart w:id="58" w:name="_Toc523381108"/>
                            <w:bookmarkStart w:id="59" w:name="_Toc531854138"/>
                            <w:bookmarkStart w:id="60" w:name="_Toc504140101"/>
                            <w:bookmarkStart w:id="61" w:name="_Toc531943255"/>
                            <w:bookmarkStart w:id="62" w:name="_Toc527123553"/>
                            <w:bookmarkStart w:id="63" w:name="_Toc513211123"/>
                            <w:bookmarkStart w:id="64" w:name="_Toc517427833"/>
                            <w:bookmarkStart w:id="65" w:name="_Toc518651973"/>
                            <w:bookmarkStart w:id="66" w:name="_Toc533167784"/>
                            <w:bookmarkStart w:id="67" w:name="_Toc1132017"/>
                            <w:bookmarkStart w:id="68" w:name="_Toc509574325"/>
                            <w:bookmarkStart w:id="69" w:name="_Toc508267081"/>
                            <w:bookmarkStart w:id="70" w:name="_Toc514422624"/>
                            <w:bookmarkStart w:id="71" w:name="_Toc485828984"/>
                            <w:bookmarkStart w:id="72" w:name="_Toc504057445"/>
                            <w:bookmarkStart w:id="73" w:name="_Toc529455508"/>
                            <w:bookmarkStart w:id="74" w:name="_Toc527037029"/>
                            <w:bookmarkStart w:id="75" w:name="_Toc516841874"/>
                            <w:bookmarkStart w:id="76" w:name="_Toc514329181"/>
                            <w:bookmarkStart w:id="77" w:name="_Toc518548545"/>
                            <w:bookmarkStart w:id="78" w:name="_Toc527728174"/>
                            <w:bookmarkStart w:id="79" w:name="_Toc516819989"/>
                            <w:bookmarkStart w:id="80" w:name="_Toc512001762"/>
                            <w:bookmarkStart w:id="81" w:name="_Toc505347182"/>
                            <w:bookmarkStart w:id="82" w:name="_Toc507769000"/>
                            <w:bookmarkStart w:id="83" w:name="_Toc525309223"/>
                            <w:bookmarkStart w:id="84" w:name="_Toc504651767"/>
                            <w:bookmarkStart w:id="85" w:name="_Toc505261402"/>
                            <w:bookmarkStart w:id="86" w:name="_Toc511898980"/>
                            <w:bookmarkStart w:id="87" w:name="_Toc512520694"/>
                            <w:bookmarkStart w:id="88" w:name="_Toc524704217"/>
                            <w:bookmarkStart w:id="89" w:name="_Toc515633934"/>
                            <w:bookmarkStart w:id="90" w:name="_Toc518051249"/>
                            <w:bookmarkStart w:id="91" w:name="_Toc521051959"/>
                            <w:bookmarkStart w:id="92" w:name="_Toc531271720"/>
                            <w:bookmarkStart w:id="93" w:name="_Toc513123883"/>
                            <w:bookmarkStart w:id="94" w:name="_Toc513728611"/>
                            <w:bookmarkStart w:id="95" w:name="_Toc513118842"/>
                            <w:bookmarkStart w:id="96" w:name="_Toc528936986"/>
                            <w:bookmarkStart w:id="97" w:name="_Toc529541800"/>
                            <w:bookmarkStart w:id="98" w:name="_Toc520381693"/>
                            <w:bookmarkStart w:id="99" w:name="_Toc528913994"/>
                            <w:bookmarkStart w:id="100" w:name="_Toc507665368"/>
                            <w:bookmarkStart w:id="101" w:name="_Toc517965461"/>
                            <w:bookmarkStart w:id="102" w:name="_Toc512606000"/>
                            <w:bookmarkStart w:id="103" w:name="_Toc532566849"/>
                            <w:bookmarkStart w:id="104" w:name="_Toc510190825"/>
                            <w:bookmarkStart w:id="105" w:name="_Toc521075423"/>
                            <w:bookmarkStart w:id="106" w:name="_Toc511290048"/>
                            <w:bookmarkStart w:id="107" w:name="_Toc533083465"/>
                            <w:bookmarkStart w:id="108" w:name="_Toc513728505"/>
                            <w:bookmarkStart w:id="109" w:name="_Toc515612471"/>
                            <w:bookmarkStart w:id="110" w:name="_Toc519842315"/>
                            <w:bookmarkStart w:id="111" w:name="_Toc505947794"/>
                            <w:bookmarkStart w:id="112" w:name="_Toc533777202"/>
                            <w:bookmarkStart w:id="113" w:name="_Toc530057359"/>
                            <w:bookmarkStart w:id="114" w:name="_Toc534383436"/>
                            <w:bookmarkStart w:id="115" w:name="_Toc533674480"/>
                            <w:bookmarkStart w:id="116" w:name="_Toc504744209"/>
                            <w:bookmarkStart w:id="117" w:name="_Toc522890290"/>
                            <w:bookmarkStart w:id="118" w:name="_Toc514921969"/>
                            <w:bookmarkStart w:id="119" w:name="_Toc528332594"/>
                            <w:bookmarkStart w:id="120" w:name="_Toc525913129"/>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1.5.7</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0190043"/>
                      <w:bookmarkStart w:id="23" w:name="_Toc527035872"/>
                      <w:bookmarkStart w:id="24" w:name="_Toc504123327"/>
                      <w:bookmarkStart w:id="25" w:name="_Toc508960595"/>
                      <w:bookmarkStart w:id="26" w:name="_Toc519865236"/>
                      <w:bookmarkStart w:id="27" w:name="_Toc520366056"/>
                      <w:bookmarkStart w:id="28" w:name="_Toc517448405"/>
                      <w:bookmarkStart w:id="29" w:name="_Toc520452528"/>
                      <w:bookmarkStart w:id="30" w:name="_Toc508975637"/>
                      <w:bookmarkStart w:id="31" w:name="_Toc511397199"/>
                      <w:bookmarkStart w:id="32" w:name="_Toc533168359"/>
                      <w:bookmarkStart w:id="33" w:name="_Toc523991798"/>
                      <w:bookmarkStart w:id="34" w:name="_Toc515027608"/>
                      <w:bookmarkStart w:id="35" w:name="_Toc522179796"/>
                      <w:bookmarkStart w:id="36" w:name="_Toc522285450"/>
                      <w:bookmarkStart w:id="37" w:name="_Toc528222492"/>
                      <w:bookmarkStart w:id="38" w:name="_Toc530728485"/>
                      <w:bookmarkStart w:id="39" w:name="_Toc513816736"/>
                      <w:bookmarkStart w:id="40" w:name="_Toc510166278"/>
                      <w:bookmarkStart w:id="41" w:name="_Toc516237036"/>
                      <w:bookmarkStart w:id="42" w:name="_Toc521053860"/>
                      <w:bookmarkStart w:id="43" w:name="_Toc519258206"/>
                      <w:bookmarkStart w:id="44" w:name="_Toc530149342"/>
                      <w:bookmarkStart w:id="45" w:name="_Toc524334722"/>
                      <w:bookmarkStart w:id="46" w:name="_Toc515611913"/>
                      <w:bookmarkStart w:id="47" w:name="_Toc521586415"/>
                      <w:bookmarkStart w:id="48" w:name="_Toc527640818"/>
                      <w:bookmarkStart w:id="49" w:name="_Toc511375612"/>
                      <w:bookmarkStart w:id="50" w:name="_Toc512521225"/>
                      <w:bookmarkStart w:id="51" w:name="_Toc508369676"/>
                      <w:bookmarkStart w:id="52" w:name="_Toc519147013"/>
                      <w:bookmarkStart w:id="53" w:name="_Toc523494890"/>
                      <w:bookmarkStart w:id="54" w:name="_Toc530751847"/>
                      <w:bookmarkStart w:id="55" w:name="_Toc530147840"/>
                      <w:bookmarkStart w:id="56" w:name="_Toc531358358"/>
                      <w:bookmarkStart w:id="57" w:name="_Toc518650435"/>
                      <w:bookmarkStart w:id="58" w:name="_Toc523381108"/>
                      <w:bookmarkStart w:id="59" w:name="_Toc531854138"/>
                      <w:bookmarkStart w:id="60" w:name="_Toc504140101"/>
                      <w:bookmarkStart w:id="61" w:name="_Toc531943255"/>
                      <w:bookmarkStart w:id="62" w:name="_Toc527123553"/>
                      <w:bookmarkStart w:id="63" w:name="_Toc513211123"/>
                      <w:bookmarkStart w:id="64" w:name="_Toc517427833"/>
                      <w:bookmarkStart w:id="65" w:name="_Toc518651973"/>
                      <w:bookmarkStart w:id="66" w:name="_Toc533167784"/>
                      <w:bookmarkStart w:id="67" w:name="_Toc1132017"/>
                      <w:bookmarkStart w:id="68" w:name="_Toc509574325"/>
                      <w:bookmarkStart w:id="69" w:name="_Toc508267081"/>
                      <w:bookmarkStart w:id="70" w:name="_Toc514422624"/>
                      <w:bookmarkStart w:id="71" w:name="_Toc485828984"/>
                      <w:bookmarkStart w:id="72" w:name="_Toc504057445"/>
                      <w:bookmarkStart w:id="73" w:name="_Toc529455508"/>
                      <w:bookmarkStart w:id="74" w:name="_Toc527037029"/>
                      <w:bookmarkStart w:id="75" w:name="_Toc516841874"/>
                      <w:bookmarkStart w:id="76" w:name="_Toc514329181"/>
                      <w:bookmarkStart w:id="77" w:name="_Toc518548545"/>
                      <w:bookmarkStart w:id="78" w:name="_Toc527728174"/>
                      <w:bookmarkStart w:id="79" w:name="_Toc516819989"/>
                      <w:bookmarkStart w:id="80" w:name="_Toc512001762"/>
                      <w:bookmarkStart w:id="81" w:name="_Toc505347182"/>
                      <w:bookmarkStart w:id="82" w:name="_Toc507769000"/>
                      <w:bookmarkStart w:id="83" w:name="_Toc525309223"/>
                      <w:bookmarkStart w:id="84" w:name="_Toc504651767"/>
                      <w:bookmarkStart w:id="85" w:name="_Toc505261402"/>
                      <w:bookmarkStart w:id="86" w:name="_Toc511898980"/>
                      <w:bookmarkStart w:id="87" w:name="_Toc512520694"/>
                      <w:bookmarkStart w:id="88" w:name="_Toc524704217"/>
                      <w:bookmarkStart w:id="89" w:name="_Toc515633934"/>
                      <w:bookmarkStart w:id="90" w:name="_Toc518051249"/>
                      <w:bookmarkStart w:id="91" w:name="_Toc521051959"/>
                      <w:bookmarkStart w:id="92" w:name="_Toc531271720"/>
                      <w:bookmarkStart w:id="93" w:name="_Toc513123883"/>
                      <w:bookmarkStart w:id="94" w:name="_Toc513728611"/>
                      <w:bookmarkStart w:id="95" w:name="_Toc513118842"/>
                      <w:bookmarkStart w:id="96" w:name="_Toc528936986"/>
                      <w:bookmarkStart w:id="97" w:name="_Toc529541800"/>
                      <w:bookmarkStart w:id="98" w:name="_Toc520381693"/>
                      <w:bookmarkStart w:id="99" w:name="_Toc528913994"/>
                      <w:bookmarkStart w:id="100" w:name="_Toc507665368"/>
                      <w:bookmarkStart w:id="101" w:name="_Toc517965461"/>
                      <w:bookmarkStart w:id="102" w:name="_Toc512606000"/>
                      <w:bookmarkStart w:id="103" w:name="_Toc532566849"/>
                      <w:bookmarkStart w:id="104" w:name="_Toc510190825"/>
                      <w:bookmarkStart w:id="105" w:name="_Toc521075423"/>
                      <w:bookmarkStart w:id="106" w:name="_Toc511290048"/>
                      <w:bookmarkStart w:id="107" w:name="_Toc533083465"/>
                      <w:bookmarkStart w:id="108" w:name="_Toc513728505"/>
                      <w:bookmarkStart w:id="109" w:name="_Toc515612471"/>
                      <w:bookmarkStart w:id="110" w:name="_Toc519842315"/>
                      <w:bookmarkStart w:id="111" w:name="_Toc505947794"/>
                      <w:bookmarkStart w:id="112" w:name="_Toc533777202"/>
                      <w:bookmarkStart w:id="113" w:name="_Toc530057359"/>
                      <w:bookmarkStart w:id="114" w:name="_Toc534383436"/>
                      <w:bookmarkStart w:id="115" w:name="_Toc533674480"/>
                      <w:bookmarkStart w:id="116" w:name="_Toc504744209"/>
                      <w:bookmarkStart w:id="117" w:name="_Toc522890290"/>
                      <w:bookmarkStart w:id="118" w:name="_Toc514921969"/>
                      <w:bookmarkStart w:id="119" w:name="_Toc528332594"/>
                      <w:bookmarkStart w:id="120" w:name="_Toc525913129"/>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1.5.7</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_Toc16390 </w:instrText>
      </w:r>
      <w:r>
        <w:rPr>
          <w:kern w:val="0"/>
          <w:szCs w:val="30"/>
        </w:rPr>
        <w:fldChar w:fldCharType="separate"/>
      </w:r>
      <w:r>
        <w:rPr>
          <w:rFonts w:hint="eastAsia" w:cs="黑体"/>
        </w:rPr>
        <w:t>一、小金属一周评述</w:t>
      </w:r>
      <w:r>
        <w:tab/>
      </w:r>
      <w:r>
        <w:fldChar w:fldCharType="begin"/>
      </w:r>
      <w:r>
        <w:instrText xml:space="preserve"> PAGEREF _Toc16390 \h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_Toc14086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电解锰价稳定 二硒价格平稳</w:t>
      </w:r>
      <w:r>
        <w:tab/>
      </w:r>
      <w:r>
        <w:fldChar w:fldCharType="begin"/>
      </w:r>
      <w:r>
        <w:instrText xml:space="preserve"> PAGEREF _Toc14086 \h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_Toc9039 </w:instrText>
      </w:r>
      <w:r>
        <w:fldChar w:fldCharType="separate"/>
      </w:r>
      <w:r>
        <w:rPr>
          <w:rFonts w:hint="default" w:asciiTheme="minorEastAsia" w:hAnsiTheme="minorEastAsia" w:eastAsiaTheme="minorEastAsia" w:cstheme="minorEastAsia"/>
          <w:kern w:val="0"/>
          <w:szCs w:val="28"/>
          <w:lang w:val="en-US" w:eastAsia="zh-CN"/>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市场交投气氛冷清</w:t>
      </w:r>
      <w:r>
        <w:tab/>
      </w:r>
      <w:r>
        <w:fldChar w:fldCharType="begin"/>
      </w:r>
      <w:r>
        <w:instrText xml:space="preserve"> PAGEREF _Toc9039 \h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_Toc6730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铟锭市场运行相对平缓</w:t>
      </w:r>
      <w:r>
        <w:tab/>
      </w:r>
      <w:r>
        <w:fldChar w:fldCharType="begin"/>
      </w:r>
      <w:r>
        <w:instrText xml:space="preserve"> PAGEREF _Toc6730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_Toc12996 </w:instrText>
      </w:r>
      <w:r>
        <w:fldChar w:fldCharType="separate"/>
      </w:r>
      <w:r>
        <w:rPr>
          <w:kern w:val="0"/>
        </w:rPr>
        <w:t>4</w:t>
      </w:r>
      <w:r>
        <w:rPr>
          <w:rFonts w:hint="eastAsia" w:cs="宋体"/>
          <w:kern w:val="0"/>
        </w:rPr>
        <w:t>、碲评论：</w:t>
      </w:r>
      <w:r>
        <w:rPr>
          <w:rFonts w:hint="default" w:cs="宋体"/>
          <w:kern w:val="0"/>
          <w:lang w:val="en-US" w:eastAsia="zh-CN"/>
        </w:rPr>
        <w:t>国内碲锭市场运行相对稳定</w:t>
      </w:r>
      <w:r>
        <w:tab/>
      </w:r>
      <w:r>
        <w:fldChar w:fldCharType="begin"/>
      </w:r>
      <w:r>
        <w:instrText xml:space="preserve"> PAGEREF _Toc12996 \h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_Toc7752 </w:instrText>
      </w:r>
      <w:r>
        <w:fldChar w:fldCharType="separate"/>
      </w:r>
      <w:r>
        <w:rPr>
          <w:rFonts w:hint="eastAsia" w:cs="黑体"/>
        </w:rPr>
        <w:t>二、价格行情</w:t>
      </w:r>
      <w:r>
        <w:tab/>
      </w:r>
      <w:r>
        <w:fldChar w:fldCharType="begin"/>
      </w:r>
      <w:r>
        <w:instrText xml:space="preserve"> PAGEREF _Toc7752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_Toc30035 </w:instrText>
      </w:r>
      <w:r>
        <w:fldChar w:fldCharType="separate"/>
      </w:r>
      <w:r>
        <w:rPr>
          <w:kern w:val="0"/>
        </w:rPr>
        <w:t>1</w:t>
      </w:r>
      <w:r>
        <w:rPr>
          <w:rFonts w:hint="eastAsia"/>
          <w:kern w:val="0"/>
        </w:rPr>
        <w:t>、国际价格</w:t>
      </w:r>
      <w:r>
        <w:tab/>
      </w:r>
      <w:r>
        <w:fldChar w:fldCharType="begin"/>
      </w:r>
      <w:r>
        <w:instrText xml:space="preserve"> PAGEREF _Toc30035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_Toc14880 </w:instrText>
      </w:r>
      <w:r>
        <w:fldChar w:fldCharType="separate"/>
      </w:r>
      <w:r>
        <w:rPr>
          <w:kern w:val="0"/>
        </w:rPr>
        <w:t>2</w:t>
      </w:r>
      <w:r>
        <w:rPr>
          <w:rFonts w:hint="eastAsia" w:cs="宋体"/>
          <w:kern w:val="0"/>
        </w:rPr>
        <w:t>、欧洲鹿特丹小金属价格</w:t>
      </w:r>
      <w:r>
        <w:tab/>
      </w:r>
      <w:r>
        <w:fldChar w:fldCharType="begin"/>
      </w:r>
      <w:r>
        <w:instrText xml:space="preserve"> PAGEREF _Toc14880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_Toc2524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_Toc2524 \h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_Toc3177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_Toc3177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_Toc2803 </w:instrText>
      </w:r>
      <w:r>
        <w:fldChar w:fldCharType="separate"/>
      </w:r>
      <w:r>
        <w:rPr>
          <w:rFonts w:hint="eastAsia" w:ascii="宋体" w:hAnsi="宋体" w:cs="宋体"/>
          <w:bCs/>
          <w:kern w:val="0"/>
          <w:szCs w:val="30"/>
        </w:rPr>
        <w:t>中国铜业工会全力推进“对标先进、降本增效”班组劳动竞赛和职工技能素质提升</w:t>
      </w:r>
      <w:r>
        <w:tab/>
      </w:r>
      <w:r>
        <w:fldChar w:fldCharType="begin"/>
      </w:r>
      <w:r>
        <w:instrText xml:space="preserve"> PAGEREF _Toc2803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_Toc10870 </w:instrText>
      </w:r>
      <w:r>
        <w:fldChar w:fldCharType="separate"/>
      </w:r>
      <w:r>
        <w:rPr>
          <w:rFonts w:hint="eastAsia" w:ascii="宋体" w:hAnsi="宋体" w:cs="宋体"/>
          <w:bCs/>
          <w:kern w:val="0"/>
          <w:szCs w:val="30"/>
        </w:rPr>
        <w:t>砥砺奋进 问鼎一流——洛铜60多年改革发展纪实</w:t>
      </w:r>
      <w:r>
        <w:tab/>
      </w:r>
      <w:r>
        <w:fldChar w:fldCharType="begin"/>
      </w:r>
      <w:r>
        <w:instrText xml:space="preserve"> PAGEREF _Toc10870 \h </w:instrText>
      </w:r>
      <w:r>
        <w:fldChar w:fldCharType="separate"/>
      </w:r>
      <w:r>
        <w:t>9</w:t>
      </w:r>
      <w:r>
        <w:fldChar w:fldCharType="end"/>
      </w:r>
      <w:r>
        <w:fldChar w:fldCharType="end"/>
      </w:r>
    </w:p>
    <w:p>
      <w:pPr>
        <w:pStyle w:val="17"/>
        <w:tabs>
          <w:tab w:val="right" w:leader="dot" w:pos="9124"/>
          <w:tab w:val="clear" w:pos="9170"/>
        </w:tabs>
      </w:pPr>
      <w:r>
        <w:fldChar w:fldCharType="begin"/>
      </w:r>
      <w:r>
        <w:instrText xml:space="preserve"> HYPERLINK \l _Toc12666 </w:instrText>
      </w:r>
      <w:r>
        <w:fldChar w:fldCharType="separate"/>
      </w:r>
      <w:r>
        <w:rPr>
          <w:rFonts w:hint="default" w:ascii="宋体" w:hAnsi="宋体" w:cs="宋体"/>
          <w:bCs/>
          <w:kern w:val="0"/>
          <w:szCs w:val="30"/>
          <w:lang w:val="en-US" w:eastAsia="zh-CN"/>
        </w:rPr>
        <w:t>中国恩菲雄安新区各项目稳步推进</w:t>
      </w:r>
      <w:r>
        <w:tab/>
      </w:r>
      <w:r>
        <w:fldChar w:fldCharType="begin"/>
      </w:r>
      <w:r>
        <w:instrText xml:space="preserve"> PAGEREF _Toc12666 \h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_Toc1783 </w:instrText>
      </w:r>
      <w:r>
        <w:fldChar w:fldCharType="separate"/>
      </w:r>
      <w:r>
        <w:rPr>
          <w:rFonts w:hint="eastAsia" w:ascii="宋体" w:hAnsi="宋体" w:cs="宋体"/>
          <w:bCs/>
          <w:kern w:val="0"/>
          <w:szCs w:val="30"/>
          <w:lang w:eastAsia="zh-CN"/>
        </w:rPr>
        <w:t>向上攀登 只为遇见最好的自己——记“全国五一劳动奖章”获得者山东黄金玲珑金矿杨学群</w:t>
      </w:r>
      <w:r>
        <w:tab/>
      </w:r>
      <w:r>
        <w:fldChar w:fldCharType="begin"/>
      </w:r>
      <w:r>
        <w:instrText xml:space="preserve"> PAGEREF _Toc1783 \h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_Toc13653 </w:instrText>
      </w:r>
      <w:r>
        <w:fldChar w:fldCharType="separate"/>
      </w:r>
      <w:r>
        <w:rPr>
          <w:rFonts w:hint="eastAsia" w:ascii="宋体" w:hAnsi="宋体" w:cs="宋体"/>
          <w:bCs/>
          <w:kern w:val="0"/>
          <w:szCs w:val="30"/>
          <w:lang w:eastAsia="zh-CN"/>
        </w:rPr>
        <w:t>国电投几内亚项目首船铝土矿启程发运回国</w:t>
      </w:r>
      <w:r>
        <w:tab/>
      </w:r>
      <w:r>
        <w:fldChar w:fldCharType="begin"/>
      </w:r>
      <w:r>
        <w:instrText xml:space="preserve"> PAGEREF _Toc13653 \h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_Toc4714 </w:instrText>
      </w:r>
      <w:r>
        <w:fldChar w:fldCharType="separate"/>
      </w:r>
      <w:r>
        <w:rPr>
          <w:rFonts w:hint="eastAsia" w:ascii="宋体" w:hAnsi="宋体" w:cs="宋体"/>
          <w:bCs/>
          <w:kern w:val="0"/>
          <w:szCs w:val="30"/>
        </w:rPr>
        <w:t>中铝集团召开2021年劳动模范和先进集体表彰大会暨先进模范事迹报告会</w:t>
      </w:r>
      <w:r>
        <w:tab/>
      </w:r>
      <w:r>
        <w:fldChar w:fldCharType="begin"/>
      </w:r>
      <w:r>
        <w:instrText xml:space="preserve"> PAGEREF _Toc4714 \h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_Toc9357 </w:instrText>
      </w:r>
      <w:r>
        <w:fldChar w:fldCharType="separate"/>
      </w:r>
      <w:r>
        <w:rPr>
          <w:rFonts w:hint="eastAsia" w:ascii="宋体" w:hAnsi="宋体" w:cs="宋体"/>
          <w:bCs/>
          <w:kern w:val="0"/>
          <w:szCs w:val="30"/>
        </w:rPr>
        <w:t>进口冷链食品安全监管必须做到“三化”</w:t>
      </w:r>
      <w:r>
        <w:tab/>
      </w:r>
      <w:r>
        <w:fldChar w:fldCharType="begin"/>
      </w:r>
      <w:r>
        <w:instrText xml:space="preserve"> PAGEREF _Toc9357 \h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_Toc3120 </w:instrText>
      </w:r>
      <w:r>
        <w:fldChar w:fldCharType="separate"/>
      </w:r>
      <w:r>
        <w:rPr>
          <w:rFonts w:hint="eastAsia" w:ascii="宋体" w:hAnsi="宋体" w:cs="宋体"/>
          <w:bCs/>
          <w:kern w:val="0"/>
          <w:szCs w:val="30"/>
        </w:rPr>
        <w:t>拜登首次立法监管温室气体，制冷剂15年减85%</w:t>
      </w:r>
      <w:r>
        <w:tab/>
      </w:r>
      <w:r>
        <w:fldChar w:fldCharType="begin"/>
      </w:r>
      <w:r>
        <w:instrText xml:space="preserve"> PAGEREF _Toc3120 \h </w:instrText>
      </w:r>
      <w:r>
        <w:fldChar w:fldCharType="separate"/>
      </w:r>
      <w:r>
        <w:t>33</w:t>
      </w:r>
      <w:r>
        <w:fldChar w:fldCharType="end"/>
      </w:r>
      <w:r>
        <w:fldChar w:fldCharType="end"/>
      </w:r>
    </w:p>
    <w:p>
      <w:pPr>
        <w:pStyle w:val="17"/>
        <w:tabs>
          <w:tab w:val="right" w:leader="dot" w:pos="9124"/>
          <w:tab w:val="clear" w:pos="9170"/>
        </w:tabs>
      </w:pPr>
      <w:r>
        <w:fldChar w:fldCharType="begin"/>
      </w:r>
      <w:r>
        <w:instrText xml:space="preserve"> HYPERLINK \l _Toc27791 </w:instrText>
      </w:r>
      <w:r>
        <w:fldChar w:fldCharType="separate"/>
      </w:r>
      <w:r>
        <w:rPr>
          <w:rFonts w:hint="eastAsia" w:ascii="宋体" w:hAnsi="宋体" w:cs="宋体"/>
          <w:bCs/>
          <w:kern w:val="0"/>
          <w:szCs w:val="30"/>
        </w:rPr>
        <w:t>家电市场迎来换新潮</w:t>
      </w:r>
      <w:r>
        <w:tab/>
      </w:r>
      <w:r>
        <w:fldChar w:fldCharType="begin"/>
      </w:r>
      <w:r>
        <w:instrText xml:space="preserve"> PAGEREF _Toc27791 \h </w:instrText>
      </w:r>
      <w:r>
        <w:fldChar w:fldCharType="separate"/>
      </w:r>
      <w:r>
        <w:t>33</w:t>
      </w:r>
      <w:r>
        <w:fldChar w:fldCharType="end"/>
      </w:r>
      <w:r>
        <w:fldChar w:fldCharType="end"/>
      </w:r>
    </w:p>
    <w:p>
      <w:pPr>
        <w:pStyle w:val="17"/>
        <w:tabs>
          <w:tab w:val="right" w:leader="dot" w:pos="9124"/>
          <w:tab w:val="clear" w:pos="9170"/>
        </w:tabs>
      </w:pPr>
      <w:r>
        <w:fldChar w:fldCharType="begin"/>
      </w:r>
      <w:r>
        <w:instrText xml:space="preserve"> HYPERLINK \l _Toc29006 </w:instrText>
      </w:r>
      <w:r>
        <w:fldChar w:fldCharType="separate"/>
      </w:r>
      <w:r>
        <w:rPr>
          <w:rFonts w:hint="eastAsia" w:ascii="宋体" w:hAnsi="宋体" w:cs="宋体"/>
          <w:bCs/>
          <w:kern w:val="0"/>
          <w:szCs w:val="30"/>
        </w:rPr>
        <w:t>硅料价格一年翻一番！光伏上游产能严重不足，下游市场需求火热！“冷热不均”如何破？</w:t>
      </w:r>
      <w:r>
        <w:tab/>
      </w:r>
      <w:r>
        <w:fldChar w:fldCharType="begin"/>
      </w:r>
      <w:r>
        <w:instrText xml:space="preserve"> PAGEREF _Toc29006 \h </w:instrText>
      </w:r>
      <w:r>
        <w:fldChar w:fldCharType="separate"/>
      </w:r>
      <w:r>
        <w:t>36</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6390"/>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4086"/>
      <w:r>
        <w:rPr>
          <w:rFonts w:hint="eastAsia"/>
          <w:kern w:val="0"/>
        </w:rPr>
        <w:t>硒评论</w:t>
      </w:r>
      <w:r>
        <w:rPr>
          <w:rFonts w:hint="eastAsia"/>
          <w:kern w:val="0"/>
          <w:lang w:eastAsia="zh-CN"/>
        </w:rPr>
        <w:t>：</w:t>
      </w:r>
      <w:r>
        <w:rPr>
          <w:rFonts w:hint="eastAsia"/>
          <w:kern w:val="0"/>
        </w:rPr>
        <w:t>电解锰价稳定 二硒价格平稳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16000-16200元/吨，均价较上周五保持不变。本周国内电解锰市场价格持续的保持稳定的状态。鉴于目前电解锰市场成交不够活跃，预计未来一周国内电解锰市场价格将会继续的维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7.6-8.55美元/磅，均价较上周保持不变。欧洲鹿特丹市场硒粉报价为7.65美元/磅，均价较上周五保持不变。本周国内硒粉市场价格为165-180元/公斤，均价较上周五保持不变。本周粗硒市场价格为125-135元/公斤，均价较上周五上涨5元/公斤。鉴于硒市整体运行良好，预计未来一周国内硒市价格将继续保持稳定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115-120元/公斤，均价较上周五保持不变。本周二氧化硒市场价格持续保持平稳的状态。现阶段国内二氧化硒市场运行相对保持稳定，市场成交不够活跃。鉴于目前二氧化硒生产商持库存不够充足，预计未来一周国内二氧化硒市场价格将会继续保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分析评述：本周硒市整体运行相对平缓，电解锰市场价格持续的稳定，粗硒市场价格小幅度上涨，二氧化硒市场价格维持平稳。鉴于目前国内硒市成交相对较缓，预计未来一周硒市价格会继续保持稳定的趋势。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9039"/>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市场交投气氛冷清</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价格持续小幅度的下调</w:t>
      </w:r>
      <w:r>
        <w:rPr>
          <w:rFonts w:hint="default" w:asciiTheme="minorEastAsia" w:hAnsiTheme="minorEastAsia" w:eastAsiaTheme="minorEastAsia" w:cstheme="minorEastAsia"/>
          <w:kern w:val="0"/>
          <w:sz w:val="28"/>
          <w:szCs w:val="28"/>
          <w:lang w:val="en-US" w:eastAsia="zh-CN"/>
        </w:rPr>
        <w:t>。目前国内铋锭市场</w:t>
      </w:r>
      <w:r>
        <w:rPr>
          <w:rFonts w:hint="eastAsia" w:asciiTheme="minorEastAsia" w:hAnsiTheme="minorEastAsia" w:eastAsiaTheme="minorEastAsia" w:cstheme="minorEastAsia"/>
          <w:kern w:val="0"/>
          <w:sz w:val="28"/>
          <w:szCs w:val="28"/>
          <w:lang w:val="en-US" w:eastAsia="zh-CN"/>
        </w:rPr>
        <w:t>交投气氛仍旧不够活跃</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鉴于短时间内国内铋锭市场成交不足，</w:t>
      </w:r>
      <w:r>
        <w:rPr>
          <w:rFonts w:hint="default" w:asciiTheme="minorEastAsia" w:hAnsiTheme="minorEastAsia" w:eastAsiaTheme="minorEastAsia" w:cstheme="minorEastAsia"/>
          <w:kern w:val="0"/>
          <w:sz w:val="28"/>
          <w:szCs w:val="28"/>
          <w:lang w:val="en-US" w:eastAsia="zh-CN"/>
        </w:rPr>
        <w:t>预计未来一周国内铋锭市场</w:t>
      </w:r>
      <w:r>
        <w:rPr>
          <w:rFonts w:hint="eastAsia" w:asciiTheme="minorEastAsia" w:hAnsiTheme="minorEastAsia" w:eastAsiaTheme="minorEastAsia" w:cstheme="minorEastAsia"/>
          <w:kern w:val="0"/>
          <w:sz w:val="28"/>
          <w:szCs w:val="28"/>
          <w:lang w:val="en-US" w:eastAsia="zh-CN"/>
        </w:rPr>
        <w:t>价格</w:t>
      </w:r>
      <w:r>
        <w:rPr>
          <w:rFonts w:hint="default" w:asciiTheme="minorEastAsia" w:hAnsiTheme="minorEastAsia" w:eastAsiaTheme="minorEastAsia" w:cstheme="minorEastAsia"/>
          <w:kern w:val="0"/>
          <w:sz w:val="28"/>
          <w:szCs w:val="28"/>
          <w:lang w:val="en-US" w:eastAsia="zh-CN"/>
        </w:rPr>
        <w:t>将会继续</w:t>
      </w:r>
      <w:r>
        <w:rPr>
          <w:rFonts w:hint="eastAsia" w:asciiTheme="minorEastAsia" w:hAnsiTheme="minorEastAsia" w:eastAsiaTheme="minorEastAsia" w:cstheme="minorEastAsia"/>
          <w:kern w:val="0"/>
          <w:sz w:val="28"/>
          <w:szCs w:val="28"/>
          <w:lang w:val="en-US" w:eastAsia="zh-CN"/>
        </w:rPr>
        <w:t>的保持下跌状态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。欧洲鹿特丹市场最新报价在3.</w:t>
      </w:r>
      <w:r>
        <w:rPr>
          <w:rFonts w:hint="eastAsia" w:asciiTheme="minorEastAsia" w:hAnsiTheme="minorEastAsia" w:eastAsiaTheme="minorEastAsia" w:cstheme="minorEastAsia"/>
          <w:kern w:val="0"/>
          <w:sz w:val="28"/>
          <w:szCs w:val="28"/>
          <w:lang w:val="en-US" w:eastAsia="zh-CN"/>
        </w:rPr>
        <w:t>7</w:t>
      </w:r>
      <w:r>
        <w:rPr>
          <w:rFonts w:hint="default" w:asciiTheme="minorEastAsia" w:hAnsiTheme="minorEastAsia" w:eastAsiaTheme="minorEastAsia" w:cstheme="minorEastAsia"/>
          <w:kern w:val="0"/>
          <w:sz w:val="28"/>
          <w:szCs w:val="28"/>
          <w:lang w:val="en-US" w:eastAsia="zh-CN"/>
        </w:rPr>
        <w:t>美元/磅，价格较上周五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485</w:t>
      </w:r>
      <w:r>
        <w:rPr>
          <w:rFonts w:hint="default" w:asciiTheme="minorEastAsia" w:hAnsiTheme="minorEastAsia" w:eastAsiaTheme="minorEastAsia" w:cstheme="minorEastAsia"/>
          <w:kern w:val="0"/>
          <w:sz w:val="28"/>
          <w:szCs w:val="28"/>
          <w:lang w:val="en-US" w:eastAsia="zh-CN"/>
        </w:rPr>
        <w:t>00元/吨，均价较上周五</w:t>
      </w:r>
      <w:r>
        <w:rPr>
          <w:rFonts w:hint="eastAsia" w:asciiTheme="minorEastAsia" w:hAnsiTheme="minorEastAsia" w:eastAsiaTheme="minorEastAsia" w:cstheme="minorEastAsia"/>
          <w:kern w:val="0"/>
          <w:sz w:val="28"/>
          <w:szCs w:val="28"/>
          <w:lang w:val="en-US" w:eastAsia="zh-CN"/>
        </w:rPr>
        <w:t>下跌500</w:t>
      </w:r>
      <w:r>
        <w:rPr>
          <w:rFonts w:hint="default" w:asciiTheme="minorEastAsia" w:hAnsiTheme="minorEastAsia" w:eastAsiaTheme="minorEastAsia" w:cstheme="minorEastAsia"/>
          <w:kern w:val="0"/>
          <w:sz w:val="28"/>
          <w:szCs w:val="28"/>
          <w:lang w:val="en-US" w:eastAsia="zh-CN"/>
        </w:rPr>
        <w:t>元/吨。</w:t>
      </w:r>
      <w:r>
        <w:rPr>
          <w:rFonts w:hint="eastAsia" w:asciiTheme="minorEastAsia" w:hAnsiTheme="minorEastAsia" w:eastAsiaTheme="minorEastAsia" w:cstheme="minorEastAsia"/>
          <w:kern w:val="0"/>
          <w:sz w:val="28"/>
          <w:szCs w:val="28"/>
          <w:lang w:val="en-US" w:eastAsia="zh-CN"/>
        </w:rPr>
        <w:t>现阶国内铋锭市场运行相对缓慢。五一节假日后，市场需求暂时没有较大的提升。</w:t>
      </w:r>
      <w:r>
        <w:rPr>
          <w:rFonts w:hint="default" w:asciiTheme="minorEastAsia" w:hAnsiTheme="minorEastAsia" w:eastAsiaTheme="minorEastAsia" w:cstheme="minorEastAsia"/>
          <w:kern w:val="0"/>
          <w:sz w:val="28"/>
          <w:szCs w:val="28"/>
          <w:lang w:val="en-US" w:eastAsia="zh-CN"/>
        </w:rPr>
        <w:t>目前</w:t>
      </w:r>
      <w:r>
        <w:rPr>
          <w:rFonts w:hint="eastAsia" w:asciiTheme="minorEastAsia" w:hAnsiTheme="minorEastAsia" w:eastAsiaTheme="minorEastAsia" w:cstheme="minorEastAsia"/>
          <w:kern w:val="0"/>
          <w:sz w:val="28"/>
          <w:szCs w:val="28"/>
          <w:lang w:val="en-US" w:eastAsia="zh-CN"/>
        </w:rPr>
        <w:t>国内</w:t>
      </w:r>
      <w:r>
        <w:rPr>
          <w:rFonts w:hint="default" w:asciiTheme="minorEastAsia" w:hAnsiTheme="minorEastAsia" w:eastAsiaTheme="minorEastAsia" w:cstheme="minorEastAsia"/>
          <w:kern w:val="0"/>
          <w:sz w:val="28"/>
          <w:szCs w:val="28"/>
          <w:lang w:val="en-US" w:eastAsia="zh-CN"/>
        </w:rPr>
        <w:t>铋锭价格继续下跌至4</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00-4</w:t>
      </w:r>
      <w:r>
        <w:rPr>
          <w:rFonts w:hint="eastAsia" w:asciiTheme="minorEastAsia" w:hAnsiTheme="minorEastAsia" w:eastAsiaTheme="minorEastAsia" w:cstheme="minorEastAsia"/>
          <w:kern w:val="0"/>
          <w:sz w:val="28"/>
          <w:szCs w:val="28"/>
          <w:lang w:val="en-US" w:eastAsia="zh-CN"/>
        </w:rPr>
        <w:t>85</w:t>
      </w:r>
      <w:r>
        <w:rPr>
          <w:rFonts w:hint="default" w:asciiTheme="minorEastAsia" w:hAnsiTheme="minorEastAsia" w:eastAsiaTheme="minorEastAsia" w:cstheme="minorEastAsia"/>
          <w:kern w:val="0"/>
          <w:sz w:val="28"/>
          <w:szCs w:val="28"/>
          <w:lang w:val="en-US" w:eastAsia="zh-CN"/>
        </w:rPr>
        <w:t>00元/吨，较上周末下跌了</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00元/吨。有生产商表示，</w:t>
      </w:r>
      <w:r>
        <w:rPr>
          <w:rFonts w:hint="eastAsia" w:asciiTheme="minorEastAsia" w:hAnsiTheme="minorEastAsia" w:eastAsiaTheme="minorEastAsia" w:cstheme="minorEastAsia"/>
          <w:kern w:val="0"/>
          <w:sz w:val="28"/>
          <w:szCs w:val="28"/>
          <w:lang w:val="en-US" w:eastAsia="zh-CN"/>
        </w:rPr>
        <w:t>目前国内铋锭市场交易相对困难，短时间大多数供应商更倾向于观望后市，期待更低的价格出现</w:t>
      </w:r>
      <w:r>
        <w:rPr>
          <w:rFonts w:hint="default" w:asciiTheme="minorEastAsia" w:hAnsiTheme="minorEastAsia" w:eastAsiaTheme="minorEastAsia" w:cstheme="minorEastAsia"/>
          <w:kern w:val="0"/>
          <w:sz w:val="28"/>
          <w:szCs w:val="28"/>
          <w:lang w:val="en-US" w:eastAsia="zh-CN"/>
        </w:rPr>
        <w:t>。目前国内氧化铋的市场价格为</w:t>
      </w:r>
      <w:r>
        <w:rPr>
          <w:rFonts w:hint="eastAsia" w:asciiTheme="minorEastAsia" w:hAnsiTheme="minorEastAsia" w:eastAsiaTheme="minorEastAsia" w:cstheme="minorEastAsia"/>
          <w:kern w:val="0"/>
          <w:sz w:val="28"/>
          <w:szCs w:val="28"/>
          <w:lang w:val="en-US" w:eastAsia="zh-CN"/>
        </w:rPr>
        <w:t>490</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50</w:t>
      </w:r>
      <w:r>
        <w:rPr>
          <w:rFonts w:hint="default" w:asciiTheme="minorEastAsia" w:hAnsiTheme="minorEastAsia" w:eastAsiaTheme="minorEastAsia" w:cstheme="minorEastAsia"/>
          <w:kern w:val="0"/>
          <w:sz w:val="28"/>
          <w:szCs w:val="28"/>
          <w:lang w:val="en-US" w:eastAsia="zh-CN"/>
        </w:rPr>
        <w:t>000元/吨，均价较</w:t>
      </w:r>
      <w:r>
        <w:rPr>
          <w:rFonts w:hint="eastAsia" w:asciiTheme="minorEastAsia" w:hAnsiTheme="minorEastAsia" w:eastAsiaTheme="minorEastAsia" w:cstheme="minorEastAsia"/>
          <w:kern w:val="0"/>
          <w:sz w:val="28"/>
          <w:szCs w:val="28"/>
          <w:lang w:val="en-US" w:eastAsia="zh-CN"/>
        </w:rPr>
        <w:t>上周五下调1000</w:t>
      </w:r>
      <w:r>
        <w:rPr>
          <w:rFonts w:hint="default" w:asciiTheme="minorEastAsia" w:hAnsiTheme="minorEastAsia" w:eastAsiaTheme="minorEastAsia" w:cstheme="minorEastAsia"/>
          <w:kern w:val="0"/>
          <w:sz w:val="28"/>
          <w:szCs w:val="28"/>
          <w:lang w:val="en-US" w:eastAsia="zh-CN"/>
        </w:rPr>
        <w:t>元/吨。</w:t>
      </w:r>
      <w:r>
        <w:rPr>
          <w:rFonts w:hint="eastAsia" w:asciiTheme="minorEastAsia" w:hAnsiTheme="minorEastAsia" w:eastAsiaTheme="minorEastAsia" w:cstheme="minorEastAsia"/>
          <w:kern w:val="0"/>
          <w:sz w:val="28"/>
          <w:szCs w:val="28"/>
          <w:lang w:val="en-US" w:eastAsia="zh-CN"/>
        </w:rPr>
        <w:t>现阶段国内铋锭现货市场成交相对较少。目前考虑到铋锭的价格持续下跌，</w:t>
      </w:r>
      <w:r>
        <w:rPr>
          <w:rFonts w:hint="default" w:asciiTheme="minorEastAsia" w:hAnsiTheme="minorEastAsia" w:eastAsiaTheme="minorEastAsia" w:cstheme="minorEastAsia"/>
          <w:kern w:val="0"/>
          <w:sz w:val="28"/>
          <w:szCs w:val="28"/>
          <w:lang w:val="en-US" w:eastAsia="zh-CN"/>
        </w:rPr>
        <w:t>市场参与者预计未来一周</w:t>
      </w:r>
      <w:r>
        <w:rPr>
          <w:rFonts w:hint="eastAsia" w:asciiTheme="minorEastAsia" w:hAnsiTheme="minorEastAsia" w:eastAsiaTheme="minorEastAsia" w:cstheme="minorEastAsia"/>
          <w:kern w:val="0"/>
          <w:sz w:val="28"/>
          <w:szCs w:val="28"/>
          <w:lang w:val="en-US" w:eastAsia="zh-CN"/>
        </w:rPr>
        <w:t>氧化铋的</w:t>
      </w:r>
      <w:r>
        <w:rPr>
          <w:rFonts w:hint="default" w:asciiTheme="minorEastAsia" w:hAnsiTheme="minorEastAsia" w:eastAsiaTheme="minorEastAsia" w:cstheme="minorEastAsia"/>
          <w:kern w:val="0"/>
          <w:sz w:val="28"/>
          <w:szCs w:val="28"/>
          <w:lang w:val="en-US" w:eastAsia="zh-CN"/>
        </w:rPr>
        <w:t>价格</w:t>
      </w:r>
      <w:r>
        <w:rPr>
          <w:rFonts w:hint="eastAsia" w:asciiTheme="minorEastAsia" w:hAnsiTheme="minorEastAsia" w:eastAsiaTheme="minorEastAsia" w:cstheme="minorEastAsia"/>
          <w:kern w:val="0"/>
          <w:sz w:val="28"/>
          <w:szCs w:val="28"/>
          <w:lang w:val="en-US" w:eastAsia="zh-CN"/>
        </w:rPr>
        <w:t>也</w:t>
      </w:r>
      <w:r>
        <w:rPr>
          <w:rFonts w:hint="default" w:asciiTheme="minorEastAsia" w:hAnsiTheme="minorEastAsia" w:eastAsiaTheme="minorEastAsia" w:cstheme="minorEastAsia"/>
          <w:kern w:val="0"/>
          <w:sz w:val="28"/>
          <w:szCs w:val="28"/>
          <w:lang w:val="en-US" w:eastAsia="zh-CN"/>
        </w:rPr>
        <w:t>将</w:t>
      </w:r>
      <w:r>
        <w:rPr>
          <w:rFonts w:hint="eastAsia" w:asciiTheme="minorEastAsia" w:hAnsiTheme="minorEastAsia" w:eastAsiaTheme="minorEastAsia" w:cstheme="minorEastAsia"/>
          <w:kern w:val="0"/>
          <w:sz w:val="28"/>
          <w:szCs w:val="28"/>
          <w:lang w:val="en-US" w:eastAsia="zh-CN"/>
        </w:rPr>
        <w:t>继续的保持下跌状态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w:t>
      </w:r>
      <w:r>
        <w:rPr>
          <w:rFonts w:hint="eastAsia" w:asciiTheme="minorEastAsia" w:hAnsiTheme="minorEastAsia" w:eastAsiaTheme="minorEastAsia" w:cstheme="minorEastAsia"/>
          <w:kern w:val="0"/>
          <w:sz w:val="28"/>
          <w:szCs w:val="28"/>
          <w:lang w:val="en-US" w:eastAsia="zh-CN"/>
        </w:rPr>
        <w:t>市场价格仍旧持续的下调</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有生产商表示，现阶段国内铋锭市场交投气氛冷清</w:t>
      </w:r>
      <w:r>
        <w:rPr>
          <w:rFonts w:hint="default"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val="en-US" w:eastAsia="zh-CN"/>
        </w:rPr>
        <w:t>他们</w:t>
      </w:r>
      <w:r>
        <w:rPr>
          <w:rFonts w:hint="default" w:asciiTheme="minorEastAsia" w:hAnsiTheme="minorEastAsia" w:eastAsiaTheme="minorEastAsia" w:cstheme="minorEastAsia"/>
          <w:kern w:val="0"/>
          <w:sz w:val="28"/>
          <w:szCs w:val="28"/>
          <w:lang w:val="en-US" w:eastAsia="zh-CN"/>
        </w:rPr>
        <w:t>预计未来一周国内铋锭市场价格将</w:t>
      </w:r>
      <w:r>
        <w:rPr>
          <w:rFonts w:hint="eastAsia" w:asciiTheme="minorEastAsia" w:hAnsiTheme="minorEastAsia" w:eastAsiaTheme="minorEastAsia" w:cstheme="minorEastAsia"/>
          <w:kern w:val="0"/>
          <w:sz w:val="28"/>
          <w:szCs w:val="28"/>
          <w:lang w:val="en-US" w:eastAsia="zh-CN"/>
        </w:rPr>
        <w:t>继续</w:t>
      </w:r>
      <w:r>
        <w:rPr>
          <w:rFonts w:hint="default" w:asciiTheme="minorEastAsia" w:hAnsiTheme="minorEastAsia" w:eastAsiaTheme="minorEastAsia" w:cstheme="minorEastAsia"/>
          <w:kern w:val="0"/>
          <w:sz w:val="28"/>
          <w:szCs w:val="28"/>
          <w:lang w:val="en-US" w:eastAsia="zh-CN"/>
        </w:rPr>
        <w:t>下跌</w:t>
      </w:r>
      <w:r>
        <w:rPr>
          <w:rFonts w:hint="eastAsia" w:asciiTheme="minorEastAsia" w:hAnsiTheme="minorEastAsia" w:eastAsiaTheme="minorEastAsia" w:cstheme="minorEastAsia"/>
          <w:kern w:val="0"/>
          <w:sz w:val="28"/>
          <w:szCs w:val="28"/>
          <w:lang w:val="en-US" w:eastAsia="zh-CN"/>
        </w:rPr>
        <w:t>。</w:t>
      </w:r>
    </w:p>
    <w:p>
      <w:pPr>
        <w:pStyle w:val="4"/>
        <w:spacing w:line="400" w:lineRule="exact"/>
        <w:rPr>
          <w:rFonts w:hint="eastAsia" w:eastAsia="宋体"/>
          <w:kern w:val="0"/>
          <w:lang w:val="en-US" w:eastAsia="zh-CN"/>
        </w:rPr>
      </w:pPr>
      <w:bookmarkStart w:id="5" w:name="_Toc6730"/>
      <w:r>
        <w:rPr>
          <w:rFonts w:hint="eastAsia"/>
          <w:kern w:val="0"/>
        </w:rPr>
        <w:t>3</w:t>
      </w:r>
      <w:r>
        <w:rPr>
          <w:rFonts w:hint="eastAsia"/>
          <w:kern w:val="0"/>
          <w:lang w:eastAsia="zh-CN"/>
        </w:rPr>
        <w:t>、</w:t>
      </w:r>
      <w:r>
        <w:rPr>
          <w:rFonts w:hint="eastAsia"/>
          <w:kern w:val="0"/>
        </w:rPr>
        <w:t>铟评论：</w:t>
      </w:r>
      <w:r>
        <w:rPr>
          <w:rFonts w:hint="eastAsia"/>
          <w:kern w:val="0"/>
          <w:lang w:eastAsia="zh-CN"/>
        </w:rPr>
        <w:t>铟锭市场运行相对平缓</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中商网讯：今日国内铟锭主流价格为1240-1270元/公斤，均价较上一周保持不变。目前国内铟锭市场运行相对平缓，预计未来一周国内铟锭市场价格将会继续维持平稳状态。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有消费商表示，现阶段铟锭市场成交相对稳定，本周他们没有 采购的计划。他们最近一次采购在3月份，短期内更倾向于观望后市，期待更低的价格出现。鉴于目前国内铟锭市场需求有限，预计未来一周国内铟锭市场价格将会继续的维持平稳。</w:t>
      </w:r>
    </w:p>
    <w:p>
      <w:pPr>
        <w:pStyle w:val="4"/>
        <w:spacing w:line="400" w:lineRule="exact"/>
        <w:rPr>
          <w:rFonts w:hint="default" w:eastAsia="宋体" w:cs="宋体"/>
          <w:kern w:val="0"/>
          <w:lang w:val="en-US" w:eastAsia="zh-CN"/>
        </w:rPr>
      </w:pPr>
      <w:bookmarkStart w:id="6" w:name="_Toc12996"/>
      <w:r>
        <w:rPr>
          <w:kern w:val="0"/>
        </w:rPr>
        <w:t>4</w:t>
      </w:r>
      <w:r>
        <w:rPr>
          <w:rFonts w:hint="eastAsia" w:cs="宋体"/>
          <w:kern w:val="0"/>
        </w:rPr>
        <w:t>、碲评论：</w:t>
      </w:r>
      <w:r>
        <w:rPr>
          <w:rFonts w:hint="default" w:cs="宋体"/>
          <w:kern w:val="0"/>
          <w:lang w:val="en-US" w:eastAsia="zh-CN"/>
        </w:rPr>
        <w:t>国内碲锭市场运行相对稳定</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中商网讯：今日国内金属碲的主流报价为570-580元/公斤，均价较上一交易日保持不变。目前金属碲市场节后运行相对稳定，预计未来一周国内金属碲市场价格将会继续保持稳定状态。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有消费商表示，现阶段金属碲市场需求相对不高他们更倾向于观望后市。鉴于短时间内大多数生产商挺价心态仍旧十分浓郁，不愿意降价出售。他们预计未来一周国内金属碲市场价格将会继续维持平稳。</w:t>
      </w:r>
    </w:p>
    <w:p>
      <w:pPr>
        <w:pStyle w:val="2"/>
        <w:spacing w:line="400" w:lineRule="exact"/>
        <w:rPr>
          <w:rFonts w:hint="eastAsia" w:cs="黑体"/>
        </w:rPr>
      </w:pPr>
      <w:bookmarkStart w:id="7" w:name="_Toc7752"/>
      <w:r>
        <w:rPr>
          <w:rFonts w:hint="eastAsia" w:cs="黑体"/>
        </w:rPr>
        <w:t>二、价格行情</w:t>
      </w:r>
      <w:bookmarkEnd w:id="7"/>
    </w:p>
    <w:p>
      <w:pPr>
        <w:pStyle w:val="4"/>
        <w:spacing w:line="400" w:lineRule="exact"/>
      </w:pPr>
      <w:bookmarkStart w:id="8" w:name="_Toc30035"/>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cs="宋体"/>
                <w:i w:val="0"/>
                <w:color w:val="000000"/>
                <w:kern w:val="0"/>
                <w:sz w:val="20"/>
                <w:szCs w:val="20"/>
                <w:u w:val="none"/>
                <w:lang w:val="en-US" w:eastAsia="zh-CN" w:bidi="ar"/>
              </w:rPr>
              <w:t>7.6</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8.55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68</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14880"/>
      <w:r>
        <w:rPr>
          <w:kern w:val="0"/>
        </w:rPr>
        <w:t>2</w:t>
      </w:r>
      <w:r>
        <w:rPr>
          <w:rFonts w:hint="eastAsia" w:cs="宋体"/>
          <w:kern w:val="0"/>
        </w:rPr>
        <w:t>、欧洲鹿特丹小金属价格</w:t>
      </w:r>
      <w:bookmarkEnd w:id="9"/>
      <w:bookmarkStart w:id="123" w:name="_GoBack"/>
      <w:bookmarkEnd w:id="123"/>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3.7</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7.65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3.7</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1.31</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2524"/>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6</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2150</w:t>
            </w:r>
          </w:p>
        </w:tc>
        <w:tc>
          <w:tcPr>
            <w:tcW w:w="78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2200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3177"/>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803"/>
      <w:r>
        <w:rPr>
          <w:rFonts w:hint="eastAsia" w:ascii="宋体" w:hAnsi="宋体" w:cs="宋体"/>
          <w:b/>
          <w:bCs/>
          <w:kern w:val="0"/>
          <w:sz w:val="30"/>
          <w:szCs w:val="30"/>
        </w:rPr>
        <w:t>中国铜业工会全力推进“对标先进、降本增效”班组劳动竞赛和职工技能素质提升</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 月19 日，中国铜业工会2021 年度“对标先进、降本增效”班组劳动竞赛、“室站”创建现场推进会暨首届职工技能领军人才工作联盟启动仪式在东南铜业举行。云南铜业、驰宏锌锗、东南铜业、驰宏会泽冶炼工会负责人及部分员工代表参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 年，中国铜业生产班组100%参与“对标先进、降本增效”班组劳动竞赛，553 个班组生产指标得到优化;“室站”创建获得9 个省部级以上“室站”称号，创历年创建数量之最。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针对2021 年继续深化此项劳动竞赛、“室站”创建及发挥技能领军人才联盟的作用，会议要求各单位提高站位、高度重视，不断增强自觉性和主动性;精心组织、与时俱进，不断提高工作水平和实效;加强领导、合力推进，努力营造良好环境。会议强调，开展劳动竞赛、“室站”创建和技能领军人才联盟建设是职工投身企业改革发展、发挥主力军作用的重要途径和优良传统，也是工会组织在党的领导下组织引导职工服务中心任务的特色工作和品牌工程。各级工会组织要切实增强责任感、紧迫感，不断深化经济技术创新活动，激发广大职工的创造活力，为企业高质量发展作出新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会议为联盟成员东南铜业“郎立杰标兵工作室”授牌，为福建省“平连聪技能大师工作室”揭牌。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驰宏会泽冶炼代表分享了劳动竞赛亮点和工作经验，中铝集团第二批命名的职工创新工作室——“东南铜业郎立杰标兵工作室”代表作“室站”创建工作交流，云南铜业、东南铜业分别围绕相关工作进行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据悉，首届领军人才工作联盟由中国铜业工会牵头成立，来自各企业的26 名“站室”领衔人为联盟成员，旨在通过组建联盟充分调动各类技能领军人才技术创新、经验推广、信息交流、传帮带、开展活动的积极性，助力中国铜业职工经济技术创新活动深入开展。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 月19 日，中国铜业工会2021 年度“对标先进、降本增效”班组劳动竞赛、“室站”创建现场推进会暨首届职工技能领军人才工作联盟启动仪式在东南铜业举行。云南铜业、驰宏锌锗、东南铜业、驰宏会泽冶炼工会负责人及部分员工代表参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 年，中国铜业生产班组100%参与“对标先进、降本增效”班组劳动竞赛，553 个班组生产指标得到优化;“室站”创建获得9 个省部级以上“室站”称号，创历年创建数量之最。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针对2021 年继续深化此项劳动竞赛、“室站”创建及发挥技能领军人才联盟的作用，会议要求各单位提高站位、高度重视，不断增强自觉性和主动性;精心组织、与时俱进，不断提高工作水平和实效;加强领导、合力推进，努力营造良好环境。会议强调，开展劳动竞赛、“室站”创建和技能领军人才联盟建设是职工投身企业改革发展、发挥主力军作用的重要途径和优良传统，也是工会组织在党的领导下组织引导职工服务中心任务的特色工作和品牌工程。各级工会组织要切实增强责任感、紧迫感，不断深化经济技术创新活动，激发广大职工的创造活力，为企业高质量发展作出新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会议为联盟成员东南铜业“郎立杰标兵工作室”授牌，为福建省“平连聪技能大师工作室”揭牌。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驰宏会泽冶炼代表分享了劳动竞赛亮点和工作经验，中铝集团第二批命名的职工创新工作室——“东南铜业郎立杰标兵工作室”代表作“室站”创建工作交流，云南铜业、东南铜业分别围绕相关工作进行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据悉，首届领军人才工作联盟由中国铜业工会牵头成立，来自各企业的26 名“站室”领衔人为联盟成员，旨在通过组建联盟充分调动各类技能领军人才技术创新、经验推广、信息交流、传帮带、开展活动的积极性，助力中国铜业职工经济技术创新活动深入开展。</w:t>
      </w:r>
    </w:p>
    <w:p>
      <w:pPr>
        <w:widowControl/>
        <w:jc w:val="left"/>
        <w:outlineLvl w:val="1"/>
        <w:rPr>
          <w:rFonts w:hint="eastAsia" w:ascii="宋体" w:hAnsi="宋体" w:cs="宋体"/>
          <w:b/>
          <w:bCs/>
          <w:kern w:val="0"/>
          <w:sz w:val="30"/>
          <w:szCs w:val="30"/>
        </w:rPr>
      </w:pPr>
      <w:bookmarkStart w:id="13" w:name="_Toc10870"/>
      <w:r>
        <w:rPr>
          <w:rFonts w:hint="eastAsia" w:ascii="宋体" w:hAnsi="宋体" w:cs="宋体"/>
          <w:b/>
          <w:bCs/>
          <w:kern w:val="0"/>
          <w:sz w:val="30"/>
          <w:szCs w:val="30"/>
        </w:rPr>
        <w:t>砥砺奋进 问鼎一流——洛铜60多年改革发展纪实</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年轮镌刻创业志，岁月写就创新篇。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洛铜60余载的发展史，是自力更生，艰苦创业，奋发图强的发展史;是创新引擎，砥砺奋进，不断问鼎行业一流的发展史;是博弈市场，改革创新，逐梦前行的发展史……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上世纪50年代初，洛铜作为 “一五”期间156个重点项目的共和国长子之一，在60多年的发展历程中，以问鼎一流的壮志豪情和勇做行业“排头兵”的勇气，填补了一项项行业空白;创造出一个又一个国内“第一”，为共和国航空航天、舰船行业、电子、汽车等高新技术工程项目作出了重要贡献，用硕果累累的业绩，展示了共和国有色金属加工行业骨干企业的风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艰苦创业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有色行业勇当先锋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激情在拼搏中燃烧，辉煌在奋斗中铸就。艰苦奋斗，不懈追求，是洛铜60多年创业发展史的真实写照。1954年，伴随着共和国全面建设的步伐，洛阳建设有色金属加工厂(洛铜前身)。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洛铜老一代的建设者们，怀着报效祖国、振兴共和国有色金属工业的壮志豪情，在河洛大地上艰苦奋斗，励精图治。在施工条件极其艰苦的环境下，建设者们挖土方、住工棚，建成了一座集铜及铜合金加工、铝镁材加工、铜精炼三大生产系统和与之相配套的科研、检测、动能、机加等辅助系统为一体的综合性铜加工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上世纪60年初期到70年代中叶，洛铜充分发挥共和国有色金属工业排头兵的作用，发扬敢为人先的精神，创造了一个又一个的国内第一：铸造出我国第一根青铜铸锭;成功轧制出我国第一根铜管棒材;成功试生产出我国第一块镁合金扁锭;试制成的“纯镁带”填补了我国纯镁带产品的空白。试制出的我国第一块大规格紫铜板，试生产出的新中国第一块大规格紫铜板，被选定制作成中国人民革命军事博物馆匾额，上面镌刻着毛泽东主席亲手题写的馆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1978年，改革开放的春风给洛铜的发展注入了生机和活力。洛铜人一扫“文革”阴霾，释放出前所未有的激情，生产了我国第一根用电磁铸造工艺生产的铜合金铸锭。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满足电子工业需求，1981年洛铜开始研制新型锌白铜，经过4年的努力，先后试制了8种新型锌白铜。1985年通过部级科研成果鉴定，新型强化锌白铜的研制成功，改变了我国锌白铜系列中长期牌号单一的状况，填补了国内空白;1979年以来，共完成576项新材料的试制任务。1984年，洛铜的易切削锌白铜质量达到了日本同类产品的水平，同年获得原中国有色金属工业总公司河南省优质产品，纳入国家铜合金产品的国家标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建厂60多年，特别是改革开放40年来，洛铜作为一个老国有制企业，经受住了市场经济浪潮的洗礼和凤凰涅槃般的考验，实现了由计划机制向现代企业制度的脱变，国有资产保值增值，企业产销规模逐年提升。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技改为桨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构筑企业可持续发展根基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洛铜在60多年的发展历程中，坚持与时俱进，不断创新发展。改革开放以来，在由计划经济向市场经济的转轨过程中，始终把以技术装备为支撑，适应市场需求，为市场提供高品质产品作为企业发展的根基。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世纪80年代，面对汹涌澎湃的改革大潮，洛铜的决策者为适应企业发展需要，把“以技术进步求发展，以提升装备水平为依托”作为企业发展的经营思路。从1984年到1988年，洛铜筹集资金1.56亿元，先后从德国、意大利、奥地利和美国等发达国家引进先进设备19台(套)，掀起了建厂以来的第一次技改高潮，建成了一条当时国内最先进的铜板带生产线，使洛铜的产量规模得到大幅提升，产品质量达到国际先进水平，同时，又进行了铝板带技术改造，使铝材产量从建厂时的年2500吨增加到7500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为了适应产品结构调整的需要，20世纪末期，洛铜在“七五”和“八五”铜、铝板带两大技改项目的基础上，又相继投入资金，对铜盘管、高精度铜带及引线框架材和异型带生产线进行了全面的改造。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21世纪初期，洛铜对大管大棒生产线进行了技术改造。同时，为进一步提升铜板带产量规模，洛铜又投资1.9亿元，对铜板带厂进行三期技术改造，为全面提升板带材产品品质，促进产品结构调整，满足市场需求，增强企业发展后劲提供了有力的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一五”期间，根据国内外高端市场对铜板带的需求，经国家批准，在原中国铝业公司的支持下，总投资22.7亿元，开始建设高精度电子铜板带项目，设计年产高精度电子铜板带10万吨。该项目建成后，企业综合能力达到国际一流水平，可满足国防军工和国内高科技产业发展用铜及其合金高新材料的需求，充分发挥民族产业的作用，将为中国铜加工行业的快速发展作出突出的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品牌为舟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博弈市场铸利器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2007年，中铝洛铜以牡丹牌冠名的铜及铜合金带材产品荣登中国名牌产品榜，获得中国名牌产品荣誉称号，问鼎我国目前最高级别的质量荣誉奖，标志着中铝洛铜产品实物质量在同类产品中处于国内领先地位，并达到国际先进水平;市场占有率、出口创汇率、品牌知名度居国内同类产品前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60多年发展历程，特别是改革开放以来，在市场经济的浪潮中，洛铜始终把实施品牌战略作为增强企业市场竞争力，提升企业产品信誉度和美誉度，促进企业质量管理和综合管理水平提升的平台。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从上世纪80年代到90年代，由洛铜生产的牡丹牌系列产品不断摘取国家质量管理奖桂冠。1982年，牡丹牌H65黄铜带荣获国家优质产品金质奖;1984年，T2纯铜空调器管，在全国优质产品检查评比中获得国家金质奖。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洛铜被河南省、原中国有色金属工业总公司、国家质量管理奖企业评审组誉为“洛铜模式”，并荣获河南省质量管理奖企业。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60多年的发展历程，洛铜把“实施质量兴企和名牌带动战略”做为培育企业核心竞争力，谋求企业可持续发展的战略。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世纪80年代中期，洛铜成功开发出北京正负电子对撞机使用的外方(矩)内圆管，受到国务院重大设备领导小组的表彰，并荣获李鹏总理亲自签发的“国家科学技术进步奖”。90年代末期，欧元造币材料的研制成功，为洛铜赢得了国内外广泛的赞誉。近年来，洛铜又为神舟四号、神舟五号、神舟六号、神舟七号、神舟十一号载人飞船提供了关键合金材料，为国人实现千年飞天梦作出了不可磨灭的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创新为魂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拉动企业产业升级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上世纪90年代，洛铜按照“以品种质量求生存，以技术进步求发展”的技术质量方针，依托不断创新的技术装备优势和人才优势，持续不断地调整产品结构，持续不断地研发满足市场需求、具有竞争力的新产品。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1981年开始，洛铜高品质产品开始大批量出口，1992年获进出口经营自主权。以香港市场为“桥头堡”，产品辐射和挺进到东南亚、美国等欧美市场。公司生产的铜板、带、管、棒、铝镁板、带产品出口到韩国、日本、泰国、马来西亚、俄罗斯、美国和德国等30多个国家和地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1999年1月，洛铜按照建立现代企业制度的要求，改制组建洛阳铜加工集团有限责任公司，迈出了建立现代企业制度的坚实步伐，初步形成了权责对等、结构合理、运转协调、办事高效的公司运行体系。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2005年12月28日，为适应洛铜可持续发展的需求，由原中国铝业公司与洛阳市国资委共同出资，组建有限责任公司。2006年6月23日，中铝洛阳铜业有限公司正式揭牌，洛铜发展历史上迎来了里程碑式的大事，标志着洛铜进入了新的发展阶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“国内领先，世界一流”。抱着这样的初心，中铝洛铜在铸就品牌的征程上，站在国际化、市场化博弈的战略高度上，以技术装备为依托，以自主创新为龙头，在铸就洛铜品牌的征程上一路演绎精彩……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洛铜生产的系列铜材随神舟六号飞船遨游太空;中铝洛铜以其实力入围中国制造业500强企业、入围国家企业信息化500强企业;成为“十五”期间首批河南省制造业信息化示范企业;“河南省铜、镁合金加工工程技术研究中心”已在洛铜正式挂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国际化竞争的态势，中铝洛铜研发的变形镁板带材填补国内空白，产品打入美国市场，同时打破了世界镁合金板材产品高端市场长期被德国、俄罗斯等少数国家垄断的格局。2008年“河南省铜镁合金加工工程技术研究中心”正式落户中铝洛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2000年~2007年，先后承担的国家“863”计划项目、重大科技攻关项目、高技术产业化示范项目、科技支撑计划等国家项目和军工科研项目、省部级及其他科技攻关项目，获省部级以上科技进步奖101项。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结构调整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筑牢发展之基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2015年，受世界经济持续低迷，中国经济增速回落，有色金属全产业链需求疲弱影响，市场价格大幅下降，铜加工行业同质化竞争剧烈。在内外部环境叠加的影响下，中铝洛铜经营面临诸多前所未有的挑战。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由洛铜自主研发生产的新型造币合金新工艺的关键技术取得了突破性进展，与此同时，电缆带、框架材料等一批批具有市场竞争力的产品质量的提升，为洛铜产品稳固市场份额奠定了基础。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改革脱困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实施转型发展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受外部市场不景气、巨额债务压力、内部管理能力不强等因素的影响，中铝洛铜生产经营陷入困境。针对主辅分离和债务负担、资金紧张的压力，按照中铝集团和中国铜业的要求，制定了《中铝洛阳铜业有限公司脱困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全资子公司中铝洛阳铜加工有限公司，以两个板带、熔铸、管棒、铝镁、军工生产所对应的优良资产，不断拓展市场盈利空间，使企业能够迅速扭转亏损局面，走上良性发展轨道。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母公司洛阳铜业不断盘活土地等存量资产，充分发挥剩余土地资产的价值，使之成为母公司较高的利润增长点，最终实现公司的整体脱困，达到分兵突围的目的。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党建铸魂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“四大工程”聚人心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底，中铝洛铜实施扭亏脱困改革，近4年来，洛阳铜业作为承担“掩护”铜加工主业突围的没有主业的存续企业，面对债务化解、闲置资产盘活、维护企业稳定等艰巨任务，以党建为引领，不断深化“节约一分钱，就是赚一分钱”理念，以精准化管理为手段，实现了逐年减亏降本目标。2018年较2017年同比减亏1.11亿元;2019年较2018年同比减亏2400万元，ROE向好4%;2020年较2019年同比减亏692万元，ROE同比向好3%，实现了党建工作和经营工作的双丰收、双促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几年来，洛阳铜业在企业困难的情况下，以党建铸魂为引领，用好党建法宝，叫响“企业越困难越要重党建”倡导“物质贫乏，但人的精神不能贫乏”，以持续深化提升“四大工程”(叫响一个口号：企业越困难越要重党建;培育一种精神：实干为先，多讲主观;深化一个理念：节约一分钱就是赚一分钱;打造一支队伍：人人精神抖擞，事事有板有眼)为载体，以“两带两创”为抓手，党建与经营工作深度融合，始终抓牢党委主体责任的“牛鼻子”，突出价值导向，负重拼搏奋进，不仅在费用管控上、降本增效上实现年年上台阶，而且锻造出一支敢打硬仗、善做善成的职工队伍，形成了“人人精神抖擞，事事有板有眼”的企业文化，以4年来连续减亏、逐年降本的经营业绩，演绎了困难企业“精神变物质”的精彩故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以来，面对退休人员社会化移交这一面广、量大、任务繁重的工作。公司通过上下层层分解、倒排工期、全员参与、压实责任，当年10月底协议签订、档案移交、组织关系转移均达到100%，提前完成年度任务目标，成为中国铜业第一批完成移交的单位，受到了中国铜业的高度肯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持结果导向，发扬“三个不相信”精神，破解历史遗留难题。针对洛阳铜业现有60多处房产处于“有房有账无证”的状态等历史遗留难题，经过艰苦不懈努力，2020年9月完成了历史遗留房产的补办证工作，累计补办不动产证68本，为公司节省了消防验收、安全鉴定等补证费用约60万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改革后的洛阳铜加工，以“建设一流铜加工企业”为目标，洛铜品牌在国家重大工程上持续发力，由洛铜研制的高性能铜合金材料，“洛铜造”身影频现国家重大工程，“洛铜品牌”先后助力神舟系列飞船遨游太空;“洛铜元素”助力“北斗”全球组网闪耀全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以来，洛阳铜加工以市场化改革为契机，克服原材料价格大幅波动，多策并举努力推进“11236”年度目标，一季度加工材产量同比增长52.9%，销量同比增长82%，产销量均创近年来新高，实现首季开门红，再续写洛铜品牌的辉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砥砺奋进，问鼎一流。60余载风雨兼程的发展历程，半个多世纪的改革创新谱写精彩华章。伴随着建党百年华诞的足音，高质量发展的主旋律把洛阳铜业带入了一个新的发展机遇期，洛阳铜业将以改革脱困转型发展为突破，续写洛铜发展的新篇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12666"/>
      <w:r>
        <w:rPr>
          <w:rFonts w:hint="default" w:ascii="宋体" w:hAnsi="宋体" w:cs="宋体"/>
          <w:b/>
          <w:bCs/>
          <w:kern w:val="0"/>
          <w:sz w:val="30"/>
          <w:szCs w:val="30"/>
          <w:lang w:val="en-US" w:eastAsia="zh-CN"/>
        </w:rPr>
        <w:t>中国恩菲雄安新区各项目稳步推进</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15日，中国有色工程有限公司暨中国恩菲工程技术有限公司党委书记张首勋率队赴雄安新区调研公司相关业务开展情况，深入考察雄安新区垃圾综合处理设施一期工程、国家生态环境成果转化平台雄安基地，调研雄安分公司并慰问一线工作人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首勋实地察看了雄安新区垃圾综合处理设施一期工程项目建设情况，详细了解了项目规划、设计和施工进度有关情况。他指出，项目是雄安新区唯一的固废综合处置设施，政治意义重大，行业影响巨大，公司项目团队要提高认识，发扬“一天也不耽误、一天也不懈怠”的企业精神，提供优质设计服务，加强与各参建单位协同，力争将项目打造为世界一流、国内领先的固废处置典范工程。调研中，张首勋还慰问了坚守在项目现场的工作人员，并与他们进行亲切交流。他充分肯定了现场团队的坚守付出，鼓励他们再接再厉、勇创佳绩。他指出，公司将加大对于青年骨干员工的培养力度，选树典型，营造向榜样学习的良好氛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国家生态环境成果转化平台雄安基地，张首勋表示，基地是水体污染控制与治理科技国家重大专项的重要组成部分，能为我国水体污染控制与治理提供重要的科技支撑。公司要以基地建设为契机，深入开展水处理领域的科学研究，加快推动一批水专项科技成果转化落地，为公司践行“绿色环保排头兵、新兴产业创新者”的央企责任，打造“绿色雄安、生态雄安”贡献“恩菲智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随后，张首勋听取了雄安分公司负责人的工作汇报。他指出，雄安分公司起点高、业绩好、发展快，在公司区域市场开拓工作中起到了良好的示范作用。未来，雄安分公司要围绕以下六个方面开展工作：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一，加强党建，以实际行动践行“忠党报国”的精神。要始终坚持以习近平新时代中国特色社会主义思想为指引，树牢“四个意识”，坚定“四个自信”，做到“两个维护”，在思想上始终与党中央保持高度一致;要深入开展党史学习教育工作，在学习中统一思想、统一意识、统一行动，做到“学党史、悟思想、办实事、开新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第二，抢抓机遇，推动企业走上高质量发展的“快车道”。要抓住中冶集团与保定市签署战略合作协议的重大机遇，找准自身在集团发展大局的定位，充分发挥优势，精准发力，实现高质量发展。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第三，开拓市场，当好公司在雄安新区的“桥头堡”。要围绕公司区域市场战略布局，育人才、强技术、树品牌，做到能人闯市场、技术带市场、品牌拓市场，开启公司在雄安新区的发展新篇章。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第四，重视规划，明确分公司未来发展方向。当前正值国家“十三五”圆满收官，“十四五”全面开启的历史交汇点，雄安分公司要深入研究上级集团和公司战略规划，加快制定业务发展规划。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第五，用好政策，建立健全人才激励机制。目前，公司正在大力推进相关激励机制建设，雄安分公司要深入研究，用好、用活各项机制，进一步激发人才为企业做贡献的热情。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六，健强队伍，持续夯实分公司组织基础。目前，雄安分公司党员比例较高，要坚持“党员为主体、能人是党员”的原则，把优秀党员放到关键岗位上，把优秀人才发展为党员，为分公司发展注入“红色引擎”。</w:t>
      </w:r>
    </w:p>
    <w:p>
      <w:pPr>
        <w:widowControl/>
        <w:jc w:val="left"/>
        <w:outlineLvl w:val="1"/>
        <w:rPr>
          <w:rFonts w:hint="eastAsia" w:ascii="宋体" w:hAnsi="宋体" w:cs="宋体"/>
          <w:b/>
          <w:bCs/>
          <w:kern w:val="0"/>
          <w:sz w:val="30"/>
          <w:szCs w:val="30"/>
          <w:lang w:eastAsia="zh-CN"/>
        </w:rPr>
      </w:pPr>
      <w:bookmarkStart w:id="15" w:name="_Toc1783"/>
      <w:r>
        <w:rPr>
          <w:rFonts w:hint="eastAsia" w:ascii="宋体" w:hAnsi="宋体" w:cs="宋体"/>
          <w:b/>
          <w:bCs/>
          <w:kern w:val="0"/>
          <w:sz w:val="30"/>
          <w:szCs w:val="30"/>
          <w:lang w:eastAsia="zh-CN"/>
        </w:rPr>
        <w:t>向上攀登 只为遇见最好的自己——记“全国五一劳动奖章”获得者山东黄金玲珑金矿杨学群</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2013年8月，刚刚硕士毕业的一脸稚气未脱的杨学群应聘到山东黄金玲珑金矿。工作中眉头紧蹙、神情严肃，生活中眉眼弯弯、开朗大方的她不曾想到，8年后的自己能够荣获“全国五一劳动奖章”。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试管里的沉淀叫青春的甜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人生中有这么一首诗，当我们拥有它时还无法读懂，当我们读懂它时，它却已悄然远走，这首诗就叫青春。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——题记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初入职场的杨学群不曾想到，从她到实验室第一次标准地甩动试管配制滴定时，师傅丁虹就对她寄予了厚望。3个月的加工班组实习，6个月的湿法化验班组实习和3个月的火试金班组实习，杨学群当时并没有明白为什么同批来的化验员们都早早分配到了相应班组开启了正常的工作节奏，而自己都来公司一年了还没有正式确定要在哪个班组工作。不骄不躁的她并没有把高学历当成自己的“标签”，而是凭借深厚理论知识开始一心一意当“徒弟”，动手“搞技能”。所有与化验相关的流程她都做到了了然于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那时候很累，但现在回想起来，真的很感谢师傅。”杨学群继续说道，“3个班组的细致学习与实践让我对整个化验的流程有了深入的了解，也体会到了加工班组和火试金班组的辛劳，那时候的我就暗暗下定决心，这些化验样品都是同事们的辛劳成果，只有格外的心细和严谨，化验出最准确的结果，才能对得起他们的付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学习过程中，她勤学好问，经常向师傅们请教操作要领的细节，对技术指标要求格外精细。因此，她在短时间内就快速掌握了化验样品的实际情况，充分锻炼实践操作能力。业余生活中，她非常注重理论学习。她始终认为丰富的理论知识练就的技术才是实打实的真本事。《化验员读本》《化学基础》是她的基础工具书，也是她终日不离手的必备读物，这也为她日后精湛的技术奠定了扎实的基础。在青春的拼搏路上，杨学群很好的把知识与实践相结合。针对公司精矿矿质特殊性，她对火法测金物料配比进行了改进，使准确率提高了50%。</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小我周围的人就都说我记性好、过目不忘，其实我没他们说的那么聪明，因为他们没看到我背后的努力。其实我就是对自己挺严的，也正是这股要强劲儿让我学到很多东西。”老师傅们对杨学群“聪明”的评价，她这样解释，“但也有不小的遗憾，如果当时自己能再多读些书，或许现在的许多制约实验数据精准的难题就能‘迎刃而解’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考场上的从容是熬过的夜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人生中最为辉煌的一天，并不是功成名就的那一天，而是从悲叹和绝望中产生对挑战的欲望并勇敢的迈向这种挑战的一天。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——题记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杨学群第一次参加“中金杯”全国黄金行业职业技能竞赛。由于是第一组第一个上场，不自信和紧张的她“仅仅”取得了第六名的成绩。面对师傅的鼓励和同事的赞扬，她的心里有些许的“不服”与“不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“不疯魔，不成活!”平时吃着饭，走在路上，甚至上下班的班车上，杨学群也会用手上的物品做“抖样”的动作，经常引起身边人的误会。用她的话说：习惯成自然，比赛时万一紧张了，凭习惯也能做出来。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11月，竞赛如期而至。竞赛前，集团公司组织预选赛，从各矿山单位的50个人选中择优选出10名参加决赛。预选赛期间，杨学群白天做实验，晚上照顾好一家老小入睡之后，挑灯夜战学习理论知识，天天后半夜才上床睡觉。刻苦认真的她“牛刀小试”以与第一名仅差1分的好成绩轻松通过预赛，入选“黄金战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竞赛级别高、范围广、内容多，竞赛前，集团公司组织参赛队员进行了1个月的封闭式集训。“熬了一个月的夜，大家都很辛苦。但生活永远不会单调，与化验为伴的日子，与同事们一起训练学习的日子，我们辛苦并快乐着!”说到集训，杨学群颇有感慨。她觉得，也正是这种高强度的集训，才使得竞赛成绩有了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对杨学群来说，这些似乎还不太够。因为她所从事的化验专业与湿法冶炼差距较大，专业不占优势，只能用时间来弥补。而这个毕业已经5年多的“研究生”仍然保持着不将书本里的东西“吃干榨净”就不罢休的“毛病”。下班后回到家，忙完家务事，他总是通宵达旦地看书、做题。她也自嘲，自己的书籍大概是最脏最破的一套了。因为书里涂满了各种颜色的标记，夹杂着大量批注文字。她说，她一直喜欢用自己的理解去做批注，便于前后查看，更好地记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200道理论考试题，不到100分钟完成并提前交卷。实操考试更是淡定洒脱，稳定发挥，第一个做完所有实验科目，第一个走出考场。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“当评审老师公布我获得了湿法冶炼工决赛第一名的时候，我的眼泪根本不受我的控制，是一种释放、更多的是一种欣慰，感觉自己所付出的一切都是值得的。”杨学群说到这里眼眶红了起来。</w:t>
      </w:r>
    </w:p>
    <w:p>
      <w:pPr>
        <w:widowControl/>
        <w:jc w:val="left"/>
        <w:outlineLvl w:val="1"/>
        <w:rPr>
          <w:rFonts w:hint="eastAsia" w:ascii="宋体" w:hAnsi="宋体" w:cs="宋体"/>
          <w:b/>
          <w:bCs/>
          <w:kern w:val="0"/>
          <w:sz w:val="30"/>
          <w:szCs w:val="30"/>
          <w:lang w:eastAsia="zh-CN"/>
        </w:rPr>
      </w:pPr>
      <w:bookmarkStart w:id="16" w:name="_Toc13653"/>
      <w:r>
        <w:rPr>
          <w:rFonts w:hint="eastAsia" w:ascii="宋体" w:hAnsi="宋体" w:cs="宋体"/>
          <w:b/>
          <w:bCs/>
          <w:kern w:val="0"/>
          <w:sz w:val="30"/>
          <w:szCs w:val="30"/>
          <w:lang w:eastAsia="zh-CN"/>
        </w:rPr>
        <w:t>国电投几内亚项目首船铝土矿启程发运回国</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24日17时30分，在距离维嘉港30海里的大西洋深海，COSCO旗下满载国家电力投资集团几内亚一期项目22万多吨铝土矿的中远海运“兴隆号”巨轮，悬挂着“热烈庆祝国家电投几内亚铝业开发项目首船铝土矿发运成功”横幅，顺利起航发运回国，并将于45天后抵达国内口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几内亚一期项目自2019年5月29日开工以来，克服了新冠疫情影响、几内亚总统大选政局动荡、雨季施工等多重困难，牢牢把握“确保质量赶进度、确保安全控造价”两条主线，有效工期仅用13个月实现了铝土矿发运，疫情“零感染”、安全质量“零事故”、工程进度“零拖期”、工程造价“零超概”建设目标，创造了几内亚同类铝土矿项目建设速度最快、装船设备调试时间最短的纪录，创造了中国海外矿山建设运行的“中国速度”，彰显了央企良好的责任担当和社会形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建设过程中，国家电力投资集团几内亚公司牢牢抓好“安全、质量、投资、工期”四大控制，在新冠肺炎疫情和雨季影响下，与承包单位同衷共济、守望互助，努力克服物资匮乏、交通不畅、卫生医疗条件有限、国情文化差异等诸多困难，逢山开路、遇水搭桥，不畏艰难、顽强拼搏，不断将工程建设节点推向前进，创造了一项又一项建设纪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建设有效工期仅用了13个月，比计划提前70多天完工;柴油发电、皮带机输送及装船机安装、联调联试仅用不到100天时间，创造了几内亚同类铝土矿项目建设最快速度;电力来源通过“柴光互补”小型储能设计，建成几内亚目前的1.2兆瓦光伏新能源电站和4台柴油发电机组，为国家电力投资集团公司海外发展绿色能源、新能源+战略数据采集和工业化实验提供了有力支撑。同时，项目建设运营为当地民众提供了一大批就业岗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国家电投几内亚铝业开发项目是国家电投积极践行中国“一带一路”倡议、不断深化中非务实友好合作、加快推进全球化发展布局、提升可持续发展能力的重大标志性工程，是中几两国“资源与贷款合作项目”。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首船铝土矿发运，标志着一期工程由基建转入生产运营。后续源源不断的铝土矿发运回国，将对促进中几两国建立长期战略合作伙伴关系，推动几内亚经济社会发展产生重大影响，为改善我国铝行业可持续绿色发展用矿结构，为国内铝土矿资源供给和储备，具有十分重要的战略意义，为提升国家电投铝业板块重要矿产资源保障能力发挥重要作用，对国家电投增强全球资源配置能力和成本竞争力、加快建设企业提供强有力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4714"/>
      <w:r>
        <w:rPr>
          <w:rFonts w:hint="eastAsia" w:ascii="宋体" w:hAnsi="宋体" w:cs="宋体"/>
          <w:b/>
          <w:bCs/>
          <w:kern w:val="0"/>
          <w:sz w:val="30"/>
          <w:szCs w:val="30"/>
        </w:rPr>
        <w:t>中铝集团召开2021年劳动模范和先进集体表彰大会暨先进模范事迹报告会</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29日，中铝集团召开2021年劳动模范和先进集体表彰大会暨先进模范事迹报告会，隆重表彰为生产经营改革发展作出重要贡献的劳动模范和先进集体，激励全体干部职工弘扬劳模精神，学习榜样、对标一流、争当先进，在集团经营业绩取得“开门红”的基础上，满怀信心聚力打造中铝高质量发展新模式，奋进集团“十四五”新征程，力争高质量超额完成全年目标任务，以优异成绩庆祝中国共产党成立100周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中铝集团党组书记、董事长姚林出席会议并讲话。中铝集团总经理、党组副书记刘祥民主持会议并就贯彻落实会议精神提出要求。中铝集团党组领导敖宏、许质武、刘建平、陈琪、叶国华、董建雄出席会议。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敖宏宣读了《关于表彰2021年中国铝业集团有限公司劳动模范和先进集体的决定》，授予王丙刚等50名同志2021年中铝集团劳动模范荣誉称号，授予赤峰云铜电解厂槽面一班等30个单位2021年中铝集团先进集体荣誉称号。中铝集团党组领导为受表彰的中铝集团劳动模范和先进集体代表颁发了奖项并合影留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全国劳动模范，西南铝锻造厂锻压工、首席技师刘永刚，中铝集团劳动模范、凉山矿业选矿厂磨浮工段202班班长代勇，中铝集团劳动模范、东轻特材公司HK工区区域技师王嘉君，中铝集团先进集体代表山西中铝华润有限公司电解铝生产部作了交流发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姚林指出，在中铝集团各级各类劳模先进之中，有传承工匠精神、善于凭借“绝技绝活”解难题的新时代高素质产业工人;有传承科学家精神、勇于“揭榜挂帅”奋力攻克“卡脖子”技术的高水平科研工程专业人才;有传承企业家精神、坚持价值管理理念、善于把握市场机遇的经营管理骨干;有守初心担使命、直面风险挑战、展现新担当新作为的党员干部;有全面激发基层活力、推动流程指标不断优化的车间班组;有持续探索商业模式创新、不断向一流迈进的标杆团队;有不断深化国企改革、稳步提升运营质量效率的基层企业。他们的典型精神，共同构成了以“励精图治、创新求强”为核心的中铝精神谱系，他们也凭借优异业绩，进一步夯实了集团履行排头兵、引领者、主力军战略使命的根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姚林指出，2021年一季度，面对冬春疫情考验和外部环境的不确定性，集团党组坚持以构建中铝高质量发展新模式为主题，带领全体干部职工共同努力，稳步推进改革发展各项工作，较好地完成了经营目标任务，盈利情况更是超出预期。这些成绩，充分彰显了集团作为中央企业，坚持发挥党建法宝作用，全心全意依靠职工办企业的独特优势;充分彰显了党员骨干发挥先锋模范作用，带领职工群众对标一流、赶超标杆、苦干实干的拼搏态度;充分彰显了广大干部职工发挥工人阶级主力军作用，奏响“咱们工人有力量”的主旋律，立足岗位、建功立业、担当奉献的精神面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姚林指出，要立足新发展阶段，贯彻新发展理念，构建新发展格局，推动中铝高质量发展，就要向劳模先进学习，扛起责任担当，坚持接续奋斗，开启新征程，扬帆再出发。一要坚定不移听党话，矢志不渝跟党走。要把握重大契机，抓好思想引领;要学习劳模先进，看齐榜样标杆;要坚定理想信念，焕发劳动激情。二要争当一流学先进，对标赶超谱新篇。要锻造一流队伍，创造一流业绩，建设一流企业。三要凝心聚力办实事，砥砺奋进开新局。要切实关心关爱劳模，营造崇尚先进的好氛围;要切实帮助基层减负，完善凝心聚力的好机制;要切实弘扬劳模精神、劳动精神、工匠精神“三种精神”，开创团结奋进的好局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姚林强调，中铝集团各单位、各级组织、各级党员干部要尊重、关心、爱护劳模先进，善于发挥劳模先进作用，多做统一思想、凝聚人心、汇集力量的工作，把职工群众最广泛、最紧密地团结在党的周围，主动求变开新局，团结奋进新征程。劳模先进要带头学党史、悟思想、办实事、开新局，影响更多人，带动更多人，继续发挥好典型示范作用。要更加紧密地团结在以习近平同志为核心的党中央周围，增强“四个意识”、坚定“四个自信”、做到“两个维护”，把习近平总书记重要指示批示精神和党中央决策部署进一步落到实处，汇聚起广大党员干部职工打造高质量发展新模式、奋进“十四五”新征程的磅礴力量，以优异成绩迎接中国共产党成立100周年。</w:t>
      </w:r>
    </w:p>
    <w:p>
      <w:pPr>
        <w:widowControl/>
        <w:jc w:val="left"/>
        <w:outlineLvl w:val="1"/>
        <w:rPr>
          <w:rFonts w:hint="eastAsia" w:ascii="宋体" w:hAnsi="宋体" w:cs="宋体"/>
          <w:b/>
          <w:bCs/>
          <w:kern w:val="0"/>
          <w:sz w:val="30"/>
          <w:szCs w:val="30"/>
        </w:rPr>
      </w:pPr>
      <w:bookmarkStart w:id="18" w:name="_Toc9357"/>
      <w:r>
        <w:rPr>
          <w:rFonts w:hint="eastAsia" w:ascii="宋体" w:hAnsi="宋体" w:cs="宋体"/>
          <w:b/>
          <w:bCs/>
          <w:kern w:val="0"/>
          <w:sz w:val="30"/>
          <w:szCs w:val="30"/>
        </w:rPr>
        <w:t>进口冷链食品安全监管必须做到“三化”</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关于加强进口冷链食品安全监管，早就不是什么新鲜话题的话题了。各地政府主管部门和食品冷链物流企业，自去年以来，也早已绷紧了安全这根弦，采取的监管措施和手段也可圈可点，如对进口冷链食品预防性的全面消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是，对进口冷链食品的装载运输工具、产品内外包装的全面消毒，虽然可以在一定程度上降低进口冷链食品新冠病毒输入风险，但并不意味着，你就可以彻底放心食用了，因为，毕竟在包装的内部，新冠病毒也有可能会存在;而且，进口食品冷链的防疫工作，绝不能停留在对新冠疫情的防控上，一定要将这次对新冠疫情的防控措施和经验予以放大和延长，即以此为契机，建立和完善对所有有可能随着进口冷链食品进入国门的疫情防控机制，并使之成为常态化。这种常态化的内容，概括起来，主要体现为“三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链条化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虽然去年以来，针对进口冷链疫情防控，各级政府和冷链企业做了大量有效的工作，但对进口冷链食品的整体疫情防控工作目前尚未形成链条化。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大数据时代，对进口冷链食品从进入国门的第一时间到最后端上消费者餐桌，用全链条的手段实现全方位的疫情防控，不管是对于非洲猪瘟还是新冠疫情以及所有的外来疫情，从技术上来说早已不是问题，问题的关键是如何利用大数据技术，像啄木鸟一样，将所有隐藏的病毒一一叼出来，不仅将之杜绝于国门之外，而且将之斩断于被端上餐桌之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进口冷链食品全链条的具体流程，看看下面这个场景就明白了。在浙江一家大型超市内，监管人员正在对该超市的已经海关检验检疫的进口冷链食品进行查验：超市冷库内，监管人员通过“浙冷链”系统数据，核对了库房的产品品种和数量，并通过扫描进口食品包装上方的“浙冷链”溯源码，查验了入境货物检验检疫证明、进口冷链食品核酸检测证明以及消毒证明的 “三证”情况。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据监管人员介绍，超市要用浙冷链系统扫冷链码入库、出库，要与冷链码中所赋的三证信息内容相符，确保进口冷链食品从入境、运输、供货、采购、销售全过程受控无遗漏全部合格后才可以销售。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集中化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如果说进口冷链食品的全链条监管是手段，还必须要有一个让这个手段最大程度地发挥作用的载体，这个载体便是进口冷链食品的集中监管模式。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报道，去年底，南京市相关部门已经制定了《集中监管仓工作方案》，对预约审核、现场等候、采样消杀、入库出库等相关环节的工作流程进一步优化、细化。经过最近几个月来的实际运转，集中监管的效果十分明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其具体做法是：除对食品外包装全面消杀外，对进入集中监管仓的运输车辆、驾乘人员也全部进行集中消毒。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集中监管仓操作区域相对封闭，进出人员严格按防护要求着装并消毒。集中监管仓的废弃包装及防护用品，则由卫健、疾控部门按规定集中处置。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此同时，进口冷链食品的溯源管理也在有序推进，所有入仓监管的货物均需申报出仓后的流向，例如运往哪个地方、什么单位、具体存放在哪个冷库，地址和相应的联系方式是什么等，以便于开展跟踪和追溯管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据悉，2021年以来，广州市设置在荔湾、白云、番禺、黄埔、南沙等区的28个进口冷冻食品集中监管仓也已全面启用，对从海关进入广州和各地的进口冷冻食品实施集中监管。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合法化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主要是针对网络进口冷链食品。这方面的情况可谓触目惊心：君不见，国内市场上，无论是大卖场还是小商店，线上还是线下，到处可见来自世界各地的“进口食品“，其品类之繁、数量之多，远远超过了海关进口!防控不当极易导致瘟疫传播 。</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官方说明：目前，超市购买的进口食品一般是由有资质的进口商通过报关、报检等手续批量进口、经过官方检验检疫的;而海淘、代购的进口食品往往未经检验检疫，网上很多号称“官方授权”的进口食品店铺则基本都没有授权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走私肉类冻品为例,近年来,进口的冻肉相当一部分都是从广东的水路、广西的中越边境走私进来的。这些走私的冻肉通过大型冷藏车运输的方式运至海南,然后分散储存在海口周边一些私人小型冻库里面,面向岛内农贸市场、食堂、茶餐厅、西餐厅、酒店等场所批发销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这些产品绝大部分来源于国家禁止进口的疫区国家，没有经过检验检疫部门的检验，也不能建立食品原产地可追溯制度和质量标识制度,很容易出现食品安全问题。其中，特别是肉类冻品未经检验检疫,像禽流感、猪瘟、疯牛病等瘟疫一旦传播进国内,其危害不堪设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这一问题，从法制上解决并不是问题，国家市场监管总局早已明确，进入国内市场的进口冷链食品，凡是不能提供合格证明的，一律不准上市销售。这还是主要是指的经过合法渠道进口的冷链食品，而对于那些非法进口的冷链食品，即便仓储运输用的是冷链，也属于非法仓储运输。对此，我们冷链企业必须严格遵守国家法律规定，不管是多大的货单，能挣多少钱，冷链过程多完整，也要拒之于门外，否则，就等于是为虎作伥。</w:t>
      </w:r>
    </w:p>
    <w:p>
      <w:pPr>
        <w:widowControl/>
        <w:jc w:val="left"/>
        <w:outlineLvl w:val="1"/>
        <w:rPr>
          <w:rFonts w:hint="eastAsia" w:ascii="宋体" w:hAnsi="宋体" w:cs="宋体"/>
          <w:b/>
          <w:bCs/>
          <w:kern w:val="0"/>
          <w:sz w:val="30"/>
          <w:szCs w:val="30"/>
        </w:rPr>
      </w:pPr>
      <w:bookmarkStart w:id="19" w:name="_Toc3120"/>
      <w:r>
        <w:rPr>
          <w:rFonts w:hint="eastAsia" w:ascii="宋体" w:hAnsi="宋体" w:cs="宋体"/>
          <w:b/>
          <w:bCs/>
          <w:kern w:val="0"/>
          <w:sz w:val="30"/>
          <w:szCs w:val="30"/>
        </w:rPr>
        <w:t>拜登首次立法监管温室气体，制冷剂15年减85%</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美国环境保护署(EPA)周一(3日)宣布，将立法监管温室气体氢氟烃(HFCs)，并在明年起实施有关措施，包括在未来15年大幅减少其生产及进口量85%，预计能为美国未来30年的经济节省2,800亿美元。这是拜登政府上台以来，首次为应对气候变化立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HFCs是一种常用于雪柜、冷气机及其他电器的人造制冷剂，面对美国对雪藏及冷气使用需求在过去30年持续增加，导致全国排放HFCs不断。EPA预测，新监管措施能在2036年之前减少大气层被中相当于47亿公吨的二氧化碳，即国内发电厂3年内排放的二氧化碳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EPA按照去年通过的纾困案要求，协助有关产业转用更为洁净的可替代品。自然资源保护理事会(NRDC)认为减少HFCs刻不容缓;另有业界人士希望能有新型制冷剂，甚至用其他天然化学物替代，并出口至全球。若全球逐步淘汰HFCs，相信全球能在2050年前减少约两年的二氧化碳排放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27791"/>
      <w:r>
        <w:rPr>
          <w:rFonts w:hint="eastAsia" w:ascii="宋体" w:hAnsi="宋体" w:cs="宋体"/>
          <w:b/>
          <w:bCs/>
          <w:kern w:val="0"/>
          <w:sz w:val="30"/>
          <w:szCs w:val="30"/>
        </w:rPr>
        <w:t>家电市场迎来换新潮</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新冠肺炎疫情得到有效控制，我国经济持续回暖，居民消费热情不断升温。京东家电联合中怡康数据机构日前发布的《五一家电换新趋势白皮书》显示，一季度国内家电市场规模达1903亿元，同比增长47%，双线市场均呈现高速增长态势。预计随着居民消费不断升级以及家装旺季的到来，家电市场或在“五一”假期迎来一轮增长小高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消费需求以换新为主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“父母家里的冰箱和洗衣机都比较旧了，想给他们换两台更好的。”在北京苏宁易购慈云寺桥店，记者遇到正在挑选冰箱的赵先生。之前已经在网上看中了几款产品，趁着假期实体店搞活动过来比比价。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“买家电价格是一方面，更重要的是产品质量和功能。”赵先生告诉记者。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“从整个市场来看，更换新机是消费者主要的购买需求。”奥维云网研究创新部总经理赵梅梅认为，目前国内家庭大型家电拥有量非常高，虽然每年都有新家装修购买家电的需求，但占比不高。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白皮书还显示，高端、智能、健康、套系化、细分化等“换新”关键词贯穿整个家电消费市场。“五一”假期，家电市场将迎来一轮换新潮，市场规模可达523亿元。“随着居民消费能力不断提升，高端产品将占据更多市场份额。”赵梅梅举例说，像洗烘一体机、带新风功能的空调、微蒸烤一体机等功能比较齐全的产品越来越受到消费者喜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苏宁易购消费数据显示，4月21日至27日，以旧换新订单量同比增长16%，其中85%的以旧换新用户选择一站式以旧换新。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健康化成为发展趋势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疫情让人们更加重视身体健康。“从去年的‘6·18’到今年‘五一’假期促销，家电消费市场正逐渐向健康化发展，消费者健康理念也日益增强。”赵梅梅说，例如能除螨虫的洗衣机、高温消毒的洗碗机、净水机等产品逐渐被消费者认可。白皮书显示，在购买家电时，46%的消费者倾向选择“守护全家人健康”的家电产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在该门店西门子柜台，记者看到不少顾客对一款具有超氧空气洗功能的洗衣机颇感兴趣。现场销售人员介绍，这款洗衣机无需水洗或高温，而是通过超氧气体揉搓衣物，30分钟就可以达到杀菌除螨效果。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“有时候带孩子出门游玩，衣服不可避免会带有不少细菌，如果用这款洗衣机，起码可以省不少消毒液。”在一旁选购洗衣机的张先生表示，虽然这款机器价格略贵，但为了孩子健康多花点钱也是值得的。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每年‘五一’，我们店里卖得最好的还是各类空调产品。”北京苏宁易购慈云寺桥店店长师晓雯说，夏季将至，消费者都想趁着促销，换一台好一点的空调。在该门店惠而浦柜台，“健康空调惠而浦”的字样格外显眼。据销售人员介绍，如今消费者选购空调不仅关注制冷效果和节能水平，更关注机器是否具有紫外杀菌、高温自清洗、防直吹等功能。“夏天室内室外温差较大，如果没有防直吹功能，小孩和老人容易感冒。不少顾客还会询问机器是否带新风功能，说明对室内空气质量要求较高。”该销售人员告诉记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智能小家电受青睐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做一道色香味俱全的糖醋排骨总共分几步?“第一步，将切好的猪肋排放进锅中;第二步，加入姜10克、冰糖50克、香醋50克、料酒50克、生抽25克、老抽5克;第三步，盖上玻璃盖，机器将自动翻炒。”在苏泊尔柜台，现场销售人员正在演示主厨料理机的使用方法，一群“厨房小白”对这款具有引导式烹饪功能的料理机赞不绝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屏幕上能够显示每一道菜的具体做法，而且还有称重功能，只需要准备好原材料和调味品，再按照它的指示一步步操作就可以了。”消费者宁女士坦言，因为嫌麻烦自己很少下厨房，但如果拥有这样一台料理机，情况可能就不一样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“在我们卖场，像摩飞多功能锅、添可无线洗地机等网红小家电广受年轻人喜爱。”师晓雯说，截至5月3日，该门店小家电销售额同比增长了92.2%。</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小家电受青睐，主要源于消费者对更高品质生活的追求。”赵梅梅分析，现在年轻人不愿把过多的时间和精力放在做家务上，烹饪交给自动炒菜锅，拖地交给扫地机器人，想放松身心还有肩部、颈部、足部各类按摩仪，“有数据显示，国外平均每个家庭拥有10台至20台小家电，我国还远未达到这个数字。随着消费进一步升级，小家电市场将更加繁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29006"/>
      <w:r>
        <w:rPr>
          <w:rFonts w:hint="eastAsia" w:ascii="宋体" w:hAnsi="宋体" w:cs="宋体"/>
          <w:b/>
          <w:bCs/>
          <w:kern w:val="0"/>
          <w:sz w:val="30"/>
          <w:szCs w:val="30"/>
        </w:rPr>
        <w:t>硅料价格一年翻一番！光伏上游产能严重不足，下游市场需求火热！“冷热不均”如何破？</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近来，光伏行业备受关注，除了行业高增长之外，原材料价格波动性强也成为一大热点，尤其在全产业链。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硅料价格一年翻一番 光伏上游产能严重不足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家四川的硅料生产企业，作为光伏行业中最上游的原材料生产企业，它的市场份额占到国内最大。企业负责人告诉记者，今年硅料价格一路上涨，当前的价格同比去年已经翻了一倍，比去年底更是上涨了近50%。如今单晶用料均价达到每公斤135元，多晶硅为每公斤74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在多家企业了解到，硅料涨价最直接的原因就是供不应求，这些企业订单量都超过一倍，有的甚至达到两倍，而供应却严重不足，成为硅料企业面临的共同问题。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中国光伏行业协会秘书长 王世江 ：原材料价格上涨的另外一个因素我觉得可能也有结构性的问题，这几年下来就是我们的电池这块，高效的电池现在起来的很快，就是它对多晶硅的纯度要求更高了。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硅料的扩产需要相当长周期，而国内硅料生产企业只有11家，有些生产规模还很小，因此制约了硅料的快速供应。而此因素传导到最直接的下游方硅片生产企业，就是原料成本的上升，因此硅片也进行了相应提价，目前国内硅片的均价和去年底相比，涨幅超过30%。单晶硅和多晶硅每片价格分别达到3.81元和1.85元。而硅片扩产相对简单，可以短时间内实现，因此一些龙头企业迅速扩大产能，来满足暴增的订单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D84C82"/>
    <w:rsid w:val="08E36401"/>
    <w:rsid w:val="08E960D2"/>
    <w:rsid w:val="08FB0A6A"/>
    <w:rsid w:val="08FC6833"/>
    <w:rsid w:val="09033637"/>
    <w:rsid w:val="09064A46"/>
    <w:rsid w:val="09097F4E"/>
    <w:rsid w:val="090C3906"/>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C2191"/>
    <w:rsid w:val="0C3F65E6"/>
    <w:rsid w:val="0C442023"/>
    <w:rsid w:val="0C4439C8"/>
    <w:rsid w:val="0C764F66"/>
    <w:rsid w:val="0C78584F"/>
    <w:rsid w:val="0C853D1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D5F2B"/>
    <w:rsid w:val="0EE624BF"/>
    <w:rsid w:val="0EED3B46"/>
    <w:rsid w:val="0EF163FE"/>
    <w:rsid w:val="0F0F7B37"/>
    <w:rsid w:val="0F1259A0"/>
    <w:rsid w:val="0F1F371E"/>
    <w:rsid w:val="0F1F63BF"/>
    <w:rsid w:val="0F2065EB"/>
    <w:rsid w:val="0F296838"/>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12C04"/>
    <w:rsid w:val="11CE0A81"/>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B79CD"/>
    <w:rsid w:val="14AC56E1"/>
    <w:rsid w:val="14BC7913"/>
    <w:rsid w:val="14C24D6E"/>
    <w:rsid w:val="14CC08AA"/>
    <w:rsid w:val="14E63199"/>
    <w:rsid w:val="14EE35A5"/>
    <w:rsid w:val="15134B73"/>
    <w:rsid w:val="151F2E24"/>
    <w:rsid w:val="15303292"/>
    <w:rsid w:val="15460BDD"/>
    <w:rsid w:val="15555768"/>
    <w:rsid w:val="15663557"/>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483740"/>
    <w:rsid w:val="1D5948A7"/>
    <w:rsid w:val="1D604A38"/>
    <w:rsid w:val="1D660E0F"/>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66B1"/>
    <w:rsid w:val="26513E52"/>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D1014C"/>
    <w:rsid w:val="29D63757"/>
    <w:rsid w:val="29D67C37"/>
    <w:rsid w:val="29DC525C"/>
    <w:rsid w:val="29DD582A"/>
    <w:rsid w:val="29E008AE"/>
    <w:rsid w:val="29E72216"/>
    <w:rsid w:val="29EB0A8C"/>
    <w:rsid w:val="29F05AFF"/>
    <w:rsid w:val="29FD79C7"/>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C4F9A"/>
    <w:rsid w:val="2A7D1B82"/>
    <w:rsid w:val="2A83374A"/>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1423"/>
    <w:rsid w:val="2B605A31"/>
    <w:rsid w:val="2B636B26"/>
    <w:rsid w:val="2B650E1B"/>
    <w:rsid w:val="2B68461C"/>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A7CA8"/>
    <w:rsid w:val="2F216FA9"/>
    <w:rsid w:val="2F2D6512"/>
    <w:rsid w:val="2F327F6D"/>
    <w:rsid w:val="2F39427A"/>
    <w:rsid w:val="2F54333B"/>
    <w:rsid w:val="2F55409B"/>
    <w:rsid w:val="2F5E1470"/>
    <w:rsid w:val="2F677E00"/>
    <w:rsid w:val="2F685B6D"/>
    <w:rsid w:val="2F6D5CB1"/>
    <w:rsid w:val="2F77649C"/>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6461EB"/>
    <w:rsid w:val="3F6552D8"/>
    <w:rsid w:val="3F764CB6"/>
    <w:rsid w:val="3F8846CA"/>
    <w:rsid w:val="3F8C4A01"/>
    <w:rsid w:val="3FA31805"/>
    <w:rsid w:val="3FA80697"/>
    <w:rsid w:val="3FB84DAC"/>
    <w:rsid w:val="3FBA3BBE"/>
    <w:rsid w:val="3FBD1474"/>
    <w:rsid w:val="3FCA4585"/>
    <w:rsid w:val="3FCE4237"/>
    <w:rsid w:val="3FD31FB0"/>
    <w:rsid w:val="3FDE4C6F"/>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D95FE7"/>
    <w:rsid w:val="41E06063"/>
    <w:rsid w:val="41E72FF8"/>
    <w:rsid w:val="41FB1716"/>
    <w:rsid w:val="41FE2189"/>
    <w:rsid w:val="42045612"/>
    <w:rsid w:val="42074113"/>
    <w:rsid w:val="420A6CA2"/>
    <w:rsid w:val="42116B8E"/>
    <w:rsid w:val="421216AC"/>
    <w:rsid w:val="421F3146"/>
    <w:rsid w:val="422A55FD"/>
    <w:rsid w:val="423D69C9"/>
    <w:rsid w:val="424726FF"/>
    <w:rsid w:val="424A51FE"/>
    <w:rsid w:val="424D0797"/>
    <w:rsid w:val="425266F2"/>
    <w:rsid w:val="425356DC"/>
    <w:rsid w:val="42567125"/>
    <w:rsid w:val="425A7100"/>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657"/>
    <w:rsid w:val="45F77FD2"/>
    <w:rsid w:val="46061CC6"/>
    <w:rsid w:val="460A4AAB"/>
    <w:rsid w:val="46150FC7"/>
    <w:rsid w:val="4623003D"/>
    <w:rsid w:val="46237144"/>
    <w:rsid w:val="46261F0D"/>
    <w:rsid w:val="4630529E"/>
    <w:rsid w:val="46387F31"/>
    <w:rsid w:val="46391326"/>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321875"/>
    <w:rsid w:val="50323347"/>
    <w:rsid w:val="503407B2"/>
    <w:rsid w:val="50412F93"/>
    <w:rsid w:val="50483F4A"/>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06064"/>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F25A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10FE2"/>
    <w:rsid w:val="5B27242C"/>
    <w:rsid w:val="5B401695"/>
    <w:rsid w:val="5B4D1416"/>
    <w:rsid w:val="5B4E0FF4"/>
    <w:rsid w:val="5B5A0F5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B24835"/>
    <w:rsid w:val="65BA2F3E"/>
    <w:rsid w:val="65BC6B82"/>
    <w:rsid w:val="65CC36C6"/>
    <w:rsid w:val="65D57BC5"/>
    <w:rsid w:val="65EA1E47"/>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D4092C"/>
    <w:rsid w:val="68D76254"/>
    <w:rsid w:val="68DB0264"/>
    <w:rsid w:val="68DC2551"/>
    <w:rsid w:val="68E23561"/>
    <w:rsid w:val="68E37F97"/>
    <w:rsid w:val="68EC13C4"/>
    <w:rsid w:val="690C626D"/>
    <w:rsid w:val="69160E87"/>
    <w:rsid w:val="692D38DE"/>
    <w:rsid w:val="69383EDC"/>
    <w:rsid w:val="693E0E17"/>
    <w:rsid w:val="69454E15"/>
    <w:rsid w:val="69540761"/>
    <w:rsid w:val="6957719D"/>
    <w:rsid w:val="695A7016"/>
    <w:rsid w:val="69620C08"/>
    <w:rsid w:val="6965287E"/>
    <w:rsid w:val="6967409A"/>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9012DB"/>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2021-05-07T07:25:48Z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9CE342D309EC48CA9D102E1F00CF371C</vt:lpwstr>
  </property>
</Properties>
</file>