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r>
        <w:rPr>
          <w:rFonts w:ascii="宋体" w:hAnsi="宋体"/>
          <w:sz w:val="72"/>
          <w:szCs w:val="72"/>
        </w:rPr>
        <w:drawing>
          <wp:anchor distT="0" distB="0" distL="114300" distR="114300" simplePos="0" relativeHeight="251659264" behindDoc="1" locked="0" layoutInCell="1" allowOverlap="1">
            <wp:simplePos x="0" y="0"/>
            <wp:positionH relativeFrom="column">
              <wp:posOffset>-963295</wp:posOffset>
            </wp:positionH>
            <wp:positionV relativeFrom="paragraph">
              <wp:posOffset>-919480</wp:posOffset>
            </wp:positionV>
            <wp:extent cx="7842250" cy="11095990"/>
            <wp:effectExtent l="0" t="0" r="6350" b="1016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842250" cy="11095990"/>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2343150</wp:posOffset>
                </wp:positionH>
                <wp:positionV relativeFrom="paragraph">
                  <wp:posOffset>95250</wp:posOffset>
                </wp:positionV>
                <wp:extent cx="1607820"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1607820" cy="754380"/>
                        </a:xfrm>
                        <a:prstGeom prst="rect">
                          <a:avLst/>
                        </a:prstGeom>
                        <a:noFill/>
                        <a:ln>
                          <a:noFill/>
                        </a:ln>
                      </wps:spPr>
                      <wps:txbx>
                        <w:txbxContent>
                          <w:p>
                            <w:pPr>
                              <w:pStyle w:val="2"/>
                              <w:jc w:val="center"/>
                              <w:rPr>
                                <w:b/>
                                <w:kern w:val="2"/>
                              </w:rPr>
                            </w:pPr>
                            <w:r>
                              <w:rPr>
                                <w:rFonts w:hint="eastAsia"/>
                                <w:b/>
                                <w:kern w:val="2"/>
                              </w:rPr>
                              <w:t>油  品  周  报</w:t>
                            </w:r>
                          </w:p>
                          <w:p/>
                          <w:p/>
                        </w:txbxContent>
                      </wps:txbx>
                      <wps:bodyPr upright="1"/>
                    </wps:wsp>
                  </a:graphicData>
                </a:graphic>
              </wp:anchor>
            </w:drawing>
          </mc:Choice>
          <mc:Fallback>
            <w:pict>
              <v:shape id="文本框 60" o:spid="_x0000_s1026" o:spt="202" type="#_x0000_t202" style="position:absolute;left:0pt;margin-left:184.5pt;margin-top:7.5pt;height:59.4pt;width:126.6pt;z-index:251660288;mso-width-relative:page;mso-height-relative:page;" filled="f" stroked="f" coordsize="21600,21600" o:gfxdata="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sWiVLYAAAACgEAAA8AAAAAAAAAAQAgAAAAIgAAAGRycy9kb3du&#10;cmV2LnhtbFBLAQIUABQAAAAIAIdO4kBn+7IxjQEAAAEDAAAOAAAAAAAAAAEAIAAAACcBAABkcnMv&#10;ZTJvRG9jLnhtbFBLBQYAAAAABgAGAFkBAAAmBQAAAAA=&#10;">
                <v:fill on="f" focussize="0,0"/>
                <v:stroke on="f"/>
                <v:imagedata o:title=""/>
                <o:lock v:ext="edit" aspectratio="f"/>
                <v:textbox>
                  <w:txbxContent>
                    <w:p>
                      <w:pPr>
                        <w:pStyle w:val="2"/>
                        <w:jc w:val="center"/>
                        <w:rPr>
                          <w:b/>
                          <w:kern w:val="2"/>
                        </w:rPr>
                      </w:pPr>
                      <w:r>
                        <w:rPr>
                          <w:rFonts w:hint="eastAsia"/>
                          <w:b/>
                          <w:kern w:val="2"/>
                        </w:rPr>
                        <w:t>油  品  周  报</w:t>
                      </w:r>
                    </w:p>
                    <w:p/>
                    <w:p/>
                  </w:txbxContent>
                </v:textbox>
              </v:shape>
            </w:pict>
          </mc:Fallback>
        </mc:AlternateContent>
      </w:r>
    </w:p>
    <w:p>
      <w:pPr>
        <w:rPr>
          <w:rFonts w:ascii="宋体" w:hAnsi="宋体"/>
        </w:rPr>
      </w:pPr>
    </w:p>
    <w:p>
      <w:pPr>
        <w:rPr>
          <w:rFonts w:ascii="宋体" w:hAnsi="宋体"/>
        </w:rPr>
      </w:pPr>
    </w:p>
    <w:p>
      <w:pPr>
        <w:rPr>
          <w:rFonts w:ascii="宋体" w:hAnsi="宋体"/>
        </w:rPr>
      </w:pPr>
    </w:p>
    <w:p>
      <w:pPr>
        <w:jc w:val="center"/>
        <w:rPr>
          <w:rFonts w:hint="default" w:ascii="宋体" w:hAnsi="宋体" w:eastAsia="宋体"/>
          <w:lang w:val="en-US" w:eastAsia="zh-CN"/>
        </w:rPr>
      </w:pPr>
      <w:r>
        <w:rPr>
          <w:rFonts w:hint="eastAsia" w:ascii="宋体" w:hAnsi="宋体"/>
          <w:b/>
          <w:sz w:val="30"/>
          <w:szCs w:val="30"/>
        </w:rPr>
        <w:t>20</w:t>
      </w:r>
      <w:r>
        <w:rPr>
          <w:rFonts w:hint="eastAsia" w:ascii="宋体" w:hAnsi="宋体"/>
          <w:b/>
          <w:sz w:val="30"/>
          <w:szCs w:val="30"/>
          <w:lang w:val="en-US" w:eastAsia="zh-CN"/>
        </w:rPr>
        <w:t>21</w:t>
      </w:r>
      <w:r>
        <w:rPr>
          <w:rFonts w:hint="eastAsia" w:ascii="宋体" w:hAnsi="宋体"/>
          <w:b/>
          <w:sz w:val="30"/>
          <w:szCs w:val="30"/>
        </w:rPr>
        <w:t>.</w:t>
      </w:r>
      <w:r>
        <w:rPr>
          <w:rFonts w:hint="eastAsia" w:ascii="宋体" w:hAnsi="宋体"/>
          <w:b/>
          <w:sz w:val="30"/>
          <w:szCs w:val="30"/>
          <w:lang w:val="en-US" w:eastAsia="zh-CN"/>
        </w:rPr>
        <w:t>5.6</w:t>
      </w:r>
    </w:p>
    <w:p>
      <w:pPr>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60288;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CbeaHXAAAACgEAAA8AAAAAAAAAAQAgAAAAIgAAAGRy&#10;cy9kb3ducmV2LnhtbFBLAQIUABQAAAAIAIdO4kCaYPF/lAEAAAIDAAAOAAAAAAAAAAEAIAAAACYB&#10;AABkcnMvZTJvRG9jLnhtbFBLBQYAAAAABgAGAFkBAAAs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目 录</w:t>
      </w:r>
    </w:p>
    <w:p>
      <w:pPr>
        <w:pStyle w:val="16"/>
        <w:tabs>
          <w:tab w:val="right" w:leader="dot" w:pos="9638"/>
          <w:tab w:val="clear" w:pos="9170"/>
        </w:tabs>
      </w:pPr>
      <w:r>
        <w:rPr>
          <w:rFonts w:hint="eastAsia" w:ascii="宋体" w:hAnsi="宋体" w:eastAsia="宋体" w:cs="宋体"/>
          <w:color w:val="000000"/>
          <w:sz w:val="24"/>
          <w:szCs w:val="21"/>
        </w:rPr>
        <w:fldChar w:fldCharType="begin"/>
      </w:r>
      <w:r>
        <w:rPr>
          <w:rFonts w:hint="eastAsia" w:ascii="宋体" w:hAnsi="宋体" w:eastAsia="宋体" w:cs="宋体"/>
          <w:color w:val="000000"/>
          <w:sz w:val="24"/>
          <w:szCs w:val="21"/>
        </w:rPr>
        <w:instrText xml:space="preserve"> TOC \o "1-3" \h \z </w:instrText>
      </w:r>
      <w:r>
        <w:rPr>
          <w:rFonts w:hint="eastAsia" w:ascii="宋体" w:hAnsi="宋体" w:eastAsia="宋体" w:cs="宋体"/>
          <w:color w:val="000000"/>
          <w:sz w:val="24"/>
          <w:szCs w:val="21"/>
        </w:rPr>
        <w:fldChar w:fldCharType="separate"/>
      </w: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_Toc32272 </w:instrText>
      </w:r>
      <w:r>
        <w:rPr>
          <w:rFonts w:hint="eastAsia" w:ascii="宋体" w:hAnsi="宋体" w:eastAsia="宋体" w:cs="宋体"/>
          <w:szCs w:val="21"/>
        </w:rPr>
        <w:fldChar w:fldCharType="separate"/>
      </w:r>
      <w:r>
        <w:rPr>
          <w:rFonts w:hint="eastAsia" w:asciiTheme="minorEastAsia" w:hAnsiTheme="minorEastAsia" w:eastAsiaTheme="minorEastAsia" w:cstheme="minorEastAsia"/>
          <w:bCs/>
          <w:kern w:val="0"/>
          <w:szCs w:val="30"/>
        </w:rPr>
        <w:t xml:space="preserve">一、 </w:t>
      </w:r>
      <w:r>
        <w:rPr>
          <w:rFonts w:hint="eastAsia"/>
        </w:rPr>
        <w:t>国际原油市场回顾 </w:t>
      </w:r>
      <w:r>
        <w:tab/>
      </w:r>
      <w:r>
        <w:fldChar w:fldCharType="begin"/>
      </w:r>
      <w:r>
        <w:instrText xml:space="preserve"> PAGEREF _Toc32272 </w:instrText>
      </w:r>
      <w:r>
        <w:fldChar w:fldCharType="separate"/>
      </w:r>
      <w:r>
        <w:t>3</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_Toc6297 </w:instrText>
      </w:r>
      <w:r>
        <w:rPr>
          <w:rFonts w:hint="eastAsia" w:ascii="宋体" w:hAnsi="宋体" w:eastAsia="宋体" w:cs="宋体"/>
          <w:szCs w:val="21"/>
        </w:rPr>
        <w:fldChar w:fldCharType="separate"/>
      </w:r>
      <w:r>
        <w:rPr>
          <w:rFonts w:hint="eastAsia" w:ascii="宋体" w:hAnsi="宋体"/>
          <w:szCs w:val="30"/>
          <w:highlight w:val="none"/>
          <w:lang w:val="en-US" w:eastAsia="zh-CN"/>
        </w:rPr>
        <w:t>1、国际原油收盘价涨跌情况（单位：美元/桶）</w:t>
      </w:r>
      <w:r>
        <w:tab/>
      </w:r>
      <w:r>
        <w:fldChar w:fldCharType="begin"/>
      </w:r>
      <w:r>
        <w:instrText xml:space="preserve"> PAGEREF _Toc6297 </w:instrText>
      </w:r>
      <w:r>
        <w:fldChar w:fldCharType="separate"/>
      </w:r>
      <w:r>
        <w:t>3</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_Toc5501 </w:instrText>
      </w:r>
      <w:r>
        <w:rPr>
          <w:rFonts w:hint="eastAsia" w:ascii="宋体" w:hAnsi="宋体" w:eastAsia="宋体" w:cs="宋体"/>
          <w:szCs w:val="21"/>
        </w:rPr>
        <w:fldChar w:fldCharType="separate"/>
      </w:r>
      <w:r>
        <w:rPr>
          <w:rFonts w:hint="eastAsia" w:ascii="宋体" w:hAnsi="宋体"/>
          <w:szCs w:val="30"/>
          <w:highlight w:val="none"/>
          <w:lang w:val="en-US" w:eastAsia="zh-CN"/>
        </w:rPr>
        <w:t>2.2021年国际原油价格走势图</w:t>
      </w:r>
      <w:r>
        <w:tab/>
      </w:r>
      <w:r>
        <w:fldChar w:fldCharType="begin"/>
      </w:r>
      <w:r>
        <w:instrText xml:space="preserve"> PAGEREF _Toc5501 </w:instrText>
      </w:r>
      <w:r>
        <w:fldChar w:fldCharType="separate"/>
      </w:r>
      <w:r>
        <w:t>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_Toc16647 </w:instrText>
      </w:r>
      <w:r>
        <w:rPr>
          <w:rFonts w:hint="eastAsia" w:ascii="宋体" w:hAnsi="宋体" w:eastAsia="宋体" w:cs="宋体"/>
          <w:szCs w:val="21"/>
        </w:rPr>
        <w:fldChar w:fldCharType="separate"/>
      </w:r>
      <w:r>
        <w:rPr>
          <w:rFonts w:hint="eastAsia" w:ascii="宋体" w:hAnsi="宋体"/>
          <w:szCs w:val="30"/>
          <w:highlight w:val="none"/>
          <w:lang w:val="en-US" w:eastAsia="zh-CN"/>
        </w:rPr>
        <w:t>2.1近期影响国际原油市场的主要因素</w:t>
      </w:r>
      <w:r>
        <w:tab/>
      </w:r>
      <w:r>
        <w:fldChar w:fldCharType="begin"/>
      </w:r>
      <w:r>
        <w:instrText xml:space="preserve"> PAGEREF _Toc16647 </w:instrText>
      </w:r>
      <w:r>
        <w:fldChar w:fldCharType="separate"/>
      </w:r>
      <w:r>
        <w:t>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_Toc184 </w:instrText>
      </w:r>
      <w:r>
        <w:rPr>
          <w:rFonts w:hint="eastAsia" w:ascii="宋体" w:hAnsi="宋体" w:eastAsia="宋体" w:cs="宋体"/>
          <w:szCs w:val="21"/>
        </w:rPr>
        <w:fldChar w:fldCharType="separate"/>
      </w:r>
      <w:r>
        <w:rPr>
          <w:rFonts w:hint="eastAsia" w:ascii="宋体" w:hAnsi="宋体"/>
          <w:szCs w:val="30"/>
          <w:highlight w:val="none"/>
          <w:lang w:val="en-US" w:eastAsia="zh-CN"/>
        </w:rPr>
        <w:t>1.美国原油库存情况</w:t>
      </w:r>
      <w:r>
        <w:tab/>
      </w:r>
      <w:r>
        <w:fldChar w:fldCharType="begin"/>
      </w:r>
      <w:r>
        <w:instrText xml:space="preserve"> PAGEREF _Toc184 </w:instrText>
      </w:r>
      <w:r>
        <w:fldChar w:fldCharType="separate"/>
      </w:r>
      <w:r>
        <w:t>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_Toc16360 </w:instrText>
      </w:r>
      <w:r>
        <w:rPr>
          <w:rFonts w:hint="eastAsia" w:ascii="宋体" w:hAnsi="宋体" w:eastAsia="宋体" w:cs="宋体"/>
          <w:szCs w:val="21"/>
        </w:rPr>
        <w:fldChar w:fldCharType="separate"/>
      </w:r>
      <w:r>
        <w:rPr>
          <w:rFonts w:hint="eastAsia" w:ascii="宋体" w:hAnsi="宋体"/>
          <w:szCs w:val="30"/>
          <w:highlight w:val="none"/>
          <w:lang w:val="en-US" w:eastAsia="zh-CN"/>
        </w:rPr>
        <w:t>2.美国经济形势</w:t>
      </w:r>
      <w:r>
        <w:tab/>
      </w:r>
      <w:r>
        <w:fldChar w:fldCharType="begin"/>
      </w:r>
      <w:r>
        <w:instrText xml:space="preserve"> PAGEREF _Toc16360 </w:instrText>
      </w:r>
      <w:r>
        <w:fldChar w:fldCharType="separate"/>
      </w:r>
      <w:r>
        <w:t>5</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_Toc30724 </w:instrText>
      </w:r>
      <w:r>
        <w:rPr>
          <w:rFonts w:hint="eastAsia" w:ascii="宋体" w:hAnsi="宋体" w:eastAsia="宋体" w:cs="宋体"/>
          <w:szCs w:val="21"/>
        </w:rPr>
        <w:fldChar w:fldCharType="separate"/>
      </w:r>
      <w:r>
        <w:rPr>
          <w:rFonts w:hint="eastAsia" w:ascii="宋体" w:hAnsi="宋体"/>
          <w:szCs w:val="30"/>
          <w:highlight w:val="none"/>
          <w:lang w:val="en-US" w:eastAsia="zh-CN"/>
        </w:rPr>
        <w:t>3.世界经济形势</w:t>
      </w:r>
      <w:r>
        <w:tab/>
      </w:r>
      <w:r>
        <w:fldChar w:fldCharType="begin"/>
      </w:r>
      <w:r>
        <w:instrText xml:space="preserve"> PAGEREF _Toc30724 </w:instrText>
      </w:r>
      <w:r>
        <w:fldChar w:fldCharType="separate"/>
      </w:r>
      <w:r>
        <w:t>10</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_Toc23898 </w:instrText>
      </w:r>
      <w:r>
        <w:rPr>
          <w:rFonts w:hint="eastAsia" w:ascii="宋体" w:hAnsi="宋体" w:eastAsia="宋体" w:cs="宋体"/>
          <w:szCs w:val="21"/>
        </w:rPr>
        <w:fldChar w:fldCharType="separate"/>
      </w:r>
      <w:r>
        <w:rPr>
          <w:rFonts w:hint="eastAsia" w:ascii="宋体" w:hAnsi="宋体"/>
          <w:szCs w:val="30"/>
          <w:highlight w:val="none"/>
          <w:lang w:val="en-US" w:eastAsia="zh-CN"/>
        </w:rPr>
        <w:t>4后市预测</w:t>
      </w:r>
      <w:r>
        <w:tab/>
      </w:r>
      <w:r>
        <w:fldChar w:fldCharType="begin"/>
      </w:r>
      <w:r>
        <w:instrText xml:space="preserve"> PAGEREF _Toc23898 </w:instrText>
      </w:r>
      <w:r>
        <w:fldChar w:fldCharType="separate"/>
      </w:r>
      <w:r>
        <w:t>15</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_Toc30787 </w:instrText>
      </w:r>
      <w:r>
        <w:rPr>
          <w:rFonts w:hint="eastAsia" w:ascii="宋体" w:hAnsi="宋体" w:eastAsia="宋体" w:cs="宋体"/>
          <w:szCs w:val="21"/>
        </w:rPr>
        <w:fldChar w:fldCharType="separate"/>
      </w:r>
      <w:r>
        <w:rPr>
          <w:rFonts w:hint="eastAsia" w:ascii="宋体" w:hAnsi="宋体"/>
          <w:szCs w:val="30"/>
          <w:highlight w:val="none"/>
        </w:rPr>
        <w:t>2.2国际市场MTBE价格</w:t>
      </w:r>
      <w:r>
        <w:tab/>
      </w:r>
      <w:r>
        <w:fldChar w:fldCharType="begin"/>
      </w:r>
      <w:r>
        <w:instrText xml:space="preserve"> PAGEREF _Toc30787 </w:instrText>
      </w:r>
      <w:r>
        <w:fldChar w:fldCharType="separate"/>
      </w:r>
      <w:r>
        <w:t>16</w:t>
      </w:r>
      <w:r>
        <w:fldChar w:fldCharType="end"/>
      </w:r>
      <w:r>
        <w:rPr>
          <w:rFonts w:hint="eastAsia" w:ascii="宋体" w:hAnsi="宋体" w:eastAsia="宋体" w:cs="宋体"/>
          <w:color w:val="000000"/>
          <w:szCs w:val="21"/>
        </w:rPr>
        <w:fldChar w:fldCharType="end"/>
      </w:r>
    </w:p>
    <w:p>
      <w:pPr>
        <w:pStyle w:val="16"/>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_Toc11000 </w:instrText>
      </w:r>
      <w:r>
        <w:rPr>
          <w:rFonts w:hint="eastAsia" w:ascii="宋体" w:hAnsi="宋体" w:eastAsia="宋体" w:cs="宋体"/>
          <w:szCs w:val="21"/>
        </w:rPr>
        <w:fldChar w:fldCharType="separate"/>
      </w:r>
      <w:r>
        <w:rPr>
          <w:rFonts w:hint="eastAsia"/>
          <w:lang w:eastAsia="zh-CN"/>
        </w:rPr>
        <w:t>三、</w:t>
      </w:r>
      <w:r>
        <w:rPr>
          <w:rFonts w:hint="eastAsia"/>
        </w:rPr>
        <w:t>本周国内市场</w:t>
      </w:r>
      <w:r>
        <w:tab/>
      </w:r>
      <w:r>
        <w:fldChar w:fldCharType="begin"/>
      </w:r>
      <w:r>
        <w:instrText xml:space="preserve"> PAGEREF _Toc11000 </w:instrText>
      </w:r>
      <w:r>
        <w:fldChar w:fldCharType="separate"/>
      </w:r>
      <w:r>
        <w:t>16</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_Toc7167 </w:instrText>
      </w:r>
      <w:r>
        <w:rPr>
          <w:rFonts w:hint="eastAsia" w:ascii="宋体" w:hAnsi="宋体" w:eastAsia="宋体" w:cs="宋体"/>
          <w:szCs w:val="21"/>
        </w:rPr>
        <w:fldChar w:fldCharType="separate"/>
      </w:r>
      <w:r>
        <w:rPr>
          <w:rFonts w:hint="eastAsia" w:ascii="宋体" w:hAnsi="宋体"/>
          <w:szCs w:val="30"/>
          <w:highlight w:val="none"/>
        </w:rPr>
        <w:t>3.1 国内炼厂装置运行情况</w:t>
      </w:r>
      <w:r>
        <w:tab/>
      </w:r>
      <w:r>
        <w:fldChar w:fldCharType="begin"/>
      </w:r>
      <w:r>
        <w:instrText xml:space="preserve"> PAGEREF _Toc7167 </w:instrText>
      </w:r>
      <w:r>
        <w:fldChar w:fldCharType="separate"/>
      </w:r>
      <w:r>
        <w:t>16</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_Toc13096 </w:instrText>
      </w:r>
      <w:r>
        <w:rPr>
          <w:rFonts w:hint="eastAsia" w:ascii="宋体" w:hAnsi="宋体" w:eastAsia="宋体" w:cs="宋体"/>
          <w:szCs w:val="21"/>
        </w:rPr>
        <w:fldChar w:fldCharType="separate"/>
      </w:r>
      <w:r>
        <w:rPr>
          <w:rFonts w:hint="eastAsia" w:ascii="宋体" w:hAnsi="宋体"/>
          <w:szCs w:val="30"/>
          <w:highlight w:val="none"/>
        </w:rPr>
        <w:t>3.2本周成品油市场行情</w:t>
      </w:r>
      <w:r>
        <w:tab/>
      </w:r>
      <w:r>
        <w:fldChar w:fldCharType="begin"/>
      </w:r>
      <w:r>
        <w:instrText xml:space="preserve"> PAGEREF _Toc13096 </w:instrText>
      </w:r>
      <w:r>
        <w:fldChar w:fldCharType="separate"/>
      </w:r>
      <w:r>
        <w:t>18</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_Toc24031 </w:instrText>
      </w:r>
      <w:r>
        <w:rPr>
          <w:rFonts w:hint="eastAsia" w:ascii="宋体" w:hAnsi="宋体" w:eastAsia="宋体" w:cs="宋体"/>
          <w:szCs w:val="21"/>
        </w:rPr>
        <w:fldChar w:fldCharType="separate"/>
      </w:r>
      <w:r>
        <w:rPr>
          <w:rFonts w:hint="eastAsia" w:ascii="宋体" w:hAnsi="宋体"/>
          <w:szCs w:val="30"/>
        </w:rPr>
        <w:t>3.3 国内汽油价格周报</w:t>
      </w:r>
      <w:r>
        <w:tab/>
      </w:r>
      <w:r>
        <w:fldChar w:fldCharType="begin"/>
      </w:r>
      <w:r>
        <w:instrText xml:space="preserve"> PAGEREF _Toc24031 </w:instrText>
      </w:r>
      <w:r>
        <w:fldChar w:fldCharType="separate"/>
      </w:r>
      <w:r>
        <w:t>21</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_Toc16466 </w:instrText>
      </w:r>
      <w:r>
        <w:rPr>
          <w:rFonts w:hint="eastAsia" w:ascii="宋体" w:hAnsi="宋体" w:eastAsia="宋体" w:cs="宋体"/>
          <w:szCs w:val="21"/>
        </w:rPr>
        <w:fldChar w:fldCharType="separate"/>
      </w:r>
      <w:r>
        <w:rPr>
          <w:rFonts w:hint="eastAsia" w:ascii="宋体" w:hAnsi="宋体"/>
          <w:szCs w:val="30"/>
          <w:lang w:val="en-US" w:eastAsia="zh-CN"/>
        </w:rPr>
        <w:t>3.4国内柴油价格周报</w:t>
      </w:r>
      <w:r>
        <w:tab/>
      </w:r>
      <w:r>
        <w:fldChar w:fldCharType="begin"/>
      </w:r>
      <w:r>
        <w:instrText xml:space="preserve"> PAGEREF _Toc16466 </w:instrText>
      </w:r>
      <w:r>
        <w:fldChar w:fldCharType="separate"/>
      </w:r>
      <w:r>
        <w:t>25</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_Toc6052 </w:instrText>
      </w:r>
      <w:r>
        <w:rPr>
          <w:rFonts w:hint="eastAsia" w:ascii="宋体" w:hAnsi="宋体" w:eastAsia="宋体" w:cs="宋体"/>
          <w:szCs w:val="21"/>
        </w:rPr>
        <w:fldChar w:fldCharType="separate"/>
      </w:r>
      <w:r>
        <w:rPr>
          <w:rFonts w:hint="eastAsia" w:ascii="宋体" w:hAnsi="宋体"/>
          <w:szCs w:val="30"/>
          <w:lang w:val="en-US" w:eastAsia="zh-CN"/>
        </w:rPr>
        <w:t>3.5 山东地炼汽油出厂价格周报</w:t>
      </w:r>
      <w:r>
        <w:tab/>
      </w:r>
      <w:r>
        <w:fldChar w:fldCharType="begin"/>
      </w:r>
      <w:r>
        <w:instrText xml:space="preserve"> PAGEREF _Toc6052 </w:instrText>
      </w:r>
      <w:r>
        <w:fldChar w:fldCharType="separate"/>
      </w:r>
      <w:r>
        <w:t>27</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_Toc25179 </w:instrText>
      </w:r>
      <w:r>
        <w:rPr>
          <w:rFonts w:hint="eastAsia" w:ascii="宋体" w:hAnsi="宋体" w:eastAsia="宋体" w:cs="宋体"/>
          <w:szCs w:val="21"/>
        </w:rPr>
        <w:fldChar w:fldCharType="separate"/>
      </w:r>
      <w:r>
        <w:rPr>
          <w:rFonts w:hint="eastAsia" w:ascii="宋体" w:hAnsi="宋体"/>
          <w:szCs w:val="30"/>
          <w:lang w:val="en-US" w:eastAsia="zh-CN"/>
        </w:rPr>
        <w:t>3.6 山东地炼柴油出厂价格周报</w:t>
      </w:r>
      <w:r>
        <w:tab/>
      </w:r>
      <w:r>
        <w:fldChar w:fldCharType="begin"/>
      </w:r>
      <w:r>
        <w:instrText xml:space="preserve"> PAGEREF _Toc25179 </w:instrText>
      </w:r>
      <w:r>
        <w:fldChar w:fldCharType="separate"/>
      </w:r>
      <w:r>
        <w:t>29</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_Toc27167 </w:instrText>
      </w:r>
      <w:r>
        <w:rPr>
          <w:rFonts w:hint="eastAsia" w:ascii="宋体" w:hAnsi="宋体" w:eastAsia="宋体" w:cs="宋体"/>
          <w:szCs w:val="21"/>
        </w:rPr>
        <w:fldChar w:fldCharType="separate"/>
      </w:r>
      <w:r>
        <w:rPr>
          <w:rFonts w:hint="eastAsia" w:ascii="宋体" w:hAnsi="宋体"/>
          <w:szCs w:val="30"/>
          <w:lang w:val="en-US" w:eastAsia="zh-CN"/>
        </w:rPr>
        <w:t>四、2021年3月份进出口统计数据</w:t>
      </w:r>
      <w:r>
        <w:tab/>
      </w:r>
      <w:r>
        <w:fldChar w:fldCharType="begin"/>
      </w:r>
      <w:r>
        <w:instrText xml:space="preserve"> PAGEREF _Toc27167 </w:instrText>
      </w:r>
      <w:r>
        <w:fldChar w:fldCharType="separate"/>
      </w:r>
      <w:r>
        <w:t>31</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_Toc19791 </w:instrText>
      </w:r>
      <w:r>
        <w:rPr>
          <w:rFonts w:hint="eastAsia" w:ascii="宋体" w:hAnsi="宋体" w:eastAsia="宋体" w:cs="宋体"/>
          <w:szCs w:val="21"/>
        </w:rPr>
        <w:fldChar w:fldCharType="separate"/>
      </w:r>
      <w:r>
        <w:rPr>
          <w:rFonts w:hint="eastAsia" w:ascii="宋体" w:hAnsi="宋体"/>
          <w:szCs w:val="30"/>
        </w:rPr>
        <w:t>4.1 20</w:t>
      </w:r>
      <w:r>
        <w:rPr>
          <w:rFonts w:hint="eastAsia" w:ascii="宋体" w:hAnsi="宋体"/>
          <w:szCs w:val="30"/>
          <w:lang w:val="en-US" w:eastAsia="zh-CN"/>
        </w:rPr>
        <w:t>21</w:t>
      </w:r>
      <w:r>
        <w:rPr>
          <w:rFonts w:hint="eastAsia" w:ascii="宋体" w:hAnsi="宋体"/>
          <w:szCs w:val="30"/>
        </w:rPr>
        <w:t>年</w:t>
      </w:r>
      <w:r>
        <w:rPr>
          <w:rFonts w:hint="eastAsia" w:ascii="宋体" w:hAnsi="宋体"/>
          <w:szCs w:val="30"/>
          <w:lang w:val="en-US" w:eastAsia="zh-CN"/>
        </w:rPr>
        <w:t>3</w:t>
      </w:r>
      <w:r>
        <w:rPr>
          <w:rFonts w:hint="eastAsia" w:ascii="宋体" w:hAnsi="宋体"/>
          <w:szCs w:val="30"/>
        </w:rPr>
        <w:t>份全国车用汽油</w:t>
      </w:r>
      <w:r>
        <w:rPr>
          <w:rFonts w:hint="eastAsia" w:ascii="宋体" w:hAnsi="宋体"/>
          <w:szCs w:val="30"/>
          <w:lang w:eastAsia="zh-CN"/>
        </w:rPr>
        <w:t>进</w:t>
      </w:r>
      <w:r>
        <w:rPr>
          <w:rFonts w:hint="eastAsia" w:ascii="宋体" w:hAnsi="宋体"/>
          <w:szCs w:val="30"/>
        </w:rPr>
        <w:t>出口统计数据</w:t>
      </w:r>
      <w:r>
        <w:tab/>
      </w:r>
      <w:r>
        <w:fldChar w:fldCharType="begin"/>
      </w:r>
      <w:r>
        <w:instrText xml:space="preserve"> PAGEREF _Toc19791 </w:instrText>
      </w:r>
      <w:r>
        <w:fldChar w:fldCharType="separate"/>
      </w:r>
      <w:r>
        <w:t>31</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_Toc23995 </w:instrText>
      </w:r>
      <w:r>
        <w:rPr>
          <w:rFonts w:hint="eastAsia" w:ascii="宋体" w:hAnsi="宋体" w:eastAsia="宋体" w:cs="宋体"/>
          <w:szCs w:val="21"/>
        </w:rPr>
        <w:fldChar w:fldCharType="separate"/>
      </w:r>
      <w:r>
        <w:rPr>
          <w:rFonts w:hint="eastAsia" w:ascii="宋体" w:hAnsi="宋体"/>
          <w:szCs w:val="30"/>
        </w:rPr>
        <w:t>4.2 20</w:t>
      </w:r>
      <w:r>
        <w:rPr>
          <w:rFonts w:hint="eastAsia" w:ascii="宋体" w:hAnsi="宋体"/>
          <w:szCs w:val="30"/>
          <w:lang w:val="en-US" w:eastAsia="zh-CN"/>
        </w:rPr>
        <w:t>21</w:t>
      </w:r>
      <w:r>
        <w:rPr>
          <w:rFonts w:hint="eastAsia" w:ascii="宋体" w:hAnsi="宋体"/>
          <w:szCs w:val="30"/>
        </w:rPr>
        <w:t>年</w:t>
      </w:r>
      <w:r>
        <w:rPr>
          <w:rFonts w:hint="eastAsia" w:ascii="宋体" w:hAnsi="宋体"/>
          <w:szCs w:val="30"/>
          <w:lang w:val="en-US" w:eastAsia="zh-CN"/>
        </w:rPr>
        <w:t>3</w:t>
      </w:r>
      <w:r>
        <w:rPr>
          <w:rFonts w:hint="eastAsia" w:ascii="宋体" w:hAnsi="宋体"/>
          <w:szCs w:val="30"/>
        </w:rPr>
        <w:t>月份全国柴油出口统计数据</w:t>
      </w:r>
      <w:r>
        <w:tab/>
      </w:r>
      <w:r>
        <w:fldChar w:fldCharType="begin"/>
      </w:r>
      <w:r>
        <w:instrText xml:space="preserve"> PAGEREF _Toc23995 </w:instrText>
      </w:r>
      <w:r>
        <w:fldChar w:fldCharType="separate"/>
      </w:r>
      <w:r>
        <w:t>34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_Toc16942 </w:instrText>
      </w:r>
      <w:r>
        <w:rPr>
          <w:rFonts w:hint="eastAsia" w:ascii="宋体" w:hAnsi="宋体" w:eastAsia="宋体" w:cs="宋体"/>
          <w:szCs w:val="21"/>
        </w:rPr>
        <w:fldChar w:fldCharType="separate"/>
      </w:r>
      <w:r>
        <w:rPr>
          <w:rFonts w:hint="eastAsia" w:ascii="宋体" w:hAnsi="宋体"/>
          <w:szCs w:val="30"/>
        </w:rPr>
        <w:t>4.3 20</w:t>
      </w:r>
      <w:r>
        <w:rPr>
          <w:rFonts w:hint="eastAsia" w:ascii="宋体" w:hAnsi="宋体"/>
          <w:szCs w:val="30"/>
          <w:lang w:val="en-US" w:eastAsia="zh-CN"/>
        </w:rPr>
        <w:t>21</w:t>
      </w:r>
      <w:r>
        <w:rPr>
          <w:rFonts w:hint="eastAsia" w:ascii="宋体" w:hAnsi="宋体"/>
          <w:szCs w:val="30"/>
        </w:rPr>
        <w:t>年</w:t>
      </w:r>
      <w:r>
        <w:rPr>
          <w:rFonts w:hint="eastAsia" w:ascii="宋体" w:hAnsi="宋体"/>
          <w:szCs w:val="30"/>
          <w:lang w:val="en-US" w:eastAsia="zh-CN"/>
        </w:rPr>
        <w:t>3</w:t>
      </w:r>
      <w:r>
        <w:rPr>
          <w:rFonts w:hint="eastAsia" w:ascii="宋体" w:hAnsi="宋体"/>
          <w:szCs w:val="30"/>
        </w:rPr>
        <w:t>月份全国原油进出口统计数据</w:t>
      </w:r>
      <w:r>
        <w:tab/>
      </w:r>
      <w:r>
        <w:fldChar w:fldCharType="begin"/>
      </w:r>
      <w:r>
        <w:instrText xml:space="preserve"> PAGEREF _Toc16942 </w:instrText>
      </w:r>
      <w:r>
        <w:fldChar w:fldCharType="separate"/>
      </w:r>
      <w:r>
        <w:t>35</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_Toc18589 </w:instrText>
      </w:r>
      <w:r>
        <w:rPr>
          <w:rFonts w:hint="eastAsia" w:ascii="宋体" w:hAnsi="宋体" w:eastAsia="宋体" w:cs="宋体"/>
          <w:szCs w:val="21"/>
        </w:rPr>
        <w:fldChar w:fldCharType="separate"/>
      </w:r>
      <w:r>
        <w:rPr>
          <w:rFonts w:hint="eastAsia" w:ascii="宋体" w:hAnsi="宋体"/>
          <w:szCs w:val="30"/>
        </w:rPr>
        <w:t>4.4 20</w:t>
      </w:r>
      <w:r>
        <w:rPr>
          <w:rFonts w:hint="eastAsia" w:ascii="宋体" w:hAnsi="宋体"/>
          <w:szCs w:val="30"/>
          <w:lang w:val="en-US" w:eastAsia="zh-CN"/>
        </w:rPr>
        <w:t>21</w:t>
      </w:r>
      <w:r>
        <w:rPr>
          <w:rFonts w:hint="eastAsia" w:ascii="宋体" w:hAnsi="宋体"/>
          <w:szCs w:val="30"/>
        </w:rPr>
        <w:t>年</w:t>
      </w:r>
      <w:r>
        <w:rPr>
          <w:rFonts w:hint="eastAsia" w:ascii="宋体" w:hAnsi="宋体"/>
          <w:szCs w:val="30"/>
          <w:lang w:val="en-US" w:eastAsia="zh-CN"/>
        </w:rPr>
        <w:t>3</w:t>
      </w:r>
      <w:r>
        <w:rPr>
          <w:rFonts w:hint="eastAsia" w:ascii="宋体" w:hAnsi="宋体"/>
          <w:szCs w:val="30"/>
        </w:rPr>
        <w:t>月份航空煤油进出口统计数据</w:t>
      </w:r>
      <w:r>
        <w:tab/>
      </w:r>
      <w:r>
        <w:fldChar w:fldCharType="begin"/>
      </w:r>
      <w:r>
        <w:instrText xml:space="preserve"> PAGEREF _Toc18589 </w:instrText>
      </w:r>
      <w:r>
        <w:fldChar w:fldCharType="separate"/>
      </w:r>
      <w:r>
        <w:t>36</w:t>
      </w:r>
      <w:r>
        <w:fldChar w:fldCharType="end"/>
      </w:r>
      <w:r>
        <w:rPr>
          <w:rFonts w:hint="eastAsia" w:ascii="宋体" w:hAnsi="宋体" w:eastAsia="宋体" w:cs="宋体"/>
          <w:color w:val="000000"/>
          <w:szCs w:val="21"/>
        </w:rPr>
        <w:fldChar w:fldCharType="end"/>
      </w:r>
    </w:p>
    <w:p>
      <w:pPr>
        <w:pStyle w:val="16"/>
        <w:tabs>
          <w:tab w:val="right" w:leader="dot" w:pos="9746"/>
          <w:tab w:val="clear" w:pos="9170"/>
        </w:tabs>
        <w:rPr>
          <w:rFonts w:hint="eastAsia" w:ascii="宋体" w:hAnsi="宋体" w:eastAsia="宋体" w:cs="宋体"/>
          <w:color w:val="000000"/>
          <w:sz w:val="24"/>
          <w:szCs w:val="21"/>
        </w:rPr>
      </w:pPr>
      <w:r>
        <w:rPr>
          <w:rFonts w:hint="eastAsia" w:ascii="宋体" w:hAnsi="宋体" w:eastAsia="宋体" w:cs="宋体"/>
          <w:color w:val="000000"/>
          <w:szCs w:val="21"/>
        </w:rPr>
        <w:fldChar w:fldCharType="end"/>
      </w:r>
    </w:p>
    <w:p>
      <w:pPr>
        <w:pStyle w:val="16"/>
        <w:tabs>
          <w:tab w:val="right" w:leader="dot" w:pos="9746"/>
          <w:tab w:val="clear" w:pos="9170"/>
        </w:tabs>
        <w:rPr>
          <w:rFonts w:hint="eastAsia" w:ascii="宋体" w:hAnsi="宋体" w:eastAsia="宋体" w:cs="宋体"/>
          <w:color w:val="000000"/>
          <w:sz w:val="24"/>
          <w:szCs w:val="21"/>
        </w:rPr>
      </w:pP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
    <w:p/>
    <w:p/>
    <w:p/>
    <w:p>
      <w:pPr>
        <w:pStyle w:val="2"/>
        <w:numPr>
          <w:ilvl w:val="0"/>
          <w:numId w:val="1"/>
        </w:numPr>
        <w:spacing w:before="120" w:after="0" w:line="240" w:lineRule="auto"/>
        <w:rPr>
          <w:rFonts w:hint="eastAsia" w:asciiTheme="minorEastAsia" w:hAnsiTheme="minorEastAsia" w:eastAsiaTheme="minorEastAsia" w:cstheme="minorEastAsia"/>
          <w:b/>
          <w:bCs/>
          <w:kern w:val="0"/>
          <w:sz w:val="30"/>
          <w:szCs w:val="30"/>
        </w:rPr>
      </w:pPr>
      <w:bookmarkStart w:id="0" w:name="_Toc32272"/>
      <w:r>
        <w:rPr>
          <w:rFonts w:hint="eastAsia"/>
        </w:rPr>
        <w:t>国际原油市场回顾 </w:t>
      </w:r>
      <w:bookmarkEnd w:id="0"/>
    </w:p>
    <w:p>
      <w:pPr>
        <w:pStyle w:val="3"/>
        <w:spacing w:before="120" w:after="120" w:line="240" w:lineRule="auto"/>
        <w:rPr>
          <w:rFonts w:hint="eastAsia" w:ascii="宋体" w:hAnsi="宋体"/>
          <w:b/>
          <w:sz w:val="30"/>
          <w:szCs w:val="30"/>
          <w:highlight w:val="none"/>
          <w:lang w:val="en-US" w:eastAsia="zh-CN"/>
        </w:rPr>
      </w:pPr>
      <w:bookmarkStart w:id="1" w:name="_Toc66953452"/>
      <w:bookmarkStart w:id="2" w:name="_Toc6297"/>
      <w:r>
        <w:rPr>
          <w:rFonts w:hint="eastAsia" w:ascii="宋体" w:hAnsi="宋体"/>
          <w:b/>
          <w:sz w:val="30"/>
          <w:szCs w:val="30"/>
          <w:highlight w:val="none"/>
          <w:lang w:val="en-US" w:eastAsia="zh-CN"/>
        </w:rPr>
        <w:t>1、</w:t>
      </w:r>
      <w:bookmarkEnd w:id="1"/>
      <w:bookmarkStart w:id="3" w:name="_Toc67556952"/>
      <w:r>
        <w:rPr>
          <w:rFonts w:hint="eastAsia" w:ascii="宋体" w:hAnsi="宋体"/>
          <w:b/>
          <w:sz w:val="30"/>
          <w:szCs w:val="30"/>
          <w:highlight w:val="none"/>
          <w:lang w:val="en-US" w:eastAsia="zh-CN"/>
        </w:rPr>
        <w:t>国际原油收盘价涨跌情况（单位：美元/桶）</w:t>
      </w:r>
      <w:bookmarkEnd w:id="2"/>
      <w:bookmarkEnd w:id="3"/>
    </w:p>
    <w:tbl>
      <w:tblPr>
        <w:tblStyle w:val="24"/>
        <w:tblW w:w="8662" w:type="dxa"/>
        <w:jc w:val="center"/>
        <w:tblLayout w:type="fixed"/>
        <w:tblCellMar>
          <w:top w:w="15" w:type="dxa"/>
          <w:left w:w="15" w:type="dxa"/>
          <w:bottom w:w="15" w:type="dxa"/>
          <w:right w:w="15" w:type="dxa"/>
        </w:tblCellMar>
      </w:tblPr>
      <w:tblGrid>
        <w:gridCol w:w="1291"/>
        <w:gridCol w:w="965"/>
        <w:gridCol w:w="1050"/>
        <w:gridCol w:w="5356"/>
      </w:tblGrid>
      <w:tr>
        <w:tblPrEx>
          <w:tblCellMar>
            <w:top w:w="15" w:type="dxa"/>
            <w:left w:w="15" w:type="dxa"/>
            <w:bottom w:w="15" w:type="dxa"/>
            <w:right w:w="15" w:type="dxa"/>
          </w:tblCellMar>
        </w:tblPrEx>
        <w:trPr>
          <w:trHeight w:val="286"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日期</w:t>
            </w:r>
          </w:p>
        </w:tc>
        <w:tc>
          <w:tcPr>
            <w:tcW w:w="965"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纽交所</w:t>
            </w:r>
          </w:p>
        </w:tc>
        <w:tc>
          <w:tcPr>
            <w:tcW w:w="1050"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伦交所</w:t>
            </w:r>
          </w:p>
        </w:tc>
        <w:tc>
          <w:tcPr>
            <w:tcW w:w="5356"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kern w:val="0"/>
                <w:sz w:val="28"/>
                <w:szCs w:val="28"/>
                <w:lang w:bidi="ar"/>
              </w:rPr>
              <w:t>影响因素</w:t>
            </w:r>
          </w:p>
        </w:tc>
      </w:tr>
      <w:tr>
        <w:tblPrEx>
          <w:tblCellMar>
            <w:top w:w="15" w:type="dxa"/>
            <w:left w:w="15" w:type="dxa"/>
            <w:bottom w:w="15" w:type="dxa"/>
            <w:right w:w="15" w:type="dxa"/>
          </w:tblCellMar>
        </w:tblPrEx>
        <w:trPr>
          <w:trHeight w:val="600"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2021/4/29</w:t>
            </w:r>
          </w:p>
        </w:tc>
        <w:tc>
          <w:tcPr>
            <w:tcW w:w="9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65.01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68.56</w:t>
            </w:r>
          </w:p>
        </w:tc>
        <w:tc>
          <w:tcPr>
            <w:tcW w:w="5356"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原油收盘上涨，对疫苗缓解疫情以及需求前景乐观情绪盖过了市场对印度疫情的担忧。</w:t>
            </w:r>
          </w:p>
        </w:tc>
      </w:tr>
      <w:tr>
        <w:tblPrEx>
          <w:tblCellMar>
            <w:top w:w="15" w:type="dxa"/>
            <w:left w:w="15" w:type="dxa"/>
            <w:bottom w:w="15" w:type="dxa"/>
            <w:right w:w="15" w:type="dxa"/>
          </w:tblCellMar>
        </w:tblPrEx>
        <w:trPr>
          <w:trHeight w:val="540"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2021/4/30</w:t>
            </w:r>
          </w:p>
        </w:tc>
        <w:tc>
          <w:tcPr>
            <w:tcW w:w="9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63.58</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67.25</w:t>
            </w:r>
          </w:p>
        </w:tc>
        <w:tc>
          <w:tcPr>
            <w:tcW w:w="5356"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原油收盘下跌，受印度需求疑虑打压,市场对印度和巴西疫情防控的担忧冲抵经济反弹等利好因素。</w:t>
            </w:r>
          </w:p>
        </w:tc>
      </w:tr>
      <w:tr>
        <w:tblPrEx>
          <w:tblCellMar>
            <w:top w:w="15" w:type="dxa"/>
            <w:left w:w="15" w:type="dxa"/>
            <w:bottom w:w="15" w:type="dxa"/>
            <w:right w:w="15" w:type="dxa"/>
          </w:tblCellMar>
        </w:tblPrEx>
        <w:trPr>
          <w:trHeight w:val="570"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2021/5/3</w:t>
            </w:r>
          </w:p>
        </w:tc>
        <w:tc>
          <w:tcPr>
            <w:tcW w:w="9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64.49</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67.56</w:t>
            </w:r>
          </w:p>
        </w:tc>
        <w:tc>
          <w:tcPr>
            <w:tcW w:w="5356" w:type="dxa"/>
            <w:tcBorders>
              <w:top w:val="single" w:color="000000" w:sz="4" w:space="0"/>
              <w:left w:val="single" w:color="000000" w:sz="4" w:space="0"/>
              <w:bottom w:val="single" w:color="000000" w:sz="4" w:space="0"/>
              <w:right w:val="single" w:color="000000" w:sz="4" w:space="0"/>
            </w:tcBorders>
            <w:noWrap w:val="0"/>
            <w:vAlign w:val="center"/>
          </w:tcPr>
          <w:p>
            <w:pPr>
              <w:pStyle w:val="2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原油收盘上涨，市场乐观看待中国和美国等国家需求前景，这冲抵了印度新冠疫情肆虐以及OPEC+供应增多的影响。</w:t>
            </w:r>
          </w:p>
        </w:tc>
      </w:tr>
      <w:tr>
        <w:tblPrEx>
          <w:tblCellMar>
            <w:top w:w="15" w:type="dxa"/>
            <w:left w:w="15" w:type="dxa"/>
            <w:bottom w:w="15" w:type="dxa"/>
            <w:right w:w="15" w:type="dxa"/>
          </w:tblCellMar>
        </w:tblPrEx>
        <w:trPr>
          <w:trHeight w:val="435"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2021/5/4</w:t>
            </w:r>
          </w:p>
        </w:tc>
        <w:tc>
          <w:tcPr>
            <w:tcW w:w="9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65.69</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68.88</w:t>
            </w:r>
          </w:p>
        </w:tc>
        <w:tc>
          <w:tcPr>
            <w:tcW w:w="5356" w:type="dxa"/>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原油收盘继续上涨，欧洲需求增长乐观,美国有更多州开始放松封锁,但印度新冠肺炎病例飙升限制增幅。API称上周美国原油库存大幅下降。</w:t>
            </w:r>
          </w:p>
        </w:tc>
      </w:tr>
      <w:tr>
        <w:tblPrEx>
          <w:tblCellMar>
            <w:top w:w="15" w:type="dxa"/>
            <w:left w:w="15" w:type="dxa"/>
            <w:bottom w:w="15" w:type="dxa"/>
            <w:right w:w="15" w:type="dxa"/>
          </w:tblCellMar>
        </w:tblPrEx>
        <w:trPr>
          <w:trHeight w:val="555" w:hRule="atLeast"/>
          <w:jc w:val="center"/>
        </w:trPr>
        <w:tc>
          <w:tcPr>
            <w:tcW w:w="129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2021/5/5</w:t>
            </w:r>
          </w:p>
        </w:tc>
        <w:tc>
          <w:tcPr>
            <w:tcW w:w="9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65.63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68.96</w:t>
            </w:r>
          </w:p>
        </w:tc>
        <w:tc>
          <w:tcPr>
            <w:tcW w:w="5356" w:type="dxa"/>
            <w:tcBorders>
              <w:top w:val="single" w:color="000000" w:sz="4" w:space="0"/>
              <w:left w:val="single" w:color="000000" w:sz="4" w:space="0"/>
              <w:bottom w:val="single" w:color="000000" w:sz="4" w:space="0"/>
              <w:right w:val="single" w:color="000000" w:sz="4" w:space="0"/>
            </w:tcBorders>
            <w:noWrap w:val="0"/>
            <w:vAlign w:val="bottom"/>
          </w:tcPr>
          <w:p>
            <w:pPr>
              <w:pStyle w:val="2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原油收盘涨跌不一，美国及欧洲部分地区封锁措施放宽,提升夏季燃料需求前景并抵消印度及日本新冠肺炎病例增加的忧虑。美国上周原油库存大跌，因出口猛增。</w:t>
            </w:r>
          </w:p>
        </w:tc>
      </w:tr>
    </w:tbl>
    <w:p>
      <w:pPr>
        <w:rPr>
          <w:rFonts w:hint="eastAsia" w:asciiTheme="minorEastAsia" w:hAnsiTheme="minorEastAsia" w:eastAsiaTheme="minorEastAsia" w:cstheme="minorEastAsia"/>
          <w:kern w:val="0"/>
          <w:szCs w:val="21"/>
        </w:rPr>
      </w:pPr>
    </w:p>
    <w:p>
      <w:pPr>
        <w:pStyle w:val="3"/>
        <w:spacing w:before="120" w:after="120" w:line="240" w:lineRule="auto"/>
        <w:rPr>
          <w:rFonts w:hint="eastAsia" w:ascii="宋体" w:hAnsi="宋体"/>
          <w:b/>
          <w:sz w:val="30"/>
          <w:szCs w:val="30"/>
          <w:highlight w:val="none"/>
          <w:lang w:val="en-US" w:eastAsia="zh-CN"/>
        </w:rPr>
      </w:pPr>
      <w:bookmarkStart w:id="4" w:name="_Toc67556953"/>
      <w:bookmarkStart w:id="5" w:name="_Toc5501"/>
      <w:r>
        <w:rPr>
          <w:rFonts w:hint="eastAsia" w:ascii="宋体" w:hAnsi="宋体"/>
          <w:b/>
          <w:sz w:val="30"/>
          <w:szCs w:val="30"/>
          <w:highlight w:val="none"/>
          <w:lang w:val="en-US" w:eastAsia="zh-CN"/>
        </w:rPr>
        <w:t>2.2021年国际原油价格走势图</w:t>
      </w:r>
      <w:bookmarkEnd w:id="4"/>
      <w:bookmarkEnd w:id="5"/>
    </w:p>
    <w:p>
      <w:pPr>
        <w:widowControl/>
        <w:wordWrap w:val="0"/>
        <w:spacing w:after="90" w:line="288" w:lineRule="auto"/>
        <w:jc w:val="left"/>
        <w:rPr>
          <w:rFonts w:hint="eastAsia" w:asciiTheme="minorEastAsia" w:hAnsiTheme="minorEastAsia" w:eastAsiaTheme="minorEastAsia" w:cstheme="minorEastAsia"/>
          <w:b/>
          <w:kern w:val="0"/>
          <w:sz w:val="30"/>
          <w:szCs w:val="30"/>
        </w:rPr>
      </w:pPr>
      <w:r>
        <w:rPr>
          <w:rFonts w:hint="eastAsia" w:ascii="宋体" w:hAnsi="宋体" w:cs="Arial"/>
          <w:b/>
          <w:kern w:val="0"/>
          <w:sz w:val="30"/>
          <w:szCs w:val="30"/>
        </w:rPr>
        <w:drawing>
          <wp:inline distT="0" distB="0" distL="114300" distR="114300">
            <wp:extent cx="4009390" cy="3780790"/>
            <wp:effectExtent l="0" t="0" r="1016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009390" cy="3780790"/>
                    </a:xfrm>
                    <a:prstGeom prst="rect">
                      <a:avLst/>
                    </a:prstGeom>
                    <a:noFill/>
                    <a:ln>
                      <a:noFill/>
                    </a:ln>
                  </pic:spPr>
                </pic:pic>
              </a:graphicData>
            </a:graphic>
          </wp:inline>
        </w:drawing>
      </w:r>
    </w:p>
    <w:p>
      <w:pPr>
        <w:rPr>
          <w:rFonts w:hint="eastAsia" w:asciiTheme="minorEastAsia" w:hAnsiTheme="minorEastAsia" w:eastAsiaTheme="minorEastAsia" w:cstheme="minorEastAsia"/>
        </w:rPr>
      </w:pPr>
    </w:p>
    <w:p>
      <w:pPr>
        <w:pStyle w:val="3"/>
        <w:spacing w:before="120" w:after="120" w:line="240" w:lineRule="auto"/>
        <w:rPr>
          <w:rFonts w:hint="eastAsia" w:asciiTheme="minorEastAsia" w:hAnsiTheme="minorEastAsia" w:eastAsiaTheme="minorEastAsia" w:cstheme="minorEastAsia"/>
          <w:b/>
          <w:sz w:val="28"/>
          <w:szCs w:val="28"/>
        </w:rPr>
      </w:pPr>
      <w:bookmarkStart w:id="6" w:name="_Toc67556954"/>
      <w:bookmarkStart w:id="7" w:name="_Toc16647"/>
      <w:r>
        <w:rPr>
          <w:rFonts w:hint="eastAsia" w:ascii="宋体" w:hAnsi="宋体"/>
          <w:b/>
          <w:sz w:val="30"/>
          <w:szCs w:val="30"/>
          <w:highlight w:val="none"/>
          <w:lang w:val="en-US" w:eastAsia="zh-CN"/>
        </w:rPr>
        <w:t>2.1近期影响国际原油市场的主要因素</w:t>
      </w:r>
      <w:bookmarkEnd w:id="6"/>
      <w:bookmarkEnd w:id="7"/>
    </w:p>
    <w:p>
      <w:pPr>
        <w:pStyle w:val="3"/>
        <w:spacing w:before="120" w:after="120" w:line="240" w:lineRule="auto"/>
        <w:rPr>
          <w:rFonts w:hint="eastAsia" w:ascii="宋体" w:hAnsi="宋体"/>
          <w:b/>
          <w:sz w:val="30"/>
          <w:szCs w:val="30"/>
          <w:highlight w:val="none"/>
          <w:lang w:val="en-US" w:eastAsia="zh-CN"/>
        </w:rPr>
      </w:pPr>
      <w:bookmarkStart w:id="8" w:name="_Toc67556955"/>
      <w:bookmarkStart w:id="9" w:name="_Toc184"/>
      <w:r>
        <w:rPr>
          <w:rFonts w:hint="eastAsia" w:ascii="宋体" w:hAnsi="宋体"/>
          <w:b/>
          <w:sz w:val="30"/>
          <w:szCs w:val="30"/>
          <w:highlight w:val="none"/>
          <w:lang w:val="en-US" w:eastAsia="zh-CN"/>
        </w:rPr>
        <w:t>1.美国原油库存情况</w:t>
      </w:r>
      <w:bookmarkEnd w:id="8"/>
      <w:bookmarkEnd w:id="9"/>
      <w:r>
        <w:rPr>
          <w:rFonts w:hint="eastAsia" w:ascii="宋体" w:hAnsi="宋体"/>
          <w:b/>
          <w:sz w:val="30"/>
          <w:szCs w:val="30"/>
          <w:highlight w:val="none"/>
          <w:lang w:val="en-US" w:eastAsia="zh-CN"/>
        </w:rPr>
        <w:t xml:space="preserve"> </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bookmarkStart w:id="10" w:name="_Toc69977252"/>
      <w:bookmarkStart w:id="11" w:name="_Toc23898"/>
      <w:r>
        <w:rPr>
          <w:rFonts w:hint="eastAsia" w:asciiTheme="minorEastAsia" w:hAnsiTheme="minorEastAsia" w:eastAsiaTheme="minorEastAsia" w:cstheme="minorEastAsia"/>
          <w:color w:val="auto"/>
          <w:kern w:val="2"/>
          <w:sz w:val="28"/>
          <w:szCs w:val="28"/>
          <w:shd w:val="clear" w:color="auto" w:fill="FFFFFF"/>
        </w:rPr>
        <w:t>本周美国EIA公布的数据显示，截至4月23日当周美国除却战略储备的商业原油库存增幅小幅超预期，精炼油库存降幅大超预期，汽油库存增幅略少预期。具体数据显示，美国截至4月23日当周EIA原油库存变动实际公布增加9万桶，预期减少100万桶，前值增加59.4万桶。此外，美国截至4月23日当周EIA汽油库存实际公布增加9.20万桶，预期减少40万桶，前值增加8.5万桶;美国截至4月23日当周EIA精炼油库存实际公布减少334.20万桶，预期减少100万桶，前值减少107.3万桶。除却战略储备的商业原油库存增加9万桶至4.931亿桶，增加0.02%。美国石油协会(API)公布的数据显示,美国截至4月23日当周API原油库存增加431.9万桶，前值增加43.6万桶;汽油库存减少128.8万桶;精炼油库存减少241.7万桶。</w:t>
      </w:r>
    </w:p>
    <w:p>
      <w:pPr>
        <w:pStyle w:val="23"/>
        <w:spacing w:line="360" w:lineRule="auto"/>
        <w:ind w:firstLine="562" w:firstLineChars="200"/>
        <w:outlineLvl w:val="1"/>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2.美国经济形势</w:t>
      </w:r>
      <w:bookmarkEnd w:id="10"/>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bookmarkStart w:id="12" w:name="_Toc69977253"/>
      <w:r>
        <w:rPr>
          <w:rFonts w:hint="eastAsia" w:asciiTheme="minorEastAsia" w:hAnsiTheme="minorEastAsia" w:eastAsiaTheme="minorEastAsia" w:cstheme="minorEastAsia"/>
          <w:color w:val="auto"/>
          <w:kern w:val="2"/>
          <w:sz w:val="28"/>
          <w:szCs w:val="28"/>
          <w:shd w:val="clear" w:color="auto" w:fill="FFFFFF"/>
        </w:rPr>
        <w:t>北京时间6日凌晨，美股周三收盘涨跌不一，道指创盘中与收盘历史新高。企业财报与经济数据强劲。美国财长耶伦澄清称并未预测或推荐美联储加息。4月ADP就业人数创2020年9月以来新高。</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道指涨97.31点，或0.29%，报34230.34点;纳指跌51.08点，或0.37%，报13582.42点;标普500指数涨2.93点，或0.07%，报4167.59点。</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周三午后道指最高上涨至34325.08点，创盘中历史最高纪录。</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通用汽车股价收高4.1%，该公司盈利超出预期。</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动视暴雪上涨1.6%，其第一财季净利同比增23%，第二财季的净预定收入展望超预期。</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大宗商品股票股价攀升，能源选择板块信托基金(SPDR)与原材料选择板块信托基金涨幅领先。</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美国WTI原油盘中一度突破每桶66美元，因美国石油协会(API)报告称美国上周原油库存锐减。</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Delos Capital Advisors首席投资策略师Andrew Smith表示，包括木材与玉米等在内，最近大宗商品价格猛涨，提高了通胀预期，使周期性板块更有吸引力。</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Smith表示：“我们看到有望从通胀中受益的板块表现强劲。大宗商品价格上涨将导致实际利率上升，那些周期性板块将延续其出色的表现。”</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体育锻炼设备生产商Peloton股价下跌，该公司宣布因安全隐患而召回其跑步机产品。</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周二美股收盘涨跌不一，纳指下跌约1.9%，大型科技股普遍下跌。美国财政部长耶伦暗示可能需要加息以防止经济过热之后，成长型股票继续回吐其2020年所获涨幅。</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分析指出，耶伦的“加息”言论一度引发市场恐慌，不过周二美股收盘后，耶伦马上“澄清”指出，她“不是预测或推荐美联储加息”，并对美联储的独立性表示赞赏，认为通胀不会成为一个重大问题。</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耶伦澄清加息的言论似乎是今天风险情绪回暖的主要原因。</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周二经济数据面，美国4月ADP就业人数增加74.2万，创2020年9月以来新高。</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耶伦澄清加息言论 称并未预测或推荐加息</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美国财长耶伦周一接受采访时表示：随着疫苗接种和社会隔离措施的撤销，经济活动的回升速度比预期的要快得多，为了避免经济过热，可能需要提高利率。</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但耶伦周二晚些时候澄清其言论称，她并不是在“预测或推荐”近期加息，因为该决定取决于美联储。耶伦收回了自己的言论，称她对美联储的独立性表示赞赏，认为通胀不会成为一个重大问题。</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耶伦补充说，通胀不太可能成为影响经济的持续性问题，即便真的成了问题，美联储也能够处理。此前，这位前美联储主席称可能需要“在某种程度上”加息以防经济过热，令科技股过高的估值受到考验。</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不过耶伦周一的表态还是提醒了投资者：未来某个时候利率一定会上升。</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Avatrade首席市场分析师Naeem Aslam说，“耶伦的言论让市场失去了很多泡沫。”</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“当市场因利好消息而开始挣扎上行时，就像我们上周看到的那样，通常不需要太长时间，它们就会滚转并下跌，这似乎就是昨天发生的情况，”CMC Markets首席市场分析师Michael Hewson说。</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Aslam说：“我们确实看到一些逢低买进的人今天进场。”</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资产管理公司Brooks Macdonald的首席投资官Edward Park表示，强劲的收益增长和(8.18, 0.04, 0.49%)经济迅速反弹的迹象帮助提振了市场人气，但宽松的货币政策将持续多久，将越来越成问题。</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许多公司最近的财报显示，需求激增和供应链短缺推动了价格猛涨，暗示出现了令一些市场参与者感到担忧的过热迹象。</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据美国银行策略师Savita Subramanian称，今年第一季财报中提到通胀的总次数比去年同期增加了800%。</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此外，许多策师指出，由于美股上周创历史新高，很小的因素也可能引起股票回调。随着第一季财报接近尾声，投资者将不得不考虑未来的政策前景，它可能造成公司利润下滑。</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4月ADP就业人数增加74.2万 创2020年9月以来新高</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经济数据面，美国4月ADP就业人数录得74.2万，创2020年9月以来最高纪录。</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数据显示，4月休闲和酒店行业就业人数增幅居前，新增23.7万个岗位。该行业目前的岗位数量仍比疫情爆发前少约300万个，但自政府放松限制以来，该行业一直在稳步增加工作岗位。</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此前经济学家预计4月份私营部门就业岗位将增加80万个，而3月份为51.7万个。这些数据是在周五备受关注的就业报告发布之前发布的。</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ADP首席经济学家Nela Richardson表示，劳动力市场继续加速和增长的上升趋势，发布了自2020年9月以来最强劲的数据。随着经济重新开放、复苏和恢复正常活动，服务提供商受益最大，并在4月份引领就业增长。</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尽管就业人数仍比新冠肺炎爆发前少了800多万个就业岗位，但过去两个月新增就业岗位总数达到130万个，而此前五个月仅新增约100万个就业岗位。</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其他市场</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纽约商品交易所6月交割的西德州中质原油(WTI)期货价格下跌6美分，跌幅近0.1%，收于每桶65.63美元，盘中一度突破66美元，最高为66.76美元。</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sz w:val="28"/>
          <w:szCs w:val="28"/>
        </w:rPr>
        <w:t>伦敦洲际交易所7月交割的布伦特原油期货价格收高8美分，涨幅0.1%，收于每桶68.96美元，盘中最高为69.95美元</w:t>
      </w:r>
      <w:r>
        <w:rPr>
          <w:rFonts w:hint="eastAsia" w:asciiTheme="minorEastAsia" w:hAnsiTheme="minorEastAsia" w:eastAsiaTheme="minorEastAsia" w:cstheme="minorEastAsia"/>
          <w:color w:val="auto"/>
          <w:kern w:val="2"/>
          <w:sz w:val="28"/>
          <w:szCs w:val="28"/>
          <w:shd w:val="clear" w:color="auto" w:fill="FFFFFF"/>
        </w:rPr>
        <w:t>。</w:t>
      </w:r>
    </w:p>
    <w:p>
      <w:pPr>
        <w:pStyle w:val="23"/>
        <w:ind w:firstLine="643" w:firstLineChars="200"/>
        <w:outlineLvl w:val="1"/>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3.世界经济形势</w:t>
      </w:r>
      <w:bookmarkEnd w:id="12"/>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近期一些世界主要经济体陆续公布一季度经济成绩单。其中有的延续复苏，有的摆脱衰退，有的则继续挣扎。总体来看，全球经济正在复苏，但并未实现“齐步走”。</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作为世界前两大经济体，美中两国对全球经济的影响举足轻重。</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中国国家统计局4月16日公布数据显示，一季度，中国国内生产总值(GDP)同比增长18.3%。一方面，一季度中国GDP同比两位数增长，受到上年较低基数、员工就地过年工作日有所增加等不可比因素影响;另一方面，一季度环比增长0.6%，两年平均增长5.0%，表明中国经济稳定恢复。</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美国商务部则于4月29日公布首次预估数据，一季度美国实际GDP按年率计算增长6.4%。该数据虽低于市场预期，但相比去年全年负增长，复苏势头已相当明显。</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需要注意的是，美国官方计算GDP增速用的是环比折年率，而非中国习惯使用的同比。招商银行宏观经济研究所所长谭卓指出，按同比口径计，美国今年一季度GDP增速为0.4%，与中国18.3%的增速有巨大差异。</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谭卓认为，总体而言，一季度美国经济已大体修复至疫前水平。随着接种率上升和天气回暖，服务业有望加速修复，目前较高的储蓄率也将逐渐释放，对需求构成支撑。</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不过，美国经济下行风险仍未完全消失。中国银行研究院指出，一方面，美国就业市场遭受结构性伤害，且社会贫富分化正不断加剧;另一方面，美国通胀预期有被低估的可能，未来或以更快速度上升。</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中美领衔复苏，但从全球范围来看，各家表现有好有坏。</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欧盟统计局4月30日公布数据显示，欧元区今年第一季度GDP环比下降0.6%，同比下降1.8%，显示经济仍未走出新冠疫情困局。与去年同期相比，经济恢复最好的是法国(增长1.5%)和立陶宛(增长1.0%)，其余国家均同比下降。尤其德国表现不佳，一季度GDP环比下降1.7%、同比下降3%。</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在亚洲，除中国延续强势以外，一季度韩国GDP环比增长1.6%。韩国央行此前预测，如一季度环比增速为1.3%，其GDP规模或回归疫情前水平，如今实际增速已超预期。</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日本官方尚未公布一季度经济数据，但由于近期其国内疫情再度升级，前景并不乐观。有分析认为，由于日本政府实施了第三轮紧急状态，该国今年二季度经济很可能在一季度萎缩的情况下又一次负增长，GDP每月减少6000亿日元(约合56亿美元)。</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此外，据塔斯社报道，俄罗斯经济发展部表示，该国GDP在2月份下降2.5%之后，3月份转正同比增长0.5%。一季度，俄罗斯GDP同比下降1.3%，经济萎缩势头放缓。</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为何各方复苏进度不一?中国银行研究院分析，目前全球经济复苏结构分化，存三组不平衡不匹配问题：一是全球生产层面复苏快于消费层面;二是区域复苏分化，发达经济体中美国复苏快于欧元区和日本，新兴经济体中亚太地区复苏快于非洲和拉美地区;三是实体领域风险减弱，金融领域风险抬升。</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究其原因，有各国应对疫情效果存在差异、宏观刺激政策导致贫富差距加大等新因素，也有产业结构演变、行业集中度提高、人口老龄化等长期积累的老问题。</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分化的复苏进程中，世界经济更需要找到均衡且可持续增长的动力，这股力量可能出现在亚洲。</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面对疫情，亚洲各国为强化卫生健康体系，稳定全球供应链，引领贸易和投资复苏付出了巨大努力。博鳌亚洲论坛2021年年会发布的旗舰报告认为，今年亚洲经济将出现恢复性增长，经济增速有望达到6.5%以上，亚洲将成为全球可持续复苏的重要引擎。</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而在亚洲，中国无疑是中坚力量。国际货币基金组织近期发表报告，将2021年中国经济增长预期上调0.3个百分点至8.4%。</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瑞士再保险中国首席经济学家安仁礼表示，当前全球大规模刺激政策，以及新冠疫苗广泛应用正带动全球经济强劲复苏，但长期前景尚不明朗。中国经济仍将是带动全球经济复苏的重要引擎，中国政府以长期视角优化经济发展结构、推动经济可持续发展的模式将使全球受益。</w:t>
      </w:r>
    </w:p>
    <w:p>
      <w:pPr>
        <w:pStyle w:val="3"/>
        <w:spacing w:before="120" w:after="120" w:line="240" w:lineRule="auto"/>
        <w:rPr>
          <w:rFonts w:hint="eastAsia" w:ascii="宋体" w:hAnsi="宋体"/>
          <w:b/>
          <w:sz w:val="30"/>
          <w:szCs w:val="30"/>
          <w:highlight w:val="none"/>
          <w:lang w:val="en-US" w:eastAsia="zh-CN"/>
        </w:rPr>
      </w:pPr>
      <w:r>
        <w:rPr>
          <w:rFonts w:hint="eastAsia" w:ascii="宋体" w:hAnsi="宋体"/>
          <w:b/>
          <w:sz w:val="30"/>
          <w:szCs w:val="30"/>
          <w:highlight w:val="none"/>
          <w:lang w:val="en-US" w:eastAsia="zh-CN"/>
        </w:rPr>
        <w:t>4后市预测</w:t>
      </w:r>
      <w:bookmarkEnd w:id="11"/>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bookmarkStart w:id="13" w:name="_Toc30787"/>
      <w:r>
        <w:rPr>
          <w:rFonts w:hint="eastAsia" w:asciiTheme="minorEastAsia" w:hAnsiTheme="minorEastAsia" w:eastAsiaTheme="minorEastAsia" w:cstheme="minorEastAsia"/>
          <w:color w:val="auto"/>
          <w:kern w:val="2"/>
          <w:sz w:val="28"/>
          <w:szCs w:val="28"/>
          <w:shd w:val="clear" w:color="auto" w:fill="FFFFFF"/>
        </w:rPr>
        <w:t>本周美国WTI原油价格在63.58-65.69美元/桶。布伦特原油价格在67.25-68.96美元/桶震荡。周内国际油价震荡上行。EIA原油库存降幅超预期，不过关键阻力位前市场权衡世界其他地区疫情严峻形势下的能源需求前景，外盘时间5月5日欧美原油价格几无变动。6月WTI：65.63跌0.06;7月布伦特：68.96涨0.08。北京时间周三(5月5日)凌晨，美国石油协会(API)公布的数据显示，美国截至4月30日当周API原油库存减少768.8万桶，预期减少219.1万桶;汽油库存减少530.8万桶;精炼油库存减少345.3万桶。周三(5月5日)纽约时段盘中，北京时间22:30，美国EIA公布的数据显示，截至4月30日当周美国除却战略储备的商业原油库存意外降幅超预期，精炼油库存降幅超预期，汽油库存小幅增加。分析指出，当前油价还是处于多头趋势，因在OPEC增产幅度有限的背景下，全球原油需求前景却在继续向好，这有望继续推升油价。</w:t>
      </w:r>
    </w:p>
    <w:p>
      <w:pPr>
        <w:pStyle w:val="23"/>
        <w:spacing w:line="360" w:lineRule="auto"/>
        <w:ind w:firstLine="560" w:firstLineChars="200"/>
        <w:rPr>
          <w:rFonts w:hint="eastAsia" w:asciiTheme="minorEastAsia" w:hAnsiTheme="minorEastAsia" w:eastAsiaTheme="minorEastAsia" w:cstheme="minorEastAsia"/>
          <w:color w:val="auto"/>
          <w:kern w:val="2"/>
          <w:sz w:val="28"/>
          <w:szCs w:val="28"/>
          <w:shd w:val="clear" w:color="auto" w:fill="FFFFFF"/>
        </w:rPr>
      </w:pPr>
      <w:r>
        <w:rPr>
          <w:rFonts w:hint="eastAsia" w:asciiTheme="minorEastAsia" w:hAnsiTheme="minorEastAsia" w:eastAsiaTheme="minorEastAsia" w:cstheme="minorEastAsia"/>
          <w:color w:val="auto"/>
          <w:kern w:val="2"/>
          <w:sz w:val="28"/>
          <w:szCs w:val="28"/>
          <w:shd w:val="clear" w:color="auto" w:fill="FFFFFF"/>
        </w:rPr>
        <w:t>预测下周WTI油价将触及62-66美元/桶，布油在之后几个月触及66-69美元/桶。</w:t>
      </w:r>
    </w:p>
    <w:p>
      <w:pPr>
        <w:pStyle w:val="3"/>
        <w:spacing w:before="120" w:after="120" w:line="240" w:lineRule="auto"/>
        <w:rPr>
          <w:rFonts w:hint="eastAsia" w:ascii="宋体" w:hAnsi="宋体"/>
          <w:b/>
          <w:sz w:val="30"/>
          <w:szCs w:val="30"/>
          <w:highlight w:val="none"/>
          <w:lang w:val="en-US" w:eastAsia="zh-CN"/>
        </w:rPr>
      </w:pPr>
      <w:r>
        <w:rPr>
          <w:rFonts w:hint="eastAsia" w:ascii="宋体" w:hAnsi="宋体"/>
          <w:b/>
          <w:sz w:val="30"/>
          <w:szCs w:val="30"/>
          <w:highlight w:val="none"/>
        </w:rPr>
        <w:t>2.2国际市场MTBE价格</w:t>
      </w:r>
      <w:bookmarkEnd w:id="13"/>
      <w:r>
        <w:rPr>
          <w:rFonts w:hint="eastAsia" w:ascii="宋体" w:hAnsi="宋体"/>
          <w:b/>
          <w:sz w:val="30"/>
          <w:szCs w:val="30"/>
          <w:highlight w:val="none"/>
          <w:lang w:val="en-US" w:eastAsia="zh-CN"/>
        </w:rPr>
        <w:t xml:space="preserve"> </w:t>
      </w:r>
    </w:p>
    <w:p>
      <w:pPr>
        <w:rPr>
          <w:rFonts w:hint="eastAsia"/>
        </w:rPr>
      </w:pPr>
    </w:p>
    <w:tbl>
      <w:tblPr>
        <w:tblStyle w:val="24"/>
        <w:tblW w:w="7230" w:type="dxa"/>
        <w:tblInd w:w="0" w:type="dxa"/>
        <w:shd w:val="clear" w:color="auto" w:fill="auto"/>
        <w:tblLayout w:type="fixed"/>
        <w:tblCellMar>
          <w:top w:w="0" w:type="dxa"/>
          <w:left w:w="0" w:type="dxa"/>
          <w:bottom w:w="0" w:type="dxa"/>
          <w:right w:w="0" w:type="dxa"/>
        </w:tblCellMar>
      </w:tblPr>
      <w:tblGrid>
        <w:gridCol w:w="1365"/>
        <w:gridCol w:w="2085"/>
        <w:gridCol w:w="1950"/>
        <w:gridCol w:w="1830"/>
      </w:tblGrid>
      <w:tr>
        <w:tblPrEx>
          <w:shd w:val="clear" w:color="auto" w:fill="auto"/>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日期</w:t>
            </w:r>
          </w:p>
        </w:tc>
        <w:tc>
          <w:tcPr>
            <w:tcW w:w="208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鹿特丹(美元/吨)</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5月5日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741.60 </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227.13 </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764.75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5月4日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732.00 </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227.12 </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756.00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5月3日</w:t>
            </w:r>
          </w:p>
        </w:tc>
        <w:tc>
          <w:tcPr>
            <w:tcW w:w="20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724.00 </w:t>
            </w:r>
          </w:p>
        </w:tc>
        <w:tc>
          <w:tcPr>
            <w:tcW w:w="19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222.15 </w:t>
            </w:r>
          </w:p>
        </w:tc>
        <w:tc>
          <w:tcPr>
            <w:tcW w:w="18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729.25 </w:t>
            </w:r>
          </w:p>
        </w:tc>
      </w:tr>
      <w:tr>
        <w:tblPrEx>
          <w:tblCellMar>
            <w:top w:w="0" w:type="dxa"/>
            <w:left w:w="0" w:type="dxa"/>
            <w:bottom w:w="0" w:type="dxa"/>
            <w:right w:w="0" w:type="dxa"/>
          </w:tblCellMar>
        </w:tblPrEx>
        <w:trPr>
          <w:trHeight w:val="360" w:hRule="atLeast"/>
        </w:trPr>
        <w:tc>
          <w:tcPr>
            <w:tcW w:w="1365"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4月30日</w:t>
            </w:r>
          </w:p>
        </w:tc>
        <w:tc>
          <w:tcPr>
            <w:tcW w:w="2085"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749.60 </w:t>
            </w:r>
          </w:p>
        </w:tc>
        <w:tc>
          <w:tcPr>
            <w:tcW w:w="195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218.98 </w:t>
            </w:r>
          </w:p>
        </w:tc>
        <w:tc>
          <w:tcPr>
            <w:tcW w:w="1830" w:type="dxa"/>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729.25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4月29日</w:t>
            </w:r>
          </w:p>
        </w:tc>
        <w:tc>
          <w:tcPr>
            <w:tcW w:w="20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750.00 </w:t>
            </w:r>
          </w:p>
        </w:tc>
        <w:tc>
          <w:tcPr>
            <w:tcW w:w="19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221.99 </w:t>
            </w:r>
          </w:p>
        </w:tc>
        <w:tc>
          <w:tcPr>
            <w:tcW w:w="1830"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738.25 </w:t>
            </w:r>
          </w:p>
        </w:tc>
      </w:tr>
    </w:tbl>
    <w:p>
      <w:pPr>
        <w:rPr>
          <w:rFonts w:hint="eastAsia"/>
          <w:lang w:eastAsia="zh-CN"/>
        </w:rPr>
      </w:pPr>
    </w:p>
    <w:p>
      <w:pPr>
        <w:pStyle w:val="2"/>
        <w:numPr>
          <w:ilvl w:val="0"/>
          <w:numId w:val="0"/>
        </w:numPr>
        <w:spacing w:before="120" w:after="0" w:line="240" w:lineRule="auto"/>
        <w:rPr>
          <w:rFonts w:hint="eastAsia"/>
          <w:b/>
        </w:rPr>
      </w:pPr>
      <w:bookmarkStart w:id="14" w:name="_Toc11000"/>
      <w:r>
        <w:rPr>
          <w:rFonts w:hint="eastAsia"/>
          <w:b/>
          <w:lang w:eastAsia="zh-CN"/>
        </w:rPr>
        <w:t>三、</w:t>
      </w:r>
      <w:r>
        <w:rPr>
          <w:rFonts w:hint="eastAsia"/>
          <w:b/>
        </w:rPr>
        <w:t>本周国内市场</w:t>
      </w:r>
      <w:bookmarkEnd w:id="14"/>
    </w:p>
    <w:p>
      <w:pPr>
        <w:numPr>
          <w:ilvl w:val="0"/>
          <w:numId w:val="0"/>
        </w:numPr>
      </w:pPr>
    </w:p>
    <w:p>
      <w:pPr>
        <w:pStyle w:val="3"/>
        <w:spacing w:before="120" w:after="120" w:line="240" w:lineRule="auto"/>
        <w:rPr>
          <w:rFonts w:hint="eastAsia" w:ascii="宋体" w:hAnsi="宋体"/>
          <w:b/>
          <w:sz w:val="30"/>
          <w:szCs w:val="30"/>
          <w:highlight w:val="none"/>
        </w:rPr>
      </w:pPr>
      <w:bookmarkStart w:id="15" w:name="_Toc7167"/>
      <w:r>
        <w:rPr>
          <w:rFonts w:hint="eastAsia" w:ascii="宋体" w:hAnsi="宋体"/>
          <w:b/>
          <w:sz w:val="30"/>
          <w:szCs w:val="30"/>
          <w:highlight w:val="none"/>
        </w:rPr>
        <w:t>3.1 国内炼厂装置运行情况</w:t>
      </w:r>
      <w:bookmarkEnd w:id="15"/>
    </w:p>
    <w:p>
      <w:pPr>
        <w:rPr>
          <w:rFonts w:hint="eastAsia" w:ascii="宋体" w:hAnsi="宋体"/>
          <w:color w:val="auto"/>
          <w:sz w:val="28"/>
          <w:szCs w:val="28"/>
          <w:highlight w:val="none"/>
        </w:rPr>
      </w:pPr>
      <w:r>
        <w:rPr>
          <w:rFonts w:hint="eastAsia" w:ascii="宋体" w:hAnsi="宋体"/>
          <w:color w:val="auto"/>
          <w:sz w:val="28"/>
          <w:szCs w:val="28"/>
          <w:highlight w:val="none"/>
        </w:rPr>
        <w:t>（1）国内主营炼厂装置检修情况</w:t>
      </w:r>
    </w:p>
    <w:tbl>
      <w:tblPr>
        <w:tblStyle w:val="24"/>
        <w:tblW w:w="10306"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90"/>
        <w:gridCol w:w="894"/>
        <w:gridCol w:w="1093"/>
        <w:gridCol w:w="1229"/>
        <w:gridCol w:w="2414"/>
        <w:gridCol w:w="1730"/>
        <w:gridCol w:w="1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7" w:hRule="atLeast"/>
        </w:trPr>
        <w:tc>
          <w:tcPr>
            <w:tcW w:w="10306" w:type="dxa"/>
            <w:gridSpan w:val="7"/>
            <w:tcBorders>
              <w:top w:val="single" w:color="auto" w:sz="6" w:space="0"/>
              <w:left w:val="single" w:color="auto" w:sz="6" w:space="0"/>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sz w:val="20"/>
                <w:szCs w:val="20"/>
              </w:rPr>
            </w:pPr>
            <w:r>
              <w:rPr>
                <w:rFonts w:hint="eastAsia" w:ascii="宋体" w:hAnsi="宋体" w:eastAsia="宋体" w:cs="宋体"/>
                <w:b/>
                <w:i w:val="0"/>
                <w:color w:val="000000"/>
                <w:kern w:val="0"/>
                <w:sz w:val="24"/>
                <w:szCs w:val="24"/>
                <w:u w:val="none"/>
                <w:lang w:val="en-US" w:eastAsia="zh-CN" w:bidi="ar"/>
              </w:rPr>
              <w:t>中石化旗下炼厂检修计划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0"/>
                <w:szCs w:val="20"/>
              </w:rPr>
            </w:pPr>
            <w:r>
              <w:rPr>
                <w:rFonts w:hint="eastAsia" w:ascii="宋体" w:hAnsi="宋体" w:eastAsia="宋体" w:cs="宋体"/>
                <w:b/>
                <w:i w:val="0"/>
                <w:color w:val="000000"/>
                <w:kern w:val="0"/>
                <w:sz w:val="20"/>
                <w:szCs w:val="20"/>
                <w:u w:val="none"/>
                <w:lang w:val="en-US" w:eastAsia="zh-CN" w:bidi="ar"/>
              </w:rPr>
              <w:t>炼厂名称</w:t>
            </w:r>
          </w:p>
        </w:tc>
        <w:tc>
          <w:tcPr>
            <w:tcW w:w="894" w:type="dxa"/>
            <w:tcBorders>
              <w:top w:val="nil"/>
              <w:left w:val="nil"/>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0"/>
                <w:szCs w:val="20"/>
              </w:rPr>
            </w:pPr>
            <w:r>
              <w:rPr>
                <w:rFonts w:hint="eastAsia" w:ascii="宋体" w:hAnsi="宋体" w:eastAsia="宋体" w:cs="宋体"/>
                <w:b/>
                <w:i w:val="0"/>
                <w:color w:val="000000"/>
                <w:kern w:val="0"/>
                <w:sz w:val="20"/>
                <w:szCs w:val="20"/>
                <w:u w:val="none"/>
                <w:lang w:val="en-US" w:eastAsia="zh-CN" w:bidi="ar"/>
              </w:rPr>
              <w:t>所在地</w:t>
            </w:r>
          </w:p>
        </w:tc>
        <w:tc>
          <w:tcPr>
            <w:tcW w:w="1093" w:type="dxa"/>
            <w:tcBorders>
              <w:top w:val="nil"/>
              <w:left w:val="nil"/>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0"/>
                <w:szCs w:val="20"/>
              </w:rPr>
            </w:pPr>
            <w:r>
              <w:rPr>
                <w:rFonts w:hint="eastAsia" w:ascii="宋体" w:hAnsi="宋体" w:eastAsia="宋体" w:cs="宋体"/>
                <w:b/>
                <w:i w:val="0"/>
                <w:color w:val="000000"/>
                <w:kern w:val="0"/>
                <w:sz w:val="20"/>
                <w:szCs w:val="20"/>
                <w:u w:val="none"/>
                <w:lang w:val="en-US" w:eastAsia="zh-CN" w:bidi="ar"/>
              </w:rPr>
              <w:t>加工能力</w:t>
            </w:r>
          </w:p>
        </w:tc>
        <w:tc>
          <w:tcPr>
            <w:tcW w:w="1229" w:type="dxa"/>
            <w:tcBorders>
              <w:top w:val="nil"/>
              <w:left w:val="nil"/>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0"/>
                <w:szCs w:val="20"/>
              </w:rPr>
            </w:pPr>
            <w:r>
              <w:rPr>
                <w:rFonts w:hint="eastAsia" w:ascii="宋体" w:hAnsi="宋体" w:eastAsia="宋体" w:cs="宋体"/>
                <w:b/>
                <w:i w:val="0"/>
                <w:color w:val="000000"/>
                <w:kern w:val="0"/>
                <w:sz w:val="20"/>
                <w:szCs w:val="20"/>
                <w:u w:val="none"/>
                <w:lang w:val="en-US" w:eastAsia="zh-CN" w:bidi="ar"/>
              </w:rPr>
              <w:t>检修装置</w:t>
            </w:r>
          </w:p>
        </w:tc>
        <w:tc>
          <w:tcPr>
            <w:tcW w:w="2414" w:type="dxa"/>
            <w:tcBorders>
              <w:top w:val="nil"/>
              <w:left w:val="nil"/>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0"/>
                <w:szCs w:val="20"/>
              </w:rPr>
            </w:pPr>
            <w:r>
              <w:rPr>
                <w:rFonts w:hint="eastAsia" w:ascii="宋体" w:hAnsi="宋体" w:eastAsia="宋体" w:cs="宋体"/>
                <w:b/>
                <w:i w:val="0"/>
                <w:color w:val="000000"/>
                <w:kern w:val="0"/>
                <w:sz w:val="20"/>
                <w:szCs w:val="20"/>
                <w:u w:val="none"/>
                <w:lang w:val="en-US" w:eastAsia="zh-CN" w:bidi="ar"/>
              </w:rPr>
              <w:t>检修产能（单位：万吨）</w:t>
            </w:r>
          </w:p>
        </w:tc>
        <w:tc>
          <w:tcPr>
            <w:tcW w:w="1730" w:type="dxa"/>
            <w:tcBorders>
              <w:top w:val="nil"/>
              <w:left w:val="nil"/>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0"/>
                <w:szCs w:val="20"/>
              </w:rPr>
            </w:pPr>
            <w:r>
              <w:rPr>
                <w:rFonts w:hint="eastAsia" w:ascii="宋体" w:hAnsi="宋体" w:eastAsia="宋体" w:cs="宋体"/>
                <w:b/>
                <w:i w:val="0"/>
                <w:color w:val="000000"/>
                <w:kern w:val="0"/>
                <w:sz w:val="20"/>
                <w:szCs w:val="20"/>
                <w:u w:val="none"/>
                <w:lang w:val="en-US" w:eastAsia="zh-CN" w:bidi="ar"/>
              </w:rPr>
              <w:t>起始时间</w:t>
            </w:r>
          </w:p>
        </w:tc>
        <w:tc>
          <w:tcPr>
            <w:tcW w:w="1656" w:type="dxa"/>
            <w:tcBorders>
              <w:top w:val="nil"/>
              <w:left w:val="nil"/>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0"/>
                <w:szCs w:val="20"/>
              </w:rPr>
            </w:pPr>
            <w:r>
              <w:rPr>
                <w:rFonts w:hint="eastAsia" w:ascii="宋体" w:hAnsi="宋体" w:eastAsia="宋体" w:cs="宋体"/>
                <w:b/>
                <w:i w:val="0"/>
                <w:color w:val="000000"/>
                <w:kern w:val="0"/>
                <w:sz w:val="20"/>
                <w:szCs w:val="20"/>
                <w:u w:val="none"/>
                <w:lang w:val="en-US" w:eastAsia="zh-CN" w:bidi="ar"/>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济南炼化</w:t>
            </w:r>
          </w:p>
        </w:tc>
        <w:tc>
          <w:tcPr>
            <w:tcW w:w="89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山东</w:t>
            </w:r>
          </w:p>
        </w:tc>
        <w:tc>
          <w:tcPr>
            <w:tcW w:w="1093"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800</w:t>
            </w:r>
          </w:p>
        </w:tc>
        <w:tc>
          <w:tcPr>
            <w:tcW w:w="1229"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全厂检修</w:t>
            </w:r>
          </w:p>
        </w:tc>
        <w:tc>
          <w:tcPr>
            <w:tcW w:w="241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800</w:t>
            </w:r>
          </w:p>
        </w:tc>
        <w:tc>
          <w:tcPr>
            <w:tcW w:w="1730"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2021/2/19</w:t>
            </w:r>
          </w:p>
        </w:tc>
        <w:tc>
          <w:tcPr>
            <w:tcW w:w="1656"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金陵石化</w:t>
            </w:r>
          </w:p>
        </w:tc>
        <w:tc>
          <w:tcPr>
            <w:tcW w:w="89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江苏</w:t>
            </w:r>
          </w:p>
        </w:tc>
        <w:tc>
          <w:tcPr>
            <w:tcW w:w="1093"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1800</w:t>
            </w:r>
          </w:p>
        </w:tc>
        <w:tc>
          <w:tcPr>
            <w:tcW w:w="1229"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2#常减压</w:t>
            </w:r>
          </w:p>
        </w:tc>
        <w:tc>
          <w:tcPr>
            <w:tcW w:w="241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w:t>
            </w:r>
          </w:p>
        </w:tc>
        <w:tc>
          <w:tcPr>
            <w:tcW w:w="1730"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2021/3/20</w:t>
            </w:r>
          </w:p>
        </w:tc>
        <w:tc>
          <w:tcPr>
            <w:tcW w:w="1656"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燕山石化</w:t>
            </w:r>
          </w:p>
        </w:tc>
        <w:tc>
          <w:tcPr>
            <w:tcW w:w="89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北京</w:t>
            </w:r>
          </w:p>
        </w:tc>
        <w:tc>
          <w:tcPr>
            <w:tcW w:w="1093"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1350</w:t>
            </w:r>
          </w:p>
        </w:tc>
        <w:tc>
          <w:tcPr>
            <w:tcW w:w="1229"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4#常减压</w:t>
            </w:r>
          </w:p>
        </w:tc>
        <w:tc>
          <w:tcPr>
            <w:tcW w:w="241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1000</w:t>
            </w:r>
          </w:p>
        </w:tc>
        <w:tc>
          <w:tcPr>
            <w:tcW w:w="1730"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2020/3/31</w:t>
            </w:r>
          </w:p>
        </w:tc>
        <w:tc>
          <w:tcPr>
            <w:tcW w:w="1656"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长岭石化</w:t>
            </w:r>
          </w:p>
        </w:tc>
        <w:tc>
          <w:tcPr>
            <w:tcW w:w="89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湖南</w:t>
            </w:r>
          </w:p>
        </w:tc>
        <w:tc>
          <w:tcPr>
            <w:tcW w:w="1093"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1150</w:t>
            </w:r>
          </w:p>
        </w:tc>
        <w:tc>
          <w:tcPr>
            <w:tcW w:w="1229"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全厂检修</w:t>
            </w:r>
          </w:p>
        </w:tc>
        <w:tc>
          <w:tcPr>
            <w:tcW w:w="241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1150</w:t>
            </w:r>
          </w:p>
        </w:tc>
        <w:tc>
          <w:tcPr>
            <w:tcW w:w="1730"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2021/2/20</w:t>
            </w:r>
          </w:p>
        </w:tc>
        <w:tc>
          <w:tcPr>
            <w:tcW w:w="1656"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aps w:val="0"/>
                <w:color w:val="000000"/>
                <w:spacing w:val="0"/>
                <w:sz w:val="20"/>
                <w:szCs w:val="20"/>
                <w:lang w:eastAsia="zh-CN"/>
              </w:rPr>
            </w:pPr>
            <w:r>
              <w:rPr>
                <w:rFonts w:hint="eastAsia" w:ascii="宋体" w:hAnsi="宋体" w:eastAsia="宋体" w:cs="宋体"/>
                <w:i w:val="0"/>
                <w:color w:val="000000"/>
                <w:kern w:val="0"/>
                <w:sz w:val="20"/>
                <w:szCs w:val="20"/>
                <w:u w:val="none"/>
                <w:lang w:val="en-US" w:eastAsia="zh-CN" w:bidi="ar"/>
              </w:rPr>
              <w:t>上海石化</w:t>
            </w:r>
          </w:p>
        </w:tc>
        <w:tc>
          <w:tcPr>
            <w:tcW w:w="89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aps w:val="0"/>
                <w:color w:val="000000"/>
                <w:spacing w:val="0"/>
                <w:sz w:val="20"/>
                <w:szCs w:val="20"/>
                <w:lang w:eastAsia="zh-CN"/>
              </w:rPr>
            </w:pPr>
            <w:r>
              <w:rPr>
                <w:rFonts w:hint="eastAsia" w:ascii="宋体" w:hAnsi="宋体" w:eastAsia="宋体" w:cs="宋体"/>
                <w:i w:val="0"/>
                <w:color w:val="000000"/>
                <w:kern w:val="0"/>
                <w:sz w:val="20"/>
                <w:szCs w:val="20"/>
                <w:u w:val="none"/>
                <w:lang w:val="en-US" w:eastAsia="zh-CN" w:bidi="ar"/>
              </w:rPr>
              <w:t>上海</w:t>
            </w:r>
          </w:p>
        </w:tc>
        <w:tc>
          <w:tcPr>
            <w:tcW w:w="1093"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aps w:val="0"/>
                <w:color w:val="000000"/>
                <w:spacing w:val="0"/>
                <w:sz w:val="20"/>
                <w:szCs w:val="20"/>
                <w:lang w:val="en-US" w:eastAsia="zh-CN"/>
              </w:rPr>
            </w:pPr>
            <w:r>
              <w:rPr>
                <w:rFonts w:hint="eastAsia" w:ascii="宋体" w:hAnsi="宋体" w:eastAsia="宋体" w:cs="宋体"/>
                <w:i w:val="0"/>
                <w:color w:val="000000"/>
                <w:kern w:val="0"/>
                <w:sz w:val="20"/>
                <w:szCs w:val="20"/>
                <w:u w:val="none"/>
                <w:lang w:val="en-US" w:eastAsia="zh-CN" w:bidi="ar"/>
              </w:rPr>
              <w:t>1600</w:t>
            </w:r>
          </w:p>
        </w:tc>
        <w:tc>
          <w:tcPr>
            <w:tcW w:w="1229"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aps w:val="0"/>
                <w:color w:val="000000"/>
                <w:spacing w:val="0"/>
                <w:sz w:val="20"/>
                <w:szCs w:val="20"/>
                <w:lang w:eastAsia="zh-CN"/>
              </w:rPr>
            </w:pPr>
            <w:r>
              <w:rPr>
                <w:rFonts w:hint="eastAsia" w:ascii="宋体" w:hAnsi="宋体" w:eastAsia="宋体" w:cs="宋体"/>
                <w:i w:val="0"/>
                <w:color w:val="000000"/>
                <w:kern w:val="0"/>
                <w:sz w:val="20"/>
                <w:szCs w:val="20"/>
                <w:u w:val="none"/>
                <w:lang w:val="en-US" w:eastAsia="zh-CN" w:bidi="ar"/>
              </w:rPr>
              <w:t>全厂检修</w:t>
            </w:r>
          </w:p>
        </w:tc>
        <w:tc>
          <w:tcPr>
            <w:tcW w:w="241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aps w:val="0"/>
                <w:color w:val="000000"/>
                <w:spacing w:val="0"/>
                <w:sz w:val="20"/>
                <w:szCs w:val="20"/>
                <w:lang w:val="en-US" w:eastAsia="zh-CN"/>
              </w:rPr>
            </w:pPr>
            <w:r>
              <w:rPr>
                <w:rFonts w:hint="eastAsia" w:ascii="宋体" w:hAnsi="宋体" w:eastAsia="宋体" w:cs="宋体"/>
                <w:i w:val="0"/>
                <w:color w:val="000000"/>
                <w:kern w:val="0"/>
                <w:sz w:val="20"/>
                <w:szCs w:val="20"/>
                <w:u w:val="none"/>
                <w:lang w:val="en-US" w:eastAsia="zh-CN" w:bidi="ar"/>
              </w:rPr>
              <w:t>1600</w:t>
            </w:r>
          </w:p>
        </w:tc>
        <w:tc>
          <w:tcPr>
            <w:tcW w:w="1730"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aps w:val="0"/>
                <w:color w:val="000000"/>
                <w:spacing w:val="0"/>
                <w:sz w:val="20"/>
                <w:szCs w:val="20"/>
                <w:lang w:val="en-US" w:eastAsia="zh-CN"/>
              </w:rPr>
            </w:pPr>
            <w:r>
              <w:rPr>
                <w:rFonts w:hint="eastAsia" w:ascii="宋体" w:hAnsi="宋体" w:eastAsia="宋体" w:cs="宋体"/>
                <w:i w:val="0"/>
                <w:color w:val="000000"/>
                <w:kern w:val="0"/>
                <w:sz w:val="20"/>
                <w:szCs w:val="20"/>
                <w:u w:val="none"/>
                <w:lang w:val="en-US" w:eastAsia="zh-CN" w:bidi="ar"/>
              </w:rPr>
              <w:t>2021/4/14</w:t>
            </w:r>
          </w:p>
        </w:tc>
        <w:tc>
          <w:tcPr>
            <w:tcW w:w="1656"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aps w:val="0"/>
                <w:color w:val="000000"/>
                <w:spacing w:val="0"/>
                <w:sz w:val="20"/>
                <w:szCs w:val="20"/>
              </w:rPr>
            </w:pPr>
            <w:r>
              <w:rPr>
                <w:rFonts w:hint="eastAsia" w:ascii="宋体" w:hAnsi="宋体" w:eastAsia="宋体" w:cs="宋体"/>
                <w:i w:val="0"/>
                <w:color w:val="000000"/>
                <w:kern w:val="0"/>
                <w:sz w:val="20"/>
                <w:szCs w:val="20"/>
                <w:u w:val="none"/>
                <w:lang w:val="en-US" w:eastAsia="zh-CN" w:bidi="ar"/>
              </w:rPr>
              <w:t>2021/6/8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九江石化</w:t>
            </w:r>
          </w:p>
        </w:tc>
        <w:tc>
          <w:tcPr>
            <w:tcW w:w="89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江西</w:t>
            </w:r>
          </w:p>
        </w:tc>
        <w:tc>
          <w:tcPr>
            <w:tcW w:w="1093"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1000</w:t>
            </w:r>
          </w:p>
        </w:tc>
        <w:tc>
          <w:tcPr>
            <w:tcW w:w="1229"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全厂检修</w:t>
            </w:r>
          </w:p>
        </w:tc>
        <w:tc>
          <w:tcPr>
            <w:tcW w:w="241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1000</w:t>
            </w:r>
          </w:p>
        </w:tc>
        <w:tc>
          <w:tcPr>
            <w:tcW w:w="1730"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2021/4/1</w:t>
            </w:r>
          </w:p>
        </w:tc>
        <w:tc>
          <w:tcPr>
            <w:tcW w:w="1656"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沧州炼厂</w:t>
            </w:r>
          </w:p>
        </w:tc>
        <w:tc>
          <w:tcPr>
            <w:tcW w:w="89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河北</w:t>
            </w:r>
          </w:p>
        </w:tc>
        <w:tc>
          <w:tcPr>
            <w:tcW w:w="1093"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350</w:t>
            </w:r>
          </w:p>
        </w:tc>
        <w:tc>
          <w:tcPr>
            <w:tcW w:w="1229"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全厂检修</w:t>
            </w:r>
          </w:p>
        </w:tc>
        <w:tc>
          <w:tcPr>
            <w:tcW w:w="241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350</w:t>
            </w:r>
          </w:p>
        </w:tc>
        <w:tc>
          <w:tcPr>
            <w:tcW w:w="1730"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2021/5/10</w:t>
            </w:r>
          </w:p>
        </w:tc>
        <w:tc>
          <w:tcPr>
            <w:tcW w:w="1656"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扬子石化</w:t>
            </w:r>
          </w:p>
        </w:tc>
        <w:tc>
          <w:tcPr>
            <w:tcW w:w="89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江苏</w:t>
            </w:r>
          </w:p>
        </w:tc>
        <w:tc>
          <w:tcPr>
            <w:tcW w:w="1093"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1450</w:t>
            </w:r>
          </w:p>
        </w:tc>
        <w:tc>
          <w:tcPr>
            <w:tcW w:w="1229"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全厂检修</w:t>
            </w:r>
          </w:p>
        </w:tc>
        <w:tc>
          <w:tcPr>
            <w:tcW w:w="241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1450</w:t>
            </w:r>
          </w:p>
        </w:tc>
        <w:tc>
          <w:tcPr>
            <w:tcW w:w="1730"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2021年5月</w:t>
            </w:r>
          </w:p>
        </w:tc>
        <w:tc>
          <w:tcPr>
            <w:tcW w:w="1656"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2021年7月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茂名石化</w:t>
            </w:r>
          </w:p>
        </w:tc>
        <w:tc>
          <w:tcPr>
            <w:tcW w:w="89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广东</w:t>
            </w:r>
          </w:p>
        </w:tc>
        <w:tc>
          <w:tcPr>
            <w:tcW w:w="1093"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2000</w:t>
            </w:r>
          </w:p>
        </w:tc>
        <w:tc>
          <w:tcPr>
            <w:tcW w:w="1229"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5#常减压</w:t>
            </w:r>
          </w:p>
        </w:tc>
        <w:tc>
          <w:tcPr>
            <w:tcW w:w="241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1000</w:t>
            </w:r>
          </w:p>
        </w:tc>
        <w:tc>
          <w:tcPr>
            <w:tcW w:w="1730"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2021/6/1</w:t>
            </w:r>
          </w:p>
        </w:tc>
        <w:tc>
          <w:tcPr>
            <w:tcW w:w="1656"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石家庄炼厂</w:t>
            </w:r>
          </w:p>
        </w:tc>
        <w:tc>
          <w:tcPr>
            <w:tcW w:w="894"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河北</w:t>
            </w:r>
          </w:p>
        </w:tc>
        <w:tc>
          <w:tcPr>
            <w:tcW w:w="1093"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1000</w:t>
            </w:r>
          </w:p>
        </w:tc>
        <w:tc>
          <w:tcPr>
            <w:tcW w:w="1229"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全厂检修</w:t>
            </w:r>
          </w:p>
        </w:tc>
        <w:tc>
          <w:tcPr>
            <w:tcW w:w="2414"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1000</w:t>
            </w:r>
          </w:p>
        </w:tc>
        <w:tc>
          <w:tcPr>
            <w:tcW w:w="1730"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2021/8/28</w:t>
            </w:r>
          </w:p>
        </w:tc>
        <w:tc>
          <w:tcPr>
            <w:tcW w:w="1656"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2021/10/28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齐鲁石化</w:t>
            </w:r>
          </w:p>
        </w:tc>
        <w:tc>
          <w:tcPr>
            <w:tcW w:w="89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山东</w:t>
            </w:r>
          </w:p>
        </w:tc>
        <w:tc>
          <w:tcPr>
            <w:tcW w:w="1093"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1300</w:t>
            </w:r>
          </w:p>
        </w:tc>
        <w:tc>
          <w:tcPr>
            <w:tcW w:w="1229"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3#常减压</w:t>
            </w:r>
          </w:p>
        </w:tc>
        <w:tc>
          <w:tcPr>
            <w:tcW w:w="241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w:t>
            </w:r>
          </w:p>
        </w:tc>
        <w:tc>
          <w:tcPr>
            <w:tcW w:w="1730"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2021/8/10</w:t>
            </w:r>
          </w:p>
        </w:tc>
        <w:tc>
          <w:tcPr>
            <w:tcW w:w="1656"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胜利油田</w:t>
            </w:r>
          </w:p>
        </w:tc>
        <w:tc>
          <w:tcPr>
            <w:tcW w:w="89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山东</w:t>
            </w:r>
          </w:p>
        </w:tc>
        <w:tc>
          <w:tcPr>
            <w:tcW w:w="1093"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300</w:t>
            </w:r>
          </w:p>
        </w:tc>
        <w:tc>
          <w:tcPr>
            <w:tcW w:w="1229"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全厂检修</w:t>
            </w:r>
          </w:p>
        </w:tc>
        <w:tc>
          <w:tcPr>
            <w:tcW w:w="241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300</w:t>
            </w:r>
          </w:p>
        </w:tc>
        <w:tc>
          <w:tcPr>
            <w:tcW w:w="1730"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2021/8/1</w:t>
            </w:r>
          </w:p>
        </w:tc>
        <w:tc>
          <w:tcPr>
            <w:tcW w:w="1656"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海南炼化</w:t>
            </w:r>
          </w:p>
        </w:tc>
        <w:tc>
          <w:tcPr>
            <w:tcW w:w="89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海南</w:t>
            </w:r>
          </w:p>
        </w:tc>
        <w:tc>
          <w:tcPr>
            <w:tcW w:w="1093"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950</w:t>
            </w:r>
          </w:p>
        </w:tc>
        <w:tc>
          <w:tcPr>
            <w:tcW w:w="1229"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全厂检修</w:t>
            </w:r>
          </w:p>
        </w:tc>
        <w:tc>
          <w:tcPr>
            <w:tcW w:w="241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950</w:t>
            </w:r>
          </w:p>
        </w:tc>
        <w:tc>
          <w:tcPr>
            <w:tcW w:w="1730"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2021年11月</w:t>
            </w:r>
          </w:p>
        </w:tc>
        <w:tc>
          <w:tcPr>
            <w:tcW w:w="1656"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0306" w:type="dxa"/>
            <w:gridSpan w:val="7"/>
            <w:tcBorders>
              <w:top w:val="nil"/>
              <w:left w:val="single" w:color="auto" w:sz="6" w:space="0"/>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b/>
                <w:i w:val="0"/>
                <w:color w:val="000000"/>
                <w:kern w:val="0"/>
                <w:sz w:val="24"/>
                <w:szCs w:val="24"/>
                <w:u w:val="none"/>
                <w:lang w:val="en-US" w:eastAsia="zh-CN" w:bidi="ar"/>
              </w:rPr>
              <w:t>中石油旗下炼厂检修计划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炼厂名称</w:t>
            </w:r>
          </w:p>
        </w:tc>
        <w:tc>
          <w:tcPr>
            <w:tcW w:w="894" w:type="dxa"/>
            <w:tcBorders>
              <w:top w:val="nil"/>
              <w:left w:val="nil"/>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所在地</w:t>
            </w:r>
          </w:p>
        </w:tc>
        <w:tc>
          <w:tcPr>
            <w:tcW w:w="1093" w:type="dxa"/>
            <w:tcBorders>
              <w:top w:val="nil"/>
              <w:left w:val="nil"/>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加工能力</w:t>
            </w:r>
          </w:p>
        </w:tc>
        <w:tc>
          <w:tcPr>
            <w:tcW w:w="1229" w:type="dxa"/>
            <w:tcBorders>
              <w:top w:val="nil"/>
              <w:left w:val="nil"/>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检修装置</w:t>
            </w:r>
          </w:p>
        </w:tc>
        <w:tc>
          <w:tcPr>
            <w:tcW w:w="2414" w:type="dxa"/>
            <w:tcBorders>
              <w:top w:val="nil"/>
              <w:left w:val="nil"/>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检修产能（单位：万吨）</w:t>
            </w:r>
          </w:p>
        </w:tc>
        <w:tc>
          <w:tcPr>
            <w:tcW w:w="1730" w:type="dxa"/>
            <w:tcBorders>
              <w:top w:val="nil"/>
              <w:left w:val="nil"/>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起始时间</w:t>
            </w:r>
          </w:p>
        </w:tc>
        <w:tc>
          <w:tcPr>
            <w:tcW w:w="1656" w:type="dxa"/>
            <w:tcBorders>
              <w:top w:val="nil"/>
              <w:left w:val="nil"/>
              <w:bottom w:val="single" w:color="auto" w:sz="6" w:space="0"/>
              <w:right w:val="single" w:color="auto" w:sz="6" w:space="0"/>
            </w:tcBorders>
            <w:shd w:val="clear" w:color="auto" w:fill="00B0F0"/>
            <w:tcMar>
              <w:left w:w="105" w:type="dxa"/>
              <w:right w:w="10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云南石化</w:t>
            </w:r>
          </w:p>
        </w:tc>
        <w:tc>
          <w:tcPr>
            <w:tcW w:w="894"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云南</w:t>
            </w:r>
          </w:p>
        </w:tc>
        <w:tc>
          <w:tcPr>
            <w:tcW w:w="1093"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1300</w:t>
            </w:r>
          </w:p>
        </w:tc>
        <w:tc>
          <w:tcPr>
            <w:tcW w:w="1229"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全厂检修</w:t>
            </w:r>
          </w:p>
        </w:tc>
        <w:tc>
          <w:tcPr>
            <w:tcW w:w="2414"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1300</w:t>
            </w:r>
          </w:p>
        </w:tc>
        <w:tc>
          <w:tcPr>
            <w:tcW w:w="1730"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2020/12/5</w:t>
            </w:r>
          </w:p>
        </w:tc>
        <w:tc>
          <w:tcPr>
            <w:tcW w:w="1656"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2021/1/24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抚顺石化</w:t>
            </w:r>
          </w:p>
        </w:tc>
        <w:tc>
          <w:tcPr>
            <w:tcW w:w="89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辽宁</w:t>
            </w:r>
          </w:p>
        </w:tc>
        <w:tc>
          <w:tcPr>
            <w:tcW w:w="1093"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1150</w:t>
            </w:r>
          </w:p>
        </w:tc>
        <w:tc>
          <w:tcPr>
            <w:tcW w:w="1229"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全厂检修</w:t>
            </w:r>
          </w:p>
        </w:tc>
        <w:tc>
          <w:tcPr>
            <w:tcW w:w="241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1150</w:t>
            </w:r>
          </w:p>
        </w:tc>
        <w:tc>
          <w:tcPr>
            <w:tcW w:w="1730"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2021年5月</w:t>
            </w:r>
          </w:p>
        </w:tc>
        <w:tc>
          <w:tcPr>
            <w:tcW w:w="1656"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2021年7月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吉林石化</w:t>
            </w:r>
          </w:p>
        </w:tc>
        <w:tc>
          <w:tcPr>
            <w:tcW w:w="89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吉林</w:t>
            </w:r>
          </w:p>
        </w:tc>
        <w:tc>
          <w:tcPr>
            <w:tcW w:w="1093"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1000</w:t>
            </w:r>
          </w:p>
        </w:tc>
        <w:tc>
          <w:tcPr>
            <w:tcW w:w="1229"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全厂检修</w:t>
            </w:r>
          </w:p>
        </w:tc>
        <w:tc>
          <w:tcPr>
            <w:tcW w:w="241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1000</w:t>
            </w:r>
          </w:p>
        </w:tc>
        <w:tc>
          <w:tcPr>
            <w:tcW w:w="1730"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2021年6月</w:t>
            </w:r>
          </w:p>
        </w:tc>
        <w:tc>
          <w:tcPr>
            <w:tcW w:w="1656"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2021年7月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大港石化</w:t>
            </w:r>
          </w:p>
        </w:tc>
        <w:tc>
          <w:tcPr>
            <w:tcW w:w="89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天津</w:t>
            </w:r>
          </w:p>
        </w:tc>
        <w:tc>
          <w:tcPr>
            <w:tcW w:w="1093"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500</w:t>
            </w:r>
          </w:p>
        </w:tc>
        <w:tc>
          <w:tcPr>
            <w:tcW w:w="1229"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全厂检修</w:t>
            </w:r>
          </w:p>
        </w:tc>
        <w:tc>
          <w:tcPr>
            <w:tcW w:w="2414"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500</w:t>
            </w:r>
          </w:p>
        </w:tc>
        <w:tc>
          <w:tcPr>
            <w:tcW w:w="1730"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2021/4/12</w:t>
            </w:r>
          </w:p>
        </w:tc>
        <w:tc>
          <w:tcPr>
            <w:tcW w:w="1656" w:type="dxa"/>
            <w:tcBorders>
              <w:top w:val="nil"/>
              <w:left w:val="nil"/>
              <w:bottom w:val="single" w:color="auto" w:sz="6" w:space="0"/>
              <w:right w:val="single" w:color="auto" w:sz="6" w:space="0"/>
            </w:tcBorders>
            <w:shd w:val="clear" w:color="auto" w:fill="F9F9F9"/>
            <w:tcMar>
              <w:left w:w="105"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20"/>
                <w:szCs w:val="20"/>
                <w:u w:val="none"/>
                <w:lang w:val="en-US" w:eastAsia="zh-CN" w:bidi="ar"/>
              </w:rPr>
              <w:t>2021/6/11</w:t>
            </w:r>
          </w:p>
        </w:tc>
      </w:tr>
    </w:tbl>
    <w:p>
      <w:pPr>
        <w:numPr>
          <w:ilvl w:val="0"/>
          <w:numId w:val="0"/>
        </w:numPr>
        <w:rPr>
          <w:rFonts w:hint="eastAsia" w:ascii="宋体" w:hAnsi="宋体"/>
          <w:sz w:val="28"/>
          <w:szCs w:val="28"/>
          <w:highlight w:val="none"/>
        </w:rPr>
      </w:pPr>
    </w:p>
    <w:p>
      <w:pPr>
        <w:numPr>
          <w:ilvl w:val="0"/>
          <w:numId w:val="0"/>
        </w:numPr>
        <w:rPr>
          <w:rFonts w:hint="eastAsia" w:ascii="宋体" w:hAnsi="宋体"/>
          <w:sz w:val="28"/>
          <w:szCs w:val="28"/>
          <w:highlight w:val="none"/>
        </w:rPr>
      </w:pPr>
    </w:p>
    <w:p>
      <w:pPr>
        <w:numPr>
          <w:ilvl w:val="0"/>
          <w:numId w:val="2"/>
        </w:numPr>
        <w:rPr>
          <w:rFonts w:hint="eastAsia" w:ascii="宋体" w:hAnsi="宋体"/>
          <w:color w:val="auto"/>
          <w:sz w:val="28"/>
          <w:szCs w:val="28"/>
          <w:highlight w:val="none"/>
        </w:rPr>
      </w:pPr>
      <w:r>
        <w:rPr>
          <w:rFonts w:hint="eastAsia" w:ascii="宋体" w:hAnsi="宋体"/>
          <w:color w:val="auto"/>
          <w:sz w:val="28"/>
          <w:szCs w:val="28"/>
          <w:highlight w:val="none"/>
        </w:rPr>
        <w:t>国内地方炼厂装置检修情况</w:t>
      </w:r>
    </w:p>
    <w:tbl>
      <w:tblPr>
        <w:tblStyle w:val="24"/>
        <w:tblW w:w="9600" w:type="dxa"/>
        <w:tblInd w:w="0" w:type="dxa"/>
        <w:shd w:val="clear" w:color="auto" w:fill="auto"/>
        <w:tblLayout w:type="autofit"/>
        <w:tblCellMar>
          <w:top w:w="0" w:type="dxa"/>
          <w:left w:w="0" w:type="dxa"/>
          <w:bottom w:w="0" w:type="dxa"/>
          <w:right w:w="0" w:type="dxa"/>
        </w:tblCellMar>
      </w:tblPr>
      <w:tblGrid>
        <w:gridCol w:w="1080"/>
        <w:gridCol w:w="1080"/>
        <w:gridCol w:w="1080"/>
        <w:gridCol w:w="1725"/>
        <w:gridCol w:w="1290"/>
        <w:gridCol w:w="1710"/>
        <w:gridCol w:w="1635"/>
      </w:tblGrid>
      <w:tr>
        <w:tblPrEx>
          <w:shd w:val="clear" w:color="auto" w:fill="auto"/>
          <w:tblCellMar>
            <w:top w:w="0" w:type="dxa"/>
            <w:left w:w="0" w:type="dxa"/>
            <w:bottom w:w="0" w:type="dxa"/>
            <w:right w:w="0" w:type="dxa"/>
          </w:tblCellMar>
        </w:tblPrEx>
        <w:trPr>
          <w:trHeight w:val="472" w:hRule="atLeast"/>
        </w:trPr>
        <w:tc>
          <w:tcPr>
            <w:tcW w:w="9600" w:type="dxa"/>
            <w:gridSpan w:val="7"/>
            <w:tcBorders>
              <w:top w:val="single" w:color="000000" w:sz="8" w:space="0"/>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地方炼厂装置检修计划表(单位：万吨)</w:t>
            </w:r>
          </w:p>
        </w:tc>
      </w:tr>
      <w:tr>
        <w:tblPrEx>
          <w:tblCellMar>
            <w:top w:w="0" w:type="dxa"/>
            <w:left w:w="0" w:type="dxa"/>
            <w:bottom w:w="0" w:type="dxa"/>
            <w:right w:w="0"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区域</w:t>
            </w:r>
          </w:p>
        </w:tc>
        <w:tc>
          <w:tcPr>
            <w:tcW w:w="1080"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省市</w:t>
            </w:r>
          </w:p>
        </w:tc>
        <w:tc>
          <w:tcPr>
            <w:tcW w:w="1080"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炼厂名称</w:t>
            </w:r>
          </w:p>
        </w:tc>
        <w:tc>
          <w:tcPr>
            <w:tcW w:w="1725"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检修装置</w:t>
            </w:r>
          </w:p>
        </w:tc>
        <w:tc>
          <w:tcPr>
            <w:tcW w:w="1290"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产能</w:t>
            </w:r>
          </w:p>
        </w:tc>
        <w:tc>
          <w:tcPr>
            <w:tcW w:w="1710"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开工时间</w:t>
            </w:r>
          </w:p>
        </w:tc>
        <w:tc>
          <w:tcPr>
            <w:tcW w:w="1635"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停工时间</w:t>
            </w:r>
          </w:p>
        </w:tc>
      </w:tr>
      <w:tr>
        <w:tblPrEx>
          <w:tblCellMar>
            <w:top w:w="0" w:type="dxa"/>
            <w:left w:w="0" w:type="dxa"/>
            <w:bottom w:w="0" w:type="dxa"/>
            <w:right w:w="0" w:type="dxa"/>
          </w:tblCellMar>
        </w:tblPrEx>
        <w:trPr>
          <w:trHeight w:val="270" w:hRule="atLeast"/>
        </w:trPr>
        <w:tc>
          <w:tcPr>
            <w:tcW w:w="0" w:type="auto"/>
            <w:tcBorders>
              <w:top w:val="nil"/>
              <w:left w:val="single" w:color="000000" w:sz="8" w:space="0"/>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东营</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东方华龙</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催化</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2021年3月23日</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2020年1月23日</w:t>
            </w:r>
          </w:p>
        </w:tc>
      </w:tr>
      <w:tr>
        <w:tblPrEx>
          <w:tblCellMar>
            <w:top w:w="0" w:type="dxa"/>
            <w:left w:w="0" w:type="dxa"/>
            <w:bottom w:w="0" w:type="dxa"/>
            <w:right w:w="0" w:type="dxa"/>
          </w:tblCellMar>
        </w:tblPrEx>
        <w:trPr>
          <w:trHeight w:val="27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淄博</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汇丰石化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轮检</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待定</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2021年3月中下旬</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滨州</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京博石化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常减压</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2021年3月</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2021年2月20日</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东营</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正和石化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全厂</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2021年5月</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2021年4月</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东营</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科力达石化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常减压</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2021年4月</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2021年3月21日</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东营</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海科瑞林</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全厂</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2021年6月</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2021年6月</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中海外能源</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全厂</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2021年4月</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2021年4月</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东营</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华星石化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全厂</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2021年9月</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2021年9月</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东营</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神驰石化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全厂</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2021年5月</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2021年5月</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东营</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齐成石化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轮检</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2021年5月</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2021年5月</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东营</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联合石化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全厂</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2021年7月</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2021年7月</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东营</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利津炼化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全厂</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2021年5月</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2021年5月</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滨州</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博兴永鑫</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常减压</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2021年5月</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2021年4月</w:t>
            </w:r>
          </w:p>
        </w:tc>
      </w:tr>
      <w:tr>
        <w:tblPrEx>
          <w:tblCellMar>
            <w:top w:w="0" w:type="dxa"/>
            <w:left w:w="0" w:type="dxa"/>
            <w:bottom w:w="0" w:type="dxa"/>
            <w:right w:w="0"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日照</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海右石化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全厂</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2021年5月</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2021年1月</w:t>
            </w:r>
          </w:p>
        </w:tc>
      </w:tr>
      <w:tr>
        <w:tblPrEx>
          <w:tblCellMar>
            <w:top w:w="0" w:type="dxa"/>
            <w:left w:w="0" w:type="dxa"/>
            <w:bottom w:w="0" w:type="dxa"/>
            <w:right w:w="0" w:type="dxa"/>
          </w:tblCellMar>
        </w:tblPrEx>
        <w:trPr>
          <w:trHeight w:val="3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东营</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亚通石化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延迟焦化、加氢</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推迟</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推迟</w:t>
            </w:r>
          </w:p>
        </w:tc>
      </w:tr>
      <w:tr>
        <w:tblPrEx>
          <w:tblCellMar>
            <w:top w:w="0" w:type="dxa"/>
            <w:left w:w="0" w:type="dxa"/>
            <w:bottom w:w="0" w:type="dxa"/>
            <w:right w:w="0"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滨州</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滨阳燃化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柴油加氢</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待定</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2020年7月</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滨州</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博兴永鑫</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延迟焦化</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待定</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2021年2月22日</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淄博</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金诚石化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新厂</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2021年3月</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2021年3月</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东营</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垦利石化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小重整</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待定</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2019年4月27日</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德州</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恒源石化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焦化</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待定</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2021年3月中旬</w:t>
            </w:r>
          </w:p>
        </w:tc>
      </w:tr>
      <w:tr>
        <w:tblPrEx>
          <w:tblCellMar>
            <w:top w:w="0" w:type="dxa"/>
            <w:left w:w="0" w:type="dxa"/>
            <w:bottom w:w="0" w:type="dxa"/>
            <w:right w:w="0"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龙海石化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全场检修</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2021年3月底</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2021年2月2日</w:t>
            </w:r>
          </w:p>
        </w:tc>
      </w:tr>
      <w:tr>
        <w:tblPrEx>
          <w:tblCellMar>
            <w:top w:w="0" w:type="dxa"/>
            <w:left w:w="0" w:type="dxa"/>
            <w:bottom w:w="0" w:type="dxa"/>
            <w:right w:w="0" w:type="dxa"/>
          </w:tblCellMar>
        </w:tblPrEx>
        <w:trPr>
          <w:trHeight w:val="27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辽宁缘泰</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常减压装置</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待定</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2021年2月2日</w:t>
            </w:r>
          </w:p>
        </w:tc>
      </w:tr>
      <w:tr>
        <w:tblPrEx>
          <w:tblCellMar>
            <w:top w:w="0" w:type="dxa"/>
            <w:left w:w="0" w:type="dxa"/>
            <w:bottom w:w="0" w:type="dxa"/>
            <w:right w:w="0"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辽宁华锦</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全厂检修</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2021年7月</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2021年6月</w:t>
            </w:r>
          </w:p>
        </w:tc>
      </w:tr>
      <w:tr>
        <w:tblPrEx>
          <w:tblCellMar>
            <w:top w:w="0" w:type="dxa"/>
            <w:left w:w="0" w:type="dxa"/>
            <w:bottom w:w="0" w:type="dxa"/>
            <w:right w:w="0"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新海石化</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全厂检修</w:t>
            </w:r>
          </w:p>
        </w:tc>
        <w:tc>
          <w:tcPr>
            <w:tcW w:w="12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2021/5/10</w:t>
            </w:r>
          </w:p>
        </w:tc>
        <w:tc>
          <w:tcPr>
            <w:tcW w:w="16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2021/3/25</w:t>
            </w:r>
          </w:p>
        </w:tc>
      </w:tr>
    </w:tbl>
    <w:p>
      <w:pPr>
        <w:rPr>
          <w:rFonts w:hint="eastAsia"/>
        </w:rPr>
      </w:pPr>
    </w:p>
    <w:p>
      <w:pPr>
        <w:pStyle w:val="3"/>
        <w:spacing w:before="120" w:after="120" w:line="240" w:lineRule="auto"/>
        <w:rPr>
          <w:rFonts w:hint="eastAsia" w:ascii="宋体" w:hAnsi="宋体"/>
          <w:b/>
          <w:sz w:val="30"/>
          <w:szCs w:val="30"/>
          <w:highlight w:val="none"/>
        </w:rPr>
      </w:pPr>
      <w:bookmarkStart w:id="16" w:name="_Toc13096"/>
      <w:r>
        <w:rPr>
          <w:rFonts w:hint="eastAsia" w:ascii="宋体" w:hAnsi="宋体"/>
          <w:b/>
          <w:sz w:val="30"/>
          <w:szCs w:val="30"/>
          <w:highlight w:val="none"/>
        </w:rPr>
        <w:t>3.2本周成品油市场行情</w:t>
      </w:r>
      <w:bookmarkEnd w:id="16"/>
    </w:p>
    <w:p>
      <w:pPr>
        <w:pStyle w:val="23"/>
        <w:keepNext w:val="0"/>
        <w:keepLines w:val="0"/>
        <w:widowControl/>
        <w:suppressLineNumbers w:val="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　本周(4月29日-</w:t>
      </w:r>
      <w:r>
        <w:rPr>
          <w:rFonts w:hint="eastAsia" w:cs="宋体"/>
          <w:color w:val="auto"/>
          <w:kern w:val="2"/>
          <w:sz w:val="28"/>
          <w:szCs w:val="28"/>
          <w:shd w:val="clear" w:color="auto" w:fill="FFFFFF"/>
          <w:lang w:val="en-US" w:eastAsia="zh-CN"/>
        </w:rPr>
        <w:t>5</w:t>
      </w:r>
      <w:r>
        <w:rPr>
          <w:rFonts w:hint="eastAsia" w:ascii="宋体" w:hAnsi="宋体" w:eastAsia="宋体" w:cs="宋体"/>
          <w:color w:val="auto"/>
          <w:kern w:val="2"/>
          <w:sz w:val="28"/>
          <w:szCs w:val="28"/>
          <w:shd w:val="clear" w:color="auto" w:fill="FFFFFF"/>
        </w:rPr>
        <w:t>月</w:t>
      </w:r>
      <w:r>
        <w:rPr>
          <w:rFonts w:hint="eastAsia" w:cs="宋体"/>
          <w:color w:val="auto"/>
          <w:kern w:val="2"/>
          <w:sz w:val="28"/>
          <w:szCs w:val="28"/>
          <w:shd w:val="clear" w:color="auto" w:fill="FFFFFF"/>
          <w:lang w:val="en-US" w:eastAsia="zh-CN"/>
        </w:rPr>
        <w:t>6</w:t>
      </w:r>
      <w:r>
        <w:rPr>
          <w:rFonts w:hint="eastAsia" w:ascii="宋体" w:hAnsi="宋体" w:eastAsia="宋体" w:cs="宋体"/>
          <w:color w:val="auto"/>
          <w:kern w:val="2"/>
          <w:sz w:val="28"/>
          <w:szCs w:val="28"/>
          <w:shd w:val="clear" w:color="auto" w:fill="FFFFFF"/>
        </w:rPr>
        <w:t>日)，国际原油期货先抑后扬，受消息面影响，国内成品油市场行情跌后略有反弹，市场交投氛围</w:t>
      </w:r>
      <w:r>
        <w:rPr>
          <w:rFonts w:hint="eastAsia" w:cs="宋体"/>
          <w:color w:val="auto"/>
          <w:kern w:val="2"/>
          <w:sz w:val="28"/>
          <w:szCs w:val="28"/>
          <w:shd w:val="clear" w:color="auto" w:fill="FFFFFF"/>
          <w:lang w:eastAsia="zh-CN"/>
        </w:rPr>
        <w:t>清淡</w:t>
      </w:r>
      <w:r>
        <w:rPr>
          <w:rFonts w:hint="eastAsia" w:ascii="宋体" w:hAnsi="宋体" w:eastAsia="宋体" w:cs="宋体"/>
          <w:color w:val="auto"/>
          <w:kern w:val="2"/>
          <w:sz w:val="28"/>
          <w:szCs w:val="28"/>
          <w:shd w:val="clear" w:color="auto" w:fill="FFFFFF"/>
        </w:rPr>
        <w:t>。与此同时，山东地炼成品油行情稳中有涨，部分装置停车检修，终端需求尚可，区内炼厂小幅推涨汽柴油价格，相比之下，柴油需求表现</w:t>
      </w:r>
      <w:r>
        <w:rPr>
          <w:rFonts w:hint="eastAsia" w:cs="宋体"/>
          <w:color w:val="auto"/>
          <w:kern w:val="2"/>
          <w:sz w:val="28"/>
          <w:szCs w:val="28"/>
          <w:shd w:val="clear" w:color="auto" w:fill="FFFFFF"/>
          <w:lang w:eastAsia="zh-CN"/>
        </w:rPr>
        <w:t>略显平淡</w:t>
      </w:r>
      <w:r>
        <w:rPr>
          <w:rFonts w:hint="eastAsia" w:ascii="宋体" w:hAnsi="宋体" w:eastAsia="宋体" w:cs="宋体"/>
          <w:color w:val="auto"/>
          <w:kern w:val="2"/>
          <w:sz w:val="28"/>
          <w:szCs w:val="28"/>
          <w:shd w:val="clear" w:color="auto" w:fill="FFFFFF"/>
        </w:rPr>
        <w:t>，价格波动甚微。业者消库之余按需购进，市场交投气氛</w:t>
      </w:r>
      <w:r>
        <w:rPr>
          <w:rFonts w:hint="eastAsia" w:cs="宋体"/>
          <w:color w:val="auto"/>
          <w:kern w:val="2"/>
          <w:sz w:val="28"/>
          <w:szCs w:val="28"/>
          <w:shd w:val="clear" w:color="auto" w:fill="FFFFFF"/>
          <w:lang w:eastAsia="zh-CN"/>
        </w:rPr>
        <w:t>一般</w:t>
      </w:r>
      <w:r>
        <w:rPr>
          <w:rFonts w:hint="eastAsia" w:ascii="宋体" w:hAnsi="宋体" w:eastAsia="宋体" w:cs="宋体"/>
          <w:color w:val="auto"/>
          <w:kern w:val="2"/>
          <w:sz w:val="28"/>
          <w:szCs w:val="28"/>
          <w:shd w:val="clear" w:color="auto" w:fill="FFFFFF"/>
        </w:rPr>
        <w:t>。</w:t>
      </w:r>
    </w:p>
    <w:p>
      <w:pPr>
        <w:pStyle w:val="23"/>
        <w:keepNext w:val="0"/>
        <w:keepLines w:val="0"/>
        <w:widowControl/>
        <w:suppressLineNumbers w:val="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　本周(4月29日-</w:t>
      </w:r>
      <w:r>
        <w:rPr>
          <w:rFonts w:hint="eastAsia" w:cs="宋体"/>
          <w:color w:val="auto"/>
          <w:kern w:val="2"/>
          <w:sz w:val="28"/>
          <w:szCs w:val="28"/>
          <w:shd w:val="clear" w:color="auto" w:fill="FFFFFF"/>
          <w:lang w:val="en-US" w:eastAsia="zh-CN"/>
        </w:rPr>
        <w:t>5</w:t>
      </w:r>
      <w:r>
        <w:rPr>
          <w:rFonts w:hint="eastAsia" w:ascii="宋体" w:hAnsi="宋体" w:eastAsia="宋体" w:cs="宋体"/>
          <w:color w:val="auto"/>
          <w:kern w:val="2"/>
          <w:sz w:val="28"/>
          <w:szCs w:val="28"/>
          <w:shd w:val="clear" w:color="auto" w:fill="FFFFFF"/>
        </w:rPr>
        <w:t>月</w:t>
      </w:r>
      <w:r>
        <w:rPr>
          <w:rFonts w:hint="eastAsia" w:cs="宋体"/>
          <w:color w:val="auto"/>
          <w:kern w:val="2"/>
          <w:sz w:val="28"/>
          <w:szCs w:val="28"/>
          <w:shd w:val="clear" w:color="auto" w:fill="FFFFFF"/>
          <w:lang w:val="en-US" w:eastAsia="zh-CN"/>
        </w:rPr>
        <w:t>6</w:t>
      </w:r>
      <w:r>
        <w:rPr>
          <w:rFonts w:hint="eastAsia" w:ascii="宋体" w:hAnsi="宋体" w:eastAsia="宋体" w:cs="宋体"/>
          <w:color w:val="auto"/>
          <w:kern w:val="2"/>
          <w:sz w:val="28"/>
          <w:szCs w:val="28"/>
          <w:shd w:val="clear" w:color="auto" w:fill="FFFFFF"/>
        </w:rPr>
        <w:t>日)</w:t>
      </w:r>
      <w:r>
        <w:rPr>
          <w:rFonts w:hint="eastAsia" w:ascii="宋体" w:hAnsi="宋体" w:eastAsia="宋体" w:cs="宋体"/>
          <w:color w:val="auto"/>
          <w:kern w:val="2"/>
          <w:sz w:val="28"/>
          <w:szCs w:val="28"/>
          <w:shd w:val="clear" w:color="auto" w:fill="FFFFFF"/>
          <w:lang w:eastAsia="zh-CN"/>
        </w:rPr>
        <w:t>，</w:t>
      </w:r>
      <w:r>
        <w:rPr>
          <w:rFonts w:hint="eastAsia" w:ascii="宋体" w:hAnsi="宋体" w:eastAsia="宋体" w:cs="宋体"/>
          <w:color w:val="auto"/>
          <w:kern w:val="2"/>
          <w:sz w:val="28"/>
          <w:szCs w:val="28"/>
          <w:shd w:val="clear" w:color="auto" w:fill="FFFFFF"/>
        </w:rPr>
        <w:t>国际油价涨跌微调，主营汽柴油挂牌价格偏强整理，具体来看，本周国际原油震荡走高，零售价如期兑现上调，消息面</w:t>
      </w:r>
      <w:r>
        <w:rPr>
          <w:rFonts w:hint="eastAsia" w:cs="宋体"/>
          <w:color w:val="auto"/>
          <w:kern w:val="2"/>
          <w:sz w:val="28"/>
          <w:szCs w:val="28"/>
          <w:shd w:val="clear" w:color="auto" w:fill="FFFFFF"/>
          <w:lang w:eastAsia="zh-CN"/>
        </w:rPr>
        <w:t>依旧</w:t>
      </w:r>
      <w:r>
        <w:rPr>
          <w:rFonts w:hint="eastAsia" w:ascii="宋体" w:hAnsi="宋体" w:eastAsia="宋体" w:cs="宋体"/>
          <w:color w:val="auto"/>
          <w:kern w:val="2"/>
          <w:sz w:val="28"/>
          <w:szCs w:val="28"/>
          <w:shd w:val="clear" w:color="auto" w:fill="FFFFFF"/>
        </w:rPr>
        <w:t>向好。不过前期因带票资源紧张，区内价格多已涨至高位，且本周为月度</w:t>
      </w:r>
      <w:r>
        <w:rPr>
          <w:rFonts w:hint="eastAsia" w:cs="宋体"/>
          <w:color w:val="auto"/>
          <w:kern w:val="2"/>
          <w:sz w:val="28"/>
          <w:szCs w:val="28"/>
          <w:shd w:val="clear" w:color="auto" w:fill="FFFFFF"/>
          <w:lang w:eastAsia="zh-CN"/>
        </w:rPr>
        <w:t>第</w:t>
      </w:r>
      <w:r>
        <w:rPr>
          <w:rFonts w:hint="eastAsia" w:ascii="宋体" w:hAnsi="宋体" w:eastAsia="宋体" w:cs="宋体"/>
          <w:color w:val="auto"/>
          <w:kern w:val="2"/>
          <w:sz w:val="28"/>
          <w:szCs w:val="28"/>
          <w:shd w:val="clear" w:color="auto" w:fill="FFFFFF"/>
        </w:rPr>
        <w:t>一个销售周期，主营销售压力</w:t>
      </w:r>
      <w:r>
        <w:rPr>
          <w:rFonts w:hint="eastAsia" w:cs="宋体"/>
          <w:color w:val="auto"/>
          <w:kern w:val="2"/>
          <w:sz w:val="28"/>
          <w:szCs w:val="28"/>
          <w:shd w:val="clear" w:color="auto" w:fill="FFFFFF"/>
          <w:lang w:eastAsia="zh-CN"/>
        </w:rPr>
        <w:t>尚可</w:t>
      </w:r>
      <w:r>
        <w:rPr>
          <w:rFonts w:hint="eastAsia" w:ascii="宋体" w:hAnsi="宋体" w:eastAsia="宋体" w:cs="宋体"/>
          <w:color w:val="auto"/>
          <w:kern w:val="2"/>
          <w:sz w:val="28"/>
          <w:szCs w:val="28"/>
          <w:shd w:val="clear" w:color="auto" w:fill="FFFFFF"/>
        </w:rPr>
        <w:t>。五一</w:t>
      </w:r>
      <w:r>
        <w:rPr>
          <w:rFonts w:hint="eastAsia" w:cs="宋体"/>
          <w:color w:val="auto"/>
          <w:kern w:val="2"/>
          <w:sz w:val="28"/>
          <w:szCs w:val="28"/>
          <w:shd w:val="clear" w:color="auto" w:fill="FFFFFF"/>
          <w:lang w:eastAsia="zh-CN"/>
        </w:rPr>
        <w:t>假期期间</w:t>
      </w:r>
      <w:r>
        <w:rPr>
          <w:rFonts w:hint="eastAsia" w:ascii="宋体" w:hAnsi="宋体" w:eastAsia="宋体" w:cs="宋体"/>
          <w:color w:val="auto"/>
          <w:kern w:val="2"/>
          <w:sz w:val="28"/>
          <w:szCs w:val="28"/>
          <w:shd w:val="clear" w:color="auto" w:fill="FFFFFF"/>
        </w:rPr>
        <w:t>，</w:t>
      </w:r>
      <w:r>
        <w:rPr>
          <w:rFonts w:hint="eastAsia" w:cs="宋体"/>
          <w:color w:val="auto"/>
          <w:kern w:val="2"/>
          <w:sz w:val="28"/>
          <w:szCs w:val="28"/>
          <w:shd w:val="clear" w:color="auto" w:fill="FFFFFF"/>
          <w:lang w:eastAsia="zh-CN"/>
        </w:rPr>
        <w:t>在旅游出行带动下，促进油量消耗</w:t>
      </w:r>
      <w:r>
        <w:rPr>
          <w:rFonts w:hint="eastAsia" w:ascii="宋体" w:hAnsi="宋体" w:eastAsia="宋体" w:cs="宋体"/>
          <w:color w:val="auto"/>
          <w:kern w:val="2"/>
          <w:sz w:val="28"/>
          <w:szCs w:val="28"/>
          <w:shd w:val="clear" w:color="auto" w:fill="FFFFFF"/>
        </w:rPr>
        <w:t>，局部地区交投气氛</w:t>
      </w:r>
      <w:r>
        <w:rPr>
          <w:rFonts w:hint="eastAsia" w:cs="宋体"/>
          <w:color w:val="auto"/>
          <w:kern w:val="2"/>
          <w:sz w:val="28"/>
          <w:szCs w:val="28"/>
          <w:shd w:val="clear" w:color="auto" w:fill="FFFFFF"/>
          <w:lang w:eastAsia="zh-CN"/>
        </w:rPr>
        <w:t>明显</w:t>
      </w:r>
      <w:r>
        <w:rPr>
          <w:rFonts w:hint="eastAsia" w:ascii="宋体" w:hAnsi="宋体" w:eastAsia="宋体" w:cs="宋体"/>
          <w:color w:val="auto"/>
          <w:kern w:val="2"/>
          <w:sz w:val="28"/>
          <w:szCs w:val="28"/>
          <w:shd w:val="clear" w:color="auto" w:fill="FFFFFF"/>
        </w:rPr>
        <w:t>好转。近日原油连涨令消息面利好加深，各单位根据自身销售进度涨跌调整，整体购销气氛回归清淡。后期来看，下周国际原油或表现为先扬后抑走势运行，后期地炼检修进一步增加，市场基本面对后市仍有一定支撑。预计区内主营汽柴油价格或维持高位运行。</w:t>
      </w:r>
    </w:p>
    <w:p>
      <w:pPr>
        <w:pStyle w:val="23"/>
        <w:keepNext w:val="0"/>
        <w:keepLines w:val="0"/>
        <w:widowControl/>
        <w:suppressLineNumbers w:val="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　本周(4月29日-</w:t>
      </w:r>
      <w:r>
        <w:rPr>
          <w:rFonts w:hint="eastAsia" w:cs="宋体"/>
          <w:color w:val="auto"/>
          <w:kern w:val="2"/>
          <w:sz w:val="28"/>
          <w:szCs w:val="28"/>
          <w:shd w:val="clear" w:color="auto" w:fill="FFFFFF"/>
          <w:lang w:val="en-US" w:eastAsia="zh-CN"/>
        </w:rPr>
        <w:t>5</w:t>
      </w:r>
      <w:r>
        <w:rPr>
          <w:rFonts w:hint="eastAsia" w:ascii="宋体" w:hAnsi="宋体" w:eastAsia="宋体" w:cs="宋体"/>
          <w:color w:val="auto"/>
          <w:kern w:val="2"/>
          <w:sz w:val="28"/>
          <w:szCs w:val="28"/>
          <w:shd w:val="clear" w:color="auto" w:fill="FFFFFF"/>
        </w:rPr>
        <w:t>月</w:t>
      </w:r>
      <w:r>
        <w:rPr>
          <w:rFonts w:hint="eastAsia" w:cs="宋体"/>
          <w:color w:val="auto"/>
          <w:kern w:val="2"/>
          <w:sz w:val="28"/>
          <w:szCs w:val="28"/>
          <w:shd w:val="clear" w:color="auto" w:fill="FFFFFF"/>
          <w:lang w:val="en-US" w:eastAsia="zh-CN"/>
        </w:rPr>
        <w:t>6</w:t>
      </w:r>
      <w:r>
        <w:rPr>
          <w:rFonts w:hint="eastAsia" w:ascii="宋体" w:hAnsi="宋体" w:eastAsia="宋体" w:cs="宋体"/>
          <w:color w:val="auto"/>
          <w:kern w:val="2"/>
          <w:sz w:val="28"/>
          <w:szCs w:val="28"/>
          <w:shd w:val="clear" w:color="auto" w:fill="FFFFFF"/>
        </w:rPr>
        <w:t>日)，缺乏有效利好支撑，华东地区成品油行情高位松动。具体来看，本周国际原油期价震荡上行，零售价如期兑现上调，但涨幅有限，消息面对市场支撑力度有限。与此同时，初期地方炼厂成品油价格有所回落，社会资源行情松动，主营外采成本随之下降，加之前期主营价格已经处于高位，导致市场购进乏力，正处月末部分单位仍有欠量，为促进成交，适度回调油价。节后归来，国际油价或保持震荡，消息面指引有限，加之进入新的销售月份，暂无销售压力，故预计区内主营成品油销售政策或相对坚挺。</w:t>
      </w:r>
    </w:p>
    <w:p>
      <w:pPr>
        <w:pStyle w:val="23"/>
        <w:keepNext w:val="0"/>
        <w:keepLines w:val="0"/>
        <w:widowControl/>
        <w:suppressLineNumbers w:val="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　本周(4月29日-</w:t>
      </w:r>
      <w:r>
        <w:rPr>
          <w:rFonts w:hint="eastAsia" w:cs="宋体"/>
          <w:color w:val="auto"/>
          <w:kern w:val="2"/>
          <w:sz w:val="28"/>
          <w:szCs w:val="28"/>
          <w:shd w:val="clear" w:color="auto" w:fill="FFFFFF"/>
          <w:lang w:val="en-US" w:eastAsia="zh-CN"/>
        </w:rPr>
        <w:t>5</w:t>
      </w:r>
      <w:r>
        <w:rPr>
          <w:rFonts w:hint="eastAsia" w:ascii="宋体" w:hAnsi="宋体" w:eastAsia="宋体" w:cs="宋体"/>
          <w:color w:val="auto"/>
          <w:kern w:val="2"/>
          <w:sz w:val="28"/>
          <w:szCs w:val="28"/>
          <w:shd w:val="clear" w:color="auto" w:fill="FFFFFF"/>
        </w:rPr>
        <w:t>月</w:t>
      </w:r>
      <w:r>
        <w:rPr>
          <w:rFonts w:hint="eastAsia" w:cs="宋体"/>
          <w:color w:val="auto"/>
          <w:kern w:val="2"/>
          <w:sz w:val="28"/>
          <w:szCs w:val="28"/>
          <w:shd w:val="clear" w:color="auto" w:fill="FFFFFF"/>
          <w:lang w:val="en-US" w:eastAsia="zh-CN"/>
        </w:rPr>
        <w:t>6</w:t>
      </w:r>
      <w:r>
        <w:rPr>
          <w:rFonts w:hint="eastAsia" w:ascii="宋体" w:hAnsi="宋体" w:eastAsia="宋体" w:cs="宋体"/>
          <w:color w:val="auto"/>
          <w:kern w:val="2"/>
          <w:sz w:val="28"/>
          <w:szCs w:val="28"/>
          <w:shd w:val="clear" w:color="auto" w:fill="FFFFFF"/>
        </w:rPr>
        <w:t>日)</w:t>
      </w:r>
      <w:r>
        <w:rPr>
          <w:rFonts w:hint="eastAsia" w:cs="宋体"/>
          <w:color w:val="auto"/>
          <w:kern w:val="2"/>
          <w:sz w:val="28"/>
          <w:szCs w:val="28"/>
          <w:shd w:val="clear" w:color="auto" w:fill="FFFFFF"/>
          <w:lang w:eastAsia="zh-CN"/>
        </w:rPr>
        <w:t>，</w:t>
      </w:r>
      <w:r>
        <w:rPr>
          <w:rFonts w:hint="eastAsia" w:ascii="宋体" w:hAnsi="宋体" w:eastAsia="宋体" w:cs="宋体"/>
          <w:color w:val="auto"/>
          <w:kern w:val="2"/>
          <w:sz w:val="28"/>
          <w:szCs w:val="28"/>
          <w:shd w:val="clear" w:color="auto" w:fill="FFFFFF"/>
        </w:rPr>
        <w:t>华南地区汽柴油市场整体走势较为平稳，交投气氛清淡。具体来看，周内国际原油市场呈现跌后上涨走势，成品油上调窗口正式开启，受此利好因素支撑，主营单位稳价心态明显，但由于下游接货量有限，整体成交清淡，主营市场多适当的降价出货。新一轮成品油调价窗口呈现小幅上调预期，且5月份国际原油市场多维持稳中上涨走势，整体需求面表现较为乐观，预计短期内市场将延续震荡上涨走势。</w:t>
      </w:r>
    </w:p>
    <w:p>
      <w:pPr>
        <w:pStyle w:val="23"/>
        <w:keepNext w:val="0"/>
        <w:keepLines w:val="0"/>
        <w:widowControl/>
        <w:suppressLineNumbers w:val="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　本周(4月29日-</w:t>
      </w:r>
      <w:r>
        <w:rPr>
          <w:rFonts w:hint="eastAsia" w:cs="宋体"/>
          <w:color w:val="auto"/>
          <w:kern w:val="2"/>
          <w:sz w:val="28"/>
          <w:szCs w:val="28"/>
          <w:shd w:val="clear" w:color="auto" w:fill="FFFFFF"/>
          <w:lang w:val="en-US" w:eastAsia="zh-CN"/>
        </w:rPr>
        <w:t>5</w:t>
      </w:r>
      <w:r>
        <w:rPr>
          <w:rFonts w:hint="eastAsia" w:ascii="宋体" w:hAnsi="宋体" w:eastAsia="宋体" w:cs="宋体"/>
          <w:color w:val="auto"/>
          <w:kern w:val="2"/>
          <w:sz w:val="28"/>
          <w:szCs w:val="28"/>
          <w:shd w:val="clear" w:color="auto" w:fill="FFFFFF"/>
        </w:rPr>
        <w:t>月</w:t>
      </w:r>
      <w:r>
        <w:rPr>
          <w:rFonts w:hint="eastAsia" w:cs="宋体"/>
          <w:color w:val="auto"/>
          <w:kern w:val="2"/>
          <w:sz w:val="28"/>
          <w:szCs w:val="28"/>
          <w:shd w:val="clear" w:color="auto" w:fill="FFFFFF"/>
          <w:lang w:val="en-US" w:eastAsia="zh-CN"/>
        </w:rPr>
        <w:t>6</w:t>
      </w:r>
      <w:r>
        <w:rPr>
          <w:rFonts w:hint="eastAsia" w:ascii="宋体" w:hAnsi="宋体" w:eastAsia="宋体" w:cs="宋体"/>
          <w:color w:val="auto"/>
          <w:kern w:val="2"/>
          <w:sz w:val="28"/>
          <w:szCs w:val="28"/>
          <w:shd w:val="clear" w:color="auto" w:fill="FFFFFF"/>
        </w:rPr>
        <w:t>日)，上调预期支撑减弱 区内行情明稳暗跌。分析来看，本周国际油价走势震荡上行，但国内调价变化率小幅收窄，消息面支撑减弱。周初受上调预期支撑，主营单位挺价心态较重，下游入市心态不高，购销气氛清淡。周内原油走势先跌后涨，但变化率正值小幅收窄，部分单位在月底走量压力较重，实际成交宽幅优惠，成交气氛小幅好转</w:t>
      </w:r>
      <w:r>
        <w:rPr>
          <w:rFonts w:hint="eastAsia" w:cs="宋体"/>
          <w:color w:val="auto"/>
          <w:kern w:val="2"/>
          <w:sz w:val="28"/>
          <w:szCs w:val="28"/>
          <w:shd w:val="clear" w:color="auto" w:fill="FFFFFF"/>
          <w:lang w:eastAsia="zh-CN"/>
        </w:rPr>
        <w:t>。</w:t>
      </w:r>
      <w:r>
        <w:rPr>
          <w:rFonts w:hint="eastAsia" w:ascii="宋体" w:hAnsi="宋体" w:eastAsia="宋体" w:cs="宋体"/>
          <w:color w:val="auto"/>
          <w:kern w:val="2"/>
          <w:sz w:val="28"/>
          <w:szCs w:val="28"/>
          <w:shd w:val="clear" w:color="auto" w:fill="FFFFFF"/>
        </w:rPr>
        <w:t>后市而言，虽然OPEC乐观看待需求前景，但印度疫情引发的需求疑虑仍会压制原油走势，下周国际油价走势或先扬后抑，整体表现依旧震荡。因国内调价新一轮调价预期仍显示小涨，短期内对国内行情支撑受限，预计主营单位价格走势</w:t>
      </w:r>
      <w:r>
        <w:rPr>
          <w:rFonts w:hint="eastAsia" w:cs="宋体"/>
          <w:color w:val="auto"/>
          <w:kern w:val="2"/>
          <w:sz w:val="28"/>
          <w:szCs w:val="28"/>
          <w:shd w:val="clear" w:color="auto" w:fill="FFFFFF"/>
          <w:lang w:eastAsia="zh-CN"/>
        </w:rPr>
        <w:t>变动较小</w:t>
      </w:r>
      <w:r>
        <w:rPr>
          <w:rFonts w:hint="eastAsia" w:ascii="宋体" w:hAnsi="宋体" w:eastAsia="宋体" w:cs="宋体"/>
          <w:color w:val="auto"/>
          <w:kern w:val="2"/>
          <w:sz w:val="28"/>
          <w:szCs w:val="28"/>
          <w:shd w:val="clear" w:color="auto" w:fill="FFFFFF"/>
        </w:rPr>
        <w:t>，实际成交继续维持优惠为主。</w:t>
      </w:r>
    </w:p>
    <w:p>
      <w:pPr>
        <w:pStyle w:val="23"/>
        <w:keepNext w:val="0"/>
        <w:keepLines w:val="0"/>
        <w:widowControl/>
        <w:suppressLineNumbers w:val="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　本周(4月29日-</w:t>
      </w:r>
      <w:r>
        <w:rPr>
          <w:rFonts w:hint="eastAsia" w:cs="宋体"/>
          <w:color w:val="auto"/>
          <w:kern w:val="2"/>
          <w:sz w:val="28"/>
          <w:szCs w:val="28"/>
          <w:shd w:val="clear" w:color="auto" w:fill="FFFFFF"/>
          <w:lang w:val="en-US" w:eastAsia="zh-CN"/>
        </w:rPr>
        <w:t>5</w:t>
      </w:r>
      <w:r>
        <w:rPr>
          <w:rFonts w:hint="eastAsia" w:ascii="宋体" w:hAnsi="宋体" w:eastAsia="宋体" w:cs="宋体"/>
          <w:color w:val="auto"/>
          <w:kern w:val="2"/>
          <w:sz w:val="28"/>
          <w:szCs w:val="28"/>
          <w:shd w:val="clear" w:color="auto" w:fill="FFFFFF"/>
        </w:rPr>
        <w:t>月</w:t>
      </w:r>
      <w:r>
        <w:rPr>
          <w:rFonts w:hint="eastAsia" w:cs="宋体"/>
          <w:color w:val="auto"/>
          <w:kern w:val="2"/>
          <w:sz w:val="28"/>
          <w:szCs w:val="28"/>
          <w:shd w:val="clear" w:color="auto" w:fill="FFFFFF"/>
          <w:lang w:val="en-US" w:eastAsia="zh-CN"/>
        </w:rPr>
        <w:t>6</w:t>
      </w:r>
      <w:r>
        <w:rPr>
          <w:rFonts w:hint="eastAsia" w:ascii="宋体" w:hAnsi="宋体" w:eastAsia="宋体" w:cs="宋体"/>
          <w:color w:val="auto"/>
          <w:kern w:val="2"/>
          <w:sz w:val="28"/>
          <w:szCs w:val="28"/>
          <w:shd w:val="clear" w:color="auto" w:fill="FFFFFF"/>
        </w:rPr>
        <w:t>日)，西北地炼汽柴行情小幅回落，市场成交气氛平平。分析来看：国际油价高位震荡，本周三成品油零售价上调兑现，但涨幅有限，消息面对市场支撑力度仍有限。“五一”小长假</w:t>
      </w:r>
      <w:r>
        <w:rPr>
          <w:rFonts w:hint="eastAsia" w:cs="宋体"/>
          <w:color w:val="auto"/>
          <w:kern w:val="2"/>
          <w:sz w:val="28"/>
          <w:szCs w:val="28"/>
          <w:shd w:val="clear" w:color="auto" w:fill="FFFFFF"/>
          <w:lang w:eastAsia="zh-CN"/>
        </w:rPr>
        <w:t>期间</w:t>
      </w:r>
      <w:r>
        <w:rPr>
          <w:rFonts w:hint="eastAsia" w:ascii="宋体" w:hAnsi="宋体" w:eastAsia="宋体" w:cs="宋体"/>
          <w:color w:val="auto"/>
          <w:kern w:val="2"/>
          <w:sz w:val="28"/>
          <w:szCs w:val="28"/>
          <w:shd w:val="clear" w:color="auto" w:fill="FFFFFF"/>
        </w:rPr>
        <w:t>，私家车出行增多，汽油需求提升空间</w:t>
      </w:r>
      <w:r>
        <w:rPr>
          <w:rFonts w:hint="eastAsia" w:cs="宋体"/>
          <w:color w:val="auto"/>
          <w:kern w:val="2"/>
          <w:sz w:val="28"/>
          <w:szCs w:val="28"/>
          <w:shd w:val="clear" w:color="auto" w:fill="FFFFFF"/>
          <w:lang w:eastAsia="zh-CN"/>
        </w:rPr>
        <w:t>较大</w:t>
      </w:r>
      <w:r>
        <w:rPr>
          <w:rFonts w:hint="eastAsia" w:ascii="宋体" w:hAnsi="宋体" w:eastAsia="宋体" w:cs="宋体"/>
          <w:color w:val="auto"/>
          <w:kern w:val="2"/>
          <w:sz w:val="28"/>
          <w:szCs w:val="28"/>
          <w:shd w:val="clear" w:color="auto" w:fill="FFFFFF"/>
        </w:rPr>
        <w:t>;柴油方面，工程基建等行业开工率维持高位，柴油需求仍有支撑。周内</w:t>
      </w:r>
      <w:r>
        <w:rPr>
          <w:rFonts w:hint="eastAsia" w:cs="宋体"/>
          <w:color w:val="auto"/>
          <w:kern w:val="2"/>
          <w:sz w:val="28"/>
          <w:szCs w:val="28"/>
          <w:shd w:val="clear" w:color="auto" w:fill="FFFFFF"/>
          <w:lang w:eastAsia="zh-CN"/>
        </w:rPr>
        <w:t>以</w:t>
      </w:r>
      <w:r>
        <w:rPr>
          <w:rFonts w:hint="eastAsia" w:ascii="宋体" w:hAnsi="宋体" w:eastAsia="宋体" w:cs="宋体"/>
          <w:color w:val="auto"/>
          <w:kern w:val="2"/>
          <w:sz w:val="28"/>
          <w:szCs w:val="28"/>
          <w:shd w:val="clear" w:color="auto" w:fill="FFFFFF"/>
        </w:rPr>
        <w:t>消</w:t>
      </w:r>
      <w:r>
        <w:rPr>
          <w:rFonts w:hint="eastAsia" w:cs="宋体"/>
          <w:color w:val="auto"/>
          <w:kern w:val="2"/>
          <w:sz w:val="28"/>
          <w:szCs w:val="28"/>
          <w:shd w:val="clear" w:color="auto" w:fill="FFFFFF"/>
          <w:lang w:eastAsia="zh-CN"/>
        </w:rPr>
        <w:t>耗</w:t>
      </w:r>
      <w:r>
        <w:rPr>
          <w:rFonts w:hint="eastAsia" w:ascii="宋体" w:hAnsi="宋体" w:eastAsia="宋体" w:cs="宋体"/>
          <w:color w:val="auto"/>
          <w:kern w:val="2"/>
          <w:sz w:val="28"/>
          <w:szCs w:val="28"/>
          <w:shd w:val="clear" w:color="auto" w:fill="FFFFFF"/>
        </w:rPr>
        <w:t>库存为主，大单采购有限，市场成交气氛平平。销售公司出货转淡，汽柴价格小幅回落。就后市而言，国际油价或保持区间震荡趋势，变化率窄幅波动，消息面对市场指引有限。此外，假期内市场处于消库存阶段，购销氛围清淡。预计短线西北地炼汽柴行情淡稳运行为主。</w:t>
      </w:r>
    </w:p>
    <w:p>
      <w:pPr>
        <w:pStyle w:val="23"/>
        <w:keepNext w:val="0"/>
        <w:keepLines w:val="0"/>
        <w:widowControl/>
        <w:suppressLineNumbers w:val="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　本周(4月29日-</w:t>
      </w:r>
      <w:r>
        <w:rPr>
          <w:rFonts w:hint="eastAsia" w:cs="宋体"/>
          <w:color w:val="auto"/>
          <w:kern w:val="2"/>
          <w:sz w:val="28"/>
          <w:szCs w:val="28"/>
          <w:shd w:val="clear" w:color="auto" w:fill="FFFFFF"/>
          <w:lang w:val="en-US" w:eastAsia="zh-CN"/>
        </w:rPr>
        <w:t>5</w:t>
      </w:r>
      <w:r>
        <w:rPr>
          <w:rFonts w:hint="eastAsia" w:ascii="宋体" w:hAnsi="宋体" w:eastAsia="宋体" w:cs="宋体"/>
          <w:color w:val="auto"/>
          <w:kern w:val="2"/>
          <w:sz w:val="28"/>
          <w:szCs w:val="28"/>
          <w:shd w:val="clear" w:color="auto" w:fill="FFFFFF"/>
        </w:rPr>
        <w:t>月</w:t>
      </w:r>
      <w:r>
        <w:rPr>
          <w:rFonts w:hint="eastAsia" w:cs="宋体"/>
          <w:color w:val="auto"/>
          <w:kern w:val="2"/>
          <w:sz w:val="28"/>
          <w:szCs w:val="28"/>
          <w:shd w:val="clear" w:color="auto" w:fill="FFFFFF"/>
          <w:lang w:val="en-US" w:eastAsia="zh-CN"/>
        </w:rPr>
        <w:t>6</w:t>
      </w:r>
      <w:r>
        <w:rPr>
          <w:rFonts w:hint="eastAsia" w:ascii="宋体" w:hAnsi="宋体" w:eastAsia="宋体" w:cs="宋体"/>
          <w:color w:val="auto"/>
          <w:kern w:val="2"/>
          <w:sz w:val="28"/>
          <w:szCs w:val="28"/>
          <w:shd w:val="clear" w:color="auto" w:fill="FFFFFF"/>
        </w:rPr>
        <w:t>日)，西南地区汽柴行情高位整理，市场成交难见活跃。分析来看：周内国际油价震荡走高，本周三成品油零售价兑现上调，消息面存一定利好指引。主营单位价格仍维持高位，不过，月底追量任务压力加重，优惠政策趋于灵活，成交重心多有下移。“五一”小长假</w:t>
      </w:r>
      <w:r>
        <w:rPr>
          <w:rFonts w:hint="eastAsia" w:cs="宋体"/>
          <w:color w:val="auto"/>
          <w:kern w:val="2"/>
          <w:sz w:val="28"/>
          <w:szCs w:val="28"/>
          <w:shd w:val="clear" w:color="auto" w:fill="FFFFFF"/>
          <w:lang w:eastAsia="zh-CN"/>
        </w:rPr>
        <w:t>期间</w:t>
      </w:r>
      <w:r>
        <w:rPr>
          <w:rFonts w:hint="eastAsia" w:ascii="宋体" w:hAnsi="宋体" w:eastAsia="宋体" w:cs="宋体"/>
          <w:color w:val="auto"/>
          <w:kern w:val="2"/>
          <w:sz w:val="28"/>
          <w:szCs w:val="28"/>
          <w:shd w:val="clear" w:color="auto" w:fill="FFFFFF"/>
        </w:rPr>
        <w:t>，国内疫情得到有效控制，居民出行增多，汽油需求有明显提升;工程基建</w:t>
      </w:r>
      <w:r>
        <w:rPr>
          <w:rFonts w:hint="eastAsia" w:cs="宋体"/>
          <w:color w:val="auto"/>
          <w:kern w:val="2"/>
          <w:sz w:val="28"/>
          <w:szCs w:val="28"/>
          <w:shd w:val="clear" w:color="auto" w:fill="FFFFFF"/>
          <w:lang w:eastAsia="zh-CN"/>
        </w:rPr>
        <w:t>方面</w:t>
      </w:r>
      <w:r>
        <w:rPr>
          <w:rFonts w:hint="eastAsia" w:ascii="宋体" w:hAnsi="宋体" w:eastAsia="宋体" w:cs="宋体"/>
          <w:color w:val="auto"/>
          <w:kern w:val="2"/>
          <w:sz w:val="28"/>
          <w:szCs w:val="28"/>
          <w:shd w:val="clear" w:color="auto" w:fill="FFFFFF"/>
        </w:rPr>
        <w:t>等行业正常开工，柴油需求有</w:t>
      </w:r>
      <w:r>
        <w:rPr>
          <w:rFonts w:hint="eastAsia" w:cs="宋体"/>
          <w:color w:val="auto"/>
          <w:kern w:val="2"/>
          <w:sz w:val="28"/>
          <w:szCs w:val="28"/>
          <w:shd w:val="clear" w:color="auto" w:fill="FFFFFF"/>
          <w:lang w:eastAsia="zh-CN"/>
        </w:rPr>
        <w:t>力</w:t>
      </w:r>
      <w:r>
        <w:rPr>
          <w:rFonts w:hint="eastAsia" w:ascii="宋体" w:hAnsi="宋体" w:eastAsia="宋体" w:cs="宋体"/>
          <w:color w:val="auto"/>
          <w:kern w:val="2"/>
          <w:sz w:val="28"/>
          <w:szCs w:val="28"/>
          <w:shd w:val="clear" w:color="auto" w:fill="FFFFFF"/>
        </w:rPr>
        <w:t>支撑。部分业者趁低价促销适量补货，但大单补货谨慎，市场成交</w:t>
      </w:r>
      <w:r>
        <w:rPr>
          <w:rFonts w:hint="eastAsia" w:cs="宋体"/>
          <w:color w:val="auto"/>
          <w:kern w:val="2"/>
          <w:sz w:val="28"/>
          <w:szCs w:val="28"/>
          <w:shd w:val="clear" w:color="auto" w:fill="FFFFFF"/>
          <w:lang w:eastAsia="zh-CN"/>
        </w:rPr>
        <w:t>有小幅</w:t>
      </w:r>
      <w:r>
        <w:rPr>
          <w:rFonts w:hint="eastAsia" w:ascii="宋体" w:hAnsi="宋体" w:eastAsia="宋体" w:cs="宋体"/>
          <w:color w:val="auto"/>
          <w:kern w:val="2"/>
          <w:sz w:val="28"/>
          <w:szCs w:val="28"/>
          <w:shd w:val="clear" w:color="auto" w:fill="FFFFFF"/>
        </w:rPr>
        <w:t>提升。就后市而言，国际油价或继续维持区间震荡，变化率正向区间窄幅波动，但对市场支撑力度有限。预计短线西南地区汽柴行情</w:t>
      </w:r>
      <w:r>
        <w:rPr>
          <w:rFonts w:hint="eastAsia" w:cs="宋体"/>
          <w:color w:val="auto"/>
          <w:kern w:val="2"/>
          <w:sz w:val="28"/>
          <w:szCs w:val="28"/>
          <w:shd w:val="clear" w:color="auto" w:fill="FFFFFF"/>
          <w:lang w:eastAsia="zh-CN"/>
        </w:rPr>
        <w:t>将小幅向上整理</w:t>
      </w:r>
      <w:r>
        <w:rPr>
          <w:rFonts w:hint="eastAsia" w:ascii="宋体" w:hAnsi="宋体" w:eastAsia="宋体" w:cs="宋体"/>
          <w:color w:val="auto"/>
          <w:kern w:val="2"/>
          <w:sz w:val="28"/>
          <w:szCs w:val="28"/>
          <w:shd w:val="clear" w:color="auto" w:fill="FFFFFF"/>
        </w:rPr>
        <w:t>。</w:t>
      </w:r>
    </w:p>
    <w:p>
      <w:pPr>
        <w:pStyle w:val="23"/>
        <w:keepNext w:val="0"/>
        <w:keepLines w:val="0"/>
        <w:widowControl/>
        <w:suppressLineNumbers w:val="0"/>
      </w:pPr>
      <w:r>
        <w:rPr>
          <w:rFonts w:hint="eastAsia" w:ascii="宋体" w:hAnsi="宋体" w:eastAsia="宋体" w:cs="宋体"/>
          <w:color w:val="auto"/>
          <w:kern w:val="2"/>
          <w:sz w:val="28"/>
          <w:szCs w:val="28"/>
          <w:shd w:val="clear" w:color="auto" w:fill="FFFFFF"/>
        </w:rPr>
        <w:t>后市前瞻：下周来看，国际油价或先扬后抑，整体表现依旧震荡。消息方面影响有限，五一期间山东地炼汽柴油价格跟随原油</w:t>
      </w:r>
      <w:bookmarkStart w:id="32" w:name="_GoBack"/>
      <w:bookmarkEnd w:id="32"/>
      <w:r>
        <w:rPr>
          <w:rFonts w:hint="eastAsia" w:ascii="宋体" w:hAnsi="宋体" w:eastAsia="宋体" w:cs="宋体"/>
          <w:color w:val="auto"/>
          <w:kern w:val="2"/>
          <w:sz w:val="28"/>
          <w:szCs w:val="28"/>
          <w:shd w:val="clear" w:color="auto" w:fill="FFFFFF"/>
        </w:rPr>
        <w:t>价格波动为主，山东地炼汽柴油价格不乏</w:t>
      </w:r>
      <w:r>
        <w:rPr>
          <w:rFonts w:hint="eastAsia" w:cs="宋体"/>
          <w:color w:val="auto"/>
          <w:kern w:val="2"/>
          <w:sz w:val="28"/>
          <w:szCs w:val="28"/>
          <w:shd w:val="clear" w:color="auto" w:fill="FFFFFF"/>
          <w:lang w:eastAsia="zh-CN"/>
        </w:rPr>
        <w:t>有继续</w:t>
      </w:r>
      <w:r>
        <w:rPr>
          <w:rFonts w:hint="eastAsia" w:ascii="宋体" w:hAnsi="宋体" w:eastAsia="宋体" w:cs="宋体"/>
          <w:color w:val="auto"/>
          <w:kern w:val="2"/>
          <w:sz w:val="28"/>
          <w:szCs w:val="28"/>
          <w:shd w:val="clear" w:color="auto" w:fill="FFFFFF"/>
        </w:rPr>
        <w:t>走高</w:t>
      </w:r>
      <w:r>
        <w:rPr>
          <w:rFonts w:hint="eastAsia" w:cs="宋体"/>
          <w:color w:val="auto"/>
          <w:kern w:val="2"/>
          <w:sz w:val="28"/>
          <w:szCs w:val="28"/>
          <w:shd w:val="clear" w:color="auto" w:fill="FFFFFF"/>
          <w:lang w:eastAsia="zh-CN"/>
        </w:rPr>
        <w:t>的</w:t>
      </w:r>
      <w:r>
        <w:rPr>
          <w:rFonts w:hint="eastAsia" w:ascii="宋体" w:hAnsi="宋体" w:eastAsia="宋体" w:cs="宋体"/>
          <w:color w:val="auto"/>
          <w:kern w:val="2"/>
          <w:sz w:val="28"/>
          <w:szCs w:val="28"/>
          <w:shd w:val="clear" w:color="auto" w:fill="FFFFFF"/>
        </w:rPr>
        <w:t>可能。</w:t>
      </w:r>
    </w:p>
    <w:p>
      <w:pPr>
        <w:pStyle w:val="3"/>
        <w:spacing w:before="120" w:after="120" w:line="240" w:lineRule="auto"/>
        <w:rPr>
          <w:rFonts w:ascii="宋体" w:hAnsi="宋体"/>
          <w:b/>
          <w:sz w:val="30"/>
          <w:szCs w:val="30"/>
        </w:rPr>
      </w:pPr>
      <w:bookmarkStart w:id="17" w:name="_Toc24031"/>
      <w:r>
        <w:rPr>
          <w:rFonts w:hint="eastAsia" w:ascii="宋体" w:hAnsi="宋体"/>
          <w:b/>
          <w:sz w:val="30"/>
          <w:szCs w:val="30"/>
        </w:rPr>
        <w:t>3.3 国内汽油价格周报</w:t>
      </w:r>
      <w:bookmarkEnd w:id="17"/>
    </w:p>
    <w:p>
      <w:pPr>
        <w:rPr>
          <w:rFonts w:hint="eastAsia"/>
        </w:rPr>
      </w:pPr>
      <w:r>
        <w:rPr>
          <w:rFonts w:hint="eastAsia"/>
        </w:rPr>
        <w:t>单位：元/吨</w:t>
      </w:r>
    </w:p>
    <w:p>
      <w:pPr>
        <w:rPr>
          <w:rFonts w:hint="eastAsia"/>
        </w:rPr>
      </w:pPr>
    </w:p>
    <w:p>
      <w:pPr>
        <w:rPr>
          <w:rFonts w:hint="eastAsia"/>
        </w:rPr>
      </w:pPr>
    </w:p>
    <w:tbl>
      <w:tblPr>
        <w:tblStyle w:val="24"/>
        <w:tblW w:w="8914" w:type="dxa"/>
        <w:jc w:val="center"/>
        <w:shd w:val="clear" w:color="auto" w:fill="auto"/>
        <w:tblLayout w:type="fixed"/>
        <w:tblCellMar>
          <w:top w:w="0" w:type="dxa"/>
          <w:left w:w="0" w:type="dxa"/>
          <w:bottom w:w="0" w:type="dxa"/>
          <w:right w:w="0" w:type="dxa"/>
        </w:tblCellMar>
      </w:tblPr>
      <w:tblGrid>
        <w:gridCol w:w="673"/>
        <w:gridCol w:w="1023"/>
        <w:gridCol w:w="1159"/>
        <w:gridCol w:w="995"/>
        <w:gridCol w:w="1023"/>
        <w:gridCol w:w="1023"/>
        <w:gridCol w:w="763"/>
        <w:gridCol w:w="1040"/>
        <w:gridCol w:w="1215"/>
      </w:tblGrid>
      <w:tr>
        <w:tblPrEx>
          <w:shd w:val="clear" w:color="auto" w:fill="auto"/>
          <w:tblCellMar>
            <w:top w:w="0" w:type="dxa"/>
            <w:left w:w="0" w:type="dxa"/>
            <w:bottom w:w="0" w:type="dxa"/>
            <w:right w:w="0" w:type="dxa"/>
          </w:tblCellMar>
        </w:tblPrEx>
        <w:trPr>
          <w:trHeight w:val="300"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地区</w:t>
            </w:r>
          </w:p>
        </w:tc>
        <w:tc>
          <w:tcPr>
            <w:tcW w:w="102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城市</w:t>
            </w:r>
          </w:p>
        </w:tc>
        <w:tc>
          <w:tcPr>
            <w:tcW w:w="1159"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企业性质</w:t>
            </w:r>
          </w:p>
        </w:tc>
        <w:tc>
          <w:tcPr>
            <w:tcW w:w="99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产品名称</w:t>
            </w:r>
          </w:p>
        </w:tc>
        <w:tc>
          <w:tcPr>
            <w:tcW w:w="102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型号</w:t>
            </w:r>
          </w:p>
        </w:tc>
        <w:tc>
          <w:tcPr>
            <w:tcW w:w="102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价格类型</w:t>
            </w:r>
          </w:p>
        </w:tc>
        <w:tc>
          <w:tcPr>
            <w:tcW w:w="76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宋体" w:hAnsi="宋体" w:eastAsia="宋体" w:cs="宋体"/>
                <w:b/>
                <w:i w:val="0"/>
                <w:color w:val="000000"/>
                <w:kern w:val="0"/>
                <w:sz w:val="20"/>
                <w:szCs w:val="20"/>
                <w:u w:val="none"/>
                <w:lang w:val="en-US" w:eastAsia="zh-CN" w:bidi="ar"/>
              </w:rPr>
              <w:t>涨跌</w:t>
            </w:r>
          </w:p>
        </w:tc>
        <w:tc>
          <w:tcPr>
            <w:tcW w:w="10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宋体" w:hAnsi="宋体" w:eastAsia="宋体" w:cs="宋体"/>
                <w:b/>
                <w:i w:val="0"/>
                <w:color w:val="000000"/>
                <w:kern w:val="0"/>
                <w:sz w:val="21"/>
                <w:szCs w:val="21"/>
                <w:u w:val="none"/>
                <w:lang w:val="en-US" w:eastAsia="zh-CN" w:bidi="ar"/>
              </w:rPr>
              <w:t>2021/5/6</w:t>
            </w:r>
          </w:p>
        </w:tc>
        <w:tc>
          <w:tcPr>
            <w:tcW w:w="121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宋体" w:hAnsi="宋体" w:eastAsia="宋体" w:cs="宋体"/>
                <w:b/>
                <w:i w:val="0"/>
                <w:color w:val="000000"/>
                <w:kern w:val="0"/>
                <w:sz w:val="21"/>
                <w:szCs w:val="21"/>
                <w:u w:val="none"/>
                <w:lang w:val="en-US" w:eastAsia="zh-CN" w:bidi="ar"/>
              </w:rPr>
              <w:t>2021/4/29</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江阴市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江阴市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江阴市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江阴市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连云港市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南京市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南京市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南京市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南京市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南通市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7750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南通市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无锡市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无锡市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徐州市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徐州市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日照市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7660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7620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日照市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7920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7880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日照市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8046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8046</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日照市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8296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8296</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烟台市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7660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7620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烟台市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7890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烟台市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8046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8046</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烟台市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8306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8306</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合肥市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合肥市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九江市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南昌市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南昌市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7750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南昌市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南昌市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福州市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8280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福州市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福州市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8300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福州市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厦门市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厦门市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北京市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92#</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北京市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92#</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北京市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北京市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天津市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天津市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8300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天津市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天津市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8030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8020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8020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唐山市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8170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唐山市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8270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8320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唐山市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太原市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7690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7640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太原市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7990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7920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太原市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7860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7765</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太原市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8205</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粤四93#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8450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粤四97#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8680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8680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粤四93#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粤四97#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广州市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粤四93#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8450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广州市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粤四97#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8700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广州市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中海油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粤四93#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7750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广州市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粤四93#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广州市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粤四97#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惠州市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惠州市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92#</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惠州市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惠州市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惠州市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中海油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7700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惠州市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中海油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92#</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7700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茂名市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8450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茂名市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8680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8680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茂名市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茂名市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深圳市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粤四93#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8430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8430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深圳市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92#</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8430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8430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南宁市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南宁市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海口市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海口市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郑州市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7770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8030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武汉市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武汉市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长沙市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长沙市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长沙市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长沙市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成都市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成都市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重庆市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7820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重庆市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贵阳市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贵阳市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昆明市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8170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昆明市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8170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西安市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7750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7680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7680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7880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7880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吉林市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吉林中油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92#</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吉林市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吉林中油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8378</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8378</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上海市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沪Ⅳ93#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上海市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沪Ⅳ97#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上海市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沪Ⅳ93#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上海市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沪Ⅳ97#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杭州市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杭州市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杭州市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杭州市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温州市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温州市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温州市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8050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盐城市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7750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盐城市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任丘市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深圳市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粤四97#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深圳市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深圳市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粤四93#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深圳市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92#</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深圳市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粤四97#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8680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8680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深圳市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8680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8680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衢州市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潮州市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8430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8430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潮州市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8680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8680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开封市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E93#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7670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青岛市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7525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7525</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枣庄市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7750</w:t>
            </w:r>
          </w:p>
        </w:tc>
      </w:tr>
      <w:tr>
        <w:tblPrEx>
          <w:tblCellMar>
            <w:top w:w="0" w:type="dxa"/>
            <w:left w:w="0" w:type="dxa"/>
            <w:bottom w:w="0" w:type="dxa"/>
            <w:right w:w="0" w:type="dxa"/>
          </w:tblCellMar>
        </w:tblPrEx>
        <w:trPr>
          <w:trHeight w:val="28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德州市</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汽油</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7660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7620</w:t>
            </w:r>
          </w:p>
        </w:tc>
      </w:tr>
    </w:tbl>
    <w:p>
      <w:pPr>
        <w:rPr>
          <w:rFonts w:hint="eastAsia"/>
          <w:b/>
          <w:bCs w:val="0"/>
          <w:szCs w:val="21"/>
          <w:lang w:val="en-US" w:eastAsia="zh-CN"/>
        </w:rPr>
      </w:pPr>
    </w:p>
    <w:p>
      <w:pPr>
        <w:pStyle w:val="3"/>
        <w:spacing w:before="120" w:after="120" w:line="240" w:lineRule="auto"/>
        <w:rPr>
          <w:rFonts w:hint="eastAsia" w:ascii="宋体" w:hAnsi="宋体"/>
          <w:b/>
          <w:sz w:val="30"/>
          <w:szCs w:val="30"/>
          <w:lang w:val="en-US" w:eastAsia="zh-CN"/>
        </w:rPr>
      </w:pPr>
      <w:bookmarkStart w:id="18" w:name="_Toc16466"/>
      <w:r>
        <w:rPr>
          <w:rFonts w:hint="eastAsia" w:ascii="宋体" w:hAnsi="宋体"/>
          <w:b/>
          <w:sz w:val="30"/>
          <w:szCs w:val="30"/>
          <w:lang w:val="en-US" w:eastAsia="zh-CN"/>
        </w:rPr>
        <w:t>3.4国内柴油价格周报</w:t>
      </w:r>
      <w:bookmarkEnd w:id="18"/>
    </w:p>
    <w:p>
      <w:pPr>
        <w:rPr>
          <w:rFonts w:hint="eastAsia"/>
          <w:lang w:val="en-US" w:eastAsia="zh-CN"/>
        </w:rPr>
      </w:pPr>
      <w:r>
        <w:rPr>
          <w:rFonts w:hint="eastAsia"/>
          <w:lang w:val="en-US" w:eastAsia="zh-CN"/>
        </w:rPr>
        <w:t>单位：元/吨</w:t>
      </w:r>
    </w:p>
    <w:tbl>
      <w:tblPr>
        <w:tblStyle w:val="24"/>
        <w:tblpPr w:leftFromText="180" w:rightFromText="180" w:vertAnchor="text" w:horzAnchor="page" w:tblpXSpec="center" w:tblpY="294"/>
        <w:tblOverlap w:val="never"/>
        <w:tblW w:w="8819" w:type="dxa"/>
        <w:jc w:val="center"/>
        <w:shd w:val="clear" w:color="auto" w:fill="auto"/>
        <w:tblLayout w:type="fixed"/>
        <w:tblCellMar>
          <w:top w:w="0" w:type="dxa"/>
          <w:left w:w="0" w:type="dxa"/>
          <w:bottom w:w="0" w:type="dxa"/>
          <w:right w:w="0" w:type="dxa"/>
        </w:tblCellMar>
      </w:tblPr>
      <w:tblGrid>
        <w:gridCol w:w="898"/>
        <w:gridCol w:w="1055"/>
        <w:gridCol w:w="845"/>
        <w:gridCol w:w="936"/>
        <w:gridCol w:w="840"/>
        <w:gridCol w:w="1050"/>
        <w:gridCol w:w="810"/>
        <w:gridCol w:w="1185"/>
        <w:gridCol w:w="1200"/>
      </w:tblGrid>
      <w:tr>
        <w:tblPrEx>
          <w:shd w:val="clear" w:color="auto" w:fill="auto"/>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地区</w:t>
            </w:r>
          </w:p>
        </w:tc>
        <w:tc>
          <w:tcPr>
            <w:tcW w:w="105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城市</w:t>
            </w:r>
          </w:p>
        </w:tc>
        <w:tc>
          <w:tcPr>
            <w:tcW w:w="84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企业性质</w:t>
            </w:r>
          </w:p>
        </w:tc>
        <w:tc>
          <w:tcPr>
            <w:tcW w:w="936"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产品名称</w:t>
            </w:r>
          </w:p>
        </w:tc>
        <w:tc>
          <w:tcPr>
            <w:tcW w:w="8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型号</w:t>
            </w:r>
          </w:p>
        </w:tc>
        <w:tc>
          <w:tcPr>
            <w:tcW w:w="105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价格类型</w:t>
            </w:r>
          </w:p>
        </w:tc>
        <w:tc>
          <w:tcPr>
            <w:tcW w:w="81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宋体" w:hAnsi="宋体" w:eastAsia="宋体" w:cs="宋体"/>
                <w:b/>
                <w:i w:val="0"/>
                <w:color w:val="000000"/>
                <w:kern w:val="0"/>
                <w:sz w:val="20"/>
                <w:szCs w:val="20"/>
                <w:u w:val="none"/>
                <w:lang w:val="en-US" w:eastAsia="zh-CN" w:bidi="ar"/>
              </w:rPr>
              <w:t>涨跌</w:t>
            </w:r>
          </w:p>
        </w:tc>
        <w:tc>
          <w:tcPr>
            <w:tcW w:w="118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宋体" w:hAnsi="宋体" w:eastAsia="宋体" w:cs="宋体"/>
                <w:b/>
                <w:i w:val="0"/>
                <w:color w:val="000000"/>
                <w:kern w:val="0"/>
                <w:sz w:val="21"/>
                <w:szCs w:val="21"/>
                <w:u w:val="none"/>
                <w:lang w:val="en-US" w:eastAsia="zh-CN" w:bidi="ar"/>
              </w:rPr>
              <w:t>2021/5/6</w:t>
            </w:r>
          </w:p>
        </w:tc>
        <w:tc>
          <w:tcPr>
            <w:tcW w:w="120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宋体" w:hAnsi="宋体" w:eastAsia="宋体" w:cs="宋体"/>
                <w:b/>
                <w:i w:val="0"/>
                <w:color w:val="000000"/>
                <w:kern w:val="0"/>
                <w:sz w:val="21"/>
                <w:szCs w:val="21"/>
                <w:u w:val="none"/>
                <w:lang w:val="en-US" w:eastAsia="zh-CN" w:bidi="ar"/>
              </w:rPr>
              <w:t>2021/4/29</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上海市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沪Ⅳ0#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上海市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沪Ⅳ0#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上海市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上海市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杭州市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杭州市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温州市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温州市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江阴市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5950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江阴市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连云港市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5950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南京市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南京市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南通市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南通市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无锡市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无锡市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徐州市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5950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日照市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6170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日照市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6605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6605</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烟台市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6060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6020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烟台市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6605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6605</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合肥市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6450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6400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合肥市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九江市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南昌市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南昌市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福州市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福州市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厦门市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厦门市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天津市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天津市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5950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北京市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中海油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110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6030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5920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天津市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中海油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110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6030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5920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6260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6520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6520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唐山市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180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6480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唐山市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中海油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5800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太原市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6010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太原市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6120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6900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广州市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7000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广州市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广州市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中海油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惠州市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惠州市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中海油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茂名市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茂名市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6900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南宁市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南宁市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海口市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商丘市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6170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6270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商丘市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6160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6290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郑州市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6180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6280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郑州市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6160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6290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武汉市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6400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武汉市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长沙市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华中</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长沙市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300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成都市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6400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成都市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重庆市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重庆市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贵阳市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贵阳市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昆明市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80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6550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6470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昆明市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80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6550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6470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西安市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5950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5900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6180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6180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吉林市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吉林中油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青岛市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6610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6610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青岛市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6610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6610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青岛市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6150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德州市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6070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德州市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6610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6610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开封市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-240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6070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6310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开封市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-130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6160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6290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盐城市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70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6070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盐城市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6000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衢州市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华东</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舟山市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深圳市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深圳市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6880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6880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深圳市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6880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6880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潮州市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6880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6880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北京市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中石化</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北京市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70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6270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华北</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任丘市</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中石油</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20"/>
                <w:szCs w:val="20"/>
                <w:u w:val="none"/>
                <w:lang w:val="en-US" w:eastAsia="zh-CN" w:bidi="ar"/>
              </w:rPr>
              <w:t>6600</w:t>
            </w:r>
          </w:p>
        </w:tc>
      </w:tr>
    </w:tbl>
    <w:p>
      <w:pPr>
        <w:rPr>
          <w:rFonts w:hint="eastAsia" w:eastAsia="宋体"/>
          <w:lang w:val="en-US" w:eastAsia="zh-CN"/>
        </w:rPr>
      </w:pPr>
    </w:p>
    <w:p>
      <w:pPr>
        <w:rPr>
          <w:rFonts w:hint="eastAsia" w:eastAsia="宋体"/>
          <w:lang w:val="en-US" w:eastAsia="zh-CN"/>
        </w:rPr>
      </w:pPr>
    </w:p>
    <w:p>
      <w:pPr>
        <w:pStyle w:val="3"/>
        <w:spacing w:before="120" w:after="120" w:line="240" w:lineRule="auto"/>
        <w:rPr>
          <w:rFonts w:hint="eastAsia" w:ascii="宋体" w:hAnsi="宋体"/>
          <w:b/>
          <w:sz w:val="30"/>
          <w:szCs w:val="30"/>
          <w:lang w:val="en-US" w:eastAsia="zh-CN"/>
        </w:rPr>
      </w:pPr>
      <w:bookmarkStart w:id="19" w:name="_Toc6052"/>
      <w:r>
        <w:rPr>
          <w:rFonts w:hint="eastAsia" w:ascii="宋体" w:hAnsi="宋体"/>
          <w:b/>
          <w:sz w:val="30"/>
          <w:szCs w:val="30"/>
          <w:lang w:val="en-US" w:eastAsia="zh-CN"/>
        </w:rPr>
        <w:t>3.5 山东地炼汽油出厂价格周报</w:t>
      </w:r>
      <w:bookmarkEnd w:id="19"/>
    </w:p>
    <w:p>
      <w:pPr>
        <w:rPr>
          <w:rFonts w:hint="eastAsia"/>
          <w:lang w:val="en-US" w:eastAsia="zh-CN"/>
        </w:rPr>
      </w:pPr>
      <w:r>
        <w:rPr>
          <w:rFonts w:hint="eastAsia"/>
          <w:lang w:val="en-US" w:eastAsia="zh-CN"/>
        </w:rPr>
        <w:t>单位：元/吨</w:t>
      </w:r>
    </w:p>
    <w:tbl>
      <w:tblPr>
        <w:tblStyle w:val="24"/>
        <w:tblpPr w:leftFromText="180" w:rightFromText="180" w:vertAnchor="text" w:horzAnchor="page" w:tblpXSpec="center" w:tblpY="303"/>
        <w:tblOverlap w:val="never"/>
        <w:tblW w:w="8798" w:type="dxa"/>
        <w:jc w:val="center"/>
        <w:shd w:val="clear" w:color="auto" w:fill="auto"/>
        <w:tblLayout w:type="autofit"/>
        <w:tblCellMar>
          <w:top w:w="0" w:type="dxa"/>
          <w:left w:w="0" w:type="dxa"/>
          <w:bottom w:w="0" w:type="dxa"/>
          <w:right w:w="0" w:type="dxa"/>
        </w:tblCellMar>
      </w:tblPr>
      <w:tblGrid>
        <w:gridCol w:w="878"/>
        <w:gridCol w:w="1575"/>
        <w:gridCol w:w="960"/>
        <w:gridCol w:w="1005"/>
        <w:gridCol w:w="1035"/>
        <w:gridCol w:w="735"/>
        <w:gridCol w:w="1305"/>
        <w:gridCol w:w="1305"/>
      </w:tblGrid>
      <w:tr>
        <w:tblPrEx>
          <w:shd w:val="clear" w:color="auto" w:fill="auto"/>
          <w:tblCellMar>
            <w:top w:w="0" w:type="dxa"/>
            <w:left w:w="0" w:type="dxa"/>
            <w:bottom w:w="0" w:type="dxa"/>
            <w:right w:w="0" w:type="dxa"/>
          </w:tblCellMar>
        </w:tblPrEx>
        <w:trPr>
          <w:trHeight w:val="400"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省份</w:t>
            </w:r>
          </w:p>
        </w:tc>
        <w:tc>
          <w:tcPr>
            <w:tcW w:w="157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生产厂家</w:t>
            </w:r>
          </w:p>
        </w:tc>
        <w:tc>
          <w:tcPr>
            <w:tcW w:w="96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型号</w:t>
            </w:r>
          </w:p>
        </w:tc>
        <w:tc>
          <w:tcPr>
            <w:tcW w:w="100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产品名称</w:t>
            </w:r>
          </w:p>
        </w:tc>
        <w:tc>
          <w:tcPr>
            <w:tcW w:w="103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价格类型</w:t>
            </w:r>
          </w:p>
        </w:tc>
        <w:tc>
          <w:tcPr>
            <w:tcW w:w="73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涨跌</w:t>
            </w:r>
          </w:p>
        </w:tc>
        <w:tc>
          <w:tcPr>
            <w:tcW w:w="130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2021/5/6</w:t>
            </w:r>
          </w:p>
        </w:tc>
        <w:tc>
          <w:tcPr>
            <w:tcW w:w="130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2021/4/29</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中海石油东营石化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7395</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中海石油东营石化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7565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7495</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正和集团</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正和集团</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长城炼厂</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长城炼厂</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玉皇盛世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玉皇盛世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永鑫化工</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7530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永鑫化工</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亿源石化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亿源石化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亿源石化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亚通石化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7420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万通化工</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万通化工</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国四93#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万通化工</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万通化工</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国四90#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寿光鲁清</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7370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7340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寿光鲁清</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7520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7490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寿光联盟</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寿光联盟</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寿光联盟</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7540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寿光联盟</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7540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石大科技石化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石大科技石化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石大科技</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石大科技</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胜华化工</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胜华化工</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神驰化工</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7360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神驰化工</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7440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7380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清源石化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清源石化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利津石化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7330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利津石化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垦利石化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京博石化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7574</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京博石化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7765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7684</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京博石化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7931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7848</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金诚石化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金诚石化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7510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7430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济南天蓝石油</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济南天蓝石油</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汇丰石化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汇丰石化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7620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7620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化二炼厂</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化二炼厂</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华星石化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华星石化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华联石化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7593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7513</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华联石化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7593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7513</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华联石化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7743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7663</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弘润石化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弘润石化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弘润石化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恒源石化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7430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恒源石化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7430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恒源石化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海科瑞林</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7505</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海科集团</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7505</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海科集团</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7635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7655</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高青宏远</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高青宏远</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东明石化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东明石化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7710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7690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东明石化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7860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东方华龙</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东方华龙</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7520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晨曦化工</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晨曦化工</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昌邑石化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7370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昌邑石化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安邦石化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安邦石化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榆林炼厂铁路</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榆林炼厂公路</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榆林炼厂公路</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永坪炼厂铁路</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永坪炼厂铁路</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永坪炼厂公路</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永坪炼厂公路</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延安炼厂铁路</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延安炼厂铁路</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延安炼厂公路</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延安炼厂公路</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7750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西安临潼铁路</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西安临潼公路</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金澳科技</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7820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金澳科技</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8250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8120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宁夏宝塔石化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宁夏宝塔石化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878"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57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宁夏宝塔石化</w:t>
            </w:r>
          </w:p>
        </w:tc>
        <w:tc>
          <w:tcPr>
            <w:tcW w:w="96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05"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bl>
    <w:p>
      <w:pPr>
        <w:rPr>
          <w:rFonts w:hint="eastAsia"/>
          <w:lang w:val="en-US" w:eastAsia="zh-CN"/>
        </w:rPr>
      </w:pPr>
    </w:p>
    <w:p>
      <w:pPr>
        <w:pStyle w:val="3"/>
        <w:spacing w:before="120" w:after="120" w:line="240" w:lineRule="auto"/>
        <w:rPr>
          <w:rFonts w:hint="eastAsia" w:ascii="宋体" w:hAnsi="宋体"/>
          <w:b/>
          <w:sz w:val="30"/>
          <w:szCs w:val="30"/>
          <w:lang w:val="en-US" w:eastAsia="zh-CN"/>
        </w:rPr>
      </w:pPr>
      <w:bookmarkStart w:id="20" w:name="_Toc25179"/>
      <w:r>
        <w:rPr>
          <w:rFonts w:hint="eastAsia" w:ascii="宋体" w:hAnsi="宋体"/>
          <w:b/>
          <w:sz w:val="30"/>
          <w:szCs w:val="30"/>
          <w:lang w:val="en-US" w:eastAsia="zh-CN"/>
        </w:rPr>
        <w:t>3.6 山东地炼柴油出厂价格周报</w:t>
      </w:r>
      <w:bookmarkEnd w:id="20"/>
    </w:p>
    <w:p>
      <w:pPr>
        <w:rPr>
          <w:rFonts w:hint="eastAsia" w:ascii="宋体" w:hAnsi="宋体"/>
          <w:b/>
          <w:sz w:val="10"/>
          <w:szCs w:val="10"/>
          <w:lang w:val="en-US" w:eastAsia="zh-CN"/>
        </w:rPr>
      </w:pPr>
      <w:r>
        <w:rPr>
          <w:rFonts w:hint="eastAsia"/>
          <w:bCs/>
          <w:szCs w:val="21"/>
          <w:lang w:val="en-US" w:eastAsia="zh-CN"/>
        </w:rPr>
        <w:t>单位：元/吨</w:t>
      </w:r>
    </w:p>
    <w:p>
      <w:pPr>
        <w:rPr>
          <w:rFonts w:hint="eastAsia"/>
          <w:b/>
          <w:bCs/>
          <w:lang w:val="en-US" w:eastAsia="zh-CN"/>
        </w:rPr>
      </w:pPr>
    </w:p>
    <w:tbl>
      <w:tblPr>
        <w:tblStyle w:val="24"/>
        <w:tblW w:w="8890" w:type="dxa"/>
        <w:jc w:val="center"/>
        <w:shd w:val="clear" w:color="auto" w:fill="auto"/>
        <w:tblLayout w:type="autofit"/>
        <w:tblCellMar>
          <w:top w:w="0" w:type="dxa"/>
          <w:left w:w="0" w:type="dxa"/>
          <w:bottom w:w="0" w:type="dxa"/>
          <w:right w:w="0" w:type="dxa"/>
        </w:tblCellMar>
      </w:tblPr>
      <w:tblGrid>
        <w:gridCol w:w="913"/>
        <w:gridCol w:w="1727"/>
        <w:gridCol w:w="1080"/>
        <w:gridCol w:w="1080"/>
        <w:gridCol w:w="1063"/>
        <w:gridCol w:w="723"/>
        <w:gridCol w:w="1118"/>
        <w:gridCol w:w="1186"/>
      </w:tblGrid>
      <w:tr>
        <w:tblPrEx>
          <w:shd w:val="clear" w:color="auto" w:fill="auto"/>
          <w:tblCellMar>
            <w:top w:w="0" w:type="dxa"/>
            <w:left w:w="0" w:type="dxa"/>
            <w:bottom w:w="0" w:type="dxa"/>
            <w:right w:w="0" w:type="dxa"/>
          </w:tblCellMar>
        </w:tblPrEx>
        <w:trPr>
          <w:trHeight w:val="340" w:hRule="atLeast"/>
          <w:jc w:val="center"/>
        </w:trPr>
        <w:tc>
          <w:tcPr>
            <w:tcW w:w="91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bookmarkStart w:id="21" w:name="_Toc711"/>
            <w:bookmarkStart w:id="22" w:name="_Toc27167"/>
            <w:bookmarkStart w:id="23" w:name="_Toc23056"/>
            <w:bookmarkStart w:id="24" w:name="_Toc533771879"/>
            <w:r>
              <w:rPr>
                <w:rFonts w:hint="eastAsia" w:asciiTheme="minorEastAsia" w:hAnsiTheme="minorEastAsia" w:eastAsiaTheme="minorEastAsia" w:cstheme="minorEastAsia"/>
                <w:b/>
                <w:i w:val="0"/>
                <w:color w:val="000000"/>
                <w:kern w:val="0"/>
                <w:sz w:val="18"/>
                <w:szCs w:val="18"/>
                <w:u w:val="none"/>
                <w:lang w:val="en-US" w:eastAsia="zh-CN" w:bidi="ar"/>
              </w:rPr>
              <w:t>省份</w:t>
            </w:r>
          </w:p>
        </w:tc>
        <w:tc>
          <w:tcPr>
            <w:tcW w:w="172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生产厂家</w:t>
            </w:r>
          </w:p>
        </w:tc>
        <w:tc>
          <w:tcPr>
            <w:tcW w:w="10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产品名称</w:t>
            </w:r>
          </w:p>
        </w:tc>
        <w:tc>
          <w:tcPr>
            <w:tcW w:w="106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价格类型</w:t>
            </w:r>
          </w:p>
        </w:tc>
        <w:tc>
          <w:tcPr>
            <w:tcW w:w="72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涨跌</w:t>
            </w:r>
          </w:p>
        </w:tc>
        <w:tc>
          <w:tcPr>
            <w:tcW w:w="1118"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2021/5/6</w:t>
            </w:r>
          </w:p>
        </w:tc>
        <w:tc>
          <w:tcPr>
            <w:tcW w:w="1186"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2021/4/29</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中海石油东营石化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5685</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5660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正和集团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5750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5780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长城炼厂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玉皇盛世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永鑫化工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亿源石化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亚通石化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5780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5750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鑫泰石化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寿光鲁清</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常压</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5720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5680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寿光联盟</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5740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5770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石大科技石化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石大科技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5990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5990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胜华化工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神驰化工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5710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5680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利津石化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5870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岚桥港口石化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垦利石化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5860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京博石化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5875</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5840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汇丰石化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5890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5890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化二炼厂</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华星石化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5720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5650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5913</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5893</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华联石化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弘润石化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5850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5800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恒源石化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5850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5830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海科瑞林</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海科集团</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5875</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5865</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海化石化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海化石化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高青宏远</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东明石化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5860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5860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晨曦化工</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昌邑石化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0#常柴</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5750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5780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山东</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安邦石化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陕西</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榆林炼厂铁路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5700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5750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陕西</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陕西</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5850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5850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陕西</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榆林炼厂公路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6150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6150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陕西</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永坪炼厂铁路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5700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5750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陕西</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陕西</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陕西</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永坪炼厂公路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5950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5950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陕西</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延安炼厂铁路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5700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5750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陕西</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延安炼厂公路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5950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5950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陕西</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西安临潼铁路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5700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5750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陕西</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西安临潼公路</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5950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5950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浙江</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催化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浙江</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金澳科技</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加氢0#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6200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6150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陕西</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285" w:hRule="atLeast"/>
          <w:jc w:val="center"/>
        </w:trPr>
        <w:tc>
          <w:tcPr>
            <w:tcW w:w="913"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陕西</w:t>
            </w:r>
          </w:p>
        </w:tc>
        <w:tc>
          <w:tcPr>
            <w:tcW w:w="1727"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宁夏宝塔石化</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1080" w:type="dxa"/>
            <w:tcBorders>
              <w:top w:val="single" w:color="993366" w:sz="4" w:space="0"/>
              <w:left w:val="single" w:color="993366" w:sz="4" w:space="0"/>
              <w:bottom w:val="single" w:color="993366" w:sz="4" w:space="0"/>
              <w:right w:val="single" w:color="993366"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柴油</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出厂价</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bl>
    <w:p>
      <w:pPr>
        <w:pStyle w:val="3"/>
        <w:spacing w:before="120" w:after="120" w:line="240" w:lineRule="auto"/>
        <w:rPr>
          <w:rFonts w:hint="eastAsia" w:ascii="宋体" w:hAnsi="宋体"/>
          <w:b/>
          <w:sz w:val="30"/>
          <w:szCs w:val="30"/>
          <w:lang w:val="en-US" w:eastAsia="zh-CN"/>
        </w:rPr>
      </w:pPr>
      <w:r>
        <w:rPr>
          <w:rFonts w:hint="eastAsia" w:ascii="宋体" w:hAnsi="宋体"/>
          <w:b/>
          <w:sz w:val="30"/>
          <w:szCs w:val="30"/>
          <w:lang w:val="en-US" w:eastAsia="zh-CN"/>
        </w:rPr>
        <w:t>四、2021年3月份进出口统计数据</w:t>
      </w:r>
      <w:bookmarkEnd w:id="21"/>
      <w:bookmarkEnd w:id="22"/>
    </w:p>
    <w:p>
      <w:pPr>
        <w:pStyle w:val="3"/>
        <w:spacing w:before="120" w:after="120" w:line="240" w:lineRule="auto"/>
        <w:rPr>
          <w:rFonts w:hint="eastAsia" w:ascii="宋体" w:hAnsi="宋体"/>
          <w:b/>
          <w:sz w:val="30"/>
          <w:szCs w:val="30"/>
        </w:rPr>
      </w:pPr>
      <w:bookmarkStart w:id="25" w:name="_Toc19791"/>
      <w:bookmarkStart w:id="26" w:name="_Toc31314"/>
      <w:r>
        <w:rPr>
          <w:rFonts w:hint="eastAsia" w:ascii="宋体" w:hAnsi="宋体"/>
          <w:b/>
          <w:sz w:val="30"/>
          <w:szCs w:val="30"/>
        </w:rPr>
        <w:t>4.1</w:t>
      </w:r>
      <w:bookmarkEnd w:id="25"/>
      <w:bookmarkEnd w:id="26"/>
      <w:r>
        <w:rPr>
          <w:rFonts w:hint="eastAsia" w:ascii="宋体" w:hAnsi="宋体"/>
          <w:b/>
          <w:sz w:val="30"/>
          <w:szCs w:val="30"/>
        </w:rPr>
        <w:t>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3</w:t>
      </w:r>
      <w:r>
        <w:rPr>
          <w:rFonts w:hint="eastAsia" w:ascii="宋体" w:hAnsi="宋体"/>
          <w:b/>
          <w:sz w:val="30"/>
          <w:szCs w:val="30"/>
        </w:rPr>
        <w:t>份全国车用汽油和航空汽油进出口统计数据</w:t>
      </w:r>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p>
      <w:pPr>
        <w:rPr>
          <w:rFonts w:hint="eastAsia"/>
        </w:rPr>
      </w:pPr>
    </w:p>
    <w:p>
      <w:pPr>
        <w:rPr>
          <w:rFonts w:hint="eastAsia"/>
        </w:rPr>
      </w:pPr>
    </w:p>
    <w:tbl>
      <w:tblPr>
        <w:tblStyle w:val="24"/>
        <w:tblW w:w="9131" w:type="dxa"/>
        <w:jc w:val="center"/>
        <w:shd w:val="clear" w:color="auto" w:fill="auto"/>
        <w:tblLayout w:type="autofit"/>
        <w:tblCellMar>
          <w:top w:w="0" w:type="dxa"/>
          <w:left w:w="0" w:type="dxa"/>
          <w:bottom w:w="0" w:type="dxa"/>
          <w:right w:w="0" w:type="dxa"/>
        </w:tblCellMar>
      </w:tblPr>
      <w:tblGrid>
        <w:gridCol w:w="3326"/>
        <w:gridCol w:w="1605"/>
        <w:gridCol w:w="1605"/>
        <w:gridCol w:w="930"/>
        <w:gridCol w:w="1665"/>
      </w:tblGrid>
      <w:tr>
        <w:tblPrEx>
          <w:shd w:val="clear" w:color="auto" w:fill="auto"/>
          <w:tblCellMar>
            <w:top w:w="0" w:type="dxa"/>
            <w:left w:w="0" w:type="dxa"/>
            <w:bottom w:w="0" w:type="dxa"/>
            <w:right w:w="0" w:type="dxa"/>
          </w:tblCellMar>
        </w:tblPrEx>
        <w:trPr>
          <w:trHeight w:val="500" w:hRule="atLeast"/>
          <w:jc w:val="center"/>
        </w:trPr>
        <w:tc>
          <w:tcPr>
            <w:tcW w:w="3326" w:type="dxa"/>
            <w:tcBorders>
              <w:top w:val="single" w:color="000000" w:sz="8" w:space="0"/>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商品名称</w:t>
            </w:r>
          </w:p>
        </w:tc>
        <w:tc>
          <w:tcPr>
            <w:tcW w:w="1605"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出口目的地</w:t>
            </w:r>
          </w:p>
        </w:tc>
        <w:tc>
          <w:tcPr>
            <w:tcW w:w="1605"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930"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665"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出口金额美元</w:t>
            </w:r>
          </w:p>
        </w:tc>
      </w:tr>
      <w:tr>
        <w:tblPrEx>
          <w:tblCellMar>
            <w:top w:w="0" w:type="dxa"/>
            <w:left w:w="0" w:type="dxa"/>
            <w:bottom w:w="0" w:type="dxa"/>
            <w:right w:w="0" w:type="dxa"/>
          </w:tblCellMar>
        </w:tblPrEx>
        <w:trPr>
          <w:trHeight w:val="460" w:hRule="atLeast"/>
          <w:jc w:val="center"/>
        </w:trPr>
        <w:tc>
          <w:tcPr>
            <w:tcW w:w="332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车用汽油和航空汽油</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阿联酋</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50127.724</w:t>
            </w:r>
          </w:p>
        </w:tc>
        <w:tc>
          <w:tcPr>
            <w:tcW w:w="9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吨</w:t>
            </w:r>
          </w:p>
        </w:tc>
        <w:tc>
          <w:tcPr>
            <w:tcW w:w="16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27466468</w:t>
            </w:r>
          </w:p>
        </w:tc>
      </w:tr>
      <w:tr>
        <w:tblPrEx>
          <w:tblCellMar>
            <w:top w:w="0" w:type="dxa"/>
            <w:left w:w="0" w:type="dxa"/>
            <w:bottom w:w="0" w:type="dxa"/>
            <w:right w:w="0" w:type="dxa"/>
          </w:tblCellMar>
        </w:tblPrEx>
        <w:trPr>
          <w:trHeight w:val="460" w:hRule="atLeast"/>
          <w:jc w:val="center"/>
        </w:trPr>
        <w:tc>
          <w:tcPr>
            <w:tcW w:w="332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车用汽油和航空汽油</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澳大利亚</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33191.594</w:t>
            </w:r>
          </w:p>
        </w:tc>
        <w:tc>
          <w:tcPr>
            <w:tcW w:w="9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吨</w:t>
            </w:r>
          </w:p>
        </w:tc>
        <w:tc>
          <w:tcPr>
            <w:tcW w:w="16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15784779</w:t>
            </w:r>
          </w:p>
        </w:tc>
      </w:tr>
      <w:tr>
        <w:tblPrEx>
          <w:tblCellMar>
            <w:top w:w="0" w:type="dxa"/>
            <w:left w:w="0" w:type="dxa"/>
            <w:bottom w:w="0" w:type="dxa"/>
            <w:right w:w="0" w:type="dxa"/>
          </w:tblCellMar>
        </w:tblPrEx>
        <w:trPr>
          <w:trHeight w:val="460" w:hRule="atLeast"/>
          <w:jc w:val="center"/>
        </w:trPr>
        <w:tc>
          <w:tcPr>
            <w:tcW w:w="332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车用汽油和航空汽油</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巴基斯坦</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53194.273</w:t>
            </w:r>
          </w:p>
        </w:tc>
        <w:tc>
          <w:tcPr>
            <w:tcW w:w="9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吨</w:t>
            </w:r>
          </w:p>
        </w:tc>
        <w:tc>
          <w:tcPr>
            <w:tcW w:w="16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29120846</w:t>
            </w:r>
          </w:p>
        </w:tc>
      </w:tr>
      <w:tr>
        <w:tblPrEx>
          <w:tblCellMar>
            <w:top w:w="0" w:type="dxa"/>
            <w:left w:w="0" w:type="dxa"/>
            <w:bottom w:w="0" w:type="dxa"/>
            <w:right w:w="0" w:type="dxa"/>
          </w:tblCellMar>
        </w:tblPrEx>
        <w:trPr>
          <w:trHeight w:val="460" w:hRule="atLeast"/>
          <w:jc w:val="center"/>
        </w:trPr>
        <w:tc>
          <w:tcPr>
            <w:tcW w:w="332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车用汽油和航空汽油</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菲律宾</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338276.084</w:t>
            </w:r>
          </w:p>
        </w:tc>
        <w:tc>
          <w:tcPr>
            <w:tcW w:w="9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吨</w:t>
            </w:r>
          </w:p>
        </w:tc>
        <w:tc>
          <w:tcPr>
            <w:tcW w:w="16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178303251</w:t>
            </w:r>
          </w:p>
        </w:tc>
      </w:tr>
      <w:tr>
        <w:tblPrEx>
          <w:tblCellMar>
            <w:top w:w="0" w:type="dxa"/>
            <w:left w:w="0" w:type="dxa"/>
            <w:bottom w:w="0" w:type="dxa"/>
            <w:right w:w="0" w:type="dxa"/>
          </w:tblCellMar>
        </w:tblPrEx>
        <w:trPr>
          <w:trHeight w:val="460" w:hRule="atLeast"/>
          <w:jc w:val="center"/>
        </w:trPr>
        <w:tc>
          <w:tcPr>
            <w:tcW w:w="332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车用汽油和航空汽油</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马来西亚</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182026.211</w:t>
            </w:r>
          </w:p>
        </w:tc>
        <w:tc>
          <w:tcPr>
            <w:tcW w:w="9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吨</w:t>
            </w:r>
          </w:p>
        </w:tc>
        <w:tc>
          <w:tcPr>
            <w:tcW w:w="16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95029916</w:t>
            </w:r>
          </w:p>
        </w:tc>
      </w:tr>
      <w:tr>
        <w:tblPrEx>
          <w:tblCellMar>
            <w:top w:w="0" w:type="dxa"/>
            <w:left w:w="0" w:type="dxa"/>
            <w:bottom w:w="0" w:type="dxa"/>
            <w:right w:w="0" w:type="dxa"/>
          </w:tblCellMar>
        </w:tblPrEx>
        <w:trPr>
          <w:trHeight w:val="460" w:hRule="atLeast"/>
          <w:jc w:val="center"/>
        </w:trPr>
        <w:tc>
          <w:tcPr>
            <w:tcW w:w="332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车用汽油和航空汽油</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缅甸</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8864.258</w:t>
            </w:r>
          </w:p>
        </w:tc>
        <w:tc>
          <w:tcPr>
            <w:tcW w:w="9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吨</w:t>
            </w:r>
          </w:p>
        </w:tc>
        <w:tc>
          <w:tcPr>
            <w:tcW w:w="16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5117939</w:t>
            </w:r>
          </w:p>
        </w:tc>
      </w:tr>
      <w:tr>
        <w:tblPrEx>
          <w:tblCellMar>
            <w:top w:w="0" w:type="dxa"/>
            <w:left w:w="0" w:type="dxa"/>
            <w:bottom w:w="0" w:type="dxa"/>
            <w:right w:w="0" w:type="dxa"/>
          </w:tblCellMar>
        </w:tblPrEx>
        <w:trPr>
          <w:trHeight w:val="460" w:hRule="atLeast"/>
          <w:jc w:val="center"/>
        </w:trPr>
        <w:tc>
          <w:tcPr>
            <w:tcW w:w="332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车用汽油和航空汽油</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日本</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5156.994</w:t>
            </w:r>
          </w:p>
        </w:tc>
        <w:tc>
          <w:tcPr>
            <w:tcW w:w="9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吨</w:t>
            </w:r>
          </w:p>
        </w:tc>
        <w:tc>
          <w:tcPr>
            <w:tcW w:w="16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2855736</w:t>
            </w:r>
          </w:p>
        </w:tc>
      </w:tr>
      <w:tr>
        <w:tblPrEx>
          <w:tblCellMar>
            <w:top w:w="0" w:type="dxa"/>
            <w:left w:w="0" w:type="dxa"/>
            <w:bottom w:w="0" w:type="dxa"/>
            <w:right w:w="0" w:type="dxa"/>
          </w:tblCellMar>
        </w:tblPrEx>
        <w:trPr>
          <w:trHeight w:val="460" w:hRule="atLeast"/>
          <w:jc w:val="center"/>
        </w:trPr>
        <w:tc>
          <w:tcPr>
            <w:tcW w:w="332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车用汽油和航空汽油</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新加坡</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759736.66</w:t>
            </w:r>
          </w:p>
        </w:tc>
        <w:tc>
          <w:tcPr>
            <w:tcW w:w="9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吨</w:t>
            </w:r>
          </w:p>
        </w:tc>
        <w:tc>
          <w:tcPr>
            <w:tcW w:w="16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391407500</w:t>
            </w:r>
          </w:p>
        </w:tc>
      </w:tr>
      <w:tr>
        <w:tblPrEx>
          <w:tblCellMar>
            <w:top w:w="0" w:type="dxa"/>
            <w:left w:w="0" w:type="dxa"/>
            <w:bottom w:w="0" w:type="dxa"/>
            <w:right w:w="0" w:type="dxa"/>
          </w:tblCellMar>
        </w:tblPrEx>
        <w:trPr>
          <w:trHeight w:val="460" w:hRule="atLeast"/>
          <w:jc w:val="center"/>
        </w:trPr>
        <w:tc>
          <w:tcPr>
            <w:tcW w:w="332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车用汽油和航空汽油</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印度尼西亚</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103163.763</w:t>
            </w:r>
          </w:p>
        </w:tc>
        <w:tc>
          <w:tcPr>
            <w:tcW w:w="9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吨</w:t>
            </w:r>
          </w:p>
        </w:tc>
        <w:tc>
          <w:tcPr>
            <w:tcW w:w="16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51513718</w:t>
            </w:r>
          </w:p>
        </w:tc>
      </w:tr>
      <w:tr>
        <w:tblPrEx>
          <w:tblCellMar>
            <w:top w:w="0" w:type="dxa"/>
            <w:left w:w="0" w:type="dxa"/>
            <w:bottom w:w="0" w:type="dxa"/>
            <w:right w:w="0" w:type="dxa"/>
          </w:tblCellMar>
        </w:tblPrEx>
        <w:trPr>
          <w:trHeight w:val="460" w:hRule="atLeast"/>
          <w:jc w:val="center"/>
        </w:trPr>
        <w:tc>
          <w:tcPr>
            <w:tcW w:w="332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车用汽油和航空汽油</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越南</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12426.025</w:t>
            </w:r>
          </w:p>
        </w:tc>
        <w:tc>
          <w:tcPr>
            <w:tcW w:w="9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吨</w:t>
            </w:r>
          </w:p>
        </w:tc>
        <w:tc>
          <w:tcPr>
            <w:tcW w:w="16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7162819</w:t>
            </w:r>
          </w:p>
        </w:tc>
      </w:tr>
      <w:tr>
        <w:tblPrEx>
          <w:tblCellMar>
            <w:top w:w="0" w:type="dxa"/>
            <w:left w:w="0" w:type="dxa"/>
            <w:bottom w:w="0" w:type="dxa"/>
            <w:right w:w="0" w:type="dxa"/>
          </w:tblCellMar>
        </w:tblPrEx>
        <w:trPr>
          <w:trHeight w:val="460" w:hRule="atLeast"/>
          <w:jc w:val="center"/>
        </w:trPr>
        <w:tc>
          <w:tcPr>
            <w:tcW w:w="332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车用汽油和航空汽油</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澳大利亚</w:t>
            </w:r>
          </w:p>
        </w:tc>
        <w:tc>
          <w:tcPr>
            <w:tcW w:w="1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33191.594</w:t>
            </w:r>
          </w:p>
        </w:tc>
        <w:tc>
          <w:tcPr>
            <w:tcW w:w="9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吨</w:t>
            </w:r>
          </w:p>
        </w:tc>
        <w:tc>
          <w:tcPr>
            <w:tcW w:w="16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15784779</w:t>
            </w:r>
          </w:p>
        </w:tc>
      </w:tr>
    </w:tbl>
    <w:p>
      <w:pPr>
        <w:pStyle w:val="3"/>
        <w:spacing w:before="120" w:after="120" w:line="240" w:lineRule="auto"/>
        <w:rPr>
          <w:rFonts w:hint="eastAsia" w:ascii="宋体" w:hAnsi="宋体"/>
          <w:b/>
          <w:sz w:val="30"/>
          <w:szCs w:val="30"/>
        </w:rPr>
      </w:pPr>
      <w:bookmarkStart w:id="27" w:name="_Toc23995"/>
      <w:bookmarkStart w:id="28" w:name="_Toc31064"/>
      <w:r>
        <w:rPr>
          <w:rFonts w:hint="eastAsia" w:ascii="宋体" w:hAnsi="宋体"/>
          <w:b/>
          <w:sz w:val="30"/>
          <w:szCs w:val="30"/>
        </w:rPr>
        <w:t>4.2 20</w:t>
      </w:r>
      <w:r>
        <w:rPr>
          <w:rFonts w:hint="eastAsia" w:ascii="宋体" w:hAnsi="宋体"/>
          <w:b/>
          <w:sz w:val="30"/>
          <w:szCs w:val="30"/>
          <w:lang w:val="en-US" w:eastAsia="zh-CN"/>
        </w:rPr>
        <w:t>21</w:t>
      </w:r>
      <w:r>
        <w:rPr>
          <w:rFonts w:hint="eastAsia" w:ascii="宋体" w:hAnsi="宋体"/>
          <w:b/>
          <w:sz w:val="30"/>
          <w:szCs w:val="30"/>
        </w:rPr>
        <w:t>年</w:t>
      </w:r>
      <w:r>
        <w:rPr>
          <w:rFonts w:hint="eastAsia" w:ascii="宋体" w:hAnsi="宋体"/>
          <w:b/>
          <w:sz w:val="30"/>
          <w:szCs w:val="30"/>
          <w:lang w:val="en-US" w:eastAsia="zh-CN"/>
        </w:rPr>
        <w:t>3</w:t>
      </w:r>
      <w:r>
        <w:rPr>
          <w:rFonts w:hint="eastAsia" w:ascii="宋体" w:hAnsi="宋体"/>
          <w:b/>
          <w:sz w:val="30"/>
          <w:szCs w:val="30"/>
        </w:rPr>
        <w:t>月份全国柴油出口统计数据</w:t>
      </w:r>
      <w:bookmarkEnd w:id="27"/>
      <w:bookmarkEnd w:id="28"/>
    </w:p>
    <w:p>
      <w:pPr>
        <w:rPr>
          <w:bCs/>
          <w:szCs w:val="21"/>
        </w:rPr>
      </w:pPr>
      <w:r>
        <w:rPr>
          <w:rFonts w:hint="eastAsia"/>
          <w:bCs/>
          <w:szCs w:val="21"/>
        </w:rPr>
        <w:t>单位：</w:t>
      </w:r>
      <w:r>
        <w:rPr>
          <w:rFonts w:hint="eastAsia"/>
          <w:bCs/>
          <w:szCs w:val="21"/>
          <w:lang w:eastAsia="zh-CN"/>
        </w:rPr>
        <w:t>吨</w:t>
      </w:r>
      <w:r>
        <w:rPr>
          <w:rFonts w:hint="eastAsia"/>
          <w:bCs/>
          <w:szCs w:val="21"/>
        </w:rPr>
        <w:t>，美元</w:t>
      </w:r>
    </w:p>
    <w:tbl>
      <w:tblPr>
        <w:tblStyle w:val="24"/>
        <w:tblW w:w="9045" w:type="dxa"/>
        <w:tblInd w:w="0" w:type="dxa"/>
        <w:shd w:val="clear" w:color="auto" w:fill="auto"/>
        <w:tblLayout w:type="autofit"/>
        <w:tblCellMar>
          <w:top w:w="0" w:type="dxa"/>
          <w:left w:w="0" w:type="dxa"/>
          <w:bottom w:w="0" w:type="dxa"/>
          <w:right w:w="0" w:type="dxa"/>
        </w:tblCellMar>
      </w:tblPr>
      <w:tblGrid>
        <w:gridCol w:w="2235"/>
        <w:gridCol w:w="1485"/>
        <w:gridCol w:w="1170"/>
        <w:gridCol w:w="1920"/>
        <w:gridCol w:w="2235"/>
      </w:tblGrid>
      <w:tr>
        <w:tblPrEx>
          <w:shd w:val="clear" w:color="auto" w:fill="auto"/>
          <w:tblCellMar>
            <w:top w:w="0" w:type="dxa"/>
            <w:left w:w="0" w:type="dxa"/>
            <w:bottom w:w="0" w:type="dxa"/>
            <w:right w:w="0" w:type="dxa"/>
          </w:tblCellMar>
        </w:tblPrEx>
        <w:trPr>
          <w:trHeight w:val="600" w:hRule="atLeast"/>
        </w:trPr>
        <w:tc>
          <w:tcPr>
            <w:tcW w:w="2235" w:type="dxa"/>
            <w:tcBorders>
              <w:top w:val="single" w:color="000000" w:sz="8" w:space="0"/>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贸易伙伴名称</w:t>
            </w:r>
          </w:p>
        </w:tc>
        <w:tc>
          <w:tcPr>
            <w:tcW w:w="1485"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出口</w:t>
            </w:r>
            <w:r>
              <w:rPr>
                <w:rFonts w:hint="eastAsia" w:ascii="宋体" w:hAnsi="宋体" w:eastAsia="宋体" w:cs="宋体"/>
                <w:b/>
                <w:i w:val="0"/>
                <w:color w:val="000000"/>
                <w:kern w:val="0"/>
                <w:sz w:val="22"/>
                <w:szCs w:val="22"/>
                <w:u w:val="none"/>
                <w:lang w:val="en-US" w:eastAsia="zh-CN" w:bidi="ar"/>
              </w:rPr>
              <w:t>数量（吨）</w:t>
            </w:r>
          </w:p>
        </w:tc>
        <w:tc>
          <w:tcPr>
            <w:tcW w:w="1170"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所占比率</w:t>
            </w:r>
          </w:p>
        </w:tc>
        <w:tc>
          <w:tcPr>
            <w:tcW w:w="1920"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当月金额（元）</w:t>
            </w:r>
          </w:p>
        </w:tc>
        <w:tc>
          <w:tcPr>
            <w:tcW w:w="2235"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当月均价（元/吨）</w:t>
            </w:r>
          </w:p>
        </w:tc>
      </w:tr>
      <w:tr>
        <w:tblPrEx>
          <w:tblCellMar>
            <w:top w:w="0" w:type="dxa"/>
            <w:left w:w="0" w:type="dxa"/>
            <w:bottom w:w="0" w:type="dxa"/>
            <w:right w:w="0" w:type="dxa"/>
          </w:tblCellMar>
        </w:tblPrEx>
        <w:trPr>
          <w:trHeight w:val="34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安提瓜和巴布达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129.573</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419936</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3240.92</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澳大利亚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348551.04</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1093502732</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3137.28</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巴哈马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1327.766</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4347172</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3274.05</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巴基斯坦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129542</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3501.14</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巴拿马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19360.871</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57509079</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2970.38</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比利时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197.766</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634707</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3209.38</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伯利兹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816.41</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2566386</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3143.5</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丹麦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355.34</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1004338</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2826.41</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德国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1267.3</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3933174</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3103.59</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多哥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99.872</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322259</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3226.72</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俄罗斯联邦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824164</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3244.74</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厄瓜多尔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69785.293</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235078821</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3368.6</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法国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641.739</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2165486</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3374.4</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菲律宾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700600.89</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2052764571</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2930.01</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韩国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68762.269</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173005202</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2515.99</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荷兰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485.406</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1496543</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3083.07</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基里巴斯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231266</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3451.73</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喀麦隆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180964</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3067.19</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克罗地亚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243.079</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758692</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3121.17</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利比里亚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10619.322</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32633550</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3073.04</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马耳他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3728.579</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11640628</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3122</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马来西亚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91133.553</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264156671</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2898.57</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马绍尔群岛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5857.938</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18158764</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3099.86</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美国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778032</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3112.13</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孟加拉国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294847.242</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932032517</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3161.07</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缅甸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18740.245</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52596076</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2806.58</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莫桑比克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120244.121</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389956274</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3243.04</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南非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96.872</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306503</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3164</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挪威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688.267</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2141070</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3110.81</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帕劳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321.831</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1085013</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3371.38</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葡萄牙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444.8</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1336425</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3004.55</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日本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41056.814</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131472707</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3202.21</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瑞典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128.601</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408561</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3176.97</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塞拉利昂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193.7</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612542</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3162.32</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塞浦路斯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641.971</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2081889</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3242.96</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沙特阿拉伯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64.95</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214555</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3303.39</w:t>
            </w:r>
          </w:p>
        </w:tc>
      </w:tr>
      <w:tr>
        <w:tblPrEx>
          <w:tblCellMar>
            <w:top w:w="0" w:type="dxa"/>
            <w:left w:w="0" w:type="dxa"/>
            <w:bottom w:w="0" w:type="dxa"/>
            <w:right w:w="0" w:type="dxa"/>
          </w:tblCellMar>
        </w:tblPrEx>
        <w:trPr>
          <w:trHeight w:val="30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圣文森特和格林纳丁斯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444.315</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1397169</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3144.55</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泰国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67156.271</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173393378</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2581.94</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图瓦卢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207661</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4153.22</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文莱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254988</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4249.8</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希腊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689.7</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2086587</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3025.35</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新加坡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582579.818</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1797112049</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3084.75</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以色列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279843</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3498.04</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意大利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504789</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3387.85</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印度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76.761</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222876</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2903.51</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英国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2881.849</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9097670</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3156.89</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越南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61527.815</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187054156</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3040.16</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直布罗陀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49.5</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147632</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2982.46</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智利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80111.953</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259643026</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3241</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中国澳门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5953.127</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16099768</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2704.42</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中国台湾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34.215</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125579</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3670.29</w:t>
            </w:r>
          </w:p>
        </w:tc>
      </w:tr>
      <w:tr>
        <w:tblPrEx>
          <w:tblCellMar>
            <w:top w:w="0" w:type="dxa"/>
            <w:left w:w="0" w:type="dxa"/>
            <w:bottom w:w="0" w:type="dxa"/>
            <w:right w:w="0" w:type="dxa"/>
          </w:tblCellMar>
        </w:tblPrEx>
        <w:trPr>
          <w:trHeight w:val="270" w:hRule="atLeast"/>
        </w:trPr>
        <w:tc>
          <w:tcPr>
            <w:tcW w:w="2235" w:type="dxa"/>
            <w:tcBorders>
              <w:top w:val="nil"/>
              <w:left w:val="single" w:color="000000" w:sz="8" w:space="0"/>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中国香港  </w:t>
            </w:r>
          </w:p>
        </w:tc>
        <w:tc>
          <w:tcPr>
            <w:tcW w:w="148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206218.601</w:t>
            </w:r>
          </w:p>
        </w:tc>
        <w:tc>
          <w:tcPr>
            <w:tcW w:w="117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920"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605462165</w:t>
            </w:r>
          </w:p>
        </w:tc>
        <w:tc>
          <w:tcPr>
            <w:tcW w:w="2235" w:type="dxa"/>
            <w:tcBorders>
              <w:top w:val="nil"/>
              <w:left w:val="nil"/>
              <w:bottom w:val="single" w:color="000000" w:sz="8" w:space="0"/>
              <w:right w:val="single" w:color="000000" w:sz="8" w:space="0"/>
            </w:tcBorders>
            <w:shd w:val="clear" w:color="auto" w:fill="F9F9F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2936.02</w:t>
            </w:r>
          </w:p>
        </w:tc>
      </w:tr>
      <w:tr>
        <w:tblPrEx>
          <w:tblCellMar>
            <w:top w:w="0" w:type="dxa"/>
            <w:left w:w="0" w:type="dxa"/>
            <w:bottom w:w="0" w:type="dxa"/>
            <w:right w:w="0" w:type="dxa"/>
          </w:tblCellMar>
        </w:tblPrEx>
        <w:trPr>
          <w:trHeight w:val="300" w:hRule="atLeast"/>
        </w:trPr>
        <w:tc>
          <w:tcPr>
            <w:tcW w:w="2235" w:type="dxa"/>
            <w:tcBorders>
              <w:top w:val="single" w:color="000000" w:sz="8" w:space="0"/>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485" w:type="dxa"/>
            <w:tcBorders>
              <w:top w:val="single" w:color="000000" w:sz="8" w:space="0"/>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2810163.35</w:t>
            </w:r>
          </w:p>
        </w:tc>
        <w:tc>
          <w:tcPr>
            <w:tcW w:w="1170" w:type="dxa"/>
            <w:tcBorders>
              <w:top w:val="single" w:color="000000" w:sz="8" w:space="0"/>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920" w:type="dxa"/>
            <w:tcBorders>
              <w:top w:val="single" w:color="000000" w:sz="8" w:space="0"/>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8525576147</w:t>
            </w:r>
          </w:p>
        </w:tc>
        <w:tc>
          <w:tcPr>
            <w:tcW w:w="2235" w:type="dxa"/>
            <w:tcBorders>
              <w:top w:val="single" w:color="000000" w:sz="8" w:space="0"/>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3033.84 </w:t>
            </w:r>
          </w:p>
        </w:tc>
      </w:tr>
    </w:tbl>
    <w:p>
      <w:pPr>
        <w:rPr>
          <w:rFonts w:hint="eastAsia" w:ascii="宋体" w:hAnsi="宋体"/>
          <w:b/>
          <w:sz w:val="30"/>
          <w:szCs w:val="30"/>
        </w:rPr>
      </w:pPr>
    </w:p>
    <w:p>
      <w:pPr>
        <w:pStyle w:val="3"/>
        <w:spacing w:before="120" w:after="120" w:line="240" w:lineRule="auto"/>
        <w:rPr>
          <w:rFonts w:hint="eastAsia"/>
          <w:bCs/>
          <w:szCs w:val="21"/>
        </w:rPr>
      </w:pPr>
      <w:bookmarkStart w:id="29" w:name="_Toc16942"/>
      <w:r>
        <w:rPr>
          <w:rFonts w:hint="eastAsia" w:ascii="宋体" w:hAnsi="宋体"/>
          <w:b/>
          <w:color w:val="auto"/>
          <w:sz w:val="30"/>
          <w:szCs w:val="30"/>
        </w:rPr>
        <w:t>4.3 20</w:t>
      </w:r>
      <w:r>
        <w:rPr>
          <w:rFonts w:hint="eastAsia" w:ascii="宋体" w:hAnsi="宋体"/>
          <w:b/>
          <w:color w:val="auto"/>
          <w:sz w:val="30"/>
          <w:szCs w:val="30"/>
          <w:lang w:val="en-US" w:eastAsia="zh-CN"/>
        </w:rPr>
        <w:t>21</w:t>
      </w:r>
      <w:r>
        <w:rPr>
          <w:rFonts w:hint="eastAsia" w:ascii="宋体" w:hAnsi="宋体"/>
          <w:b/>
          <w:color w:val="auto"/>
          <w:sz w:val="30"/>
          <w:szCs w:val="30"/>
        </w:rPr>
        <w:t>年</w:t>
      </w:r>
      <w:r>
        <w:rPr>
          <w:rFonts w:hint="eastAsia" w:ascii="宋体" w:hAnsi="宋体"/>
          <w:b/>
          <w:color w:val="auto"/>
          <w:sz w:val="30"/>
          <w:szCs w:val="30"/>
          <w:lang w:val="en-US" w:eastAsia="zh-CN"/>
        </w:rPr>
        <w:t>3</w:t>
      </w:r>
      <w:r>
        <w:rPr>
          <w:rFonts w:hint="eastAsia" w:ascii="宋体" w:hAnsi="宋体"/>
          <w:b/>
          <w:color w:val="auto"/>
          <w:sz w:val="30"/>
          <w:szCs w:val="30"/>
        </w:rPr>
        <w:t>月份全国原油进出口统计数据</w:t>
      </w:r>
      <w:bookmarkEnd w:id="23"/>
      <w:bookmarkEnd w:id="29"/>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p>
      <w:pPr>
        <w:rPr>
          <w:rFonts w:hint="eastAsia" w:eastAsia="宋体"/>
          <w:bCs/>
          <w:szCs w:val="21"/>
          <w:lang w:eastAsia="zh-CN"/>
        </w:rPr>
      </w:pPr>
    </w:p>
    <w:tbl>
      <w:tblPr>
        <w:tblStyle w:val="24"/>
        <w:tblW w:w="8440" w:type="dxa"/>
        <w:tblInd w:w="0" w:type="dxa"/>
        <w:tblLayout w:type="autofit"/>
        <w:tblCellMar>
          <w:top w:w="0" w:type="dxa"/>
          <w:left w:w="0" w:type="dxa"/>
          <w:bottom w:w="0" w:type="dxa"/>
          <w:right w:w="0" w:type="dxa"/>
        </w:tblCellMar>
      </w:tblPr>
      <w:tblGrid>
        <w:gridCol w:w="4220"/>
        <w:gridCol w:w="4220"/>
      </w:tblGrid>
      <w:tr>
        <w:tblPrEx>
          <w:tblCellMar>
            <w:top w:w="0" w:type="dxa"/>
            <w:left w:w="0" w:type="dxa"/>
            <w:bottom w:w="0" w:type="dxa"/>
            <w:right w:w="0" w:type="dxa"/>
          </w:tblCellMar>
        </w:tblPrEx>
        <w:trPr>
          <w:trHeight w:val="402" w:hRule="atLeast"/>
        </w:trPr>
        <w:tc>
          <w:tcPr>
            <w:tcW w:w="4220" w:type="dxa"/>
            <w:tcBorders>
              <w:top w:val="single" w:color="333333" w:sz="8" w:space="0"/>
              <w:left w:val="nil"/>
              <w:bottom w:val="single" w:color="333333" w:sz="8" w:space="0"/>
              <w:right w:val="single" w:color="333333" w:sz="8" w:space="0"/>
            </w:tcBorders>
            <w:shd w:val="clear" w:color="auto" w:fill="00B0F0"/>
            <w:noWrap w:val="0"/>
            <w:vAlign w:val="center"/>
          </w:tcPr>
          <w:p>
            <w:pPr>
              <w:widowControl/>
              <w:wordWrap w:val="0"/>
              <w:spacing w:line="288"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color w:val="191919"/>
                <w:kern w:val="0"/>
                <w:sz w:val="24"/>
                <w:szCs w:val="24"/>
              </w:rPr>
              <w:t>进</w:t>
            </w:r>
            <w:r>
              <w:rPr>
                <w:rFonts w:hint="eastAsia" w:asciiTheme="minorEastAsia" w:hAnsiTheme="minorEastAsia" w:eastAsiaTheme="minorEastAsia" w:cstheme="minorEastAsia"/>
                <w:b/>
                <w:bCs/>
                <w:color w:val="191919"/>
                <w:kern w:val="0"/>
                <w:sz w:val="24"/>
                <w:szCs w:val="24"/>
                <w:lang w:val="en-US" w:eastAsia="zh-CN"/>
              </w:rPr>
              <w:t xml:space="preserve"> </w:t>
            </w:r>
            <w:r>
              <w:rPr>
                <w:rFonts w:hint="eastAsia" w:asciiTheme="minorEastAsia" w:hAnsiTheme="minorEastAsia" w:eastAsiaTheme="minorEastAsia" w:cstheme="minorEastAsia"/>
                <w:b/>
                <w:bCs/>
                <w:color w:val="191919"/>
                <w:kern w:val="0"/>
                <w:sz w:val="24"/>
                <w:szCs w:val="24"/>
              </w:rPr>
              <w:t>口</w:t>
            </w:r>
          </w:p>
        </w:tc>
        <w:tc>
          <w:tcPr>
            <w:tcW w:w="4220" w:type="dxa"/>
            <w:tcBorders>
              <w:top w:val="single" w:color="333333" w:sz="8" w:space="0"/>
              <w:left w:val="nil"/>
              <w:bottom w:val="single" w:color="333333" w:sz="8" w:space="0"/>
              <w:right w:val="single" w:color="333333" w:sz="8" w:space="0"/>
            </w:tcBorders>
            <w:shd w:val="clear" w:color="auto" w:fill="00B0F0"/>
            <w:noWrap w:val="0"/>
            <w:vAlign w:val="center"/>
          </w:tcPr>
          <w:p>
            <w:pPr>
              <w:widowControl/>
              <w:wordWrap w:val="0"/>
              <w:spacing w:line="288" w:lineRule="auto"/>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color w:val="191919"/>
                <w:kern w:val="0"/>
                <w:sz w:val="24"/>
                <w:szCs w:val="24"/>
              </w:rPr>
              <w:t>出</w:t>
            </w:r>
            <w:r>
              <w:rPr>
                <w:rFonts w:hint="eastAsia" w:asciiTheme="minorEastAsia" w:hAnsiTheme="minorEastAsia" w:eastAsiaTheme="minorEastAsia" w:cstheme="minorEastAsia"/>
                <w:b/>
                <w:bCs/>
                <w:color w:val="191919"/>
                <w:kern w:val="0"/>
                <w:sz w:val="24"/>
                <w:szCs w:val="24"/>
                <w:lang w:val="en-US" w:eastAsia="zh-CN"/>
              </w:rPr>
              <w:t xml:space="preserve"> </w:t>
            </w:r>
            <w:r>
              <w:rPr>
                <w:rFonts w:hint="eastAsia" w:asciiTheme="minorEastAsia" w:hAnsiTheme="minorEastAsia" w:eastAsiaTheme="minorEastAsia" w:cstheme="minorEastAsia"/>
                <w:b/>
                <w:bCs/>
                <w:color w:val="191919"/>
                <w:kern w:val="0"/>
                <w:sz w:val="24"/>
                <w:szCs w:val="24"/>
              </w:rPr>
              <w:t>口</w:t>
            </w:r>
          </w:p>
        </w:tc>
      </w:tr>
      <w:tr>
        <w:tblPrEx>
          <w:tblCellMar>
            <w:top w:w="0" w:type="dxa"/>
            <w:left w:w="0" w:type="dxa"/>
            <w:bottom w:w="0" w:type="dxa"/>
            <w:right w:w="0" w:type="dxa"/>
          </w:tblCellMar>
        </w:tblPrEx>
        <w:trPr>
          <w:trHeight w:val="402" w:hRule="atLeast"/>
        </w:trPr>
        <w:tc>
          <w:tcPr>
            <w:tcW w:w="42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当月进口量: 49658908.7 (吨)</w:t>
            </w:r>
          </w:p>
        </w:tc>
        <w:tc>
          <w:tcPr>
            <w:tcW w:w="4220" w:type="dxa"/>
            <w:tcBorders>
              <w:top w:val="single" w:color="auto" w:sz="4" w:space="0"/>
              <w:left w:val="nil"/>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当月出口量: 65821.1 (吨)</w:t>
            </w:r>
          </w:p>
        </w:tc>
      </w:tr>
      <w:tr>
        <w:tblPrEx>
          <w:tblCellMar>
            <w:top w:w="0" w:type="dxa"/>
            <w:left w:w="0" w:type="dxa"/>
            <w:bottom w:w="0" w:type="dxa"/>
            <w:right w:w="0" w:type="dxa"/>
          </w:tblCellMar>
        </w:tblPrEx>
        <w:trPr>
          <w:trHeight w:val="402" w:hRule="atLeast"/>
        </w:trPr>
        <w:tc>
          <w:tcPr>
            <w:tcW w:w="4220" w:type="dxa"/>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累计进口量: 139226433.1 (吨)</w:t>
            </w:r>
          </w:p>
        </w:tc>
        <w:tc>
          <w:tcPr>
            <w:tcW w:w="4220" w:type="dxa"/>
            <w:tcBorders>
              <w:top w:val="nil"/>
              <w:left w:val="nil"/>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累计出口量: 429871.2 (吨)</w:t>
            </w:r>
          </w:p>
        </w:tc>
      </w:tr>
      <w:tr>
        <w:tblPrEx>
          <w:tblCellMar>
            <w:top w:w="0" w:type="dxa"/>
            <w:left w:w="0" w:type="dxa"/>
            <w:bottom w:w="0" w:type="dxa"/>
            <w:right w:w="0" w:type="dxa"/>
          </w:tblCellMar>
        </w:tblPrEx>
        <w:trPr>
          <w:trHeight w:val="402" w:hRule="atLeast"/>
        </w:trPr>
        <w:tc>
          <w:tcPr>
            <w:tcW w:w="4220" w:type="dxa"/>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当月进口均价:447.4（美元/吨)</w:t>
            </w:r>
          </w:p>
        </w:tc>
        <w:tc>
          <w:tcPr>
            <w:tcW w:w="4220" w:type="dxa"/>
            <w:tcBorders>
              <w:top w:val="nil"/>
              <w:left w:val="nil"/>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当月出口均价:427.5美元/吨)</w:t>
            </w:r>
          </w:p>
        </w:tc>
      </w:tr>
      <w:tr>
        <w:tblPrEx>
          <w:tblCellMar>
            <w:top w:w="0" w:type="dxa"/>
            <w:left w:w="0" w:type="dxa"/>
            <w:bottom w:w="0" w:type="dxa"/>
            <w:right w:w="0" w:type="dxa"/>
          </w:tblCellMar>
        </w:tblPrEx>
        <w:trPr>
          <w:trHeight w:val="402" w:hRule="atLeast"/>
        </w:trPr>
        <w:tc>
          <w:tcPr>
            <w:tcW w:w="4220" w:type="dxa"/>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进口量环比：10.4%</w:t>
            </w:r>
          </w:p>
        </w:tc>
        <w:tc>
          <w:tcPr>
            <w:tcW w:w="4220" w:type="dxa"/>
            <w:tcBorders>
              <w:top w:val="nil"/>
              <w:left w:val="nil"/>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出口量环比：-80.15%</w:t>
            </w:r>
          </w:p>
        </w:tc>
      </w:tr>
      <w:tr>
        <w:tblPrEx>
          <w:tblCellMar>
            <w:top w:w="0" w:type="dxa"/>
            <w:left w:w="0" w:type="dxa"/>
            <w:bottom w:w="0" w:type="dxa"/>
            <w:right w:w="0" w:type="dxa"/>
          </w:tblCellMar>
        </w:tblPrEx>
        <w:trPr>
          <w:trHeight w:val="402" w:hRule="atLeast"/>
        </w:trPr>
        <w:tc>
          <w:tcPr>
            <w:tcW w:w="4220" w:type="dxa"/>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进口量同比：20.82%</w:t>
            </w:r>
          </w:p>
        </w:tc>
        <w:tc>
          <w:tcPr>
            <w:tcW w:w="4220" w:type="dxa"/>
            <w:tcBorders>
              <w:top w:val="nil"/>
              <w:left w:val="nil"/>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出口量同比：-53.42%</w:t>
            </w:r>
          </w:p>
        </w:tc>
      </w:tr>
      <w:tr>
        <w:tblPrEx>
          <w:tblCellMar>
            <w:top w:w="0" w:type="dxa"/>
            <w:left w:w="0" w:type="dxa"/>
            <w:bottom w:w="0" w:type="dxa"/>
            <w:right w:w="0" w:type="dxa"/>
          </w:tblCellMar>
        </w:tblPrEx>
        <w:trPr>
          <w:trHeight w:val="402" w:hRule="atLeast"/>
        </w:trPr>
        <w:tc>
          <w:tcPr>
            <w:tcW w:w="4220" w:type="dxa"/>
            <w:tcBorders>
              <w:top w:val="nil"/>
              <w:left w:val="single" w:color="auto" w:sz="4" w:space="0"/>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累计进口量比去年同期：9.46%</w:t>
            </w:r>
          </w:p>
        </w:tc>
        <w:tc>
          <w:tcPr>
            <w:tcW w:w="4220" w:type="dxa"/>
            <w:tcBorders>
              <w:top w:val="nil"/>
              <w:left w:val="nil"/>
              <w:bottom w:val="single" w:color="auto" w:sz="4" w:space="0"/>
              <w:right w:val="single" w:color="auto" w:sz="4" w:space="0"/>
            </w:tcBorders>
            <w:shd w:val="clear" w:color="auto" w:fill="auto"/>
            <w:noWrap w:val="0"/>
            <w:vAlign w:val="center"/>
          </w:tcPr>
          <w:p>
            <w:pPr>
              <w:widowControl/>
              <w:wordWrap w:val="0"/>
              <w:spacing w:line="288" w:lineRule="auto"/>
              <w:jc w:val="center"/>
              <w:rPr>
                <w:rFonts w:hint="eastAsia" w:asciiTheme="minorEastAsia" w:hAnsiTheme="minorEastAsia" w:eastAsiaTheme="minorEastAsia" w:cstheme="minorEastAsia"/>
                <w:bCs/>
                <w:color w:val="191919"/>
                <w:kern w:val="0"/>
                <w:sz w:val="20"/>
                <w:szCs w:val="20"/>
              </w:rPr>
            </w:pPr>
            <w:r>
              <w:rPr>
                <w:rFonts w:hint="eastAsia" w:asciiTheme="minorEastAsia" w:hAnsiTheme="minorEastAsia" w:eastAsiaTheme="minorEastAsia" w:cstheme="minorEastAsia"/>
                <w:bCs/>
                <w:color w:val="191919"/>
                <w:kern w:val="0"/>
                <w:sz w:val="20"/>
                <w:szCs w:val="20"/>
              </w:rPr>
              <w:t>累计出口量比去年同期：112.07%</w:t>
            </w:r>
          </w:p>
        </w:tc>
      </w:tr>
    </w:tbl>
    <w:p>
      <w:pPr>
        <w:pStyle w:val="23"/>
        <w:spacing w:line="360" w:lineRule="auto"/>
        <w:ind w:firstLine="560" w:firstLineChars="200"/>
        <w:rPr>
          <w:rFonts w:hint="eastAsia" w:ascii="宋体" w:hAnsi="宋体" w:eastAsia="宋体" w:cs="宋体"/>
          <w:color w:val="auto"/>
          <w:kern w:val="2"/>
          <w:sz w:val="28"/>
          <w:szCs w:val="28"/>
          <w:shd w:val="clear" w:color="auto" w:fill="FFFFFF"/>
        </w:rPr>
      </w:pPr>
      <w:bookmarkStart w:id="30" w:name="_Toc20776"/>
      <w:bookmarkStart w:id="31" w:name="_Toc18589"/>
      <w:r>
        <w:rPr>
          <w:rFonts w:hint="eastAsia" w:ascii="宋体" w:hAnsi="宋体" w:eastAsia="宋体" w:cs="宋体"/>
          <w:color w:val="auto"/>
          <w:kern w:val="2"/>
          <w:sz w:val="28"/>
          <w:szCs w:val="28"/>
          <w:shd w:val="clear" w:color="auto" w:fill="FFFFFF"/>
        </w:rPr>
        <w:t>据海关统计，2021年3月我国原油进口量为49658908.7吨，累计进口量为139226433.1吨， 当月进口金额为2221674.1万美元，累计进口金额为5617874.4万美元，当月进口均价为447.4美元/吨，累计进口均价403.5美元/吨，与上年同期数量相比增长20.82%。</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2021年3月我国原油出口量为65821.1吨，累计出口量为429871.2吨， 当月出口金额为2814万美元，累计出口金额为14700.6万美元，当月出口均价为427.5美元/吨，累计出口均价为342美元/吨，与上年同期数量相比下降53.42%。</w:t>
      </w:r>
    </w:p>
    <w:p>
      <w:pPr>
        <w:pStyle w:val="3"/>
        <w:spacing w:before="120" w:after="120" w:line="240" w:lineRule="auto"/>
        <w:rPr>
          <w:rFonts w:hint="eastAsia" w:ascii="宋体" w:hAnsi="宋体"/>
          <w:b/>
          <w:sz w:val="30"/>
          <w:szCs w:val="30"/>
        </w:rPr>
      </w:pPr>
      <w:r>
        <w:rPr>
          <w:rFonts w:hint="eastAsia" w:ascii="宋体" w:hAnsi="宋体"/>
          <w:b/>
          <w:sz w:val="30"/>
          <w:szCs w:val="30"/>
        </w:rPr>
        <w:t>4.4 20</w:t>
      </w:r>
      <w:r>
        <w:rPr>
          <w:rFonts w:hint="eastAsia" w:ascii="宋体" w:hAnsi="宋体"/>
          <w:b/>
          <w:sz w:val="30"/>
          <w:szCs w:val="30"/>
          <w:lang w:val="en-US" w:eastAsia="zh-CN"/>
        </w:rPr>
        <w:t>21</w:t>
      </w:r>
      <w:r>
        <w:rPr>
          <w:rFonts w:hint="eastAsia" w:ascii="宋体" w:hAnsi="宋体"/>
          <w:b/>
          <w:sz w:val="30"/>
          <w:szCs w:val="30"/>
        </w:rPr>
        <w:t>年</w:t>
      </w:r>
      <w:r>
        <w:rPr>
          <w:rFonts w:hint="eastAsia" w:ascii="宋体" w:hAnsi="宋体"/>
          <w:b/>
          <w:sz w:val="30"/>
          <w:szCs w:val="30"/>
          <w:lang w:val="en-US" w:eastAsia="zh-CN"/>
        </w:rPr>
        <w:t>3</w:t>
      </w:r>
      <w:r>
        <w:rPr>
          <w:rFonts w:hint="eastAsia" w:ascii="宋体" w:hAnsi="宋体"/>
          <w:b/>
          <w:sz w:val="30"/>
          <w:szCs w:val="30"/>
        </w:rPr>
        <w:t>月份航空煤油进出口统计数据</w:t>
      </w:r>
      <w:bookmarkEnd w:id="30"/>
      <w:bookmarkEnd w:id="31"/>
    </w:p>
    <w:p>
      <w:pPr>
        <w:ind w:firstLine="420" w:firstLineChars="200"/>
        <w:jc w:val="left"/>
        <w:rPr>
          <w:rFonts w:hint="eastAsia" w:ascii="宋体" w:hAnsi="宋体"/>
        </w:rPr>
      </w:pPr>
      <w:r>
        <w:rPr>
          <w:rFonts w:hint="eastAsia" w:ascii="宋体" w:hAnsi="宋体"/>
        </w:rPr>
        <w:t>单位：</w:t>
      </w:r>
      <w:r>
        <w:rPr>
          <w:rFonts w:hint="eastAsia" w:ascii="宋体" w:hAnsi="宋体"/>
          <w:lang w:eastAsia="zh-CN"/>
        </w:rPr>
        <w:t>吨</w:t>
      </w:r>
      <w:r>
        <w:rPr>
          <w:rFonts w:hint="eastAsia" w:ascii="宋体" w:hAnsi="宋体"/>
        </w:rPr>
        <w:t>，美元</w:t>
      </w:r>
    </w:p>
    <w:p>
      <w:pPr>
        <w:ind w:firstLine="420" w:firstLineChars="200"/>
        <w:jc w:val="left"/>
        <w:rPr>
          <w:rFonts w:hint="eastAsia" w:ascii="宋体" w:hAnsi="宋体"/>
        </w:rPr>
      </w:pPr>
    </w:p>
    <w:bookmarkEnd w:id="24"/>
    <w:tbl>
      <w:tblPr>
        <w:tblStyle w:val="24"/>
        <w:tblW w:w="9036" w:type="dxa"/>
        <w:jc w:val="center"/>
        <w:shd w:val="clear" w:color="auto" w:fill="auto"/>
        <w:tblLayout w:type="fixed"/>
        <w:tblCellMar>
          <w:top w:w="0" w:type="dxa"/>
          <w:left w:w="0" w:type="dxa"/>
          <w:bottom w:w="0" w:type="dxa"/>
          <w:right w:w="0" w:type="dxa"/>
        </w:tblCellMar>
      </w:tblPr>
      <w:tblGrid>
        <w:gridCol w:w="4500"/>
        <w:gridCol w:w="4536"/>
      </w:tblGrid>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4"/>
                <w:szCs w:val="24"/>
                <w:u w:val="none"/>
              </w:rPr>
            </w:pPr>
            <w:r>
              <w:rPr>
                <w:rStyle w:val="28"/>
                <w:rFonts w:ascii="宋体" w:hAnsi="宋体" w:eastAsia="宋体" w:cs="宋体"/>
                <w:caps w:val="0"/>
                <w:spacing w:val="0"/>
                <w:sz w:val="24"/>
                <w:szCs w:val="24"/>
              </w:rPr>
              <w:t>进</w:t>
            </w:r>
            <w:r>
              <w:rPr>
                <w:rStyle w:val="28"/>
                <w:rFonts w:hint="eastAsia" w:cs="宋体"/>
                <w:caps w:val="0"/>
                <w:spacing w:val="0"/>
                <w:sz w:val="24"/>
                <w:szCs w:val="24"/>
                <w:lang w:val="en-US" w:eastAsia="zh-CN"/>
              </w:rPr>
              <w:t xml:space="preserve">  </w:t>
            </w:r>
            <w:r>
              <w:rPr>
                <w:rStyle w:val="28"/>
                <w:rFonts w:ascii="宋体" w:hAnsi="宋体" w:eastAsia="宋体" w:cs="宋体"/>
                <w:caps w:val="0"/>
                <w:spacing w:val="0"/>
                <w:sz w:val="24"/>
                <w:szCs w:val="24"/>
              </w:rPr>
              <w:t>口</w:t>
            </w:r>
          </w:p>
        </w:tc>
        <w:tc>
          <w:tcPr>
            <w:tcW w:w="4536"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4"/>
                <w:szCs w:val="24"/>
                <w:u w:val="none"/>
              </w:rPr>
            </w:pPr>
            <w:r>
              <w:rPr>
                <w:rStyle w:val="28"/>
                <w:rFonts w:hint="eastAsia" w:ascii="宋体" w:hAnsi="宋体" w:eastAsia="宋体" w:cs="宋体"/>
                <w:caps w:val="0"/>
                <w:spacing w:val="0"/>
                <w:sz w:val="24"/>
                <w:szCs w:val="24"/>
              </w:rPr>
              <w:t>出</w:t>
            </w:r>
            <w:r>
              <w:rPr>
                <w:rStyle w:val="28"/>
                <w:rFonts w:hint="eastAsia" w:cs="宋体"/>
                <w:caps w:val="0"/>
                <w:spacing w:val="0"/>
                <w:sz w:val="24"/>
                <w:szCs w:val="24"/>
                <w:lang w:val="en-US" w:eastAsia="zh-CN"/>
              </w:rPr>
              <w:t xml:space="preserve">  </w:t>
            </w:r>
            <w:r>
              <w:rPr>
                <w:rStyle w:val="28"/>
                <w:rFonts w:hint="eastAsia" w:ascii="宋体" w:hAnsi="宋体" w:eastAsia="宋体" w:cs="宋体"/>
                <w:caps w:val="0"/>
                <w:spacing w:val="0"/>
                <w:sz w:val="24"/>
                <w:szCs w:val="24"/>
              </w:rPr>
              <w:t>口</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000000"/>
                <w:sz w:val="20"/>
                <w:szCs w:val="20"/>
                <w:u w:val="none"/>
              </w:rPr>
            </w:pPr>
            <w:r>
              <w:rPr>
                <w:rFonts w:hint="eastAsia" w:ascii="宋体" w:hAnsi="宋体" w:eastAsia="宋体" w:cs="宋体"/>
                <w:kern w:val="0"/>
                <w:sz w:val="20"/>
                <w:szCs w:val="20"/>
                <w:lang w:val="en-US" w:eastAsia="zh-CN" w:bidi="ar"/>
              </w:rPr>
              <w:t>3月进口量:126328.82（吨）</w:t>
            </w:r>
          </w:p>
        </w:tc>
        <w:tc>
          <w:tcPr>
            <w:tcW w:w="45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000000"/>
                <w:sz w:val="20"/>
                <w:szCs w:val="20"/>
                <w:u w:val="none"/>
              </w:rPr>
            </w:pPr>
            <w:r>
              <w:rPr>
                <w:rFonts w:hint="eastAsia" w:ascii="宋体" w:hAnsi="宋体" w:eastAsia="宋体" w:cs="宋体"/>
                <w:kern w:val="0"/>
                <w:sz w:val="20"/>
                <w:szCs w:val="20"/>
                <w:lang w:val="en-US" w:eastAsia="zh-CN" w:bidi="ar"/>
              </w:rPr>
              <w:t>3月出口量:714489.05（吨）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000000"/>
                <w:sz w:val="20"/>
                <w:szCs w:val="20"/>
                <w:u w:val="none"/>
              </w:rPr>
            </w:pPr>
            <w:r>
              <w:rPr>
                <w:rFonts w:hint="eastAsia" w:ascii="宋体" w:hAnsi="宋体" w:eastAsia="宋体" w:cs="宋体"/>
                <w:kern w:val="0"/>
                <w:sz w:val="20"/>
                <w:szCs w:val="20"/>
                <w:lang w:val="en-US" w:eastAsia="zh-CN" w:bidi="ar"/>
              </w:rPr>
              <w:t>累计进口量:373976.839 (吨）</w:t>
            </w:r>
          </w:p>
        </w:tc>
        <w:tc>
          <w:tcPr>
            <w:tcW w:w="45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000000"/>
                <w:sz w:val="20"/>
                <w:szCs w:val="20"/>
                <w:u w:val="none"/>
              </w:rPr>
            </w:pPr>
            <w:r>
              <w:rPr>
                <w:rFonts w:hint="eastAsia" w:ascii="宋体" w:hAnsi="宋体" w:eastAsia="宋体" w:cs="宋体"/>
                <w:kern w:val="0"/>
                <w:sz w:val="20"/>
                <w:szCs w:val="20"/>
                <w:lang w:val="en-US" w:eastAsia="zh-CN" w:bidi="ar"/>
              </w:rPr>
              <w:t>累计出口量:1590771.701（吨）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000000"/>
                <w:sz w:val="20"/>
                <w:szCs w:val="20"/>
                <w:u w:val="none"/>
              </w:rPr>
            </w:pPr>
            <w:r>
              <w:rPr>
                <w:rFonts w:hint="eastAsia" w:ascii="宋体" w:hAnsi="宋体" w:eastAsia="宋体" w:cs="宋体"/>
                <w:kern w:val="0"/>
                <w:sz w:val="20"/>
                <w:szCs w:val="20"/>
                <w:lang w:val="en-US" w:eastAsia="zh-CN" w:bidi="ar"/>
              </w:rPr>
              <w:t>当月进口均价:3404.97（元/吨）</w:t>
            </w:r>
          </w:p>
        </w:tc>
        <w:tc>
          <w:tcPr>
            <w:tcW w:w="45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000000"/>
                <w:sz w:val="20"/>
                <w:szCs w:val="20"/>
                <w:u w:val="none"/>
              </w:rPr>
            </w:pPr>
            <w:r>
              <w:rPr>
                <w:rFonts w:hint="eastAsia" w:ascii="宋体" w:hAnsi="宋体" w:eastAsia="宋体" w:cs="宋体"/>
                <w:kern w:val="0"/>
                <w:sz w:val="20"/>
                <w:szCs w:val="20"/>
                <w:lang w:val="en-US" w:eastAsia="zh-CN" w:bidi="ar"/>
              </w:rPr>
              <w:t>当月出口均价:3091.08（元/吨）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000000"/>
                <w:sz w:val="20"/>
                <w:szCs w:val="20"/>
                <w:u w:val="none"/>
              </w:rPr>
            </w:pPr>
            <w:r>
              <w:rPr>
                <w:rFonts w:hint="eastAsia" w:ascii="宋体" w:hAnsi="宋体" w:eastAsia="宋体" w:cs="宋体"/>
                <w:kern w:val="0"/>
                <w:sz w:val="20"/>
                <w:szCs w:val="20"/>
                <w:lang w:val="en-US" w:eastAsia="zh-CN" w:bidi="ar"/>
              </w:rPr>
              <w:t>累计进口均价：9367.62（元/吨）</w:t>
            </w:r>
          </w:p>
        </w:tc>
        <w:tc>
          <w:tcPr>
            <w:tcW w:w="45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000000"/>
                <w:sz w:val="20"/>
                <w:szCs w:val="20"/>
                <w:u w:val="none"/>
              </w:rPr>
            </w:pPr>
            <w:r>
              <w:rPr>
                <w:rFonts w:hint="eastAsia" w:ascii="宋体" w:hAnsi="宋体" w:eastAsia="宋体" w:cs="宋体"/>
                <w:kern w:val="0"/>
                <w:sz w:val="20"/>
                <w:szCs w:val="20"/>
                <w:lang w:val="en-US" w:eastAsia="zh-CN" w:bidi="ar"/>
              </w:rPr>
              <w:t>累计出口均价:8649.22（元/吨）</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000000"/>
                <w:sz w:val="20"/>
                <w:szCs w:val="20"/>
                <w:u w:val="none"/>
              </w:rPr>
            </w:pPr>
            <w:r>
              <w:rPr>
                <w:rFonts w:hint="eastAsia" w:ascii="宋体" w:hAnsi="宋体" w:eastAsia="宋体" w:cs="宋体"/>
                <w:kern w:val="0"/>
                <w:sz w:val="20"/>
                <w:szCs w:val="20"/>
                <w:lang w:val="en-US" w:eastAsia="zh-CN" w:bidi="ar"/>
              </w:rPr>
              <w:t>进口量环比:-16.59%</w:t>
            </w:r>
          </w:p>
        </w:tc>
        <w:tc>
          <w:tcPr>
            <w:tcW w:w="45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000000"/>
                <w:sz w:val="20"/>
                <w:szCs w:val="20"/>
                <w:u w:val="none"/>
              </w:rPr>
            </w:pPr>
            <w:r>
              <w:rPr>
                <w:rFonts w:hint="eastAsia" w:ascii="宋体" w:hAnsi="宋体" w:eastAsia="宋体" w:cs="宋体"/>
                <w:kern w:val="0"/>
                <w:sz w:val="20"/>
                <w:szCs w:val="20"/>
                <w:lang w:val="en-US" w:eastAsia="zh-CN" w:bidi="ar"/>
              </w:rPr>
              <w:t>出口量环比：38.88%</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000000"/>
                <w:sz w:val="20"/>
                <w:szCs w:val="20"/>
                <w:u w:val="none"/>
              </w:rPr>
            </w:pPr>
            <w:r>
              <w:rPr>
                <w:rFonts w:hint="eastAsia" w:ascii="宋体" w:hAnsi="宋体" w:eastAsia="宋体" w:cs="宋体"/>
                <w:kern w:val="0"/>
                <w:sz w:val="20"/>
                <w:szCs w:val="20"/>
                <w:lang w:val="en-US" w:eastAsia="zh-CN" w:bidi="ar"/>
              </w:rPr>
              <w:t>进口量同比：33.35%</w:t>
            </w:r>
          </w:p>
        </w:tc>
        <w:tc>
          <w:tcPr>
            <w:tcW w:w="45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000000"/>
                <w:sz w:val="20"/>
                <w:szCs w:val="20"/>
                <w:u w:val="none"/>
              </w:rPr>
            </w:pPr>
            <w:r>
              <w:rPr>
                <w:rFonts w:hint="eastAsia" w:ascii="宋体" w:hAnsi="宋体" w:eastAsia="宋体" w:cs="宋体"/>
                <w:kern w:val="0"/>
                <w:sz w:val="20"/>
                <w:szCs w:val="20"/>
                <w:lang w:val="en-US" w:eastAsia="zh-CN" w:bidi="ar"/>
              </w:rPr>
              <w:t>出口量同比：-51.67%</w:t>
            </w:r>
          </w:p>
        </w:tc>
      </w:tr>
      <w:tr>
        <w:tblPrEx>
          <w:tblCellMar>
            <w:top w:w="0" w:type="dxa"/>
            <w:left w:w="0" w:type="dxa"/>
            <w:bottom w:w="0" w:type="dxa"/>
            <w:right w:w="0" w:type="dxa"/>
          </w:tblCellMar>
        </w:tblPrEx>
        <w:trPr>
          <w:trHeight w:val="390" w:hRule="atLeast"/>
          <w:jc w:val="center"/>
        </w:trPr>
        <w:tc>
          <w:tcPr>
            <w:tcW w:w="450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000000"/>
                <w:sz w:val="20"/>
                <w:szCs w:val="20"/>
                <w:u w:val="none"/>
              </w:rPr>
            </w:pPr>
            <w:r>
              <w:rPr>
                <w:rFonts w:hint="eastAsia" w:ascii="宋体" w:hAnsi="宋体" w:eastAsia="宋体" w:cs="宋体"/>
                <w:kern w:val="0"/>
                <w:sz w:val="20"/>
                <w:szCs w:val="20"/>
                <w:lang w:val="en-US" w:eastAsia="zh-CN" w:bidi="ar"/>
              </w:rPr>
              <w:t>累计进口量比去年同期：-28.53%</w:t>
            </w:r>
          </w:p>
        </w:tc>
        <w:tc>
          <w:tcPr>
            <w:tcW w:w="45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wordWrap w:val="0"/>
              <w:spacing w:line="288" w:lineRule="auto"/>
              <w:jc w:val="center"/>
              <w:rPr>
                <w:rFonts w:hint="eastAsia" w:ascii="宋体" w:hAnsi="宋体" w:eastAsia="宋体" w:cs="宋体"/>
                <w:i w:val="0"/>
                <w:color w:val="000000"/>
                <w:sz w:val="20"/>
                <w:szCs w:val="20"/>
                <w:u w:val="none"/>
              </w:rPr>
            </w:pPr>
            <w:r>
              <w:rPr>
                <w:rFonts w:hint="eastAsia" w:ascii="宋体" w:hAnsi="宋体" w:eastAsia="宋体" w:cs="宋体"/>
                <w:kern w:val="0"/>
                <w:sz w:val="20"/>
                <w:szCs w:val="20"/>
                <w:lang w:val="en-US" w:eastAsia="zh-CN" w:bidi="ar"/>
              </w:rPr>
              <w:t>累计出口量比去年同期：-63.93%</w:t>
            </w:r>
          </w:p>
        </w:tc>
      </w:tr>
    </w:tbl>
    <w:p/>
    <w:p/>
    <w:sectPr>
      <w:headerReference r:id="rId5" w:type="first"/>
      <w:headerReference r:id="rId3" w:type="default"/>
      <w:headerReference r:id="rId4" w:type="even"/>
      <w:pgSz w:w="11906" w:h="16838"/>
      <w:pgMar w:top="1416" w:right="1134" w:bottom="1440" w:left="1134"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F4C3B"/>
    <w:multiLevelType w:val="singleLevel"/>
    <w:tmpl w:val="C05F4C3B"/>
    <w:lvl w:ilvl="0" w:tentative="0">
      <w:start w:val="2"/>
      <w:numFmt w:val="decimal"/>
      <w:suff w:val="nothing"/>
      <w:lvlText w:val="（%1）"/>
      <w:lvlJc w:val="left"/>
    </w:lvl>
  </w:abstractNum>
  <w:abstractNum w:abstractNumId="1">
    <w:nsid w:val="06709E88"/>
    <w:multiLevelType w:val="singleLevel"/>
    <w:tmpl w:val="06709E8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20"/>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72F"/>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411"/>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2A7B"/>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54C8"/>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4BAC"/>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6A0"/>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36B1"/>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F28"/>
    <w:rsid w:val="00680136"/>
    <w:rsid w:val="0068064E"/>
    <w:rsid w:val="006807D2"/>
    <w:rsid w:val="00681153"/>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835"/>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669"/>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87722"/>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67CBA"/>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2D57"/>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689"/>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DCC"/>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75"/>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17E39"/>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948"/>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0570E4"/>
    <w:rsid w:val="011E5399"/>
    <w:rsid w:val="01533173"/>
    <w:rsid w:val="0174199B"/>
    <w:rsid w:val="018C042F"/>
    <w:rsid w:val="019139BB"/>
    <w:rsid w:val="01A95B6A"/>
    <w:rsid w:val="01BD1D63"/>
    <w:rsid w:val="01ED4894"/>
    <w:rsid w:val="01F27845"/>
    <w:rsid w:val="01FE2CFE"/>
    <w:rsid w:val="02353D60"/>
    <w:rsid w:val="02526173"/>
    <w:rsid w:val="029A6142"/>
    <w:rsid w:val="029A6633"/>
    <w:rsid w:val="029F2908"/>
    <w:rsid w:val="02AC60AA"/>
    <w:rsid w:val="02B87E06"/>
    <w:rsid w:val="02CC135E"/>
    <w:rsid w:val="02CD4EB7"/>
    <w:rsid w:val="02D71373"/>
    <w:rsid w:val="02D85611"/>
    <w:rsid w:val="02E90170"/>
    <w:rsid w:val="02FE589D"/>
    <w:rsid w:val="031824AB"/>
    <w:rsid w:val="031B1C80"/>
    <w:rsid w:val="03211A1D"/>
    <w:rsid w:val="0324523D"/>
    <w:rsid w:val="03331E75"/>
    <w:rsid w:val="034407FB"/>
    <w:rsid w:val="034F6246"/>
    <w:rsid w:val="03562125"/>
    <w:rsid w:val="035F2635"/>
    <w:rsid w:val="036D5E24"/>
    <w:rsid w:val="037413B6"/>
    <w:rsid w:val="03A57F11"/>
    <w:rsid w:val="03A93E53"/>
    <w:rsid w:val="03C71B14"/>
    <w:rsid w:val="03C968EE"/>
    <w:rsid w:val="03EC30D3"/>
    <w:rsid w:val="04063827"/>
    <w:rsid w:val="040707FC"/>
    <w:rsid w:val="0418413B"/>
    <w:rsid w:val="042972F1"/>
    <w:rsid w:val="042B4FB5"/>
    <w:rsid w:val="04331F6D"/>
    <w:rsid w:val="044D6C9D"/>
    <w:rsid w:val="044E5434"/>
    <w:rsid w:val="045E1E00"/>
    <w:rsid w:val="04684ED7"/>
    <w:rsid w:val="047A62BA"/>
    <w:rsid w:val="048101D3"/>
    <w:rsid w:val="048C7CAA"/>
    <w:rsid w:val="04987F00"/>
    <w:rsid w:val="04A45D71"/>
    <w:rsid w:val="04A8214A"/>
    <w:rsid w:val="04B04E89"/>
    <w:rsid w:val="04BF7371"/>
    <w:rsid w:val="04C829A7"/>
    <w:rsid w:val="04E22C17"/>
    <w:rsid w:val="04E47651"/>
    <w:rsid w:val="04EE66C3"/>
    <w:rsid w:val="04F36106"/>
    <w:rsid w:val="04F4133B"/>
    <w:rsid w:val="05021B01"/>
    <w:rsid w:val="051E18E1"/>
    <w:rsid w:val="05292B71"/>
    <w:rsid w:val="052C0D66"/>
    <w:rsid w:val="052F18F0"/>
    <w:rsid w:val="05314FD7"/>
    <w:rsid w:val="0538191C"/>
    <w:rsid w:val="053B1A3D"/>
    <w:rsid w:val="05500555"/>
    <w:rsid w:val="0558720E"/>
    <w:rsid w:val="057F2A2A"/>
    <w:rsid w:val="05894C8A"/>
    <w:rsid w:val="05920A6B"/>
    <w:rsid w:val="05993019"/>
    <w:rsid w:val="05A63D05"/>
    <w:rsid w:val="05AA3E69"/>
    <w:rsid w:val="05C01E8E"/>
    <w:rsid w:val="05D0127E"/>
    <w:rsid w:val="05D36477"/>
    <w:rsid w:val="05D708A6"/>
    <w:rsid w:val="05F5542B"/>
    <w:rsid w:val="06002DF6"/>
    <w:rsid w:val="06153E6E"/>
    <w:rsid w:val="0618444D"/>
    <w:rsid w:val="06254A25"/>
    <w:rsid w:val="062A6CB4"/>
    <w:rsid w:val="06300679"/>
    <w:rsid w:val="063E0E8C"/>
    <w:rsid w:val="06464EAF"/>
    <w:rsid w:val="06471306"/>
    <w:rsid w:val="06762765"/>
    <w:rsid w:val="067746D4"/>
    <w:rsid w:val="067D4056"/>
    <w:rsid w:val="069C6A8D"/>
    <w:rsid w:val="069D265D"/>
    <w:rsid w:val="06AC42A7"/>
    <w:rsid w:val="06B474E1"/>
    <w:rsid w:val="06B9287B"/>
    <w:rsid w:val="06D15645"/>
    <w:rsid w:val="06DA3028"/>
    <w:rsid w:val="06E3294D"/>
    <w:rsid w:val="06F31CB3"/>
    <w:rsid w:val="06F93008"/>
    <w:rsid w:val="0718687A"/>
    <w:rsid w:val="071A60E7"/>
    <w:rsid w:val="071C4EDC"/>
    <w:rsid w:val="071D082B"/>
    <w:rsid w:val="07243E5A"/>
    <w:rsid w:val="07252677"/>
    <w:rsid w:val="07272AF3"/>
    <w:rsid w:val="0759111C"/>
    <w:rsid w:val="07594F06"/>
    <w:rsid w:val="076C6634"/>
    <w:rsid w:val="07743510"/>
    <w:rsid w:val="07820AB4"/>
    <w:rsid w:val="07836EEE"/>
    <w:rsid w:val="07906BB7"/>
    <w:rsid w:val="079B346A"/>
    <w:rsid w:val="079D7717"/>
    <w:rsid w:val="07B872E0"/>
    <w:rsid w:val="07B939E0"/>
    <w:rsid w:val="07CC2D78"/>
    <w:rsid w:val="07CC4016"/>
    <w:rsid w:val="07D15C8A"/>
    <w:rsid w:val="07E05AA3"/>
    <w:rsid w:val="07E76A1F"/>
    <w:rsid w:val="07F17792"/>
    <w:rsid w:val="080158C0"/>
    <w:rsid w:val="0809715C"/>
    <w:rsid w:val="080A4814"/>
    <w:rsid w:val="0817293A"/>
    <w:rsid w:val="0820276D"/>
    <w:rsid w:val="082F1BCD"/>
    <w:rsid w:val="084E29A7"/>
    <w:rsid w:val="08573B5A"/>
    <w:rsid w:val="086F6B65"/>
    <w:rsid w:val="08A4401C"/>
    <w:rsid w:val="08A55AD2"/>
    <w:rsid w:val="08CA207E"/>
    <w:rsid w:val="08CD17C0"/>
    <w:rsid w:val="08DE60ED"/>
    <w:rsid w:val="08E21688"/>
    <w:rsid w:val="08E35E15"/>
    <w:rsid w:val="08EE777D"/>
    <w:rsid w:val="0918731F"/>
    <w:rsid w:val="091D1431"/>
    <w:rsid w:val="09223CDC"/>
    <w:rsid w:val="09371EEF"/>
    <w:rsid w:val="093F6B95"/>
    <w:rsid w:val="09524755"/>
    <w:rsid w:val="095B63CA"/>
    <w:rsid w:val="09701692"/>
    <w:rsid w:val="09717916"/>
    <w:rsid w:val="09816B1A"/>
    <w:rsid w:val="098251C0"/>
    <w:rsid w:val="0984738F"/>
    <w:rsid w:val="09853CE2"/>
    <w:rsid w:val="098C4592"/>
    <w:rsid w:val="098C467A"/>
    <w:rsid w:val="09915D75"/>
    <w:rsid w:val="0996332C"/>
    <w:rsid w:val="09BE1AF4"/>
    <w:rsid w:val="09C26D2C"/>
    <w:rsid w:val="09E0028A"/>
    <w:rsid w:val="09E31010"/>
    <w:rsid w:val="09ED009F"/>
    <w:rsid w:val="09F11ACB"/>
    <w:rsid w:val="09FB6243"/>
    <w:rsid w:val="0A047BEC"/>
    <w:rsid w:val="0A06506B"/>
    <w:rsid w:val="0A0A6618"/>
    <w:rsid w:val="0A1527C8"/>
    <w:rsid w:val="0A207C84"/>
    <w:rsid w:val="0A29795D"/>
    <w:rsid w:val="0A2A7E86"/>
    <w:rsid w:val="0A2D68BE"/>
    <w:rsid w:val="0A3C22BA"/>
    <w:rsid w:val="0A3D34F3"/>
    <w:rsid w:val="0A3F54A5"/>
    <w:rsid w:val="0A557C07"/>
    <w:rsid w:val="0A5B4AF5"/>
    <w:rsid w:val="0A75433E"/>
    <w:rsid w:val="0A796F7C"/>
    <w:rsid w:val="0A7B7455"/>
    <w:rsid w:val="0A8A7BC2"/>
    <w:rsid w:val="0A951C4F"/>
    <w:rsid w:val="0AA33DAF"/>
    <w:rsid w:val="0AB608CB"/>
    <w:rsid w:val="0AC60296"/>
    <w:rsid w:val="0AD32487"/>
    <w:rsid w:val="0AD50553"/>
    <w:rsid w:val="0ADB26A0"/>
    <w:rsid w:val="0AE31AD5"/>
    <w:rsid w:val="0B017D09"/>
    <w:rsid w:val="0B0715B1"/>
    <w:rsid w:val="0B0F0B26"/>
    <w:rsid w:val="0B2C39A7"/>
    <w:rsid w:val="0B400CB2"/>
    <w:rsid w:val="0B421176"/>
    <w:rsid w:val="0B4B49C1"/>
    <w:rsid w:val="0B5D43F5"/>
    <w:rsid w:val="0B721C38"/>
    <w:rsid w:val="0B860805"/>
    <w:rsid w:val="0B945C54"/>
    <w:rsid w:val="0BA91AA1"/>
    <w:rsid w:val="0BB16187"/>
    <w:rsid w:val="0BCB6AF2"/>
    <w:rsid w:val="0BCE6861"/>
    <w:rsid w:val="0BDC4FBC"/>
    <w:rsid w:val="0BDF0A5F"/>
    <w:rsid w:val="0C08318F"/>
    <w:rsid w:val="0C1C163D"/>
    <w:rsid w:val="0C1E7ABD"/>
    <w:rsid w:val="0C206584"/>
    <w:rsid w:val="0C212EC8"/>
    <w:rsid w:val="0C2444B3"/>
    <w:rsid w:val="0C270CC3"/>
    <w:rsid w:val="0C2A79E8"/>
    <w:rsid w:val="0C3E0441"/>
    <w:rsid w:val="0C586B50"/>
    <w:rsid w:val="0C586E44"/>
    <w:rsid w:val="0C7F402D"/>
    <w:rsid w:val="0C822A19"/>
    <w:rsid w:val="0C930A24"/>
    <w:rsid w:val="0C9F5640"/>
    <w:rsid w:val="0CAA3B04"/>
    <w:rsid w:val="0CB81916"/>
    <w:rsid w:val="0CD123E3"/>
    <w:rsid w:val="0CE32FB8"/>
    <w:rsid w:val="0CE44838"/>
    <w:rsid w:val="0CEA48B8"/>
    <w:rsid w:val="0D206C21"/>
    <w:rsid w:val="0D731CA1"/>
    <w:rsid w:val="0D735A75"/>
    <w:rsid w:val="0D775B07"/>
    <w:rsid w:val="0D79688B"/>
    <w:rsid w:val="0D8323A4"/>
    <w:rsid w:val="0D893BAC"/>
    <w:rsid w:val="0D952410"/>
    <w:rsid w:val="0D9F3354"/>
    <w:rsid w:val="0DA370DA"/>
    <w:rsid w:val="0DA7099A"/>
    <w:rsid w:val="0DB01CE1"/>
    <w:rsid w:val="0DBA1705"/>
    <w:rsid w:val="0DC46B30"/>
    <w:rsid w:val="0DC9706D"/>
    <w:rsid w:val="0DD115AA"/>
    <w:rsid w:val="0DD27705"/>
    <w:rsid w:val="0DEA06F6"/>
    <w:rsid w:val="0DEA1ECA"/>
    <w:rsid w:val="0E01030B"/>
    <w:rsid w:val="0E04318C"/>
    <w:rsid w:val="0E222066"/>
    <w:rsid w:val="0E274301"/>
    <w:rsid w:val="0E31785B"/>
    <w:rsid w:val="0E357D47"/>
    <w:rsid w:val="0E467EFB"/>
    <w:rsid w:val="0E5C0982"/>
    <w:rsid w:val="0E730195"/>
    <w:rsid w:val="0E7675E6"/>
    <w:rsid w:val="0E803657"/>
    <w:rsid w:val="0E8B35C9"/>
    <w:rsid w:val="0E9742FB"/>
    <w:rsid w:val="0E9E354A"/>
    <w:rsid w:val="0EAF107B"/>
    <w:rsid w:val="0EB4347F"/>
    <w:rsid w:val="0EBE27AA"/>
    <w:rsid w:val="0EBF19BF"/>
    <w:rsid w:val="0EC1627E"/>
    <w:rsid w:val="0ED36950"/>
    <w:rsid w:val="0EE30B65"/>
    <w:rsid w:val="0EED0FC5"/>
    <w:rsid w:val="0EF07619"/>
    <w:rsid w:val="0EF248CA"/>
    <w:rsid w:val="0EFB4176"/>
    <w:rsid w:val="0F034AA6"/>
    <w:rsid w:val="0F08360E"/>
    <w:rsid w:val="0F125E7D"/>
    <w:rsid w:val="0F1F0D30"/>
    <w:rsid w:val="0F26373F"/>
    <w:rsid w:val="0F2C6224"/>
    <w:rsid w:val="0F446A41"/>
    <w:rsid w:val="0F4A18F4"/>
    <w:rsid w:val="0F5808CC"/>
    <w:rsid w:val="0F666559"/>
    <w:rsid w:val="0F6B3E79"/>
    <w:rsid w:val="0F790BDF"/>
    <w:rsid w:val="0F7D42FE"/>
    <w:rsid w:val="0F820E85"/>
    <w:rsid w:val="0F895A00"/>
    <w:rsid w:val="0F8A41FA"/>
    <w:rsid w:val="0F962DED"/>
    <w:rsid w:val="0F9B4E2A"/>
    <w:rsid w:val="0FA45D17"/>
    <w:rsid w:val="0FB045CC"/>
    <w:rsid w:val="0FC910AB"/>
    <w:rsid w:val="0FCA36AC"/>
    <w:rsid w:val="0FD23F99"/>
    <w:rsid w:val="0FE34C1B"/>
    <w:rsid w:val="0FE35E2C"/>
    <w:rsid w:val="0FEF79AA"/>
    <w:rsid w:val="100354B2"/>
    <w:rsid w:val="101B677C"/>
    <w:rsid w:val="101C7D06"/>
    <w:rsid w:val="101F6270"/>
    <w:rsid w:val="1024515A"/>
    <w:rsid w:val="102F25D7"/>
    <w:rsid w:val="1037062C"/>
    <w:rsid w:val="10446ECE"/>
    <w:rsid w:val="1046198D"/>
    <w:rsid w:val="104E6FC1"/>
    <w:rsid w:val="105F3A71"/>
    <w:rsid w:val="106D475B"/>
    <w:rsid w:val="108362B8"/>
    <w:rsid w:val="108C4660"/>
    <w:rsid w:val="10957382"/>
    <w:rsid w:val="10BA0A0E"/>
    <w:rsid w:val="10CE39DE"/>
    <w:rsid w:val="10D36AEF"/>
    <w:rsid w:val="10FA6B68"/>
    <w:rsid w:val="10FF5E5F"/>
    <w:rsid w:val="11190B98"/>
    <w:rsid w:val="11230D2F"/>
    <w:rsid w:val="11247901"/>
    <w:rsid w:val="11365062"/>
    <w:rsid w:val="11422692"/>
    <w:rsid w:val="11590029"/>
    <w:rsid w:val="115A59A8"/>
    <w:rsid w:val="116E3E23"/>
    <w:rsid w:val="117F7F48"/>
    <w:rsid w:val="11CA3B0B"/>
    <w:rsid w:val="11F843DE"/>
    <w:rsid w:val="121446A8"/>
    <w:rsid w:val="12162BBD"/>
    <w:rsid w:val="122D7A8C"/>
    <w:rsid w:val="12320E5B"/>
    <w:rsid w:val="124E5846"/>
    <w:rsid w:val="1265739D"/>
    <w:rsid w:val="12662947"/>
    <w:rsid w:val="126A28BA"/>
    <w:rsid w:val="127E2138"/>
    <w:rsid w:val="128771AE"/>
    <w:rsid w:val="12A4558C"/>
    <w:rsid w:val="12A84E60"/>
    <w:rsid w:val="12B66FEE"/>
    <w:rsid w:val="12BE2ADE"/>
    <w:rsid w:val="12D52D83"/>
    <w:rsid w:val="12D61BB4"/>
    <w:rsid w:val="12D8263D"/>
    <w:rsid w:val="12F6517F"/>
    <w:rsid w:val="13086577"/>
    <w:rsid w:val="130B0E2B"/>
    <w:rsid w:val="130B16E4"/>
    <w:rsid w:val="13267B35"/>
    <w:rsid w:val="133E41B0"/>
    <w:rsid w:val="134A6D86"/>
    <w:rsid w:val="13594CF7"/>
    <w:rsid w:val="135A728A"/>
    <w:rsid w:val="1367698A"/>
    <w:rsid w:val="13772D89"/>
    <w:rsid w:val="138744BB"/>
    <w:rsid w:val="13AA18EC"/>
    <w:rsid w:val="13B45FC3"/>
    <w:rsid w:val="13C924DB"/>
    <w:rsid w:val="13D07AB0"/>
    <w:rsid w:val="13DB164D"/>
    <w:rsid w:val="13E7373B"/>
    <w:rsid w:val="13EC16FF"/>
    <w:rsid w:val="13F712B9"/>
    <w:rsid w:val="13FE142E"/>
    <w:rsid w:val="1402032F"/>
    <w:rsid w:val="14176463"/>
    <w:rsid w:val="141828DA"/>
    <w:rsid w:val="144B6D3F"/>
    <w:rsid w:val="14522844"/>
    <w:rsid w:val="14546EAA"/>
    <w:rsid w:val="147759A4"/>
    <w:rsid w:val="147A75E5"/>
    <w:rsid w:val="14997CF1"/>
    <w:rsid w:val="149C7CF0"/>
    <w:rsid w:val="14BC21CE"/>
    <w:rsid w:val="14BE2339"/>
    <w:rsid w:val="14BF4DCE"/>
    <w:rsid w:val="14CD3607"/>
    <w:rsid w:val="14D14395"/>
    <w:rsid w:val="14D56BF6"/>
    <w:rsid w:val="14E36C24"/>
    <w:rsid w:val="14F32D76"/>
    <w:rsid w:val="14F4153D"/>
    <w:rsid w:val="14F5216B"/>
    <w:rsid w:val="14FE7778"/>
    <w:rsid w:val="15060A70"/>
    <w:rsid w:val="151733B8"/>
    <w:rsid w:val="151A00D9"/>
    <w:rsid w:val="151B73F8"/>
    <w:rsid w:val="15211EFF"/>
    <w:rsid w:val="152D4EB7"/>
    <w:rsid w:val="15353F74"/>
    <w:rsid w:val="153A274D"/>
    <w:rsid w:val="154B5C10"/>
    <w:rsid w:val="154F205D"/>
    <w:rsid w:val="155B6178"/>
    <w:rsid w:val="15615E0F"/>
    <w:rsid w:val="156D2843"/>
    <w:rsid w:val="15701AB8"/>
    <w:rsid w:val="15786279"/>
    <w:rsid w:val="15892652"/>
    <w:rsid w:val="159001BC"/>
    <w:rsid w:val="15965FE2"/>
    <w:rsid w:val="15AA23F1"/>
    <w:rsid w:val="15B1437C"/>
    <w:rsid w:val="15B939D5"/>
    <w:rsid w:val="15D83B2E"/>
    <w:rsid w:val="15DD70EA"/>
    <w:rsid w:val="15E11AB3"/>
    <w:rsid w:val="15E25134"/>
    <w:rsid w:val="15E8785D"/>
    <w:rsid w:val="15F904C3"/>
    <w:rsid w:val="160025BB"/>
    <w:rsid w:val="16113EF1"/>
    <w:rsid w:val="16116F4B"/>
    <w:rsid w:val="161D05B7"/>
    <w:rsid w:val="162E280E"/>
    <w:rsid w:val="16357D2B"/>
    <w:rsid w:val="164206BE"/>
    <w:rsid w:val="16446BD7"/>
    <w:rsid w:val="16600954"/>
    <w:rsid w:val="166969D8"/>
    <w:rsid w:val="166A7CB7"/>
    <w:rsid w:val="16734EEE"/>
    <w:rsid w:val="1691331C"/>
    <w:rsid w:val="169572E4"/>
    <w:rsid w:val="16B0271F"/>
    <w:rsid w:val="16CB2046"/>
    <w:rsid w:val="16D82413"/>
    <w:rsid w:val="16DC7206"/>
    <w:rsid w:val="16E22B33"/>
    <w:rsid w:val="16EB067A"/>
    <w:rsid w:val="16EF1899"/>
    <w:rsid w:val="16F85570"/>
    <w:rsid w:val="16FA58EE"/>
    <w:rsid w:val="17116BE2"/>
    <w:rsid w:val="171311C9"/>
    <w:rsid w:val="17194D7A"/>
    <w:rsid w:val="172078E9"/>
    <w:rsid w:val="172D12A6"/>
    <w:rsid w:val="17315AA4"/>
    <w:rsid w:val="17350283"/>
    <w:rsid w:val="173C1948"/>
    <w:rsid w:val="173F54B5"/>
    <w:rsid w:val="17464B66"/>
    <w:rsid w:val="175B5D81"/>
    <w:rsid w:val="17652D76"/>
    <w:rsid w:val="177742FF"/>
    <w:rsid w:val="177778D5"/>
    <w:rsid w:val="177C4324"/>
    <w:rsid w:val="179E41EC"/>
    <w:rsid w:val="17A21D4F"/>
    <w:rsid w:val="17BD7A6D"/>
    <w:rsid w:val="17FE3268"/>
    <w:rsid w:val="18282C45"/>
    <w:rsid w:val="18296936"/>
    <w:rsid w:val="182A5943"/>
    <w:rsid w:val="182C041C"/>
    <w:rsid w:val="1842704C"/>
    <w:rsid w:val="186022DC"/>
    <w:rsid w:val="186453BA"/>
    <w:rsid w:val="18704C74"/>
    <w:rsid w:val="187F1331"/>
    <w:rsid w:val="18AD026B"/>
    <w:rsid w:val="18B70A2B"/>
    <w:rsid w:val="18CA2202"/>
    <w:rsid w:val="18CA4E8D"/>
    <w:rsid w:val="18FC46F8"/>
    <w:rsid w:val="190E26FF"/>
    <w:rsid w:val="191B1724"/>
    <w:rsid w:val="19254E9B"/>
    <w:rsid w:val="19383C89"/>
    <w:rsid w:val="19435347"/>
    <w:rsid w:val="194573ED"/>
    <w:rsid w:val="195D29F2"/>
    <w:rsid w:val="196272D4"/>
    <w:rsid w:val="196465FF"/>
    <w:rsid w:val="19682464"/>
    <w:rsid w:val="196B6E10"/>
    <w:rsid w:val="198154A5"/>
    <w:rsid w:val="19850C75"/>
    <w:rsid w:val="19856830"/>
    <w:rsid w:val="198A3D94"/>
    <w:rsid w:val="198F27F8"/>
    <w:rsid w:val="199C5ECD"/>
    <w:rsid w:val="19B1121F"/>
    <w:rsid w:val="19C039AF"/>
    <w:rsid w:val="19DC7361"/>
    <w:rsid w:val="19E14ABD"/>
    <w:rsid w:val="19F07148"/>
    <w:rsid w:val="1A031971"/>
    <w:rsid w:val="1A051BC1"/>
    <w:rsid w:val="1A055302"/>
    <w:rsid w:val="1A11011E"/>
    <w:rsid w:val="1A110D84"/>
    <w:rsid w:val="1A2B0F11"/>
    <w:rsid w:val="1A2C43DF"/>
    <w:rsid w:val="1A372CD4"/>
    <w:rsid w:val="1A555BDB"/>
    <w:rsid w:val="1A660755"/>
    <w:rsid w:val="1A703BC4"/>
    <w:rsid w:val="1A7262E8"/>
    <w:rsid w:val="1A882B3D"/>
    <w:rsid w:val="1A896854"/>
    <w:rsid w:val="1A964171"/>
    <w:rsid w:val="1AB162F9"/>
    <w:rsid w:val="1ABE2D20"/>
    <w:rsid w:val="1ACC4B7F"/>
    <w:rsid w:val="1AD34CD1"/>
    <w:rsid w:val="1AD417D6"/>
    <w:rsid w:val="1AE72378"/>
    <w:rsid w:val="1AE7665A"/>
    <w:rsid w:val="1AF74A59"/>
    <w:rsid w:val="1B111CB0"/>
    <w:rsid w:val="1B1519B4"/>
    <w:rsid w:val="1B393D9E"/>
    <w:rsid w:val="1B3F0566"/>
    <w:rsid w:val="1B5A0EC6"/>
    <w:rsid w:val="1B5C3BD7"/>
    <w:rsid w:val="1B5F0C8F"/>
    <w:rsid w:val="1B743284"/>
    <w:rsid w:val="1B816F9A"/>
    <w:rsid w:val="1B8175D6"/>
    <w:rsid w:val="1B9C1B61"/>
    <w:rsid w:val="1BA36CEF"/>
    <w:rsid w:val="1BB46A20"/>
    <w:rsid w:val="1BB93222"/>
    <w:rsid w:val="1BBD6973"/>
    <w:rsid w:val="1BE24098"/>
    <w:rsid w:val="1BE81B85"/>
    <w:rsid w:val="1BF27AE1"/>
    <w:rsid w:val="1BFE2971"/>
    <w:rsid w:val="1C01336C"/>
    <w:rsid w:val="1C021382"/>
    <w:rsid w:val="1C081DD0"/>
    <w:rsid w:val="1C1669BA"/>
    <w:rsid w:val="1C1C3102"/>
    <w:rsid w:val="1C2230E8"/>
    <w:rsid w:val="1C251540"/>
    <w:rsid w:val="1C2E2C8D"/>
    <w:rsid w:val="1C6973CC"/>
    <w:rsid w:val="1C6C7614"/>
    <w:rsid w:val="1C795B0B"/>
    <w:rsid w:val="1CB31F52"/>
    <w:rsid w:val="1CC609D9"/>
    <w:rsid w:val="1CDC7753"/>
    <w:rsid w:val="1CE6684D"/>
    <w:rsid w:val="1CEC4A0D"/>
    <w:rsid w:val="1D1712A0"/>
    <w:rsid w:val="1D2B7B9F"/>
    <w:rsid w:val="1D305274"/>
    <w:rsid w:val="1D3F5714"/>
    <w:rsid w:val="1D433C2D"/>
    <w:rsid w:val="1D466011"/>
    <w:rsid w:val="1D487015"/>
    <w:rsid w:val="1D5133E5"/>
    <w:rsid w:val="1D547E28"/>
    <w:rsid w:val="1D5B57EE"/>
    <w:rsid w:val="1D606070"/>
    <w:rsid w:val="1D655DB6"/>
    <w:rsid w:val="1D980258"/>
    <w:rsid w:val="1D9C1F14"/>
    <w:rsid w:val="1DB113DA"/>
    <w:rsid w:val="1DD918D5"/>
    <w:rsid w:val="1DFB4E0B"/>
    <w:rsid w:val="1E196DA1"/>
    <w:rsid w:val="1E2278F4"/>
    <w:rsid w:val="1E4062B7"/>
    <w:rsid w:val="1E450B99"/>
    <w:rsid w:val="1E4D2825"/>
    <w:rsid w:val="1E5542CC"/>
    <w:rsid w:val="1E64791C"/>
    <w:rsid w:val="1E6D6ABE"/>
    <w:rsid w:val="1E755624"/>
    <w:rsid w:val="1E764D52"/>
    <w:rsid w:val="1E8C73FA"/>
    <w:rsid w:val="1E9E3D33"/>
    <w:rsid w:val="1EAA616E"/>
    <w:rsid w:val="1EB15364"/>
    <w:rsid w:val="1EB20356"/>
    <w:rsid w:val="1EBE2AB5"/>
    <w:rsid w:val="1EC81089"/>
    <w:rsid w:val="1EDD523F"/>
    <w:rsid w:val="1EDD703F"/>
    <w:rsid w:val="1F092A2D"/>
    <w:rsid w:val="1F1162FE"/>
    <w:rsid w:val="1F1C0B32"/>
    <w:rsid w:val="1F352B32"/>
    <w:rsid w:val="1F4A096C"/>
    <w:rsid w:val="1F5814F7"/>
    <w:rsid w:val="1F5A5945"/>
    <w:rsid w:val="1F6B3A34"/>
    <w:rsid w:val="1F751CBE"/>
    <w:rsid w:val="1F7D6B10"/>
    <w:rsid w:val="1F963D6D"/>
    <w:rsid w:val="1F98363F"/>
    <w:rsid w:val="1FA70F8C"/>
    <w:rsid w:val="1FBD1356"/>
    <w:rsid w:val="1FBF488C"/>
    <w:rsid w:val="1FC55B54"/>
    <w:rsid w:val="1FCD7450"/>
    <w:rsid w:val="1FCD7675"/>
    <w:rsid w:val="1FD377B1"/>
    <w:rsid w:val="1FDC18BC"/>
    <w:rsid w:val="1FEB4C55"/>
    <w:rsid w:val="1FEF77E1"/>
    <w:rsid w:val="1FFC155B"/>
    <w:rsid w:val="20010BD0"/>
    <w:rsid w:val="200B266C"/>
    <w:rsid w:val="20137C9A"/>
    <w:rsid w:val="20261774"/>
    <w:rsid w:val="202A3AEF"/>
    <w:rsid w:val="203A4D2E"/>
    <w:rsid w:val="204030A0"/>
    <w:rsid w:val="20534ACB"/>
    <w:rsid w:val="205B78B2"/>
    <w:rsid w:val="205C4184"/>
    <w:rsid w:val="206558CE"/>
    <w:rsid w:val="206901B1"/>
    <w:rsid w:val="206B1575"/>
    <w:rsid w:val="2078018B"/>
    <w:rsid w:val="209323D8"/>
    <w:rsid w:val="209327AA"/>
    <w:rsid w:val="20AD55FF"/>
    <w:rsid w:val="20C12FDC"/>
    <w:rsid w:val="20C55A62"/>
    <w:rsid w:val="20EA7590"/>
    <w:rsid w:val="20F502DE"/>
    <w:rsid w:val="211001E9"/>
    <w:rsid w:val="21147D43"/>
    <w:rsid w:val="2119067D"/>
    <w:rsid w:val="211F5020"/>
    <w:rsid w:val="21216F1B"/>
    <w:rsid w:val="2123407B"/>
    <w:rsid w:val="21320B64"/>
    <w:rsid w:val="21370E12"/>
    <w:rsid w:val="21432F9F"/>
    <w:rsid w:val="214F55E4"/>
    <w:rsid w:val="215A4604"/>
    <w:rsid w:val="217C7ED4"/>
    <w:rsid w:val="21862B07"/>
    <w:rsid w:val="218A1EF5"/>
    <w:rsid w:val="21973788"/>
    <w:rsid w:val="219A3406"/>
    <w:rsid w:val="21A70D61"/>
    <w:rsid w:val="21B2244C"/>
    <w:rsid w:val="21C30EF9"/>
    <w:rsid w:val="21CB7C2D"/>
    <w:rsid w:val="21D956E3"/>
    <w:rsid w:val="21E74352"/>
    <w:rsid w:val="21EF7C0A"/>
    <w:rsid w:val="221551D8"/>
    <w:rsid w:val="224441F7"/>
    <w:rsid w:val="224E7428"/>
    <w:rsid w:val="2261560B"/>
    <w:rsid w:val="227918A6"/>
    <w:rsid w:val="2291582E"/>
    <w:rsid w:val="22944164"/>
    <w:rsid w:val="229674ED"/>
    <w:rsid w:val="22AC485D"/>
    <w:rsid w:val="22BB509A"/>
    <w:rsid w:val="22D174A6"/>
    <w:rsid w:val="22D2551D"/>
    <w:rsid w:val="22E67532"/>
    <w:rsid w:val="22F80176"/>
    <w:rsid w:val="230F16FC"/>
    <w:rsid w:val="231C2E7E"/>
    <w:rsid w:val="232A4048"/>
    <w:rsid w:val="233344E4"/>
    <w:rsid w:val="2337735C"/>
    <w:rsid w:val="23384D61"/>
    <w:rsid w:val="23392A7A"/>
    <w:rsid w:val="23417FB3"/>
    <w:rsid w:val="235336A2"/>
    <w:rsid w:val="236765E1"/>
    <w:rsid w:val="236905BD"/>
    <w:rsid w:val="23817C48"/>
    <w:rsid w:val="23850BE5"/>
    <w:rsid w:val="238C513B"/>
    <w:rsid w:val="238E2690"/>
    <w:rsid w:val="239015CD"/>
    <w:rsid w:val="23B946BE"/>
    <w:rsid w:val="23C01773"/>
    <w:rsid w:val="23EF13A7"/>
    <w:rsid w:val="23F7720B"/>
    <w:rsid w:val="24086432"/>
    <w:rsid w:val="240F1052"/>
    <w:rsid w:val="242A187D"/>
    <w:rsid w:val="24310987"/>
    <w:rsid w:val="24322A62"/>
    <w:rsid w:val="244A14DB"/>
    <w:rsid w:val="24554136"/>
    <w:rsid w:val="245C2B3F"/>
    <w:rsid w:val="24692AC4"/>
    <w:rsid w:val="24836E94"/>
    <w:rsid w:val="24867974"/>
    <w:rsid w:val="248945E2"/>
    <w:rsid w:val="24974A9D"/>
    <w:rsid w:val="24990AB6"/>
    <w:rsid w:val="24A21A55"/>
    <w:rsid w:val="24B92458"/>
    <w:rsid w:val="24BC74B9"/>
    <w:rsid w:val="24BE33B8"/>
    <w:rsid w:val="24CA200A"/>
    <w:rsid w:val="24E234FE"/>
    <w:rsid w:val="24F86BA3"/>
    <w:rsid w:val="250D3E66"/>
    <w:rsid w:val="252754C5"/>
    <w:rsid w:val="252D0E2C"/>
    <w:rsid w:val="252D3F69"/>
    <w:rsid w:val="253C0FBD"/>
    <w:rsid w:val="2547370A"/>
    <w:rsid w:val="25585795"/>
    <w:rsid w:val="25740BBD"/>
    <w:rsid w:val="25922FF3"/>
    <w:rsid w:val="25955E96"/>
    <w:rsid w:val="259B6E31"/>
    <w:rsid w:val="259E33E1"/>
    <w:rsid w:val="25A05607"/>
    <w:rsid w:val="25A07C39"/>
    <w:rsid w:val="25AF1FA5"/>
    <w:rsid w:val="25B677AD"/>
    <w:rsid w:val="25B904A8"/>
    <w:rsid w:val="25D93662"/>
    <w:rsid w:val="25E06259"/>
    <w:rsid w:val="25FD0304"/>
    <w:rsid w:val="2606044C"/>
    <w:rsid w:val="26090E12"/>
    <w:rsid w:val="261447E7"/>
    <w:rsid w:val="26162D47"/>
    <w:rsid w:val="26313BB1"/>
    <w:rsid w:val="26417898"/>
    <w:rsid w:val="26442276"/>
    <w:rsid w:val="26444B63"/>
    <w:rsid w:val="264D7096"/>
    <w:rsid w:val="26552532"/>
    <w:rsid w:val="26671EE8"/>
    <w:rsid w:val="2692422E"/>
    <w:rsid w:val="269F6889"/>
    <w:rsid w:val="26AD0D8B"/>
    <w:rsid w:val="26BE4AAC"/>
    <w:rsid w:val="26C17431"/>
    <w:rsid w:val="26C27EC9"/>
    <w:rsid w:val="26C545A4"/>
    <w:rsid w:val="26C94300"/>
    <w:rsid w:val="26CD1AFB"/>
    <w:rsid w:val="26DF7D7C"/>
    <w:rsid w:val="26EE1723"/>
    <w:rsid w:val="26F154C7"/>
    <w:rsid w:val="26FD7030"/>
    <w:rsid w:val="27007370"/>
    <w:rsid w:val="27080E2E"/>
    <w:rsid w:val="270D21C6"/>
    <w:rsid w:val="270D2595"/>
    <w:rsid w:val="27251F41"/>
    <w:rsid w:val="27296336"/>
    <w:rsid w:val="273301A4"/>
    <w:rsid w:val="277E59D2"/>
    <w:rsid w:val="277F5A23"/>
    <w:rsid w:val="279E36DD"/>
    <w:rsid w:val="27A7464B"/>
    <w:rsid w:val="27C37DE6"/>
    <w:rsid w:val="27EA2797"/>
    <w:rsid w:val="28011EB5"/>
    <w:rsid w:val="28092464"/>
    <w:rsid w:val="2810409B"/>
    <w:rsid w:val="282013B4"/>
    <w:rsid w:val="282B47A7"/>
    <w:rsid w:val="282C5A3A"/>
    <w:rsid w:val="283F32F7"/>
    <w:rsid w:val="2855423F"/>
    <w:rsid w:val="2855440E"/>
    <w:rsid w:val="285E5BE3"/>
    <w:rsid w:val="28611CC2"/>
    <w:rsid w:val="286D2B55"/>
    <w:rsid w:val="28721E59"/>
    <w:rsid w:val="28892109"/>
    <w:rsid w:val="289430A0"/>
    <w:rsid w:val="289A1AAA"/>
    <w:rsid w:val="28A325B7"/>
    <w:rsid w:val="28AB052C"/>
    <w:rsid w:val="28B71571"/>
    <w:rsid w:val="28BA104F"/>
    <w:rsid w:val="28C132F2"/>
    <w:rsid w:val="28D133DE"/>
    <w:rsid w:val="28D37B64"/>
    <w:rsid w:val="28EF11D1"/>
    <w:rsid w:val="290566C3"/>
    <w:rsid w:val="292774FE"/>
    <w:rsid w:val="292B6715"/>
    <w:rsid w:val="295C2D51"/>
    <w:rsid w:val="29A81CD2"/>
    <w:rsid w:val="29A90232"/>
    <w:rsid w:val="29A92B3A"/>
    <w:rsid w:val="29C804D1"/>
    <w:rsid w:val="29CB1410"/>
    <w:rsid w:val="29D0617D"/>
    <w:rsid w:val="29D617AC"/>
    <w:rsid w:val="29D84ABC"/>
    <w:rsid w:val="29F5410D"/>
    <w:rsid w:val="2A091D0A"/>
    <w:rsid w:val="2A0D39C3"/>
    <w:rsid w:val="2A1503FE"/>
    <w:rsid w:val="2A194990"/>
    <w:rsid w:val="2A215E5E"/>
    <w:rsid w:val="2A252C4C"/>
    <w:rsid w:val="2A305C24"/>
    <w:rsid w:val="2A3E7B5A"/>
    <w:rsid w:val="2A516BAC"/>
    <w:rsid w:val="2A6B55C6"/>
    <w:rsid w:val="2A8475EE"/>
    <w:rsid w:val="2A951C8C"/>
    <w:rsid w:val="2A953E86"/>
    <w:rsid w:val="2A9B26F1"/>
    <w:rsid w:val="2AA81E53"/>
    <w:rsid w:val="2AA82B74"/>
    <w:rsid w:val="2AB25451"/>
    <w:rsid w:val="2AC063B7"/>
    <w:rsid w:val="2ACB5B48"/>
    <w:rsid w:val="2ACD0874"/>
    <w:rsid w:val="2AD267B8"/>
    <w:rsid w:val="2AD8059C"/>
    <w:rsid w:val="2B0A5818"/>
    <w:rsid w:val="2B0D737C"/>
    <w:rsid w:val="2B0F004D"/>
    <w:rsid w:val="2B154A20"/>
    <w:rsid w:val="2B1B5BFD"/>
    <w:rsid w:val="2B300E60"/>
    <w:rsid w:val="2B380E7B"/>
    <w:rsid w:val="2B574357"/>
    <w:rsid w:val="2B5F5BE1"/>
    <w:rsid w:val="2B6638DE"/>
    <w:rsid w:val="2B691061"/>
    <w:rsid w:val="2B7B4586"/>
    <w:rsid w:val="2B843D59"/>
    <w:rsid w:val="2B84406F"/>
    <w:rsid w:val="2B8B518F"/>
    <w:rsid w:val="2B8F58E2"/>
    <w:rsid w:val="2BA07FAD"/>
    <w:rsid w:val="2BBF0DDA"/>
    <w:rsid w:val="2BC674EF"/>
    <w:rsid w:val="2BE5055C"/>
    <w:rsid w:val="2BED5A7C"/>
    <w:rsid w:val="2BF858F4"/>
    <w:rsid w:val="2BFC3C2B"/>
    <w:rsid w:val="2BFC6315"/>
    <w:rsid w:val="2BFD5564"/>
    <w:rsid w:val="2C054251"/>
    <w:rsid w:val="2C2E0403"/>
    <w:rsid w:val="2C4C1107"/>
    <w:rsid w:val="2C785C6A"/>
    <w:rsid w:val="2C7C5CC5"/>
    <w:rsid w:val="2C811341"/>
    <w:rsid w:val="2C823F4E"/>
    <w:rsid w:val="2C9D3080"/>
    <w:rsid w:val="2CAD067B"/>
    <w:rsid w:val="2CBD69A8"/>
    <w:rsid w:val="2CFD0FC0"/>
    <w:rsid w:val="2D050EBF"/>
    <w:rsid w:val="2D2009C3"/>
    <w:rsid w:val="2D2A25A1"/>
    <w:rsid w:val="2D2A51E4"/>
    <w:rsid w:val="2D3059BC"/>
    <w:rsid w:val="2D4D17E5"/>
    <w:rsid w:val="2D5A2817"/>
    <w:rsid w:val="2D6F58D8"/>
    <w:rsid w:val="2D892B5C"/>
    <w:rsid w:val="2DAF27D1"/>
    <w:rsid w:val="2DB328B9"/>
    <w:rsid w:val="2DC6450C"/>
    <w:rsid w:val="2DD85082"/>
    <w:rsid w:val="2DE11692"/>
    <w:rsid w:val="2DF24F64"/>
    <w:rsid w:val="2DF5641D"/>
    <w:rsid w:val="2DF644E3"/>
    <w:rsid w:val="2DFC4355"/>
    <w:rsid w:val="2E0D40F5"/>
    <w:rsid w:val="2E220037"/>
    <w:rsid w:val="2E2321BA"/>
    <w:rsid w:val="2E2F56E6"/>
    <w:rsid w:val="2E4A7323"/>
    <w:rsid w:val="2E522812"/>
    <w:rsid w:val="2E682AAC"/>
    <w:rsid w:val="2E6D230F"/>
    <w:rsid w:val="2E7017CC"/>
    <w:rsid w:val="2E7D543E"/>
    <w:rsid w:val="2E8C2DE3"/>
    <w:rsid w:val="2E942C46"/>
    <w:rsid w:val="2E98229F"/>
    <w:rsid w:val="2EA56E95"/>
    <w:rsid w:val="2EA673C9"/>
    <w:rsid w:val="2EA72B33"/>
    <w:rsid w:val="2EAF1D1D"/>
    <w:rsid w:val="2EC0096E"/>
    <w:rsid w:val="2ECA710C"/>
    <w:rsid w:val="2ED4404D"/>
    <w:rsid w:val="2ED50475"/>
    <w:rsid w:val="2ED729FB"/>
    <w:rsid w:val="2EE365C8"/>
    <w:rsid w:val="2EED6D43"/>
    <w:rsid w:val="2F090AB4"/>
    <w:rsid w:val="2F13732E"/>
    <w:rsid w:val="2F2F2D16"/>
    <w:rsid w:val="2F336BA3"/>
    <w:rsid w:val="2F5621A6"/>
    <w:rsid w:val="2F66411F"/>
    <w:rsid w:val="2F9E2267"/>
    <w:rsid w:val="2FA5716E"/>
    <w:rsid w:val="2FB44AC5"/>
    <w:rsid w:val="2FB91769"/>
    <w:rsid w:val="2FBE7D06"/>
    <w:rsid w:val="2FCD4219"/>
    <w:rsid w:val="2FD85581"/>
    <w:rsid w:val="2FE37EAB"/>
    <w:rsid w:val="2FE513F6"/>
    <w:rsid w:val="2FE91ED2"/>
    <w:rsid w:val="2FEC28E9"/>
    <w:rsid w:val="2FF22D62"/>
    <w:rsid w:val="30037E76"/>
    <w:rsid w:val="300B0CEC"/>
    <w:rsid w:val="30173C95"/>
    <w:rsid w:val="301B31E2"/>
    <w:rsid w:val="302909D7"/>
    <w:rsid w:val="302C2C6C"/>
    <w:rsid w:val="30320AA9"/>
    <w:rsid w:val="30427218"/>
    <w:rsid w:val="304D2D36"/>
    <w:rsid w:val="305001C5"/>
    <w:rsid w:val="3055125A"/>
    <w:rsid w:val="30664FDE"/>
    <w:rsid w:val="309D4A0F"/>
    <w:rsid w:val="309E4811"/>
    <w:rsid w:val="30A00CB5"/>
    <w:rsid w:val="30AF5F22"/>
    <w:rsid w:val="30C14186"/>
    <w:rsid w:val="30D71496"/>
    <w:rsid w:val="30DC0703"/>
    <w:rsid w:val="30E73B0D"/>
    <w:rsid w:val="30F74C53"/>
    <w:rsid w:val="30FC61C2"/>
    <w:rsid w:val="30FD55E0"/>
    <w:rsid w:val="31030DD2"/>
    <w:rsid w:val="31095A3E"/>
    <w:rsid w:val="310F6F60"/>
    <w:rsid w:val="311333E6"/>
    <w:rsid w:val="311467EF"/>
    <w:rsid w:val="311600B8"/>
    <w:rsid w:val="31162712"/>
    <w:rsid w:val="311A24D7"/>
    <w:rsid w:val="31363ABC"/>
    <w:rsid w:val="314614BA"/>
    <w:rsid w:val="31490B7D"/>
    <w:rsid w:val="3153679E"/>
    <w:rsid w:val="315F2471"/>
    <w:rsid w:val="31680602"/>
    <w:rsid w:val="3177458F"/>
    <w:rsid w:val="3189708E"/>
    <w:rsid w:val="318B1F3D"/>
    <w:rsid w:val="3193741E"/>
    <w:rsid w:val="319434F7"/>
    <w:rsid w:val="31994D00"/>
    <w:rsid w:val="31A65E57"/>
    <w:rsid w:val="31AD16EF"/>
    <w:rsid w:val="31AE660C"/>
    <w:rsid w:val="31B05A1F"/>
    <w:rsid w:val="31B17EF2"/>
    <w:rsid w:val="31D54984"/>
    <w:rsid w:val="31E155AC"/>
    <w:rsid w:val="31E361FB"/>
    <w:rsid w:val="31FC35FB"/>
    <w:rsid w:val="32010D04"/>
    <w:rsid w:val="3202665F"/>
    <w:rsid w:val="320A7836"/>
    <w:rsid w:val="323C3FDE"/>
    <w:rsid w:val="324163CA"/>
    <w:rsid w:val="32574FD8"/>
    <w:rsid w:val="325C547C"/>
    <w:rsid w:val="32646DB1"/>
    <w:rsid w:val="326C29F6"/>
    <w:rsid w:val="327C3888"/>
    <w:rsid w:val="329338D7"/>
    <w:rsid w:val="32945DAC"/>
    <w:rsid w:val="329B3155"/>
    <w:rsid w:val="329C631F"/>
    <w:rsid w:val="32A24DE0"/>
    <w:rsid w:val="32AB0897"/>
    <w:rsid w:val="32AE266E"/>
    <w:rsid w:val="32CB3A84"/>
    <w:rsid w:val="32CD7010"/>
    <w:rsid w:val="32CE45BC"/>
    <w:rsid w:val="32D9201A"/>
    <w:rsid w:val="32E42D0F"/>
    <w:rsid w:val="32E779A4"/>
    <w:rsid w:val="330D4D94"/>
    <w:rsid w:val="33435E16"/>
    <w:rsid w:val="335F11B3"/>
    <w:rsid w:val="337B12FB"/>
    <w:rsid w:val="33846435"/>
    <w:rsid w:val="339C5454"/>
    <w:rsid w:val="33A258FF"/>
    <w:rsid w:val="33BA507F"/>
    <w:rsid w:val="33D354DF"/>
    <w:rsid w:val="33DD1D83"/>
    <w:rsid w:val="33DF6F7A"/>
    <w:rsid w:val="33E42EF1"/>
    <w:rsid w:val="33FC5F9C"/>
    <w:rsid w:val="34005D95"/>
    <w:rsid w:val="340370F4"/>
    <w:rsid w:val="34173060"/>
    <w:rsid w:val="342451AA"/>
    <w:rsid w:val="3425323C"/>
    <w:rsid w:val="342E5EA7"/>
    <w:rsid w:val="343E0BAC"/>
    <w:rsid w:val="34474FF1"/>
    <w:rsid w:val="344961AE"/>
    <w:rsid w:val="344B3651"/>
    <w:rsid w:val="34555269"/>
    <w:rsid w:val="346B6657"/>
    <w:rsid w:val="34827541"/>
    <w:rsid w:val="34B63281"/>
    <w:rsid w:val="34C105B0"/>
    <w:rsid w:val="34CA39B2"/>
    <w:rsid w:val="34D564C3"/>
    <w:rsid w:val="34DC79C0"/>
    <w:rsid w:val="34E32E56"/>
    <w:rsid w:val="34EC4B86"/>
    <w:rsid w:val="351321CB"/>
    <w:rsid w:val="35367A72"/>
    <w:rsid w:val="355171EC"/>
    <w:rsid w:val="355E299F"/>
    <w:rsid w:val="355E6D49"/>
    <w:rsid w:val="35671EE7"/>
    <w:rsid w:val="3572663B"/>
    <w:rsid w:val="357D4C50"/>
    <w:rsid w:val="3591419B"/>
    <w:rsid w:val="35925B04"/>
    <w:rsid w:val="35963717"/>
    <w:rsid w:val="35AB2A03"/>
    <w:rsid w:val="35AF3549"/>
    <w:rsid w:val="35CA49CB"/>
    <w:rsid w:val="35DA5213"/>
    <w:rsid w:val="35E542AE"/>
    <w:rsid w:val="35EE7B1B"/>
    <w:rsid w:val="35F65FAD"/>
    <w:rsid w:val="36202050"/>
    <w:rsid w:val="364A7C84"/>
    <w:rsid w:val="36605016"/>
    <w:rsid w:val="366B7A53"/>
    <w:rsid w:val="366D649A"/>
    <w:rsid w:val="368259EE"/>
    <w:rsid w:val="3689301E"/>
    <w:rsid w:val="369C7E5C"/>
    <w:rsid w:val="36A22949"/>
    <w:rsid w:val="36B523AB"/>
    <w:rsid w:val="36C76D40"/>
    <w:rsid w:val="36D75131"/>
    <w:rsid w:val="36F44E23"/>
    <w:rsid w:val="371D2966"/>
    <w:rsid w:val="373062E8"/>
    <w:rsid w:val="375C1AC9"/>
    <w:rsid w:val="37770231"/>
    <w:rsid w:val="37785098"/>
    <w:rsid w:val="377E7331"/>
    <w:rsid w:val="379038C8"/>
    <w:rsid w:val="379B1E6C"/>
    <w:rsid w:val="379D002A"/>
    <w:rsid w:val="37A6234C"/>
    <w:rsid w:val="37A907BA"/>
    <w:rsid w:val="37AF1535"/>
    <w:rsid w:val="37CA63F2"/>
    <w:rsid w:val="37CB57CA"/>
    <w:rsid w:val="37D337D1"/>
    <w:rsid w:val="37DD56C2"/>
    <w:rsid w:val="37DE20F8"/>
    <w:rsid w:val="37E731EB"/>
    <w:rsid w:val="37F16302"/>
    <w:rsid w:val="38253136"/>
    <w:rsid w:val="38372548"/>
    <w:rsid w:val="384570A4"/>
    <w:rsid w:val="38467A04"/>
    <w:rsid w:val="38747E42"/>
    <w:rsid w:val="38781C56"/>
    <w:rsid w:val="38A140CE"/>
    <w:rsid w:val="38B54C1A"/>
    <w:rsid w:val="38C30240"/>
    <w:rsid w:val="38CF65F7"/>
    <w:rsid w:val="38D113BF"/>
    <w:rsid w:val="38D30895"/>
    <w:rsid w:val="38D5511D"/>
    <w:rsid w:val="38DB4DD5"/>
    <w:rsid w:val="38E80213"/>
    <w:rsid w:val="38E95212"/>
    <w:rsid w:val="38F3691D"/>
    <w:rsid w:val="3909408E"/>
    <w:rsid w:val="391C1C7A"/>
    <w:rsid w:val="39465968"/>
    <w:rsid w:val="394D1A3B"/>
    <w:rsid w:val="394F4D33"/>
    <w:rsid w:val="39600E80"/>
    <w:rsid w:val="39803383"/>
    <w:rsid w:val="399A429F"/>
    <w:rsid w:val="399B72BC"/>
    <w:rsid w:val="39A73391"/>
    <w:rsid w:val="39A95A0D"/>
    <w:rsid w:val="39E779C9"/>
    <w:rsid w:val="3A01261A"/>
    <w:rsid w:val="3A1A4CEB"/>
    <w:rsid w:val="3A204DEA"/>
    <w:rsid w:val="3A247020"/>
    <w:rsid w:val="3A34341C"/>
    <w:rsid w:val="3A366570"/>
    <w:rsid w:val="3A41027E"/>
    <w:rsid w:val="3A446ABC"/>
    <w:rsid w:val="3A481E25"/>
    <w:rsid w:val="3A4F03E3"/>
    <w:rsid w:val="3A562007"/>
    <w:rsid w:val="3A632ED3"/>
    <w:rsid w:val="3A693A23"/>
    <w:rsid w:val="3A6F255F"/>
    <w:rsid w:val="3A6F6832"/>
    <w:rsid w:val="3A7431F4"/>
    <w:rsid w:val="3A90237F"/>
    <w:rsid w:val="3AAE56BF"/>
    <w:rsid w:val="3B002E8F"/>
    <w:rsid w:val="3B0A7991"/>
    <w:rsid w:val="3B100A85"/>
    <w:rsid w:val="3B107BEE"/>
    <w:rsid w:val="3B18283A"/>
    <w:rsid w:val="3B336F2F"/>
    <w:rsid w:val="3B567019"/>
    <w:rsid w:val="3B5C777B"/>
    <w:rsid w:val="3B691338"/>
    <w:rsid w:val="3B6B36CF"/>
    <w:rsid w:val="3B96787F"/>
    <w:rsid w:val="3BA60160"/>
    <w:rsid w:val="3BB46CD1"/>
    <w:rsid w:val="3BB6128D"/>
    <w:rsid w:val="3BD11411"/>
    <w:rsid w:val="3BD837A5"/>
    <w:rsid w:val="3BE05196"/>
    <w:rsid w:val="3BED4242"/>
    <w:rsid w:val="3C173EBE"/>
    <w:rsid w:val="3C211702"/>
    <w:rsid w:val="3C317DDD"/>
    <w:rsid w:val="3C336F35"/>
    <w:rsid w:val="3C3D3F09"/>
    <w:rsid w:val="3C457CDF"/>
    <w:rsid w:val="3C61573F"/>
    <w:rsid w:val="3C742BEB"/>
    <w:rsid w:val="3C744F7F"/>
    <w:rsid w:val="3C857740"/>
    <w:rsid w:val="3C8E02B7"/>
    <w:rsid w:val="3CA732CA"/>
    <w:rsid w:val="3CB004C5"/>
    <w:rsid w:val="3CB35047"/>
    <w:rsid w:val="3CB47F7E"/>
    <w:rsid w:val="3CB603EF"/>
    <w:rsid w:val="3CD82621"/>
    <w:rsid w:val="3CDD69B2"/>
    <w:rsid w:val="3CEA693F"/>
    <w:rsid w:val="3CEF1648"/>
    <w:rsid w:val="3D0D0F5F"/>
    <w:rsid w:val="3D0D55A5"/>
    <w:rsid w:val="3D187CD8"/>
    <w:rsid w:val="3D324998"/>
    <w:rsid w:val="3D354C10"/>
    <w:rsid w:val="3D475AFB"/>
    <w:rsid w:val="3D4C43AF"/>
    <w:rsid w:val="3D502422"/>
    <w:rsid w:val="3D5275CE"/>
    <w:rsid w:val="3D5404DD"/>
    <w:rsid w:val="3D5941EB"/>
    <w:rsid w:val="3D5C2503"/>
    <w:rsid w:val="3D6341E4"/>
    <w:rsid w:val="3D6A48AA"/>
    <w:rsid w:val="3D6D23E3"/>
    <w:rsid w:val="3D7C1281"/>
    <w:rsid w:val="3D8D1DDC"/>
    <w:rsid w:val="3D995C7E"/>
    <w:rsid w:val="3DA61EAB"/>
    <w:rsid w:val="3DBA29C6"/>
    <w:rsid w:val="3DCE2E82"/>
    <w:rsid w:val="3DD2333F"/>
    <w:rsid w:val="3DEC316F"/>
    <w:rsid w:val="3E000E38"/>
    <w:rsid w:val="3E037731"/>
    <w:rsid w:val="3E0F09D9"/>
    <w:rsid w:val="3E1646C1"/>
    <w:rsid w:val="3E247488"/>
    <w:rsid w:val="3E305EE4"/>
    <w:rsid w:val="3E360DF6"/>
    <w:rsid w:val="3E3D25F5"/>
    <w:rsid w:val="3E4E6762"/>
    <w:rsid w:val="3E536D63"/>
    <w:rsid w:val="3E5F5CBB"/>
    <w:rsid w:val="3E70166E"/>
    <w:rsid w:val="3E752011"/>
    <w:rsid w:val="3E8270FA"/>
    <w:rsid w:val="3E8E2505"/>
    <w:rsid w:val="3E8F0C9A"/>
    <w:rsid w:val="3E9953AC"/>
    <w:rsid w:val="3E9D3F84"/>
    <w:rsid w:val="3E9F3605"/>
    <w:rsid w:val="3EAF142E"/>
    <w:rsid w:val="3EB41061"/>
    <w:rsid w:val="3EEC1C8D"/>
    <w:rsid w:val="3EF15A07"/>
    <w:rsid w:val="3EFC4AE4"/>
    <w:rsid w:val="3F0C0C5D"/>
    <w:rsid w:val="3F152EE5"/>
    <w:rsid w:val="3F1C492B"/>
    <w:rsid w:val="3F310E2B"/>
    <w:rsid w:val="3F3E5B85"/>
    <w:rsid w:val="3F4D19AF"/>
    <w:rsid w:val="3F691A99"/>
    <w:rsid w:val="3F837DDF"/>
    <w:rsid w:val="3F8B7DD4"/>
    <w:rsid w:val="3F901403"/>
    <w:rsid w:val="3FA21405"/>
    <w:rsid w:val="3FA96E5D"/>
    <w:rsid w:val="3FC04528"/>
    <w:rsid w:val="3FCB012B"/>
    <w:rsid w:val="3FD27B2E"/>
    <w:rsid w:val="3FEE1DE8"/>
    <w:rsid w:val="3FFE5EFF"/>
    <w:rsid w:val="40171145"/>
    <w:rsid w:val="402104DC"/>
    <w:rsid w:val="402D3537"/>
    <w:rsid w:val="40480E8F"/>
    <w:rsid w:val="40662C29"/>
    <w:rsid w:val="40742438"/>
    <w:rsid w:val="40791098"/>
    <w:rsid w:val="40932E75"/>
    <w:rsid w:val="409865C2"/>
    <w:rsid w:val="40A70377"/>
    <w:rsid w:val="40BC5D67"/>
    <w:rsid w:val="40CC7CA3"/>
    <w:rsid w:val="40D775A2"/>
    <w:rsid w:val="40DC23A0"/>
    <w:rsid w:val="40EE33BE"/>
    <w:rsid w:val="40F61783"/>
    <w:rsid w:val="4100601D"/>
    <w:rsid w:val="410D75D5"/>
    <w:rsid w:val="411A76EB"/>
    <w:rsid w:val="411E3000"/>
    <w:rsid w:val="41402C24"/>
    <w:rsid w:val="414E7345"/>
    <w:rsid w:val="41546D3E"/>
    <w:rsid w:val="41591FEE"/>
    <w:rsid w:val="41696F7F"/>
    <w:rsid w:val="417240B9"/>
    <w:rsid w:val="417C0D06"/>
    <w:rsid w:val="418B25AA"/>
    <w:rsid w:val="418D33B3"/>
    <w:rsid w:val="418E56CE"/>
    <w:rsid w:val="41925E9B"/>
    <w:rsid w:val="419B0F19"/>
    <w:rsid w:val="419B1BC4"/>
    <w:rsid w:val="419D5169"/>
    <w:rsid w:val="419D7C05"/>
    <w:rsid w:val="41A33A51"/>
    <w:rsid w:val="41A46863"/>
    <w:rsid w:val="41A739EA"/>
    <w:rsid w:val="41B3371C"/>
    <w:rsid w:val="41B4302C"/>
    <w:rsid w:val="41CC67E1"/>
    <w:rsid w:val="41DA3C01"/>
    <w:rsid w:val="41E3266D"/>
    <w:rsid w:val="41E5665C"/>
    <w:rsid w:val="41E70FD1"/>
    <w:rsid w:val="41F604FA"/>
    <w:rsid w:val="41FE6085"/>
    <w:rsid w:val="42013C9E"/>
    <w:rsid w:val="420F24CA"/>
    <w:rsid w:val="421C0994"/>
    <w:rsid w:val="424F02B6"/>
    <w:rsid w:val="42523372"/>
    <w:rsid w:val="42672C44"/>
    <w:rsid w:val="42683145"/>
    <w:rsid w:val="427133C0"/>
    <w:rsid w:val="42715180"/>
    <w:rsid w:val="4277762F"/>
    <w:rsid w:val="428E0BFE"/>
    <w:rsid w:val="429D7D7D"/>
    <w:rsid w:val="42B06FDD"/>
    <w:rsid w:val="42B23DF0"/>
    <w:rsid w:val="42B45768"/>
    <w:rsid w:val="42DD7341"/>
    <w:rsid w:val="42E637C3"/>
    <w:rsid w:val="42FD1410"/>
    <w:rsid w:val="430C488E"/>
    <w:rsid w:val="43184FA0"/>
    <w:rsid w:val="431F563A"/>
    <w:rsid w:val="432151DF"/>
    <w:rsid w:val="432A3E0D"/>
    <w:rsid w:val="432D0CD2"/>
    <w:rsid w:val="4338356A"/>
    <w:rsid w:val="433E24EE"/>
    <w:rsid w:val="43412F21"/>
    <w:rsid w:val="4348259E"/>
    <w:rsid w:val="434C0977"/>
    <w:rsid w:val="434D5EB2"/>
    <w:rsid w:val="43604502"/>
    <w:rsid w:val="43705840"/>
    <w:rsid w:val="437E6752"/>
    <w:rsid w:val="43803823"/>
    <w:rsid w:val="438D2FF7"/>
    <w:rsid w:val="43AF6845"/>
    <w:rsid w:val="43CC31B4"/>
    <w:rsid w:val="43CC79E5"/>
    <w:rsid w:val="43D44FF8"/>
    <w:rsid w:val="441557E3"/>
    <w:rsid w:val="44226F3F"/>
    <w:rsid w:val="4425659D"/>
    <w:rsid w:val="44286453"/>
    <w:rsid w:val="44371554"/>
    <w:rsid w:val="444B4817"/>
    <w:rsid w:val="444C54FC"/>
    <w:rsid w:val="444F2685"/>
    <w:rsid w:val="44615639"/>
    <w:rsid w:val="44762FC6"/>
    <w:rsid w:val="44807EEA"/>
    <w:rsid w:val="4488431A"/>
    <w:rsid w:val="448F5706"/>
    <w:rsid w:val="44944331"/>
    <w:rsid w:val="449A539D"/>
    <w:rsid w:val="44A538D4"/>
    <w:rsid w:val="44B05905"/>
    <w:rsid w:val="44B67F0B"/>
    <w:rsid w:val="44BB1103"/>
    <w:rsid w:val="44E81308"/>
    <w:rsid w:val="451317C4"/>
    <w:rsid w:val="45146D13"/>
    <w:rsid w:val="45252A65"/>
    <w:rsid w:val="45575AD5"/>
    <w:rsid w:val="455907EE"/>
    <w:rsid w:val="457E0115"/>
    <w:rsid w:val="459B774E"/>
    <w:rsid w:val="45B72AB1"/>
    <w:rsid w:val="45BA079F"/>
    <w:rsid w:val="45CC0EF3"/>
    <w:rsid w:val="45CF5AD4"/>
    <w:rsid w:val="45D61E17"/>
    <w:rsid w:val="45DD06D9"/>
    <w:rsid w:val="460D21F2"/>
    <w:rsid w:val="460E0469"/>
    <w:rsid w:val="460E0A15"/>
    <w:rsid w:val="461909E8"/>
    <w:rsid w:val="462E79C9"/>
    <w:rsid w:val="4635298E"/>
    <w:rsid w:val="46355D58"/>
    <w:rsid w:val="463C04FA"/>
    <w:rsid w:val="464050BB"/>
    <w:rsid w:val="46405C21"/>
    <w:rsid w:val="465C4E3B"/>
    <w:rsid w:val="466B6702"/>
    <w:rsid w:val="466F037A"/>
    <w:rsid w:val="467737E1"/>
    <w:rsid w:val="467C180C"/>
    <w:rsid w:val="468B577B"/>
    <w:rsid w:val="46A075FA"/>
    <w:rsid w:val="46A359DC"/>
    <w:rsid w:val="46A54FB3"/>
    <w:rsid w:val="46C826C3"/>
    <w:rsid w:val="46D040D1"/>
    <w:rsid w:val="46D47B0B"/>
    <w:rsid w:val="46D7121E"/>
    <w:rsid w:val="46E07671"/>
    <w:rsid w:val="46F84FBA"/>
    <w:rsid w:val="46FF57CE"/>
    <w:rsid w:val="47154F60"/>
    <w:rsid w:val="47162E3C"/>
    <w:rsid w:val="47476572"/>
    <w:rsid w:val="47700BCB"/>
    <w:rsid w:val="47732DB6"/>
    <w:rsid w:val="47B41393"/>
    <w:rsid w:val="47B94CE5"/>
    <w:rsid w:val="47C254B8"/>
    <w:rsid w:val="47DF082A"/>
    <w:rsid w:val="47EB5003"/>
    <w:rsid w:val="48081128"/>
    <w:rsid w:val="480D3EC3"/>
    <w:rsid w:val="48144FED"/>
    <w:rsid w:val="482B26B0"/>
    <w:rsid w:val="483A31DC"/>
    <w:rsid w:val="48440530"/>
    <w:rsid w:val="484715CC"/>
    <w:rsid w:val="484F6870"/>
    <w:rsid w:val="485D616F"/>
    <w:rsid w:val="4873370F"/>
    <w:rsid w:val="48942C25"/>
    <w:rsid w:val="4898666C"/>
    <w:rsid w:val="489B75DE"/>
    <w:rsid w:val="489F44D2"/>
    <w:rsid w:val="48A82C22"/>
    <w:rsid w:val="48A85054"/>
    <w:rsid w:val="48AB4379"/>
    <w:rsid w:val="48B5305A"/>
    <w:rsid w:val="48B63FE7"/>
    <w:rsid w:val="48C71061"/>
    <w:rsid w:val="48CC7D6E"/>
    <w:rsid w:val="48DD5408"/>
    <w:rsid w:val="48EB5A5C"/>
    <w:rsid w:val="490B579F"/>
    <w:rsid w:val="491F0291"/>
    <w:rsid w:val="4920208E"/>
    <w:rsid w:val="492A1C6E"/>
    <w:rsid w:val="492B563D"/>
    <w:rsid w:val="492C7D33"/>
    <w:rsid w:val="493A79B5"/>
    <w:rsid w:val="49575C03"/>
    <w:rsid w:val="495E78EB"/>
    <w:rsid w:val="4969605D"/>
    <w:rsid w:val="496D1F2A"/>
    <w:rsid w:val="4974087A"/>
    <w:rsid w:val="497A3E68"/>
    <w:rsid w:val="497C7394"/>
    <w:rsid w:val="498A3B85"/>
    <w:rsid w:val="498B65AB"/>
    <w:rsid w:val="49AE3287"/>
    <w:rsid w:val="49C65C46"/>
    <w:rsid w:val="49D021B0"/>
    <w:rsid w:val="49D61F4B"/>
    <w:rsid w:val="49D7375C"/>
    <w:rsid w:val="49E81BC9"/>
    <w:rsid w:val="49EC64E1"/>
    <w:rsid w:val="4A11668C"/>
    <w:rsid w:val="4A3546EB"/>
    <w:rsid w:val="4A443774"/>
    <w:rsid w:val="4A4A48A6"/>
    <w:rsid w:val="4A506B41"/>
    <w:rsid w:val="4A524812"/>
    <w:rsid w:val="4A526073"/>
    <w:rsid w:val="4A56215E"/>
    <w:rsid w:val="4A5D4A40"/>
    <w:rsid w:val="4A63534F"/>
    <w:rsid w:val="4A6C1B50"/>
    <w:rsid w:val="4A7E40F2"/>
    <w:rsid w:val="4A8561F1"/>
    <w:rsid w:val="4A8D25E3"/>
    <w:rsid w:val="4A943BC6"/>
    <w:rsid w:val="4A977A4A"/>
    <w:rsid w:val="4AA30352"/>
    <w:rsid w:val="4AAF17A9"/>
    <w:rsid w:val="4ABA7840"/>
    <w:rsid w:val="4AE623A4"/>
    <w:rsid w:val="4AE74F60"/>
    <w:rsid w:val="4AFF5CC6"/>
    <w:rsid w:val="4B1D3A51"/>
    <w:rsid w:val="4B280F1E"/>
    <w:rsid w:val="4B2B3281"/>
    <w:rsid w:val="4B2D7893"/>
    <w:rsid w:val="4B3D4E30"/>
    <w:rsid w:val="4B411E5A"/>
    <w:rsid w:val="4B413D26"/>
    <w:rsid w:val="4B6B6050"/>
    <w:rsid w:val="4B8B446D"/>
    <w:rsid w:val="4B8F6756"/>
    <w:rsid w:val="4BA324C2"/>
    <w:rsid w:val="4BB317A2"/>
    <w:rsid w:val="4BC27F8D"/>
    <w:rsid w:val="4BC97047"/>
    <w:rsid w:val="4BCC6CCE"/>
    <w:rsid w:val="4BE44E6C"/>
    <w:rsid w:val="4BF446B8"/>
    <w:rsid w:val="4C003E2A"/>
    <w:rsid w:val="4C061338"/>
    <w:rsid w:val="4C061EF7"/>
    <w:rsid w:val="4C497215"/>
    <w:rsid w:val="4C4F5F99"/>
    <w:rsid w:val="4C5474C5"/>
    <w:rsid w:val="4C5D0817"/>
    <w:rsid w:val="4C5E08E0"/>
    <w:rsid w:val="4C6B0365"/>
    <w:rsid w:val="4C7C64A4"/>
    <w:rsid w:val="4C9953D8"/>
    <w:rsid w:val="4CBF4AE9"/>
    <w:rsid w:val="4CCA7CF8"/>
    <w:rsid w:val="4CCC299D"/>
    <w:rsid w:val="4D0A349B"/>
    <w:rsid w:val="4D0D2E78"/>
    <w:rsid w:val="4D0F04ED"/>
    <w:rsid w:val="4D164C7E"/>
    <w:rsid w:val="4D283FC5"/>
    <w:rsid w:val="4D384A7C"/>
    <w:rsid w:val="4D3A0411"/>
    <w:rsid w:val="4D427C91"/>
    <w:rsid w:val="4D7706F2"/>
    <w:rsid w:val="4D845711"/>
    <w:rsid w:val="4D8A02B7"/>
    <w:rsid w:val="4DBE12C2"/>
    <w:rsid w:val="4DCE6ED3"/>
    <w:rsid w:val="4DF46CF3"/>
    <w:rsid w:val="4E095444"/>
    <w:rsid w:val="4E0E40E2"/>
    <w:rsid w:val="4E333BBB"/>
    <w:rsid w:val="4E4E04E5"/>
    <w:rsid w:val="4E665F7B"/>
    <w:rsid w:val="4E6A06E9"/>
    <w:rsid w:val="4E715DB2"/>
    <w:rsid w:val="4E776B87"/>
    <w:rsid w:val="4E8E5857"/>
    <w:rsid w:val="4EC206BE"/>
    <w:rsid w:val="4EC31543"/>
    <w:rsid w:val="4EC46EFB"/>
    <w:rsid w:val="4EC7194E"/>
    <w:rsid w:val="4EC951FF"/>
    <w:rsid w:val="4ED04B02"/>
    <w:rsid w:val="4ED346CC"/>
    <w:rsid w:val="4EDD6EFA"/>
    <w:rsid w:val="4EE96853"/>
    <w:rsid w:val="4F105F02"/>
    <w:rsid w:val="4F121BEA"/>
    <w:rsid w:val="4F172396"/>
    <w:rsid w:val="4F1D4181"/>
    <w:rsid w:val="4F3F03C1"/>
    <w:rsid w:val="4F4C2971"/>
    <w:rsid w:val="4F566ACF"/>
    <w:rsid w:val="4F704BBC"/>
    <w:rsid w:val="4F8028EE"/>
    <w:rsid w:val="4F8435B4"/>
    <w:rsid w:val="4F8C7DDC"/>
    <w:rsid w:val="4FAD0DF7"/>
    <w:rsid w:val="4FBC1F04"/>
    <w:rsid w:val="4FBD361C"/>
    <w:rsid w:val="4FBE1CEA"/>
    <w:rsid w:val="4FC15F00"/>
    <w:rsid w:val="4FF17370"/>
    <w:rsid w:val="4FF77C61"/>
    <w:rsid w:val="50037C0C"/>
    <w:rsid w:val="500F51F9"/>
    <w:rsid w:val="50200CEA"/>
    <w:rsid w:val="502A7546"/>
    <w:rsid w:val="502E1CFA"/>
    <w:rsid w:val="50371519"/>
    <w:rsid w:val="503D6ACE"/>
    <w:rsid w:val="50447CE3"/>
    <w:rsid w:val="504570EB"/>
    <w:rsid w:val="505A0A75"/>
    <w:rsid w:val="505B05E7"/>
    <w:rsid w:val="507521C1"/>
    <w:rsid w:val="50753DB9"/>
    <w:rsid w:val="509E2BD3"/>
    <w:rsid w:val="50C04426"/>
    <w:rsid w:val="50C7518D"/>
    <w:rsid w:val="50C95413"/>
    <w:rsid w:val="50CA58C9"/>
    <w:rsid w:val="50ED0D36"/>
    <w:rsid w:val="50F462DA"/>
    <w:rsid w:val="510B317F"/>
    <w:rsid w:val="51130AD6"/>
    <w:rsid w:val="51147068"/>
    <w:rsid w:val="511B4097"/>
    <w:rsid w:val="51216FB7"/>
    <w:rsid w:val="512452DA"/>
    <w:rsid w:val="5125611E"/>
    <w:rsid w:val="512E023D"/>
    <w:rsid w:val="513764DE"/>
    <w:rsid w:val="514C3C7B"/>
    <w:rsid w:val="515029F4"/>
    <w:rsid w:val="515B22B5"/>
    <w:rsid w:val="51777BA1"/>
    <w:rsid w:val="517A1ADB"/>
    <w:rsid w:val="517C1302"/>
    <w:rsid w:val="51901189"/>
    <w:rsid w:val="51907785"/>
    <w:rsid w:val="51952A88"/>
    <w:rsid w:val="51B23F17"/>
    <w:rsid w:val="51B661F2"/>
    <w:rsid w:val="51BB2EED"/>
    <w:rsid w:val="51E51BA8"/>
    <w:rsid w:val="51EE27E3"/>
    <w:rsid w:val="52040DD8"/>
    <w:rsid w:val="52101F45"/>
    <w:rsid w:val="52125E5B"/>
    <w:rsid w:val="5213342A"/>
    <w:rsid w:val="52163344"/>
    <w:rsid w:val="52217FFE"/>
    <w:rsid w:val="5234477C"/>
    <w:rsid w:val="52475C9F"/>
    <w:rsid w:val="52515077"/>
    <w:rsid w:val="525A327C"/>
    <w:rsid w:val="526C3669"/>
    <w:rsid w:val="52806E8B"/>
    <w:rsid w:val="52A84489"/>
    <w:rsid w:val="52B118DE"/>
    <w:rsid w:val="52B80D5E"/>
    <w:rsid w:val="52BF77E0"/>
    <w:rsid w:val="52C52078"/>
    <w:rsid w:val="52CB6EC0"/>
    <w:rsid w:val="52D061DA"/>
    <w:rsid w:val="52D211F8"/>
    <w:rsid w:val="52E6495A"/>
    <w:rsid w:val="52F26F28"/>
    <w:rsid w:val="53031E61"/>
    <w:rsid w:val="5315442E"/>
    <w:rsid w:val="533907AA"/>
    <w:rsid w:val="5341530E"/>
    <w:rsid w:val="534326DA"/>
    <w:rsid w:val="53434396"/>
    <w:rsid w:val="534D112E"/>
    <w:rsid w:val="535F15E8"/>
    <w:rsid w:val="53654967"/>
    <w:rsid w:val="53761C93"/>
    <w:rsid w:val="537B0A8C"/>
    <w:rsid w:val="538B1A6A"/>
    <w:rsid w:val="5393301A"/>
    <w:rsid w:val="53971518"/>
    <w:rsid w:val="5399073D"/>
    <w:rsid w:val="53991DE0"/>
    <w:rsid w:val="539E3677"/>
    <w:rsid w:val="53A84C2D"/>
    <w:rsid w:val="53AB2CD5"/>
    <w:rsid w:val="53AF23D8"/>
    <w:rsid w:val="53B31343"/>
    <w:rsid w:val="53B91D8C"/>
    <w:rsid w:val="53CA7A82"/>
    <w:rsid w:val="53CE2D5A"/>
    <w:rsid w:val="53D82514"/>
    <w:rsid w:val="53E56E6E"/>
    <w:rsid w:val="53EB2495"/>
    <w:rsid w:val="53F17662"/>
    <w:rsid w:val="54010C17"/>
    <w:rsid w:val="540366C1"/>
    <w:rsid w:val="540522B5"/>
    <w:rsid w:val="542406F9"/>
    <w:rsid w:val="54283548"/>
    <w:rsid w:val="542C2C82"/>
    <w:rsid w:val="543F012A"/>
    <w:rsid w:val="546136C7"/>
    <w:rsid w:val="54635F00"/>
    <w:rsid w:val="54661F54"/>
    <w:rsid w:val="546C3F2D"/>
    <w:rsid w:val="547F46DA"/>
    <w:rsid w:val="54944893"/>
    <w:rsid w:val="549F75FE"/>
    <w:rsid w:val="54A51CC5"/>
    <w:rsid w:val="54AF6C60"/>
    <w:rsid w:val="54B52F94"/>
    <w:rsid w:val="54BD36E4"/>
    <w:rsid w:val="54DD78BD"/>
    <w:rsid w:val="54E06144"/>
    <w:rsid w:val="54E5258C"/>
    <w:rsid w:val="54F52367"/>
    <w:rsid w:val="550A393D"/>
    <w:rsid w:val="5525121F"/>
    <w:rsid w:val="555B6E77"/>
    <w:rsid w:val="555E54FB"/>
    <w:rsid w:val="556B7B91"/>
    <w:rsid w:val="556D2811"/>
    <w:rsid w:val="55767F46"/>
    <w:rsid w:val="55CE1AD5"/>
    <w:rsid w:val="55ED37B8"/>
    <w:rsid w:val="55F04C52"/>
    <w:rsid w:val="55F35D23"/>
    <w:rsid w:val="56281CBC"/>
    <w:rsid w:val="56333685"/>
    <w:rsid w:val="56540424"/>
    <w:rsid w:val="567466BA"/>
    <w:rsid w:val="567B7B50"/>
    <w:rsid w:val="568F0DF7"/>
    <w:rsid w:val="56A332D5"/>
    <w:rsid w:val="56AD59C6"/>
    <w:rsid w:val="56B85F25"/>
    <w:rsid w:val="56C325A5"/>
    <w:rsid w:val="56C4174F"/>
    <w:rsid w:val="56E326CF"/>
    <w:rsid w:val="56E709F8"/>
    <w:rsid w:val="56F10A56"/>
    <w:rsid w:val="56FB32FA"/>
    <w:rsid w:val="570703AF"/>
    <w:rsid w:val="572D602C"/>
    <w:rsid w:val="573221A2"/>
    <w:rsid w:val="57364D30"/>
    <w:rsid w:val="573D71D1"/>
    <w:rsid w:val="57574216"/>
    <w:rsid w:val="57611DCD"/>
    <w:rsid w:val="57636B03"/>
    <w:rsid w:val="57A21363"/>
    <w:rsid w:val="57A54C20"/>
    <w:rsid w:val="57A71406"/>
    <w:rsid w:val="57B06D46"/>
    <w:rsid w:val="57B937A9"/>
    <w:rsid w:val="57BB4E50"/>
    <w:rsid w:val="57C34B39"/>
    <w:rsid w:val="57C94F80"/>
    <w:rsid w:val="57DE1F69"/>
    <w:rsid w:val="57E116B4"/>
    <w:rsid w:val="580C0140"/>
    <w:rsid w:val="580F431F"/>
    <w:rsid w:val="58100035"/>
    <w:rsid w:val="587B6F7C"/>
    <w:rsid w:val="588D5412"/>
    <w:rsid w:val="58A22BE9"/>
    <w:rsid w:val="58BD6FD7"/>
    <w:rsid w:val="58C72E10"/>
    <w:rsid w:val="58DB6137"/>
    <w:rsid w:val="58E44026"/>
    <w:rsid w:val="58E67C57"/>
    <w:rsid w:val="58E94F10"/>
    <w:rsid w:val="58F965E6"/>
    <w:rsid w:val="58FA15B8"/>
    <w:rsid w:val="58FF06B6"/>
    <w:rsid w:val="59046596"/>
    <w:rsid w:val="591C3F4A"/>
    <w:rsid w:val="591F1CBF"/>
    <w:rsid w:val="592859C8"/>
    <w:rsid w:val="593E6CC6"/>
    <w:rsid w:val="59404EE0"/>
    <w:rsid w:val="594B0A62"/>
    <w:rsid w:val="594E1B0E"/>
    <w:rsid w:val="594F32F2"/>
    <w:rsid w:val="595461B1"/>
    <w:rsid w:val="59591BB8"/>
    <w:rsid w:val="595C743E"/>
    <w:rsid w:val="595E1551"/>
    <w:rsid w:val="59760077"/>
    <w:rsid w:val="59820786"/>
    <w:rsid w:val="59A774F2"/>
    <w:rsid w:val="59AD15AB"/>
    <w:rsid w:val="59CE313C"/>
    <w:rsid w:val="59E474BD"/>
    <w:rsid w:val="59E869EC"/>
    <w:rsid w:val="59FC6B89"/>
    <w:rsid w:val="5A057FD1"/>
    <w:rsid w:val="5A143012"/>
    <w:rsid w:val="5A261D0E"/>
    <w:rsid w:val="5A2907FC"/>
    <w:rsid w:val="5A2E6A84"/>
    <w:rsid w:val="5A3B0F06"/>
    <w:rsid w:val="5A412A61"/>
    <w:rsid w:val="5A4752E2"/>
    <w:rsid w:val="5A527BDD"/>
    <w:rsid w:val="5A7D1253"/>
    <w:rsid w:val="5A850E4C"/>
    <w:rsid w:val="5A905E59"/>
    <w:rsid w:val="5A9311E7"/>
    <w:rsid w:val="5AA72593"/>
    <w:rsid w:val="5AA9358C"/>
    <w:rsid w:val="5AD0373D"/>
    <w:rsid w:val="5AF46A20"/>
    <w:rsid w:val="5AF502E2"/>
    <w:rsid w:val="5AF81B7B"/>
    <w:rsid w:val="5AF86253"/>
    <w:rsid w:val="5AF91E46"/>
    <w:rsid w:val="5AFB1569"/>
    <w:rsid w:val="5B047A73"/>
    <w:rsid w:val="5B081862"/>
    <w:rsid w:val="5B0A0B9B"/>
    <w:rsid w:val="5B1140FC"/>
    <w:rsid w:val="5B1C3DCA"/>
    <w:rsid w:val="5B1F176B"/>
    <w:rsid w:val="5B24355B"/>
    <w:rsid w:val="5B2D01BB"/>
    <w:rsid w:val="5B340596"/>
    <w:rsid w:val="5B3F26B3"/>
    <w:rsid w:val="5B467F94"/>
    <w:rsid w:val="5B491028"/>
    <w:rsid w:val="5B4B70AC"/>
    <w:rsid w:val="5B850F8B"/>
    <w:rsid w:val="5B8A7522"/>
    <w:rsid w:val="5B946B5D"/>
    <w:rsid w:val="5BA53E1C"/>
    <w:rsid w:val="5BA92AAB"/>
    <w:rsid w:val="5BB41290"/>
    <w:rsid w:val="5BC22B58"/>
    <w:rsid w:val="5BC50503"/>
    <w:rsid w:val="5BCC4827"/>
    <w:rsid w:val="5BCD464A"/>
    <w:rsid w:val="5BF50EB6"/>
    <w:rsid w:val="5BF92128"/>
    <w:rsid w:val="5BFA7DB5"/>
    <w:rsid w:val="5BFB1F01"/>
    <w:rsid w:val="5C075DA6"/>
    <w:rsid w:val="5C1D7D30"/>
    <w:rsid w:val="5C275BD4"/>
    <w:rsid w:val="5C491EC9"/>
    <w:rsid w:val="5C5028D7"/>
    <w:rsid w:val="5C6D1904"/>
    <w:rsid w:val="5C703E21"/>
    <w:rsid w:val="5C7370A0"/>
    <w:rsid w:val="5C790A6A"/>
    <w:rsid w:val="5C81109C"/>
    <w:rsid w:val="5C9E10E9"/>
    <w:rsid w:val="5C9E40DE"/>
    <w:rsid w:val="5CA11D7F"/>
    <w:rsid w:val="5CAF4CE5"/>
    <w:rsid w:val="5CB22033"/>
    <w:rsid w:val="5CC927D0"/>
    <w:rsid w:val="5CDA6371"/>
    <w:rsid w:val="5CF30224"/>
    <w:rsid w:val="5CFC64A7"/>
    <w:rsid w:val="5D033124"/>
    <w:rsid w:val="5D1516BF"/>
    <w:rsid w:val="5D1569ED"/>
    <w:rsid w:val="5D1A5C10"/>
    <w:rsid w:val="5D1B2A4F"/>
    <w:rsid w:val="5D1B50AE"/>
    <w:rsid w:val="5D2E6665"/>
    <w:rsid w:val="5D4F34F7"/>
    <w:rsid w:val="5D521435"/>
    <w:rsid w:val="5D623C65"/>
    <w:rsid w:val="5D7636FE"/>
    <w:rsid w:val="5D7F7A77"/>
    <w:rsid w:val="5D810CA8"/>
    <w:rsid w:val="5D864B2F"/>
    <w:rsid w:val="5D8C1819"/>
    <w:rsid w:val="5DC477E0"/>
    <w:rsid w:val="5DCA3061"/>
    <w:rsid w:val="5DD05318"/>
    <w:rsid w:val="5DD161BA"/>
    <w:rsid w:val="5DE97207"/>
    <w:rsid w:val="5DEF6C2B"/>
    <w:rsid w:val="5DF22741"/>
    <w:rsid w:val="5DFE50F6"/>
    <w:rsid w:val="5E026A9A"/>
    <w:rsid w:val="5E123553"/>
    <w:rsid w:val="5E186B89"/>
    <w:rsid w:val="5E2D7C7A"/>
    <w:rsid w:val="5E4E3F80"/>
    <w:rsid w:val="5E5F4BD4"/>
    <w:rsid w:val="5E852B0D"/>
    <w:rsid w:val="5E8A7777"/>
    <w:rsid w:val="5E932264"/>
    <w:rsid w:val="5EA1268E"/>
    <w:rsid w:val="5ED20F44"/>
    <w:rsid w:val="5EE7073E"/>
    <w:rsid w:val="5EEC61AE"/>
    <w:rsid w:val="5EF67A22"/>
    <w:rsid w:val="5EFB4ED5"/>
    <w:rsid w:val="5F123BC6"/>
    <w:rsid w:val="5F184877"/>
    <w:rsid w:val="5F1A7A37"/>
    <w:rsid w:val="5F2E3F46"/>
    <w:rsid w:val="5F406402"/>
    <w:rsid w:val="5F474C09"/>
    <w:rsid w:val="5F475D4B"/>
    <w:rsid w:val="5F63419E"/>
    <w:rsid w:val="5F6B086B"/>
    <w:rsid w:val="5F736746"/>
    <w:rsid w:val="5F7B52AA"/>
    <w:rsid w:val="5F880842"/>
    <w:rsid w:val="5F8B3911"/>
    <w:rsid w:val="5FC1728F"/>
    <w:rsid w:val="5FD95A66"/>
    <w:rsid w:val="5FDF2255"/>
    <w:rsid w:val="5FDF7A00"/>
    <w:rsid w:val="5FE12AC5"/>
    <w:rsid w:val="5FF309C7"/>
    <w:rsid w:val="5FFC4765"/>
    <w:rsid w:val="60046C0F"/>
    <w:rsid w:val="600E4F7F"/>
    <w:rsid w:val="60131685"/>
    <w:rsid w:val="601327BB"/>
    <w:rsid w:val="60245068"/>
    <w:rsid w:val="60255BE3"/>
    <w:rsid w:val="602717FC"/>
    <w:rsid w:val="602A62F8"/>
    <w:rsid w:val="602C01A9"/>
    <w:rsid w:val="60351EE3"/>
    <w:rsid w:val="603B1B21"/>
    <w:rsid w:val="603F44BF"/>
    <w:rsid w:val="604270B3"/>
    <w:rsid w:val="60504051"/>
    <w:rsid w:val="607F2EF2"/>
    <w:rsid w:val="60842FF2"/>
    <w:rsid w:val="60AB7543"/>
    <w:rsid w:val="60AF5E00"/>
    <w:rsid w:val="60B1155A"/>
    <w:rsid w:val="60B357B2"/>
    <w:rsid w:val="60B54161"/>
    <w:rsid w:val="60D43BFA"/>
    <w:rsid w:val="60E142BE"/>
    <w:rsid w:val="60E16AB6"/>
    <w:rsid w:val="60E40C2C"/>
    <w:rsid w:val="60F32CD5"/>
    <w:rsid w:val="60FB6994"/>
    <w:rsid w:val="610D2A7D"/>
    <w:rsid w:val="61111BF1"/>
    <w:rsid w:val="61175A9A"/>
    <w:rsid w:val="612129FE"/>
    <w:rsid w:val="612E0294"/>
    <w:rsid w:val="61375BEC"/>
    <w:rsid w:val="614A2305"/>
    <w:rsid w:val="614E4437"/>
    <w:rsid w:val="615F1F60"/>
    <w:rsid w:val="6182631E"/>
    <w:rsid w:val="61AF5CD6"/>
    <w:rsid w:val="61BC217C"/>
    <w:rsid w:val="61D9772A"/>
    <w:rsid w:val="61DA1B5D"/>
    <w:rsid w:val="61DB33CF"/>
    <w:rsid w:val="61EB4962"/>
    <w:rsid w:val="61EF0933"/>
    <w:rsid w:val="61F2327B"/>
    <w:rsid w:val="61F64176"/>
    <w:rsid w:val="61F6471A"/>
    <w:rsid w:val="61FA7AC8"/>
    <w:rsid w:val="62413765"/>
    <w:rsid w:val="625A4915"/>
    <w:rsid w:val="625E2011"/>
    <w:rsid w:val="626E5BD1"/>
    <w:rsid w:val="627803DA"/>
    <w:rsid w:val="627966B2"/>
    <w:rsid w:val="62921FA4"/>
    <w:rsid w:val="62A06349"/>
    <w:rsid w:val="62BF1D8B"/>
    <w:rsid w:val="62C83DFB"/>
    <w:rsid w:val="62CB6DF0"/>
    <w:rsid w:val="62DC2379"/>
    <w:rsid w:val="62DD3EBB"/>
    <w:rsid w:val="62EF16C5"/>
    <w:rsid w:val="62FA52C3"/>
    <w:rsid w:val="63077DCD"/>
    <w:rsid w:val="630C3818"/>
    <w:rsid w:val="63196725"/>
    <w:rsid w:val="631F3FB6"/>
    <w:rsid w:val="63307428"/>
    <w:rsid w:val="63356B20"/>
    <w:rsid w:val="633B4FC0"/>
    <w:rsid w:val="63446C38"/>
    <w:rsid w:val="6349142A"/>
    <w:rsid w:val="634B7547"/>
    <w:rsid w:val="63647D08"/>
    <w:rsid w:val="637B37CB"/>
    <w:rsid w:val="637E69F6"/>
    <w:rsid w:val="63B47AD6"/>
    <w:rsid w:val="63B55E70"/>
    <w:rsid w:val="63BD1F88"/>
    <w:rsid w:val="63D07482"/>
    <w:rsid w:val="63DE3AA9"/>
    <w:rsid w:val="63E85719"/>
    <w:rsid w:val="63F34E27"/>
    <w:rsid w:val="63FD53D7"/>
    <w:rsid w:val="640D3774"/>
    <w:rsid w:val="64190D1A"/>
    <w:rsid w:val="642E2D6E"/>
    <w:rsid w:val="642F141D"/>
    <w:rsid w:val="64387FCB"/>
    <w:rsid w:val="6439179D"/>
    <w:rsid w:val="643A7D3D"/>
    <w:rsid w:val="644845EE"/>
    <w:rsid w:val="64494CF7"/>
    <w:rsid w:val="644C43F2"/>
    <w:rsid w:val="645E071A"/>
    <w:rsid w:val="64611864"/>
    <w:rsid w:val="6465357A"/>
    <w:rsid w:val="64704226"/>
    <w:rsid w:val="64730B58"/>
    <w:rsid w:val="647E3F09"/>
    <w:rsid w:val="64870014"/>
    <w:rsid w:val="64B42AB0"/>
    <w:rsid w:val="64B76AA3"/>
    <w:rsid w:val="64C61C82"/>
    <w:rsid w:val="64D124DB"/>
    <w:rsid w:val="64EB099D"/>
    <w:rsid w:val="65012AAF"/>
    <w:rsid w:val="65233DA8"/>
    <w:rsid w:val="652860EC"/>
    <w:rsid w:val="652A1A84"/>
    <w:rsid w:val="652A5D21"/>
    <w:rsid w:val="653E034D"/>
    <w:rsid w:val="65480BBE"/>
    <w:rsid w:val="6550438A"/>
    <w:rsid w:val="6554639C"/>
    <w:rsid w:val="65687D20"/>
    <w:rsid w:val="656D1690"/>
    <w:rsid w:val="657B264C"/>
    <w:rsid w:val="657C3759"/>
    <w:rsid w:val="659052F9"/>
    <w:rsid w:val="65933B3C"/>
    <w:rsid w:val="65AE026A"/>
    <w:rsid w:val="65B955CA"/>
    <w:rsid w:val="65BE6C54"/>
    <w:rsid w:val="65CC3546"/>
    <w:rsid w:val="65CE71FF"/>
    <w:rsid w:val="65EE73B7"/>
    <w:rsid w:val="65F9071E"/>
    <w:rsid w:val="66087C36"/>
    <w:rsid w:val="660A413F"/>
    <w:rsid w:val="661A0E12"/>
    <w:rsid w:val="66214D7C"/>
    <w:rsid w:val="6624580B"/>
    <w:rsid w:val="6625001A"/>
    <w:rsid w:val="662A15EB"/>
    <w:rsid w:val="66356B67"/>
    <w:rsid w:val="665078F8"/>
    <w:rsid w:val="66760042"/>
    <w:rsid w:val="667B6C3F"/>
    <w:rsid w:val="66933BD2"/>
    <w:rsid w:val="66B40E42"/>
    <w:rsid w:val="66B56D61"/>
    <w:rsid w:val="66B56D68"/>
    <w:rsid w:val="66DA6071"/>
    <w:rsid w:val="66E9392A"/>
    <w:rsid w:val="66EA1480"/>
    <w:rsid w:val="67056631"/>
    <w:rsid w:val="67126948"/>
    <w:rsid w:val="6715177C"/>
    <w:rsid w:val="6730681F"/>
    <w:rsid w:val="674056F4"/>
    <w:rsid w:val="6745249B"/>
    <w:rsid w:val="674672D3"/>
    <w:rsid w:val="67622FB4"/>
    <w:rsid w:val="676E6425"/>
    <w:rsid w:val="67770DB9"/>
    <w:rsid w:val="67776ADD"/>
    <w:rsid w:val="6779797F"/>
    <w:rsid w:val="6789047F"/>
    <w:rsid w:val="67A27AF8"/>
    <w:rsid w:val="67A720F6"/>
    <w:rsid w:val="67AC1398"/>
    <w:rsid w:val="67E7540E"/>
    <w:rsid w:val="67EA1736"/>
    <w:rsid w:val="67F509D9"/>
    <w:rsid w:val="67FC02AC"/>
    <w:rsid w:val="68006207"/>
    <w:rsid w:val="68070E08"/>
    <w:rsid w:val="680E4CA4"/>
    <w:rsid w:val="682D2C3F"/>
    <w:rsid w:val="682D432C"/>
    <w:rsid w:val="68382592"/>
    <w:rsid w:val="684159B8"/>
    <w:rsid w:val="684A32DA"/>
    <w:rsid w:val="684F053A"/>
    <w:rsid w:val="68524FFC"/>
    <w:rsid w:val="686541B5"/>
    <w:rsid w:val="68777EDD"/>
    <w:rsid w:val="68784674"/>
    <w:rsid w:val="687C00C8"/>
    <w:rsid w:val="687C4042"/>
    <w:rsid w:val="68A742AD"/>
    <w:rsid w:val="68B71B00"/>
    <w:rsid w:val="68B87F12"/>
    <w:rsid w:val="68C25CFA"/>
    <w:rsid w:val="68C731B8"/>
    <w:rsid w:val="68D536DE"/>
    <w:rsid w:val="68E62895"/>
    <w:rsid w:val="69044A5D"/>
    <w:rsid w:val="691052CA"/>
    <w:rsid w:val="69194464"/>
    <w:rsid w:val="691D05F7"/>
    <w:rsid w:val="69256624"/>
    <w:rsid w:val="69312B59"/>
    <w:rsid w:val="69446209"/>
    <w:rsid w:val="694E271E"/>
    <w:rsid w:val="69534859"/>
    <w:rsid w:val="69726337"/>
    <w:rsid w:val="69787B08"/>
    <w:rsid w:val="698B1B24"/>
    <w:rsid w:val="6994580C"/>
    <w:rsid w:val="69A66C99"/>
    <w:rsid w:val="69B75241"/>
    <w:rsid w:val="69BB0755"/>
    <w:rsid w:val="69CD6D6F"/>
    <w:rsid w:val="69FB0A5B"/>
    <w:rsid w:val="6A017D36"/>
    <w:rsid w:val="6A0D79AA"/>
    <w:rsid w:val="6A115C81"/>
    <w:rsid w:val="6A162FAD"/>
    <w:rsid w:val="6A165F97"/>
    <w:rsid w:val="6A22015C"/>
    <w:rsid w:val="6A6E45DE"/>
    <w:rsid w:val="6A7A60F7"/>
    <w:rsid w:val="6A7E417E"/>
    <w:rsid w:val="6A9C36E2"/>
    <w:rsid w:val="6AAC2E76"/>
    <w:rsid w:val="6AB90DA9"/>
    <w:rsid w:val="6AD73CE6"/>
    <w:rsid w:val="6AE03E44"/>
    <w:rsid w:val="6AEE1969"/>
    <w:rsid w:val="6AF4494F"/>
    <w:rsid w:val="6B0A125F"/>
    <w:rsid w:val="6B1834FD"/>
    <w:rsid w:val="6B23484A"/>
    <w:rsid w:val="6B30457A"/>
    <w:rsid w:val="6B3B1CB3"/>
    <w:rsid w:val="6B43702A"/>
    <w:rsid w:val="6B446AE6"/>
    <w:rsid w:val="6B524C27"/>
    <w:rsid w:val="6B5A1EC9"/>
    <w:rsid w:val="6B7308B4"/>
    <w:rsid w:val="6B744505"/>
    <w:rsid w:val="6B7B26EC"/>
    <w:rsid w:val="6B990784"/>
    <w:rsid w:val="6BA2498F"/>
    <w:rsid w:val="6BB93C93"/>
    <w:rsid w:val="6BBC51E6"/>
    <w:rsid w:val="6BBF609A"/>
    <w:rsid w:val="6BC012E3"/>
    <w:rsid w:val="6BC33B55"/>
    <w:rsid w:val="6BCA0F7D"/>
    <w:rsid w:val="6BDE4DDD"/>
    <w:rsid w:val="6BE07242"/>
    <w:rsid w:val="6BE5514A"/>
    <w:rsid w:val="6BE82C3E"/>
    <w:rsid w:val="6BE972DB"/>
    <w:rsid w:val="6BFE0452"/>
    <w:rsid w:val="6C0F2440"/>
    <w:rsid w:val="6C176418"/>
    <w:rsid w:val="6C247F63"/>
    <w:rsid w:val="6C392A9F"/>
    <w:rsid w:val="6C452784"/>
    <w:rsid w:val="6C4D097B"/>
    <w:rsid w:val="6C524744"/>
    <w:rsid w:val="6C531367"/>
    <w:rsid w:val="6C5973BD"/>
    <w:rsid w:val="6C5F452A"/>
    <w:rsid w:val="6C762792"/>
    <w:rsid w:val="6C7D1213"/>
    <w:rsid w:val="6C801375"/>
    <w:rsid w:val="6C822E35"/>
    <w:rsid w:val="6CA31B9D"/>
    <w:rsid w:val="6CA714E6"/>
    <w:rsid w:val="6CEF6EBD"/>
    <w:rsid w:val="6CF01C95"/>
    <w:rsid w:val="6CF542B7"/>
    <w:rsid w:val="6CFA3A07"/>
    <w:rsid w:val="6D0071CD"/>
    <w:rsid w:val="6D18295E"/>
    <w:rsid w:val="6D1A13F6"/>
    <w:rsid w:val="6D1F12FA"/>
    <w:rsid w:val="6D206AE2"/>
    <w:rsid w:val="6D2236B9"/>
    <w:rsid w:val="6D497025"/>
    <w:rsid w:val="6D5941BB"/>
    <w:rsid w:val="6D5B0CBD"/>
    <w:rsid w:val="6D6D33F8"/>
    <w:rsid w:val="6D6F3AB1"/>
    <w:rsid w:val="6D72010C"/>
    <w:rsid w:val="6D73256C"/>
    <w:rsid w:val="6D760430"/>
    <w:rsid w:val="6D76784D"/>
    <w:rsid w:val="6D8A08D8"/>
    <w:rsid w:val="6D9541F5"/>
    <w:rsid w:val="6D961017"/>
    <w:rsid w:val="6DBF3CF2"/>
    <w:rsid w:val="6DCD4F84"/>
    <w:rsid w:val="6DCE3EDB"/>
    <w:rsid w:val="6DD23F1E"/>
    <w:rsid w:val="6DD4500A"/>
    <w:rsid w:val="6DDB4275"/>
    <w:rsid w:val="6DEE2081"/>
    <w:rsid w:val="6E0135EB"/>
    <w:rsid w:val="6E0A26D3"/>
    <w:rsid w:val="6E1B7D7D"/>
    <w:rsid w:val="6E210E7D"/>
    <w:rsid w:val="6E336938"/>
    <w:rsid w:val="6E360304"/>
    <w:rsid w:val="6E4C0EF4"/>
    <w:rsid w:val="6E4E028C"/>
    <w:rsid w:val="6E565A56"/>
    <w:rsid w:val="6E5C1E9E"/>
    <w:rsid w:val="6E5D68D3"/>
    <w:rsid w:val="6E682450"/>
    <w:rsid w:val="6E6A511F"/>
    <w:rsid w:val="6E720DA7"/>
    <w:rsid w:val="6E7251F0"/>
    <w:rsid w:val="6E757524"/>
    <w:rsid w:val="6E7934F3"/>
    <w:rsid w:val="6E9C5623"/>
    <w:rsid w:val="6E9E05A5"/>
    <w:rsid w:val="6EAD6286"/>
    <w:rsid w:val="6EB147D3"/>
    <w:rsid w:val="6EB24C59"/>
    <w:rsid w:val="6EBD3CCD"/>
    <w:rsid w:val="6EC9468F"/>
    <w:rsid w:val="6ECD60E1"/>
    <w:rsid w:val="6EDB6C60"/>
    <w:rsid w:val="6EE64158"/>
    <w:rsid w:val="6F0F28B8"/>
    <w:rsid w:val="6F2428C0"/>
    <w:rsid w:val="6F350CF1"/>
    <w:rsid w:val="6F3A17D7"/>
    <w:rsid w:val="6F433285"/>
    <w:rsid w:val="6F5437E3"/>
    <w:rsid w:val="6F591B5D"/>
    <w:rsid w:val="6F746E24"/>
    <w:rsid w:val="6F7E65DB"/>
    <w:rsid w:val="6F7F6D3A"/>
    <w:rsid w:val="6F8D476D"/>
    <w:rsid w:val="6F9016E6"/>
    <w:rsid w:val="6F981073"/>
    <w:rsid w:val="6FA172A4"/>
    <w:rsid w:val="6FAE5CE6"/>
    <w:rsid w:val="6FE07DD0"/>
    <w:rsid w:val="6FEC6F26"/>
    <w:rsid w:val="6FF72D78"/>
    <w:rsid w:val="6FFF65EB"/>
    <w:rsid w:val="701A7D3E"/>
    <w:rsid w:val="702D3A00"/>
    <w:rsid w:val="70341230"/>
    <w:rsid w:val="70342FAD"/>
    <w:rsid w:val="7034472B"/>
    <w:rsid w:val="705A14E5"/>
    <w:rsid w:val="705A4D1B"/>
    <w:rsid w:val="705F37D3"/>
    <w:rsid w:val="708B108A"/>
    <w:rsid w:val="709143C4"/>
    <w:rsid w:val="70930271"/>
    <w:rsid w:val="70CB3DC2"/>
    <w:rsid w:val="70DB5146"/>
    <w:rsid w:val="70E51B6F"/>
    <w:rsid w:val="70E561EA"/>
    <w:rsid w:val="70FA4092"/>
    <w:rsid w:val="70FC3C7A"/>
    <w:rsid w:val="71075B1A"/>
    <w:rsid w:val="710E7F44"/>
    <w:rsid w:val="71193089"/>
    <w:rsid w:val="71211292"/>
    <w:rsid w:val="71243B68"/>
    <w:rsid w:val="712776C4"/>
    <w:rsid w:val="71371DE7"/>
    <w:rsid w:val="714344B4"/>
    <w:rsid w:val="71594A7F"/>
    <w:rsid w:val="71654226"/>
    <w:rsid w:val="7181738B"/>
    <w:rsid w:val="71820038"/>
    <w:rsid w:val="71860B86"/>
    <w:rsid w:val="718B1478"/>
    <w:rsid w:val="71990145"/>
    <w:rsid w:val="719E164B"/>
    <w:rsid w:val="71A6693A"/>
    <w:rsid w:val="71AD6080"/>
    <w:rsid w:val="71BB33A2"/>
    <w:rsid w:val="71C01671"/>
    <w:rsid w:val="71C12788"/>
    <w:rsid w:val="71C90ED8"/>
    <w:rsid w:val="71D72430"/>
    <w:rsid w:val="71E12038"/>
    <w:rsid w:val="720A6753"/>
    <w:rsid w:val="720F4AFB"/>
    <w:rsid w:val="72112B83"/>
    <w:rsid w:val="72143F3C"/>
    <w:rsid w:val="721F61D9"/>
    <w:rsid w:val="72356373"/>
    <w:rsid w:val="723D42BE"/>
    <w:rsid w:val="72412901"/>
    <w:rsid w:val="72553DBC"/>
    <w:rsid w:val="72777556"/>
    <w:rsid w:val="72887B37"/>
    <w:rsid w:val="72910320"/>
    <w:rsid w:val="72A53302"/>
    <w:rsid w:val="72B3410C"/>
    <w:rsid w:val="72BD6DA9"/>
    <w:rsid w:val="72CB01B8"/>
    <w:rsid w:val="72CB5E1F"/>
    <w:rsid w:val="72D95B00"/>
    <w:rsid w:val="72F66709"/>
    <w:rsid w:val="730554B3"/>
    <w:rsid w:val="73092FAA"/>
    <w:rsid w:val="73272012"/>
    <w:rsid w:val="732C3102"/>
    <w:rsid w:val="73413694"/>
    <w:rsid w:val="734608F5"/>
    <w:rsid w:val="7365663A"/>
    <w:rsid w:val="736D4BAC"/>
    <w:rsid w:val="736F1AFC"/>
    <w:rsid w:val="739B5B15"/>
    <w:rsid w:val="73A37548"/>
    <w:rsid w:val="73B36872"/>
    <w:rsid w:val="73BA58B5"/>
    <w:rsid w:val="73C315CB"/>
    <w:rsid w:val="73C76141"/>
    <w:rsid w:val="73CA3FB8"/>
    <w:rsid w:val="73E63732"/>
    <w:rsid w:val="73EC345F"/>
    <w:rsid w:val="73F34510"/>
    <w:rsid w:val="73FD1118"/>
    <w:rsid w:val="74090510"/>
    <w:rsid w:val="740E2D2D"/>
    <w:rsid w:val="7410282D"/>
    <w:rsid w:val="741752A2"/>
    <w:rsid w:val="74223A5C"/>
    <w:rsid w:val="742661E9"/>
    <w:rsid w:val="746075B0"/>
    <w:rsid w:val="746B6757"/>
    <w:rsid w:val="74780C44"/>
    <w:rsid w:val="7479294A"/>
    <w:rsid w:val="74794607"/>
    <w:rsid w:val="747B5C9D"/>
    <w:rsid w:val="747F1177"/>
    <w:rsid w:val="748028C0"/>
    <w:rsid w:val="748431AE"/>
    <w:rsid w:val="7499003B"/>
    <w:rsid w:val="74A471EE"/>
    <w:rsid w:val="74AB58BC"/>
    <w:rsid w:val="74C111AB"/>
    <w:rsid w:val="74C768EE"/>
    <w:rsid w:val="74CA493F"/>
    <w:rsid w:val="74E97F38"/>
    <w:rsid w:val="74ED6920"/>
    <w:rsid w:val="74F13E40"/>
    <w:rsid w:val="75065956"/>
    <w:rsid w:val="750B1697"/>
    <w:rsid w:val="7525120A"/>
    <w:rsid w:val="752A3F7B"/>
    <w:rsid w:val="7533655A"/>
    <w:rsid w:val="754222FC"/>
    <w:rsid w:val="75444F15"/>
    <w:rsid w:val="75485488"/>
    <w:rsid w:val="75692896"/>
    <w:rsid w:val="75733C39"/>
    <w:rsid w:val="758516A2"/>
    <w:rsid w:val="758D195C"/>
    <w:rsid w:val="759A2104"/>
    <w:rsid w:val="75B35E00"/>
    <w:rsid w:val="75CD1343"/>
    <w:rsid w:val="75EB2F64"/>
    <w:rsid w:val="75F04A64"/>
    <w:rsid w:val="76090780"/>
    <w:rsid w:val="7609404D"/>
    <w:rsid w:val="760F1847"/>
    <w:rsid w:val="76192C32"/>
    <w:rsid w:val="761D1573"/>
    <w:rsid w:val="761F64EF"/>
    <w:rsid w:val="76281DF8"/>
    <w:rsid w:val="763929C4"/>
    <w:rsid w:val="765B6CE9"/>
    <w:rsid w:val="765D3DA8"/>
    <w:rsid w:val="7661178C"/>
    <w:rsid w:val="766740C2"/>
    <w:rsid w:val="766852F0"/>
    <w:rsid w:val="766A6521"/>
    <w:rsid w:val="766C7968"/>
    <w:rsid w:val="766E7DAC"/>
    <w:rsid w:val="7675564C"/>
    <w:rsid w:val="76836254"/>
    <w:rsid w:val="76936F16"/>
    <w:rsid w:val="76993FC0"/>
    <w:rsid w:val="76A10D28"/>
    <w:rsid w:val="76A64EB2"/>
    <w:rsid w:val="76BC1014"/>
    <w:rsid w:val="76D7331B"/>
    <w:rsid w:val="77025DC3"/>
    <w:rsid w:val="772354E1"/>
    <w:rsid w:val="77276E30"/>
    <w:rsid w:val="772C68C6"/>
    <w:rsid w:val="773E0DC5"/>
    <w:rsid w:val="77594BC8"/>
    <w:rsid w:val="77652DD1"/>
    <w:rsid w:val="776C53FF"/>
    <w:rsid w:val="776E3681"/>
    <w:rsid w:val="777E5705"/>
    <w:rsid w:val="7781654E"/>
    <w:rsid w:val="77881C4F"/>
    <w:rsid w:val="779231D8"/>
    <w:rsid w:val="77A618BC"/>
    <w:rsid w:val="77AD55DB"/>
    <w:rsid w:val="77B92312"/>
    <w:rsid w:val="77CC68FE"/>
    <w:rsid w:val="77DE5CDB"/>
    <w:rsid w:val="77F67883"/>
    <w:rsid w:val="7827423F"/>
    <w:rsid w:val="78341E10"/>
    <w:rsid w:val="783719D4"/>
    <w:rsid w:val="78386307"/>
    <w:rsid w:val="783A63BE"/>
    <w:rsid w:val="78493B6B"/>
    <w:rsid w:val="7850391E"/>
    <w:rsid w:val="78586B5B"/>
    <w:rsid w:val="78597E32"/>
    <w:rsid w:val="78703EBE"/>
    <w:rsid w:val="78805A36"/>
    <w:rsid w:val="78830880"/>
    <w:rsid w:val="78970F49"/>
    <w:rsid w:val="78A51D8F"/>
    <w:rsid w:val="78AE0946"/>
    <w:rsid w:val="78D02D1A"/>
    <w:rsid w:val="78D1727E"/>
    <w:rsid w:val="78D17516"/>
    <w:rsid w:val="78D96E40"/>
    <w:rsid w:val="78F51C9B"/>
    <w:rsid w:val="78FE038B"/>
    <w:rsid w:val="7911644D"/>
    <w:rsid w:val="791E0B4D"/>
    <w:rsid w:val="792078D7"/>
    <w:rsid w:val="79331EC1"/>
    <w:rsid w:val="79404911"/>
    <w:rsid w:val="794D0D3C"/>
    <w:rsid w:val="7967360B"/>
    <w:rsid w:val="79781473"/>
    <w:rsid w:val="798348F7"/>
    <w:rsid w:val="7986601A"/>
    <w:rsid w:val="79905B9B"/>
    <w:rsid w:val="79905EB8"/>
    <w:rsid w:val="7993616D"/>
    <w:rsid w:val="799D69BF"/>
    <w:rsid w:val="799F3A31"/>
    <w:rsid w:val="79AE14B2"/>
    <w:rsid w:val="79B1687C"/>
    <w:rsid w:val="79B22738"/>
    <w:rsid w:val="79CE4B72"/>
    <w:rsid w:val="79FE0269"/>
    <w:rsid w:val="7A055366"/>
    <w:rsid w:val="7A0F46EB"/>
    <w:rsid w:val="7A292C38"/>
    <w:rsid w:val="7A49541C"/>
    <w:rsid w:val="7A5E6715"/>
    <w:rsid w:val="7A5F22B4"/>
    <w:rsid w:val="7A680094"/>
    <w:rsid w:val="7A7508D5"/>
    <w:rsid w:val="7A80455C"/>
    <w:rsid w:val="7A81102C"/>
    <w:rsid w:val="7A8D6BBC"/>
    <w:rsid w:val="7AA37ECA"/>
    <w:rsid w:val="7AB16073"/>
    <w:rsid w:val="7ABB5514"/>
    <w:rsid w:val="7AC2458A"/>
    <w:rsid w:val="7ADE3222"/>
    <w:rsid w:val="7AE33058"/>
    <w:rsid w:val="7AF037CB"/>
    <w:rsid w:val="7AF04DB0"/>
    <w:rsid w:val="7AFA759D"/>
    <w:rsid w:val="7B0D28AD"/>
    <w:rsid w:val="7B133363"/>
    <w:rsid w:val="7B1C1737"/>
    <w:rsid w:val="7B1C6082"/>
    <w:rsid w:val="7B2F5379"/>
    <w:rsid w:val="7B322761"/>
    <w:rsid w:val="7B3C2640"/>
    <w:rsid w:val="7B41164E"/>
    <w:rsid w:val="7B4443D1"/>
    <w:rsid w:val="7B875C60"/>
    <w:rsid w:val="7BA76397"/>
    <w:rsid w:val="7BB151FD"/>
    <w:rsid w:val="7BB43296"/>
    <w:rsid w:val="7BBE12F2"/>
    <w:rsid w:val="7BC94EE7"/>
    <w:rsid w:val="7BDE6C84"/>
    <w:rsid w:val="7BE07A81"/>
    <w:rsid w:val="7BE81B8B"/>
    <w:rsid w:val="7BE97D38"/>
    <w:rsid w:val="7BED162A"/>
    <w:rsid w:val="7BF01170"/>
    <w:rsid w:val="7C272B3E"/>
    <w:rsid w:val="7C471D4F"/>
    <w:rsid w:val="7C573A0C"/>
    <w:rsid w:val="7C5A71C2"/>
    <w:rsid w:val="7C615DCB"/>
    <w:rsid w:val="7C7A6596"/>
    <w:rsid w:val="7CA76A22"/>
    <w:rsid w:val="7CB167D6"/>
    <w:rsid w:val="7CCC4E54"/>
    <w:rsid w:val="7CEB2ACD"/>
    <w:rsid w:val="7CEF6F65"/>
    <w:rsid w:val="7CF41D8D"/>
    <w:rsid w:val="7D04426F"/>
    <w:rsid w:val="7D0E7370"/>
    <w:rsid w:val="7D187F51"/>
    <w:rsid w:val="7D2745EF"/>
    <w:rsid w:val="7D2D2CA0"/>
    <w:rsid w:val="7D5607A5"/>
    <w:rsid w:val="7D5C29E8"/>
    <w:rsid w:val="7D6C69AF"/>
    <w:rsid w:val="7D7A7BC6"/>
    <w:rsid w:val="7D995EB0"/>
    <w:rsid w:val="7DBB08B6"/>
    <w:rsid w:val="7DBC7173"/>
    <w:rsid w:val="7DC815C9"/>
    <w:rsid w:val="7DD90B59"/>
    <w:rsid w:val="7DEF15A6"/>
    <w:rsid w:val="7DFC511B"/>
    <w:rsid w:val="7E0565F6"/>
    <w:rsid w:val="7E221AFC"/>
    <w:rsid w:val="7E2A514E"/>
    <w:rsid w:val="7E2C4E20"/>
    <w:rsid w:val="7E2D20BE"/>
    <w:rsid w:val="7E35355F"/>
    <w:rsid w:val="7E4306A6"/>
    <w:rsid w:val="7E51117D"/>
    <w:rsid w:val="7E5733E1"/>
    <w:rsid w:val="7E660C33"/>
    <w:rsid w:val="7E6637F7"/>
    <w:rsid w:val="7E707801"/>
    <w:rsid w:val="7E733B66"/>
    <w:rsid w:val="7E8A121F"/>
    <w:rsid w:val="7EA36680"/>
    <w:rsid w:val="7EAA0237"/>
    <w:rsid w:val="7EAD5A3E"/>
    <w:rsid w:val="7EBF15D0"/>
    <w:rsid w:val="7EC12AAE"/>
    <w:rsid w:val="7EC52141"/>
    <w:rsid w:val="7EC73D34"/>
    <w:rsid w:val="7ED12FEE"/>
    <w:rsid w:val="7EFD03F7"/>
    <w:rsid w:val="7F1648D6"/>
    <w:rsid w:val="7F1A7CDF"/>
    <w:rsid w:val="7F21639D"/>
    <w:rsid w:val="7F23784E"/>
    <w:rsid w:val="7F3A0E31"/>
    <w:rsid w:val="7F442E56"/>
    <w:rsid w:val="7F457080"/>
    <w:rsid w:val="7F4734EB"/>
    <w:rsid w:val="7F486BDC"/>
    <w:rsid w:val="7F493BBB"/>
    <w:rsid w:val="7F4C71A0"/>
    <w:rsid w:val="7F5124CE"/>
    <w:rsid w:val="7F5653E5"/>
    <w:rsid w:val="7F6347A3"/>
    <w:rsid w:val="7F6F44D4"/>
    <w:rsid w:val="7F7B4335"/>
    <w:rsid w:val="7F8805ED"/>
    <w:rsid w:val="7FA3192C"/>
    <w:rsid w:val="7FAB42E7"/>
    <w:rsid w:val="7FB745D2"/>
    <w:rsid w:val="7FC4182D"/>
    <w:rsid w:val="7FC44AED"/>
    <w:rsid w:val="7FC459AC"/>
    <w:rsid w:val="7FD55C75"/>
    <w:rsid w:val="7FF3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28</TotalTime>
  <ScaleCrop>false</ScaleCrop>
  <LinksUpToDate>false</LinksUpToDate>
  <CharactersWithSpaces>26786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2021-05-07T01:06:03Z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2052-11.1.0.9208</vt:lpwstr>
  </property>
  <property fmtid="{D5CDD505-2E9C-101B-9397-08002B2CF9AE}" pid="4" name="ICV">
    <vt:lpwstr>D366F8CEF0B34B9A839F473A36DCA92E</vt:lpwstr>
  </property>
</Properties>
</file>