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9264" behindDoc="1" locked="0" layoutInCell="1" allowOverlap="1">
            <wp:simplePos x="0" y="0"/>
            <wp:positionH relativeFrom="column">
              <wp:posOffset>-963295</wp:posOffset>
            </wp:positionH>
            <wp:positionV relativeFrom="paragraph">
              <wp:posOffset>-919480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60288;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4.29</w:t>
      </w: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_Toc32272 </w:instrText>
      </w:r>
      <w:r>
        <w:rPr>
          <w:rFonts w:hint="eastAsia" w:ascii="宋体" w:hAnsi="宋体" w:eastAsia="宋体" w:cs="宋体"/>
          <w:szCs w:val="21"/>
        </w:rPr>
        <w:fldChar w:fldCharType="separate"/>
      </w:r>
      <w:r>
        <w:rPr>
          <w:rFonts w:hint="eastAsia" w:asciiTheme="minorEastAsia" w:hAnsiTheme="minorEastAsia" w:eastAsiaTheme="minorEastAsia" w:cstheme="minorEastAsia"/>
          <w:bCs/>
          <w:kern w:val="0"/>
          <w:szCs w:val="30"/>
        </w:rPr>
        <w:t xml:space="preserve">一、 </w:t>
      </w:r>
      <w:r>
        <w:rPr>
          <w:rFonts w:hint="eastAsia"/>
        </w:rPr>
        <w:t>国际原油市场回顾 </w:t>
      </w:r>
      <w:r>
        <w:tab/>
      </w:r>
      <w:r>
        <w:fldChar w:fldCharType="begin"/>
      </w:r>
      <w:r>
        <w:instrText xml:space="preserve"> PAGEREF _Toc32272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_Toc6297 </w:instrText>
      </w:r>
      <w:r>
        <w:rPr>
          <w:rFonts w:hint="eastAsia" w:ascii="宋体" w:hAnsi="宋体" w:eastAsia="宋体" w:cs="宋体"/>
          <w:szCs w:val="21"/>
        </w:rPr>
        <w:fldChar w:fldCharType="separate"/>
      </w:r>
      <w:r>
        <w:rPr>
          <w:rFonts w:hint="eastAsia" w:ascii="宋体" w:hAnsi="宋体"/>
          <w:szCs w:val="30"/>
          <w:highlight w:val="none"/>
          <w:lang w:val="en-US" w:eastAsia="zh-CN"/>
        </w:rPr>
        <w:t>1、国际原油收盘价涨跌情况（单位：美元/桶）</w:t>
      </w:r>
      <w:r>
        <w:tab/>
      </w:r>
      <w:r>
        <w:fldChar w:fldCharType="begin"/>
      </w:r>
      <w:r>
        <w:instrText xml:space="preserve"> PAGEREF _Toc6297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_Toc5501 </w:instrText>
      </w:r>
      <w:r>
        <w:rPr>
          <w:rFonts w:hint="eastAsia" w:ascii="宋体" w:hAnsi="宋体" w:eastAsia="宋体" w:cs="宋体"/>
          <w:szCs w:val="21"/>
        </w:rPr>
        <w:fldChar w:fldCharType="separate"/>
      </w:r>
      <w:r>
        <w:rPr>
          <w:rFonts w:hint="eastAsia" w:ascii="宋体" w:hAnsi="宋体"/>
          <w:szCs w:val="30"/>
          <w:highlight w:val="none"/>
          <w:lang w:val="en-US" w:eastAsia="zh-CN"/>
        </w:rPr>
        <w:t>2.2021年国际原油价格走势图</w:t>
      </w:r>
      <w:r>
        <w:tab/>
      </w:r>
      <w:r>
        <w:fldChar w:fldCharType="begin"/>
      </w:r>
      <w:r>
        <w:instrText xml:space="preserve"> PAGEREF _Toc5501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_Toc16647 </w:instrText>
      </w:r>
      <w:r>
        <w:rPr>
          <w:rFonts w:hint="eastAsia" w:ascii="宋体" w:hAnsi="宋体" w:eastAsia="宋体" w:cs="宋体"/>
          <w:szCs w:val="21"/>
        </w:rPr>
        <w:fldChar w:fldCharType="separate"/>
      </w:r>
      <w:r>
        <w:rPr>
          <w:rFonts w:hint="eastAsia" w:ascii="宋体" w:hAnsi="宋体"/>
          <w:szCs w:val="30"/>
          <w:highlight w:val="none"/>
          <w:lang w:val="en-US" w:eastAsia="zh-CN"/>
        </w:rPr>
        <w:t>2.1近期影响国际原油市场的主要因素</w:t>
      </w:r>
      <w:r>
        <w:tab/>
      </w:r>
      <w:r>
        <w:fldChar w:fldCharType="begin"/>
      </w:r>
      <w:r>
        <w:instrText xml:space="preserve"> PAGEREF _Toc16647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_Toc184 </w:instrText>
      </w:r>
      <w:r>
        <w:rPr>
          <w:rFonts w:hint="eastAsia" w:ascii="宋体" w:hAnsi="宋体" w:eastAsia="宋体" w:cs="宋体"/>
          <w:szCs w:val="21"/>
        </w:rPr>
        <w:fldChar w:fldCharType="separate"/>
      </w:r>
      <w:r>
        <w:rPr>
          <w:rFonts w:hint="eastAsia" w:ascii="宋体" w:hAnsi="宋体"/>
          <w:szCs w:val="30"/>
          <w:highlight w:val="none"/>
          <w:lang w:val="en-US" w:eastAsia="zh-CN"/>
        </w:rPr>
        <w:t>1.美国原油库存情况</w:t>
      </w:r>
      <w:r>
        <w:tab/>
      </w:r>
      <w:r>
        <w:fldChar w:fldCharType="begin"/>
      </w:r>
      <w:r>
        <w:instrText xml:space="preserve"> PAGEREF _Toc184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_Toc16360 </w:instrText>
      </w:r>
      <w:r>
        <w:rPr>
          <w:rFonts w:hint="eastAsia" w:ascii="宋体" w:hAnsi="宋体" w:eastAsia="宋体" w:cs="宋体"/>
          <w:szCs w:val="21"/>
        </w:rPr>
        <w:fldChar w:fldCharType="separate"/>
      </w:r>
      <w:r>
        <w:rPr>
          <w:rFonts w:hint="eastAsia" w:ascii="宋体" w:hAnsi="宋体"/>
          <w:szCs w:val="30"/>
          <w:highlight w:val="none"/>
          <w:lang w:val="en-US" w:eastAsia="zh-CN"/>
        </w:rPr>
        <w:t>2.美国经济形势</w:t>
      </w:r>
      <w:r>
        <w:tab/>
      </w:r>
      <w:r>
        <w:fldChar w:fldCharType="begin"/>
      </w:r>
      <w:r>
        <w:instrText xml:space="preserve"> PAGEREF _Toc16360 </w:instrText>
      </w:r>
      <w:r>
        <w:fldChar w:fldCharType="separate"/>
      </w:r>
      <w:r>
        <w:t>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_Toc30724 </w:instrText>
      </w:r>
      <w:r>
        <w:rPr>
          <w:rFonts w:hint="eastAsia" w:ascii="宋体" w:hAnsi="宋体" w:eastAsia="宋体" w:cs="宋体"/>
          <w:szCs w:val="21"/>
        </w:rPr>
        <w:fldChar w:fldCharType="separate"/>
      </w:r>
      <w:r>
        <w:rPr>
          <w:rFonts w:hint="eastAsia" w:ascii="宋体" w:hAnsi="宋体"/>
          <w:szCs w:val="30"/>
          <w:highlight w:val="none"/>
          <w:lang w:val="en-US" w:eastAsia="zh-CN"/>
        </w:rPr>
        <w:t>3.世界经济形势</w:t>
      </w:r>
      <w:r>
        <w:tab/>
      </w:r>
      <w:r>
        <w:fldChar w:fldCharType="begin"/>
      </w:r>
      <w:r>
        <w:instrText xml:space="preserve"> PAGEREF _Toc30724 </w:instrText>
      </w:r>
      <w:r>
        <w:fldChar w:fldCharType="separate"/>
      </w:r>
      <w:r>
        <w:t>10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_Toc23898 </w:instrText>
      </w:r>
      <w:r>
        <w:rPr>
          <w:rFonts w:hint="eastAsia" w:ascii="宋体" w:hAnsi="宋体" w:eastAsia="宋体" w:cs="宋体"/>
          <w:szCs w:val="21"/>
        </w:rPr>
        <w:fldChar w:fldCharType="separate"/>
      </w:r>
      <w:r>
        <w:rPr>
          <w:rFonts w:hint="eastAsia" w:ascii="宋体" w:hAnsi="宋体"/>
          <w:szCs w:val="30"/>
          <w:highlight w:val="none"/>
          <w:lang w:val="en-US" w:eastAsia="zh-CN"/>
        </w:rPr>
        <w:t>4后市预测</w:t>
      </w:r>
      <w:r>
        <w:tab/>
      </w:r>
      <w:r>
        <w:fldChar w:fldCharType="begin"/>
      </w:r>
      <w:r>
        <w:instrText xml:space="preserve"> PAGEREF _Toc23898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_Toc30787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_Toc30787 </w:instrText>
      </w:r>
      <w:r>
        <w:fldChar w:fldCharType="separate"/>
      </w:r>
      <w:r>
        <w:t>16</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_Toc11000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_Toc11000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_Toc7167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_Toc7167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_Toc13096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_Toc13096 </w:instrText>
      </w:r>
      <w:r>
        <w:fldChar w:fldCharType="separate"/>
      </w:r>
      <w:r>
        <w:t>18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_Toc24031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_Toc24031 </w:instrText>
      </w:r>
      <w:r>
        <w:fldChar w:fldCharType="separate"/>
      </w:r>
      <w:r>
        <w:t>21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_Toc16466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_Toc16466 </w:instrText>
      </w:r>
      <w:r>
        <w:fldChar w:fldCharType="separate"/>
      </w:r>
      <w:r>
        <w:t>25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_Toc6052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_Toc6052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_Toc25179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_Toc25179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_Toc27167 </w:instrText>
      </w:r>
      <w:r>
        <w:rPr>
          <w:rFonts w:hint="eastAsia" w:ascii="宋体" w:hAnsi="宋体" w:eastAsia="宋体" w:cs="宋体"/>
          <w:szCs w:val="21"/>
        </w:rPr>
        <w:fldChar w:fldCharType="separate"/>
      </w:r>
      <w:r>
        <w:rPr>
          <w:rFonts w:hint="eastAsia" w:ascii="宋体" w:hAnsi="宋体"/>
          <w:szCs w:val="30"/>
          <w:lang w:val="en-US" w:eastAsia="zh-CN"/>
        </w:rPr>
        <w:t>四、2021年1-2月份进出口统计数据</w:t>
      </w:r>
      <w:r>
        <w:tab/>
      </w:r>
      <w:r>
        <w:fldChar w:fldCharType="begin"/>
      </w:r>
      <w:r>
        <w:instrText xml:space="preserve"> PAGEREF _Toc27167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_Toc19791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1-2</w:t>
      </w:r>
      <w:r>
        <w:rPr>
          <w:rFonts w:hint="eastAsia" w:ascii="宋体" w:hAnsi="宋体"/>
          <w:szCs w:val="30"/>
        </w:rPr>
        <w:t>份全国车用汽油</w:t>
      </w:r>
      <w:r>
        <w:rPr>
          <w:rFonts w:hint="eastAsia" w:ascii="宋体" w:hAnsi="宋体"/>
          <w:szCs w:val="30"/>
          <w:lang w:eastAsia="zh-CN"/>
        </w:rPr>
        <w:t>进</w:t>
      </w:r>
      <w:r>
        <w:rPr>
          <w:rFonts w:hint="eastAsia" w:ascii="宋体" w:hAnsi="宋体"/>
          <w:szCs w:val="30"/>
        </w:rPr>
        <w:t>出口统计数据</w:t>
      </w:r>
      <w:r>
        <w:tab/>
      </w:r>
      <w:r>
        <w:fldChar w:fldCharType="begin"/>
      </w:r>
      <w:r>
        <w:instrText xml:space="preserve"> PAGEREF _Toc19791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_Toc23995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21</w:t>
      </w:r>
      <w:r>
        <w:rPr>
          <w:rFonts w:hint="eastAsia" w:ascii="宋体" w:hAnsi="宋体"/>
          <w:szCs w:val="30"/>
        </w:rPr>
        <w:t>年1</w:t>
      </w:r>
      <w:r>
        <w:rPr>
          <w:rFonts w:hint="eastAsia" w:ascii="宋体" w:hAnsi="宋体"/>
          <w:szCs w:val="30"/>
          <w:lang w:val="en-US" w:eastAsia="zh-CN"/>
        </w:rPr>
        <w:t>-2</w:t>
      </w:r>
      <w:r>
        <w:rPr>
          <w:rFonts w:hint="eastAsia" w:ascii="宋体" w:hAnsi="宋体"/>
          <w:szCs w:val="30"/>
        </w:rPr>
        <w:t>月份全国柴油出口统计数据</w:t>
      </w:r>
      <w:r>
        <w:tab/>
      </w:r>
      <w:r>
        <w:fldChar w:fldCharType="begin"/>
      </w:r>
      <w:r>
        <w:instrText xml:space="preserve"> PAGEREF _Toc23995 </w:instrText>
      </w:r>
      <w:r>
        <w:fldChar w:fldCharType="separate"/>
      </w:r>
      <w:r>
        <w:t>34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_Toc16942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2</w:t>
      </w:r>
      <w:r>
        <w:rPr>
          <w:rFonts w:hint="eastAsia" w:ascii="宋体" w:hAnsi="宋体"/>
          <w:szCs w:val="30"/>
        </w:rPr>
        <w:t>月份全国原油进出口统计数据</w:t>
      </w:r>
      <w:r>
        <w:tab/>
      </w:r>
      <w:r>
        <w:fldChar w:fldCharType="begin"/>
      </w:r>
      <w:r>
        <w:instrText xml:space="preserve"> PAGEREF _Toc16942 </w:instrText>
      </w:r>
      <w:r>
        <w:fldChar w:fldCharType="separate"/>
      </w:r>
      <w:r>
        <w:t>35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_Toc18589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2</w:t>
      </w:r>
      <w:r>
        <w:rPr>
          <w:rFonts w:hint="eastAsia" w:ascii="宋体" w:hAnsi="宋体"/>
          <w:szCs w:val="30"/>
        </w:rPr>
        <w:t>月份航空煤油进出口统计数据</w:t>
      </w:r>
      <w:r>
        <w:tab/>
      </w:r>
      <w:r>
        <w:fldChar w:fldCharType="begin"/>
      </w:r>
      <w:r>
        <w:instrText xml:space="preserve"> PAGEREF _Toc18589 </w:instrText>
      </w:r>
      <w:r>
        <w:fldChar w:fldCharType="separate"/>
      </w:r>
      <w:r>
        <w:t>36</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Pr>
        <w:pStyle w:val="2"/>
        <w:numPr>
          <w:ilvl w:val="0"/>
          <w:numId w:val="1"/>
        </w:numPr>
        <w:spacing w:before="120" w:after="0" w:line="240" w:lineRule="auto"/>
        <w:rPr>
          <w:rFonts w:hint="eastAsia" w:asciiTheme="minorEastAsia" w:hAnsiTheme="minorEastAsia" w:eastAsiaTheme="minorEastAsia" w:cstheme="minorEastAsia"/>
          <w:b/>
          <w:bCs/>
          <w:kern w:val="0"/>
          <w:sz w:val="30"/>
          <w:szCs w:val="30"/>
        </w:rPr>
      </w:pPr>
      <w:bookmarkStart w:id="0" w:name="_Toc32272"/>
      <w:r>
        <w:rPr>
          <w:rFonts w:hint="eastAsia"/>
        </w:rPr>
        <w:t>国际原油市场回顾 </w:t>
      </w:r>
      <w:bookmarkEnd w:id="0"/>
    </w:p>
    <w:p>
      <w:pPr>
        <w:pStyle w:val="3"/>
        <w:spacing w:before="120" w:after="120" w:line="240" w:lineRule="auto"/>
        <w:rPr>
          <w:rFonts w:hint="eastAsia" w:ascii="宋体" w:hAnsi="宋体"/>
          <w:b/>
          <w:sz w:val="30"/>
          <w:szCs w:val="30"/>
          <w:highlight w:val="none"/>
          <w:lang w:val="en-US" w:eastAsia="zh-CN"/>
        </w:rPr>
      </w:pPr>
      <w:bookmarkStart w:id="1" w:name="_Toc66953452"/>
      <w:bookmarkStart w:id="2" w:name="_Toc6297"/>
      <w:r>
        <w:rPr>
          <w:rFonts w:hint="eastAsia" w:ascii="宋体" w:hAnsi="宋体"/>
          <w:b/>
          <w:sz w:val="30"/>
          <w:szCs w:val="30"/>
          <w:highlight w:val="none"/>
          <w:lang w:val="en-US" w:eastAsia="zh-CN"/>
        </w:rPr>
        <w:t>1、</w:t>
      </w:r>
      <w:bookmarkEnd w:id="1"/>
      <w:bookmarkStart w:id="3" w:name="_Toc67556952"/>
      <w:r>
        <w:rPr>
          <w:rFonts w:hint="eastAsia" w:ascii="宋体" w:hAnsi="宋体"/>
          <w:b/>
          <w:sz w:val="30"/>
          <w:szCs w:val="30"/>
          <w:highlight w:val="none"/>
          <w:lang w:val="en-US" w:eastAsia="zh-CN"/>
        </w:rPr>
        <w:t>国际原油收盘价涨跌情况（单位：美元/桶）</w:t>
      </w:r>
      <w:bookmarkEnd w:id="2"/>
      <w:bookmarkEnd w:id="3"/>
    </w:p>
    <w:tbl>
      <w:tblPr>
        <w:tblStyle w:val="24"/>
        <w:tblW w:w="8662" w:type="dxa"/>
        <w:tblInd w:w="0" w:type="dxa"/>
        <w:tblLayout w:type="fixed"/>
        <w:tblCellMar>
          <w:top w:w="15" w:type="dxa"/>
          <w:left w:w="15" w:type="dxa"/>
          <w:bottom w:w="15" w:type="dxa"/>
          <w:right w:w="15" w:type="dxa"/>
        </w:tblCellMar>
      </w:tblPr>
      <w:tblGrid>
        <w:gridCol w:w="1291"/>
        <w:gridCol w:w="905"/>
        <w:gridCol w:w="960"/>
        <w:gridCol w:w="5506"/>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00B0F0"/>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日期</w:t>
            </w:r>
          </w:p>
        </w:tc>
        <w:tc>
          <w:tcPr>
            <w:tcW w:w="905" w:type="dxa"/>
            <w:tcBorders>
              <w:top w:val="single" w:color="000000" w:sz="4" w:space="0"/>
              <w:left w:val="single" w:color="000000" w:sz="4" w:space="0"/>
              <w:bottom w:val="single" w:color="000000" w:sz="4" w:space="0"/>
              <w:right w:val="single" w:color="000000" w:sz="4" w:space="0"/>
            </w:tcBorders>
            <w:shd w:val="clear" w:color="auto" w:fill="00B0F0"/>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纽交所</w:t>
            </w:r>
          </w:p>
        </w:tc>
        <w:tc>
          <w:tcPr>
            <w:tcW w:w="960" w:type="dxa"/>
            <w:tcBorders>
              <w:top w:val="single" w:color="000000" w:sz="4" w:space="0"/>
              <w:left w:val="single" w:color="000000" w:sz="4" w:space="0"/>
              <w:bottom w:val="single" w:color="000000" w:sz="4" w:space="0"/>
              <w:right w:val="single" w:color="000000" w:sz="4" w:space="0"/>
            </w:tcBorders>
            <w:shd w:val="clear" w:color="auto" w:fill="00B0F0"/>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伦交所</w:t>
            </w:r>
          </w:p>
        </w:tc>
        <w:tc>
          <w:tcPr>
            <w:tcW w:w="5506" w:type="dxa"/>
            <w:tcBorders>
              <w:top w:val="single" w:color="000000" w:sz="4" w:space="0"/>
              <w:left w:val="single" w:color="000000" w:sz="4" w:space="0"/>
              <w:bottom w:val="single" w:color="000000" w:sz="4" w:space="0"/>
              <w:right w:val="single" w:color="000000" w:sz="4" w:space="0"/>
            </w:tcBorders>
            <w:shd w:val="clear" w:color="auto" w:fill="00B0F0"/>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2021/4/22</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61.43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65.4</w:t>
            </w:r>
          </w:p>
        </w:tc>
        <w:tc>
          <w:tcPr>
            <w:tcW w:w="5506"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原油收盘小幅上涨，利比亚原油产量下降支撑油价，抵消了亚洲需求风险的利空影响。</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2021/4/23</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62.14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66.11</w:t>
            </w:r>
          </w:p>
        </w:tc>
        <w:tc>
          <w:tcPr>
            <w:tcW w:w="5506"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原油收盘上涨，欧美经济数据向好缓解了市场对部分国家疫情蔓延影响需求复苏的担忧。</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2021/4/26</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65.65</w:t>
            </w:r>
          </w:p>
        </w:tc>
        <w:tc>
          <w:tcPr>
            <w:tcW w:w="5506"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原油收盘下跌，印度疫情及利比亚增产预期令油价承压，但OPEC+技术委员会上调需求预期支撑油价。</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2021/4/27</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62.94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66.42</w:t>
            </w:r>
          </w:p>
        </w:tc>
        <w:tc>
          <w:tcPr>
            <w:tcW w:w="5506"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原油收盘上涨，OPEC+监测委员会(JMMC)会议确认坚持逐步增加原油供应,且预期全球石油需求复苏。</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2021/4/28</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63.86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67.27</w:t>
            </w:r>
          </w:p>
        </w:tc>
        <w:tc>
          <w:tcPr>
            <w:tcW w:w="5506"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原油收盘上涨，EIA原油库存增幅远低于市场预期，OPEC仍乐观看待需求前景也提振油价。</w:t>
            </w:r>
          </w:p>
        </w:tc>
      </w:tr>
    </w:tbl>
    <w:p>
      <w:pPr>
        <w:rPr>
          <w:rFonts w:hint="eastAsia" w:asciiTheme="minorEastAsia" w:hAnsiTheme="minorEastAsia" w:eastAsiaTheme="minorEastAsia" w:cstheme="minorEastAsia"/>
          <w:kern w:val="0"/>
          <w:szCs w:val="21"/>
        </w:rPr>
      </w:pPr>
    </w:p>
    <w:p>
      <w:pPr>
        <w:pStyle w:val="3"/>
        <w:spacing w:before="120" w:after="120" w:line="240" w:lineRule="auto"/>
        <w:rPr>
          <w:rFonts w:hint="eastAsia" w:ascii="宋体" w:hAnsi="宋体"/>
          <w:b/>
          <w:sz w:val="30"/>
          <w:szCs w:val="30"/>
          <w:highlight w:val="none"/>
          <w:lang w:val="en-US" w:eastAsia="zh-CN"/>
        </w:rPr>
      </w:pPr>
      <w:bookmarkStart w:id="4" w:name="_Toc67556953"/>
      <w:bookmarkStart w:id="5" w:name="_Toc5501"/>
      <w:r>
        <w:rPr>
          <w:rFonts w:hint="eastAsia" w:ascii="宋体" w:hAnsi="宋体"/>
          <w:b/>
          <w:sz w:val="30"/>
          <w:szCs w:val="30"/>
          <w:highlight w:val="none"/>
          <w:lang w:val="en-US" w:eastAsia="zh-CN"/>
        </w:rPr>
        <w:t>2.2021年国际原油价格走势图</w:t>
      </w:r>
      <w:bookmarkEnd w:id="4"/>
      <w:bookmarkEnd w:id="5"/>
    </w:p>
    <w:p>
      <w:pPr>
        <w:widowControl/>
        <w:wordWrap w:val="0"/>
        <w:spacing w:after="90" w:line="288" w:lineRule="auto"/>
        <w:jc w:val="left"/>
        <w:rPr>
          <w:rFonts w:hint="eastAsia" w:asciiTheme="minorEastAsia" w:hAnsiTheme="minorEastAsia" w:eastAsiaTheme="minorEastAsia" w:cstheme="minorEastAsia"/>
          <w:b/>
          <w:kern w:val="0"/>
          <w:sz w:val="30"/>
          <w:szCs w:val="30"/>
        </w:rPr>
      </w:pPr>
      <w:r>
        <w:rPr>
          <w:rFonts w:hint="eastAsia" w:ascii="宋体" w:hAnsi="宋体" w:cs="Arial"/>
          <w:b/>
          <w:kern w:val="0"/>
          <w:sz w:val="30"/>
          <w:szCs w:val="30"/>
        </w:rPr>
        <w:drawing>
          <wp:inline distT="0" distB="0" distL="114300" distR="114300">
            <wp:extent cx="4228465" cy="3780790"/>
            <wp:effectExtent l="0" t="0" r="635" b="1016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228465" cy="3780790"/>
                    </a:xfrm>
                    <a:prstGeom prst="rect">
                      <a:avLst/>
                    </a:prstGeom>
                    <a:noFill/>
                    <a:ln>
                      <a:noFill/>
                    </a:ln>
                  </pic:spPr>
                </pic:pic>
              </a:graphicData>
            </a:graphic>
          </wp:inline>
        </w:drawing>
      </w:r>
    </w:p>
    <w:p>
      <w:pPr>
        <w:rPr>
          <w:rFonts w:hint="eastAsia" w:asciiTheme="minorEastAsia" w:hAnsiTheme="minorEastAsia" w:eastAsiaTheme="minorEastAsia" w:cstheme="minorEastAsia"/>
        </w:rPr>
      </w:pPr>
    </w:p>
    <w:p>
      <w:pPr>
        <w:pStyle w:val="3"/>
        <w:spacing w:before="120" w:after="120" w:line="240" w:lineRule="auto"/>
        <w:rPr>
          <w:rFonts w:hint="eastAsia" w:asciiTheme="minorEastAsia" w:hAnsiTheme="minorEastAsia" w:eastAsiaTheme="minorEastAsia" w:cstheme="minorEastAsia"/>
          <w:b/>
          <w:sz w:val="28"/>
          <w:szCs w:val="28"/>
        </w:rPr>
      </w:pPr>
      <w:bookmarkStart w:id="6" w:name="_Toc67556954"/>
      <w:bookmarkStart w:id="7" w:name="_Toc16647"/>
      <w:r>
        <w:rPr>
          <w:rFonts w:hint="eastAsia" w:ascii="宋体" w:hAnsi="宋体"/>
          <w:b/>
          <w:sz w:val="30"/>
          <w:szCs w:val="30"/>
          <w:highlight w:val="none"/>
          <w:lang w:val="en-US" w:eastAsia="zh-CN"/>
        </w:rPr>
        <w:t>2.1近期影响国际原油市场的主要因素</w:t>
      </w:r>
      <w:bookmarkEnd w:id="6"/>
      <w:bookmarkEnd w:id="7"/>
    </w:p>
    <w:p>
      <w:pPr>
        <w:pStyle w:val="3"/>
        <w:spacing w:before="120" w:after="120" w:line="240" w:lineRule="auto"/>
        <w:rPr>
          <w:rFonts w:hint="eastAsia" w:ascii="宋体" w:hAnsi="宋体"/>
          <w:b/>
          <w:sz w:val="30"/>
          <w:szCs w:val="30"/>
          <w:highlight w:val="none"/>
          <w:lang w:val="en-US" w:eastAsia="zh-CN"/>
        </w:rPr>
      </w:pPr>
      <w:bookmarkStart w:id="8" w:name="_Toc67556955"/>
      <w:bookmarkStart w:id="9" w:name="_Toc184"/>
      <w:r>
        <w:rPr>
          <w:rFonts w:hint="eastAsia" w:ascii="宋体" w:hAnsi="宋体"/>
          <w:b/>
          <w:sz w:val="30"/>
          <w:szCs w:val="30"/>
          <w:highlight w:val="none"/>
          <w:lang w:val="en-US" w:eastAsia="zh-CN"/>
        </w:rPr>
        <w:t>1.美国原油库存情况</w:t>
      </w:r>
      <w:bookmarkEnd w:id="8"/>
      <w:bookmarkEnd w:id="9"/>
      <w:r>
        <w:rPr>
          <w:rFonts w:hint="eastAsia" w:ascii="宋体" w:hAnsi="宋体"/>
          <w:b/>
          <w:sz w:val="30"/>
          <w:szCs w:val="30"/>
          <w:highlight w:val="none"/>
          <w:lang w:val="en-US" w:eastAsia="zh-CN"/>
        </w:rPr>
        <w:t xml:space="preserve"> </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bookmarkStart w:id="10" w:name="_Toc69977252"/>
      <w:bookmarkStart w:id="11" w:name="_Toc23898"/>
      <w:r>
        <w:rPr>
          <w:rFonts w:hint="eastAsia" w:ascii="宋体" w:hAnsi="宋体" w:eastAsia="宋体" w:cs="宋体"/>
          <w:color w:val="auto"/>
          <w:kern w:val="2"/>
          <w:sz w:val="28"/>
          <w:szCs w:val="28"/>
          <w:shd w:val="clear" w:color="auto" w:fill="FFFFFF"/>
        </w:rPr>
        <w:t>本周美国EIA公布的数据显示，截至4月16日当周美国除却战略储备的商业原油库存意外超预期，精炼油库存降幅不及预期，汽油库存不及预期。截至4月16日当周美国商业原油库存增加59.4万桶至4.93亿桶，预期减少355万桶;库欣原油库存减少131.8万桶至4535万桶;汽油库存增加8.5万桶，精炼油库存减少107.3万桶，炼厂设备利用率持平至85%。美国原油产品四周平均供应量为1966万桶/日，较去年同期增加30.7%。美国东海岸原油库存上周跌至历史新低。美国东海岸馏分油库存上周降至2020年4月以来的最低水平。美国石油协会(API)公布的数据显示,美国截至4月16日当周API原油库存增加43.6万桶,预期减少286万桶;汽油库存减少161.7万桶;精炼油库存增加65.5万桶。</w:t>
      </w: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2.美国经济形势</w:t>
      </w:r>
      <w:bookmarkEnd w:id="10"/>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2" w:name="_Toc69977253"/>
      <w:r>
        <w:rPr>
          <w:rFonts w:hint="eastAsia" w:asciiTheme="minorEastAsia" w:hAnsiTheme="minorEastAsia" w:eastAsiaTheme="minorEastAsia" w:cstheme="minorEastAsia"/>
          <w:color w:val="auto"/>
          <w:kern w:val="2"/>
          <w:sz w:val="28"/>
          <w:szCs w:val="28"/>
          <w:shd w:val="clear" w:color="auto" w:fill="FFFFFF"/>
        </w:rPr>
        <w:t>本周北京时间29日凌晨，美股周三收跌。美联储维持利率不变，并暗示尽管经济好转、通胀上行，央行仍将在一段时间内坚持现行宽松政策与购债计划。投资者正在评估多家科技公司的财报，并等待拜登有关提高富人税率的讲话。</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指跌164.55点，或0.48%，报33820.38点;纳指跌39.19点，或0.28%，报14051.03点;标普500指数跌3.54点，或0.08%，报4183.18点。</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周三午后，标普500指数最高上涨至4201.53点，创盘中历史新高。</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经过两天会议后，美联储周三宣布将基准利率维持在0%-0.25%不变。美联储预计经济复苏加快，通胀压力增大，但重申将维持执行现行购买抵押贷款支持债券(MBS)的规模不变。美联储的决定符合市场预期。</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在随后召开的新闻会上，美联储主席鲍威尔称受疫情影响最严重的领域有所改善。他重申当前利率合适，现在还不是开始考虑缩减购债规模的时候。</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尽管经济前景好转，但鲍威尔强调并不担心通胀，并表示将继续坚持超级宽松货币政策，以实现美联储的就业与通胀双重目标。鲍威尔还承认某些资产价格可能过高。</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美联储公布货币政策决议后，美国10年期国债收益率回升至1.64%以上。</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科技股财报受到关注。谷歌的母公司Alphabet股价走高，此前该公司宣布，受客户广告支出回升的推动，第一财季销售收入与盈利远超预期。Alphabet还宣布拟回购500亿美元股票。</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国总统拜登周三将在国会联席会议上发表讲话，他将向国会公布1.8万亿美元的“美国家庭计划”，旨在支持儿童保育、带薪休假、医疗补贴等。此外，预计拜登将正式公布富人税细节，此前据媒体报道，拜登计划对年收入在100万美元以上的群体征收39.6%的资本利得税。</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经济数据面，美国3月商品贸易逆差刷新纪录，进口持续飙升。3月贸易逆差自2月的871亿美元扩大至906亿美元，市场预期为880亿美元。进口增长6.8%，至2326亿美元;出口攀升8.7%，至1420亿美元，创2018年以来的最高水平。</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美联储强化经济评估 同时维持利率与购债速度不变</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美联储周三公布的经济评估有所增强，并释放出风险已经下降的信号，同时将政策利率维持在近零水平，并保持每月1200亿美元的资产购买速度不变。</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在疫苗接种取得进展和强有力的政策支持下，经济活动和就业指标都出现增强，”联邦公开市场委员会(FOMC)在政策会议结束后发布的声明中表示。“受新冠疫情负面影响最严重的部门仍然脆弱，但也展现出好转。通胀上升，很大程度上反映了暂时性因素的影响。”</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美联储表示“经济前景仍面临风险，”与先前所言疫情构成“重大风险”相比有所软化。</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此次会议召开，正值疫苗接种和货币财政刺激政策使人们对美国经济复苏的乐观情绪升温。美国总统拜登将于周三晚些时候在国会发表联合讲话时布1.8万亿美元涉及教育、育儿等问题的支出计划，同时还将强调2.25万亿美元基础设施提案及上月签署成法的1.9万亿美元纾困方案。</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另一方面，全球部分地区新冠疫情抬头也给全球经济前景蒙上了阴影，使决策者有理由对撤出刺激措施抱以耐心。美联储官员目前基本上暂不考虑通胀风险，称上月消费者价格指数之所以急升，是因为2020年3月价格水平受疫情影响下跌，从而使数据产生扭曲。</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FOMC周三的决定获得一致通过。美联储主席鲍威尔将于华盛顿时间14：30开始举行新闻发布会。</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美联储重申不会改变债券购买速度，直到就业和通胀目标取得“实质性的进一步进展”。自2020年3月以来，基准联邦基金利率目标区间一直保持在0-0.25%。</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鲍威尔重申当前利率合适 暂不考虑缩表</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美联储主席鲍威尔周三表示，受疫情影响最严重的领域有所改善。</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他称，劳动力市场状况继续改善，疫苗接种应帮助今年进一步恢复常态。失业率依然高企。6%的失业率低估了就业的不足。</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关于通胀，鲍威尔称在出现放缓之前，通胀在某种程度上将出现进一步的上升。PCE年率预计将超过2%。但他认为，支出增长刺激物价，可能是暂时性的。</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鲍威尔表示，在实现经济增长与最大就业双重目标目标前，利率接近零是合适的。今年通胀的暂时上升不符合加息的标准。</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他认为，距离实现“实质性进展”可能还有一段时间。如有需要，美联储将尽力支持经济复苏。</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鲍威尔重申，现在还不是开始谈论缩减购债规模的时候。</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纽约商品交易所6月交割的西德州中质原油(WTI)期货价格上涨92美分，涨幅1.5%，收于每桶63.86美元。</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伦敦洲际交易所6月交割的布伦特原油期货价格上涨85美分，涨幅1.3%，收于每桶67.27美元。7月布伦特原油期货上涨91美分，涨幅1.4%，收于每桶66.78美元。</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按照最活跃合约计算，周三WTI与布伦特原油均创3月17日以来的最高收盘价。</w:t>
      </w:r>
    </w:p>
    <w:p>
      <w:pPr>
        <w:pStyle w:val="23"/>
        <w:ind w:firstLine="643" w:firstLineChars="200"/>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3.世界经济形势</w:t>
      </w:r>
      <w:bookmarkEnd w:id="12"/>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世界经济论坛(World Economic Forum)的一份最新报告显示，2020年，全球能源转型支出达到创纪录的5000多亿美元，各国继续优先考虑低碳排放，并规划更绿色的经济复苏。世界经济部2021年能源转型指数的数据显示，2020年流入能源转型的资金达到5010亿美元的历史最高水平，高于2019年的4580亿美元。</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该指数调查了115个国家，根据它们的能源系统性能以及它们向更绿色能源未来的过渡准备情况对它们进行基准测试。瑞典连续第四年保持该指数的榜首位置，其次是挪威和丹麦。阿联酋在加速采用绿色技术方面"多年来稳步提高"，在全球排名第64位。在衡量过度努力的12项指标中，它排在前10位。沙特阿拉伯该指数在其他阿拉伯国家中排名第八。</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加快发展可再生能源</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世界经济论坛能源和材料部门负责人罗伯托博卡(RobertoBocca)对《国家报》表示："我认为，中东拥有巨大的机会，利用基础设施、技术技能和技术技能，该地区人民必须在(能源转型)中真正发挥关键作用。"报告称，阿联酋在稳定支撑能源转型的体制和监管框架方面处于领先地位，而其在"经济增长和能源安全"方面的进展依然强劲。阿联酋的目标是到2050年将其可再生能源在能源组合中所占份额提高到50%，通过降低其混合碳强度并寻找将经济增长与能源消耗脱钩的方法，阿联酋可以继续降低其能源影响。</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称，去年中东和北非地区的得分有所下降，但总体走势仍为正值。迄今为止，世界10个最大经济体中有8个承诺到2050年实现净零排放目标。在该指数跟踪的115个国家中，约有92个国家在过去十年中提高了总分，表明全球能源转型正朝着"积极方向和稳定势头"前进。然而，与此同时，根据国际能源机构的数据，全球二氧化碳排放量将创下历史第二大增幅。总部位于巴黎的该机构周二表示，受发电需求强劲反弹的推动，今年二氧化碳排放量增加了15亿吨。</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可再生能源技术吸引的投资最多，而移动性、电气化热能、存储、碳捕获和储存等其他行业所占份额较小。博卡表示："只有四个经济体的复苏资金净流向减排行业。他补充称："因此，如果你看看现在的一些数据，60%的能源转型相关部门的拨款仍然直接或间接支持化石燃料行业。</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月早些时候，美国气候特使约翰克里(JohnKerry)强调了这个问题，他呼吁世界银行等多边发展机构放弃为煤炭等高污染燃料融资。克里敦促各国加大力度，实现《巴黎协定》关于限制排放的目标。世界经济基金(WEF)在报告中表示，尽管碳排放量预计将上升，但目前没有电人口的比例已从10年前的12亿降至8亿。报告称："提高可再生能源能力尤其有助于能源进口国在环境可持续性和能源安全方面同时取得成果。</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lang w:val="en-US" w:eastAsia="zh-CN"/>
        </w:rPr>
        <w:t>4后市预测</w:t>
      </w:r>
      <w:bookmarkEnd w:id="11"/>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3" w:name="_Toc30787"/>
      <w:r>
        <w:rPr>
          <w:rFonts w:hint="eastAsia" w:asciiTheme="minorEastAsia" w:hAnsiTheme="minorEastAsia" w:eastAsiaTheme="minorEastAsia" w:cstheme="minorEastAsia"/>
          <w:color w:val="auto"/>
          <w:kern w:val="2"/>
          <w:sz w:val="28"/>
          <w:szCs w:val="28"/>
          <w:shd w:val="clear" w:color="auto" w:fill="FFFFFF"/>
        </w:rPr>
        <w:t>本周美国WTI原油价格在61.43-63.86美元/桶。布伦特原油价格在65.4-67.27美元/桶震荡。周内国际油价震荡不稳。原油价格周三上涨逾1%，此前的数据显示，美国上周馏分油库存大幅减少，炼厂生产活动加速至一年多来的最高水平，提振了外界对这个全球最大石油消费国燃料需求上升的希望。美国WTI原油6月期货收涨92美分，涨幅1.46%，至63.86美元/桶;布伦特7月原油期货收涨85美分，涨幅1.28%，至67.27美元/桶。基本面利好消息：最近数周，沙特、阿联酋、卡塔尔、阿曼和科威特都在动用犹如掌上明珠一般的石油资产方面加快步伐，推进数十亿美元的能源资产出售计划以及以此为基础的债券发行计划。刚刚加入这一行列的是沙特，该国王储穆罕默德·本·萨勒曼周二表示，正在与一家未具名的“全球领先的能源公司”商讨出售沙特阿美价值约200亿美元的股权。英国顾问公司MENA Advisors首席经济学家Justin Alexander认为，这些国家在估值理想的时候出售股权是合理的，一部分是财政方面的原因，一部分是越来越意识到能源转型速度之快，需要兑现这些资产的价值。基本面利空消息：1.美国石油协会(API)公布的最新数据显示，截至4月23日当周，原油库存增加431.9万桶，预期增加37.5万桶，前值增加43.6万桶。金融博客零对冲评API原油库存数据称，周二油价走高，美油升至63美元上方，此前欧佩克+联合部长级监督委员会(JMMC)举行会议，并确认不会按计划在周三举行部长级会议，对当前的减产计划表现出了信心。目前虽然印度疫情的担忧仍存，但许多人对世界其他地区的复苏仍有信心。API原油库存出乎意料地大增，数据公布前WTI原油在63.2美元附近徘徊，数据公布后小幅下跌。2.新冠病毒在印度、日本和巴西快速扩散，给近期需求复苏带来不确定性，并打压了市场信心。印度单日新增新冠感染病例360960例创出新高，总数接近1800万例。印度政府日前表示，从5月1日开始，印度所有18岁以上人群都有资格接种新冠疫苗。然而目前，各地疫苗严重短缺的问题却依然没有得到解决。专家认为，印度后续只有采取极其严格的公共卫生措施，政府采取坚决的正确应对，百姓有很好的配合，才能度过目前的危机。</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预测下周WTI油价将触及60-64美元/桶，布油在之后几个月触及64-68美元/桶。</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rPr>
        <w:t>2.2国际市场MTBE价格</w:t>
      </w:r>
      <w:bookmarkEnd w:id="13"/>
      <w:r>
        <w:rPr>
          <w:rFonts w:hint="eastAsia" w:ascii="宋体" w:hAnsi="宋体"/>
          <w:b/>
          <w:sz w:val="30"/>
          <w:szCs w:val="30"/>
          <w:highlight w:val="none"/>
          <w:lang w:val="en-US" w:eastAsia="zh-CN"/>
        </w:rPr>
        <w:t xml:space="preserve"> </w:t>
      </w:r>
    </w:p>
    <w:p>
      <w:pPr>
        <w:rPr>
          <w:rFonts w:hint="eastAsia"/>
        </w:rPr>
      </w:pPr>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4月28日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732.50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219.22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731.75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4月27日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725.00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213.54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714.75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4月26日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718.50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209.36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712.00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4月23日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726.00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211.07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717.00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4月22日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719.00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208.97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708.25 </w:t>
            </w:r>
          </w:p>
        </w:tc>
      </w:tr>
    </w:tbl>
    <w:p>
      <w:pPr>
        <w:rPr>
          <w:rFonts w:hint="eastAsia"/>
          <w:lang w:eastAsia="zh-CN"/>
        </w:rPr>
      </w:pPr>
    </w:p>
    <w:p>
      <w:pPr>
        <w:pStyle w:val="2"/>
        <w:numPr>
          <w:ilvl w:val="0"/>
          <w:numId w:val="0"/>
        </w:numPr>
        <w:spacing w:before="120" w:after="0" w:line="240" w:lineRule="auto"/>
        <w:rPr>
          <w:rFonts w:hint="eastAsia"/>
          <w:b/>
        </w:rPr>
      </w:pPr>
      <w:bookmarkStart w:id="14" w:name="_Toc11000"/>
      <w:r>
        <w:rPr>
          <w:rFonts w:hint="eastAsia"/>
          <w:b/>
          <w:lang w:eastAsia="zh-CN"/>
        </w:rPr>
        <w:t>三、</w:t>
      </w:r>
      <w:r>
        <w:rPr>
          <w:rFonts w:hint="eastAsia"/>
          <w:b/>
        </w:rPr>
        <w:t>本周国内市场</w:t>
      </w:r>
      <w:bookmarkEnd w:id="14"/>
    </w:p>
    <w:p>
      <w:pPr>
        <w:numPr>
          <w:ilvl w:val="0"/>
          <w:numId w:val="0"/>
        </w:numPr>
      </w:pPr>
    </w:p>
    <w:p>
      <w:pPr>
        <w:pStyle w:val="3"/>
        <w:spacing w:before="120" w:after="120" w:line="240" w:lineRule="auto"/>
        <w:rPr>
          <w:rFonts w:hint="eastAsia" w:ascii="宋体" w:hAnsi="宋体"/>
          <w:b/>
          <w:sz w:val="30"/>
          <w:szCs w:val="30"/>
          <w:highlight w:val="none"/>
        </w:rPr>
      </w:pPr>
      <w:bookmarkStart w:id="15" w:name="_Toc7167"/>
      <w:r>
        <w:rPr>
          <w:rFonts w:hint="eastAsia" w:ascii="宋体" w:hAnsi="宋体"/>
          <w:b/>
          <w:sz w:val="30"/>
          <w:szCs w:val="30"/>
          <w:highlight w:val="none"/>
        </w:rPr>
        <w:t>3.1 国内炼厂装置运行情况</w:t>
      </w:r>
      <w:bookmarkEnd w:id="15"/>
    </w:p>
    <w:p>
      <w:pPr>
        <w:rPr>
          <w:rFonts w:hint="eastAsia" w:ascii="宋体" w:hAnsi="宋体"/>
          <w:color w:val="auto"/>
          <w:sz w:val="28"/>
          <w:szCs w:val="28"/>
          <w:highlight w:val="none"/>
        </w:rPr>
      </w:pPr>
      <w:r>
        <w:rPr>
          <w:rFonts w:hint="eastAsia" w:ascii="宋体" w:hAnsi="宋体"/>
          <w:color w:val="auto"/>
          <w:sz w:val="28"/>
          <w:szCs w:val="28"/>
          <w:highlight w:val="none"/>
        </w:rPr>
        <w:t>（1）国内主营炼厂装置检修情况</w:t>
      </w:r>
    </w:p>
    <w:tbl>
      <w:tblPr>
        <w:tblStyle w:val="24"/>
        <w:tblW w:w="10306"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90"/>
        <w:gridCol w:w="894"/>
        <w:gridCol w:w="1093"/>
        <w:gridCol w:w="1229"/>
        <w:gridCol w:w="2414"/>
        <w:gridCol w:w="1730"/>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trPr>
        <w:tc>
          <w:tcPr>
            <w:tcW w:w="10306" w:type="dxa"/>
            <w:gridSpan w:val="7"/>
            <w:tcBorders>
              <w:top w:val="single" w:color="auto" w:sz="6" w:space="0"/>
              <w:left w:val="single" w:color="auto" w:sz="6" w:space="0"/>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b/>
                <w:i w:val="0"/>
                <w:color w:val="000000"/>
                <w:kern w:val="0"/>
                <w:sz w:val="24"/>
                <w:szCs w:val="24"/>
                <w:u w:val="none"/>
                <w:lang w:val="en-US" w:eastAsia="zh-CN" w:bidi="ar"/>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炼厂名称</w:t>
            </w:r>
          </w:p>
        </w:tc>
        <w:tc>
          <w:tcPr>
            <w:tcW w:w="894"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所在地</w:t>
            </w:r>
          </w:p>
        </w:tc>
        <w:tc>
          <w:tcPr>
            <w:tcW w:w="1093"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加工能力</w:t>
            </w:r>
          </w:p>
        </w:tc>
        <w:tc>
          <w:tcPr>
            <w:tcW w:w="1229"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检修装置</w:t>
            </w:r>
          </w:p>
        </w:tc>
        <w:tc>
          <w:tcPr>
            <w:tcW w:w="2414"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检修产能（单位：万吨）</w:t>
            </w:r>
          </w:p>
        </w:tc>
        <w:tc>
          <w:tcPr>
            <w:tcW w:w="1730"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起始时间</w:t>
            </w:r>
          </w:p>
        </w:tc>
        <w:tc>
          <w:tcPr>
            <w:tcW w:w="1656"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济南炼化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山东</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2021/2/19</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金陵石化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江苏</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2#常减压</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2021/3/20</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燕山石化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北京</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4#常减压</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2020/3/31</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长岭石化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湖南</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2021/2/20</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eastAsia="zh-CN"/>
              </w:rPr>
            </w:pPr>
            <w:r>
              <w:rPr>
                <w:rFonts w:hint="eastAsia" w:ascii="宋体" w:hAnsi="宋体" w:eastAsia="宋体" w:cs="宋体"/>
                <w:i w:val="0"/>
                <w:color w:val="000000"/>
                <w:kern w:val="0"/>
                <w:sz w:val="20"/>
                <w:szCs w:val="20"/>
                <w:u w:val="none"/>
                <w:lang w:val="en-US" w:eastAsia="zh-CN" w:bidi="ar"/>
              </w:rPr>
              <w:t>上海石化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eastAsia="zh-CN"/>
              </w:rPr>
            </w:pPr>
            <w:r>
              <w:rPr>
                <w:rFonts w:hint="eastAsia" w:ascii="宋体" w:hAnsi="宋体" w:eastAsia="宋体" w:cs="宋体"/>
                <w:i w:val="0"/>
                <w:color w:val="000000"/>
                <w:kern w:val="0"/>
                <w:sz w:val="20"/>
                <w:szCs w:val="20"/>
                <w:u w:val="none"/>
                <w:lang w:val="en-US" w:eastAsia="zh-CN" w:bidi="ar"/>
              </w:rPr>
              <w:t>上海</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val="en-US" w:eastAsia="zh-CN"/>
              </w:rPr>
            </w:pPr>
            <w:r>
              <w:rPr>
                <w:rFonts w:hint="eastAsia" w:ascii="宋体" w:hAnsi="宋体" w:eastAsia="宋体" w:cs="宋体"/>
                <w:i w:val="0"/>
                <w:color w:val="000000"/>
                <w:kern w:val="0"/>
                <w:sz w:val="20"/>
                <w:szCs w:val="20"/>
                <w:u w:val="none"/>
                <w:lang w:val="en-US" w:eastAsia="zh-CN" w:bidi="ar"/>
              </w:rPr>
              <w:t>1600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eastAsia="zh-CN"/>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val="en-US" w:eastAsia="zh-CN"/>
              </w:rPr>
            </w:pPr>
            <w:r>
              <w:rPr>
                <w:rFonts w:hint="eastAsia" w:ascii="宋体" w:hAnsi="宋体" w:eastAsia="宋体" w:cs="宋体"/>
                <w:i w:val="0"/>
                <w:color w:val="000000"/>
                <w:kern w:val="0"/>
                <w:sz w:val="20"/>
                <w:szCs w:val="20"/>
                <w:u w:val="none"/>
                <w:lang w:val="en-US" w:eastAsia="zh-CN" w:bidi="ar"/>
              </w:rPr>
              <w:t>1600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val="en-US" w:eastAsia="zh-CN"/>
              </w:rPr>
            </w:pPr>
            <w:r>
              <w:rPr>
                <w:rFonts w:hint="eastAsia" w:ascii="宋体" w:hAnsi="宋体" w:eastAsia="宋体" w:cs="宋体"/>
                <w:i w:val="0"/>
                <w:color w:val="000000"/>
                <w:kern w:val="0"/>
                <w:sz w:val="20"/>
                <w:szCs w:val="20"/>
                <w:u w:val="none"/>
                <w:lang w:val="en-US" w:eastAsia="zh-CN" w:bidi="ar"/>
              </w:rPr>
              <w:t>2021/4/14</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rPr>
            </w:pPr>
            <w:r>
              <w:rPr>
                <w:rFonts w:hint="eastAsia" w:ascii="宋体" w:hAnsi="宋体" w:eastAsia="宋体" w:cs="宋体"/>
                <w:i w:val="0"/>
                <w:color w:val="000000"/>
                <w:kern w:val="0"/>
                <w:sz w:val="20"/>
                <w:szCs w:val="20"/>
                <w:u w:val="none"/>
                <w:lang w:val="en-US" w:eastAsia="zh-CN" w:bidi="ar"/>
              </w:rPr>
              <w:t>2021/6/8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九江石化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江西</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2021/4/1</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沧州炼厂</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河北</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2021/5/10</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扬子石化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江苏</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2021年5月</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茂名石化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广东</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5#常减压</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2021/6/1</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石家庄炼厂</w:t>
            </w:r>
          </w:p>
        </w:tc>
        <w:tc>
          <w:tcPr>
            <w:tcW w:w="894"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河北</w:t>
            </w:r>
          </w:p>
        </w:tc>
        <w:tc>
          <w:tcPr>
            <w:tcW w:w="1093"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1000</w:t>
            </w:r>
          </w:p>
        </w:tc>
        <w:tc>
          <w:tcPr>
            <w:tcW w:w="1229"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2021/8/28</w:t>
            </w:r>
          </w:p>
        </w:tc>
        <w:tc>
          <w:tcPr>
            <w:tcW w:w="1656"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齐鲁石化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山东</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3#常减压</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2021/8/10</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胜利油田</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山东</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2021/8/1</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海南炼化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海南</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2021年11月</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0306" w:type="dxa"/>
            <w:gridSpan w:val="7"/>
            <w:tcBorders>
              <w:top w:val="nil"/>
              <w:left w:val="single" w:color="auto" w:sz="6" w:space="0"/>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4"/>
                <w:szCs w:val="24"/>
                <w:u w:val="none"/>
                <w:lang w:val="en-US" w:eastAsia="zh-CN" w:bidi="ar"/>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炼厂名称</w:t>
            </w:r>
          </w:p>
        </w:tc>
        <w:tc>
          <w:tcPr>
            <w:tcW w:w="894"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所在地</w:t>
            </w:r>
          </w:p>
        </w:tc>
        <w:tc>
          <w:tcPr>
            <w:tcW w:w="1093"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加工能力</w:t>
            </w:r>
          </w:p>
        </w:tc>
        <w:tc>
          <w:tcPr>
            <w:tcW w:w="1229"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检修装置</w:t>
            </w:r>
          </w:p>
        </w:tc>
        <w:tc>
          <w:tcPr>
            <w:tcW w:w="2414"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检修产能（单位：万吨）</w:t>
            </w:r>
          </w:p>
        </w:tc>
        <w:tc>
          <w:tcPr>
            <w:tcW w:w="1730"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起始时间</w:t>
            </w:r>
          </w:p>
        </w:tc>
        <w:tc>
          <w:tcPr>
            <w:tcW w:w="1656"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云南石化</w:t>
            </w:r>
          </w:p>
        </w:tc>
        <w:tc>
          <w:tcPr>
            <w:tcW w:w="894"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云南</w:t>
            </w:r>
          </w:p>
        </w:tc>
        <w:tc>
          <w:tcPr>
            <w:tcW w:w="1093"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1300</w:t>
            </w:r>
          </w:p>
        </w:tc>
        <w:tc>
          <w:tcPr>
            <w:tcW w:w="1229"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1300</w:t>
            </w:r>
          </w:p>
        </w:tc>
        <w:tc>
          <w:tcPr>
            <w:tcW w:w="173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2020/12/5</w:t>
            </w:r>
          </w:p>
        </w:tc>
        <w:tc>
          <w:tcPr>
            <w:tcW w:w="1656"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抚顺石化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辽宁</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2021年5月</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吉林石化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吉林</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2021年6月</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大港石化</w:t>
            </w:r>
          </w:p>
        </w:tc>
        <w:tc>
          <w:tcPr>
            <w:tcW w:w="89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天津</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2021/4/12</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2021/6/11</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600" w:type="dxa"/>
        <w:tblInd w:w="0" w:type="dxa"/>
        <w:shd w:val="clear" w:color="auto" w:fill="auto"/>
        <w:tblLayout w:type="autofit"/>
        <w:tblCellMar>
          <w:top w:w="0" w:type="dxa"/>
          <w:left w:w="0" w:type="dxa"/>
          <w:bottom w:w="0" w:type="dxa"/>
          <w:right w:w="0" w:type="dxa"/>
        </w:tblCellMar>
      </w:tblPr>
      <w:tblGrid>
        <w:gridCol w:w="1080"/>
        <w:gridCol w:w="1080"/>
        <w:gridCol w:w="1080"/>
        <w:gridCol w:w="1725"/>
        <w:gridCol w:w="1290"/>
        <w:gridCol w:w="1710"/>
        <w:gridCol w:w="1635"/>
      </w:tblGrid>
      <w:tr>
        <w:tblPrEx>
          <w:shd w:val="clear" w:color="auto" w:fill="auto"/>
          <w:tblCellMar>
            <w:top w:w="0" w:type="dxa"/>
            <w:left w:w="0" w:type="dxa"/>
            <w:bottom w:w="0" w:type="dxa"/>
            <w:right w:w="0" w:type="dxa"/>
          </w:tblCellMar>
        </w:tblPrEx>
        <w:trPr>
          <w:trHeight w:val="472" w:hRule="atLeast"/>
        </w:trPr>
        <w:tc>
          <w:tcPr>
            <w:tcW w:w="9600" w:type="dxa"/>
            <w:gridSpan w:val="7"/>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地方炼厂装置检修计划表(单位：万吨)</w:t>
            </w:r>
          </w:p>
        </w:tc>
      </w:tr>
      <w:tr>
        <w:tblPrEx>
          <w:tblCellMar>
            <w:top w:w="0" w:type="dxa"/>
            <w:left w:w="0" w:type="dxa"/>
            <w:bottom w:w="0" w:type="dxa"/>
            <w:right w:w="0"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区域</w:t>
            </w:r>
          </w:p>
        </w:tc>
        <w:tc>
          <w:tcPr>
            <w:tcW w:w="108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省市</w:t>
            </w:r>
          </w:p>
        </w:tc>
        <w:tc>
          <w:tcPr>
            <w:tcW w:w="108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炼厂名称</w:t>
            </w:r>
          </w:p>
        </w:tc>
        <w:tc>
          <w:tcPr>
            <w:tcW w:w="172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检修装置</w:t>
            </w:r>
          </w:p>
        </w:tc>
        <w:tc>
          <w:tcPr>
            <w:tcW w:w="129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产能</w:t>
            </w:r>
          </w:p>
        </w:tc>
        <w:tc>
          <w:tcPr>
            <w:tcW w:w="171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开工时间</w:t>
            </w:r>
          </w:p>
        </w:tc>
        <w:tc>
          <w:tcPr>
            <w:tcW w:w="163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停工时间</w:t>
            </w:r>
          </w:p>
        </w:tc>
      </w:tr>
      <w:tr>
        <w:tblPrEx>
          <w:tblCellMar>
            <w:top w:w="0" w:type="dxa"/>
            <w:left w:w="0" w:type="dxa"/>
            <w:bottom w:w="0" w:type="dxa"/>
            <w:right w:w="0" w:type="dxa"/>
          </w:tblCellMar>
        </w:tblPrEx>
        <w:trPr>
          <w:trHeight w:val="270"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催化</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2021年3月23日</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2020年1月23日</w:t>
            </w:r>
          </w:p>
        </w:tc>
      </w:tr>
      <w:tr>
        <w:tblPrEx>
          <w:tblCellMar>
            <w:top w:w="0" w:type="dxa"/>
            <w:left w:w="0" w:type="dxa"/>
            <w:bottom w:w="0" w:type="dxa"/>
            <w:right w:w="0" w:type="dxa"/>
          </w:tblCellMar>
        </w:tblPrEx>
        <w:trPr>
          <w:trHeight w:val="27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轮检</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2021年3月中下旬</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常减压</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2021年2月20日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正和石化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科力达石化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常减压</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2021年3月21日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2021年6月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2021年6月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中海外能源</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2021年9月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2021年9月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齐成石化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轮检</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2021年7月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2021年7月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利津炼化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博兴永鑫</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常减压</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海右石化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2021年1月</w:t>
            </w:r>
          </w:p>
        </w:tc>
      </w:tr>
      <w:tr>
        <w:tblPrEx>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延迟焦化、加氢</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推迟</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推迟</w:t>
            </w: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滨阳燃化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柴油加氢</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2020年7月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博兴永鑫</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延迟焦化</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2021年2月22日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小重整</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2019年4月27日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焦化</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2021年3月中旬</w:t>
            </w:r>
          </w:p>
        </w:tc>
      </w:tr>
      <w:tr>
        <w:tblPrEx>
          <w:tblCellMar>
            <w:top w:w="0" w:type="dxa"/>
            <w:left w:w="0" w:type="dxa"/>
            <w:bottom w:w="0" w:type="dxa"/>
            <w:right w:w="0"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龙海石化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全场检修</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2021年3月底</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2021年2月2日</w:t>
            </w:r>
          </w:p>
        </w:tc>
      </w:tr>
      <w:tr>
        <w:tblPrEx>
          <w:tblCellMar>
            <w:top w:w="0" w:type="dxa"/>
            <w:left w:w="0" w:type="dxa"/>
            <w:bottom w:w="0" w:type="dxa"/>
            <w:right w:w="0" w:type="dxa"/>
          </w:tblCellMar>
        </w:tblPrEx>
        <w:trPr>
          <w:trHeight w:val="27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辽宁缘泰</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常减压装置</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2021年2月2日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辽宁华锦</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全厂检修</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2021年7月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2021年6月</w:t>
            </w:r>
          </w:p>
        </w:tc>
      </w:tr>
      <w:tr>
        <w:tblPrEx>
          <w:tblCellMar>
            <w:top w:w="0" w:type="dxa"/>
            <w:left w:w="0" w:type="dxa"/>
            <w:bottom w:w="0" w:type="dxa"/>
            <w:right w:w="0"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新海石化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全厂检修</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2021/5/10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2021/3/25</w:t>
            </w:r>
          </w:p>
        </w:tc>
      </w:tr>
    </w:tbl>
    <w:p>
      <w:pPr>
        <w:rPr>
          <w:rFonts w:hint="eastAsia"/>
        </w:rPr>
      </w:pPr>
    </w:p>
    <w:p>
      <w:pPr>
        <w:pStyle w:val="3"/>
        <w:spacing w:before="120" w:after="120" w:line="240" w:lineRule="auto"/>
        <w:rPr>
          <w:rFonts w:hint="eastAsia" w:ascii="宋体" w:hAnsi="宋体"/>
          <w:b/>
          <w:sz w:val="30"/>
          <w:szCs w:val="30"/>
          <w:highlight w:val="none"/>
        </w:rPr>
      </w:pPr>
      <w:bookmarkStart w:id="16" w:name="_Toc13096"/>
      <w:r>
        <w:rPr>
          <w:rFonts w:hint="eastAsia" w:ascii="宋体" w:hAnsi="宋体"/>
          <w:b/>
          <w:sz w:val="30"/>
          <w:szCs w:val="30"/>
          <w:highlight w:val="none"/>
        </w:rPr>
        <w:t>3.2本周成品油市场行情</w:t>
      </w:r>
      <w:bookmarkEnd w:id="16"/>
    </w:p>
    <w:p>
      <w:pPr>
        <w:pStyle w:val="23"/>
        <w:keepNext w:val="0"/>
        <w:keepLines w:val="0"/>
        <w:widowControl/>
        <w:suppressLineNumbers w:val="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　本周(4月23日-4月29日)，国际原油期货先抑后扬，据测算第一个工作日变化率1.44%，参考油种均价66.56美元，对应的汽柴油价应上调55元/吨。受消息面影响，国内成品油市场行情跌后略有反弹，市场交投氛围平平。与此同时，山东地炼成品油行情稳中有涨，部分装置停车检修，终端需求尚可，区内炼厂小幅推涨汽柴油价格，相比之下，柴油需求表现平淡，价格波动甚微。业者消库之余按需购进，市场交投气氛一般。</w:t>
      </w:r>
    </w:p>
    <w:p>
      <w:pPr>
        <w:pStyle w:val="23"/>
        <w:keepNext w:val="0"/>
        <w:keepLines w:val="0"/>
        <w:widowControl/>
        <w:suppressLineNumbers w:val="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(4月23日-4月29日)主营侧重出货赶量，华中地区内油市弱势盘整，具体来看，本周国际原油震荡走高，零售价如期兑现上调，消息面温和向好。不过前期因带票资源紧张，区内价格多已涨至高位，且本周为月度最后一个销售周期，主营销售压力普遍较大。为完成月度销量，各地区时有促销活动，整体行情走势趋弱。五一临近，下游陆续择低备货建仓，局部地区交投气氛适度好转。近日原油连涨令消息面利好加深，各单位根据自身销售进度涨跌调整，整体购销气氛回归清淡。后期来看，下周国际原油或表现为先扬后抑走势运行，因适逢五一假期，零售价调整方向变数较大，消息面或难寻有效指引。后期地炼检修进一步增加，市场基本面对后市仍有一定支撑。预计区内主营汽柴油价格或维持高位运行。</w:t>
      </w:r>
    </w:p>
    <w:p>
      <w:pPr>
        <w:pStyle w:val="23"/>
        <w:keepNext w:val="0"/>
        <w:keepLines w:val="0"/>
        <w:widowControl/>
        <w:suppressLineNumbers w:val="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(4月23日-4月29日)，缺乏有效利好支撑，华东地区成品油行情高位松动。具体来看，本周国际原油期价震荡上行，零售价如期兑现上调，但涨幅有限，消息面对市场支撑力度有限。与此同时，初期地方炼厂成品油价格有所回落，社会资源行情松动，主营外采成本随之下降，加之前期主营价格已经处于高位，导致市场购进乏力，正处月末部分单位仍有欠量，为促进成交，适度回调油价。部分业者为五一假期进行备货，部分区域内交投气氛略有好转。节后归来，国际油价或保持震荡，消息面指引有限，加之进入新的销售月份，暂无销售压力，故预计区内主营成品油销售政策或相对坚挺。</w:t>
      </w:r>
      <w:bookmarkStart w:id="32" w:name="_GoBack"/>
      <w:bookmarkEnd w:id="32"/>
    </w:p>
    <w:p>
      <w:pPr>
        <w:pStyle w:val="23"/>
        <w:keepNext w:val="0"/>
        <w:keepLines w:val="0"/>
        <w:widowControl/>
        <w:suppressLineNumbers w:val="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(4月23日-4月29日)，华南地区汽柴油市场整体走势较为平稳，交投气氛清淡。具体来看，周内国际原油市场呈现跌后上涨走势，成品油上调窗口正式开启，受此利好因素支撑，主营单位稳价心态明显，但由于下游接货量有限，五一节前备货积极性不高，整体成交清淡，主营市场多适当的降价出货。新一轮成品油调价窗口呈现小幅上调预期，且5月份国际原油市场多维持稳中上涨走势，整体需求面表现较为乐观，预计短期内市场将延续震荡上涨走势。</w:t>
      </w:r>
    </w:p>
    <w:p>
      <w:pPr>
        <w:pStyle w:val="23"/>
        <w:keepNext w:val="0"/>
        <w:keepLines w:val="0"/>
        <w:widowControl/>
        <w:suppressLineNumbers w:val="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本周(4月23日-4月29日)，上调预期支撑减弱 区内行情明稳暗跌。分析来看，本周国际油价走势震荡上行，但国内调价变化率小幅收窄，消息面支撑减弱。周初受上调预期支撑，主营单位挺价心态较重，下游入市心态不高，购销气氛清淡。周内原油走势先跌后涨，但变化率正值小幅收窄，部分单位在月底走量压力较重，实际成交宽幅优惠，下游在节前逢低补仓，成交气氛小幅好转。临近周末，原油走势上涨且上调预期落实且新一轮调价变化率正向开端，区内油价走势小幅上涨30-50元/吨，但下游补货到位，成交气氛转淡。后市而言，虽然OPEC乐观看待需求前景，但印度疫情引发的需求疑虑仍会压制原油走势，下周国际油价走势或先扬后抑，整体表现依旧震荡。因国内调价新一轮调价预期仍显示小涨，短期内对国内行情支撑受限，因下周进入五一假期，预计主营单位价格走势变动不大，实际成交继续维持优惠为主。</w:t>
      </w:r>
    </w:p>
    <w:p>
      <w:pPr>
        <w:pStyle w:val="23"/>
        <w:keepNext w:val="0"/>
        <w:keepLines w:val="0"/>
        <w:widowControl/>
        <w:suppressLineNumbers w:val="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(4月23日-4月29日)，西北地炼汽柴行情小幅回落，市场成交气氛平平。分析来看：国际油价高位震荡，本周三成品油零售价上调兑现，但涨幅有限，消息面对市场支撑力度仍有限。另外，“五一”小长假临近，私家车出行增多，汽油需求将有提升空间;柴油方面，工程基建等行业开工率维持高位，柴油需求仍有支撑。不过，业者前期多已备货到位，周内消库存为主，大单采购有限，市场成交气氛平平。销售公司出货转淡，汽柴价格小幅回落。就后市而言，国际油价或保持区间震荡趋势，变化率窄幅波动，消息面对市场指引有限。此外，假期内市场处于消库存阶段，购销氛围清淡。预计短线西北地炼汽柴行情淡稳运行为主。</w:t>
      </w:r>
    </w:p>
    <w:p>
      <w:pPr>
        <w:pStyle w:val="23"/>
        <w:keepNext w:val="0"/>
        <w:keepLines w:val="0"/>
        <w:widowControl/>
        <w:suppressLineNumbers w:val="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(4月23日-4月29日)，西南地区汽柴行情高位整理，市场成交难见活跃。分析来看：周内国际油价震荡走高，本周三成品油零售价兑现上调，消息面存一定利好指引。主营单位价格仍维持高位，不过，月底追量任务压力加重，优惠政策趋于灵活，成交重心多有下移。“五一”小长假临近，且国内疫情得到有效控制，居民计划出行增多，汽油需求将有明显提升;而工程基建等行业正常开工，柴油需求亦有支撑。部分业者趁低价促销适量补货，但大单补货谨慎，市场成交提升有限。就后市而言，国际油价或继续维持区间震荡，变化率正向区间窄幅波动，但对市场支撑力度有限。即将进入“五一”小长假，市场处于消库存阶段，购销气氛清淡。预计短线西南地区汽柴行情窄幅整理。</w:t>
      </w:r>
    </w:p>
    <w:p>
      <w:pPr>
        <w:pStyle w:val="23"/>
        <w:keepNext w:val="0"/>
        <w:keepLines w:val="0"/>
        <w:widowControl/>
        <w:suppressLineNumbers w:val="0"/>
      </w:pPr>
      <w:r>
        <w:rPr>
          <w:rFonts w:hint="eastAsia" w:ascii="宋体" w:hAnsi="宋体" w:eastAsia="宋体" w:cs="宋体"/>
          <w:color w:val="auto"/>
          <w:kern w:val="2"/>
          <w:sz w:val="28"/>
          <w:szCs w:val="28"/>
          <w:shd w:val="clear" w:color="auto" w:fill="FFFFFF"/>
        </w:rPr>
        <w:t>后市前瞻：下周来看，国际油价或先扬后抑，整体表现依旧震荡。以WTI为例，预计下周的主流运行区间在60-65(均值62.5)美元/桶之间，环比上涨0.04美元/桶或0.06%。消息方面影响有限，五一期间山东地炼汽柴油价格跟随原油价格波动为主，节后归来山东地炼汽柴油价格不乏走高可能。</w:t>
      </w:r>
    </w:p>
    <w:p>
      <w:pPr>
        <w:pStyle w:val="3"/>
        <w:spacing w:before="120" w:after="120" w:line="240" w:lineRule="auto"/>
        <w:rPr>
          <w:rFonts w:ascii="宋体" w:hAnsi="宋体"/>
          <w:b/>
          <w:sz w:val="30"/>
          <w:szCs w:val="30"/>
        </w:rPr>
      </w:pPr>
      <w:bookmarkStart w:id="17" w:name="_Toc24031"/>
      <w:r>
        <w:rPr>
          <w:rFonts w:hint="eastAsia" w:ascii="宋体" w:hAnsi="宋体"/>
          <w:b/>
          <w:sz w:val="30"/>
          <w:szCs w:val="30"/>
        </w:rPr>
        <w:t>3.3 国内汽油价格周报</w:t>
      </w:r>
      <w:bookmarkEnd w:id="17"/>
    </w:p>
    <w:p>
      <w:pPr>
        <w:rPr>
          <w:rFonts w:hint="eastAsia"/>
        </w:rPr>
      </w:pPr>
      <w:r>
        <w:rPr>
          <w:rFonts w:hint="eastAsia"/>
        </w:rPr>
        <w:t>单位：元/吨</w:t>
      </w:r>
    </w:p>
    <w:p>
      <w:pPr>
        <w:rPr>
          <w:rFonts w:hint="eastAsia"/>
        </w:rPr>
      </w:pPr>
    </w:p>
    <w:p>
      <w:pPr>
        <w:rPr>
          <w:rFonts w:hint="eastAsia"/>
        </w:rPr>
      </w:pPr>
    </w:p>
    <w:tbl>
      <w:tblPr>
        <w:tblStyle w:val="24"/>
        <w:tblW w:w="8914" w:type="dxa"/>
        <w:jc w:val="center"/>
        <w:shd w:val="clear" w:color="auto" w:fill="auto"/>
        <w:tblLayout w:type="fixed"/>
        <w:tblCellMar>
          <w:top w:w="0" w:type="dxa"/>
          <w:left w:w="0" w:type="dxa"/>
          <w:bottom w:w="0" w:type="dxa"/>
          <w:right w:w="0" w:type="dxa"/>
        </w:tblCellMar>
      </w:tblPr>
      <w:tblGrid>
        <w:gridCol w:w="673"/>
        <w:gridCol w:w="1023"/>
        <w:gridCol w:w="1159"/>
        <w:gridCol w:w="995"/>
        <w:gridCol w:w="1023"/>
        <w:gridCol w:w="1023"/>
        <w:gridCol w:w="763"/>
        <w:gridCol w:w="1040"/>
        <w:gridCol w:w="1215"/>
      </w:tblGrid>
      <w:tr>
        <w:tblPrEx>
          <w:shd w:val="clear" w:color="auto" w:fill="auto"/>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地区</w:t>
            </w:r>
          </w:p>
        </w:tc>
        <w:tc>
          <w:tcPr>
            <w:tcW w:w="102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城市</w:t>
            </w:r>
          </w:p>
        </w:tc>
        <w:tc>
          <w:tcPr>
            <w:tcW w:w="1159"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企业性质</w:t>
            </w:r>
          </w:p>
        </w:tc>
        <w:tc>
          <w:tcPr>
            <w:tcW w:w="9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产品名称</w:t>
            </w:r>
          </w:p>
        </w:tc>
        <w:tc>
          <w:tcPr>
            <w:tcW w:w="102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型号</w:t>
            </w:r>
          </w:p>
        </w:tc>
        <w:tc>
          <w:tcPr>
            <w:tcW w:w="102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价格类型</w:t>
            </w:r>
          </w:p>
        </w:tc>
        <w:tc>
          <w:tcPr>
            <w:tcW w:w="76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涨跌</w:t>
            </w:r>
          </w:p>
        </w:tc>
        <w:tc>
          <w:tcPr>
            <w:tcW w:w="10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宋体" w:hAnsi="宋体" w:eastAsia="宋体" w:cs="宋体"/>
                <w:b/>
                <w:i w:val="0"/>
                <w:color w:val="000000"/>
                <w:kern w:val="0"/>
                <w:sz w:val="21"/>
                <w:szCs w:val="21"/>
                <w:u w:val="none"/>
                <w:lang w:val="en-US" w:eastAsia="zh-CN" w:bidi="ar"/>
              </w:rPr>
              <w:t>2021/4/29</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宋体" w:hAnsi="宋体" w:eastAsia="宋体" w:cs="宋体"/>
                <w:b/>
                <w:i w:val="0"/>
                <w:color w:val="000000"/>
                <w:kern w:val="0"/>
                <w:sz w:val="21"/>
                <w:szCs w:val="21"/>
                <w:u w:val="none"/>
                <w:lang w:val="en-US" w:eastAsia="zh-CN" w:bidi="ar"/>
              </w:rPr>
              <w:t>2021/4/22</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江阴市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江阴市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江阴市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江阴市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连云港市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南京市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南京市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南京市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南京市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南通市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南通市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无锡市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无锡市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徐州市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徐州市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日照市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7620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日照市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7880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日照市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8046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日照市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8296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烟台市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7620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烟台市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7890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烟台市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8046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烟台市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8306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8260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合肥市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合肥市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九江市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南昌市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南昌市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南昌市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南昌市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福州市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福州市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福州市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福州市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厦门市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厦门市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北京市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92#</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北京市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92#</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北京市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95#</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北京市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95#</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天津市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天津市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天津市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天津市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石家庄市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8080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石家庄市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8020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唐山市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8270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唐山市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8320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唐山市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太原市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7660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太原市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8170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太原市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7765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太原市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8240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8630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广州市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广州市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广州市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广州市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广州市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惠州市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惠州市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92#</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惠州市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95#</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惠州市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惠州市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惠州市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92#</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茂名市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茂名市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8630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茂名市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茂名市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8380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92#</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8380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南宁市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南宁市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海口市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海口市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郑州市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7680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武汉市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武汉市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7880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长沙市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长沙市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长沙市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长沙市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成都市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成都市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重庆市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重庆市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贵阳市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贵阳市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昆明市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昆明市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西安市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7680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7880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吉林市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吉林中油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92#</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吉林市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吉林中油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95#</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8378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8378</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上海市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沪Ⅳ93#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上海市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沪Ⅳ97#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上海市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沪Ⅳ93#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上海市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沪Ⅳ97#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杭州市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杭州市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杭州市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杭州市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宁波市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宁波市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温州市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温州市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温州市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盐城市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盐城市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任丘市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95#</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92#</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粤四97#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8630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95#</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8630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衢州市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潮州市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8380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潮州市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8630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开封市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7620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青岛市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7525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7425</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枣庄市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德州市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7620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18" w:name="_Toc16466"/>
      <w:r>
        <w:rPr>
          <w:rFonts w:hint="eastAsia" w:ascii="宋体" w:hAnsi="宋体"/>
          <w:b/>
          <w:sz w:val="30"/>
          <w:szCs w:val="30"/>
          <w:lang w:val="en-US" w:eastAsia="zh-CN"/>
        </w:rPr>
        <w:t>3.4国内柴油价格周报</w:t>
      </w:r>
      <w:bookmarkEnd w:id="18"/>
    </w:p>
    <w:p>
      <w:pPr>
        <w:rPr>
          <w:rFonts w:hint="eastAsia"/>
          <w:lang w:val="en-US" w:eastAsia="zh-CN"/>
        </w:rPr>
      </w:pPr>
      <w:r>
        <w:rPr>
          <w:rFonts w:hint="eastAsia"/>
          <w:lang w:val="en-US" w:eastAsia="zh-CN"/>
        </w:rPr>
        <w:t>单位：元/吨</w:t>
      </w:r>
    </w:p>
    <w:tbl>
      <w:tblPr>
        <w:tblStyle w:val="24"/>
        <w:tblpPr w:leftFromText="180" w:rightFromText="180" w:vertAnchor="text" w:horzAnchor="page" w:tblpXSpec="center" w:tblpY="294"/>
        <w:tblOverlap w:val="never"/>
        <w:tblW w:w="8819" w:type="dxa"/>
        <w:jc w:val="center"/>
        <w:shd w:val="clear" w:color="auto" w:fill="auto"/>
        <w:tblLayout w:type="fixed"/>
        <w:tblCellMar>
          <w:top w:w="0" w:type="dxa"/>
          <w:left w:w="0" w:type="dxa"/>
          <w:bottom w:w="0" w:type="dxa"/>
          <w:right w:w="0" w:type="dxa"/>
        </w:tblCellMar>
      </w:tblPr>
      <w:tblGrid>
        <w:gridCol w:w="898"/>
        <w:gridCol w:w="1055"/>
        <w:gridCol w:w="845"/>
        <w:gridCol w:w="936"/>
        <w:gridCol w:w="840"/>
        <w:gridCol w:w="1050"/>
        <w:gridCol w:w="810"/>
        <w:gridCol w:w="1185"/>
        <w:gridCol w:w="1200"/>
      </w:tblGrid>
      <w:tr>
        <w:tblPrEx>
          <w:shd w:val="clear" w:color="auto" w:fill="auto"/>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地区</w:t>
            </w:r>
          </w:p>
        </w:tc>
        <w:tc>
          <w:tcPr>
            <w:tcW w:w="10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城市</w:t>
            </w:r>
          </w:p>
        </w:tc>
        <w:tc>
          <w:tcPr>
            <w:tcW w:w="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企业性质</w:t>
            </w:r>
          </w:p>
        </w:tc>
        <w:tc>
          <w:tcPr>
            <w:tcW w:w="93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产品名称</w:t>
            </w:r>
          </w:p>
        </w:tc>
        <w:tc>
          <w:tcPr>
            <w:tcW w:w="8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型号</w:t>
            </w:r>
          </w:p>
        </w:tc>
        <w:tc>
          <w:tcPr>
            <w:tcW w:w="10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价格类型</w:t>
            </w:r>
          </w:p>
        </w:tc>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宋体" w:hAnsi="宋体" w:eastAsia="宋体" w:cs="宋体"/>
                <w:b/>
                <w:i w:val="0"/>
                <w:color w:val="000000"/>
                <w:kern w:val="0"/>
                <w:sz w:val="20"/>
                <w:szCs w:val="20"/>
                <w:u w:val="none"/>
                <w:lang w:val="en-US" w:eastAsia="zh-CN" w:bidi="ar"/>
              </w:rPr>
              <w:t>涨跌</w:t>
            </w:r>
          </w:p>
        </w:tc>
        <w:tc>
          <w:tcPr>
            <w:tcW w:w="11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宋体" w:hAnsi="宋体" w:eastAsia="宋体" w:cs="宋体"/>
                <w:b/>
                <w:i w:val="0"/>
                <w:color w:val="000000"/>
                <w:kern w:val="0"/>
                <w:sz w:val="21"/>
                <w:szCs w:val="21"/>
                <w:u w:val="none"/>
                <w:lang w:val="en-US" w:eastAsia="zh-CN" w:bidi="ar"/>
              </w:rPr>
              <w:t>2021/4/29</w:t>
            </w:r>
          </w:p>
        </w:tc>
        <w:tc>
          <w:tcPr>
            <w:tcW w:w="12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宋体" w:hAnsi="宋体" w:eastAsia="宋体" w:cs="宋体"/>
                <w:b/>
                <w:i w:val="0"/>
                <w:color w:val="000000"/>
                <w:kern w:val="0"/>
                <w:sz w:val="21"/>
                <w:szCs w:val="21"/>
                <w:u w:val="none"/>
                <w:lang w:val="en-US" w:eastAsia="zh-CN" w:bidi="ar"/>
              </w:rPr>
              <w:t>2021/4/22</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上海市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沪Ⅳ0#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上海市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沪Ⅳ0#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上海市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上海市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杭州市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杭州市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宁波市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宁波市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温州市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温州市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江阴市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江阴市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连云港市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南京市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6170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南京市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南通市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南通市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无锡市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无锡市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徐州市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日照市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6170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日照市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95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6605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6510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烟台市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6020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烟台市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95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6605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6510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合肥市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合肥市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九江市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南昌市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南昌市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福州市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福州市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厦门市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厦门市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天津市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天津市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北京市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天津市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石家庄市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6230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石家庄市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6520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唐山市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6320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唐山市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太原市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太原市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6160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广州市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广州市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广州市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惠州市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惠州市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茂名市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茂名市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南宁市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南宁市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海口市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商丘市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6270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商丘市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6230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郑州市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郑州市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6230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武汉市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武汉市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长沙市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华中</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长沙市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成都市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成都市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重庆市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重庆市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贵阳市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贵阳市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昆明市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昆明市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西安市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6180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吉林市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吉林中油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青岛市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6610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青岛市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6610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青岛市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德州市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6070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德州市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6610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开封市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190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6120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开封市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6230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盐城市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6120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盐城市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衢州市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华东</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舟山市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6880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深圳市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6880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潮州市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6880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北京市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中石化</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北京市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华北</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任丘市</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中石油</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0"/>
                <w:szCs w:val="20"/>
                <w:u w:val="none"/>
                <w:lang w:val="en-US" w:eastAsia="zh-CN" w:bidi="ar"/>
              </w:rPr>
              <w:t>6600</w:t>
            </w:r>
          </w:p>
        </w:tc>
      </w:tr>
    </w:tbl>
    <w:p>
      <w:pPr>
        <w:rPr>
          <w:rFonts w:hint="eastAsia" w:eastAsia="宋体"/>
          <w:lang w:val="en-US" w:eastAsia="zh-CN"/>
        </w:rPr>
      </w:pPr>
    </w:p>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9" w:name="_Toc6052"/>
      <w:r>
        <w:rPr>
          <w:rFonts w:hint="eastAsia" w:ascii="宋体" w:hAnsi="宋体"/>
          <w:b/>
          <w:sz w:val="30"/>
          <w:szCs w:val="30"/>
          <w:lang w:val="en-US" w:eastAsia="zh-CN"/>
        </w:rPr>
        <w:t>3.5 山东地炼汽油出厂价格周报</w:t>
      </w:r>
      <w:bookmarkEnd w:id="19"/>
    </w:p>
    <w:p>
      <w:pPr>
        <w:rPr>
          <w:rFonts w:hint="eastAsia"/>
          <w:lang w:val="en-US" w:eastAsia="zh-CN"/>
        </w:rPr>
      </w:pPr>
      <w:r>
        <w:rPr>
          <w:rFonts w:hint="eastAsia"/>
          <w:lang w:val="en-US" w:eastAsia="zh-CN"/>
        </w:rPr>
        <w:t>单位：元/吨</w:t>
      </w:r>
    </w:p>
    <w:tbl>
      <w:tblPr>
        <w:tblStyle w:val="24"/>
        <w:tblpPr w:leftFromText="180" w:rightFromText="180" w:vertAnchor="text" w:horzAnchor="page" w:tblpXSpec="center" w:tblpY="303"/>
        <w:tblOverlap w:val="never"/>
        <w:tblW w:w="8798" w:type="dxa"/>
        <w:jc w:val="center"/>
        <w:shd w:val="clear" w:color="auto" w:fill="auto"/>
        <w:tblLayout w:type="autofit"/>
        <w:tblCellMar>
          <w:top w:w="0" w:type="dxa"/>
          <w:left w:w="0" w:type="dxa"/>
          <w:bottom w:w="0" w:type="dxa"/>
          <w:right w:w="0" w:type="dxa"/>
        </w:tblCellMar>
      </w:tblPr>
      <w:tblGrid>
        <w:gridCol w:w="878"/>
        <w:gridCol w:w="1575"/>
        <w:gridCol w:w="960"/>
        <w:gridCol w:w="1005"/>
        <w:gridCol w:w="1035"/>
        <w:gridCol w:w="735"/>
        <w:gridCol w:w="1305"/>
        <w:gridCol w:w="1305"/>
      </w:tblGrid>
      <w:tr>
        <w:tblPrEx>
          <w:shd w:val="clear" w:color="auto" w:fill="auto"/>
          <w:tblCellMar>
            <w:top w:w="0" w:type="dxa"/>
            <w:left w:w="0" w:type="dxa"/>
            <w:bottom w:w="0" w:type="dxa"/>
            <w:right w:w="0" w:type="dxa"/>
          </w:tblCellMar>
        </w:tblPrEx>
        <w:trPr>
          <w:trHeight w:val="40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省份</w:t>
            </w:r>
          </w:p>
        </w:tc>
        <w:tc>
          <w:tcPr>
            <w:tcW w:w="15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生产厂家</w:t>
            </w:r>
          </w:p>
        </w:tc>
        <w:tc>
          <w:tcPr>
            <w:tcW w:w="9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10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产品名称</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价格类型</w:t>
            </w:r>
          </w:p>
        </w:tc>
        <w:tc>
          <w:tcPr>
            <w:tcW w:w="7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涨跌</w:t>
            </w:r>
          </w:p>
        </w:tc>
        <w:tc>
          <w:tcPr>
            <w:tcW w:w="13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2021/4/29</w:t>
            </w:r>
          </w:p>
        </w:tc>
        <w:tc>
          <w:tcPr>
            <w:tcW w:w="13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2021/4/22</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7335</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7435</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7530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7340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7503</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7613</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7848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7774</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7383</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7383</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7663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7533</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7455</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7455</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7605</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87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20" w:name="_Toc25179"/>
      <w:r>
        <w:rPr>
          <w:rFonts w:hint="eastAsia" w:ascii="宋体" w:hAnsi="宋体"/>
          <w:b/>
          <w:sz w:val="30"/>
          <w:szCs w:val="30"/>
          <w:lang w:val="en-US" w:eastAsia="zh-CN"/>
        </w:rPr>
        <w:t>3.6 山东地炼柴油出厂价格周报</w:t>
      </w:r>
      <w:bookmarkEnd w:id="20"/>
    </w:p>
    <w:p>
      <w:pPr>
        <w:rPr>
          <w:rFonts w:hint="eastAsia" w:ascii="宋体" w:hAnsi="宋体"/>
          <w:b/>
          <w:sz w:val="10"/>
          <w:szCs w:val="10"/>
          <w:lang w:val="en-US" w:eastAsia="zh-CN"/>
        </w:rPr>
      </w:pPr>
      <w:r>
        <w:rPr>
          <w:rFonts w:hint="eastAsia"/>
          <w:bCs/>
          <w:szCs w:val="21"/>
          <w:lang w:val="en-US" w:eastAsia="zh-CN"/>
        </w:rPr>
        <w:t>单位：元/吨</w:t>
      </w:r>
    </w:p>
    <w:p>
      <w:pPr>
        <w:rPr>
          <w:rFonts w:hint="eastAsia"/>
          <w:b/>
          <w:bCs/>
          <w:lang w:val="en-US" w:eastAsia="zh-CN"/>
        </w:rPr>
      </w:pPr>
    </w:p>
    <w:tbl>
      <w:tblPr>
        <w:tblStyle w:val="24"/>
        <w:tblW w:w="8890" w:type="dxa"/>
        <w:jc w:val="center"/>
        <w:shd w:val="clear" w:color="auto" w:fill="auto"/>
        <w:tblLayout w:type="autofit"/>
        <w:tblCellMar>
          <w:top w:w="0" w:type="dxa"/>
          <w:left w:w="0" w:type="dxa"/>
          <w:bottom w:w="0" w:type="dxa"/>
          <w:right w:w="0" w:type="dxa"/>
        </w:tblCellMar>
      </w:tblPr>
      <w:tblGrid>
        <w:gridCol w:w="913"/>
        <w:gridCol w:w="1727"/>
        <w:gridCol w:w="1080"/>
        <w:gridCol w:w="1080"/>
        <w:gridCol w:w="1063"/>
        <w:gridCol w:w="723"/>
        <w:gridCol w:w="1118"/>
        <w:gridCol w:w="1186"/>
      </w:tblGrid>
      <w:tr>
        <w:tblPrEx>
          <w:shd w:val="clear" w:color="auto" w:fill="auto"/>
          <w:tblCellMar>
            <w:top w:w="0" w:type="dxa"/>
            <w:left w:w="0" w:type="dxa"/>
            <w:bottom w:w="0" w:type="dxa"/>
            <w:right w:w="0" w:type="dxa"/>
          </w:tblCellMar>
        </w:tblPrEx>
        <w:trPr>
          <w:trHeight w:val="34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bookmarkStart w:id="21" w:name="_Toc27167"/>
            <w:bookmarkStart w:id="22" w:name="_Toc711"/>
            <w:bookmarkStart w:id="23" w:name="_Toc23056"/>
            <w:bookmarkStart w:id="24" w:name="_Toc533771879"/>
            <w:r>
              <w:rPr>
                <w:rFonts w:hint="eastAsia" w:asciiTheme="minorEastAsia" w:hAnsiTheme="minorEastAsia" w:eastAsiaTheme="minorEastAsia" w:cstheme="minorEastAsia"/>
                <w:b/>
                <w:i w:val="0"/>
                <w:color w:val="000000"/>
                <w:kern w:val="0"/>
                <w:sz w:val="18"/>
                <w:szCs w:val="18"/>
                <w:u w:val="none"/>
                <w:lang w:val="en-US" w:eastAsia="zh-CN" w:bidi="ar"/>
              </w:rPr>
              <w:t>省份</w:t>
            </w:r>
          </w:p>
        </w:tc>
        <w:tc>
          <w:tcPr>
            <w:tcW w:w="172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产品名称</w:t>
            </w:r>
          </w:p>
        </w:tc>
        <w:tc>
          <w:tcPr>
            <w:tcW w:w="106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价格类型</w:t>
            </w:r>
          </w:p>
        </w:tc>
        <w:tc>
          <w:tcPr>
            <w:tcW w:w="72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涨跌</w:t>
            </w:r>
          </w:p>
        </w:tc>
        <w:tc>
          <w:tcPr>
            <w:tcW w:w="111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2021/4/29</w:t>
            </w:r>
          </w:p>
        </w:tc>
        <w:tc>
          <w:tcPr>
            <w:tcW w:w="118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2021/4/22</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5660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5655</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5780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5710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5740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5990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5990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5820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5840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5804</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5890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5860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5893</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5813</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5830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5880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5865</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5885</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5860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5910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5780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山东</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浙江</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浙江</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jc w:val="center"/>
        </w:trPr>
        <w:tc>
          <w:tcPr>
            <w:tcW w:w="91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陕西</w:t>
            </w:r>
          </w:p>
        </w:tc>
        <w:tc>
          <w:tcPr>
            <w:tcW w:w="172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柴油</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出厂价</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四、2021年1-2月份进出口统计数据</w:t>
      </w:r>
      <w:bookmarkEnd w:id="21"/>
      <w:bookmarkEnd w:id="22"/>
    </w:p>
    <w:p>
      <w:pPr>
        <w:pStyle w:val="3"/>
        <w:spacing w:before="120" w:after="120" w:line="240" w:lineRule="auto"/>
        <w:rPr>
          <w:rFonts w:hint="eastAsia" w:ascii="宋体" w:hAnsi="宋体"/>
          <w:b/>
          <w:sz w:val="30"/>
          <w:szCs w:val="30"/>
        </w:rPr>
      </w:pPr>
      <w:bookmarkStart w:id="25" w:name="_Toc19791"/>
      <w:bookmarkStart w:id="26" w:name="_Toc31314"/>
      <w:r>
        <w:rPr>
          <w:rFonts w:hint="eastAsia" w:ascii="宋体" w:hAnsi="宋体"/>
          <w:b/>
          <w:sz w:val="30"/>
          <w:szCs w:val="30"/>
        </w:rPr>
        <w:t>4.1 20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份全国车用汽油</w:t>
      </w:r>
      <w:r>
        <w:rPr>
          <w:rFonts w:hint="eastAsia" w:ascii="宋体" w:hAnsi="宋体"/>
          <w:b/>
          <w:sz w:val="30"/>
          <w:szCs w:val="30"/>
          <w:lang w:eastAsia="zh-CN"/>
        </w:rPr>
        <w:t>进</w:t>
      </w:r>
      <w:r>
        <w:rPr>
          <w:rFonts w:hint="eastAsia" w:ascii="宋体" w:hAnsi="宋体"/>
          <w:b/>
          <w:sz w:val="30"/>
          <w:szCs w:val="30"/>
        </w:rPr>
        <w:t>出口统计数据</w:t>
      </w:r>
      <w:bookmarkEnd w:id="25"/>
      <w:bookmarkEnd w:id="26"/>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rPr>
          <w:rFonts w:hint="eastAsia"/>
        </w:rPr>
      </w:pPr>
    </w:p>
    <w:tbl>
      <w:tblPr>
        <w:tblStyle w:val="24"/>
        <w:tblW w:w="9131" w:type="dxa"/>
        <w:jc w:val="center"/>
        <w:shd w:val="clear" w:color="auto" w:fill="auto"/>
        <w:tblLayout w:type="autofit"/>
        <w:tblCellMar>
          <w:top w:w="0" w:type="dxa"/>
          <w:left w:w="0" w:type="dxa"/>
          <w:bottom w:w="0" w:type="dxa"/>
          <w:right w:w="0" w:type="dxa"/>
        </w:tblCellMar>
      </w:tblPr>
      <w:tblGrid>
        <w:gridCol w:w="3326"/>
        <w:gridCol w:w="1605"/>
        <w:gridCol w:w="1605"/>
        <w:gridCol w:w="930"/>
        <w:gridCol w:w="1665"/>
      </w:tblGrid>
      <w:tr>
        <w:tblPrEx>
          <w:shd w:val="clear" w:color="auto" w:fill="auto"/>
          <w:tblCellMar>
            <w:top w:w="0" w:type="dxa"/>
            <w:left w:w="0" w:type="dxa"/>
            <w:bottom w:w="0" w:type="dxa"/>
            <w:right w:w="0" w:type="dxa"/>
          </w:tblCellMar>
        </w:tblPrEx>
        <w:trPr>
          <w:trHeight w:val="500" w:hRule="atLeast"/>
          <w:jc w:val="center"/>
        </w:trPr>
        <w:tc>
          <w:tcPr>
            <w:tcW w:w="332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商品名称</w:t>
            </w:r>
          </w:p>
        </w:tc>
        <w:tc>
          <w:tcPr>
            <w:tcW w:w="160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出口目的地</w:t>
            </w:r>
          </w:p>
        </w:tc>
        <w:tc>
          <w:tcPr>
            <w:tcW w:w="160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93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66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73223.883</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33737922</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29945.453</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12550593</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巴基斯坦</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177021.692</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82538048</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303610.686</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130841864</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100689.314</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40449928</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483.447</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257725</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4164.156</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2031152</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5211.733</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2570037</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泰国</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37000</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12417200</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674060.905</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301459460</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印度尼西亚</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207529.298</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94166805</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34120.388</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18331130</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2975.607</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1190117</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tbl>
      <w:tblPr>
        <w:tblStyle w:val="24"/>
        <w:tblW w:w="9126" w:type="dxa"/>
        <w:jc w:val="center"/>
        <w:shd w:val="clear" w:color="auto" w:fill="auto"/>
        <w:tblLayout w:type="fixed"/>
        <w:tblCellMar>
          <w:top w:w="0" w:type="dxa"/>
          <w:left w:w="108" w:type="dxa"/>
          <w:bottom w:w="0" w:type="dxa"/>
          <w:right w:w="108" w:type="dxa"/>
        </w:tblCellMar>
      </w:tblPr>
      <w:tblGrid>
        <w:gridCol w:w="2538"/>
        <w:gridCol w:w="1485"/>
        <w:gridCol w:w="1410"/>
        <w:gridCol w:w="1755"/>
        <w:gridCol w:w="1938"/>
      </w:tblGrid>
      <w:tr>
        <w:tblPrEx>
          <w:shd w:val="clear" w:color="auto" w:fill="auto"/>
          <w:tblCellMar>
            <w:top w:w="0" w:type="dxa"/>
            <w:left w:w="108" w:type="dxa"/>
            <w:bottom w:w="0" w:type="dxa"/>
            <w:right w:w="108" w:type="dxa"/>
          </w:tblCellMar>
        </w:tblPrEx>
        <w:trPr>
          <w:trHeight w:val="654" w:hRule="atLeast"/>
          <w:jc w:val="center"/>
        </w:trPr>
        <w:tc>
          <w:tcPr>
            <w:tcW w:w="2538"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贸易伙伴名称</w:t>
            </w:r>
          </w:p>
        </w:tc>
        <w:tc>
          <w:tcPr>
            <w:tcW w:w="1485"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数量（吨）</w:t>
            </w:r>
          </w:p>
        </w:tc>
        <w:tc>
          <w:tcPr>
            <w:tcW w:w="1410"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所占比率</w:t>
            </w:r>
          </w:p>
        </w:tc>
        <w:tc>
          <w:tcPr>
            <w:tcW w:w="1755"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当月金额（元）</w:t>
            </w:r>
          </w:p>
        </w:tc>
        <w:tc>
          <w:tcPr>
            <w:tcW w:w="1938"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当月均价（元/吨）</w:t>
            </w:r>
          </w:p>
        </w:tc>
      </w:tr>
      <w:tr>
        <w:tblPrEx>
          <w:tblCellMar>
            <w:top w:w="0" w:type="dxa"/>
            <w:left w:w="108" w:type="dxa"/>
            <w:bottom w:w="0" w:type="dxa"/>
            <w:right w:w="108" w:type="dxa"/>
          </w:tblCellMar>
        </w:tblPrEx>
        <w:trPr>
          <w:trHeight w:val="345"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埃塞俄比亚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1385706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2771.41</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安提瓜和巴布达</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170085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2616.69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澳大利亚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511757.9</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1129143671</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2206.4</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巴哈马</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871.61</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2393336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2745.89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巴拿马</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14671.54</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38208916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2604.29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百慕大</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74065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2468.83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伯利兹</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55.44</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152370</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2748.23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丹麦</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354657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2848.65</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557</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1493304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2680.98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多哥</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163349</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2969.98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俄罗斯联邦</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323.99</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889676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2746.03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菲律宾</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281264.18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593034277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2108.46</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韩国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217119.52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482577567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2222.64</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荷兰</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397</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1025882</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2584.09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黑山</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83764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2792.13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喀麦隆</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182996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3049.93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开曼群岛</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139720</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2794.4</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利比里亚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6999.33</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20522887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2932.12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卢森堡</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18.77</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50134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2671.25</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马耳他</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2665.72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9623438</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3610.08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马来西亚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39836.93</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84277612</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2115.57</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马绍尔群岛</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5644.08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15684179</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2778.87</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毛里塔尼亚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657.61</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1712728</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2604.46</w:t>
            </w:r>
          </w:p>
        </w:tc>
      </w:tr>
      <w:tr>
        <w:tblPrEx>
          <w:tblCellMar>
            <w:top w:w="0" w:type="dxa"/>
            <w:left w:w="108" w:type="dxa"/>
            <w:bottom w:w="0" w:type="dxa"/>
            <w:right w:w="108" w:type="dxa"/>
          </w:tblCellMar>
        </w:tblPrEx>
        <w:trPr>
          <w:trHeight w:val="365"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孟加拉国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168692.41</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360439596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2136.67</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缅甸</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17191.04</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41815804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2432.42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挪威</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625.67</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1723483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2754.62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帕劳</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137755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2649.13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葡萄牙</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1141402</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4888.23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日本</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1392969</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4705.98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瑞士</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234354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2974.22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塞拉利昂</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66164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3308.2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塞浦路斯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1224.5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3411295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2785.87</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沙特阿拉伯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479794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2665.52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圣其茨和尼维斯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286900</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2441.7</w:t>
            </w:r>
          </w:p>
        </w:tc>
      </w:tr>
      <w:tr>
        <w:tblPrEx>
          <w:tblCellMar>
            <w:top w:w="0" w:type="dxa"/>
            <w:left w:w="108" w:type="dxa"/>
            <w:bottom w:w="0" w:type="dxa"/>
            <w:right w:w="108" w:type="dxa"/>
          </w:tblCellMar>
        </w:tblPrEx>
        <w:trPr>
          <w:trHeight w:val="384"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圣文森特和格林纳丁斯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249.8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576051</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2306.05</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130563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2611.26</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图瓦卢</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574317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2871.59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希腊</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835.51</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2795036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3345.31</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新加坡</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161636.33</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347446436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2149.56</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牙买加</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56071</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2853.49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印度尼西亚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24063</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58666575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2438.04</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英国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640.22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1669893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2608.32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越南</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16821.89</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34747789</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2065.63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智利</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77559.62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167610933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2161.06</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中国澳门</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4555.75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9735610</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2136.99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中国台湾</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455.62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1258785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2762.8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中国香港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361087.38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820207403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2271.49</w:t>
            </w:r>
          </w:p>
        </w:tc>
      </w:tr>
      <w:tr>
        <w:tblPrEx>
          <w:tblCellMar>
            <w:top w:w="0" w:type="dxa"/>
            <w:left w:w="108" w:type="dxa"/>
            <w:bottom w:w="0" w:type="dxa"/>
            <w:right w:w="108" w:type="dxa"/>
          </w:tblCellMar>
        </w:tblPrEx>
        <w:trPr>
          <w:trHeight w:val="357" w:hRule="atLeast"/>
          <w:jc w:val="center"/>
        </w:trPr>
        <w:tc>
          <w:tcPr>
            <w:tcW w:w="2538" w:type="dxa"/>
            <w:tcBorders>
              <w:top w:val="nil"/>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485"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1920641.29</w:t>
            </w:r>
          </w:p>
        </w:tc>
        <w:tc>
          <w:tcPr>
            <w:tcW w:w="1410"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1755"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4239949297</w:t>
            </w:r>
          </w:p>
        </w:tc>
        <w:tc>
          <w:tcPr>
            <w:tcW w:w="1938"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2207.57</w:t>
            </w:r>
          </w:p>
        </w:tc>
      </w:tr>
    </w:tbl>
    <w:p>
      <w:pPr>
        <w:pStyle w:val="3"/>
        <w:spacing w:before="120" w:after="120" w:line="240" w:lineRule="auto"/>
        <w:rPr>
          <w:rFonts w:hint="eastAsia" w:ascii="宋体" w:hAnsi="宋体"/>
          <w:b/>
          <w:sz w:val="30"/>
          <w:szCs w:val="30"/>
        </w:rPr>
      </w:pPr>
      <w:bookmarkStart w:id="27" w:name="_Toc31064"/>
    </w:p>
    <w:p>
      <w:pPr>
        <w:pStyle w:val="3"/>
        <w:spacing w:before="120" w:after="120" w:line="240" w:lineRule="auto"/>
        <w:rPr>
          <w:rFonts w:hint="eastAsia" w:ascii="宋体" w:hAnsi="宋体"/>
          <w:b/>
          <w:sz w:val="30"/>
          <w:szCs w:val="30"/>
        </w:rPr>
      </w:pPr>
      <w:bookmarkStart w:id="28" w:name="_Toc23995"/>
      <w:r>
        <w:rPr>
          <w:rFonts w:hint="eastAsia" w:ascii="宋体" w:hAnsi="宋体"/>
          <w:b/>
          <w:sz w:val="30"/>
          <w:szCs w:val="30"/>
        </w:rPr>
        <w:t>4.2 20</w:t>
      </w:r>
      <w:r>
        <w:rPr>
          <w:rFonts w:hint="eastAsia" w:ascii="宋体" w:hAnsi="宋体"/>
          <w:b/>
          <w:sz w:val="30"/>
          <w:szCs w:val="30"/>
          <w:lang w:val="en-US" w:eastAsia="zh-CN"/>
        </w:rPr>
        <w:t>21</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月份全国柴油出口统计数据</w:t>
      </w:r>
      <w:bookmarkEnd w:id="27"/>
      <w:bookmarkEnd w:id="2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8802" w:type="dxa"/>
        <w:jc w:val="center"/>
        <w:shd w:val="clear" w:color="auto" w:fill="auto"/>
        <w:tblLayout w:type="fixed"/>
        <w:tblCellMar>
          <w:top w:w="0" w:type="dxa"/>
          <w:left w:w="0" w:type="dxa"/>
          <w:bottom w:w="0" w:type="dxa"/>
          <w:right w:w="0" w:type="dxa"/>
        </w:tblCellMar>
      </w:tblPr>
      <w:tblGrid>
        <w:gridCol w:w="1497"/>
        <w:gridCol w:w="1843"/>
        <w:gridCol w:w="1395"/>
        <w:gridCol w:w="1965"/>
        <w:gridCol w:w="2102"/>
      </w:tblGrid>
      <w:tr>
        <w:tblPrEx>
          <w:shd w:val="clear" w:color="auto" w:fill="auto"/>
          <w:tblCellMar>
            <w:top w:w="0" w:type="dxa"/>
            <w:left w:w="0" w:type="dxa"/>
            <w:bottom w:w="0" w:type="dxa"/>
            <w:right w:w="0" w:type="dxa"/>
          </w:tblCellMar>
        </w:tblPrEx>
        <w:trPr>
          <w:trHeight w:val="419" w:hRule="atLeast"/>
          <w:jc w:val="center"/>
        </w:trPr>
        <w:tc>
          <w:tcPr>
            <w:tcW w:w="149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贸易伙伴名称</w:t>
            </w:r>
          </w:p>
        </w:tc>
        <w:tc>
          <w:tcPr>
            <w:tcW w:w="1843"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数量（吨）</w:t>
            </w:r>
          </w:p>
        </w:tc>
        <w:tc>
          <w:tcPr>
            <w:tcW w:w="139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所占比率</w:t>
            </w:r>
          </w:p>
        </w:tc>
        <w:tc>
          <w:tcPr>
            <w:tcW w:w="196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当月金额（元）</w:t>
            </w:r>
          </w:p>
        </w:tc>
        <w:tc>
          <w:tcPr>
            <w:tcW w:w="2102"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当月均价（元/吨）</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孟加拉国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235967.395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14%</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677220862</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2869.98</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缅甸</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12891.798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30087808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2333.87</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柬埔寨</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9000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26258580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2917.62</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塞浦路斯</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82.01</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233852</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2851.51</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中国香港</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170252.952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483353751</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2839.03</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印度</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129403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2875.62</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印度尼西亚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219.157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666756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3042.37</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日本</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931.751</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2828157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3035.31</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中国澳门</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8146.682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20804459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2553.73</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马来西亚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20563.572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56309364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2738.31</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菲律宾</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307904.57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18%</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831263405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2699.74</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卡塔尔</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97.5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261338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2680.39</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新加坡</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375396.943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22%</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1019233153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2715.08</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韩国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111037.476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267264010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2406.97</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泰国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124.6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359788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2887.54</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越南</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98.568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291753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2959.92</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中国台湾</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96.7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280600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2901.76</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埃塞俄比亚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400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1141113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2852.78</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利比里亚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6454.075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18805157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2913.69</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塞拉利昂</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104.9</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357080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3404.00</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多哥</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127079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3630.83</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丹麦</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541.3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1558150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2878.53</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英国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2151.392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6290214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2923.79</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德国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2065.674</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5911080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2861.57</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法国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493.6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1230315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2492.53</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意大利</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1049</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2996984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2856.99</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荷兰</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364563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2988.22</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希腊</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182.5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531974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2914.93</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葡萄牙</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49.2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138265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2810.26</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马耳他</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1902.424</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5437858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2858.38</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挪威</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228.78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629087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2749.75</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白俄罗斯</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82347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2744.90</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俄罗斯联邦</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924919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3189.38</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克罗地亚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208046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3200.71</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安提瓜和巴布达</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513.305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1467753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2859.42</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巴哈马</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2733.02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8424241</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3082.39</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巴巴多斯</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118.29</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358707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3032.44</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伯利兹</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557.073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1725173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3096.85</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智利</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78735.897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226245629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2873.47</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厄瓜多尔</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66000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226742838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3435.50</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巴拿马</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14009.425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39401374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2812.49</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澳大利亚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277972.376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16%</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711463779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2559.48</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库克群岛</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360433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3604.33</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图瓦卢</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29.888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88876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2973.63</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马绍尔群岛</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5106.128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15297480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2995.91</w:t>
            </w:r>
          </w:p>
        </w:tc>
      </w:tr>
      <w:tr>
        <w:tblPrEx>
          <w:tblCellMar>
            <w:top w:w="0" w:type="dxa"/>
            <w:left w:w="0" w:type="dxa"/>
            <w:bottom w:w="0" w:type="dxa"/>
            <w:right w:w="0" w:type="dxa"/>
          </w:tblCellMar>
        </w:tblPrEx>
        <w:trPr>
          <w:trHeight w:val="300" w:hRule="atLeast"/>
          <w:jc w:val="center"/>
        </w:trPr>
        <w:tc>
          <w:tcPr>
            <w:tcW w:w="1497"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合计</w:t>
            </w:r>
          </w:p>
        </w:tc>
        <w:tc>
          <w:tcPr>
            <w:tcW w:w="1843"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1714896.92</w:t>
            </w:r>
          </w:p>
        </w:tc>
        <w:tc>
          <w:tcPr>
            <w:tcW w:w="1395"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100%</w:t>
            </w:r>
          </w:p>
        </w:tc>
        <w:tc>
          <w:tcPr>
            <w:tcW w:w="1965"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4695157553.00</w:t>
            </w:r>
          </w:p>
        </w:tc>
        <w:tc>
          <w:tcPr>
            <w:tcW w:w="2102"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2737.87</w:t>
            </w:r>
          </w:p>
        </w:tc>
      </w:tr>
    </w:tbl>
    <w:p>
      <w:pPr>
        <w:rPr>
          <w:rFonts w:hint="eastAsia" w:ascii="宋体" w:hAnsi="宋体"/>
          <w:b/>
          <w:sz w:val="30"/>
          <w:szCs w:val="30"/>
        </w:rPr>
      </w:pPr>
    </w:p>
    <w:p>
      <w:pPr>
        <w:pStyle w:val="3"/>
        <w:spacing w:before="120" w:after="120" w:line="240" w:lineRule="auto"/>
        <w:rPr>
          <w:rFonts w:hint="eastAsia"/>
          <w:bCs/>
          <w:szCs w:val="21"/>
        </w:rPr>
      </w:pPr>
      <w:bookmarkStart w:id="29" w:name="_Toc16942"/>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2</w:t>
      </w:r>
      <w:r>
        <w:rPr>
          <w:rFonts w:hint="eastAsia" w:ascii="宋体" w:hAnsi="宋体"/>
          <w:b/>
          <w:color w:val="auto"/>
          <w:sz w:val="30"/>
          <w:szCs w:val="30"/>
        </w:rPr>
        <w:t>月份全国原油进出口统计数据</w:t>
      </w:r>
      <w:bookmarkEnd w:id="23"/>
      <w:bookmarkEnd w:id="29"/>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8220" w:type="dxa"/>
        <w:jc w:val="center"/>
        <w:tblLayout w:type="autofit"/>
        <w:tblCellMar>
          <w:top w:w="0" w:type="dxa"/>
          <w:left w:w="0" w:type="dxa"/>
          <w:bottom w:w="0" w:type="dxa"/>
          <w:right w:w="0" w:type="dxa"/>
        </w:tblCellMar>
      </w:tblPr>
      <w:tblGrid>
        <w:gridCol w:w="4035"/>
        <w:gridCol w:w="4185"/>
      </w:tblGrid>
      <w:tr>
        <w:tblPrEx>
          <w:tblCellMar>
            <w:top w:w="0" w:type="dxa"/>
            <w:left w:w="0" w:type="dxa"/>
            <w:bottom w:w="0" w:type="dxa"/>
            <w:right w:w="0" w:type="dxa"/>
          </w:tblCellMar>
        </w:tblPrEx>
        <w:trPr>
          <w:trHeight w:val="469" w:hRule="atLeast"/>
          <w:jc w:val="center"/>
        </w:trPr>
        <w:tc>
          <w:tcPr>
            <w:tcW w:w="4035" w:type="dxa"/>
            <w:tcBorders>
              <w:top w:val="single" w:color="333333" w:sz="8" w:space="0"/>
              <w:left w:val="nil"/>
              <w:bottom w:val="single" w:color="333333" w:sz="8" w:space="0"/>
              <w:right w:val="single" w:color="333333" w:sz="8"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进</w:t>
            </w:r>
            <w:r>
              <w:rPr>
                <w:rFonts w:hint="eastAsia" w:asciiTheme="minorEastAsia" w:hAnsiTheme="minorEastAsia" w:eastAsiaTheme="minorEastAsia" w:cstheme="minorEastAsia"/>
                <w:b/>
                <w:bCs/>
                <w:color w:val="auto"/>
                <w:kern w:val="0"/>
                <w:sz w:val="22"/>
                <w:szCs w:val="22"/>
                <w:lang w:val="en-US" w:eastAsia="zh-CN"/>
              </w:rPr>
              <w:t xml:space="preserve">  </w:t>
            </w:r>
            <w:r>
              <w:rPr>
                <w:rFonts w:hint="eastAsia" w:asciiTheme="minorEastAsia" w:hAnsiTheme="minorEastAsia" w:eastAsiaTheme="minorEastAsia" w:cstheme="minorEastAsia"/>
                <w:b/>
                <w:bCs/>
                <w:color w:val="auto"/>
                <w:kern w:val="0"/>
                <w:sz w:val="22"/>
                <w:szCs w:val="22"/>
              </w:rPr>
              <w:t>口</w:t>
            </w:r>
          </w:p>
        </w:tc>
        <w:tc>
          <w:tcPr>
            <w:tcW w:w="4185" w:type="dxa"/>
            <w:tcBorders>
              <w:top w:val="single" w:color="333333" w:sz="8" w:space="0"/>
              <w:left w:val="nil"/>
              <w:bottom w:val="single" w:color="333333" w:sz="8" w:space="0"/>
              <w:right w:val="single" w:color="333333" w:sz="8"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出</w:t>
            </w:r>
            <w:r>
              <w:rPr>
                <w:rFonts w:hint="eastAsia" w:asciiTheme="minorEastAsia" w:hAnsiTheme="minorEastAsia" w:eastAsiaTheme="minorEastAsia" w:cstheme="minorEastAsia"/>
                <w:b/>
                <w:bCs/>
                <w:color w:val="auto"/>
                <w:kern w:val="0"/>
                <w:sz w:val="22"/>
                <w:szCs w:val="22"/>
                <w:lang w:val="en-US" w:eastAsia="zh-CN"/>
              </w:rPr>
              <w:t xml:space="preserve">  </w:t>
            </w:r>
            <w:r>
              <w:rPr>
                <w:rFonts w:hint="eastAsia" w:asciiTheme="minorEastAsia" w:hAnsiTheme="minorEastAsia" w:eastAsiaTheme="minorEastAsia" w:cstheme="minorEastAsia"/>
                <w:b/>
                <w:bCs/>
                <w:color w:val="auto"/>
                <w:kern w:val="0"/>
                <w:sz w:val="22"/>
                <w:szCs w:val="22"/>
              </w:rPr>
              <w:t>口</w:t>
            </w:r>
          </w:p>
        </w:tc>
      </w:tr>
      <w:tr>
        <w:tblPrEx>
          <w:tblCellMar>
            <w:top w:w="0" w:type="dxa"/>
            <w:left w:w="0" w:type="dxa"/>
            <w:bottom w:w="0" w:type="dxa"/>
            <w:right w:w="0" w:type="dxa"/>
          </w:tblCellMar>
        </w:tblPrEx>
        <w:trPr>
          <w:trHeight w:val="469" w:hRule="atLeast"/>
          <w:jc w:val="center"/>
        </w:trPr>
        <w:tc>
          <w:tcPr>
            <w:tcW w:w="40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当月进口量: 44980791.7 (吨)</w:t>
            </w:r>
          </w:p>
        </w:tc>
        <w:tc>
          <w:tcPr>
            <w:tcW w:w="4185" w:type="dxa"/>
            <w:tcBorders>
              <w:top w:val="single" w:color="auto" w:sz="4" w:space="0"/>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当月出口量: 331607.9 (吨)</w:t>
            </w:r>
          </w:p>
        </w:tc>
      </w:tr>
      <w:tr>
        <w:tblPrEx>
          <w:tblCellMar>
            <w:top w:w="0" w:type="dxa"/>
            <w:left w:w="0" w:type="dxa"/>
            <w:bottom w:w="0" w:type="dxa"/>
            <w:right w:w="0" w:type="dxa"/>
          </w:tblCellMar>
        </w:tblPrEx>
        <w:trPr>
          <w:trHeight w:val="462"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累计进口量: 89567524.4 (吨)</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累计出口量: 364050.1  (吨)</w:t>
            </w:r>
          </w:p>
        </w:tc>
      </w:tr>
      <w:tr>
        <w:tblPrEx>
          <w:tblCellMar>
            <w:top w:w="0" w:type="dxa"/>
            <w:left w:w="0" w:type="dxa"/>
            <w:bottom w:w="0" w:type="dxa"/>
            <w:right w:w="0" w:type="dxa"/>
          </w:tblCellMar>
        </w:tblPrEx>
        <w:trPr>
          <w:trHeight w:val="462"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当月进口均价:396.5（美元/吨)</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当月出口均价:321.4美元/吨)</w:t>
            </w:r>
          </w:p>
        </w:tc>
      </w:tr>
      <w:tr>
        <w:tblPrEx>
          <w:tblCellMar>
            <w:top w:w="0" w:type="dxa"/>
            <w:left w:w="0" w:type="dxa"/>
            <w:bottom w:w="0" w:type="dxa"/>
            <w:right w:w="0" w:type="dxa"/>
          </w:tblCellMar>
        </w:tblPrEx>
        <w:trPr>
          <w:trHeight w:val="462"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进口量环比：0.88%</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出口量环比：922.15%</w:t>
            </w:r>
          </w:p>
        </w:tc>
      </w:tr>
      <w:tr>
        <w:tblPrEx>
          <w:tblCellMar>
            <w:top w:w="0" w:type="dxa"/>
            <w:left w:w="0" w:type="dxa"/>
            <w:bottom w:w="0" w:type="dxa"/>
            <w:right w:w="0" w:type="dxa"/>
          </w:tblCellMar>
        </w:tblPrEx>
        <w:trPr>
          <w:trHeight w:val="462"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进口量同比：/</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出口量同比：/</w:t>
            </w:r>
          </w:p>
        </w:tc>
      </w:tr>
      <w:tr>
        <w:tblPrEx>
          <w:tblCellMar>
            <w:top w:w="0" w:type="dxa"/>
            <w:left w:w="0" w:type="dxa"/>
            <w:bottom w:w="0" w:type="dxa"/>
            <w:right w:w="0" w:type="dxa"/>
          </w:tblCellMar>
        </w:tblPrEx>
        <w:trPr>
          <w:trHeight w:val="469"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累计进口量比去年同期：4.04%</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累计出口量比去年同期：492.92%</w:t>
            </w:r>
          </w:p>
        </w:tc>
      </w:tr>
    </w:tbl>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据海关统计，2021年2月我国原油进口量为44980791.7吨，累计进口量为89567524.4吨， 当月进口金额为1783365.6万美元，累计进口金额为3396200.3万美元，当月进口均价为396.5美元/吨，累计进口均价379.2美元/吨，与上年同期数量相比增长4.04%。</w:t>
      </w:r>
    </w:p>
    <w:p>
      <w:pPr>
        <w:pStyle w:val="23"/>
        <w:spacing w:line="360" w:lineRule="auto"/>
        <w:ind w:firstLine="560" w:firstLineChars="200"/>
        <w:rPr>
          <w:rFonts w:hint="eastAsia"/>
          <w:bCs/>
          <w:szCs w:val="21"/>
        </w:rPr>
      </w:pPr>
      <w:r>
        <w:rPr>
          <w:rFonts w:hint="eastAsia" w:asciiTheme="minorEastAsia" w:hAnsiTheme="minorEastAsia" w:eastAsiaTheme="minorEastAsia" w:cstheme="minorEastAsia"/>
          <w:color w:val="auto"/>
          <w:sz w:val="28"/>
          <w:szCs w:val="28"/>
        </w:rPr>
        <w:t>2021年2月我国原油出口量为331607.9吨，累计出口量为364050.1吨， 当月出口金额为10657.1万美元，累计出口金额为11886.6万美元，当月出口均价为321.4美元/吨，累计出口均价为326.5美元/吨，与上年同期数量相比增长492.92%。</w:t>
      </w:r>
    </w:p>
    <w:p>
      <w:pPr>
        <w:pStyle w:val="3"/>
        <w:spacing w:before="120" w:after="120" w:line="240" w:lineRule="auto"/>
        <w:rPr>
          <w:rFonts w:hint="eastAsia" w:ascii="宋体" w:hAnsi="宋体"/>
          <w:b/>
          <w:sz w:val="30"/>
          <w:szCs w:val="30"/>
        </w:rPr>
      </w:pPr>
      <w:bookmarkStart w:id="30" w:name="_Toc18589"/>
      <w:bookmarkStart w:id="31" w:name="_Toc20776"/>
      <w:r>
        <w:rPr>
          <w:rFonts w:hint="eastAsia" w:ascii="宋体" w:hAnsi="宋体"/>
          <w:b/>
          <w:sz w:val="30"/>
          <w:szCs w:val="30"/>
        </w:rPr>
        <w:t>4.4 20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2</w:t>
      </w:r>
      <w:r>
        <w:rPr>
          <w:rFonts w:hint="eastAsia" w:ascii="宋体" w:hAnsi="宋体"/>
          <w:b/>
          <w:sz w:val="30"/>
          <w:szCs w:val="30"/>
        </w:rPr>
        <w:t>月份航空煤油进出口统计数据</w:t>
      </w:r>
      <w:bookmarkEnd w:id="30"/>
      <w:bookmarkEnd w:id="31"/>
    </w:p>
    <w:p>
      <w:pPr>
        <w:ind w:firstLine="420" w:firstLineChars="200"/>
        <w:jc w:val="left"/>
        <w:rPr>
          <w:rFonts w:hint="eastAsia" w:ascii="宋体" w:hAnsi="宋体"/>
        </w:rPr>
      </w:pPr>
      <w:r>
        <w:rPr>
          <w:rFonts w:hint="eastAsia" w:ascii="宋体" w:hAnsi="宋体"/>
        </w:rPr>
        <w:t>单位：</w:t>
      </w:r>
      <w:r>
        <w:rPr>
          <w:rFonts w:hint="eastAsia" w:ascii="宋体" w:hAnsi="宋体"/>
          <w:lang w:eastAsia="zh-CN"/>
        </w:rPr>
        <w:t>吨</w:t>
      </w:r>
      <w:r>
        <w:rPr>
          <w:rFonts w:hint="eastAsia" w:ascii="宋体" w:hAnsi="宋体"/>
        </w:rPr>
        <w:t>，美元</w:t>
      </w:r>
    </w:p>
    <w:p>
      <w:pPr>
        <w:ind w:firstLine="420" w:firstLineChars="200"/>
        <w:jc w:val="left"/>
        <w:rPr>
          <w:rFonts w:hint="eastAsia" w:ascii="宋体" w:hAnsi="宋体"/>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ascii="宋体" w:hAnsi="宋体" w:eastAsia="宋体" w:cs="宋体"/>
                <w:caps w:val="0"/>
                <w:spacing w:val="0"/>
                <w:sz w:val="24"/>
                <w:szCs w:val="24"/>
              </w:rPr>
              <w:t>进</w:t>
            </w:r>
            <w:r>
              <w:rPr>
                <w:rStyle w:val="28"/>
                <w:rFonts w:hint="eastAsia" w:cs="宋体"/>
                <w:caps w:val="0"/>
                <w:spacing w:val="0"/>
                <w:sz w:val="24"/>
                <w:szCs w:val="24"/>
                <w:lang w:val="en-US" w:eastAsia="zh-CN"/>
              </w:rPr>
              <w:t xml:space="preserve">  </w:t>
            </w:r>
            <w:r>
              <w:rPr>
                <w:rStyle w:val="28"/>
                <w:rFonts w:ascii="宋体" w:hAnsi="宋体" w:eastAsia="宋体" w:cs="宋体"/>
                <w:caps w:val="0"/>
                <w:spacing w:val="0"/>
                <w:sz w:val="24"/>
                <w:szCs w:val="24"/>
              </w:rPr>
              <w:t>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hint="eastAsia" w:ascii="宋体" w:hAnsi="宋体" w:eastAsia="宋体" w:cs="宋体"/>
                <w:caps w:val="0"/>
                <w:spacing w:val="0"/>
                <w:sz w:val="24"/>
                <w:szCs w:val="24"/>
              </w:rPr>
              <w:t>出</w:t>
            </w:r>
            <w:r>
              <w:rPr>
                <w:rStyle w:val="28"/>
                <w:rFonts w:hint="eastAsia" w:cs="宋体"/>
                <w:caps w:val="0"/>
                <w:spacing w:val="0"/>
                <w:sz w:val="24"/>
                <w:szCs w:val="24"/>
                <w:lang w:val="en-US" w:eastAsia="zh-CN"/>
              </w:rPr>
              <w:t xml:space="preserve">  </w:t>
            </w:r>
            <w:r>
              <w:rPr>
                <w:rStyle w:val="28"/>
                <w:rFonts w:hint="eastAsia" w:ascii="宋体" w:hAnsi="宋体" w:eastAsia="宋体" w:cs="宋体"/>
                <w:caps w:val="0"/>
                <w:spacing w:val="0"/>
                <w:sz w:val="24"/>
                <w:szCs w:val="24"/>
              </w:rPr>
              <w:t>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2</w:t>
            </w:r>
            <w:r>
              <w:rPr>
                <w:rFonts w:ascii="宋体" w:hAnsi="宋体" w:eastAsia="宋体" w:cs="宋体"/>
                <w:caps w:val="0"/>
                <w:spacing w:val="0"/>
                <w:sz w:val="20"/>
                <w:szCs w:val="20"/>
              </w:rPr>
              <w:t>月进口量:</w:t>
            </w:r>
            <w:r>
              <w:rPr>
                <w:rFonts w:hint="eastAsia" w:ascii="宋体" w:hAnsi="宋体" w:eastAsia="宋体" w:cs="宋体"/>
                <w:caps w:val="0"/>
                <w:spacing w:val="0"/>
                <w:sz w:val="20"/>
                <w:szCs w:val="20"/>
              </w:rPr>
              <w:t>151447.86（吨）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2月出口量:514463.54（吨）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累计进口量:247648.024 (吨）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累计出口量:876282.649（吨）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当月进口均价:3038.06（元/吨）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当月出口均价:2872.65（元/吨）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累计进口均价：5962.66（元/吨）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累计出口均价:5558.14（元/吨）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进口量环比:57.43%</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出口量环比：42.19%</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进口量同比：-</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出口量同比：-</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累计进口量比去年同期：-42.21%</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累计出口量比去年同期：-70.12%</w:t>
            </w:r>
          </w:p>
        </w:tc>
      </w:tr>
    </w:tbl>
    <w:p/>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A93E53"/>
    <w:rsid w:val="03C71B14"/>
    <w:rsid w:val="03C968EE"/>
    <w:rsid w:val="03EC30D3"/>
    <w:rsid w:val="04063827"/>
    <w:rsid w:val="040707FC"/>
    <w:rsid w:val="042972F1"/>
    <w:rsid w:val="042B4FB5"/>
    <w:rsid w:val="04331F6D"/>
    <w:rsid w:val="044D6C9D"/>
    <w:rsid w:val="044E5434"/>
    <w:rsid w:val="045E1E00"/>
    <w:rsid w:val="04684ED7"/>
    <w:rsid w:val="047A62BA"/>
    <w:rsid w:val="048101D3"/>
    <w:rsid w:val="048C7CAA"/>
    <w:rsid w:val="04987F00"/>
    <w:rsid w:val="04A45D71"/>
    <w:rsid w:val="04A8214A"/>
    <w:rsid w:val="04B04E89"/>
    <w:rsid w:val="04BF7371"/>
    <w:rsid w:val="04C829A7"/>
    <w:rsid w:val="04E22C17"/>
    <w:rsid w:val="04E47651"/>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93019"/>
    <w:rsid w:val="05A63D05"/>
    <w:rsid w:val="05AA3E69"/>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18687A"/>
    <w:rsid w:val="071A60E7"/>
    <w:rsid w:val="071C4EDC"/>
    <w:rsid w:val="071D082B"/>
    <w:rsid w:val="07243E5A"/>
    <w:rsid w:val="07252677"/>
    <w:rsid w:val="07272AF3"/>
    <w:rsid w:val="0759111C"/>
    <w:rsid w:val="07594F06"/>
    <w:rsid w:val="076C6634"/>
    <w:rsid w:val="07743510"/>
    <w:rsid w:val="07820AB4"/>
    <w:rsid w:val="07836EEE"/>
    <w:rsid w:val="07906BB7"/>
    <w:rsid w:val="079B346A"/>
    <w:rsid w:val="079D7717"/>
    <w:rsid w:val="07B872E0"/>
    <w:rsid w:val="07B939E0"/>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A4401C"/>
    <w:rsid w:val="08A55AD2"/>
    <w:rsid w:val="08CA207E"/>
    <w:rsid w:val="08CD17C0"/>
    <w:rsid w:val="08DE60ED"/>
    <w:rsid w:val="08E21688"/>
    <w:rsid w:val="08E35E15"/>
    <w:rsid w:val="08EE777D"/>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E0028A"/>
    <w:rsid w:val="09E31010"/>
    <w:rsid w:val="09ED009F"/>
    <w:rsid w:val="09F11ACB"/>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51C4F"/>
    <w:rsid w:val="0AA33DAF"/>
    <w:rsid w:val="0AB608CB"/>
    <w:rsid w:val="0AC60296"/>
    <w:rsid w:val="0AD32487"/>
    <w:rsid w:val="0AD50553"/>
    <w:rsid w:val="0ADB26A0"/>
    <w:rsid w:val="0AE31AD5"/>
    <w:rsid w:val="0B017D09"/>
    <w:rsid w:val="0B0715B1"/>
    <w:rsid w:val="0B0F0B26"/>
    <w:rsid w:val="0B2C39A7"/>
    <w:rsid w:val="0B400CB2"/>
    <w:rsid w:val="0B421176"/>
    <w:rsid w:val="0B4B49C1"/>
    <w:rsid w:val="0B5D43F5"/>
    <w:rsid w:val="0B721C38"/>
    <w:rsid w:val="0B860805"/>
    <w:rsid w:val="0B945C54"/>
    <w:rsid w:val="0BA91AA1"/>
    <w:rsid w:val="0BB16187"/>
    <w:rsid w:val="0BCB6AF2"/>
    <w:rsid w:val="0BCE6861"/>
    <w:rsid w:val="0BDC4FBC"/>
    <w:rsid w:val="0BDF0A5F"/>
    <w:rsid w:val="0C08318F"/>
    <w:rsid w:val="0C1C163D"/>
    <w:rsid w:val="0C1E7ABD"/>
    <w:rsid w:val="0C206584"/>
    <w:rsid w:val="0C212EC8"/>
    <w:rsid w:val="0C2444B3"/>
    <w:rsid w:val="0C270CC3"/>
    <w:rsid w:val="0C2A79E8"/>
    <w:rsid w:val="0C3E0441"/>
    <w:rsid w:val="0C586B50"/>
    <w:rsid w:val="0C586E44"/>
    <w:rsid w:val="0C7F402D"/>
    <w:rsid w:val="0C822A19"/>
    <w:rsid w:val="0C930A24"/>
    <w:rsid w:val="0C9F5640"/>
    <w:rsid w:val="0CAA3B04"/>
    <w:rsid w:val="0CB81916"/>
    <w:rsid w:val="0CD123E3"/>
    <w:rsid w:val="0CE32FB8"/>
    <w:rsid w:val="0CE44838"/>
    <w:rsid w:val="0CEA48B8"/>
    <w:rsid w:val="0D206C21"/>
    <w:rsid w:val="0D731CA1"/>
    <w:rsid w:val="0D735A75"/>
    <w:rsid w:val="0D775B07"/>
    <w:rsid w:val="0D79688B"/>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742FB"/>
    <w:rsid w:val="0E9E354A"/>
    <w:rsid w:val="0EAF107B"/>
    <w:rsid w:val="0EB4347F"/>
    <w:rsid w:val="0EBE27AA"/>
    <w:rsid w:val="0EBF19BF"/>
    <w:rsid w:val="0EC1627E"/>
    <w:rsid w:val="0ED36950"/>
    <w:rsid w:val="0EE30B65"/>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95A00"/>
    <w:rsid w:val="0F8A41FA"/>
    <w:rsid w:val="0F962DED"/>
    <w:rsid w:val="0F9B4E2A"/>
    <w:rsid w:val="0FA45D17"/>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BA0A0E"/>
    <w:rsid w:val="10CE39DE"/>
    <w:rsid w:val="10FA6B68"/>
    <w:rsid w:val="10FF5E5F"/>
    <w:rsid w:val="11190B98"/>
    <w:rsid w:val="11230D2F"/>
    <w:rsid w:val="11247901"/>
    <w:rsid w:val="11365062"/>
    <w:rsid w:val="11422692"/>
    <w:rsid w:val="11590029"/>
    <w:rsid w:val="117F7F48"/>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F6517F"/>
    <w:rsid w:val="13086577"/>
    <w:rsid w:val="130B16E4"/>
    <w:rsid w:val="13267B35"/>
    <w:rsid w:val="133E41B0"/>
    <w:rsid w:val="134A6D86"/>
    <w:rsid w:val="13594CF7"/>
    <w:rsid w:val="135A728A"/>
    <w:rsid w:val="1367698A"/>
    <w:rsid w:val="13772D89"/>
    <w:rsid w:val="138744BB"/>
    <w:rsid w:val="13AA18EC"/>
    <w:rsid w:val="13B45FC3"/>
    <w:rsid w:val="13C924DB"/>
    <w:rsid w:val="13D07AB0"/>
    <w:rsid w:val="13DB164D"/>
    <w:rsid w:val="13E7373B"/>
    <w:rsid w:val="13EC16FF"/>
    <w:rsid w:val="13F712B9"/>
    <w:rsid w:val="13FE142E"/>
    <w:rsid w:val="1402032F"/>
    <w:rsid w:val="14176463"/>
    <w:rsid w:val="141828DA"/>
    <w:rsid w:val="144B6D3F"/>
    <w:rsid w:val="14522844"/>
    <w:rsid w:val="14546EAA"/>
    <w:rsid w:val="147759A4"/>
    <w:rsid w:val="147A75E5"/>
    <w:rsid w:val="14997CF1"/>
    <w:rsid w:val="149C7CF0"/>
    <w:rsid w:val="14BC21CE"/>
    <w:rsid w:val="14BE2339"/>
    <w:rsid w:val="14BF4DCE"/>
    <w:rsid w:val="14CD3607"/>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615E0F"/>
    <w:rsid w:val="156D2843"/>
    <w:rsid w:val="15701AB8"/>
    <w:rsid w:val="15786279"/>
    <w:rsid w:val="15892652"/>
    <w:rsid w:val="159001BC"/>
    <w:rsid w:val="15965FE2"/>
    <w:rsid w:val="15AA23F1"/>
    <w:rsid w:val="15B1437C"/>
    <w:rsid w:val="15B939D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91331C"/>
    <w:rsid w:val="169572E4"/>
    <w:rsid w:val="16B0271F"/>
    <w:rsid w:val="16CB2046"/>
    <w:rsid w:val="16D82413"/>
    <w:rsid w:val="16DC7206"/>
    <w:rsid w:val="16E22B33"/>
    <w:rsid w:val="16EB067A"/>
    <w:rsid w:val="16EF1899"/>
    <w:rsid w:val="16F85570"/>
    <w:rsid w:val="16FA58EE"/>
    <w:rsid w:val="17116BE2"/>
    <w:rsid w:val="171311C9"/>
    <w:rsid w:val="17194D7A"/>
    <w:rsid w:val="172078E9"/>
    <w:rsid w:val="172D12A6"/>
    <w:rsid w:val="17315AA4"/>
    <w:rsid w:val="17350283"/>
    <w:rsid w:val="173C1948"/>
    <w:rsid w:val="173F54B5"/>
    <w:rsid w:val="17464B66"/>
    <w:rsid w:val="175B5D81"/>
    <w:rsid w:val="17652D76"/>
    <w:rsid w:val="177742FF"/>
    <w:rsid w:val="177778D5"/>
    <w:rsid w:val="177C4324"/>
    <w:rsid w:val="179E41EC"/>
    <w:rsid w:val="17A21D4F"/>
    <w:rsid w:val="17BD7A6D"/>
    <w:rsid w:val="17FE3268"/>
    <w:rsid w:val="18296936"/>
    <w:rsid w:val="182A5943"/>
    <w:rsid w:val="1842704C"/>
    <w:rsid w:val="186022DC"/>
    <w:rsid w:val="186453BA"/>
    <w:rsid w:val="18704C74"/>
    <w:rsid w:val="187F1331"/>
    <w:rsid w:val="18AD026B"/>
    <w:rsid w:val="18B70A2B"/>
    <w:rsid w:val="18CA2202"/>
    <w:rsid w:val="18CA4E8D"/>
    <w:rsid w:val="18FC46F8"/>
    <w:rsid w:val="190E26FF"/>
    <w:rsid w:val="191B1724"/>
    <w:rsid w:val="19254E9B"/>
    <w:rsid w:val="19383C89"/>
    <w:rsid w:val="194573ED"/>
    <w:rsid w:val="195D29F2"/>
    <w:rsid w:val="196272D4"/>
    <w:rsid w:val="196465FF"/>
    <w:rsid w:val="196B6E10"/>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882B3D"/>
    <w:rsid w:val="1A896854"/>
    <w:rsid w:val="1A964171"/>
    <w:rsid w:val="1AB162F9"/>
    <w:rsid w:val="1ABE2D20"/>
    <w:rsid w:val="1ACC4B7F"/>
    <w:rsid w:val="1AD34CD1"/>
    <w:rsid w:val="1AD417D6"/>
    <w:rsid w:val="1AE72378"/>
    <w:rsid w:val="1AE7665A"/>
    <w:rsid w:val="1AF74A59"/>
    <w:rsid w:val="1B111CB0"/>
    <w:rsid w:val="1B1519B4"/>
    <w:rsid w:val="1B393D9E"/>
    <w:rsid w:val="1B3F0566"/>
    <w:rsid w:val="1B5A0EC6"/>
    <w:rsid w:val="1B5C3BD7"/>
    <w:rsid w:val="1B5F0C8F"/>
    <w:rsid w:val="1B743284"/>
    <w:rsid w:val="1B816F9A"/>
    <w:rsid w:val="1B8175D6"/>
    <w:rsid w:val="1B9C1B61"/>
    <w:rsid w:val="1BB46A20"/>
    <w:rsid w:val="1BB93222"/>
    <w:rsid w:val="1BBD6973"/>
    <w:rsid w:val="1BE24098"/>
    <w:rsid w:val="1BE81B85"/>
    <w:rsid w:val="1BF27AE1"/>
    <w:rsid w:val="1BFE2971"/>
    <w:rsid w:val="1C01336C"/>
    <w:rsid w:val="1C021382"/>
    <w:rsid w:val="1C081DD0"/>
    <w:rsid w:val="1C1669BA"/>
    <w:rsid w:val="1C1C3102"/>
    <w:rsid w:val="1C2230E8"/>
    <w:rsid w:val="1C251540"/>
    <w:rsid w:val="1C2E2C8D"/>
    <w:rsid w:val="1C6973CC"/>
    <w:rsid w:val="1C6C7614"/>
    <w:rsid w:val="1C795B0B"/>
    <w:rsid w:val="1CB31F52"/>
    <w:rsid w:val="1CC609D9"/>
    <w:rsid w:val="1CDC7753"/>
    <w:rsid w:val="1CE6684D"/>
    <w:rsid w:val="1CEC4A0D"/>
    <w:rsid w:val="1D1712A0"/>
    <w:rsid w:val="1D2B7B9F"/>
    <w:rsid w:val="1D305274"/>
    <w:rsid w:val="1D3F5714"/>
    <w:rsid w:val="1D433C2D"/>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4D2825"/>
    <w:rsid w:val="1E5542CC"/>
    <w:rsid w:val="1E64791C"/>
    <w:rsid w:val="1E6D6ABE"/>
    <w:rsid w:val="1E755624"/>
    <w:rsid w:val="1E8C73FA"/>
    <w:rsid w:val="1E9E3D33"/>
    <w:rsid w:val="1EAA616E"/>
    <w:rsid w:val="1EB15364"/>
    <w:rsid w:val="1EB20356"/>
    <w:rsid w:val="1EBE2AB5"/>
    <w:rsid w:val="1EC81089"/>
    <w:rsid w:val="1EDD523F"/>
    <w:rsid w:val="1EDD703F"/>
    <w:rsid w:val="1F092A2D"/>
    <w:rsid w:val="1F1162FE"/>
    <w:rsid w:val="1F1C0B32"/>
    <w:rsid w:val="1F352B32"/>
    <w:rsid w:val="1F4A096C"/>
    <w:rsid w:val="1F5A5945"/>
    <w:rsid w:val="1F6B3A34"/>
    <w:rsid w:val="1F751CBE"/>
    <w:rsid w:val="1F7D6B10"/>
    <w:rsid w:val="1F963D6D"/>
    <w:rsid w:val="1F98363F"/>
    <w:rsid w:val="1FA70F8C"/>
    <w:rsid w:val="1FBD1356"/>
    <w:rsid w:val="1FBF488C"/>
    <w:rsid w:val="1FC55B54"/>
    <w:rsid w:val="1FCD7450"/>
    <w:rsid w:val="1FCD7675"/>
    <w:rsid w:val="1FD377B1"/>
    <w:rsid w:val="1FDC18BC"/>
    <w:rsid w:val="1FEB4C55"/>
    <w:rsid w:val="1FEF77E1"/>
    <w:rsid w:val="1FFC155B"/>
    <w:rsid w:val="20010BD0"/>
    <w:rsid w:val="200B266C"/>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0F502DE"/>
    <w:rsid w:val="211001E9"/>
    <w:rsid w:val="21147D43"/>
    <w:rsid w:val="2119067D"/>
    <w:rsid w:val="211F5020"/>
    <w:rsid w:val="21216F1B"/>
    <w:rsid w:val="2123407B"/>
    <w:rsid w:val="21320B64"/>
    <w:rsid w:val="21370E12"/>
    <w:rsid w:val="21432F9F"/>
    <w:rsid w:val="214F55E4"/>
    <w:rsid w:val="215A4604"/>
    <w:rsid w:val="217C7ED4"/>
    <w:rsid w:val="21862B07"/>
    <w:rsid w:val="218A1EF5"/>
    <w:rsid w:val="21973788"/>
    <w:rsid w:val="219A3406"/>
    <w:rsid w:val="21A70D61"/>
    <w:rsid w:val="21B2244C"/>
    <w:rsid w:val="21C30EF9"/>
    <w:rsid w:val="21CB7C2D"/>
    <w:rsid w:val="21D956E3"/>
    <w:rsid w:val="21E74352"/>
    <w:rsid w:val="21EF7C0A"/>
    <w:rsid w:val="221551D8"/>
    <w:rsid w:val="224441F7"/>
    <w:rsid w:val="224E7428"/>
    <w:rsid w:val="2261560B"/>
    <w:rsid w:val="227918A6"/>
    <w:rsid w:val="2291582E"/>
    <w:rsid w:val="22944164"/>
    <w:rsid w:val="229674ED"/>
    <w:rsid w:val="22AC485D"/>
    <w:rsid w:val="22BB509A"/>
    <w:rsid w:val="22D174A6"/>
    <w:rsid w:val="22D2551D"/>
    <w:rsid w:val="22E67532"/>
    <w:rsid w:val="230F16FC"/>
    <w:rsid w:val="231C2E7E"/>
    <w:rsid w:val="232A4048"/>
    <w:rsid w:val="233344E4"/>
    <w:rsid w:val="2337735C"/>
    <w:rsid w:val="23384D61"/>
    <w:rsid w:val="23392A7A"/>
    <w:rsid w:val="23417FB3"/>
    <w:rsid w:val="235336A2"/>
    <w:rsid w:val="236765E1"/>
    <w:rsid w:val="236905BD"/>
    <w:rsid w:val="23817C48"/>
    <w:rsid w:val="23850BE5"/>
    <w:rsid w:val="238E2690"/>
    <w:rsid w:val="239015CD"/>
    <w:rsid w:val="23B946BE"/>
    <w:rsid w:val="23C01773"/>
    <w:rsid w:val="23EF13A7"/>
    <w:rsid w:val="23F7720B"/>
    <w:rsid w:val="24086432"/>
    <w:rsid w:val="240F1052"/>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F86BA3"/>
    <w:rsid w:val="250D3E66"/>
    <w:rsid w:val="252754C5"/>
    <w:rsid w:val="252D0E2C"/>
    <w:rsid w:val="252D3F69"/>
    <w:rsid w:val="253C0FBD"/>
    <w:rsid w:val="2547370A"/>
    <w:rsid w:val="25585795"/>
    <w:rsid w:val="25740BBD"/>
    <w:rsid w:val="25955E96"/>
    <w:rsid w:val="259B6E31"/>
    <w:rsid w:val="259E33E1"/>
    <w:rsid w:val="25A05607"/>
    <w:rsid w:val="25A07C39"/>
    <w:rsid w:val="25AF1FA5"/>
    <w:rsid w:val="25B677AD"/>
    <w:rsid w:val="25B904A8"/>
    <w:rsid w:val="25D93662"/>
    <w:rsid w:val="25E06259"/>
    <w:rsid w:val="25FD0304"/>
    <w:rsid w:val="2606044C"/>
    <w:rsid w:val="26090E12"/>
    <w:rsid w:val="261447E7"/>
    <w:rsid w:val="26162D47"/>
    <w:rsid w:val="26313BB1"/>
    <w:rsid w:val="26417898"/>
    <w:rsid w:val="26442276"/>
    <w:rsid w:val="26444B63"/>
    <w:rsid w:val="264D7096"/>
    <w:rsid w:val="26552532"/>
    <w:rsid w:val="26671EE8"/>
    <w:rsid w:val="2692422E"/>
    <w:rsid w:val="269F6889"/>
    <w:rsid w:val="26AD0D8B"/>
    <w:rsid w:val="26C17431"/>
    <w:rsid w:val="26C27EC9"/>
    <w:rsid w:val="26C545A4"/>
    <w:rsid w:val="26C94300"/>
    <w:rsid w:val="26DF7D7C"/>
    <w:rsid w:val="26EE1723"/>
    <w:rsid w:val="26F154C7"/>
    <w:rsid w:val="26FD7030"/>
    <w:rsid w:val="27007370"/>
    <w:rsid w:val="27080E2E"/>
    <w:rsid w:val="270D21C6"/>
    <w:rsid w:val="270D2595"/>
    <w:rsid w:val="27251F41"/>
    <w:rsid w:val="273301A4"/>
    <w:rsid w:val="277F5A23"/>
    <w:rsid w:val="279E36DD"/>
    <w:rsid w:val="27A7464B"/>
    <w:rsid w:val="27C37DE6"/>
    <w:rsid w:val="27EA2797"/>
    <w:rsid w:val="28011EB5"/>
    <w:rsid w:val="28092464"/>
    <w:rsid w:val="2810409B"/>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5C2D51"/>
    <w:rsid w:val="29A81CD2"/>
    <w:rsid w:val="29A90232"/>
    <w:rsid w:val="29A92B3A"/>
    <w:rsid w:val="29C804D1"/>
    <w:rsid w:val="29CB1410"/>
    <w:rsid w:val="29D617AC"/>
    <w:rsid w:val="29D84ABC"/>
    <w:rsid w:val="29F5410D"/>
    <w:rsid w:val="2A091D0A"/>
    <w:rsid w:val="2A0D39C3"/>
    <w:rsid w:val="2A1503FE"/>
    <w:rsid w:val="2A194990"/>
    <w:rsid w:val="2A215E5E"/>
    <w:rsid w:val="2A252C4C"/>
    <w:rsid w:val="2A305C24"/>
    <w:rsid w:val="2A3E7B5A"/>
    <w:rsid w:val="2A516BAC"/>
    <w:rsid w:val="2A6B55C6"/>
    <w:rsid w:val="2A8475EE"/>
    <w:rsid w:val="2A951C8C"/>
    <w:rsid w:val="2A953E86"/>
    <w:rsid w:val="2A9B26F1"/>
    <w:rsid w:val="2AA81E53"/>
    <w:rsid w:val="2AA82B74"/>
    <w:rsid w:val="2AB25451"/>
    <w:rsid w:val="2AC063B7"/>
    <w:rsid w:val="2ACB5B48"/>
    <w:rsid w:val="2ACD0874"/>
    <w:rsid w:val="2AD267B8"/>
    <w:rsid w:val="2AD8059C"/>
    <w:rsid w:val="2B0A5818"/>
    <w:rsid w:val="2B0D737C"/>
    <w:rsid w:val="2B0F004D"/>
    <w:rsid w:val="2B154A20"/>
    <w:rsid w:val="2B1B5BFD"/>
    <w:rsid w:val="2B300E60"/>
    <w:rsid w:val="2B380E7B"/>
    <w:rsid w:val="2B574357"/>
    <w:rsid w:val="2B5F5BE1"/>
    <w:rsid w:val="2B6638DE"/>
    <w:rsid w:val="2B691061"/>
    <w:rsid w:val="2B7B4586"/>
    <w:rsid w:val="2B843D59"/>
    <w:rsid w:val="2B84406F"/>
    <w:rsid w:val="2B8B518F"/>
    <w:rsid w:val="2B8F58E2"/>
    <w:rsid w:val="2BA07FAD"/>
    <w:rsid w:val="2BBF0DDA"/>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D067B"/>
    <w:rsid w:val="2CBD69A8"/>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C0096E"/>
    <w:rsid w:val="2ECA710C"/>
    <w:rsid w:val="2ED4404D"/>
    <w:rsid w:val="2ED50475"/>
    <w:rsid w:val="2ED729FB"/>
    <w:rsid w:val="2EE365C8"/>
    <w:rsid w:val="2EED6D43"/>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427218"/>
    <w:rsid w:val="305001C5"/>
    <w:rsid w:val="3055125A"/>
    <w:rsid w:val="30664FDE"/>
    <w:rsid w:val="309D4A0F"/>
    <w:rsid w:val="309E4811"/>
    <w:rsid w:val="30A00CB5"/>
    <w:rsid w:val="30AF5F22"/>
    <w:rsid w:val="30C14186"/>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BA507F"/>
    <w:rsid w:val="33D354DF"/>
    <w:rsid w:val="33DD1D83"/>
    <w:rsid w:val="33DF6F7A"/>
    <w:rsid w:val="33E42EF1"/>
    <w:rsid w:val="33FC5F9C"/>
    <w:rsid w:val="34005D95"/>
    <w:rsid w:val="340370F4"/>
    <w:rsid w:val="34173060"/>
    <w:rsid w:val="342451AA"/>
    <w:rsid w:val="3425323C"/>
    <w:rsid w:val="342E5EA7"/>
    <w:rsid w:val="343E0BAC"/>
    <w:rsid w:val="34474FF1"/>
    <w:rsid w:val="344961AE"/>
    <w:rsid w:val="344B3651"/>
    <w:rsid w:val="34555269"/>
    <w:rsid w:val="346B6657"/>
    <w:rsid w:val="34827541"/>
    <w:rsid w:val="34B63281"/>
    <w:rsid w:val="34C105B0"/>
    <w:rsid w:val="34CA39B2"/>
    <w:rsid w:val="34D564C3"/>
    <w:rsid w:val="34DC79C0"/>
    <w:rsid w:val="34E32E56"/>
    <w:rsid w:val="34EC4B86"/>
    <w:rsid w:val="351321CB"/>
    <w:rsid w:val="35367A72"/>
    <w:rsid w:val="355171EC"/>
    <w:rsid w:val="355E299F"/>
    <w:rsid w:val="355E6D49"/>
    <w:rsid w:val="35671EE7"/>
    <w:rsid w:val="3572663B"/>
    <w:rsid w:val="357D4C50"/>
    <w:rsid w:val="3591419B"/>
    <w:rsid w:val="35925B04"/>
    <w:rsid w:val="35963717"/>
    <w:rsid w:val="35AB2A03"/>
    <w:rsid w:val="35AF3549"/>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F44E23"/>
    <w:rsid w:val="371D2966"/>
    <w:rsid w:val="373062E8"/>
    <w:rsid w:val="375C1AC9"/>
    <w:rsid w:val="37770231"/>
    <w:rsid w:val="37785098"/>
    <w:rsid w:val="377E7331"/>
    <w:rsid w:val="379038C8"/>
    <w:rsid w:val="379B1E6C"/>
    <w:rsid w:val="379D002A"/>
    <w:rsid w:val="37A6234C"/>
    <w:rsid w:val="37A907BA"/>
    <w:rsid w:val="37AF1535"/>
    <w:rsid w:val="37CA63F2"/>
    <w:rsid w:val="37CB57CA"/>
    <w:rsid w:val="37D337D1"/>
    <w:rsid w:val="37DD56C2"/>
    <w:rsid w:val="37DE20F8"/>
    <w:rsid w:val="37F16302"/>
    <w:rsid w:val="38253136"/>
    <w:rsid w:val="38372548"/>
    <w:rsid w:val="384570A4"/>
    <w:rsid w:val="38467A04"/>
    <w:rsid w:val="38781C56"/>
    <w:rsid w:val="38A140CE"/>
    <w:rsid w:val="38B54C1A"/>
    <w:rsid w:val="38C30240"/>
    <w:rsid w:val="38CF65F7"/>
    <w:rsid w:val="38D113BF"/>
    <w:rsid w:val="38D30895"/>
    <w:rsid w:val="38D5511D"/>
    <w:rsid w:val="38DB4DD5"/>
    <w:rsid w:val="38E95212"/>
    <w:rsid w:val="38F3691D"/>
    <w:rsid w:val="3909408E"/>
    <w:rsid w:val="391C1C7A"/>
    <w:rsid w:val="39465968"/>
    <w:rsid w:val="394D1A3B"/>
    <w:rsid w:val="394F4D33"/>
    <w:rsid w:val="39600E80"/>
    <w:rsid w:val="39803383"/>
    <w:rsid w:val="399A429F"/>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C173EBE"/>
    <w:rsid w:val="3C211702"/>
    <w:rsid w:val="3C317DDD"/>
    <w:rsid w:val="3C336F35"/>
    <w:rsid w:val="3C3D3F09"/>
    <w:rsid w:val="3C457CDF"/>
    <w:rsid w:val="3C61573F"/>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5941EB"/>
    <w:rsid w:val="3D5C2503"/>
    <w:rsid w:val="3D6341E4"/>
    <w:rsid w:val="3D6A48AA"/>
    <w:rsid w:val="3D6D23E3"/>
    <w:rsid w:val="3D7C1281"/>
    <w:rsid w:val="3D8D1DDC"/>
    <w:rsid w:val="3D995C7E"/>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70166E"/>
    <w:rsid w:val="3E752011"/>
    <w:rsid w:val="3E8270FA"/>
    <w:rsid w:val="3E8E2505"/>
    <w:rsid w:val="3E8F0C9A"/>
    <w:rsid w:val="3E9953AC"/>
    <w:rsid w:val="3E9D3F84"/>
    <w:rsid w:val="3E9F3605"/>
    <w:rsid w:val="3EAF142E"/>
    <w:rsid w:val="3EB41061"/>
    <w:rsid w:val="3EEC1C8D"/>
    <w:rsid w:val="3EF15A07"/>
    <w:rsid w:val="3EFC4AE4"/>
    <w:rsid w:val="3F0C0C5D"/>
    <w:rsid w:val="3F152EE5"/>
    <w:rsid w:val="3F310E2B"/>
    <w:rsid w:val="3F3E5B85"/>
    <w:rsid w:val="3F4D19AF"/>
    <w:rsid w:val="3F691A99"/>
    <w:rsid w:val="3F837DDF"/>
    <w:rsid w:val="3F8B7DD4"/>
    <w:rsid w:val="3F901403"/>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9865C2"/>
    <w:rsid w:val="40A70377"/>
    <w:rsid w:val="40BC5D67"/>
    <w:rsid w:val="40CC7CA3"/>
    <w:rsid w:val="40D775A2"/>
    <w:rsid w:val="40DC23A0"/>
    <w:rsid w:val="40EE33BE"/>
    <w:rsid w:val="40F61783"/>
    <w:rsid w:val="4100601D"/>
    <w:rsid w:val="410D75D5"/>
    <w:rsid w:val="411A76EB"/>
    <w:rsid w:val="411E3000"/>
    <w:rsid w:val="41402C24"/>
    <w:rsid w:val="414E7345"/>
    <w:rsid w:val="41546D3E"/>
    <w:rsid w:val="41591FEE"/>
    <w:rsid w:val="41696F7F"/>
    <w:rsid w:val="417240B9"/>
    <w:rsid w:val="417C0D06"/>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F02B6"/>
    <w:rsid w:val="42523372"/>
    <w:rsid w:val="42672C44"/>
    <w:rsid w:val="42683145"/>
    <w:rsid w:val="427133C0"/>
    <w:rsid w:val="42715180"/>
    <w:rsid w:val="4277762F"/>
    <w:rsid w:val="428E0BFE"/>
    <w:rsid w:val="429D7D7D"/>
    <w:rsid w:val="42B06FDD"/>
    <w:rsid w:val="42B23DF0"/>
    <w:rsid w:val="42B45768"/>
    <w:rsid w:val="42DD7341"/>
    <w:rsid w:val="42E637C3"/>
    <w:rsid w:val="42FD1410"/>
    <w:rsid w:val="430C488E"/>
    <w:rsid w:val="43184FA0"/>
    <w:rsid w:val="431F563A"/>
    <w:rsid w:val="432151DF"/>
    <w:rsid w:val="432A3E0D"/>
    <w:rsid w:val="432D0CD2"/>
    <w:rsid w:val="4338356A"/>
    <w:rsid w:val="433E24EE"/>
    <w:rsid w:val="43412F21"/>
    <w:rsid w:val="4348259E"/>
    <w:rsid w:val="434C0977"/>
    <w:rsid w:val="434D5EB2"/>
    <w:rsid w:val="43604502"/>
    <w:rsid w:val="43705840"/>
    <w:rsid w:val="437E6752"/>
    <w:rsid w:val="43803823"/>
    <w:rsid w:val="438D2FF7"/>
    <w:rsid w:val="43AF6845"/>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C0EF3"/>
    <w:rsid w:val="45CF5AD4"/>
    <w:rsid w:val="45D61E17"/>
    <w:rsid w:val="45DD06D9"/>
    <w:rsid w:val="460D21F2"/>
    <w:rsid w:val="460E0469"/>
    <w:rsid w:val="460E0A15"/>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2B26B0"/>
    <w:rsid w:val="483A31DC"/>
    <w:rsid w:val="48440530"/>
    <w:rsid w:val="484715CC"/>
    <w:rsid w:val="485D616F"/>
    <w:rsid w:val="4873370F"/>
    <w:rsid w:val="48942C25"/>
    <w:rsid w:val="4898666C"/>
    <w:rsid w:val="489B75DE"/>
    <w:rsid w:val="489F44D2"/>
    <w:rsid w:val="48A82C22"/>
    <w:rsid w:val="48A85054"/>
    <w:rsid w:val="48AB4379"/>
    <w:rsid w:val="48B5305A"/>
    <w:rsid w:val="48B63FE7"/>
    <w:rsid w:val="48C71061"/>
    <w:rsid w:val="48CC7D6E"/>
    <w:rsid w:val="48DD5408"/>
    <w:rsid w:val="48EB5A5C"/>
    <w:rsid w:val="490B579F"/>
    <w:rsid w:val="491F0291"/>
    <w:rsid w:val="4920208E"/>
    <w:rsid w:val="492A1C6E"/>
    <w:rsid w:val="492C7D33"/>
    <w:rsid w:val="493A79B5"/>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06B41"/>
    <w:rsid w:val="4A524812"/>
    <w:rsid w:val="4A526073"/>
    <w:rsid w:val="4A56215E"/>
    <w:rsid w:val="4A5D4A40"/>
    <w:rsid w:val="4A63534F"/>
    <w:rsid w:val="4A6C1B50"/>
    <w:rsid w:val="4A7E40F2"/>
    <w:rsid w:val="4A8561F1"/>
    <w:rsid w:val="4A943BC6"/>
    <w:rsid w:val="4A977A4A"/>
    <w:rsid w:val="4AA30352"/>
    <w:rsid w:val="4AAF17A9"/>
    <w:rsid w:val="4ABA7840"/>
    <w:rsid w:val="4AE623A4"/>
    <w:rsid w:val="4AE74F60"/>
    <w:rsid w:val="4AFF5CC6"/>
    <w:rsid w:val="4B1D3A51"/>
    <w:rsid w:val="4B280F1E"/>
    <w:rsid w:val="4B2B3281"/>
    <w:rsid w:val="4B2D7893"/>
    <w:rsid w:val="4B3D4E30"/>
    <w:rsid w:val="4B411E5A"/>
    <w:rsid w:val="4B413D26"/>
    <w:rsid w:val="4B6B6050"/>
    <w:rsid w:val="4B8B446D"/>
    <w:rsid w:val="4B8F6756"/>
    <w:rsid w:val="4BA324C2"/>
    <w:rsid w:val="4BB317A2"/>
    <w:rsid w:val="4BC27F8D"/>
    <w:rsid w:val="4BC97047"/>
    <w:rsid w:val="4BCC6CCE"/>
    <w:rsid w:val="4BE44E6C"/>
    <w:rsid w:val="4BF446B8"/>
    <w:rsid w:val="4C003E2A"/>
    <w:rsid w:val="4C061338"/>
    <w:rsid w:val="4C061EF7"/>
    <w:rsid w:val="4C497215"/>
    <w:rsid w:val="4C4F5F99"/>
    <w:rsid w:val="4C5474C5"/>
    <w:rsid w:val="4C5D0817"/>
    <w:rsid w:val="4C5E08E0"/>
    <w:rsid w:val="4C6B0365"/>
    <w:rsid w:val="4C7C64A4"/>
    <w:rsid w:val="4C9953D8"/>
    <w:rsid w:val="4CBF4AE9"/>
    <w:rsid w:val="4CCA7CF8"/>
    <w:rsid w:val="4CCC299D"/>
    <w:rsid w:val="4D0A349B"/>
    <w:rsid w:val="4D0D2E78"/>
    <w:rsid w:val="4D0F04ED"/>
    <w:rsid w:val="4D164C7E"/>
    <w:rsid w:val="4D384A7C"/>
    <w:rsid w:val="4D3A0411"/>
    <w:rsid w:val="4D427C91"/>
    <w:rsid w:val="4D7706F2"/>
    <w:rsid w:val="4D845711"/>
    <w:rsid w:val="4D8A02B7"/>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7194E"/>
    <w:rsid w:val="4EC951FF"/>
    <w:rsid w:val="4ED04B02"/>
    <w:rsid w:val="4ED346CC"/>
    <w:rsid w:val="4EDD6EFA"/>
    <w:rsid w:val="4EE96853"/>
    <w:rsid w:val="4F105F02"/>
    <w:rsid w:val="4F121BEA"/>
    <w:rsid w:val="4F172396"/>
    <w:rsid w:val="4F1D4181"/>
    <w:rsid w:val="4F3F03C1"/>
    <w:rsid w:val="4F4C2971"/>
    <w:rsid w:val="4F566ACF"/>
    <w:rsid w:val="4F704BBC"/>
    <w:rsid w:val="4F8028EE"/>
    <w:rsid w:val="4F8435B4"/>
    <w:rsid w:val="4F8C7DDC"/>
    <w:rsid w:val="4FAD0DF7"/>
    <w:rsid w:val="4FBC1F04"/>
    <w:rsid w:val="4FBD361C"/>
    <w:rsid w:val="4FBE1CEA"/>
    <w:rsid w:val="4FC15F00"/>
    <w:rsid w:val="4FF17370"/>
    <w:rsid w:val="4FF77C61"/>
    <w:rsid w:val="50037C0C"/>
    <w:rsid w:val="500F51F9"/>
    <w:rsid w:val="50200CEA"/>
    <w:rsid w:val="502A7546"/>
    <w:rsid w:val="502E1CFA"/>
    <w:rsid w:val="50371519"/>
    <w:rsid w:val="503D6ACE"/>
    <w:rsid w:val="50447CE3"/>
    <w:rsid w:val="504570EB"/>
    <w:rsid w:val="505A0A75"/>
    <w:rsid w:val="505B05E7"/>
    <w:rsid w:val="507521C1"/>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217FFE"/>
    <w:rsid w:val="5234477C"/>
    <w:rsid w:val="52475C9F"/>
    <w:rsid w:val="52515077"/>
    <w:rsid w:val="525A327C"/>
    <w:rsid w:val="526C3669"/>
    <w:rsid w:val="52806E8B"/>
    <w:rsid w:val="52A84489"/>
    <w:rsid w:val="52B118DE"/>
    <w:rsid w:val="52B80D5E"/>
    <w:rsid w:val="52BF77E0"/>
    <w:rsid w:val="52C52078"/>
    <w:rsid w:val="52CB6EC0"/>
    <w:rsid w:val="52D061DA"/>
    <w:rsid w:val="52D211F8"/>
    <w:rsid w:val="52F26F28"/>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E5258C"/>
    <w:rsid w:val="54F52367"/>
    <w:rsid w:val="550A393D"/>
    <w:rsid w:val="5525121F"/>
    <w:rsid w:val="555B6E77"/>
    <w:rsid w:val="555E54FB"/>
    <w:rsid w:val="556B7B91"/>
    <w:rsid w:val="556D2811"/>
    <w:rsid w:val="55767F46"/>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F10A56"/>
    <w:rsid w:val="56FB32FA"/>
    <w:rsid w:val="570703AF"/>
    <w:rsid w:val="572D602C"/>
    <w:rsid w:val="573221A2"/>
    <w:rsid w:val="57364D30"/>
    <w:rsid w:val="573D71D1"/>
    <w:rsid w:val="57574216"/>
    <w:rsid w:val="57611DCD"/>
    <w:rsid w:val="57636B03"/>
    <w:rsid w:val="57A21363"/>
    <w:rsid w:val="57A54C20"/>
    <w:rsid w:val="57A71406"/>
    <w:rsid w:val="57B06D46"/>
    <w:rsid w:val="57B937A9"/>
    <w:rsid w:val="57BB4E50"/>
    <w:rsid w:val="57C34B39"/>
    <w:rsid w:val="57C94F80"/>
    <w:rsid w:val="57DE1F69"/>
    <w:rsid w:val="57E116B4"/>
    <w:rsid w:val="580C0140"/>
    <w:rsid w:val="580F431F"/>
    <w:rsid w:val="58100035"/>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B0A62"/>
    <w:rsid w:val="594E1B0E"/>
    <w:rsid w:val="594F32F2"/>
    <w:rsid w:val="595461B1"/>
    <w:rsid w:val="59591BB8"/>
    <w:rsid w:val="595C743E"/>
    <w:rsid w:val="595E1551"/>
    <w:rsid w:val="59760077"/>
    <w:rsid w:val="59820786"/>
    <w:rsid w:val="59A774F2"/>
    <w:rsid w:val="59AD15AB"/>
    <w:rsid w:val="59CE313C"/>
    <w:rsid w:val="59E474BD"/>
    <w:rsid w:val="59E869EC"/>
    <w:rsid w:val="59FC6B89"/>
    <w:rsid w:val="5A143012"/>
    <w:rsid w:val="5A261D0E"/>
    <w:rsid w:val="5A2907FC"/>
    <w:rsid w:val="5A2E6A84"/>
    <w:rsid w:val="5A3B0F06"/>
    <w:rsid w:val="5A412A61"/>
    <w:rsid w:val="5A4752E2"/>
    <w:rsid w:val="5A527BDD"/>
    <w:rsid w:val="5A7D1253"/>
    <w:rsid w:val="5A905E59"/>
    <w:rsid w:val="5A9311E7"/>
    <w:rsid w:val="5AA72593"/>
    <w:rsid w:val="5AA9358C"/>
    <w:rsid w:val="5AD0373D"/>
    <w:rsid w:val="5AF46A20"/>
    <w:rsid w:val="5AF502E2"/>
    <w:rsid w:val="5AF81B7B"/>
    <w:rsid w:val="5AF86253"/>
    <w:rsid w:val="5AF91E46"/>
    <w:rsid w:val="5AFB1569"/>
    <w:rsid w:val="5B047A73"/>
    <w:rsid w:val="5B081862"/>
    <w:rsid w:val="5B0A0B9B"/>
    <w:rsid w:val="5B1140FC"/>
    <w:rsid w:val="5B1C3DCA"/>
    <w:rsid w:val="5B1F176B"/>
    <w:rsid w:val="5B24355B"/>
    <w:rsid w:val="5B2D01BB"/>
    <w:rsid w:val="5B340596"/>
    <w:rsid w:val="5B3F26B3"/>
    <w:rsid w:val="5B467F94"/>
    <w:rsid w:val="5B491028"/>
    <w:rsid w:val="5B4B70AC"/>
    <w:rsid w:val="5B850F8B"/>
    <w:rsid w:val="5B8A7522"/>
    <w:rsid w:val="5B946B5D"/>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03E21"/>
    <w:rsid w:val="5C7370A0"/>
    <w:rsid w:val="5C790A6A"/>
    <w:rsid w:val="5C81109C"/>
    <w:rsid w:val="5C9E10E9"/>
    <w:rsid w:val="5C9E40DE"/>
    <w:rsid w:val="5CA11D7F"/>
    <w:rsid w:val="5CAF4CE5"/>
    <w:rsid w:val="5CB22033"/>
    <w:rsid w:val="5CC927D0"/>
    <w:rsid w:val="5CDA6371"/>
    <w:rsid w:val="5CF30224"/>
    <w:rsid w:val="5CFC64A7"/>
    <w:rsid w:val="5D033124"/>
    <w:rsid w:val="5D1516BF"/>
    <w:rsid w:val="5D1569ED"/>
    <w:rsid w:val="5D1A5C10"/>
    <w:rsid w:val="5D1B2A4F"/>
    <w:rsid w:val="5D2E6665"/>
    <w:rsid w:val="5D4F34F7"/>
    <w:rsid w:val="5D521435"/>
    <w:rsid w:val="5D623C65"/>
    <w:rsid w:val="5D7636FE"/>
    <w:rsid w:val="5D7F7A77"/>
    <w:rsid w:val="5D810CA8"/>
    <w:rsid w:val="5D8C1819"/>
    <w:rsid w:val="5DC477E0"/>
    <w:rsid w:val="5DCA3061"/>
    <w:rsid w:val="5DD05318"/>
    <w:rsid w:val="5DD161BA"/>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EC61A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C1728F"/>
    <w:rsid w:val="5FD95A66"/>
    <w:rsid w:val="5FDF2255"/>
    <w:rsid w:val="5FDF7A00"/>
    <w:rsid w:val="5FE12AC5"/>
    <w:rsid w:val="5FF309C7"/>
    <w:rsid w:val="5FFC4765"/>
    <w:rsid w:val="60046C0F"/>
    <w:rsid w:val="600E4F7F"/>
    <w:rsid w:val="60131685"/>
    <w:rsid w:val="601327BB"/>
    <w:rsid w:val="60245068"/>
    <w:rsid w:val="60255BE3"/>
    <w:rsid w:val="602717FC"/>
    <w:rsid w:val="602A62F8"/>
    <w:rsid w:val="602C01A9"/>
    <w:rsid w:val="60351EE3"/>
    <w:rsid w:val="603B1B21"/>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B4962"/>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DD3EBB"/>
    <w:rsid w:val="62EF16C5"/>
    <w:rsid w:val="62FA52C3"/>
    <w:rsid w:val="63077DCD"/>
    <w:rsid w:val="630C3818"/>
    <w:rsid w:val="63196725"/>
    <w:rsid w:val="631F3FB6"/>
    <w:rsid w:val="63307428"/>
    <w:rsid w:val="63356B20"/>
    <w:rsid w:val="633B4FC0"/>
    <w:rsid w:val="63446C38"/>
    <w:rsid w:val="6349142A"/>
    <w:rsid w:val="634B7547"/>
    <w:rsid w:val="63647D08"/>
    <w:rsid w:val="637B37CB"/>
    <w:rsid w:val="637E69F6"/>
    <w:rsid w:val="63B47AD6"/>
    <w:rsid w:val="63B55E70"/>
    <w:rsid w:val="63BD1F88"/>
    <w:rsid w:val="63D07482"/>
    <w:rsid w:val="63DE3AA9"/>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933BD2"/>
    <w:rsid w:val="66B40E42"/>
    <w:rsid w:val="66B56D61"/>
    <w:rsid w:val="66B56D68"/>
    <w:rsid w:val="66DA6071"/>
    <w:rsid w:val="66E9392A"/>
    <w:rsid w:val="66EA1480"/>
    <w:rsid w:val="67056631"/>
    <w:rsid w:val="67126948"/>
    <w:rsid w:val="6715177C"/>
    <w:rsid w:val="6730681F"/>
    <w:rsid w:val="674056F4"/>
    <w:rsid w:val="6745249B"/>
    <w:rsid w:val="674672D3"/>
    <w:rsid w:val="67622FB4"/>
    <w:rsid w:val="676E6425"/>
    <w:rsid w:val="67770DB9"/>
    <w:rsid w:val="67776ADD"/>
    <w:rsid w:val="6779797F"/>
    <w:rsid w:val="6789047F"/>
    <w:rsid w:val="67A27AF8"/>
    <w:rsid w:val="67A720F6"/>
    <w:rsid w:val="67AC1398"/>
    <w:rsid w:val="67E7540E"/>
    <w:rsid w:val="67EA1736"/>
    <w:rsid w:val="67F509D9"/>
    <w:rsid w:val="67FC02AC"/>
    <w:rsid w:val="68006207"/>
    <w:rsid w:val="68070E08"/>
    <w:rsid w:val="680E4CA4"/>
    <w:rsid w:val="682D2C3F"/>
    <w:rsid w:val="682D432C"/>
    <w:rsid w:val="68382592"/>
    <w:rsid w:val="684159B8"/>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6E45DE"/>
    <w:rsid w:val="6A7A60F7"/>
    <w:rsid w:val="6A7E417E"/>
    <w:rsid w:val="6A9C36E2"/>
    <w:rsid w:val="6AAC2E76"/>
    <w:rsid w:val="6AB90DA9"/>
    <w:rsid w:val="6AD73CE6"/>
    <w:rsid w:val="6AE03E44"/>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760430"/>
    <w:rsid w:val="6D76784D"/>
    <w:rsid w:val="6D8A08D8"/>
    <w:rsid w:val="6D9541F5"/>
    <w:rsid w:val="6D961017"/>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0DA7"/>
    <w:rsid w:val="6E7251F0"/>
    <w:rsid w:val="6E757524"/>
    <w:rsid w:val="6E7934F3"/>
    <w:rsid w:val="6E9C5623"/>
    <w:rsid w:val="6E9E05A5"/>
    <w:rsid w:val="6EAD6286"/>
    <w:rsid w:val="6EB24C59"/>
    <w:rsid w:val="6EBD3CCD"/>
    <w:rsid w:val="6EC9468F"/>
    <w:rsid w:val="6ECD60E1"/>
    <w:rsid w:val="6EDB6C60"/>
    <w:rsid w:val="6EE64158"/>
    <w:rsid w:val="6F0F28B8"/>
    <w:rsid w:val="6F2428C0"/>
    <w:rsid w:val="6F350CF1"/>
    <w:rsid w:val="6F3A17D7"/>
    <w:rsid w:val="6F433285"/>
    <w:rsid w:val="6F5437E3"/>
    <w:rsid w:val="6F591B5D"/>
    <w:rsid w:val="6F7E65DB"/>
    <w:rsid w:val="6F7F6D3A"/>
    <w:rsid w:val="6F8D476D"/>
    <w:rsid w:val="6F9016E6"/>
    <w:rsid w:val="6F981073"/>
    <w:rsid w:val="6FA172A4"/>
    <w:rsid w:val="6FE07DD0"/>
    <w:rsid w:val="6FEC6F26"/>
    <w:rsid w:val="6FF72D78"/>
    <w:rsid w:val="6FFF65EB"/>
    <w:rsid w:val="702D3A00"/>
    <w:rsid w:val="70341230"/>
    <w:rsid w:val="70342FAD"/>
    <w:rsid w:val="7034472B"/>
    <w:rsid w:val="705A14E5"/>
    <w:rsid w:val="705A4D1B"/>
    <w:rsid w:val="705F37D3"/>
    <w:rsid w:val="708B108A"/>
    <w:rsid w:val="709143C4"/>
    <w:rsid w:val="70930271"/>
    <w:rsid w:val="70CB3DC2"/>
    <w:rsid w:val="70DB5146"/>
    <w:rsid w:val="70E51B6F"/>
    <w:rsid w:val="70E561EA"/>
    <w:rsid w:val="70FA4092"/>
    <w:rsid w:val="70FC3C7A"/>
    <w:rsid w:val="71075B1A"/>
    <w:rsid w:val="710E7F44"/>
    <w:rsid w:val="71193089"/>
    <w:rsid w:val="71211292"/>
    <w:rsid w:val="71243B68"/>
    <w:rsid w:val="712776C4"/>
    <w:rsid w:val="71371DE7"/>
    <w:rsid w:val="714344B4"/>
    <w:rsid w:val="71594A7F"/>
    <w:rsid w:val="71654226"/>
    <w:rsid w:val="7181738B"/>
    <w:rsid w:val="71820038"/>
    <w:rsid w:val="71860B86"/>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ED6920"/>
    <w:rsid w:val="74F13E40"/>
    <w:rsid w:val="75065956"/>
    <w:rsid w:val="750B1697"/>
    <w:rsid w:val="7525120A"/>
    <w:rsid w:val="752A3F7B"/>
    <w:rsid w:val="7533655A"/>
    <w:rsid w:val="754222FC"/>
    <w:rsid w:val="75444F15"/>
    <w:rsid w:val="75485488"/>
    <w:rsid w:val="75692896"/>
    <w:rsid w:val="75733C39"/>
    <w:rsid w:val="758516A2"/>
    <w:rsid w:val="759A2104"/>
    <w:rsid w:val="75B35E00"/>
    <w:rsid w:val="75CD1343"/>
    <w:rsid w:val="75EB2F64"/>
    <w:rsid w:val="75F04A64"/>
    <w:rsid w:val="76090780"/>
    <w:rsid w:val="7609404D"/>
    <w:rsid w:val="760F1847"/>
    <w:rsid w:val="76192C32"/>
    <w:rsid w:val="761D1573"/>
    <w:rsid w:val="761F64EF"/>
    <w:rsid w:val="76281DF8"/>
    <w:rsid w:val="763929C4"/>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25DC3"/>
    <w:rsid w:val="772354E1"/>
    <w:rsid w:val="77276E30"/>
    <w:rsid w:val="772C68C6"/>
    <w:rsid w:val="773E0DC5"/>
    <w:rsid w:val="77594BC8"/>
    <w:rsid w:val="77652DD1"/>
    <w:rsid w:val="776C53FF"/>
    <w:rsid w:val="776E3681"/>
    <w:rsid w:val="777E5705"/>
    <w:rsid w:val="7781654E"/>
    <w:rsid w:val="77881C4F"/>
    <w:rsid w:val="779231D8"/>
    <w:rsid w:val="77A618BC"/>
    <w:rsid w:val="77B92312"/>
    <w:rsid w:val="77CC68FE"/>
    <w:rsid w:val="77DE5CDB"/>
    <w:rsid w:val="77F67883"/>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E0B4D"/>
    <w:rsid w:val="792078D7"/>
    <w:rsid w:val="79331EC1"/>
    <w:rsid w:val="79404911"/>
    <w:rsid w:val="794D0D3C"/>
    <w:rsid w:val="7967360B"/>
    <w:rsid w:val="79781473"/>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875C60"/>
    <w:rsid w:val="7BA76397"/>
    <w:rsid w:val="7BB151FD"/>
    <w:rsid w:val="7BB43296"/>
    <w:rsid w:val="7BBE12F2"/>
    <w:rsid w:val="7BDE6C84"/>
    <w:rsid w:val="7BE07A81"/>
    <w:rsid w:val="7BE81B8B"/>
    <w:rsid w:val="7BE97D38"/>
    <w:rsid w:val="7BED162A"/>
    <w:rsid w:val="7BF01170"/>
    <w:rsid w:val="7C272B3E"/>
    <w:rsid w:val="7C471D4F"/>
    <w:rsid w:val="7C573A0C"/>
    <w:rsid w:val="7C5A71C2"/>
    <w:rsid w:val="7C615DCB"/>
    <w:rsid w:val="7C7A6596"/>
    <w:rsid w:val="7CA76A22"/>
    <w:rsid w:val="7CB167D6"/>
    <w:rsid w:val="7CCC4E54"/>
    <w:rsid w:val="7CEB2ACD"/>
    <w:rsid w:val="7CEF6F65"/>
    <w:rsid w:val="7CF41D8D"/>
    <w:rsid w:val="7D04426F"/>
    <w:rsid w:val="7D0E7370"/>
    <w:rsid w:val="7D187F51"/>
    <w:rsid w:val="7D2745EF"/>
    <w:rsid w:val="7D2D2CA0"/>
    <w:rsid w:val="7D5607A5"/>
    <w:rsid w:val="7D5C29E8"/>
    <w:rsid w:val="7D6C69AF"/>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733E1"/>
    <w:rsid w:val="7E660C33"/>
    <w:rsid w:val="7E6637F7"/>
    <w:rsid w:val="7E707801"/>
    <w:rsid w:val="7E733B66"/>
    <w:rsid w:val="7E8A121F"/>
    <w:rsid w:val="7EA36680"/>
    <w:rsid w:val="7EAA0237"/>
    <w:rsid w:val="7EAD5A3E"/>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A3192C"/>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63</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2021-04-30T03:04:36Z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y fmtid="{D5CDD505-2E9C-101B-9397-08002B2CF9AE}" pid="4" name="ICV">
    <vt:lpwstr>D366F8CEF0B34B9A839F473A36DCA92E</vt:lpwstr>
  </property>
</Properties>
</file>