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9264" behindDoc="1" locked="0" layoutInCell="1" allowOverlap="1">
            <wp:simplePos x="0" y="0"/>
            <wp:positionH relativeFrom="column">
              <wp:posOffset>-1001395</wp:posOffset>
            </wp:positionH>
            <wp:positionV relativeFrom="paragraph">
              <wp:posOffset>-890905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60288;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3.18</w:t>
      </w: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_Toc3441 </w:instrText>
      </w:r>
      <w:r>
        <w:rPr>
          <w:rFonts w:hint="eastAsia" w:ascii="宋体" w:hAnsi="宋体" w:eastAsia="宋体" w:cs="宋体"/>
          <w:szCs w:val="21"/>
        </w:rPr>
        <w:fldChar w:fldCharType="separate"/>
      </w:r>
      <w:r>
        <w:rPr>
          <w:rFonts w:hint="eastAsia"/>
        </w:rPr>
        <w:t>一、 国际原油市场回顾 </w:t>
      </w:r>
      <w:r>
        <w:tab/>
      </w:r>
      <w:r>
        <w:fldChar w:fldCharType="begin"/>
      </w:r>
      <w:r>
        <w:instrText xml:space="preserve"> PAGEREF _Toc3441 \h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_Toc18328 </w:instrText>
      </w:r>
      <w:r>
        <w:rPr>
          <w:rFonts w:hint="eastAsia" w:ascii="宋体" w:hAnsi="宋体" w:eastAsia="宋体" w:cs="宋体"/>
          <w:szCs w:val="21"/>
        </w:rPr>
        <w:fldChar w:fldCharType="separate"/>
      </w:r>
      <w:r>
        <w:rPr>
          <w:rFonts w:hint="eastAsia" w:ascii="宋体" w:hAnsi="宋体"/>
          <w:szCs w:val="30"/>
          <w:highlight w:val="none"/>
          <w:lang w:val="en-US" w:eastAsia="zh-CN"/>
        </w:rPr>
        <w:t>1、国际原油收盘价涨跌情况（单位：美元/桶）</w:t>
      </w:r>
      <w:r>
        <w:tab/>
      </w:r>
      <w:r>
        <w:fldChar w:fldCharType="begin"/>
      </w:r>
      <w:r>
        <w:instrText xml:space="preserve"> PAGEREF _Toc18328 \h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_Toc209 </w:instrText>
      </w:r>
      <w:r>
        <w:rPr>
          <w:rFonts w:hint="eastAsia" w:ascii="宋体" w:hAnsi="宋体" w:eastAsia="宋体" w:cs="宋体"/>
          <w:szCs w:val="21"/>
        </w:rPr>
        <w:fldChar w:fldCharType="separate"/>
      </w:r>
      <w:r>
        <w:rPr>
          <w:rFonts w:hint="eastAsia" w:ascii="宋体" w:hAnsi="宋体"/>
          <w:szCs w:val="30"/>
          <w:highlight w:val="none"/>
          <w:lang w:val="en-US" w:eastAsia="zh-CN"/>
        </w:rPr>
        <w:t>2.2021年国际原油价格走势图</w:t>
      </w:r>
      <w:r>
        <w:tab/>
      </w:r>
      <w:r>
        <w:fldChar w:fldCharType="begin"/>
      </w:r>
      <w:r>
        <w:instrText xml:space="preserve"> PAGEREF _Toc209 \h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_Toc9996 </w:instrText>
      </w:r>
      <w:r>
        <w:rPr>
          <w:rFonts w:hint="eastAsia" w:ascii="宋体" w:hAnsi="宋体" w:eastAsia="宋体" w:cs="宋体"/>
          <w:szCs w:val="21"/>
        </w:rPr>
        <w:fldChar w:fldCharType="separate"/>
      </w:r>
      <w:r>
        <w:rPr>
          <w:rFonts w:hint="eastAsia" w:ascii="宋体" w:hAnsi="宋体"/>
          <w:szCs w:val="30"/>
          <w:highlight w:val="none"/>
          <w:lang w:val="en-US" w:eastAsia="zh-CN"/>
        </w:rPr>
        <w:t>1.1 美国原油库存情况</w:t>
      </w:r>
      <w:r>
        <w:tab/>
      </w:r>
      <w:r>
        <w:fldChar w:fldCharType="begin"/>
      </w:r>
      <w:r>
        <w:instrText xml:space="preserve"> PAGEREF _Toc9996 \h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_Toc25555 </w:instrText>
      </w:r>
      <w:r>
        <w:rPr>
          <w:rFonts w:hint="eastAsia" w:ascii="宋体" w:hAnsi="宋体" w:eastAsia="宋体" w:cs="宋体"/>
          <w:szCs w:val="21"/>
        </w:rPr>
        <w:fldChar w:fldCharType="separate"/>
      </w:r>
      <w:r>
        <w:rPr>
          <w:rFonts w:hint="eastAsia" w:ascii="宋体" w:hAnsi="宋体"/>
          <w:bCs/>
          <w:szCs w:val="30"/>
          <w:highlight w:val="none"/>
          <w:lang w:val="en-US" w:eastAsia="zh-CN"/>
        </w:rPr>
        <w:t>2美国经济形势</w:t>
      </w:r>
      <w:r>
        <w:tab/>
      </w:r>
      <w:r>
        <w:fldChar w:fldCharType="begin"/>
      </w:r>
      <w:r>
        <w:instrText xml:space="preserve"> PAGEREF _Toc25555 \h </w:instrText>
      </w:r>
      <w:r>
        <w:fldChar w:fldCharType="separate"/>
      </w:r>
      <w:r>
        <w:t>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_Toc28546 </w:instrText>
      </w:r>
      <w:r>
        <w:rPr>
          <w:rFonts w:hint="eastAsia" w:ascii="宋体" w:hAnsi="宋体" w:eastAsia="宋体" w:cs="宋体"/>
          <w:szCs w:val="21"/>
        </w:rPr>
        <w:fldChar w:fldCharType="separate"/>
      </w:r>
      <w:r>
        <w:rPr>
          <w:rFonts w:hint="eastAsia" w:ascii="宋体" w:hAnsi="宋体"/>
          <w:bCs/>
          <w:szCs w:val="30"/>
          <w:highlight w:val="none"/>
          <w:lang w:val="en-US" w:eastAsia="zh-CN"/>
        </w:rPr>
        <w:t>3世界经济形势</w:t>
      </w:r>
      <w:r>
        <w:tab/>
      </w:r>
      <w:r>
        <w:fldChar w:fldCharType="begin"/>
      </w:r>
      <w:r>
        <w:instrText xml:space="preserve"> PAGEREF _Toc28546 \h </w:instrText>
      </w:r>
      <w:r>
        <w:fldChar w:fldCharType="separate"/>
      </w:r>
      <w:r>
        <w:t>10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_Toc21786 </w:instrText>
      </w:r>
      <w:r>
        <w:rPr>
          <w:rFonts w:hint="eastAsia" w:ascii="宋体" w:hAnsi="宋体" w:eastAsia="宋体" w:cs="宋体"/>
          <w:szCs w:val="21"/>
        </w:rPr>
        <w:fldChar w:fldCharType="separate"/>
      </w:r>
      <w:r>
        <w:rPr>
          <w:rFonts w:hint="eastAsia" w:ascii="宋体" w:hAnsi="宋体"/>
          <w:bCs/>
          <w:szCs w:val="30"/>
          <w:highlight w:val="none"/>
          <w:lang w:val="en-US" w:eastAsia="zh-CN"/>
        </w:rPr>
        <w:t>4后市预测</w:t>
      </w:r>
      <w:r>
        <w:tab/>
      </w:r>
      <w:r>
        <w:fldChar w:fldCharType="begin"/>
      </w:r>
      <w:r>
        <w:instrText xml:space="preserve"> PAGEREF _Toc21786 \h </w:instrText>
      </w:r>
      <w:r>
        <w:fldChar w:fldCharType="separate"/>
      </w:r>
      <w:r>
        <w:t>12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_Toc24151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_Toc24151 \h </w:instrText>
      </w:r>
      <w:r>
        <w:fldChar w:fldCharType="separate"/>
      </w:r>
      <w:r>
        <w:t>14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_Toc22724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_Toc22724 \h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_Toc6779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_Toc6779 \h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_Toc10253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_Toc10253 \h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_Toc5666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_Toc5666 \h </w:instrText>
      </w:r>
      <w:r>
        <w:fldChar w:fldCharType="separate"/>
      </w:r>
      <w:r>
        <w:t>20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_Toc6836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_Toc6836 \h </w:instrText>
      </w:r>
      <w:r>
        <w:fldChar w:fldCharType="separate"/>
      </w:r>
      <w:r>
        <w:t>23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_Toc9985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_Toc9985 \h </w:instrText>
      </w:r>
      <w:r>
        <w:fldChar w:fldCharType="separate"/>
      </w:r>
      <w:r>
        <w:t>25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_Toc24766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_Toc24766 \h </w:instrText>
      </w:r>
      <w:r>
        <w:fldChar w:fldCharType="separate"/>
      </w:r>
      <w:r>
        <w:t>28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_Toc20870 </w:instrText>
      </w:r>
      <w:r>
        <w:rPr>
          <w:rFonts w:hint="eastAsia" w:ascii="宋体" w:hAnsi="宋体" w:eastAsia="宋体" w:cs="宋体"/>
          <w:szCs w:val="21"/>
        </w:rPr>
        <w:fldChar w:fldCharType="separate"/>
      </w:r>
      <w:r>
        <w:rPr>
          <w:rFonts w:hint="eastAsia" w:ascii="宋体" w:hAnsi="宋体"/>
          <w:szCs w:val="30"/>
          <w:lang w:val="en-US" w:eastAsia="zh-CN"/>
        </w:rPr>
        <w:t>四、2020年12月份进出口统计数据</w:t>
      </w:r>
      <w:r>
        <w:tab/>
      </w:r>
      <w:r>
        <w:fldChar w:fldCharType="begin"/>
      </w:r>
      <w:r>
        <w:instrText xml:space="preserve"> PAGEREF _Toc20870 \h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_Toc14178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12</w:t>
      </w:r>
      <w:r>
        <w:rPr>
          <w:rFonts w:hint="eastAsia" w:ascii="宋体" w:hAnsi="宋体"/>
          <w:szCs w:val="30"/>
        </w:rPr>
        <w:t>份全国车用汽油</w:t>
      </w:r>
      <w:r>
        <w:rPr>
          <w:rFonts w:hint="eastAsia" w:ascii="宋体" w:hAnsi="宋体"/>
          <w:szCs w:val="30"/>
          <w:lang w:eastAsia="zh-CN"/>
        </w:rPr>
        <w:t>进</w:t>
      </w:r>
      <w:r>
        <w:rPr>
          <w:rFonts w:hint="eastAsia" w:ascii="宋体" w:hAnsi="宋体"/>
          <w:szCs w:val="30"/>
        </w:rPr>
        <w:t>出口统计数据</w:t>
      </w:r>
      <w:r>
        <w:tab/>
      </w:r>
      <w:r>
        <w:fldChar w:fldCharType="begin"/>
      </w:r>
      <w:r>
        <w:instrText xml:space="preserve"> PAGEREF _Toc14178 \h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_Toc26275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2</w:t>
      </w:r>
      <w:r>
        <w:rPr>
          <w:rFonts w:hint="eastAsia" w:ascii="宋体" w:hAnsi="宋体"/>
          <w:szCs w:val="30"/>
        </w:rPr>
        <w:t>月份全国柴油出口统计数据</w:t>
      </w:r>
      <w:r>
        <w:tab/>
      </w:r>
      <w:r>
        <w:fldChar w:fldCharType="begin"/>
      </w:r>
      <w:r>
        <w:instrText xml:space="preserve"> PAGEREF _Toc26275 \h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_Toc23056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12</w:t>
      </w:r>
      <w:r>
        <w:rPr>
          <w:rFonts w:hint="eastAsia" w:ascii="宋体" w:hAnsi="宋体"/>
          <w:szCs w:val="30"/>
        </w:rPr>
        <w:t>月份全国原油进出口统计数据</w:t>
      </w:r>
      <w:r>
        <w:tab/>
      </w:r>
      <w:r>
        <w:fldChar w:fldCharType="begin"/>
      </w:r>
      <w:r>
        <w:instrText xml:space="preserve"> PAGEREF _Toc23056 \h </w:instrText>
      </w:r>
      <w:r>
        <w:fldChar w:fldCharType="separate"/>
      </w:r>
      <w:r>
        <w:t>33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_Toc20776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12</w:t>
      </w:r>
      <w:r>
        <w:rPr>
          <w:rFonts w:hint="eastAsia" w:ascii="宋体" w:hAnsi="宋体"/>
          <w:szCs w:val="30"/>
        </w:rPr>
        <w:t>月份航空煤油进出口统计数据</w:t>
      </w:r>
      <w:r>
        <w:tab/>
      </w:r>
      <w:r>
        <w:fldChar w:fldCharType="begin"/>
      </w:r>
      <w:r>
        <w:instrText xml:space="preserve"> PAGEREF _Toc20776 \h </w:instrText>
      </w:r>
      <w:r>
        <w:fldChar w:fldCharType="separate"/>
      </w:r>
      <w:r>
        <w:t>35</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
    <w:p/>
    <w:p/>
    <w:p/>
    <w:p/>
    <w:p/>
    <w:p/>
    <w:p>
      <w:pPr>
        <w:pStyle w:val="2"/>
        <w:numPr>
          <w:ilvl w:val="0"/>
          <w:numId w:val="1"/>
        </w:numPr>
        <w:spacing w:before="120" w:after="0" w:line="240" w:lineRule="auto"/>
        <w:rPr>
          <w:rFonts w:hint="eastAsia"/>
        </w:rPr>
      </w:pPr>
      <w:bookmarkStart w:id="0" w:name="_Toc3441"/>
      <w:r>
        <w:rPr>
          <w:rFonts w:hint="eastAsia"/>
        </w:rPr>
        <w:t>国际原油市场回顾 </w:t>
      </w:r>
      <w:bookmarkEnd w:id="0"/>
    </w:p>
    <w:p>
      <w:pPr>
        <w:ind w:left="420"/>
        <w:rPr>
          <w:rFonts w:hint="eastAsia" w:asciiTheme="minorEastAsia" w:hAnsiTheme="minorEastAsia" w:eastAsiaTheme="minorEastAsia" w:cstheme="minorEastAsia"/>
          <w:b/>
          <w:bCs/>
          <w:kern w:val="0"/>
          <w:sz w:val="30"/>
          <w:szCs w:val="30"/>
        </w:rPr>
      </w:pPr>
      <w:bookmarkStart w:id="1" w:name="_Toc21786"/>
    </w:p>
    <w:p>
      <w:pPr>
        <w:widowControl/>
        <w:numPr>
          <w:ilvl w:val="0"/>
          <w:numId w:val="2"/>
        </w:numPr>
        <w:wordWrap w:val="0"/>
        <w:spacing w:after="90" w:line="288" w:lineRule="auto"/>
        <w:ind w:firstLine="238"/>
        <w:jc w:val="left"/>
        <w:outlineLvl w:val="1"/>
        <w:rPr>
          <w:rFonts w:hint="eastAsia" w:asciiTheme="minorEastAsia" w:hAnsiTheme="minorEastAsia" w:eastAsiaTheme="minorEastAsia" w:cstheme="minorEastAsia"/>
          <w:b/>
          <w:kern w:val="0"/>
          <w:sz w:val="30"/>
          <w:szCs w:val="30"/>
        </w:rPr>
      </w:pPr>
      <w:bookmarkStart w:id="2" w:name="_Toc66953452"/>
      <w:r>
        <w:rPr>
          <w:rFonts w:hint="eastAsia" w:asciiTheme="minorEastAsia" w:hAnsiTheme="minorEastAsia" w:eastAsiaTheme="minorEastAsia" w:cstheme="minorEastAsia"/>
          <w:b/>
          <w:kern w:val="0"/>
          <w:sz w:val="30"/>
          <w:szCs w:val="30"/>
        </w:rPr>
        <w:t>国际原油收盘价涨跌情况（单位：美元/桶）</w:t>
      </w:r>
      <w:bookmarkEnd w:id="2"/>
    </w:p>
    <w:tbl>
      <w:tblPr>
        <w:tblStyle w:val="24"/>
        <w:tblW w:w="8799" w:type="dxa"/>
        <w:jc w:val="center"/>
        <w:tblLayout w:type="fixed"/>
        <w:tblCellMar>
          <w:top w:w="15" w:type="dxa"/>
          <w:left w:w="15" w:type="dxa"/>
          <w:bottom w:w="15" w:type="dxa"/>
          <w:right w:w="15" w:type="dxa"/>
        </w:tblCellMar>
      </w:tblPr>
      <w:tblGrid>
        <w:gridCol w:w="1311"/>
        <w:gridCol w:w="978"/>
        <w:gridCol w:w="990"/>
        <w:gridCol w:w="5520"/>
      </w:tblGrid>
      <w:tr>
        <w:tblPrEx>
          <w:tblCellMar>
            <w:top w:w="15" w:type="dxa"/>
            <w:left w:w="15" w:type="dxa"/>
            <w:bottom w:w="15" w:type="dxa"/>
            <w:right w:w="15" w:type="dxa"/>
          </w:tblCellMar>
        </w:tblPrEx>
        <w:trPr>
          <w:trHeight w:val="516"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97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99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52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CellMar>
            <w:top w:w="15" w:type="dxa"/>
            <w:left w:w="15" w:type="dxa"/>
            <w:bottom w:w="15" w:type="dxa"/>
            <w:right w:w="15" w:type="dxa"/>
          </w:tblCellMar>
        </w:tblPrEx>
        <w:trPr>
          <w:trHeight w:val="1354"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2021/3/11</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66.02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69.63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pStyle w:val="23"/>
              <w:jc w:val="left"/>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原油收盘上涨。美国燃料油库存大幅下降，极寒天气后炼油厂恢复运营，市场预期原油供应过剩将只是短期现象，油价上涨。</w:t>
            </w:r>
          </w:p>
        </w:tc>
      </w:tr>
      <w:tr>
        <w:tblPrEx>
          <w:tblCellMar>
            <w:top w:w="15" w:type="dxa"/>
            <w:left w:w="15" w:type="dxa"/>
            <w:bottom w:w="15" w:type="dxa"/>
            <w:right w:w="15" w:type="dxa"/>
          </w:tblCellMar>
        </w:tblPrEx>
        <w:trPr>
          <w:trHeight w:val="1354"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2021/3/12</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65.61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69.22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pStyle w:val="23"/>
              <w:jc w:val="left"/>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原油收盘下跌。OPEC在月度报告中指出，未来几个月油市所面临的不确定性令其下调上半年全球石油需求预估，利空油价。</w:t>
            </w:r>
          </w:p>
        </w:tc>
      </w:tr>
      <w:tr>
        <w:tblPrEx>
          <w:tblCellMar>
            <w:top w:w="15" w:type="dxa"/>
            <w:left w:w="15" w:type="dxa"/>
            <w:bottom w:w="15" w:type="dxa"/>
            <w:right w:w="15" w:type="dxa"/>
          </w:tblCellMar>
        </w:tblPrEx>
        <w:trPr>
          <w:trHeight w:val="1773"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2021/3/15</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65.39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68.88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pStyle w:val="23"/>
              <w:jc w:val="left"/>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原油收盘下跌。尽管全球需求前景利好油价，但是对于通胀的担忧拖累油价从高位走低。另外随着新冠肺炎病例增加，欧洲出现新一轮封锁，人们担心能源需求可能会下降，利空油价。</w:t>
            </w:r>
          </w:p>
        </w:tc>
      </w:tr>
      <w:tr>
        <w:tblPrEx>
          <w:tblCellMar>
            <w:top w:w="15" w:type="dxa"/>
            <w:left w:w="15" w:type="dxa"/>
            <w:bottom w:w="15" w:type="dxa"/>
            <w:right w:w="15" w:type="dxa"/>
          </w:tblCellMar>
        </w:tblPrEx>
        <w:trPr>
          <w:trHeight w:val="1773"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2021/3/16</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68.39</w:t>
            </w:r>
          </w:p>
        </w:tc>
        <w:tc>
          <w:tcPr>
            <w:tcW w:w="5520" w:type="dxa"/>
            <w:tcBorders>
              <w:top w:val="single" w:color="000000" w:sz="4" w:space="0"/>
              <w:left w:val="single" w:color="000000" w:sz="4" w:space="0"/>
              <w:bottom w:val="single" w:color="000000" w:sz="4" w:space="0"/>
              <w:right w:val="single" w:color="000000" w:sz="4" w:space="0"/>
            </w:tcBorders>
            <w:noWrap w:val="0"/>
            <w:vAlign w:val="bottom"/>
          </w:tcPr>
          <w:p>
            <w:pPr>
              <w:pStyle w:val="23"/>
              <w:jc w:val="left"/>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原油收盘下跌。欧洲疫苗接种放缓引发市场对于该地区经济复苏的担忧，此外燃料需求也将面临威胁，有分析师估测美国原油库存或连续第四周增加也利空油价。</w:t>
            </w:r>
          </w:p>
        </w:tc>
      </w:tr>
      <w:tr>
        <w:tblPrEx>
          <w:tblCellMar>
            <w:top w:w="15" w:type="dxa"/>
            <w:left w:w="15" w:type="dxa"/>
            <w:bottom w:w="15" w:type="dxa"/>
            <w:right w:w="15" w:type="dxa"/>
          </w:tblCellMar>
        </w:tblPrEx>
        <w:trPr>
          <w:trHeight w:val="1797"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2021/3/17</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64.6</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68</w:t>
            </w:r>
          </w:p>
        </w:tc>
        <w:tc>
          <w:tcPr>
            <w:tcW w:w="5520"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原油收盘下跌。EIA称截至3月12日当周美原油库存增加但增幅低于预期，欧洲需求忧虑也利空油价，IEA月报称尽管新冠疫苗有望在今年晚些时候提振石油需求，但油价不太可能大幅度、持续性飙升。</w:t>
            </w:r>
          </w:p>
        </w:tc>
      </w:tr>
    </w:tbl>
    <w:p>
      <w:pPr>
        <w:widowControl/>
        <w:wordWrap w:val="0"/>
        <w:spacing w:after="90" w:line="288" w:lineRule="auto"/>
        <w:ind w:left="238"/>
        <w:jc w:val="left"/>
        <w:rPr>
          <w:rFonts w:hint="eastAsia" w:asciiTheme="minorEastAsia" w:hAnsiTheme="minorEastAsia" w:eastAsiaTheme="minorEastAsia" w:cstheme="minorEastAsia"/>
          <w:b/>
          <w:kern w:val="0"/>
          <w:sz w:val="30"/>
          <w:szCs w:val="30"/>
        </w:rPr>
      </w:pPr>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widowControl/>
        <w:wordWrap w:val="0"/>
        <w:spacing w:after="90" w:line="288" w:lineRule="auto"/>
        <w:ind w:firstLine="238"/>
        <w:jc w:val="left"/>
        <w:outlineLvl w:val="1"/>
        <w:rPr>
          <w:rFonts w:hint="eastAsia" w:asciiTheme="minorEastAsia" w:hAnsiTheme="minorEastAsia" w:eastAsiaTheme="minorEastAsia" w:cstheme="minorEastAsia"/>
          <w:b/>
          <w:kern w:val="0"/>
          <w:sz w:val="30"/>
          <w:szCs w:val="30"/>
        </w:rPr>
      </w:pPr>
      <w:bookmarkStart w:id="3" w:name="_Toc66953453"/>
      <w:r>
        <w:rPr>
          <w:rFonts w:hint="eastAsia" w:asciiTheme="minorEastAsia" w:hAnsiTheme="minorEastAsia" w:eastAsiaTheme="minorEastAsia" w:cstheme="minorEastAsia"/>
          <w:b/>
          <w:kern w:val="0"/>
          <w:sz w:val="30"/>
          <w:szCs w:val="30"/>
        </w:rPr>
        <w:t>2.2021年国际原油价格走势图</w:t>
      </w:r>
      <w:bookmarkEnd w:id="3"/>
    </w:p>
    <w:p>
      <w:pPr>
        <w:widowControl/>
        <w:wordWrap w:val="0"/>
        <w:spacing w:after="90" w:line="288" w:lineRule="auto"/>
        <w:jc w:val="left"/>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30"/>
          <w:szCs w:val="30"/>
        </w:rPr>
        <w:drawing>
          <wp:inline distT="0" distB="0" distL="114300" distR="114300">
            <wp:extent cx="4171315" cy="3761740"/>
            <wp:effectExtent l="0" t="0" r="635" b="1016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171315" cy="3761740"/>
                    </a:xfrm>
                    <a:prstGeom prst="rect">
                      <a:avLst/>
                    </a:prstGeom>
                    <a:noFill/>
                    <a:ln>
                      <a:noFill/>
                    </a:ln>
                  </pic:spPr>
                </pic:pic>
              </a:graphicData>
            </a:graphic>
          </wp:inline>
        </w:drawing>
      </w:r>
    </w:p>
    <w:p>
      <w:pPr>
        <w:rPr>
          <w:rFonts w:hint="eastAsia" w:asciiTheme="minorEastAsia" w:hAnsiTheme="minorEastAsia" w:eastAsiaTheme="minorEastAsia" w:cstheme="minorEastAsia"/>
        </w:rPr>
      </w:pPr>
    </w:p>
    <w:p>
      <w:pPr>
        <w:numPr>
          <w:ilvl w:val="0"/>
          <w:numId w:val="3"/>
        </w:numPr>
        <w:outlineLvl w:val="0"/>
        <w:rPr>
          <w:rFonts w:hint="eastAsia" w:asciiTheme="minorEastAsia" w:hAnsiTheme="minorEastAsia" w:eastAsiaTheme="minorEastAsia" w:cstheme="minorEastAsia"/>
          <w:b/>
          <w:bCs/>
          <w:kern w:val="0"/>
          <w:sz w:val="32"/>
          <w:szCs w:val="32"/>
        </w:rPr>
      </w:pPr>
      <w:bookmarkStart w:id="4" w:name="_Toc66953454"/>
      <w:r>
        <w:rPr>
          <w:rFonts w:hint="eastAsia" w:asciiTheme="minorEastAsia" w:hAnsiTheme="minorEastAsia" w:eastAsiaTheme="minorEastAsia" w:cstheme="minorEastAsia"/>
          <w:b/>
          <w:bCs/>
          <w:kern w:val="0"/>
          <w:sz w:val="32"/>
          <w:szCs w:val="32"/>
        </w:rPr>
        <w:t>近期影响国际原油市场的主要因素</w:t>
      </w:r>
      <w:bookmarkEnd w:id="4"/>
    </w:p>
    <w:p>
      <w:pPr>
        <w:ind w:firstLine="562" w:firstLineChars="200"/>
        <w:rPr>
          <w:rFonts w:hint="eastAsia" w:asciiTheme="minorEastAsia" w:hAnsiTheme="minorEastAsia" w:eastAsiaTheme="minorEastAsia" w:cstheme="minorEastAsia"/>
          <w:b/>
          <w:sz w:val="28"/>
          <w:szCs w:val="28"/>
        </w:rPr>
      </w:pPr>
    </w:p>
    <w:p>
      <w:pPr>
        <w:ind w:firstLine="551" w:firstLineChars="196"/>
        <w:outlineLvl w:val="1"/>
        <w:rPr>
          <w:rFonts w:hint="eastAsia" w:asciiTheme="minorEastAsia" w:hAnsiTheme="minorEastAsia" w:eastAsiaTheme="minorEastAsia" w:cstheme="minorEastAsia"/>
          <w:b/>
          <w:color w:val="000000"/>
          <w:sz w:val="28"/>
          <w:szCs w:val="28"/>
        </w:rPr>
      </w:pPr>
      <w:bookmarkStart w:id="5" w:name="_Toc66953455"/>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5"/>
          <w:kern w:val="2"/>
          <w:sz w:val="28"/>
          <w:szCs w:val="28"/>
          <w:shd w:val="clear" w:color="auto" w:fill="FFFFFF"/>
        </w:rPr>
        <w:t>本周美国EIA公布的数据显示，截至3月5日当周美国除却战略储备的商业原油库存增幅远超预期，精炼油库存和汽油库存降幅远超预期。具体数据显示，美国截至3月3日当周EIA原油库存变动实际公布增加1379.80万桶，预期减少83.3万桶，前值增加2156.3万桶。此外，美国截至3月3日当周EIA汽油库存实际公布减少1186.90万桶，预期减少416.7万桶，前值减少1362.4万桶;美国截至3月3日当周EIA精炼油库存实际公布减少550.40万桶，预期减少366.7万桶，前值减少971.9万桶。EIA报告显示，美国东海岸原油库存上周跌至历史最低水平。美国墨西哥湾原油库存上周升至去年7月以来最高水平。上周美国墨西哥湾地区的汽油库存降至2019年9月以来的最低水平。上周美国馏分油库存降至2020年4月以来的最低水平。美国东海岸上周汽油库存下降幅度为2016年9月以来最大。美国石油协会(API)公布的数据显示，美国截至3月5日当周API原油库存增加1279.2万桶，预期减少83.3万桶;汽油库存减少849.9万桶;精炼油库存减少479.6万桶。</w:t>
      </w: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66953456"/>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本周北京时间17日凌晨，美股周二收盘涨跌不一，微软、苹果、谷歌等科技股令纳指得到支撑。美联储即将公布利率决议与政策声明。美国2月零售创去年4月以来最低值，远逊市场预期。</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道指跌127.51点，或0.39%，报32825.95点;纳指涨11.86点，或0.09%，报13471.57点;标普500指数跌6.23点，或0.16%，报3962.71点。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周二早间，标普500指数最高上涨至3981.04点，创盘中历史新高。</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周一美股震荡收高，道指连续第四个交易日创历史新高，为2017年12月以来的最长纪录。标普500指数亦创盘中与收盘历史最高纪录。</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尽管最近美股迭创新高，但已有越来越多的人担心美债收益率继续攀升可能扼杀美股的涨势。周二午间美国10年期国债收益率重新上涨并突破1.62%，使三大股指悉数走低。</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美联储周二开始召开为期两天的货币政策会议，周三公布利率决议与政策声明，随后美联储主席鲍威尔将举办新闻发布会。投资者将聆听美联储有关利率与通胀前景的更多资讯。</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贝莱德全球固定收益部门的首席信息官Rick Rieder表示：“市场会凝神关注鲍威尔在新闻发布会上说的每一个字。如果他什么都没说，市场会发生变化。如果他说了很多，市场也会被带动。”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最近美国国债收益率的上升，已促使投资者转出增长型股票，因为这类公司未来的现金流相对于其他资产而言已不那么吸引人了。</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LPL Financial的策略师指出：“新冠疫苗的推广，使我们的经济更接近完全开放，疫苗的普及还可能是评估2021年经济增长前景的最重要因素。我们预计国债收益率将对市场的威胁将会逐渐消失。”</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纳指得到大型科技股的支撑，苹果和谷歌母公司Alphabet分别上涨了约1.4%，亚马逊上涨了0.7%，微软、英特尔、美光科技等悉数收高。</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受到投资者从成长型股票转向价值股的板块轮动影响，苹果和亚马逊近几个月的表现不佳，但一些策略师称，许多较成熟的科技股现在看来价格更低。</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Edward Jones投资策略师Angelo Kourkafas表示：“这些都是具有良好资产负债表的高利润企业。他们可能是表现相对较差的股票，但基于他们目前的估值，我很难想象它们可能会出现严重或持续的回调。”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经济数据面，周二公布的数据显示，美国2月零售额下降了3%，下降幅度超预期，部分反映了当月美国的极端冬季严寒气候。但是1月份的零售数据从增长5.3%上调至7.6%，因此市场在很大程度上忽略了2月份的数据。</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市场的冷静反映在CBOE波动率指数跌破20、降至2020年2月以来的最低水平。CBOE波动率指又被称为恐慌指数，该指数衡量的是期权定价所隐含的未来股市价格波动幅度的大小。</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市场预期1.9万亿美元刺激法案的出炉将能促进消费者开支与经济增长。大多数美国人已从周末开始收到1400美元刺激支票，预计刺激支票有望促进消费者开支反弹，华尔街经济学家已纷纷提高今年的GDP预期。</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疫苗消息面，市场对欧洲新冠病毒疫苗推出的波折感到担忧。包括德国、法国、西班牙和意大利在内的多个欧洲国家在最近几天暂停了阿斯利康疫苗的推广，此前有报道称该疫苗可能导致接种者出现血栓。</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欧洲药品监管机构(EMA)认为该疫苗的好处“依旧大于其不良反应的风险”，并宣布将于16日和18日召开会议，以决定如何采取下一步的行动。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美联储会议开始 经济前景与利率路径立场受关注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从周二开始召开为期两天的货币政策会议，周三会议结束后美联储将公布货币利率决议与政策声明。投资者渴望从中窥探央行关于经济前景与利率路径的立场。美联储主席鲍威尔将在会议结束后召开新闻发布会。</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国债收益率的飙升和美国经济反弹，使美联储的宽松政策成为人们关注的焦点，市场观察人士关注美联储可能在何时考虑解除这些政策。</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XM投资分析师Marios Hadjikyriacos表示：“美国疫苗接种进程的加速，以及即将到来的开支热潮，似乎重新唤起了投资者的风险偏好。他们期待今年夏季的经济数据表现出色。”</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Marios Hadjikyriacos称：“即使美联储明天有可能采取更加鹰派的立场，这种风险也被市场参与者忽略了。投资者早已为美联储提早加息定价，即使美联储货币政策制定者通过著名的‘加息路径点阵图’来发出2023年加息的讯号，那也符合市场定价，因此不会带来太大冲击。”</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美国2月零售销售数据大幅不及预期</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美国商务部报告称，美国2月零售销售月率实际公布-3%，预期-0.5%，前值5.3%;美国2月零售销售年率实际公布-3%，前值5.8%。美国2月零售销售月率录得-3%，创去年4月以来新低。</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美国2月核心零售销售月率实际公布-2.70%，预期0.1%，前值5.9%。</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同时公布的另一项美国数据显示，美国2月进口物价指数月率实际公布1.30%，预期1%，前值1.4%;美国2月进口物价指数年率实际公布3%，预期2.6%，前值0.9%。</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分析指出，根据最新的信用卡和借记卡月度汇总数据，2月份核心零售销售下滑主要是因为三个因素：1月份的报告受到了个人刺激性支票的提振、退税延迟，以及冬季的暴风雪天气。</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前两个因素导致低收入家庭的支出尤其疲软，最低收入群体消费平均环比下滑5.5%。而天气因素削弱了德克萨斯州的消费活动，该州汽车零配件零售销售环比下滑了7.5%。</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分析指出，恶劣天气导致2月份的零售额和制造业产出双双下降，美国汽车制造商已经报告了2月份销量的下降。</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银首席经济学家米歇尔-迈尔表示，在2月底的疲软过后，3月将出现“决定性的支出复苏”，因此2月的数据录得下降，也是暂时的，鉴于3月初的数据强劲、3月底前就能发放新一轮的支票以及退税延迟政策，真正靓丽的“恐怖数据”将会在下个月出现。</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其他市场面</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纽约商品交易所4月交割的原油库存下降59美分，跌幅0.9%，收于每桶64.80美元。5月原油期货收于64.86美元。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伦敦洲际交易所5月交割的布伦特原油期货价格下跌49美分，跌幅0.7%，收于每桶68.39美元。</w:t>
      </w:r>
    </w:p>
    <w:p>
      <w:pPr>
        <w:pStyle w:val="23"/>
        <w:ind w:firstLine="643" w:firstLineChars="200"/>
        <w:outlineLvl w:val="1"/>
        <w:rPr>
          <w:rFonts w:hint="eastAsia" w:asciiTheme="minorEastAsia" w:hAnsiTheme="minorEastAsia" w:eastAsiaTheme="minorEastAsia" w:cstheme="minorEastAsia"/>
          <w:b/>
          <w:bCs/>
          <w:sz w:val="32"/>
          <w:szCs w:val="32"/>
        </w:rPr>
      </w:pPr>
      <w:bookmarkStart w:id="7" w:name="_Toc66953457"/>
      <w:r>
        <w:rPr>
          <w:rFonts w:hint="eastAsia" w:asciiTheme="minorEastAsia" w:hAnsiTheme="minorEastAsia" w:eastAsiaTheme="minorEastAsia" w:cstheme="minorEastAsia"/>
          <w:b/>
          <w:bCs/>
          <w:sz w:val="32"/>
          <w:szCs w:val="32"/>
        </w:rPr>
        <w:t>3.世界经济形势</w:t>
      </w:r>
      <w:bookmarkEnd w:id="7"/>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经济合作与发展组织日前发布的全球经济展望报告指出，全球经济今年将以5.6%的速度反弹，较去年12月的预测高出1.4个百分点。此前，国际货币基金组织也将2021年全球经济增速的预测值上调0.3个百分点至5.5%。</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去年，中国是全球唯一实现正增长的主要经济体，对全球经济增长的贡献率创下新高。未来，通过加快构建以国内大循环为主体、国内国际双循环相互促进的新发展格局，中国将给全球市场提供更加坚挺的需求支撑，也将给世界经济带来更加稳定的动力来源。</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今年全球经济增长预测之所以普遍乐观，主要基于三个原因。首先，在疫情冲击之下，2020年各国经济增长普遍受挫，低基数是今年同比数据向好的重要原因。其次，在同疫情赛跑的过程中，疫苗胜出的概率在上升。随着越来越多国家加紧疫苗注射，疫情拐点将加快到来，各国复工复产也将随之加速。再次，一些国家实施的宽松财政货币政策，继续为经济注入大量流动性。</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乐观预期之下，世界经济的复苏前景仍具有较强的不确定性，新兴市场国家尤其需要防范潜在风险。疫情发生后，美联储实施了极其宽松的货币政策，加剧了全球流动性过剩，新兴市场国家迎来大规模短期资本流入与本币升值。一旦美国经济超预期反弹，美联储边际收紧货币政策，可能导致新兴市场国家面临资本流出压力，甚至引发资产价格大幅下挫与本币汇率显著贬值。此外，由于各国疫苗接种进程不尽一致，疫情走势也存在不对称性，对大多数新兴市场和发展中国家依旧构成较大风险。</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与发达国家相比，新兴市场国家的复苏进程更易受到政策空间的限制。疫情防控期间，几乎所有发达国家都实施了极其宽松的财政货币政策，并在短期内稳定了金融市场、提升了实体经济。然而，新兴市场国家或是迫于债务压力，或是担心本币贬值和资本外逃，实施反周期宏观政策的能力较弱、空间较小，导致本轮疫情冲击之后的经济复苏也较为缓慢。面对各类不确定因素，中国今年设定了适度的经济增长目标，一方面为经济结构性改革、防范金融风险保留了政策空间，另一方面也给未知风险导致的经济波动留有余地。</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世界经济复苏进程中，各国合作应对至关重要。只有所有国家和地区的疫情都得到有效控制，全球经济增长才能出现实质性改善。未来，国际社会还应进一步加强疫苗合作、宏观经济政策协调和对发展中国家的政策支持，推动世界经济早日走出疫情冲击下的衰退阴影。</w:t>
      </w:r>
    </w:p>
    <w:p>
      <w:pPr>
        <w:pStyle w:val="3"/>
        <w:spacing w:before="120" w:after="120" w:line="240" w:lineRule="auto"/>
        <w:rPr>
          <w:rFonts w:hint="eastAsia" w:ascii="宋体" w:hAnsi="宋体"/>
          <w:b/>
          <w:bCs/>
          <w:sz w:val="30"/>
          <w:szCs w:val="30"/>
          <w:highlight w:val="none"/>
          <w:lang w:val="en-US" w:eastAsia="zh-CN"/>
        </w:rPr>
      </w:pPr>
      <w:r>
        <w:rPr>
          <w:rFonts w:hint="eastAsia" w:ascii="宋体" w:hAnsi="宋体"/>
          <w:b/>
          <w:bCs/>
          <w:sz w:val="30"/>
          <w:szCs w:val="30"/>
          <w:highlight w:val="none"/>
          <w:lang w:val="en-US" w:eastAsia="zh-CN"/>
        </w:rPr>
        <w:t>4后市预测</w:t>
      </w:r>
      <w:bookmarkEnd w:id="1"/>
    </w:p>
    <w:p>
      <w:pPr>
        <w:pStyle w:val="23"/>
        <w:spacing w:line="360" w:lineRule="auto"/>
        <w:ind w:firstLine="560" w:firstLineChars="200"/>
        <w:rPr>
          <w:rFonts w:hint="eastAsia" w:ascii="宋体" w:hAnsi="宋体" w:eastAsia="宋体" w:cs="宋体"/>
          <w:color w:val="333335"/>
          <w:kern w:val="2"/>
          <w:sz w:val="28"/>
          <w:szCs w:val="28"/>
          <w:shd w:val="clear" w:color="auto" w:fill="FFFFFF"/>
        </w:rPr>
      </w:pPr>
      <w:bookmarkStart w:id="8" w:name="_Toc24151"/>
      <w:r>
        <w:rPr>
          <w:rFonts w:hint="eastAsia" w:ascii="宋体" w:hAnsi="宋体" w:eastAsia="宋体" w:cs="宋体"/>
          <w:color w:val="333335"/>
          <w:kern w:val="2"/>
          <w:sz w:val="28"/>
          <w:szCs w:val="28"/>
          <w:shd w:val="clear" w:color="auto" w:fill="FFFFFF"/>
        </w:rPr>
        <w:t>本周美国</w:t>
      </w:r>
      <w:r>
        <w:rPr>
          <w:rFonts w:hint="eastAsia" w:ascii="宋体" w:hAnsi="宋体" w:eastAsia="宋体" w:cs="宋体"/>
          <w:color w:val="333335"/>
          <w:kern w:val="2"/>
          <w:sz w:val="28"/>
          <w:szCs w:val="28"/>
          <w:shd w:val="clear" w:color="auto" w:fill="FFFFFF"/>
          <w:lang w:val="en-US" w:eastAsia="zh-CN"/>
        </w:rPr>
        <w:t>W</w:t>
      </w:r>
      <w:r>
        <w:rPr>
          <w:rFonts w:hint="eastAsia" w:ascii="宋体" w:hAnsi="宋体" w:eastAsia="宋体" w:cs="宋体"/>
          <w:color w:val="333335"/>
          <w:kern w:val="2"/>
          <w:sz w:val="28"/>
          <w:szCs w:val="28"/>
          <w:shd w:val="clear" w:color="auto" w:fill="FFFFFF"/>
        </w:rPr>
        <w:t>TI原油原油价格在64.6-66.02美元/桶。布伦特原油价格在68-69.63美元/桶震荡。周内国际油价小幅下调。欧洲疫苗推广停滞引发对需求的悲观预期拖累油价，EIA原油库存符合预期但成品油库存意外上升，盘中油价一度遭遇重挫，不过美元走软帮助油价缩窄跌幅，外盘时间3月17日欧美原油期货价格连续第四日下跌。4月WTI：64.60跌0.20;5月布伦特：68.00跌0.39。基本面利好因素：1.周三，美联储如期宣布维持利率不变，并大幅调高了对经济增长的预期。但美联储同时表示，尽管经济前景有所改善，而且今年通货膨胀率有所上升，但预计在2023年之前不会加息。根据美国联邦公开市场委员会成员提交的季度经济预测，2021年美国国内生产总值(GDP)预计将增长6.5%，之后几年将降温。这一预估中值较去年12月进行的上一轮预测的4.2%有所改善。美联储预计2022年和2023年GDP将分别增长3.3%和2.2%，之后增长将稳定在较长期的2.3%范围内。基本面利空因素：1.美国能源信息署(EIA)发布的最新报告显示，上周原油库存增加239.6万桶至5.008亿桶，增加0.5%;上周原油出口减少11.3万桶/日至252万桶/日。2.欧洲部分国家的新冠疫情有反弹的趋势。法国总统马克龙周一表示，因巴黎大区疫情持续恶化，将在未来数日决定疫情应对措施，遏制病毒的进一步传播。此前，法国卫生总署署长萨洛蒙表示不排除再度“封城”。除此之外，欧洲暂停接种阿斯利康疫苗令市场担心该地区燃油需求复苏放缓。继多个欧洲国家后，瑞典和拉脱维亚也暂停接种了阿斯利康疫苗。欧洲药品管理局表示，正在调查副作用问题，调查结果将于周四公布。经纪商PVM的分析师Stephen Brennock表示，阿斯利康新冠疫苗接种暂停对欧元区经济和燃料复苏没有任何好处。“现在希望的是，欧洲可以让其缓慢的疫苗推广进程重回正轨”。另外IEA最新月报也加剧了油价的疲软。WTI原油在EIA数据公布前在64.5美元附近徘徊，数据公布后反弹趋势有所有所逆转。</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预测下周WTI油价将触及63-67美元/桶，布油在之后几个月触及67-70美元/桶。</w:t>
      </w:r>
    </w:p>
    <w:p>
      <w:pPr>
        <w:pStyle w:val="3"/>
        <w:spacing w:before="120" w:after="120" w:line="240" w:lineRule="auto"/>
        <w:rPr>
          <w:rFonts w:hint="eastAsia" w:ascii="宋体" w:hAnsi="宋体" w:eastAsia="宋体"/>
          <w:b/>
          <w:sz w:val="30"/>
          <w:szCs w:val="30"/>
          <w:highlight w:val="none"/>
          <w:lang w:val="en-US" w:eastAsia="zh-CN"/>
        </w:rPr>
      </w:pPr>
      <w:r>
        <w:rPr>
          <w:rFonts w:hint="eastAsia" w:ascii="宋体" w:hAnsi="宋体"/>
          <w:b/>
          <w:sz w:val="30"/>
          <w:szCs w:val="30"/>
          <w:highlight w:val="none"/>
        </w:rPr>
        <w:t>2.2国际市场MTBE价格</w:t>
      </w:r>
      <w:bookmarkEnd w:id="8"/>
      <w:r>
        <w:rPr>
          <w:rFonts w:hint="eastAsia" w:ascii="宋体" w:hAnsi="宋体"/>
          <w:b/>
          <w:sz w:val="30"/>
          <w:szCs w:val="30"/>
          <w:highlight w:val="none"/>
          <w:lang w:val="en-US" w:eastAsia="zh-CN"/>
        </w:rPr>
        <w:t xml:space="preserve"> </w:t>
      </w:r>
    </w:p>
    <w:p>
      <w:pPr>
        <w:rPr>
          <w:rFonts w:hint="eastAsia"/>
        </w:rPr>
      </w:pPr>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3月17日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214.71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726.00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3月16日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221.87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743.00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3月15日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715.00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222.21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730.00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3月12日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713.00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226.75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738.00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3月11日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699.50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226.01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715.75 </w:t>
            </w:r>
          </w:p>
        </w:tc>
      </w:tr>
    </w:tbl>
    <w:p>
      <w:pPr>
        <w:pStyle w:val="2"/>
        <w:numPr>
          <w:ilvl w:val="0"/>
          <w:numId w:val="0"/>
        </w:numPr>
        <w:spacing w:before="120" w:after="0" w:line="240" w:lineRule="auto"/>
        <w:rPr>
          <w:rFonts w:hint="eastAsia"/>
          <w:b/>
          <w:lang w:eastAsia="zh-CN"/>
        </w:rPr>
      </w:pPr>
    </w:p>
    <w:p>
      <w:pPr>
        <w:rPr>
          <w:rFonts w:hint="eastAsia"/>
          <w:lang w:eastAsia="zh-CN"/>
        </w:rPr>
      </w:pPr>
    </w:p>
    <w:p>
      <w:pPr>
        <w:pStyle w:val="2"/>
        <w:numPr>
          <w:ilvl w:val="0"/>
          <w:numId w:val="0"/>
        </w:numPr>
        <w:spacing w:before="120" w:after="0" w:line="240" w:lineRule="auto"/>
        <w:rPr>
          <w:rFonts w:hint="eastAsia"/>
          <w:b/>
        </w:rPr>
      </w:pPr>
      <w:bookmarkStart w:id="9" w:name="_Toc22724"/>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6779"/>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10306"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67"/>
        <w:gridCol w:w="893"/>
        <w:gridCol w:w="1053"/>
        <w:gridCol w:w="1197"/>
        <w:gridCol w:w="2325"/>
        <w:gridCol w:w="1755"/>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trPr>
        <w:tc>
          <w:tcPr>
            <w:tcW w:w="10306" w:type="dxa"/>
            <w:gridSpan w:val="7"/>
            <w:tcBorders>
              <w:top w:val="single" w:color="auto" w:sz="6" w:space="0"/>
              <w:left w:val="single" w:color="auto" w:sz="6" w:space="0"/>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b/>
                <w:bCs/>
                <w:caps w:val="0"/>
                <w:color w:val="000000"/>
                <w:spacing w:val="0"/>
                <w:sz w:val="24"/>
                <w:szCs w:val="24"/>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炼厂名称</w:t>
            </w:r>
          </w:p>
        </w:tc>
        <w:tc>
          <w:tcPr>
            <w:tcW w:w="893"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所在地</w:t>
            </w:r>
          </w:p>
        </w:tc>
        <w:tc>
          <w:tcPr>
            <w:tcW w:w="1053"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加工能力</w:t>
            </w:r>
          </w:p>
        </w:tc>
        <w:tc>
          <w:tcPr>
            <w:tcW w:w="1197"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检修装置</w:t>
            </w:r>
          </w:p>
        </w:tc>
        <w:tc>
          <w:tcPr>
            <w:tcW w:w="2325"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检修产能（单位：万吨）</w:t>
            </w:r>
          </w:p>
        </w:tc>
        <w:tc>
          <w:tcPr>
            <w:tcW w:w="1755"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起始时间</w:t>
            </w:r>
          </w:p>
        </w:tc>
        <w:tc>
          <w:tcPr>
            <w:tcW w:w="1816"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金陵石化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江苏</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1800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1800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2020/11/26</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济南炼化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山东</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800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800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2021年2月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燕山石化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北京</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1350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4#常减压</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长岭石化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湖南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lang w:eastAsia="zh-CN"/>
              </w:rPr>
            </w:pPr>
            <w:r>
              <w:rPr>
                <w:rFonts w:hint="eastAsia" w:cs="宋体"/>
                <w:caps w:val="0"/>
                <w:color w:val="000000"/>
                <w:spacing w:val="0"/>
                <w:sz w:val="20"/>
                <w:szCs w:val="20"/>
                <w:lang w:eastAsia="zh-CN"/>
              </w:rPr>
              <w:t>扬子石化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lang w:eastAsia="zh-CN"/>
              </w:rPr>
            </w:pPr>
            <w:r>
              <w:rPr>
                <w:rFonts w:hint="eastAsia" w:cs="宋体"/>
                <w:caps w:val="0"/>
                <w:color w:val="000000"/>
                <w:spacing w:val="0"/>
                <w:sz w:val="20"/>
                <w:szCs w:val="20"/>
                <w:lang w:eastAsia="zh-CN"/>
              </w:rPr>
              <w:t>江苏</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caps w:val="0"/>
                <w:color w:val="000000"/>
                <w:spacing w:val="0"/>
                <w:sz w:val="20"/>
                <w:szCs w:val="20"/>
                <w:lang w:val="en-US" w:eastAsia="zh-CN"/>
              </w:rPr>
            </w:pPr>
            <w:r>
              <w:rPr>
                <w:rFonts w:hint="eastAsia" w:cs="宋体"/>
                <w:caps w:val="0"/>
                <w:color w:val="000000"/>
                <w:spacing w:val="0"/>
                <w:sz w:val="20"/>
                <w:szCs w:val="20"/>
                <w:lang w:val="en-US" w:eastAsia="zh-CN"/>
              </w:rPr>
              <w:t>1450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lang w:eastAsia="zh-CN"/>
              </w:rPr>
            </w:pPr>
            <w:r>
              <w:rPr>
                <w:rFonts w:hint="eastAsia" w:cs="宋体"/>
                <w:caps w:val="0"/>
                <w:color w:val="000000"/>
                <w:spacing w:val="0"/>
                <w:sz w:val="20"/>
                <w:szCs w:val="20"/>
                <w:lang w:eastAsia="zh-CN"/>
              </w:rPr>
              <w:t>乙烯装置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lang w:val="en-US" w:eastAsia="zh-CN"/>
              </w:rPr>
            </w:pPr>
            <w:r>
              <w:rPr>
                <w:rFonts w:hint="eastAsia" w:cs="宋体"/>
                <w:caps w:val="0"/>
                <w:color w:val="000000"/>
                <w:spacing w:val="0"/>
                <w:sz w:val="20"/>
                <w:szCs w:val="20"/>
                <w:lang w:val="en-US" w:eastAsia="zh-CN"/>
              </w:rPr>
              <w:t>/</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caps w:val="0"/>
                <w:color w:val="000000"/>
                <w:spacing w:val="0"/>
                <w:sz w:val="20"/>
                <w:szCs w:val="20"/>
                <w:lang w:val="en-US" w:eastAsia="zh-CN"/>
              </w:rPr>
            </w:pPr>
            <w:r>
              <w:rPr>
                <w:rFonts w:hint="eastAsia" w:cs="宋体"/>
                <w:caps w:val="0"/>
                <w:color w:val="000000"/>
                <w:spacing w:val="0"/>
                <w:sz w:val="20"/>
                <w:szCs w:val="20"/>
                <w:lang w:val="en-US" w:eastAsia="zh-CN"/>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rPr>
            </w:pPr>
            <w:r>
              <w:rPr>
                <w:rFonts w:hint="eastAsia" w:cs="宋体"/>
                <w:caps w:val="0"/>
                <w:color w:val="000000"/>
                <w:spacing w:val="0"/>
                <w:sz w:val="20"/>
                <w:szCs w:val="20"/>
                <w:lang w:val="en-US" w:eastAsia="zh-CN"/>
              </w:rPr>
              <w:t>2021年5月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上海石化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上海</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1600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1600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茂名石化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广东</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5#常减压</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石家庄炼厂</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河北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2021年9月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海南炼化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海南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950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950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2021年11月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306"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b/>
                <w:bCs/>
                <w:caps w:val="0"/>
                <w:color w:val="000000"/>
                <w:spacing w:val="0"/>
                <w:sz w:val="20"/>
                <w:szCs w:val="20"/>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炼厂名称</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所在地</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加工能力</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检修装置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检修产能（单位：万吨）</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起始时间</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云南石化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云南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1300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1300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2020/12/5</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抚顺石化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辽宁</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2021年5月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吉林石化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吉林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2021年6月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格尔木炼厂</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青海</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2021/7/1</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306"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b/>
                <w:bCs/>
                <w:caps w:val="0"/>
                <w:color w:val="000000"/>
                <w:spacing w:val="0"/>
                <w:sz w:val="20"/>
                <w:szCs w:val="20"/>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炼厂名称</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所在地</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加工能力</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检修装置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检修产能（单位：万吨）</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起始时间</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东方石化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海南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2021/3/1</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惠州炼化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广东</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2200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二期</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w:t>
            </w:r>
          </w:p>
        </w:tc>
      </w:tr>
    </w:tbl>
    <w:p>
      <w:p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4"/>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612" w:type="dxa"/>
        <w:tblInd w:w="93" w:type="dxa"/>
        <w:shd w:val="clear" w:color="auto" w:fill="auto"/>
        <w:tblLayout w:type="fixed"/>
        <w:tblCellMar>
          <w:top w:w="0" w:type="dxa"/>
          <w:left w:w="108" w:type="dxa"/>
          <w:bottom w:w="0" w:type="dxa"/>
          <w:right w:w="108" w:type="dxa"/>
        </w:tblCellMar>
      </w:tblPr>
      <w:tblGrid>
        <w:gridCol w:w="1080"/>
        <w:gridCol w:w="1080"/>
        <w:gridCol w:w="1335"/>
        <w:gridCol w:w="1410"/>
        <w:gridCol w:w="972"/>
        <w:gridCol w:w="1770"/>
        <w:gridCol w:w="1965"/>
      </w:tblGrid>
      <w:tr>
        <w:tblPrEx>
          <w:shd w:val="clear" w:color="auto" w:fill="auto"/>
          <w:tblCellMar>
            <w:top w:w="0" w:type="dxa"/>
            <w:left w:w="108" w:type="dxa"/>
            <w:bottom w:w="0" w:type="dxa"/>
            <w:right w:w="108" w:type="dxa"/>
          </w:tblCellMar>
        </w:tblPrEx>
        <w:trPr>
          <w:trHeight w:val="300" w:hRule="atLeast"/>
        </w:trPr>
        <w:tc>
          <w:tcPr>
            <w:tcW w:w="9612" w:type="dxa"/>
            <w:gridSpan w:val="7"/>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地方炼厂装置检修计划表(单位：万吨)</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1080"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省市</w:t>
            </w:r>
          </w:p>
        </w:tc>
        <w:tc>
          <w:tcPr>
            <w:tcW w:w="1335"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炼厂名称</w:t>
            </w:r>
          </w:p>
        </w:tc>
        <w:tc>
          <w:tcPr>
            <w:tcW w:w="1410"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检修装置</w:t>
            </w:r>
          </w:p>
        </w:tc>
        <w:tc>
          <w:tcPr>
            <w:tcW w:w="972"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产能</w:t>
            </w:r>
          </w:p>
        </w:tc>
        <w:tc>
          <w:tcPr>
            <w:tcW w:w="1770"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开工时间</w:t>
            </w:r>
          </w:p>
        </w:tc>
        <w:tc>
          <w:tcPr>
            <w:tcW w:w="1965"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停工时间</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山东</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日照</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海右石化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柴油加氢</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2021年1月16日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日照</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海右石化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常减压</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2021年1月16日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红海化工</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全厂</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2021年1月15日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京博石化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常减压</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2021年3月1日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亚通石化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柴油加氢</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2021年3月中旬</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菏泽</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金诚石化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全厂（新厂）</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2021年3月中旬</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正和石化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全厂</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2021年3-4月</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博兴永鑫</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2021年2月底</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京博石化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延迟焦化</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2020年8月下旬</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东方华龙</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催化裂化</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2020年1月1日</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西南</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垦利石化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小重整</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2019年4月27日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33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龙海石化</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全厂检修</w:t>
            </w:r>
          </w:p>
        </w:tc>
        <w:tc>
          <w:tcPr>
            <w:tcW w:w="97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77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2021年3月底</w:t>
            </w:r>
          </w:p>
        </w:tc>
        <w:tc>
          <w:tcPr>
            <w:tcW w:w="196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2021年2月2日</w:t>
            </w:r>
          </w:p>
        </w:tc>
      </w:tr>
    </w:tbl>
    <w:p>
      <w:pPr>
        <w:rPr>
          <w:rFonts w:hint="eastAsia"/>
        </w:rPr>
      </w:pPr>
    </w:p>
    <w:p>
      <w:pPr>
        <w:pStyle w:val="3"/>
        <w:spacing w:before="120" w:after="120" w:line="240" w:lineRule="auto"/>
        <w:rPr>
          <w:rFonts w:hint="eastAsia" w:ascii="宋体" w:hAnsi="宋体"/>
          <w:b/>
          <w:sz w:val="30"/>
          <w:szCs w:val="30"/>
          <w:highlight w:val="none"/>
        </w:rPr>
      </w:pPr>
      <w:bookmarkStart w:id="11" w:name="_Toc10253"/>
      <w:r>
        <w:rPr>
          <w:rFonts w:hint="eastAsia" w:ascii="宋体" w:hAnsi="宋体"/>
          <w:b/>
          <w:sz w:val="30"/>
          <w:szCs w:val="30"/>
          <w:highlight w:val="none"/>
        </w:rPr>
        <w:t>3.2本周成品油市场行情</w:t>
      </w:r>
      <w:bookmarkEnd w:id="11"/>
    </w:p>
    <w:p>
      <w:pPr>
        <w:pStyle w:val="23"/>
        <w:spacing w:line="360" w:lineRule="auto"/>
        <w:ind w:firstLine="420" w:firstLineChars="200"/>
        <w:rPr>
          <w:rFonts w:hint="eastAsia" w:ascii="宋体" w:hAnsi="宋体" w:eastAsia="宋体" w:cs="宋体"/>
          <w:color w:val="333335"/>
          <w:kern w:val="2"/>
          <w:sz w:val="28"/>
          <w:szCs w:val="28"/>
          <w:shd w:val="clear" w:color="auto" w:fill="FFFFFF"/>
        </w:rPr>
      </w:pPr>
      <w:r>
        <w:rPr>
          <w:sz w:val="21"/>
          <w:szCs w:val="21"/>
        </w:rPr>
        <w:t>　</w:t>
      </w:r>
      <w:r>
        <w:rPr>
          <w:rFonts w:hint="eastAsia" w:ascii="宋体" w:hAnsi="宋体" w:eastAsia="宋体" w:cs="宋体"/>
          <w:color w:val="333335"/>
          <w:kern w:val="2"/>
          <w:sz w:val="28"/>
          <w:szCs w:val="28"/>
          <w:shd w:val="clear" w:color="auto" w:fill="FFFFFF"/>
        </w:rPr>
        <w:t>　本周，国际原油期货高位下跌，据测算第一个工作日参考原油变化率为-0.06%。受此影响，国内成品油市场行情横盘整理，各地主营单位汽柴油销售执行优惠政策。与此同时，山东地炼成品油行情稳中走低，各炼厂纷纷下调柴油价格，且成交保持100元/吨左右优惠。具体来看出货方面：受原油期货高位回落影响，区内油市看空情绪滋生，中下游商家购进操作谨慎，市场交投气氛转淡。山东地炼汽柴油出货不畅，价格承压走低，其中柴油价格明显下滑。随着柴油价格下跌，部分业者入市逢低购进，地炼柴油出货节奏一度加快。</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本周(3月12日-3月18日)消息面支撑存减弱趋势 区内油价高位盘整 具体分析如下，周内，国际油价涨后回调，不过变化率维持正向发展并如期兑现“九连涨”，消息面对市场支撑存减弱趋弱。区内主营成品油整体行情偏强，因市场前期利好多已提前消化，价格上涨阻力增加。多数单位实行挺价观望政策，挂牌价格守稳为主，部分单位根据自身情况报价涨跌调整，或为积极追赶销量，实行高挂低卖政策。不过随着原油近日接连收跌，下游用户入市心态愈加谨慎，市场购销提量困难。后市而言，短期原油或存有适度回调预期，新一轮零售价存搁浅预期，消息面指引力度有限。短期主营出货压力有增无减，加之市场终端需求提量有限。故预计短期内华中地区汽柴油价格或趋弱盘整，销售政策将十分灵活宽松，成交重心有下探趋势。</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12日-3月18日)，华东地区成品油行情窄幅波动为主，消息面利空因素主导，市场观望情绪为主，整体购销平平。具体来看，周内国际油价震荡下行，但本轮计价周期内，原油变化率仍维持正向，零售价如期兑现对油市形成一定支撑。区内部分主营单位小幅上调汽油价格，而柴油价格多有回调，整体汽柴油价格涨跌幅度在50-100元/吨。与此同时，山东地炼汽柴油均价弱势震荡，令主营外采成本随之下调。目前市场整体需求向好态势不变，但业者看空情绪为主，下游观望情绪不减，业者入市补货多刚需补货，整体购销氛围平平。后市而言，国际油价或弱势震荡为主，消息面或难寻有力支撑，加之新一轮原油变化率转为负向，个别主营单位或回调几率增加，但大部分主营单位或仍保持挺价为主，故预计短期内华东地区成品油行情或稳中小跌。</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11日-3月18日)，华南成品油市场呈现窄幅上行走势，业者观望气氛浓厚，交投气氛清淡。具体来看，周内国际原油市场阴跌不止，消息面利好支撑逐步减弱，不过成品油“九连涨”预期难以扭转，受上调预期提振，华南地区汽柴油市场整体维持高位守稳走势，但业者对于后期市场走势观点分化，贸易商实单操作谨慎，市场一度处于有价无市状态，目前来看多数主营单位月度销售任务完成情况欠佳，为保销量部分高价资源理性回调，成交价格明显暗降。国际原油市场维持窄幅盘整走势，新一轮成品油调价窗口呈现搁浅预期，消息面指引有限，进入下半月，主营单位赶量任务紧迫，不排除有继续降价刺激出货的可能，特别是柴油市场低价资源频现，多数业者依旧谨慎看跌，汽油终端市场需求情况平稳，预计价格面坚挺走稳的可能性较大。</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本周(3月12日-3月18日)，上调预期支撑 区内行情高位坚挺。分析来看，本周原油走势冲高回落，但调价变化率正值继续小幅拉宽，周初主营单位销售政策侧重保利，价格走势维持坚挺，市场观望气氛较重，下游业者操作较为谨慎。周内受地炼价格走势回落影响部分单位销售较为灵活，实际成交宽幅优惠，但市场反馈表现一般，购销气氛提升受限。周四“九连涨”调价预期落实，新一轮调价预期显示搁浅且主营单位多提前消化部分涨幅，仅个别单位报价小幅推涨，业者操作积极性不高，成交气氛继续清淡。后市而言，近期原油走势高位整理，新一轮调价预期初始处于搁浅，市场消息面支持整体受限。而在本轮上涨行情中，中间商库存普遍高位，下游消耗仍需一定时间周期，主营单位在短期内继续挺价为主，但随之进入月度下旬，市场销售压力逐渐走强，为刺激出货不排除部分单位明稳暗跌现象。</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12日-3月18日)，西北地炼汽柴行情趋于平稳，市场成交延续平淡。分析来看：虽然本周三成品油零售价兑现“九连涨”，但周内国际油价连续走跌，新一轮变化率负向开端，消息面对市场难有指引。虽然随着天气转暖，工程基建等行业开工增多，柴油需求逐步提升，而汽油方面，国内疫情得到有效控制，私家车出行增多，汽油需求亦有支撑。但当前汽柴价格维持高位，且业者前期备货较多，周内下游业者多消耗前期库存为主，市场购销气氛清淡。就后市而言，国际油价或震荡小跌，变化率负向区间运行，消息面对市场难有支撑。业者操作心态谨慎，消库之余按需补货为主，市场成交气氛平平。</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12日-3月18日)，西南地区汽柴行情震荡下行，市场成交仍维持平淡。分析来看：周内国际油价涨后回落，消息面对市场影响减弱。此外，下游需求提升有限，社会库存消耗缓慢。再者，业者对高价较为抵触，入市补货谨慎，市场成交气氛清淡。虽然本周三成品油零售价上调兑现，但新一轮变化率转为负向区间运行，后市行情变数增加。此外，进入月中旬，主营出货意愿增加，部分单位价格高位回落，且大单优惠力度亦有加深，成交重心整体下移。就后市而言，国际油价或稳中有降，变化率负向区间波动，消息面对市场难有支撑。此外，中下旬，主营单位积极赶量，优惠政策逐步放宽。预计短线西南地区汽柴行情窄幅松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后市前瞻：下周来看，国际油价保持整理态势，价格稳中有降。以WTI为例，预计下周的主流运行区间在64-66(均值64.5)美元/桶之间，环比下跌0.78美元/桶或1.19%。虽然季节性需求提升对区内行情起到一定支撑作用，但山东地炼缺乏消息面提振，汽柴油价格上涨乏力，因此建议中下游商家购进操作保持理性态度。预计下周山东地炼汽柴油价格稳中走低，幅度在50-100元/吨。</w:t>
      </w:r>
      <w:bookmarkStart w:id="22" w:name="_GoBack"/>
      <w:bookmarkEnd w:id="22"/>
    </w:p>
    <w:p>
      <w:pPr>
        <w:pStyle w:val="3"/>
        <w:spacing w:before="120" w:after="120" w:line="240" w:lineRule="auto"/>
        <w:rPr>
          <w:rFonts w:ascii="宋体" w:hAnsi="宋体"/>
          <w:b/>
          <w:sz w:val="30"/>
          <w:szCs w:val="30"/>
        </w:rPr>
      </w:pPr>
      <w:bookmarkStart w:id="12" w:name="_Toc5666"/>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p>
      <w:pPr>
        <w:rPr>
          <w:rFonts w:hint="eastAsia"/>
        </w:rPr>
      </w:pPr>
    </w:p>
    <w:tbl>
      <w:tblPr>
        <w:tblStyle w:val="24"/>
        <w:tblW w:w="9735" w:type="dxa"/>
        <w:tblInd w:w="0" w:type="dxa"/>
        <w:shd w:val="clear" w:color="auto" w:fill="auto"/>
        <w:tblLayout w:type="fixed"/>
        <w:tblCellMar>
          <w:top w:w="0" w:type="dxa"/>
          <w:left w:w="0" w:type="dxa"/>
          <w:bottom w:w="0" w:type="dxa"/>
          <w:right w:w="0" w:type="dxa"/>
        </w:tblCellMar>
      </w:tblPr>
      <w:tblGrid>
        <w:gridCol w:w="990"/>
        <w:gridCol w:w="1140"/>
        <w:gridCol w:w="1155"/>
        <w:gridCol w:w="1065"/>
        <w:gridCol w:w="885"/>
        <w:gridCol w:w="1080"/>
        <w:gridCol w:w="990"/>
        <w:gridCol w:w="1215"/>
        <w:gridCol w:w="1215"/>
      </w:tblGrid>
      <w:tr>
        <w:tblPrEx>
          <w:shd w:val="clear" w:color="auto" w:fill="auto"/>
          <w:tblCellMar>
            <w:top w:w="0" w:type="dxa"/>
            <w:left w:w="0" w:type="dxa"/>
            <w:bottom w:w="0" w:type="dxa"/>
            <w:right w:w="0" w:type="dxa"/>
          </w:tblCellMar>
        </w:tblPrEx>
        <w:trPr>
          <w:trHeight w:val="2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2021/3/18</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2021/3/11</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7420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7310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8366</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7415</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6836"/>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507" w:type="dxa"/>
        <w:tblInd w:w="0" w:type="dxa"/>
        <w:shd w:val="clear" w:color="auto" w:fill="auto"/>
        <w:tblLayout w:type="fixed"/>
        <w:tblCellMar>
          <w:top w:w="0" w:type="dxa"/>
          <w:left w:w="0" w:type="dxa"/>
          <w:bottom w:w="0" w:type="dxa"/>
          <w:right w:w="0" w:type="dxa"/>
        </w:tblCellMar>
      </w:tblPr>
      <w:tblGrid>
        <w:gridCol w:w="1017"/>
        <w:gridCol w:w="1110"/>
        <w:gridCol w:w="1245"/>
        <w:gridCol w:w="1050"/>
        <w:gridCol w:w="840"/>
        <w:gridCol w:w="1050"/>
        <w:gridCol w:w="810"/>
        <w:gridCol w:w="1185"/>
        <w:gridCol w:w="1200"/>
      </w:tblGrid>
      <w:tr>
        <w:tblPrEx>
          <w:shd w:val="clear" w:color="auto" w:fill="auto"/>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105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8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5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1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2021/3/18</w:t>
            </w:r>
          </w:p>
        </w:tc>
        <w:tc>
          <w:tcPr>
            <w:tcW w:w="120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2021/3/11</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bl>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4" w:name="_Toc9985"/>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Style w:val="24"/>
        <w:tblW w:w="9270" w:type="dxa"/>
        <w:tblInd w:w="0" w:type="dxa"/>
        <w:shd w:val="clear" w:color="auto" w:fill="auto"/>
        <w:tblLayout w:type="fixed"/>
        <w:tblCellMar>
          <w:top w:w="0" w:type="dxa"/>
          <w:left w:w="0" w:type="dxa"/>
          <w:bottom w:w="0" w:type="dxa"/>
          <w:right w:w="0" w:type="dxa"/>
        </w:tblCellMar>
      </w:tblPr>
      <w:tblGrid>
        <w:gridCol w:w="945"/>
        <w:gridCol w:w="1470"/>
        <w:gridCol w:w="977"/>
        <w:gridCol w:w="913"/>
        <w:gridCol w:w="1065"/>
        <w:gridCol w:w="1080"/>
        <w:gridCol w:w="1410"/>
        <w:gridCol w:w="1410"/>
      </w:tblGrid>
      <w:tr>
        <w:tblPrEx>
          <w:shd w:val="clear" w:color="auto" w:fill="auto"/>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7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1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2021/3/18</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2021/3/11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7427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24766"/>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p>
      <w:pPr>
        <w:rPr>
          <w:rFonts w:hint="eastAsia"/>
          <w:lang w:val="en-US" w:eastAsia="zh-CN"/>
        </w:rPr>
      </w:pPr>
    </w:p>
    <w:tbl>
      <w:tblPr>
        <w:tblStyle w:val="24"/>
        <w:tblW w:w="9600" w:type="dxa"/>
        <w:tblInd w:w="0" w:type="dxa"/>
        <w:shd w:val="clear" w:color="auto" w:fill="auto"/>
        <w:tblLayout w:type="fixed"/>
        <w:tblCellMar>
          <w:top w:w="0" w:type="dxa"/>
          <w:left w:w="0" w:type="dxa"/>
          <w:bottom w:w="0" w:type="dxa"/>
          <w:right w:w="0" w:type="dxa"/>
        </w:tblCellMar>
      </w:tblPr>
      <w:tblGrid>
        <w:gridCol w:w="675"/>
        <w:gridCol w:w="1875"/>
        <w:gridCol w:w="960"/>
        <w:gridCol w:w="1245"/>
        <w:gridCol w:w="1080"/>
        <w:gridCol w:w="1005"/>
        <w:gridCol w:w="1380"/>
        <w:gridCol w:w="1380"/>
      </w:tblGrid>
      <w:tr>
        <w:tblPrEx>
          <w:shd w:val="clear" w:color="auto" w:fill="auto"/>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2021/3/18</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2021/3/11</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5673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5863</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6045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5992</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bookmarkStart w:id="16" w:name="_Toc20870"/>
      <w:r>
        <w:rPr>
          <w:rFonts w:hint="eastAsia" w:ascii="宋体" w:hAnsi="宋体"/>
          <w:b/>
          <w:sz w:val="30"/>
          <w:szCs w:val="30"/>
          <w:lang w:val="en-US" w:eastAsia="zh-CN"/>
        </w:rPr>
        <w:t>四、2020年12月份进出口统计数据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14178"/>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份全国车用汽油</w:t>
      </w:r>
      <w:r>
        <w:rPr>
          <w:rFonts w:hint="eastAsia" w:ascii="宋体" w:hAnsi="宋体"/>
          <w:b/>
          <w:sz w:val="30"/>
          <w:szCs w:val="30"/>
          <w:lang w:eastAsia="zh-CN"/>
        </w:rPr>
        <w:t>进</w:t>
      </w:r>
      <w:r>
        <w:rPr>
          <w:rFonts w:hint="eastAsia" w:ascii="宋体" w:hAnsi="宋体"/>
          <w:b/>
          <w:sz w:val="30"/>
          <w:szCs w:val="30"/>
        </w:rPr>
        <w:t>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tbl>
      <w:tblPr>
        <w:tblStyle w:val="24"/>
        <w:tblW w:w="951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2920"/>
        <w:gridCol w:w="2605"/>
        <w:gridCol w:w="1030"/>
        <w:gridCol w:w="1933"/>
        <w:gridCol w:w="10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594" w:hRule="atLeast"/>
        </w:trPr>
        <w:tc>
          <w:tcPr>
            <w:tcW w:w="2920" w:type="dxa"/>
            <w:tcBorders>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商品名称 </w:t>
            </w:r>
          </w:p>
        </w:tc>
        <w:tc>
          <w:tcPr>
            <w:tcW w:w="2605" w:type="dxa"/>
            <w:tcBorders>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贸易伙伴名称 </w:t>
            </w:r>
          </w:p>
        </w:tc>
        <w:tc>
          <w:tcPr>
            <w:tcW w:w="1030" w:type="dxa"/>
            <w:tcBorders>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数量(吨）</w:t>
            </w:r>
          </w:p>
        </w:tc>
        <w:tc>
          <w:tcPr>
            <w:tcW w:w="1933" w:type="dxa"/>
            <w:tcBorders>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人民币（元） </w:t>
            </w:r>
          </w:p>
        </w:tc>
        <w:tc>
          <w:tcPr>
            <w:tcW w:w="1030" w:type="dxa"/>
            <w:tcBorders>
              <w:left w:val="nil"/>
              <w:bottom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缅甸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5603</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15290349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印度尼西亚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67890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199007037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日本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65619998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中国澳门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7206</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13284227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马来西亚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182747</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446388344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蒙古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6331</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16773785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巴基斯坦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54845</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130763702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菲律宾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363590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866992623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新加坡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491363</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1188245276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韩国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19744070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斯里兰卡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29666</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74701672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泰国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42976</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106408746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越南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28970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87129213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尼日利亚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62865</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163805390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7" w:hRule="atLeast"/>
        </w:trPr>
        <w:tc>
          <w:tcPr>
            <w:tcW w:w="2920" w:type="dxa"/>
            <w:tcBorders>
              <w:top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澳大利亚 </w:t>
            </w:r>
          </w:p>
        </w:tc>
        <w:tc>
          <w:tcPr>
            <w:tcW w:w="1030" w:type="dxa"/>
            <w:tcBorders>
              <w:top w:val="nil"/>
              <w:left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70035</w:t>
            </w:r>
          </w:p>
        </w:tc>
        <w:tc>
          <w:tcPr>
            <w:tcW w:w="1933" w:type="dxa"/>
            <w:tcBorders>
              <w:top w:val="nil"/>
              <w:left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176850280  </w:t>
            </w:r>
          </w:p>
        </w:tc>
        <w:tc>
          <w:tcPr>
            <w:tcW w:w="1030" w:type="dxa"/>
            <w:tcBorders>
              <w:top w:val="nil"/>
              <w:lef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2525</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tbl>
      <w:tblPr>
        <w:tblStyle w:val="24"/>
        <w:tblW w:w="9596" w:type="dxa"/>
        <w:tblInd w:w="93" w:type="dxa"/>
        <w:shd w:val="clear" w:color="auto" w:fill="auto"/>
        <w:tblLayout w:type="fixed"/>
        <w:tblCellMar>
          <w:top w:w="0" w:type="dxa"/>
          <w:left w:w="108" w:type="dxa"/>
          <w:bottom w:w="0" w:type="dxa"/>
          <w:right w:w="108" w:type="dxa"/>
        </w:tblCellMar>
      </w:tblPr>
      <w:tblGrid>
        <w:gridCol w:w="2418"/>
        <w:gridCol w:w="1662"/>
        <w:gridCol w:w="1549"/>
        <w:gridCol w:w="1908"/>
        <w:gridCol w:w="2059"/>
      </w:tblGrid>
      <w:tr>
        <w:tblPrEx>
          <w:shd w:val="clear" w:color="auto" w:fill="auto"/>
          <w:tblCellMar>
            <w:top w:w="0" w:type="dxa"/>
            <w:left w:w="108" w:type="dxa"/>
            <w:bottom w:w="0" w:type="dxa"/>
            <w:right w:w="108" w:type="dxa"/>
          </w:tblCellMar>
        </w:tblPrEx>
        <w:trPr>
          <w:trHeight w:val="654" w:hRule="atLeast"/>
        </w:trPr>
        <w:tc>
          <w:tcPr>
            <w:tcW w:w="2418"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贸易伙伴名称</w:t>
            </w:r>
          </w:p>
        </w:tc>
        <w:tc>
          <w:tcPr>
            <w:tcW w:w="1662"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2E363F"/>
                <w:sz w:val="20"/>
                <w:szCs w:val="20"/>
                <w:u w:val="none"/>
              </w:rPr>
            </w:pPr>
            <w:r>
              <w:rPr>
                <w:rFonts w:hint="eastAsia" w:ascii="宋体" w:hAnsi="宋体" w:eastAsia="宋体" w:cs="宋体"/>
                <w:b/>
                <w:bCs/>
                <w:i w:val="0"/>
                <w:iCs w:val="0"/>
                <w:color w:val="2E363F"/>
                <w:kern w:val="0"/>
                <w:sz w:val="20"/>
                <w:szCs w:val="20"/>
                <w:u w:val="none"/>
                <w:lang w:val="en-US" w:eastAsia="zh-CN" w:bidi="ar"/>
              </w:rPr>
              <w:t>数量（吨）</w:t>
            </w:r>
          </w:p>
        </w:tc>
        <w:tc>
          <w:tcPr>
            <w:tcW w:w="1549"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2E363F"/>
                <w:sz w:val="20"/>
                <w:szCs w:val="20"/>
                <w:u w:val="none"/>
              </w:rPr>
            </w:pPr>
            <w:r>
              <w:rPr>
                <w:rFonts w:hint="eastAsia" w:ascii="宋体" w:hAnsi="宋体" w:eastAsia="宋体" w:cs="宋体"/>
                <w:b/>
                <w:bCs/>
                <w:i w:val="0"/>
                <w:iCs w:val="0"/>
                <w:color w:val="2E363F"/>
                <w:kern w:val="0"/>
                <w:sz w:val="20"/>
                <w:szCs w:val="20"/>
                <w:u w:val="none"/>
                <w:lang w:val="en-US" w:eastAsia="zh-CN" w:bidi="ar"/>
              </w:rPr>
              <w:t>所占比率</w:t>
            </w:r>
          </w:p>
        </w:tc>
        <w:tc>
          <w:tcPr>
            <w:tcW w:w="1908"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2E363F"/>
                <w:sz w:val="20"/>
                <w:szCs w:val="20"/>
                <w:u w:val="none"/>
              </w:rPr>
            </w:pPr>
            <w:r>
              <w:rPr>
                <w:rFonts w:hint="eastAsia" w:ascii="宋体" w:hAnsi="宋体" w:eastAsia="宋体" w:cs="宋体"/>
                <w:b/>
                <w:bCs/>
                <w:i w:val="0"/>
                <w:iCs w:val="0"/>
                <w:color w:val="2E363F"/>
                <w:kern w:val="0"/>
                <w:sz w:val="20"/>
                <w:szCs w:val="20"/>
                <w:u w:val="none"/>
                <w:lang w:val="en-US" w:eastAsia="zh-CN" w:bidi="ar"/>
              </w:rPr>
              <w:t>当月金额（元）</w:t>
            </w:r>
          </w:p>
        </w:tc>
        <w:tc>
          <w:tcPr>
            <w:tcW w:w="2059"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2E363F"/>
                <w:sz w:val="20"/>
                <w:szCs w:val="20"/>
                <w:u w:val="none"/>
              </w:rPr>
            </w:pPr>
            <w:r>
              <w:rPr>
                <w:rFonts w:hint="eastAsia" w:ascii="宋体" w:hAnsi="宋体" w:eastAsia="宋体" w:cs="宋体"/>
                <w:b/>
                <w:bCs/>
                <w:i w:val="0"/>
                <w:iCs w:val="0"/>
                <w:color w:val="2E363F"/>
                <w:kern w:val="0"/>
                <w:sz w:val="20"/>
                <w:szCs w:val="20"/>
                <w:u w:val="none"/>
                <w:lang w:val="en-US" w:eastAsia="zh-CN" w:bidi="ar"/>
              </w:rPr>
              <w:t>当月均价（元/吨）</w:t>
            </w:r>
          </w:p>
        </w:tc>
      </w:tr>
      <w:tr>
        <w:tblPrEx>
          <w:tblCellMar>
            <w:top w:w="0" w:type="dxa"/>
            <w:left w:w="108" w:type="dxa"/>
            <w:bottom w:w="0" w:type="dxa"/>
            <w:right w:w="108" w:type="dxa"/>
          </w:tblCellMar>
        </w:tblPrEx>
        <w:trPr>
          <w:trHeight w:val="345"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埃塞俄比亚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1385706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2771.41</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安提瓜和巴布达</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170085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2616.69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澳大利亚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511757.9</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1129143671</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2206.4</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巴哈马</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871.61</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2393336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2745.89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巴拿马</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14671.54</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38208916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2604.29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百慕大</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2468.83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伯利兹</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55.44</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152370</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2748.23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丹麦</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354657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2848.65</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1493304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2680.98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多哥</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163349</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2969.98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俄罗斯联邦</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323.99</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889676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2746.03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菲律宾</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281264.18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593034277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2108.46</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217119.52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482577567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2222.64</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荷兰</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1025882</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2584.09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黑山</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83764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2792.13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喀麦隆</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182996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3049.93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开曼群岛</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139720</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2794.4</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利比里亚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6999.33</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20522887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2932.12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卢森堡</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18.77</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50134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2671.25</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马耳他</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2665.72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9623438</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3610.08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马来西亚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39836.93</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84277612</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2115.57</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马绍尔群岛</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5644.08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15684179</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2778.87</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毛里塔尼亚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657.61</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1712728</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2604.46</w:t>
            </w:r>
          </w:p>
        </w:tc>
      </w:tr>
      <w:tr>
        <w:tblPrEx>
          <w:tblCellMar>
            <w:top w:w="0" w:type="dxa"/>
            <w:left w:w="108" w:type="dxa"/>
            <w:bottom w:w="0" w:type="dxa"/>
            <w:right w:w="108" w:type="dxa"/>
          </w:tblCellMar>
        </w:tblPrEx>
        <w:trPr>
          <w:trHeight w:val="365"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孟加拉国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168692.41</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360439596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2136.67</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缅甸</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17191.04</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41815804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2432.42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挪威</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625.67</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1723483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2754.62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帕劳</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137755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2649.13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葡萄牙</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1141402</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4888.23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日本</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1392969</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4705.98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瑞士</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234354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2974.22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塞拉利昂</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66164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3308.2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塞浦路斯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3411295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2785.87</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沙特阿拉伯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479794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2665.52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圣其茨和尼维斯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286900</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2441.7</w:t>
            </w:r>
          </w:p>
        </w:tc>
      </w:tr>
      <w:tr>
        <w:tblPrEx>
          <w:tblCellMar>
            <w:top w:w="0" w:type="dxa"/>
            <w:left w:w="108" w:type="dxa"/>
            <w:bottom w:w="0" w:type="dxa"/>
            <w:right w:w="108" w:type="dxa"/>
          </w:tblCellMar>
        </w:tblPrEx>
        <w:trPr>
          <w:trHeight w:val="384"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圣文森特和格林纳丁斯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576051</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2306.05</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130563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2611.26</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图瓦卢</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574317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2871.59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希腊</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835.51</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2795036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3345.31</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新加坡</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161636.33</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347446436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2149.56</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牙买加</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56071</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2853.49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印度尼西亚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24063</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58666575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2438.04</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640.22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1669893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2608.32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越南</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16821.89</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34747789</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2065.63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智利</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77559.62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167610933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2161.06</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中国澳门</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4555.75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9735610</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2136.99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中国台湾</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455.62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1258785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2762.8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中国香港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361087.38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820207403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2271.49</w:t>
            </w:r>
          </w:p>
        </w:tc>
      </w:tr>
      <w:tr>
        <w:tblPrEx>
          <w:tblCellMar>
            <w:top w:w="0" w:type="dxa"/>
            <w:left w:w="108" w:type="dxa"/>
            <w:bottom w:w="0" w:type="dxa"/>
            <w:right w:w="108" w:type="dxa"/>
          </w:tblCellMar>
        </w:tblPrEx>
        <w:trPr>
          <w:trHeight w:val="357" w:hRule="atLeast"/>
        </w:trPr>
        <w:tc>
          <w:tcPr>
            <w:tcW w:w="2418" w:type="dxa"/>
            <w:tcBorders>
              <w:top w:val="nil"/>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662"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1920641.29</w:t>
            </w:r>
          </w:p>
        </w:tc>
        <w:tc>
          <w:tcPr>
            <w:tcW w:w="1549"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908"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4239949297</w:t>
            </w:r>
          </w:p>
        </w:tc>
        <w:tc>
          <w:tcPr>
            <w:tcW w:w="2059"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2207.57</w:t>
            </w:r>
          </w:p>
        </w:tc>
      </w:tr>
    </w:tbl>
    <w:p>
      <w:pPr>
        <w:pStyle w:val="3"/>
        <w:spacing w:before="120" w:after="120" w:line="240" w:lineRule="auto"/>
        <w:rPr>
          <w:rFonts w:hint="eastAsia" w:ascii="宋体" w:hAnsi="宋体"/>
          <w:b/>
          <w:sz w:val="30"/>
          <w:szCs w:val="30"/>
        </w:rPr>
      </w:pPr>
      <w:bookmarkStart w:id="18" w:name="_Toc26275"/>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月份全国柴油出口统计数据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604" w:type="dxa"/>
        <w:tblInd w:w="0" w:type="dxa"/>
        <w:shd w:val="clear" w:color="auto" w:fill="auto"/>
        <w:tblLayout w:type="fixed"/>
        <w:tblCellMar>
          <w:top w:w="0" w:type="dxa"/>
          <w:left w:w="0" w:type="dxa"/>
          <w:bottom w:w="0" w:type="dxa"/>
          <w:right w:w="0" w:type="dxa"/>
        </w:tblCellMar>
      </w:tblPr>
      <w:tblGrid>
        <w:gridCol w:w="2299"/>
        <w:gridCol w:w="2190"/>
        <w:gridCol w:w="1500"/>
        <w:gridCol w:w="1890"/>
        <w:gridCol w:w="1725"/>
      </w:tblGrid>
      <w:tr>
        <w:tblPrEx>
          <w:shd w:val="clear" w:color="auto" w:fill="auto"/>
          <w:tblCellMar>
            <w:top w:w="0" w:type="dxa"/>
            <w:left w:w="0" w:type="dxa"/>
            <w:bottom w:w="0" w:type="dxa"/>
            <w:right w:w="0" w:type="dxa"/>
          </w:tblCellMar>
        </w:tblPrEx>
        <w:trPr>
          <w:trHeight w:val="540" w:hRule="atLeast"/>
        </w:trPr>
        <w:tc>
          <w:tcPr>
            <w:tcW w:w="22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9" w:name="_Toc533771879"/>
            <w:r>
              <w:rPr>
                <w:rFonts w:hint="eastAsia" w:ascii="宋体" w:hAnsi="宋体" w:eastAsia="宋体" w:cs="宋体"/>
                <w:b/>
                <w:i w:val="0"/>
                <w:color w:val="000000"/>
                <w:kern w:val="0"/>
                <w:sz w:val="20"/>
                <w:szCs w:val="20"/>
                <w:u w:val="none"/>
                <w:lang w:val="en-US" w:eastAsia="zh-CN" w:bidi="ar"/>
              </w:rPr>
              <w:t>贸易伙伴名称</w:t>
            </w:r>
          </w:p>
        </w:tc>
        <w:tc>
          <w:tcPr>
            <w:tcW w:w="219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数量（吨）</w:t>
            </w:r>
          </w:p>
        </w:tc>
        <w:tc>
          <w:tcPr>
            <w:tcW w:w="150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所占比率</w:t>
            </w:r>
          </w:p>
        </w:tc>
        <w:tc>
          <w:tcPr>
            <w:tcW w:w="189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当月金额（元）</w:t>
            </w:r>
          </w:p>
        </w:tc>
        <w:tc>
          <w:tcPr>
            <w:tcW w:w="172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当月均价（元/吨）</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安提瓜和巴布达</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325215</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2521.05</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145809.707</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330776396</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2268.55</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巴巴多斯</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30051</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2504.25</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巴哈马</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1466.279</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3944970</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2690.46</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巴拿马</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32424.924</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82504262</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2544.47</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白俄罗斯</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62400</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2136.99</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伯利兹</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580.66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1545081</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2660.9</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丹麦</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1809.15</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4731931</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2615.55</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2209.6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5865132</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2654.39</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多哥</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267663</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2676.63</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多米尼加共和国</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908222</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2671.24</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俄罗斯联邦</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268462</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2684.62</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厄瓜多尔</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37715.098</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81661175</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2165.21</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法国</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395.2</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1047756</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2651.2</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476878.59</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1135811289</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2381.76</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1043.462</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2820825</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2703.33</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荷兰</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675696</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2699.54</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基里巴斯</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54938</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2746.9</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喀麦隆</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134701</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2777.34</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开曼群岛</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1181997</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2761.68</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克罗地亚</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240412</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2404.12</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利比里亚</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12370.96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32048932</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2590.66</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马耳他</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3655.974</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9771923</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2672.86</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马绍尔群岛</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9949.338</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26059275</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2619.2</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美国</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480823</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2404.12</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98.995</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245745</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2482.4</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孟加拉国</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249883.983</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586944523</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2348.87</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16543.119</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35351706</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2136.94</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挪威</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709.4</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1805035</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2544.45</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帕劳</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194947</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2670.51</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葡萄牙</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2248.397</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5984769</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2661.79</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1818.597</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4731977</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2601.99</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塞拉利昂</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425896</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3178.33</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塞浦路斯</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1843.704</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4871264</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2642.11</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沙特阿拉伯</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308.186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810616</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2630.28</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圣其茨和尼维斯</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123545</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2470.9</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泰国</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209.38</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544093</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2598.59</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土耳其</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147.2</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361274</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2454.31</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危地马拉</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38080.375</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79912576</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2098.52</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希腊</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1012.715</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2620524</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2587.62</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127005.177</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316694649</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2493.56</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牙买加</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61362</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2667.91</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意大利</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425.8</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1125091</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2642.3</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123545</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2470.9</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英国</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3970.976</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10443091</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2629.85</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16512.065</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42117069</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2550.68</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中国澳门</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1986.535</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4169689</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2098.98</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中国台湾</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1448.783</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3658096</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2524.94</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中国香港</w:t>
            </w:r>
          </w:p>
        </w:tc>
        <w:tc>
          <w:tcPr>
            <w:tcW w:w="2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295214.967</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697976495</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2364.3</w:t>
            </w:r>
          </w:p>
        </w:tc>
      </w:tr>
      <w:tr>
        <w:tblPrEx>
          <w:tblCellMar>
            <w:top w:w="0" w:type="dxa"/>
            <w:left w:w="0" w:type="dxa"/>
            <w:bottom w:w="0" w:type="dxa"/>
            <w:right w:w="0" w:type="dxa"/>
          </w:tblCellMar>
        </w:tblPrEx>
        <w:trPr>
          <w:trHeight w:val="300" w:hRule="atLeast"/>
        </w:trPr>
        <w:tc>
          <w:tcPr>
            <w:tcW w:w="2299" w:type="dxa"/>
            <w:tcBorders>
              <w:top w:val="nil"/>
              <w:left w:val="single" w:color="000000" w:sz="8" w:space="0"/>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合计</w:t>
            </w:r>
          </w:p>
        </w:tc>
        <w:tc>
          <w:tcPr>
            <w:tcW w:w="219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1487864.3</w:t>
            </w:r>
          </w:p>
        </w:tc>
        <w:tc>
          <w:tcPr>
            <w:tcW w:w="150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100%</w:t>
            </w:r>
          </w:p>
        </w:tc>
        <w:tc>
          <w:tcPr>
            <w:tcW w:w="189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3524517104</w:t>
            </w:r>
          </w:p>
        </w:tc>
        <w:tc>
          <w:tcPr>
            <w:tcW w:w="172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2368.84</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23056"/>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854" w:type="dxa"/>
        <w:tblInd w:w="0" w:type="dxa"/>
        <w:tblLayout w:type="fixed"/>
        <w:tblCellMar>
          <w:top w:w="0" w:type="dxa"/>
          <w:left w:w="108" w:type="dxa"/>
          <w:bottom w:w="0" w:type="dxa"/>
          <w:right w:w="108" w:type="dxa"/>
        </w:tblCellMar>
      </w:tblPr>
      <w:tblGrid>
        <w:gridCol w:w="517"/>
        <w:gridCol w:w="2505"/>
        <w:gridCol w:w="1946"/>
        <w:gridCol w:w="1884"/>
        <w:gridCol w:w="1884"/>
        <w:gridCol w:w="1118"/>
      </w:tblGrid>
      <w:tr>
        <w:tblPrEx>
          <w:tblCellMar>
            <w:top w:w="0" w:type="dxa"/>
            <w:left w:w="108" w:type="dxa"/>
            <w:bottom w:w="0" w:type="dxa"/>
            <w:right w:w="108" w:type="dxa"/>
          </w:tblCellMar>
        </w:tblPrEx>
        <w:trPr>
          <w:trHeight w:val="825" w:hRule="atLeast"/>
        </w:trPr>
        <w:tc>
          <w:tcPr>
            <w:tcW w:w="517" w:type="dxa"/>
            <w:tcBorders>
              <w:top w:val="single" w:color="333333" w:sz="8" w:space="0"/>
              <w:left w:val="nil"/>
              <w:bottom w:val="nil"/>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商品</w:t>
            </w:r>
          </w:p>
        </w:tc>
        <w:tc>
          <w:tcPr>
            <w:tcW w:w="2505"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国家</w:t>
            </w:r>
          </w:p>
        </w:tc>
        <w:tc>
          <w:tcPr>
            <w:tcW w:w="1946"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进口数量</w:t>
            </w:r>
          </w:p>
        </w:tc>
        <w:tc>
          <w:tcPr>
            <w:tcW w:w="1884"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计量单位</w:t>
            </w:r>
          </w:p>
        </w:tc>
        <w:tc>
          <w:tcPr>
            <w:tcW w:w="1884"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美元</w:t>
            </w:r>
          </w:p>
        </w:tc>
        <w:tc>
          <w:tcPr>
            <w:tcW w:w="1118"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均价</w:t>
            </w:r>
          </w:p>
        </w:tc>
      </w:tr>
      <w:tr>
        <w:tblPrEx>
          <w:tblCellMar>
            <w:top w:w="0" w:type="dxa"/>
            <w:left w:w="108" w:type="dxa"/>
            <w:bottom w:w="0" w:type="dxa"/>
            <w:right w:w="108" w:type="dxa"/>
          </w:tblCellMar>
        </w:tblPrEx>
        <w:trPr>
          <w:trHeight w:val="402" w:hRule="atLeast"/>
        </w:trPr>
        <w:tc>
          <w:tcPr>
            <w:tcW w:w="517" w:type="dxa"/>
            <w:vMerge w:val="restart"/>
            <w:tcBorders>
              <w:top w:val="single" w:color="auto" w:sz="8" w:space="0"/>
              <w:left w:val="single" w:color="auto" w:sz="8" w:space="0"/>
              <w:bottom w:val="single" w:color="000000" w:sz="8" w:space="0"/>
              <w:right w:val="single" w:color="auto" w:sz="8" w:space="0"/>
            </w:tcBorders>
            <w:shd w:val="clear" w:color="auto" w:fill="auto"/>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石油原油(包括从沥青矿物提取的原油)</w:t>
            </w: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沙特阿拉伯</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6938734.129</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2296972417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331.036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俄罗斯联邦</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6204928.518</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1999725441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322.28</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安哥拉</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3825103.13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1241298758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324.514</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美国</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3599057.578</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1233948760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342.853</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科威特</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3183638.825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1004536526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315.531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伊拉克</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3178954.233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976015934</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307.024</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巴西</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2154408.173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666649981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309.435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阿曼</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1635573.416</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526509767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321.911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哥伦比亚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1149014.881</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325250181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283.069</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马来西亚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1038049.714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359705576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346.521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挪威</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836432.999</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307726336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367.903</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阿联酋</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732583.565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231669205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316.236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刚果(布)</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585281.245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175769420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300.316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厄瓜多尔</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526472.595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147821258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280.777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伊朗</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518758.218</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175971765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339.217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加蓬</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374465.433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123699336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330.336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利比亚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276995.2</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98944617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357.207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加纳</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254171.84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91247905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359.001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印度尼西亚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171041.123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57147746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334.117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圭亚那</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143435.223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44488818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310.167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埃及</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138574.519</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47157649</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340.305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阿塞拜疆</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138556.837</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52488345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378.822</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卡塔尔</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128622.731</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43384539</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337.301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喀麦隆</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126882.3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39681751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312.745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尼日利亚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125684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40452634</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321.86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赤道几内亚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125094.62</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33218303</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265.545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刚果(金)</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124486</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41361427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332.258</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加拿大</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79644.47</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23312448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292.706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文莱</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40604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14534800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357.965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泰国</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40211.545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13731888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341.491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哈萨克斯坦</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35513.83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9758670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274.785</w:t>
            </w:r>
          </w:p>
        </w:tc>
      </w:tr>
      <w:tr>
        <w:tblPrEx>
          <w:tblCellMar>
            <w:top w:w="0" w:type="dxa"/>
            <w:left w:w="108" w:type="dxa"/>
            <w:bottom w:w="0" w:type="dxa"/>
            <w:right w:w="108" w:type="dxa"/>
          </w:tblCellMar>
        </w:tblPrEx>
        <w:trPr>
          <w:trHeight w:val="645"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蒙古</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33217.03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7877832</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237.162</w:t>
            </w:r>
          </w:p>
        </w:tc>
      </w:tr>
      <w:tr>
        <w:tblPrEx>
          <w:tblCellMar>
            <w:top w:w="0" w:type="dxa"/>
            <w:left w:w="108" w:type="dxa"/>
            <w:bottom w:w="0" w:type="dxa"/>
            <w:right w:w="108" w:type="dxa"/>
          </w:tblCellMar>
        </w:tblPrEx>
        <w:trPr>
          <w:trHeight w:val="405"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澳大利亚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4999.03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1577283</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315.518</w:t>
            </w:r>
          </w:p>
        </w:tc>
      </w:tr>
      <w:tr>
        <w:tblPrEx>
          <w:tblCellMar>
            <w:top w:w="0" w:type="dxa"/>
            <w:left w:w="108" w:type="dxa"/>
            <w:bottom w:w="0" w:type="dxa"/>
            <w:right w:w="108" w:type="dxa"/>
          </w:tblCellMar>
        </w:tblPrEx>
        <w:trPr>
          <w:trHeight w:val="405"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乍得</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0.046</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6521.74</w:t>
            </w:r>
          </w:p>
        </w:tc>
      </w:tr>
      <w:tr>
        <w:tblPrEx>
          <w:tblCellMar>
            <w:top w:w="0" w:type="dxa"/>
            <w:left w:w="108" w:type="dxa"/>
            <w:bottom w:w="0" w:type="dxa"/>
            <w:right w:w="108" w:type="dxa"/>
          </w:tblCellMar>
        </w:tblPrEx>
        <w:trPr>
          <w:trHeight w:val="480"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总计</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38469191</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12453637616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323.73</w:t>
            </w:r>
          </w:p>
        </w:tc>
      </w:tr>
    </w:tbl>
    <w:p>
      <w:pPr>
        <w:keepNext w:val="0"/>
        <w:keepLines w:val="0"/>
        <w:widowControl/>
        <w:suppressLineNumbers w:val="0"/>
        <w:jc w:val="center"/>
        <w:textAlignment w:val="center"/>
        <w:rPr>
          <w:rFonts w:hint="eastAsia"/>
          <w:bCs/>
          <w:szCs w:val="21"/>
        </w:rPr>
      </w:pPr>
    </w:p>
    <w:p>
      <w:pPr>
        <w:jc w:val="center"/>
        <w:rPr>
          <w:rFonts w:hint="eastAsia"/>
          <w:bCs/>
          <w:szCs w:val="21"/>
        </w:rPr>
      </w:pPr>
    </w:p>
    <w:p>
      <w:pPr>
        <w:pStyle w:val="3"/>
        <w:spacing w:before="120" w:after="120" w:line="240" w:lineRule="auto"/>
        <w:rPr>
          <w:rFonts w:hint="eastAsia" w:ascii="宋体" w:hAnsi="宋体"/>
          <w:b/>
          <w:sz w:val="30"/>
          <w:szCs w:val="30"/>
        </w:rPr>
      </w:pPr>
      <w:bookmarkStart w:id="21" w:name="_Toc20776"/>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月份航空煤油进出口统计数据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10140" w:type="dxa"/>
        <w:tblInd w:w="0" w:type="dxa"/>
        <w:shd w:val="clear" w:color="auto" w:fill="auto"/>
        <w:tblLayout w:type="fixed"/>
        <w:tblCellMar>
          <w:top w:w="0" w:type="dxa"/>
          <w:left w:w="0" w:type="dxa"/>
          <w:bottom w:w="0" w:type="dxa"/>
          <w:right w:w="0" w:type="dxa"/>
        </w:tblCellMar>
      </w:tblPr>
      <w:tblGrid>
        <w:gridCol w:w="5235"/>
        <w:gridCol w:w="4905"/>
      </w:tblGrid>
      <w:tr>
        <w:tblPrEx>
          <w:shd w:val="clear" w:color="auto" w:fill="auto"/>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Style w:val="28"/>
                <w:rFonts w:hint="eastAsia" w:ascii="宋体" w:hAnsi="宋体" w:eastAsia="宋体" w:cs="宋体"/>
                <w:caps w:val="0"/>
                <w:color w:val="000000"/>
                <w:spacing w:val="0"/>
                <w:sz w:val="20"/>
                <w:szCs w:val="20"/>
              </w:rPr>
              <w:t>进口</w:t>
            </w:r>
          </w:p>
        </w:tc>
        <w:tc>
          <w:tcPr>
            <w:tcW w:w="4905"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Style w:val="28"/>
                <w:rFonts w:hint="eastAsia" w:ascii="宋体" w:hAnsi="宋体" w:eastAsia="宋体" w:cs="宋体"/>
                <w:caps w:val="0"/>
                <w:color w:val="000000"/>
                <w:spacing w:val="0"/>
                <w:sz w:val="20"/>
                <w:szCs w:val="20"/>
              </w:rPr>
              <w:t>出口</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12月进口量:239824.71（吨）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12月出口量:433403.17（吨）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累计进口量:2552554.347 (吨）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累计出口量:9976381.864（吨）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当月进口均价:2631.26（元/吨）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当月出口均价:2631.09（元/吨）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累计进口均价：2526.175（元/吨）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累计出口均价:2867.48（元/吨）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进口量环比:147.00%</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出口量环比：-6.21%</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进口量同比：-31.97%</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出口量同比：-77.27%</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累计进口量比去年同期：-18.47%</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累计出口量比去年同期：-36.47%</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abstractNum w:abstractNumId="2">
    <w:nsid w:val="0B177F91"/>
    <w:multiLevelType w:val="singleLevel"/>
    <w:tmpl w:val="0B177F91"/>
    <w:lvl w:ilvl="0" w:tentative="0">
      <w:start w:val="1"/>
      <w:numFmt w:val="decimal"/>
      <w:lvlText w:val="%1."/>
      <w:lvlJc w:val="left"/>
      <w:pPr>
        <w:tabs>
          <w:tab w:val="left" w:pos="312"/>
        </w:tabs>
      </w:pPr>
    </w:lvl>
  </w:abstractNum>
  <w:abstractNum w:abstractNumId="3">
    <w:nsid w:val="422701EE"/>
    <w:multiLevelType w:val="multilevel"/>
    <w:tmpl w:val="422701EE"/>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A93E53"/>
    <w:rsid w:val="03C71B14"/>
    <w:rsid w:val="03C968EE"/>
    <w:rsid w:val="03EC30D3"/>
    <w:rsid w:val="040707FC"/>
    <w:rsid w:val="042972F1"/>
    <w:rsid w:val="042B4FB5"/>
    <w:rsid w:val="04331F6D"/>
    <w:rsid w:val="044D6C9D"/>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93019"/>
    <w:rsid w:val="05A63D05"/>
    <w:rsid w:val="05AA3E69"/>
    <w:rsid w:val="05C01E8E"/>
    <w:rsid w:val="05D0127E"/>
    <w:rsid w:val="05D36477"/>
    <w:rsid w:val="05D708A6"/>
    <w:rsid w:val="05F5542B"/>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1C4EDC"/>
    <w:rsid w:val="07243E5A"/>
    <w:rsid w:val="07252677"/>
    <w:rsid w:val="07272AF3"/>
    <w:rsid w:val="0759111C"/>
    <w:rsid w:val="07594F06"/>
    <w:rsid w:val="076C6634"/>
    <w:rsid w:val="07743510"/>
    <w:rsid w:val="07820AB4"/>
    <w:rsid w:val="07836EEE"/>
    <w:rsid w:val="07906BB7"/>
    <w:rsid w:val="079B346A"/>
    <w:rsid w:val="079D7717"/>
    <w:rsid w:val="07B872E0"/>
    <w:rsid w:val="07CC2D78"/>
    <w:rsid w:val="07CC4016"/>
    <w:rsid w:val="07D15C8A"/>
    <w:rsid w:val="07E05AA3"/>
    <w:rsid w:val="07E76A1F"/>
    <w:rsid w:val="07F17792"/>
    <w:rsid w:val="080158C0"/>
    <w:rsid w:val="0809715C"/>
    <w:rsid w:val="080A4814"/>
    <w:rsid w:val="0817293A"/>
    <w:rsid w:val="0820276D"/>
    <w:rsid w:val="082F1BCD"/>
    <w:rsid w:val="08573B5A"/>
    <w:rsid w:val="086F6B65"/>
    <w:rsid w:val="08A4401C"/>
    <w:rsid w:val="08A55AD2"/>
    <w:rsid w:val="08CA207E"/>
    <w:rsid w:val="08CD17C0"/>
    <w:rsid w:val="08DE60ED"/>
    <w:rsid w:val="08E21688"/>
    <w:rsid w:val="08EE777D"/>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E0028A"/>
    <w:rsid w:val="09E31010"/>
    <w:rsid w:val="09ED009F"/>
    <w:rsid w:val="09F11ACB"/>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951C4F"/>
    <w:rsid w:val="0AA33DAF"/>
    <w:rsid w:val="0AB608CB"/>
    <w:rsid w:val="0AC60296"/>
    <w:rsid w:val="0AD32487"/>
    <w:rsid w:val="0AD50553"/>
    <w:rsid w:val="0ADB26A0"/>
    <w:rsid w:val="0AE31AD5"/>
    <w:rsid w:val="0B017D09"/>
    <w:rsid w:val="0B0715B1"/>
    <w:rsid w:val="0B0F0B26"/>
    <w:rsid w:val="0B2C39A7"/>
    <w:rsid w:val="0B400CB2"/>
    <w:rsid w:val="0B421176"/>
    <w:rsid w:val="0B4B49C1"/>
    <w:rsid w:val="0B5D43F5"/>
    <w:rsid w:val="0B721C38"/>
    <w:rsid w:val="0B860805"/>
    <w:rsid w:val="0B945C54"/>
    <w:rsid w:val="0BA91AA1"/>
    <w:rsid w:val="0BB16187"/>
    <w:rsid w:val="0BCB6AF2"/>
    <w:rsid w:val="0BCE6861"/>
    <w:rsid w:val="0BDC4FBC"/>
    <w:rsid w:val="0BDF0A5F"/>
    <w:rsid w:val="0C08318F"/>
    <w:rsid w:val="0C1C163D"/>
    <w:rsid w:val="0C1E7ABD"/>
    <w:rsid w:val="0C206584"/>
    <w:rsid w:val="0C212EC8"/>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74301"/>
    <w:rsid w:val="0E31785B"/>
    <w:rsid w:val="0E357D47"/>
    <w:rsid w:val="0E5C0982"/>
    <w:rsid w:val="0E730195"/>
    <w:rsid w:val="0E7675E6"/>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CA36AC"/>
    <w:rsid w:val="0FD23F99"/>
    <w:rsid w:val="0FE34C1B"/>
    <w:rsid w:val="0FE35E2C"/>
    <w:rsid w:val="0FEF79AA"/>
    <w:rsid w:val="101B677C"/>
    <w:rsid w:val="101C7D06"/>
    <w:rsid w:val="101F6270"/>
    <w:rsid w:val="1024515A"/>
    <w:rsid w:val="1037062C"/>
    <w:rsid w:val="1046198D"/>
    <w:rsid w:val="104E6FC1"/>
    <w:rsid w:val="105F3A71"/>
    <w:rsid w:val="106D475B"/>
    <w:rsid w:val="108362B8"/>
    <w:rsid w:val="108C4660"/>
    <w:rsid w:val="10957382"/>
    <w:rsid w:val="10BA0A0E"/>
    <w:rsid w:val="10CE39DE"/>
    <w:rsid w:val="10FA6B68"/>
    <w:rsid w:val="10FF5E5F"/>
    <w:rsid w:val="11190B98"/>
    <w:rsid w:val="11247901"/>
    <w:rsid w:val="11365062"/>
    <w:rsid w:val="11422692"/>
    <w:rsid w:val="11590029"/>
    <w:rsid w:val="117F7F48"/>
    <w:rsid w:val="11CA3B0B"/>
    <w:rsid w:val="11F843DE"/>
    <w:rsid w:val="121446A8"/>
    <w:rsid w:val="12320E5B"/>
    <w:rsid w:val="124E5846"/>
    <w:rsid w:val="1265739D"/>
    <w:rsid w:val="12662947"/>
    <w:rsid w:val="126A28BA"/>
    <w:rsid w:val="127E2138"/>
    <w:rsid w:val="128771AE"/>
    <w:rsid w:val="12A84E60"/>
    <w:rsid w:val="12BE2ADE"/>
    <w:rsid w:val="12D52D83"/>
    <w:rsid w:val="12D61BB4"/>
    <w:rsid w:val="12D8263D"/>
    <w:rsid w:val="12F6517F"/>
    <w:rsid w:val="13086577"/>
    <w:rsid w:val="130B16E4"/>
    <w:rsid w:val="13267B35"/>
    <w:rsid w:val="134A6D86"/>
    <w:rsid w:val="13594CF7"/>
    <w:rsid w:val="135A728A"/>
    <w:rsid w:val="1367698A"/>
    <w:rsid w:val="13772D89"/>
    <w:rsid w:val="138744BB"/>
    <w:rsid w:val="13AA18EC"/>
    <w:rsid w:val="13B45FC3"/>
    <w:rsid w:val="13C924DB"/>
    <w:rsid w:val="13DB164D"/>
    <w:rsid w:val="13E7373B"/>
    <w:rsid w:val="13EC16FF"/>
    <w:rsid w:val="13F712B9"/>
    <w:rsid w:val="13FE142E"/>
    <w:rsid w:val="14176463"/>
    <w:rsid w:val="144B6D3F"/>
    <w:rsid w:val="14522844"/>
    <w:rsid w:val="14546EAA"/>
    <w:rsid w:val="147759A4"/>
    <w:rsid w:val="147A75E5"/>
    <w:rsid w:val="14997CF1"/>
    <w:rsid w:val="149C7CF0"/>
    <w:rsid w:val="14BC21CE"/>
    <w:rsid w:val="14BE2339"/>
    <w:rsid w:val="14BF4DCE"/>
    <w:rsid w:val="14CD3607"/>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615E0F"/>
    <w:rsid w:val="156D2843"/>
    <w:rsid w:val="15701AB8"/>
    <w:rsid w:val="15786279"/>
    <w:rsid w:val="15892652"/>
    <w:rsid w:val="159001BC"/>
    <w:rsid w:val="15965FE2"/>
    <w:rsid w:val="15AA23F1"/>
    <w:rsid w:val="15B1437C"/>
    <w:rsid w:val="15B939D5"/>
    <w:rsid w:val="15D83B2E"/>
    <w:rsid w:val="15DD70EA"/>
    <w:rsid w:val="15E11AB3"/>
    <w:rsid w:val="15E25134"/>
    <w:rsid w:val="15E8785D"/>
    <w:rsid w:val="160025BB"/>
    <w:rsid w:val="16113EF1"/>
    <w:rsid w:val="16116F4B"/>
    <w:rsid w:val="161D05B7"/>
    <w:rsid w:val="162E280E"/>
    <w:rsid w:val="164206BE"/>
    <w:rsid w:val="16446BD7"/>
    <w:rsid w:val="16600954"/>
    <w:rsid w:val="166969D8"/>
    <w:rsid w:val="16734EEE"/>
    <w:rsid w:val="1691331C"/>
    <w:rsid w:val="16B0271F"/>
    <w:rsid w:val="16D82413"/>
    <w:rsid w:val="16DC7206"/>
    <w:rsid w:val="16E22B33"/>
    <w:rsid w:val="16EF1899"/>
    <w:rsid w:val="16F85570"/>
    <w:rsid w:val="16FA58EE"/>
    <w:rsid w:val="17116BE2"/>
    <w:rsid w:val="17194D7A"/>
    <w:rsid w:val="172078E9"/>
    <w:rsid w:val="172D12A6"/>
    <w:rsid w:val="17350283"/>
    <w:rsid w:val="173C1948"/>
    <w:rsid w:val="17464B66"/>
    <w:rsid w:val="175B5D81"/>
    <w:rsid w:val="17652D76"/>
    <w:rsid w:val="177742FF"/>
    <w:rsid w:val="177778D5"/>
    <w:rsid w:val="177C4324"/>
    <w:rsid w:val="179E41EC"/>
    <w:rsid w:val="17BD7A6D"/>
    <w:rsid w:val="17FE3268"/>
    <w:rsid w:val="18296936"/>
    <w:rsid w:val="182A5943"/>
    <w:rsid w:val="186022DC"/>
    <w:rsid w:val="186453BA"/>
    <w:rsid w:val="18704C74"/>
    <w:rsid w:val="187F1331"/>
    <w:rsid w:val="18AD026B"/>
    <w:rsid w:val="18B70A2B"/>
    <w:rsid w:val="18CA2202"/>
    <w:rsid w:val="18CA4E8D"/>
    <w:rsid w:val="18FC46F8"/>
    <w:rsid w:val="190E26FF"/>
    <w:rsid w:val="191B1724"/>
    <w:rsid w:val="19254E9B"/>
    <w:rsid w:val="19383C89"/>
    <w:rsid w:val="194573ED"/>
    <w:rsid w:val="195D29F2"/>
    <w:rsid w:val="196272D4"/>
    <w:rsid w:val="196465FF"/>
    <w:rsid w:val="196B6E10"/>
    <w:rsid w:val="198154A5"/>
    <w:rsid w:val="19850C75"/>
    <w:rsid w:val="19856830"/>
    <w:rsid w:val="198A3D94"/>
    <w:rsid w:val="198F27F8"/>
    <w:rsid w:val="199C5ECD"/>
    <w:rsid w:val="19B1121F"/>
    <w:rsid w:val="19E14ABD"/>
    <w:rsid w:val="19F07148"/>
    <w:rsid w:val="1A031971"/>
    <w:rsid w:val="1A051BC1"/>
    <w:rsid w:val="1A055302"/>
    <w:rsid w:val="1A11011E"/>
    <w:rsid w:val="1A110D84"/>
    <w:rsid w:val="1A2B0F11"/>
    <w:rsid w:val="1A2C43DF"/>
    <w:rsid w:val="1A372CD4"/>
    <w:rsid w:val="1A555BDB"/>
    <w:rsid w:val="1A660755"/>
    <w:rsid w:val="1A703BC4"/>
    <w:rsid w:val="1A7262E8"/>
    <w:rsid w:val="1A882B3D"/>
    <w:rsid w:val="1A896854"/>
    <w:rsid w:val="1A964171"/>
    <w:rsid w:val="1AB162F9"/>
    <w:rsid w:val="1ABE2D20"/>
    <w:rsid w:val="1ACC4B7F"/>
    <w:rsid w:val="1AD34CD1"/>
    <w:rsid w:val="1AD417D6"/>
    <w:rsid w:val="1AE72378"/>
    <w:rsid w:val="1AE7665A"/>
    <w:rsid w:val="1AF74A59"/>
    <w:rsid w:val="1B111CB0"/>
    <w:rsid w:val="1B393D9E"/>
    <w:rsid w:val="1B3F0566"/>
    <w:rsid w:val="1B5A0EC6"/>
    <w:rsid w:val="1B5C3BD7"/>
    <w:rsid w:val="1B5F0C8F"/>
    <w:rsid w:val="1B743284"/>
    <w:rsid w:val="1B816F9A"/>
    <w:rsid w:val="1B8175D6"/>
    <w:rsid w:val="1B9C1B61"/>
    <w:rsid w:val="1BB46A20"/>
    <w:rsid w:val="1BB93222"/>
    <w:rsid w:val="1BBD6973"/>
    <w:rsid w:val="1BE24098"/>
    <w:rsid w:val="1BE81B85"/>
    <w:rsid w:val="1BF27AE1"/>
    <w:rsid w:val="1BFE2971"/>
    <w:rsid w:val="1C01336C"/>
    <w:rsid w:val="1C021382"/>
    <w:rsid w:val="1C081DD0"/>
    <w:rsid w:val="1C1669BA"/>
    <w:rsid w:val="1C1C3102"/>
    <w:rsid w:val="1C2230E8"/>
    <w:rsid w:val="1C251540"/>
    <w:rsid w:val="1C2E2C8D"/>
    <w:rsid w:val="1C6C7614"/>
    <w:rsid w:val="1C795B0B"/>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4D2825"/>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450"/>
    <w:rsid w:val="1FCD7675"/>
    <w:rsid w:val="1FD377B1"/>
    <w:rsid w:val="1FDC18BC"/>
    <w:rsid w:val="1FEB4C55"/>
    <w:rsid w:val="1FEF77E1"/>
    <w:rsid w:val="1FFC155B"/>
    <w:rsid w:val="20010BD0"/>
    <w:rsid w:val="200B266C"/>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11001E9"/>
    <w:rsid w:val="21147D43"/>
    <w:rsid w:val="2119067D"/>
    <w:rsid w:val="211F5020"/>
    <w:rsid w:val="21216F1B"/>
    <w:rsid w:val="2123407B"/>
    <w:rsid w:val="21320B64"/>
    <w:rsid w:val="21370E12"/>
    <w:rsid w:val="21432F9F"/>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BB509A"/>
    <w:rsid w:val="22D174A6"/>
    <w:rsid w:val="22D2551D"/>
    <w:rsid w:val="22E67532"/>
    <w:rsid w:val="230F16FC"/>
    <w:rsid w:val="231C2E7E"/>
    <w:rsid w:val="232A4048"/>
    <w:rsid w:val="233344E4"/>
    <w:rsid w:val="2337735C"/>
    <w:rsid w:val="23384D61"/>
    <w:rsid w:val="23392A7A"/>
    <w:rsid w:val="235336A2"/>
    <w:rsid w:val="236765E1"/>
    <w:rsid w:val="23817C48"/>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CA200A"/>
    <w:rsid w:val="24E234FE"/>
    <w:rsid w:val="24F86BA3"/>
    <w:rsid w:val="250D3E66"/>
    <w:rsid w:val="252754C5"/>
    <w:rsid w:val="252D0E2C"/>
    <w:rsid w:val="252D3F69"/>
    <w:rsid w:val="253C0FBD"/>
    <w:rsid w:val="2547370A"/>
    <w:rsid w:val="25585795"/>
    <w:rsid w:val="25740BBD"/>
    <w:rsid w:val="25955E96"/>
    <w:rsid w:val="259B6E31"/>
    <w:rsid w:val="259E33E1"/>
    <w:rsid w:val="25A07C39"/>
    <w:rsid w:val="25AF1FA5"/>
    <w:rsid w:val="25B677AD"/>
    <w:rsid w:val="25B904A8"/>
    <w:rsid w:val="25E06259"/>
    <w:rsid w:val="25FD0304"/>
    <w:rsid w:val="2606044C"/>
    <w:rsid w:val="26090E12"/>
    <w:rsid w:val="261447E7"/>
    <w:rsid w:val="26162D47"/>
    <w:rsid w:val="26313BB1"/>
    <w:rsid w:val="26417898"/>
    <w:rsid w:val="26442276"/>
    <w:rsid w:val="26444B63"/>
    <w:rsid w:val="264D7096"/>
    <w:rsid w:val="26552532"/>
    <w:rsid w:val="26671EE8"/>
    <w:rsid w:val="2692422E"/>
    <w:rsid w:val="269F6889"/>
    <w:rsid w:val="26AD0D8B"/>
    <w:rsid w:val="26C17431"/>
    <w:rsid w:val="26C27EC9"/>
    <w:rsid w:val="26C545A4"/>
    <w:rsid w:val="26C94300"/>
    <w:rsid w:val="26DF7D7C"/>
    <w:rsid w:val="26EE1723"/>
    <w:rsid w:val="26F154C7"/>
    <w:rsid w:val="26FD7030"/>
    <w:rsid w:val="27007370"/>
    <w:rsid w:val="27080E2E"/>
    <w:rsid w:val="270D21C6"/>
    <w:rsid w:val="270D2595"/>
    <w:rsid w:val="27251F41"/>
    <w:rsid w:val="273301A4"/>
    <w:rsid w:val="277F5A23"/>
    <w:rsid w:val="279E36DD"/>
    <w:rsid w:val="27A7464B"/>
    <w:rsid w:val="27EA2797"/>
    <w:rsid w:val="28011EB5"/>
    <w:rsid w:val="28092464"/>
    <w:rsid w:val="2810409B"/>
    <w:rsid w:val="282013B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617AC"/>
    <w:rsid w:val="29D84ABC"/>
    <w:rsid w:val="29F5410D"/>
    <w:rsid w:val="2A091D0A"/>
    <w:rsid w:val="2A0D39C3"/>
    <w:rsid w:val="2A1503FE"/>
    <w:rsid w:val="2A194990"/>
    <w:rsid w:val="2A215E5E"/>
    <w:rsid w:val="2A252C4C"/>
    <w:rsid w:val="2A3E7B5A"/>
    <w:rsid w:val="2A6B55C6"/>
    <w:rsid w:val="2A8475EE"/>
    <w:rsid w:val="2A951C8C"/>
    <w:rsid w:val="2A953E86"/>
    <w:rsid w:val="2A9B26F1"/>
    <w:rsid w:val="2AA81E53"/>
    <w:rsid w:val="2AA82B74"/>
    <w:rsid w:val="2AB25451"/>
    <w:rsid w:val="2AC063B7"/>
    <w:rsid w:val="2ACB5B48"/>
    <w:rsid w:val="2ACD0874"/>
    <w:rsid w:val="2AD267B8"/>
    <w:rsid w:val="2AD8059C"/>
    <w:rsid w:val="2B0A5818"/>
    <w:rsid w:val="2B0D737C"/>
    <w:rsid w:val="2B0F004D"/>
    <w:rsid w:val="2B154A20"/>
    <w:rsid w:val="2B1B5BFD"/>
    <w:rsid w:val="2B380E7B"/>
    <w:rsid w:val="2B574357"/>
    <w:rsid w:val="2B5F5BE1"/>
    <w:rsid w:val="2B6638DE"/>
    <w:rsid w:val="2B843D59"/>
    <w:rsid w:val="2B84406F"/>
    <w:rsid w:val="2B8B518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9D3080"/>
    <w:rsid w:val="2CAD067B"/>
    <w:rsid w:val="2CFD0FC0"/>
    <w:rsid w:val="2D050EBF"/>
    <w:rsid w:val="2D2009C3"/>
    <w:rsid w:val="2D2A25A1"/>
    <w:rsid w:val="2D2A51E4"/>
    <w:rsid w:val="2D3059BC"/>
    <w:rsid w:val="2D4D17E5"/>
    <w:rsid w:val="2D6F58D8"/>
    <w:rsid w:val="2D892B5C"/>
    <w:rsid w:val="2DAF27D1"/>
    <w:rsid w:val="2DB328B9"/>
    <w:rsid w:val="2DC6450C"/>
    <w:rsid w:val="2DD85082"/>
    <w:rsid w:val="2DE11692"/>
    <w:rsid w:val="2DF24F64"/>
    <w:rsid w:val="2DF5641D"/>
    <w:rsid w:val="2DF644E3"/>
    <w:rsid w:val="2E0D40F5"/>
    <w:rsid w:val="2E2F56E6"/>
    <w:rsid w:val="2E4A7323"/>
    <w:rsid w:val="2E682AAC"/>
    <w:rsid w:val="2E6D230F"/>
    <w:rsid w:val="2E7D543E"/>
    <w:rsid w:val="2E8C2DE3"/>
    <w:rsid w:val="2E942C46"/>
    <w:rsid w:val="2E98229F"/>
    <w:rsid w:val="2EA56E95"/>
    <w:rsid w:val="2EA673C9"/>
    <w:rsid w:val="2EAF1D1D"/>
    <w:rsid w:val="2EC0096E"/>
    <w:rsid w:val="2ECA710C"/>
    <w:rsid w:val="2ED4404D"/>
    <w:rsid w:val="2ED50475"/>
    <w:rsid w:val="2EE365C8"/>
    <w:rsid w:val="2F090AB4"/>
    <w:rsid w:val="2F13732E"/>
    <w:rsid w:val="2F2F2D16"/>
    <w:rsid w:val="2F336BA3"/>
    <w:rsid w:val="2F5621A6"/>
    <w:rsid w:val="2F66411F"/>
    <w:rsid w:val="2F9E2267"/>
    <w:rsid w:val="2FA5716E"/>
    <w:rsid w:val="2FB91769"/>
    <w:rsid w:val="2FBE7D06"/>
    <w:rsid w:val="2FCD4219"/>
    <w:rsid w:val="2FD85581"/>
    <w:rsid w:val="2FE37EAB"/>
    <w:rsid w:val="2FE513F6"/>
    <w:rsid w:val="2FE91ED2"/>
    <w:rsid w:val="2FEC28E9"/>
    <w:rsid w:val="2FF22D62"/>
    <w:rsid w:val="30037E76"/>
    <w:rsid w:val="300B0CEC"/>
    <w:rsid w:val="30173C95"/>
    <w:rsid w:val="301B31E2"/>
    <w:rsid w:val="302909D7"/>
    <w:rsid w:val="30320AA9"/>
    <w:rsid w:val="30427218"/>
    <w:rsid w:val="3055125A"/>
    <w:rsid w:val="30664FDE"/>
    <w:rsid w:val="309E4811"/>
    <w:rsid w:val="30A00CB5"/>
    <w:rsid w:val="30AF5F22"/>
    <w:rsid w:val="30C14186"/>
    <w:rsid w:val="30D71496"/>
    <w:rsid w:val="30DC0703"/>
    <w:rsid w:val="30E73B0D"/>
    <w:rsid w:val="30F74C53"/>
    <w:rsid w:val="30FC61C2"/>
    <w:rsid w:val="30FD55E0"/>
    <w:rsid w:val="31030DD2"/>
    <w:rsid w:val="310F6F60"/>
    <w:rsid w:val="311333E6"/>
    <w:rsid w:val="311467EF"/>
    <w:rsid w:val="31162712"/>
    <w:rsid w:val="311A24D7"/>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AE266E"/>
    <w:rsid w:val="32CB3A84"/>
    <w:rsid w:val="32CE45BC"/>
    <w:rsid w:val="32D9201A"/>
    <w:rsid w:val="32E42D0F"/>
    <w:rsid w:val="32E779A4"/>
    <w:rsid w:val="330D4D94"/>
    <w:rsid w:val="33435E16"/>
    <w:rsid w:val="335F11B3"/>
    <w:rsid w:val="337B12FB"/>
    <w:rsid w:val="33846435"/>
    <w:rsid w:val="339C5454"/>
    <w:rsid w:val="33A258FF"/>
    <w:rsid w:val="33D354DF"/>
    <w:rsid w:val="33DD1D83"/>
    <w:rsid w:val="33FC5F9C"/>
    <w:rsid w:val="34005D95"/>
    <w:rsid w:val="340370F4"/>
    <w:rsid w:val="34173060"/>
    <w:rsid w:val="342451AA"/>
    <w:rsid w:val="3425323C"/>
    <w:rsid w:val="342E5EA7"/>
    <w:rsid w:val="343E0BAC"/>
    <w:rsid w:val="34474FF1"/>
    <w:rsid w:val="344B3651"/>
    <w:rsid w:val="34555269"/>
    <w:rsid w:val="346B6657"/>
    <w:rsid w:val="34827541"/>
    <w:rsid w:val="34B63281"/>
    <w:rsid w:val="34C105B0"/>
    <w:rsid w:val="34CA39B2"/>
    <w:rsid w:val="34D564C3"/>
    <w:rsid w:val="34DC79C0"/>
    <w:rsid w:val="34E32E56"/>
    <w:rsid w:val="34EC4B86"/>
    <w:rsid w:val="351321CB"/>
    <w:rsid w:val="35367A72"/>
    <w:rsid w:val="355171EC"/>
    <w:rsid w:val="355E299F"/>
    <w:rsid w:val="355E6D49"/>
    <w:rsid w:val="35671EE7"/>
    <w:rsid w:val="3572663B"/>
    <w:rsid w:val="357D4C50"/>
    <w:rsid w:val="3591419B"/>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A22949"/>
    <w:rsid w:val="36B523AB"/>
    <w:rsid w:val="36C76D40"/>
    <w:rsid w:val="36F44E23"/>
    <w:rsid w:val="371D2966"/>
    <w:rsid w:val="373062E8"/>
    <w:rsid w:val="375C1AC9"/>
    <w:rsid w:val="37770231"/>
    <w:rsid w:val="37785098"/>
    <w:rsid w:val="377E7331"/>
    <w:rsid w:val="379038C8"/>
    <w:rsid w:val="379B1E6C"/>
    <w:rsid w:val="379D002A"/>
    <w:rsid w:val="37A6234C"/>
    <w:rsid w:val="37A907BA"/>
    <w:rsid w:val="37AF1535"/>
    <w:rsid w:val="37CA63F2"/>
    <w:rsid w:val="37CB57CA"/>
    <w:rsid w:val="37D337D1"/>
    <w:rsid w:val="37DD56C2"/>
    <w:rsid w:val="37DE20F8"/>
    <w:rsid w:val="37F16302"/>
    <w:rsid w:val="38253136"/>
    <w:rsid w:val="38372548"/>
    <w:rsid w:val="384570A4"/>
    <w:rsid w:val="38467A04"/>
    <w:rsid w:val="38781C56"/>
    <w:rsid w:val="38A140CE"/>
    <w:rsid w:val="38B54C1A"/>
    <w:rsid w:val="38C30240"/>
    <w:rsid w:val="38CF65F7"/>
    <w:rsid w:val="38D113BF"/>
    <w:rsid w:val="38D30895"/>
    <w:rsid w:val="38D5511D"/>
    <w:rsid w:val="38DB4DD5"/>
    <w:rsid w:val="38E95212"/>
    <w:rsid w:val="38F3691D"/>
    <w:rsid w:val="3909408E"/>
    <w:rsid w:val="391C1C7A"/>
    <w:rsid w:val="39465968"/>
    <w:rsid w:val="394D1A3B"/>
    <w:rsid w:val="394F4D33"/>
    <w:rsid w:val="39600E80"/>
    <w:rsid w:val="39803383"/>
    <w:rsid w:val="399A429F"/>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B002E8F"/>
    <w:rsid w:val="3B0A7991"/>
    <w:rsid w:val="3B100A85"/>
    <w:rsid w:val="3B18283A"/>
    <w:rsid w:val="3B336F2F"/>
    <w:rsid w:val="3B567019"/>
    <w:rsid w:val="3B5C777B"/>
    <w:rsid w:val="3B691338"/>
    <w:rsid w:val="3B6B36CF"/>
    <w:rsid w:val="3B96787F"/>
    <w:rsid w:val="3BA60160"/>
    <w:rsid w:val="3BB46CD1"/>
    <w:rsid w:val="3BB6128D"/>
    <w:rsid w:val="3BD11411"/>
    <w:rsid w:val="3BD837A5"/>
    <w:rsid w:val="3BE05196"/>
    <w:rsid w:val="3BED4242"/>
    <w:rsid w:val="3C173EBE"/>
    <w:rsid w:val="3C317DDD"/>
    <w:rsid w:val="3C336F35"/>
    <w:rsid w:val="3C3D3F09"/>
    <w:rsid w:val="3C457CDF"/>
    <w:rsid w:val="3C61573F"/>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5941EB"/>
    <w:rsid w:val="3D6341E4"/>
    <w:rsid w:val="3D6A48AA"/>
    <w:rsid w:val="3D6D23E3"/>
    <w:rsid w:val="3D7C1281"/>
    <w:rsid w:val="3D8D1DDC"/>
    <w:rsid w:val="3D995C7E"/>
    <w:rsid w:val="3DCE2E82"/>
    <w:rsid w:val="3DD2333F"/>
    <w:rsid w:val="3DEC316F"/>
    <w:rsid w:val="3E000E38"/>
    <w:rsid w:val="3E037731"/>
    <w:rsid w:val="3E0F09D9"/>
    <w:rsid w:val="3E1646C1"/>
    <w:rsid w:val="3E247488"/>
    <w:rsid w:val="3E305EE4"/>
    <w:rsid w:val="3E360DF6"/>
    <w:rsid w:val="3E3D25F5"/>
    <w:rsid w:val="3E4E6762"/>
    <w:rsid w:val="3E5F5CBB"/>
    <w:rsid w:val="3E70166E"/>
    <w:rsid w:val="3E752011"/>
    <w:rsid w:val="3E8270FA"/>
    <w:rsid w:val="3E8E2505"/>
    <w:rsid w:val="3E8F0C9A"/>
    <w:rsid w:val="3E9953AC"/>
    <w:rsid w:val="3E9D3F84"/>
    <w:rsid w:val="3E9F3605"/>
    <w:rsid w:val="3EAF142E"/>
    <w:rsid w:val="3EEC1C8D"/>
    <w:rsid w:val="3EF15A07"/>
    <w:rsid w:val="3EFC4AE4"/>
    <w:rsid w:val="3F0C0C5D"/>
    <w:rsid w:val="3F310E2B"/>
    <w:rsid w:val="3F3E5B85"/>
    <w:rsid w:val="3F4D19AF"/>
    <w:rsid w:val="3F691A99"/>
    <w:rsid w:val="3F837DDF"/>
    <w:rsid w:val="3F901403"/>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CC7CA3"/>
    <w:rsid w:val="40D775A2"/>
    <w:rsid w:val="40DC23A0"/>
    <w:rsid w:val="40EE33BE"/>
    <w:rsid w:val="40F61783"/>
    <w:rsid w:val="4100601D"/>
    <w:rsid w:val="410D75D5"/>
    <w:rsid w:val="411A76EB"/>
    <w:rsid w:val="411E3000"/>
    <w:rsid w:val="41402C24"/>
    <w:rsid w:val="414E7345"/>
    <w:rsid w:val="41546D3E"/>
    <w:rsid w:val="41591FEE"/>
    <w:rsid w:val="41696F7F"/>
    <w:rsid w:val="417240B9"/>
    <w:rsid w:val="417C0D06"/>
    <w:rsid w:val="418B25AA"/>
    <w:rsid w:val="418D33B3"/>
    <w:rsid w:val="418E56CE"/>
    <w:rsid w:val="41925E9B"/>
    <w:rsid w:val="419B1BC4"/>
    <w:rsid w:val="419D5169"/>
    <w:rsid w:val="419D7C05"/>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F02B6"/>
    <w:rsid w:val="42523372"/>
    <w:rsid w:val="42672C44"/>
    <w:rsid w:val="42683145"/>
    <w:rsid w:val="427133C0"/>
    <w:rsid w:val="42715180"/>
    <w:rsid w:val="4277762F"/>
    <w:rsid w:val="429D7D7D"/>
    <w:rsid w:val="42B06FDD"/>
    <w:rsid w:val="42B23DF0"/>
    <w:rsid w:val="42B45768"/>
    <w:rsid w:val="42DD7341"/>
    <w:rsid w:val="42E637C3"/>
    <w:rsid w:val="42FD1410"/>
    <w:rsid w:val="430C488E"/>
    <w:rsid w:val="43184FA0"/>
    <w:rsid w:val="431F563A"/>
    <w:rsid w:val="432151DF"/>
    <w:rsid w:val="432A3E0D"/>
    <w:rsid w:val="432D0CD2"/>
    <w:rsid w:val="4338356A"/>
    <w:rsid w:val="433E24EE"/>
    <w:rsid w:val="43412F21"/>
    <w:rsid w:val="4348259E"/>
    <w:rsid w:val="434C0977"/>
    <w:rsid w:val="434D5EB2"/>
    <w:rsid w:val="43604502"/>
    <w:rsid w:val="43705840"/>
    <w:rsid w:val="437E6752"/>
    <w:rsid w:val="43803823"/>
    <w:rsid w:val="438D2FF7"/>
    <w:rsid w:val="43AF6845"/>
    <w:rsid w:val="43CC31B4"/>
    <w:rsid w:val="43CC79E5"/>
    <w:rsid w:val="43D44FF8"/>
    <w:rsid w:val="441557E3"/>
    <w:rsid w:val="44226F3F"/>
    <w:rsid w:val="4425659D"/>
    <w:rsid w:val="44286453"/>
    <w:rsid w:val="44371554"/>
    <w:rsid w:val="444B4817"/>
    <w:rsid w:val="444C54FC"/>
    <w:rsid w:val="44615639"/>
    <w:rsid w:val="44762FC6"/>
    <w:rsid w:val="44807EEA"/>
    <w:rsid w:val="4488431A"/>
    <w:rsid w:val="448F5706"/>
    <w:rsid w:val="44944331"/>
    <w:rsid w:val="449A539D"/>
    <w:rsid w:val="44A538D4"/>
    <w:rsid w:val="44B05905"/>
    <w:rsid w:val="44B67F0B"/>
    <w:rsid w:val="44BB1103"/>
    <w:rsid w:val="451317C4"/>
    <w:rsid w:val="45252A65"/>
    <w:rsid w:val="45575AD5"/>
    <w:rsid w:val="455907EE"/>
    <w:rsid w:val="457E0115"/>
    <w:rsid w:val="459B774E"/>
    <w:rsid w:val="45B72AB1"/>
    <w:rsid w:val="45BA079F"/>
    <w:rsid w:val="45CC0EF3"/>
    <w:rsid w:val="45CF5AD4"/>
    <w:rsid w:val="45D61E17"/>
    <w:rsid w:val="45DD06D9"/>
    <w:rsid w:val="460D21F2"/>
    <w:rsid w:val="460E0469"/>
    <w:rsid w:val="460E0A15"/>
    <w:rsid w:val="461909E8"/>
    <w:rsid w:val="462E79C9"/>
    <w:rsid w:val="4635298E"/>
    <w:rsid w:val="46355D58"/>
    <w:rsid w:val="463C04FA"/>
    <w:rsid w:val="464050BB"/>
    <w:rsid w:val="46405C21"/>
    <w:rsid w:val="466B6702"/>
    <w:rsid w:val="466F037A"/>
    <w:rsid w:val="467737E1"/>
    <w:rsid w:val="467C180C"/>
    <w:rsid w:val="468B577B"/>
    <w:rsid w:val="46A075FA"/>
    <w:rsid w:val="46A359DC"/>
    <w:rsid w:val="46A54FB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2B26B0"/>
    <w:rsid w:val="483A31DC"/>
    <w:rsid w:val="48440530"/>
    <w:rsid w:val="484715CC"/>
    <w:rsid w:val="485D616F"/>
    <w:rsid w:val="4873370F"/>
    <w:rsid w:val="48942C25"/>
    <w:rsid w:val="4898666C"/>
    <w:rsid w:val="489B75DE"/>
    <w:rsid w:val="489F44D2"/>
    <w:rsid w:val="48A82C2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977A4A"/>
    <w:rsid w:val="4AA30352"/>
    <w:rsid w:val="4AAF17A9"/>
    <w:rsid w:val="4ABA7840"/>
    <w:rsid w:val="4AE623A4"/>
    <w:rsid w:val="4AE74F60"/>
    <w:rsid w:val="4AFF5CC6"/>
    <w:rsid w:val="4B1D3A51"/>
    <w:rsid w:val="4B280F1E"/>
    <w:rsid w:val="4B3D4E30"/>
    <w:rsid w:val="4B411E5A"/>
    <w:rsid w:val="4B413D26"/>
    <w:rsid w:val="4B6B6050"/>
    <w:rsid w:val="4B8B446D"/>
    <w:rsid w:val="4BA324C2"/>
    <w:rsid w:val="4BB317A2"/>
    <w:rsid w:val="4BC27F8D"/>
    <w:rsid w:val="4BC97047"/>
    <w:rsid w:val="4BCC6CCE"/>
    <w:rsid w:val="4BE44E6C"/>
    <w:rsid w:val="4BF446B8"/>
    <w:rsid w:val="4C061338"/>
    <w:rsid w:val="4C061EF7"/>
    <w:rsid w:val="4C497215"/>
    <w:rsid w:val="4C4F5F99"/>
    <w:rsid w:val="4C5474C5"/>
    <w:rsid w:val="4C5D0817"/>
    <w:rsid w:val="4C5E08E0"/>
    <w:rsid w:val="4C7C64A4"/>
    <w:rsid w:val="4CBF4AE9"/>
    <w:rsid w:val="4CCA7CF8"/>
    <w:rsid w:val="4CCC299D"/>
    <w:rsid w:val="4D0A349B"/>
    <w:rsid w:val="4D0D2E78"/>
    <w:rsid w:val="4D0F04ED"/>
    <w:rsid w:val="4D164C7E"/>
    <w:rsid w:val="4D384A7C"/>
    <w:rsid w:val="4D3A0411"/>
    <w:rsid w:val="4D427C91"/>
    <w:rsid w:val="4D7706F2"/>
    <w:rsid w:val="4D845711"/>
    <w:rsid w:val="4D8A02B7"/>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7194E"/>
    <w:rsid w:val="4EC951FF"/>
    <w:rsid w:val="4ED04B02"/>
    <w:rsid w:val="4ED346CC"/>
    <w:rsid w:val="4EDD6EFA"/>
    <w:rsid w:val="4EE96853"/>
    <w:rsid w:val="4F105F02"/>
    <w:rsid w:val="4F121BEA"/>
    <w:rsid w:val="4F172396"/>
    <w:rsid w:val="4F1D4181"/>
    <w:rsid w:val="4F3F03C1"/>
    <w:rsid w:val="4F4C2971"/>
    <w:rsid w:val="4F566ACF"/>
    <w:rsid w:val="4F704BBC"/>
    <w:rsid w:val="4F8028EE"/>
    <w:rsid w:val="4F8435B4"/>
    <w:rsid w:val="4F8C7DDC"/>
    <w:rsid w:val="4FAD0DF7"/>
    <w:rsid w:val="4FBC1F04"/>
    <w:rsid w:val="4FBD361C"/>
    <w:rsid w:val="4FBE1CEA"/>
    <w:rsid w:val="4FC15F00"/>
    <w:rsid w:val="4FF17370"/>
    <w:rsid w:val="4FF77C61"/>
    <w:rsid w:val="50037C0C"/>
    <w:rsid w:val="500F51F9"/>
    <w:rsid w:val="50200CEA"/>
    <w:rsid w:val="502A7546"/>
    <w:rsid w:val="502E1CFA"/>
    <w:rsid w:val="50371519"/>
    <w:rsid w:val="503D6ACE"/>
    <w:rsid w:val="50447CE3"/>
    <w:rsid w:val="504570EB"/>
    <w:rsid w:val="505A0A75"/>
    <w:rsid w:val="505B05E7"/>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52A88"/>
    <w:rsid w:val="51B23F17"/>
    <w:rsid w:val="51B661F2"/>
    <w:rsid w:val="51BB2EED"/>
    <w:rsid w:val="51E51BA8"/>
    <w:rsid w:val="51EE27E3"/>
    <w:rsid w:val="52040DD8"/>
    <w:rsid w:val="52101F45"/>
    <w:rsid w:val="52125E5B"/>
    <w:rsid w:val="5213342A"/>
    <w:rsid w:val="52163344"/>
    <w:rsid w:val="52217FFE"/>
    <w:rsid w:val="5234477C"/>
    <w:rsid w:val="52475C9F"/>
    <w:rsid w:val="52515077"/>
    <w:rsid w:val="52806E8B"/>
    <w:rsid w:val="52A84489"/>
    <w:rsid w:val="52B118DE"/>
    <w:rsid w:val="52B80D5E"/>
    <w:rsid w:val="52BF77E0"/>
    <w:rsid w:val="52C52078"/>
    <w:rsid w:val="52CB6EC0"/>
    <w:rsid w:val="52D061DA"/>
    <w:rsid w:val="52D211F8"/>
    <w:rsid w:val="52F26F28"/>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522B5"/>
    <w:rsid w:val="542406F9"/>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F10A56"/>
    <w:rsid w:val="56FB32FA"/>
    <w:rsid w:val="570703AF"/>
    <w:rsid w:val="572D602C"/>
    <w:rsid w:val="573221A2"/>
    <w:rsid w:val="57364D30"/>
    <w:rsid w:val="573D71D1"/>
    <w:rsid w:val="57574216"/>
    <w:rsid w:val="57636B03"/>
    <w:rsid w:val="57A21363"/>
    <w:rsid w:val="57A54C20"/>
    <w:rsid w:val="57A71406"/>
    <w:rsid w:val="57B06D46"/>
    <w:rsid w:val="57B937A9"/>
    <w:rsid w:val="57BB4E50"/>
    <w:rsid w:val="57C34B39"/>
    <w:rsid w:val="57C94F80"/>
    <w:rsid w:val="57DE1F69"/>
    <w:rsid w:val="57E116B4"/>
    <w:rsid w:val="580C0140"/>
    <w:rsid w:val="580F431F"/>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5E1551"/>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7D1253"/>
    <w:rsid w:val="5A905E59"/>
    <w:rsid w:val="5A9311E7"/>
    <w:rsid w:val="5AA72593"/>
    <w:rsid w:val="5AA9358C"/>
    <w:rsid w:val="5AD0373D"/>
    <w:rsid w:val="5AF46A20"/>
    <w:rsid w:val="5AF81B7B"/>
    <w:rsid w:val="5AF86253"/>
    <w:rsid w:val="5AFB1569"/>
    <w:rsid w:val="5B047A73"/>
    <w:rsid w:val="5B081862"/>
    <w:rsid w:val="5B0A0B9B"/>
    <w:rsid w:val="5B1140FC"/>
    <w:rsid w:val="5B1C3DCA"/>
    <w:rsid w:val="5B1F176B"/>
    <w:rsid w:val="5B24355B"/>
    <w:rsid w:val="5B2D01BB"/>
    <w:rsid w:val="5B340596"/>
    <w:rsid w:val="5B3F26B3"/>
    <w:rsid w:val="5B467F94"/>
    <w:rsid w:val="5B491028"/>
    <w:rsid w:val="5B4B70AC"/>
    <w:rsid w:val="5B850F8B"/>
    <w:rsid w:val="5B8A7522"/>
    <w:rsid w:val="5B946B5D"/>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03E21"/>
    <w:rsid w:val="5C7370A0"/>
    <w:rsid w:val="5C790A6A"/>
    <w:rsid w:val="5C81109C"/>
    <w:rsid w:val="5C9E10E9"/>
    <w:rsid w:val="5C9E40DE"/>
    <w:rsid w:val="5CA11D7F"/>
    <w:rsid w:val="5CAF4CE5"/>
    <w:rsid w:val="5CC927D0"/>
    <w:rsid w:val="5CDA6371"/>
    <w:rsid w:val="5CF30224"/>
    <w:rsid w:val="5CFC64A7"/>
    <w:rsid w:val="5D1516BF"/>
    <w:rsid w:val="5D1569ED"/>
    <w:rsid w:val="5D1A5C10"/>
    <w:rsid w:val="5D1B2A4F"/>
    <w:rsid w:val="5D2E6665"/>
    <w:rsid w:val="5D4F34F7"/>
    <w:rsid w:val="5D521435"/>
    <w:rsid w:val="5D623C65"/>
    <w:rsid w:val="5D7636FE"/>
    <w:rsid w:val="5D7F7A77"/>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C1728F"/>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3F44BF"/>
    <w:rsid w:val="60504051"/>
    <w:rsid w:val="607F2EF2"/>
    <w:rsid w:val="60842FF2"/>
    <w:rsid w:val="60AF5E00"/>
    <w:rsid w:val="60B1155A"/>
    <w:rsid w:val="60B54161"/>
    <w:rsid w:val="60D43BFA"/>
    <w:rsid w:val="60E142BE"/>
    <w:rsid w:val="60E16AB6"/>
    <w:rsid w:val="60E40C2C"/>
    <w:rsid w:val="60F32CD5"/>
    <w:rsid w:val="60FB6994"/>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9142A"/>
    <w:rsid w:val="634B7547"/>
    <w:rsid w:val="63647D08"/>
    <w:rsid w:val="637B37CB"/>
    <w:rsid w:val="637E69F6"/>
    <w:rsid w:val="63B47AD6"/>
    <w:rsid w:val="63B55E70"/>
    <w:rsid w:val="63BD1F88"/>
    <w:rsid w:val="63D07482"/>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480BBE"/>
    <w:rsid w:val="6550438A"/>
    <w:rsid w:val="6554639C"/>
    <w:rsid w:val="65687D20"/>
    <w:rsid w:val="657B264C"/>
    <w:rsid w:val="657C3759"/>
    <w:rsid w:val="659052F9"/>
    <w:rsid w:val="65933B3C"/>
    <w:rsid w:val="65AE026A"/>
    <w:rsid w:val="65B955CA"/>
    <w:rsid w:val="65BE6C54"/>
    <w:rsid w:val="65CC3546"/>
    <w:rsid w:val="65CE71FF"/>
    <w:rsid w:val="65EE73B7"/>
    <w:rsid w:val="66087C36"/>
    <w:rsid w:val="660A413F"/>
    <w:rsid w:val="661A0E12"/>
    <w:rsid w:val="66214D7C"/>
    <w:rsid w:val="6624580B"/>
    <w:rsid w:val="6625001A"/>
    <w:rsid w:val="662A15EB"/>
    <w:rsid w:val="66356B67"/>
    <w:rsid w:val="665078F8"/>
    <w:rsid w:val="66760042"/>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509D9"/>
    <w:rsid w:val="67FC02AC"/>
    <w:rsid w:val="68006207"/>
    <w:rsid w:val="68070E08"/>
    <w:rsid w:val="680E4CA4"/>
    <w:rsid w:val="682D2C3F"/>
    <w:rsid w:val="682D432C"/>
    <w:rsid w:val="68382592"/>
    <w:rsid w:val="684159B8"/>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34859"/>
    <w:rsid w:val="69726337"/>
    <w:rsid w:val="69787B08"/>
    <w:rsid w:val="698B1B24"/>
    <w:rsid w:val="6994580C"/>
    <w:rsid w:val="69A66C99"/>
    <w:rsid w:val="69B75241"/>
    <w:rsid w:val="69BB0755"/>
    <w:rsid w:val="69CD6D6F"/>
    <w:rsid w:val="69FB0A5B"/>
    <w:rsid w:val="6A0D79AA"/>
    <w:rsid w:val="6A115C81"/>
    <w:rsid w:val="6A162FAD"/>
    <w:rsid w:val="6A165F97"/>
    <w:rsid w:val="6A22015C"/>
    <w:rsid w:val="6A7A60F7"/>
    <w:rsid w:val="6A7E417E"/>
    <w:rsid w:val="6A9C36E2"/>
    <w:rsid w:val="6AAC2E76"/>
    <w:rsid w:val="6AB90DA9"/>
    <w:rsid w:val="6AD73CE6"/>
    <w:rsid w:val="6AE03E44"/>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5514A"/>
    <w:rsid w:val="6BE82C3E"/>
    <w:rsid w:val="6BE972DB"/>
    <w:rsid w:val="6BFE0452"/>
    <w:rsid w:val="6C0F2440"/>
    <w:rsid w:val="6C176418"/>
    <w:rsid w:val="6C247F63"/>
    <w:rsid w:val="6C392A9F"/>
    <w:rsid w:val="6C452784"/>
    <w:rsid w:val="6C4D097B"/>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760430"/>
    <w:rsid w:val="6D8A08D8"/>
    <w:rsid w:val="6D9541F5"/>
    <w:rsid w:val="6D961017"/>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0DA7"/>
    <w:rsid w:val="6E7251F0"/>
    <w:rsid w:val="6E757524"/>
    <w:rsid w:val="6E7934F3"/>
    <w:rsid w:val="6E9C5623"/>
    <w:rsid w:val="6E9E05A5"/>
    <w:rsid w:val="6EAD6286"/>
    <w:rsid w:val="6EB24C59"/>
    <w:rsid w:val="6EBD3CCD"/>
    <w:rsid w:val="6EC9468F"/>
    <w:rsid w:val="6ECD60E1"/>
    <w:rsid w:val="6EDB6C60"/>
    <w:rsid w:val="6EE64158"/>
    <w:rsid w:val="6F0F28B8"/>
    <w:rsid w:val="6F2428C0"/>
    <w:rsid w:val="6F350CF1"/>
    <w:rsid w:val="6F3A17D7"/>
    <w:rsid w:val="6F433285"/>
    <w:rsid w:val="6F591B5D"/>
    <w:rsid w:val="6F7E65DB"/>
    <w:rsid w:val="6F7F6D3A"/>
    <w:rsid w:val="6F8D476D"/>
    <w:rsid w:val="6F9016E6"/>
    <w:rsid w:val="6F981073"/>
    <w:rsid w:val="6FA172A4"/>
    <w:rsid w:val="6FE07DD0"/>
    <w:rsid w:val="6FEC6F26"/>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ED6920"/>
    <w:rsid w:val="74F13E40"/>
    <w:rsid w:val="750B1697"/>
    <w:rsid w:val="752A3F7B"/>
    <w:rsid w:val="7533655A"/>
    <w:rsid w:val="754222FC"/>
    <w:rsid w:val="75444F15"/>
    <w:rsid w:val="75485488"/>
    <w:rsid w:val="75692896"/>
    <w:rsid w:val="75733C39"/>
    <w:rsid w:val="758516A2"/>
    <w:rsid w:val="759A2104"/>
    <w:rsid w:val="75B35E00"/>
    <w:rsid w:val="75CD1343"/>
    <w:rsid w:val="75EB2F64"/>
    <w:rsid w:val="75F04A64"/>
    <w:rsid w:val="7609404D"/>
    <w:rsid w:val="760F1847"/>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10D28"/>
    <w:rsid w:val="76A64EB2"/>
    <w:rsid w:val="76BC1014"/>
    <w:rsid w:val="77025DC3"/>
    <w:rsid w:val="772354E1"/>
    <w:rsid w:val="77276E30"/>
    <w:rsid w:val="772C68C6"/>
    <w:rsid w:val="773E0DC5"/>
    <w:rsid w:val="77594BC8"/>
    <w:rsid w:val="77652DD1"/>
    <w:rsid w:val="776C53FF"/>
    <w:rsid w:val="776E3681"/>
    <w:rsid w:val="777E5705"/>
    <w:rsid w:val="7781654E"/>
    <w:rsid w:val="77881C4F"/>
    <w:rsid w:val="779231D8"/>
    <w:rsid w:val="77A618BC"/>
    <w:rsid w:val="77B92312"/>
    <w:rsid w:val="77CC68FE"/>
    <w:rsid w:val="77DE5CDB"/>
    <w:rsid w:val="77F67883"/>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E038B"/>
    <w:rsid w:val="7911644D"/>
    <w:rsid w:val="791E0B4D"/>
    <w:rsid w:val="792078D7"/>
    <w:rsid w:val="79331EC1"/>
    <w:rsid w:val="79404911"/>
    <w:rsid w:val="794D0D3C"/>
    <w:rsid w:val="7967360B"/>
    <w:rsid w:val="79781473"/>
    <w:rsid w:val="7986601A"/>
    <w:rsid w:val="79905EB8"/>
    <w:rsid w:val="7993616D"/>
    <w:rsid w:val="799D69BF"/>
    <w:rsid w:val="799F3A31"/>
    <w:rsid w:val="79AE14B2"/>
    <w:rsid w:val="79B1687C"/>
    <w:rsid w:val="79B22738"/>
    <w:rsid w:val="79CE4B72"/>
    <w:rsid w:val="79FE0269"/>
    <w:rsid w:val="7A055366"/>
    <w:rsid w:val="7A292C38"/>
    <w:rsid w:val="7A49541C"/>
    <w:rsid w:val="7A5E6715"/>
    <w:rsid w:val="7A5F22B4"/>
    <w:rsid w:val="7A680094"/>
    <w:rsid w:val="7A7508D5"/>
    <w:rsid w:val="7A80455C"/>
    <w:rsid w:val="7A81102C"/>
    <w:rsid w:val="7A8D6BBC"/>
    <w:rsid w:val="7AA37ECA"/>
    <w:rsid w:val="7AB16073"/>
    <w:rsid w:val="7ABB5514"/>
    <w:rsid w:val="7AC2458A"/>
    <w:rsid w:val="7ADE3222"/>
    <w:rsid w:val="7AF037CB"/>
    <w:rsid w:val="7AF04DB0"/>
    <w:rsid w:val="7AFA759D"/>
    <w:rsid w:val="7B0D28AD"/>
    <w:rsid w:val="7B133363"/>
    <w:rsid w:val="7B1C1737"/>
    <w:rsid w:val="7B2F5379"/>
    <w:rsid w:val="7B322761"/>
    <w:rsid w:val="7B3C2640"/>
    <w:rsid w:val="7B41164E"/>
    <w:rsid w:val="7B4443D1"/>
    <w:rsid w:val="7BA76397"/>
    <w:rsid w:val="7BB151FD"/>
    <w:rsid w:val="7BB43296"/>
    <w:rsid w:val="7BBE12F2"/>
    <w:rsid w:val="7BDE6C84"/>
    <w:rsid w:val="7BE07A81"/>
    <w:rsid w:val="7BE81B8B"/>
    <w:rsid w:val="7BE97D38"/>
    <w:rsid w:val="7BED162A"/>
    <w:rsid w:val="7BF01170"/>
    <w:rsid w:val="7C272B3E"/>
    <w:rsid w:val="7C471D4F"/>
    <w:rsid w:val="7C573A0C"/>
    <w:rsid w:val="7C5A71C2"/>
    <w:rsid w:val="7C615DCB"/>
    <w:rsid w:val="7C7A6596"/>
    <w:rsid w:val="7CA76A22"/>
    <w:rsid w:val="7CB167D6"/>
    <w:rsid w:val="7CCC4E54"/>
    <w:rsid w:val="7CEB2ACD"/>
    <w:rsid w:val="7CEF6F65"/>
    <w:rsid w:val="7CF41D8D"/>
    <w:rsid w:val="7D0E7370"/>
    <w:rsid w:val="7D2745EF"/>
    <w:rsid w:val="7D2D2CA0"/>
    <w:rsid w:val="7D5607A5"/>
    <w:rsid w:val="7D5C29E8"/>
    <w:rsid w:val="7D6C69AF"/>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733E1"/>
    <w:rsid w:val="7E660C33"/>
    <w:rsid w:val="7E6637F7"/>
    <w:rsid w:val="7E707801"/>
    <w:rsid w:val="7E733B66"/>
    <w:rsid w:val="7E8A121F"/>
    <w:rsid w:val="7EA36680"/>
    <w:rsid w:val="7EAA0237"/>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A3192C"/>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2021-03-18T07:56:25Z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y fmtid="{D5CDD505-2E9C-101B-9397-08002B2CF9AE}" pid="4" name="ICV">
    <vt:lpwstr>D366F8CEF0B34B9A839F473A36DCA92E</vt:lpwstr>
  </property>
</Properties>
</file>