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9264" behindDoc="1" locked="0" layoutInCell="1" allowOverlap="1">
            <wp:simplePos x="0" y="0"/>
            <wp:positionH relativeFrom="column">
              <wp:posOffset>-1001395</wp:posOffset>
            </wp:positionH>
            <wp:positionV relativeFrom="paragraph">
              <wp:posOffset>-890905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60288;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xaJUtgA&#10;AAAKAQAADwAAAAAAAAABACAAAAAiAAAAZHJzL2Rvd25yZXYueG1sUEsBAhQAFAAAAAgAh07iQBmd&#10;hPqtAQAATwMAAA4AAAAAAAAAAQAgAAAAJwEAAGRycy9lMm9Eb2MueG1sUEsFBgAAAAAGAAYAWQEA&#10;AEY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w:t>
      </w:r>
      <w:r>
        <w:rPr>
          <w:rFonts w:hint="eastAsia" w:ascii="宋体" w:hAnsi="宋体"/>
          <w:b/>
          <w:sz w:val="30"/>
          <w:szCs w:val="30"/>
          <w:lang w:val="en-US" w:eastAsia="zh-CN"/>
        </w:rPr>
        <w:t>3.11</w:t>
      </w: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60288;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_Toc3441 </w:instrText>
      </w:r>
      <w:r>
        <w:rPr>
          <w:rFonts w:hint="eastAsia" w:ascii="宋体" w:hAnsi="宋体" w:eastAsia="宋体" w:cs="宋体"/>
          <w:szCs w:val="21"/>
        </w:rPr>
        <w:fldChar w:fldCharType="separate"/>
      </w:r>
      <w:r>
        <w:rPr>
          <w:rFonts w:hint="eastAsia"/>
        </w:rPr>
        <w:t>一、 国际原油市场回顾 </w:t>
      </w:r>
      <w:r>
        <w:tab/>
      </w:r>
      <w:r>
        <w:fldChar w:fldCharType="begin"/>
      </w:r>
      <w:r>
        <w:instrText xml:space="preserve"> PAGEREF _Toc3441 \h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_Toc18328 </w:instrText>
      </w:r>
      <w:r>
        <w:rPr>
          <w:rFonts w:hint="eastAsia" w:ascii="宋体" w:hAnsi="宋体" w:eastAsia="宋体" w:cs="宋体"/>
          <w:szCs w:val="21"/>
        </w:rPr>
        <w:fldChar w:fldCharType="separate"/>
      </w:r>
      <w:r>
        <w:rPr>
          <w:rFonts w:hint="eastAsia" w:ascii="宋体" w:hAnsi="宋体"/>
          <w:szCs w:val="30"/>
          <w:highlight w:val="none"/>
          <w:lang w:val="en-US" w:eastAsia="zh-CN"/>
        </w:rPr>
        <w:t>1、国际原油收盘价涨跌情况（单位：美元/桶）</w:t>
      </w:r>
      <w:r>
        <w:tab/>
      </w:r>
      <w:r>
        <w:fldChar w:fldCharType="begin"/>
      </w:r>
      <w:r>
        <w:instrText xml:space="preserve"> PAGEREF _Toc18328 \h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_Toc209 </w:instrText>
      </w:r>
      <w:r>
        <w:rPr>
          <w:rFonts w:hint="eastAsia" w:ascii="宋体" w:hAnsi="宋体" w:eastAsia="宋体" w:cs="宋体"/>
          <w:szCs w:val="21"/>
        </w:rPr>
        <w:fldChar w:fldCharType="separate"/>
      </w:r>
      <w:r>
        <w:rPr>
          <w:rFonts w:hint="eastAsia" w:ascii="宋体" w:hAnsi="宋体"/>
          <w:szCs w:val="30"/>
          <w:highlight w:val="none"/>
          <w:lang w:val="en-US" w:eastAsia="zh-CN"/>
        </w:rPr>
        <w:t>2.2021年国际原油价格走势图</w:t>
      </w:r>
      <w:r>
        <w:tab/>
      </w:r>
      <w:r>
        <w:fldChar w:fldCharType="begin"/>
      </w:r>
      <w:r>
        <w:instrText xml:space="preserve"> PAGEREF _Toc209 \h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_Toc9996 </w:instrText>
      </w:r>
      <w:r>
        <w:rPr>
          <w:rFonts w:hint="eastAsia" w:ascii="宋体" w:hAnsi="宋体" w:eastAsia="宋体" w:cs="宋体"/>
          <w:szCs w:val="21"/>
        </w:rPr>
        <w:fldChar w:fldCharType="separate"/>
      </w:r>
      <w:r>
        <w:rPr>
          <w:rFonts w:hint="eastAsia" w:ascii="宋体" w:hAnsi="宋体"/>
          <w:szCs w:val="30"/>
          <w:highlight w:val="none"/>
          <w:lang w:val="en-US" w:eastAsia="zh-CN"/>
        </w:rPr>
        <w:t>1.1 美国原油库存情况</w:t>
      </w:r>
      <w:r>
        <w:tab/>
      </w:r>
      <w:r>
        <w:fldChar w:fldCharType="begin"/>
      </w:r>
      <w:r>
        <w:instrText xml:space="preserve"> PAGEREF _Toc9996 \h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_Toc25555 </w:instrText>
      </w:r>
      <w:r>
        <w:rPr>
          <w:rFonts w:hint="eastAsia" w:ascii="宋体" w:hAnsi="宋体" w:eastAsia="宋体" w:cs="宋体"/>
          <w:szCs w:val="21"/>
        </w:rPr>
        <w:fldChar w:fldCharType="separate"/>
      </w:r>
      <w:r>
        <w:rPr>
          <w:rFonts w:hint="eastAsia" w:ascii="宋体" w:hAnsi="宋体"/>
          <w:bCs/>
          <w:szCs w:val="30"/>
          <w:highlight w:val="none"/>
          <w:lang w:val="en-US" w:eastAsia="zh-CN"/>
        </w:rPr>
        <w:t>2美国经济形势</w:t>
      </w:r>
      <w:r>
        <w:tab/>
      </w:r>
      <w:r>
        <w:fldChar w:fldCharType="begin"/>
      </w:r>
      <w:r>
        <w:instrText xml:space="preserve"> PAGEREF _Toc25555 \h </w:instrText>
      </w:r>
      <w:r>
        <w:fldChar w:fldCharType="separate"/>
      </w:r>
      <w:r>
        <w:t>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_Toc28546 </w:instrText>
      </w:r>
      <w:r>
        <w:rPr>
          <w:rFonts w:hint="eastAsia" w:ascii="宋体" w:hAnsi="宋体" w:eastAsia="宋体" w:cs="宋体"/>
          <w:szCs w:val="21"/>
        </w:rPr>
        <w:fldChar w:fldCharType="separate"/>
      </w:r>
      <w:r>
        <w:rPr>
          <w:rFonts w:hint="eastAsia" w:ascii="宋体" w:hAnsi="宋体"/>
          <w:bCs/>
          <w:szCs w:val="30"/>
          <w:highlight w:val="none"/>
          <w:lang w:val="en-US" w:eastAsia="zh-CN"/>
        </w:rPr>
        <w:t>3世界经济形势</w:t>
      </w:r>
      <w:bookmarkStart w:id="27" w:name="_GoBack"/>
      <w:bookmarkEnd w:id="27"/>
      <w:r>
        <w:tab/>
      </w:r>
      <w:r>
        <w:fldChar w:fldCharType="begin"/>
      </w:r>
      <w:r>
        <w:instrText xml:space="preserve"> PAGEREF _Toc28546 \h </w:instrText>
      </w:r>
      <w:r>
        <w:fldChar w:fldCharType="separate"/>
      </w:r>
      <w:r>
        <w:t>10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_Toc21786 </w:instrText>
      </w:r>
      <w:r>
        <w:rPr>
          <w:rFonts w:hint="eastAsia" w:ascii="宋体" w:hAnsi="宋体" w:eastAsia="宋体" w:cs="宋体"/>
          <w:szCs w:val="21"/>
        </w:rPr>
        <w:fldChar w:fldCharType="separate"/>
      </w:r>
      <w:r>
        <w:rPr>
          <w:rFonts w:hint="eastAsia" w:ascii="宋体" w:hAnsi="宋体"/>
          <w:bCs/>
          <w:szCs w:val="30"/>
          <w:highlight w:val="none"/>
          <w:lang w:val="en-US" w:eastAsia="zh-CN"/>
        </w:rPr>
        <w:t>4后市预测</w:t>
      </w:r>
      <w:r>
        <w:tab/>
      </w:r>
      <w:r>
        <w:fldChar w:fldCharType="begin"/>
      </w:r>
      <w:r>
        <w:instrText xml:space="preserve"> PAGEREF _Toc21786 \h </w:instrText>
      </w:r>
      <w:r>
        <w:fldChar w:fldCharType="separate"/>
      </w:r>
      <w:r>
        <w:t>12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_Toc24151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_Toc24151 \h </w:instrText>
      </w:r>
      <w:r>
        <w:fldChar w:fldCharType="separate"/>
      </w:r>
      <w:r>
        <w:t>14</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_Toc22724 </w:instrText>
      </w:r>
      <w:r>
        <w:rPr>
          <w:rFonts w:hint="eastAsia" w:ascii="宋体" w:hAnsi="宋体" w:eastAsia="宋体" w:cs="宋体"/>
          <w:szCs w:val="21"/>
        </w:rPr>
        <w:fldChar w:fldCharType="separate"/>
      </w:r>
      <w:r>
        <w:rPr>
          <w:rFonts w:hint="eastAsia"/>
          <w:lang w:eastAsia="zh-CN"/>
        </w:rPr>
        <w:t>三、</w:t>
      </w:r>
      <w:r>
        <w:rPr>
          <w:rFonts w:hint="eastAsia"/>
        </w:rPr>
        <w:t>本周国内市场</w:t>
      </w:r>
      <w:r>
        <w:tab/>
      </w:r>
      <w:r>
        <w:fldChar w:fldCharType="begin"/>
      </w:r>
      <w:r>
        <w:instrText xml:space="preserve"> PAGEREF _Toc22724 \h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_Toc6779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_Toc6779 \h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_Toc10253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_Toc10253 \h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_Toc5666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_Toc5666 \h </w:instrText>
      </w:r>
      <w:r>
        <w:fldChar w:fldCharType="separate"/>
      </w:r>
      <w:r>
        <w:t>20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_Toc6836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_Toc6836 \h </w:instrText>
      </w:r>
      <w:r>
        <w:fldChar w:fldCharType="separate"/>
      </w:r>
      <w:r>
        <w:t>23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_Toc9985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_Toc9985 \h </w:instrText>
      </w:r>
      <w:r>
        <w:fldChar w:fldCharType="separate"/>
      </w:r>
      <w:r>
        <w:t>25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_Toc24766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_Toc24766 \h </w:instrText>
      </w:r>
      <w:r>
        <w:fldChar w:fldCharType="separate"/>
      </w:r>
      <w:r>
        <w:t>28</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_Toc20870 </w:instrText>
      </w:r>
      <w:r>
        <w:rPr>
          <w:rFonts w:hint="eastAsia" w:ascii="宋体" w:hAnsi="宋体" w:eastAsia="宋体" w:cs="宋体"/>
          <w:szCs w:val="21"/>
        </w:rPr>
        <w:fldChar w:fldCharType="separate"/>
      </w:r>
      <w:r>
        <w:rPr>
          <w:rFonts w:hint="eastAsia" w:ascii="宋体" w:hAnsi="宋体"/>
          <w:szCs w:val="30"/>
          <w:lang w:val="en-US" w:eastAsia="zh-CN"/>
        </w:rPr>
        <w:t>四、2020年12月份进出口统计数据</w:t>
      </w:r>
      <w:r>
        <w:tab/>
      </w:r>
      <w:r>
        <w:fldChar w:fldCharType="begin"/>
      </w:r>
      <w:r>
        <w:instrText xml:space="preserve"> PAGEREF _Toc20870 \h </w:instrText>
      </w:r>
      <w:r>
        <w:fldChar w:fldCharType="separate"/>
      </w:r>
      <w:r>
        <w:t>30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_Toc14178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12</w:t>
      </w:r>
      <w:r>
        <w:rPr>
          <w:rFonts w:hint="eastAsia" w:ascii="宋体" w:hAnsi="宋体"/>
          <w:szCs w:val="30"/>
        </w:rPr>
        <w:t>份全国车用汽油</w:t>
      </w:r>
      <w:r>
        <w:rPr>
          <w:rFonts w:hint="eastAsia" w:ascii="宋体" w:hAnsi="宋体"/>
          <w:szCs w:val="30"/>
          <w:lang w:eastAsia="zh-CN"/>
        </w:rPr>
        <w:t>进</w:t>
      </w:r>
      <w:r>
        <w:rPr>
          <w:rFonts w:hint="eastAsia" w:ascii="宋体" w:hAnsi="宋体"/>
          <w:szCs w:val="30"/>
        </w:rPr>
        <w:t>出口统计数据</w:t>
      </w:r>
      <w:r>
        <w:tab/>
      </w:r>
      <w:r>
        <w:fldChar w:fldCharType="begin"/>
      </w:r>
      <w:r>
        <w:instrText xml:space="preserve"> PAGEREF _Toc14178 \h </w:instrText>
      </w:r>
      <w:r>
        <w:fldChar w:fldCharType="separate"/>
      </w:r>
      <w:r>
        <w:t>30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_Toc26275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20</w:t>
      </w:r>
      <w:r>
        <w:rPr>
          <w:rFonts w:hint="eastAsia" w:ascii="宋体" w:hAnsi="宋体"/>
          <w:szCs w:val="30"/>
        </w:rPr>
        <w:t>年1</w:t>
      </w:r>
      <w:r>
        <w:rPr>
          <w:rFonts w:hint="eastAsia" w:ascii="宋体" w:hAnsi="宋体"/>
          <w:szCs w:val="30"/>
          <w:lang w:val="en-US" w:eastAsia="zh-CN"/>
        </w:rPr>
        <w:t>2</w:t>
      </w:r>
      <w:r>
        <w:rPr>
          <w:rFonts w:hint="eastAsia" w:ascii="宋体" w:hAnsi="宋体"/>
          <w:szCs w:val="30"/>
        </w:rPr>
        <w:t>月份全国柴油出口统计数据</w:t>
      </w:r>
      <w:r>
        <w:tab/>
      </w:r>
      <w:r>
        <w:fldChar w:fldCharType="begin"/>
      </w:r>
      <w:r>
        <w:instrText xml:space="preserve"> PAGEREF _Toc26275 \h </w:instrText>
      </w:r>
      <w:r>
        <w:fldChar w:fldCharType="separate"/>
      </w:r>
      <w:r>
        <w:t>32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_Toc23056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12</w:t>
      </w:r>
      <w:r>
        <w:rPr>
          <w:rFonts w:hint="eastAsia" w:ascii="宋体" w:hAnsi="宋体"/>
          <w:szCs w:val="30"/>
        </w:rPr>
        <w:t>月份全国原油进出口统计数据</w:t>
      </w:r>
      <w:r>
        <w:tab/>
      </w:r>
      <w:r>
        <w:fldChar w:fldCharType="begin"/>
      </w:r>
      <w:r>
        <w:instrText xml:space="preserve"> PAGEREF _Toc23056 \h </w:instrText>
      </w:r>
      <w:r>
        <w:fldChar w:fldCharType="separate"/>
      </w:r>
      <w:r>
        <w:t>33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_Toc20776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12</w:t>
      </w:r>
      <w:r>
        <w:rPr>
          <w:rFonts w:hint="eastAsia" w:ascii="宋体" w:hAnsi="宋体"/>
          <w:szCs w:val="30"/>
        </w:rPr>
        <w:t>月份航空煤油进出口统计数据</w:t>
      </w:r>
      <w:r>
        <w:tab/>
      </w:r>
      <w:r>
        <w:fldChar w:fldCharType="begin"/>
      </w:r>
      <w:r>
        <w:instrText xml:space="preserve"> PAGEREF _Toc20776 \h </w:instrText>
      </w:r>
      <w:r>
        <w:fldChar w:fldCharType="separate"/>
      </w:r>
      <w:r>
        <w:t>35</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
    <w:p/>
    <w:p/>
    <w:p/>
    <w:p/>
    <w:p/>
    <w:p/>
    <w:p>
      <w:pPr>
        <w:pStyle w:val="2"/>
        <w:numPr>
          <w:ilvl w:val="0"/>
          <w:numId w:val="1"/>
        </w:numPr>
        <w:spacing w:before="120" w:after="0" w:line="240" w:lineRule="auto"/>
        <w:rPr>
          <w:rFonts w:hint="eastAsia"/>
        </w:rPr>
      </w:pPr>
      <w:bookmarkStart w:id="0" w:name="_Toc3441"/>
      <w:r>
        <w:rPr>
          <w:rFonts w:hint="eastAsia"/>
        </w:rPr>
        <w:t>国际原油市场回顾 </w:t>
      </w:r>
      <w:bookmarkEnd w:id="0"/>
    </w:p>
    <w:p>
      <w:pPr>
        <w:pStyle w:val="3"/>
        <w:spacing w:before="120" w:after="120" w:line="240" w:lineRule="auto"/>
        <w:rPr>
          <w:rFonts w:hint="eastAsia" w:ascii="宋体" w:hAnsi="宋体"/>
          <w:b/>
          <w:sz w:val="30"/>
          <w:szCs w:val="30"/>
          <w:highlight w:val="none"/>
          <w:lang w:val="en-US" w:eastAsia="zh-CN"/>
        </w:rPr>
      </w:pPr>
      <w:bookmarkStart w:id="1" w:name="_Toc18328"/>
      <w:r>
        <w:rPr>
          <w:rFonts w:hint="eastAsia" w:ascii="宋体" w:hAnsi="宋体"/>
          <w:b/>
          <w:sz w:val="30"/>
          <w:szCs w:val="30"/>
          <w:highlight w:val="none"/>
          <w:lang w:val="en-US" w:eastAsia="zh-CN"/>
        </w:rPr>
        <w:t>1、国际原油收盘价涨跌情况（单位：美元/桶）</w:t>
      </w:r>
      <w:bookmarkEnd w:id="1"/>
    </w:p>
    <w:tbl>
      <w:tblPr>
        <w:tblStyle w:val="24"/>
        <w:tblpPr w:leftFromText="180" w:rightFromText="180" w:vertAnchor="text" w:horzAnchor="page" w:tblpX="1677" w:tblpY="731"/>
        <w:tblOverlap w:val="never"/>
        <w:tblW w:w="9300" w:type="dxa"/>
        <w:tblInd w:w="0" w:type="dxa"/>
        <w:tblLayout w:type="fixed"/>
        <w:tblCellMar>
          <w:top w:w="15" w:type="dxa"/>
          <w:left w:w="15" w:type="dxa"/>
          <w:bottom w:w="15" w:type="dxa"/>
          <w:right w:w="15" w:type="dxa"/>
        </w:tblCellMar>
      </w:tblPr>
      <w:tblGrid>
        <w:gridCol w:w="1438"/>
        <w:gridCol w:w="827"/>
        <w:gridCol w:w="750"/>
        <w:gridCol w:w="6285"/>
      </w:tblGrid>
      <w:tr>
        <w:tblPrEx>
          <w:tblCellMar>
            <w:top w:w="15" w:type="dxa"/>
            <w:left w:w="15" w:type="dxa"/>
            <w:bottom w:w="15" w:type="dxa"/>
            <w:right w:w="15" w:type="dxa"/>
          </w:tblCellMar>
        </w:tblPrEx>
        <w:trPr>
          <w:trHeight w:val="286" w:hRule="atLeast"/>
        </w:trPr>
        <w:tc>
          <w:tcPr>
            <w:tcW w:w="1438"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8"/>
                <w:szCs w:val="28"/>
              </w:rPr>
            </w:pPr>
            <w:bookmarkStart w:id="2" w:name="_Toc66345681"/>
            <w:r>
              <w:rPr>
                <w:rFonts w:hint="eastAsia" w:ascii="宋体" w:hAnsi="宋体" w:eastAsia="宋体" w:cs="宋体"/>
                <w:b/>
                <w:color w:val="000000"/>
                <w:kern w:val="0"/>
                <w:sz w:val="28"/>
                <w:szCs w:val="28"/>
                <w:lang w:bidi="ar"/>
              </w:rPr>
              <w:t>日期</w:t>
            </w:r>
          </w:p>
        </w:tc>
        <w:tc>
          <w:tcPr>
            <w:tcW w:w="827"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纽交所</w:t>
            </w:r>
          </w:p>
        </w:tc>
        <w:tc>
          <w:tcPr>
            <w:tcW w:w="75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伦交所</w:t>
            </w:r>
          </w:p>
        </w:tc>
        <w:tc>
          <w:tcPr>
            <w:tcW w:w="628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影响因素</w:t>
            </w:r>
          </w:p>
        </w:tc>
      </w:tr>
      <w:tr>
        <w:tblPrEx>
          <w:tblCellMar>
            <w:top w:w="15" w:type="dxa"/>
            <w:left w:w="15" w:type="dxa"/>
            <w:bottom w:w="15" w:type="dxa"/>
            <w:right w:w="15" w:type="dxa"/>
          </w:tblCellMar>
        </w:tblPrEx>
        <w:trPr>
          <w:trHeight w:val="600" w:hRule="atLeast"/>
        </w:trPr>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2021/3/4</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63.83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66.74</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pStyle w:val="23"/>
              <w:jc w:val="left"/>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原油收盘大幅上涨。欧佩克+达成在4月份保持产量不变的协议，为俄罗斯和哈萨克斯坦提供少量豁免，这更是点燃了市场情绪提振油价。</w:t>
            </w:r>
          </w:p>
        </w:tc>
      </w:tr>
      <w:tr>
        <w:tblPrEx>
          <w:tblCellMar>
            <w:top w:w="15" w:type="dxa"/>
            <w:left w:w="15" w:type="dxa"/>
            <w:bottom w:w="15" w:type="dxa"/>
            <w:right w:w="15" w:type="dxa"/>
          </w:tblCellMar>
        </w:tblPrEx>
        <w:trPr>
          <w:trHeight w:val="540" w:hRule="atLeast"/>
        </w:trPr>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2021/3/5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66.09</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69.36</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pStyle w:val="23"/>
              <w:jc w:val="left"/>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原油收盘大幅上涨。欧佩克+达成在4月份保持产量不变的协议提振油价，沙特也将原定于3月底到期的额外减产100万桶/日延长至4月助推油价涨至近14个月以来最高水准。</w:t>
            </w:r>
          </w:p>
        </w:tc>
      </w:tr>
      <w:tr>
        <w:tblPrEx>
          <w:tblCellMar>
            <w:top w:w="15" w:type="dxa"/>
            <w:left w:w="15" w:type="dxa"/>
            <w:bottom w:w="15" w:type="dxa"/>
            <w:right w:w="15" w:type="dxa"/>
          </w:tblCellMar>
        </w:tblPrEx>
        <w:trPr>
          <w:trHeight w:val="570" w:hRule="atLeast"/>
        </w:trPr>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2021/3/8</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65.05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68.24</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pStyle w:val="23"/>
              <w:jc w:val="left"/>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原油收盘下跌。尽管前期美国经济刺激方案以及沙特石油设施遇袭支撑油价上涨，但是被全球通胀担忧所抵消，利空油价。</w:t>
            </w:r>
          </w:p>
        </w:tc>
      </w:tr>
      <w:tr>
        <w:tblPrEx>
          <w:tblCellMar>
            <w:top w:w="15" w:type="dxa"/>
            <w:left w:w="15" w:type="dxa"/>
            <w:bottom w:w="15" w:type="dxa"/>
            <w:right w:w="15" w:type="dxa"/>
          </w:tblCellMar>
        </w:tblPrEx>
        <w:trPr>
          <w:trHeight w:val="435" w:hRule="atLeast"/>
        </w:trPr>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2021/3/9</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64.01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67.52</w:t>
            </w:r>
          </w:p>
        </w:tc>
        <w:tc>
          <w:tcPr>
            <w:tcW w:w="6285" w:type="dxa"/>
            <w:tcBorders>
              <w:top w:val="single" w:color="000000" w:sz="4" w:space="0"/>
              <w:left w:val="single" w:color="000000" w:sz="4" w:space="0"/>
              <w:bottom w:val="single" w:color="000000" w:sz="4" w:space="0"/>
              <w:right w:val="single" w:color="000000" w:sz="4" w:space="0"/>
            </w:tcBorders>
            <w:noWrap w:val="0"/>
            <w:vAlign w:val="bottom"/>
          </w:tcPr>
          <w:p>
            <w:pPr>
              <w:pStyle w:val="23"/>
              <w:jc w:val="left"/>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原油收盘下跌。尽管前期美国经济刺激方案以及沙特石油设施遇袭支撑油价上涨，但是随着沙特油田被袭击后导致的对供应中断担忧情绪的缓解利空油价，油价随之下滑。</w:t>
            </w:r>
          </w:p>
        </w:tc>
      </w:tr>
      <w:tr>
        <w:tblPrEx>
          <w:tblCellMar>
            <w:top w:w="15" w:type="dxa"/>
            <w:left w:w="15" w:type="dxa"/>
            <w:bottom w:w="15" w:type="dxa"/>
            <w:right w:w="15" w:type="dxa"/>
          </w:tblCellMar>
        </w:tblPrEx>
        <w:trPr>
          <w:trHeight w:val="555" w:hRule="atLeast"/>
        </w:trPr>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2021/3/10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宋体" w:hAnsi="宋体" w:eastAsia="宋体" w:cs="宋体"/>
                <w:color w:val="333335"/>
                <w:sz w:val="28"/>
                <w:szCs w:val="28"/>
                <w:shd w:val="clear" w:color="auto" w:fill="FFFFFF"/>
              </w:rPr>
            </w:pPr>
            <w:r>
              <w:rPr>
                <w:rFonts w:hint="eastAsia" w:ascii="宋体" w:hAnsi="宋体" w:eastAsia="宋体" w:cs="宋体"/>
                <w:color w:val="333335"/>
                <w:sz w:val="28"/>
                <w:szCs w:val="28"/>
                <w:shd w:val="clear" w:color="auto" w:fill="FFFFFF"/>
              </w:rPr>
              <w:t>64.44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67.9</w:t>
            </w:r>
          </w:p>
        </w:tc>
        <w:tc>
          <w:tcPr>
            <w:tcW w:w="6285" w:type="dxa"/>
            <w:tcBorders>
              <w:top w:val="single" w:color="000000" w:sz="4" w:space="0"/>
              <w:left w:val="single" w:color="000000" w:sz="4" w:space="0"/>
              <w:bottom w:val="single" w:color="000000" w:sz="4" w:space="0"/>
              <w:right w:val="single" w:color="000000" w:sz="4" w:space="0"/>
            </w:tcBorders>
            <w:noWrap w:val="0"/>
            <w:vAlign w:val="bottom"/>
          </w:tcPr>
          <w:p>
            <w:pPr>
              <w:pStyle w:val="23"/>
              <w:jc w:val="left"/>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原油收盘上涨。欧佩克+达成在4月份保持产量不变的协议提振油价，但EIA称上周美国库存增加令涨幅受限，油价小幅上涨。</w:t>
            </w:r>
          </w:p>
        </w:tc>
      </w:tr>
      <w:bookmarkEnd w:id="2"/>
    </w:tbl>
    <w:p>
      <w:pPr>
        <w:numPr>
          <w:numId w:val="0"/>
        </w:num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pStyle w:val="3"/>
        <w:spacing w:before="120" w:after="120" w:line="240" w:lineRule="auto"/>
        <w:rPr>
          <w:rFonts w:hint="eastAsia" w:ascii="宋体" w:hAnsi="宋体"/>
          <w:b/>
          <w:sz w:val="30"/>
          <w:szCs w:val="30"/>
          <w:highlight w:val="none"/>
          <w:lang w:val="en-US" w:eastAsia="zh-CN"/>
        </w:rPr>
      </w:pPr>
      <w:bookmarkStart w:id="3" w:name="_Toc66345682"/>
      <w:bookmarkStart w:id="4" w:name="_Toc209"/>
      <w:r>
        <w:rPr>
          <w:rFonts w:hint="eastAsia" w:ascii="宋体" w:hAnsi="宋体"/>
          <w:b/>
          <w:sz w:val="30"/>
          <w:szCs w:val="30"/>
          <w:highlight w:val="none"/>
          <w:lang w:val="en-US" w:eastAsia="zh-CN"/>
        </w:rPr>
        <w:t>2.2021年国际原油价格走势图</w:t>
      </w:r>
      <w:bookmarkEnd w:id="3"/>
      <w:bookmarkEnd w:id="4"/>
    </w:p>
    <w:p>
      <w:pPr>
        <w:widowControl/>
        <w:wordWrap w:val="0"/>
        <w:spacing w:after="90" w:line="288" w:lineRule="auto"/>
        <w:jc w:val="left"/>
        <w:rPr>
          <w:rFonts w:hint="eastAsia" w:ascii="宋体" w:hAnsi="宋体" w:eastAsia="宋体" w:cs="宋体"/>
          <w:b/>
          <w:kern w:val="0"/>
          <w:sz w:val="30"/>
          <w:szCs w:val="30"/>
        </w:rPr>
      </w:pPr>
      <w:r>
        <w:rPr>
          <w:rFonts w:hint="eastAsia" w:ascii="宋体" w:hAnsi="宋体" w:eastAsia="宋体" w:cs="宋体"/>
          <w:b/>
          <w:kern w:val="0"/>
          <w:sz w:val="30"/>
          <w:szCs w:val="30"/>
        </w:rPr>
        <w:drawing>
          <wp:inline distT="0" distB="0" distL="114300" distR="114300">
            <wp:extent cx="4628515" cy="3277870"/>
            <wp:effectExtent l="0" t="0" r="63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628515" cy="3277870"/>
                    </a:xfrm>
                    <a:prstGeom prst="rect">
                      <a:avLst/>
                    </a:prstGeom>
                    <a:noFill/>
                    <a:ln>
                      <a:noFill/>
                    </a:ln>
                  </pic:spPr>
                </pic:pic>
              </a:graphicData>
            </a:graphic>
          </wp:inline>
        </w:drawing>
      </w:r>
    </w:p>
    <w:p>
      <w:pPr>
        <w:rPr>
          <w:rFonts w:hint="eastAsia" w:ascii="宋体" w:hAnsi="宋体" w:eastAsia="宋体" w:cs="宋体"/>
        </w:rPr>
      </w:pPr>
    </w:p>
    <w:p>
      <w:pPr>
        <w:numPr>
          <w:numId w:val="0"/>
        </w:numPr>
        <w:ind w:leftChars="0"/>
        <w:outlineLvl w:val="0"/>
        <w:rPr>
          <w:rFonts w:hint="eastAsia" w:ascii="宋体" w:hAnsi="宋体" w:eastAsia="宋体" w:cs="宋体"/>
          <w:b/>
          <w:sz w:val="28"/>
          <w:szCs w:val="28"/>
        </w:rPr>
      </w:pPr>
      <w:bookmarkStart w:id="5" w:name="_Toc66345683"/>
      <w:r>
        <w:rPr>
          <w:rFonts w:hint="eastAsia" w:ascii="宋体" w:hAnsi="宋体" w:cs="宋体"/>
          <w:b/>
          <w:bCs/>
          <w:kern w:val="0"/>
          <w:sz w:val="32"/>
          <w:szCs w:val="32"/>
          <w:lang w:eastAsia="zh-CN"/>
        </w:rPr>
        <w:t>二、</w:t>
      </w:r>
      <w:r>
        <w:rPr>
          <w:rFonts w:hint="eastAsia" w:ascii="宋体" w:hAnsi="宋体" w:eastAsia="宋体" w:cs="宋体"/>
          <w:b/>
          <w:bCs/>
          <w:kern w:val="0"/>
          <w:sz w:val="32"/>
          <w:szCs w:val="32"/>
        </w:rPr>
        <w:t>近期影响国际原油市场的主要因素</w:t>
      </w:r>
      <w:bookmarkEnd w:id="5"/>
    </w:p>
    <w:p>
      <w:pPr>
        <w:pStyle w:val="3"/>
        <w:spacing w:before="120" w:after="120" w:line="240" w:lineRule="auto"/>
        <w:rPr>
          <w:rFonts w:hint="eastAsia" w:ascii="宋体" w:hAnsi="宋体"/>
          <w:b/>
          <w:sz w:val="30"/>
          <w:szCs w:val="30"/>
          <w:highlight w:val="none"/>
          <w:lang w:val="en-US" w:eastAsia="zh-CN"/>
        </w:rPr>
      </w:pPr>
      <w:bookmarkStart w:id="6" w:name="_Toc66345684"/>
      <w:bookmarkStart w:id="7" w:name="_Toc9996"/>
      <w:r>
        <w:rPr>
          <w:rFonts w:hint="eastAsia" w:ascii="宋体" w:hAnsi="宋体"/>
          <w:b/>
          <w:sz w:val="30"/>
          <w:szCs w:val="30"/>
          <w:highlight w:val="none"/>
          <w:lang w:val="en-US" w:eastAsia="zh-CN"/>
        </w:rPr>
        <w:t>1.1 美国原油库存情况</w:t>
      </w:r>
      <w:bookmarkEnd w:id="6"/>
      <w:bookmarkEnd w:id="7"/>
      <w:r>
        <w:rPr>
          <w:rFonts w:hint="eastAsia" w:ascii="宋体" w:hAnsi="宋体"/>
          <w:b/>
          <w:sz w:val="30"/>
          <w:szCs w:val="30"/>
          <w:highlight w:val="none"/>
          <w:lang w:val="en-US" w:eastAsia="zh-CN"/>
        </w:rPr>
        <w:t xml:space="preserve"> </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color w:val="333335"/>
          <w:kern w:val="2"/>
          <w:sz w:val="28"/>
          <w:szCs w:val="28"/>
          <w:shd w:val="clear" w:color="auto" w:fill="FFFFFF"/>
        </w:rPr>
        <w:t>本周美国EIA公布的数据显示，截至2月26日当周美国除却战略储备的商业原油库存增幅远超预期，精炼油库存和汽油库存意外大降。具体数据显示，美国截至2月26日当周EIA原油库存变动实际公布增加2156.3万桶，预期减少130万桶，前值增加128.5万桶。此外，美国截至2月26日当周EIA汽油库存实际公布减少1362.4万桶，预期减少250万桶，前值增加1.2万桶;美国截至2月26日当周EIA精炼油库存实际公布减少971.9万桶，预期减少375万桶，前值减少496.9万桶。EIA报告显示，美国EIA精炼油库存降幅创历史新高。美国EIA汽油库存降幅创1990年以来最大。美国EIA原油库存增幅为有记录以来最大。美国上周原油产量增幅为2020年11月13日当周以来最大。API公布的数据显示，截止至2月26日当周，API原油库存增加736万桶，前值增加103万桶。美国2月26日当周API库欣地区原油库存增加73.2万桶，前值增加278万桶。美国2月26日当周API汽油库存减少993万桶，前值增加6.6万桶。美国2月26日当周API馏分油库存 减少905万桶，前值减少449万桶。</w:t>
      </w:r>
    </w:p>
    <w:p>
      <w:pPr>
        <w:pStyle w:val="3"/>
        <w:spacing w:before="120" w:after="120" w:line="240" w:lineRule="auto"/>
        <w:rPr>
          <w:rFonts w:hint="eastAsia" w:ascii="宋体" w:hAnsi="宋体"/>
          <w:b/>
          <w:bCs/>
          <w:sz w:val="30"/>
          <w:szCs w:val="30"/>
          <w:highlight w:val="none"/>
          <w:lang w:val="en-US" w:eastAsia="zh-CN"/>
        </w:rPr>
      </w:pPr>
      <w:bookmarkStart w:id="8" w:name="_Toc66345685"/>
      <w:bookmarkStart w:id="9" w:name="_Toc25555"/>
      <w:r>
        <w:rPr>
          <w:rFonts w:hint="eastAsia" w:ascii="宋体" w:hAnsi="宋体"/>
          <w:b/>
          <w:bCs/>
          <w:sz w:val="30"/>
          <w:szCs w:val="30"/>
          <w:highlight w:val="none"/>
          <w:lang w:val="en-US" w:eastAsia="zh-CN"/>
        </w:rPr>
        <w:t>2美国经济形势</w:t>
      </w:r>
      <w:bookmarkEnd w:id="8"/>
      <w:bookmarkEnd w:id="9"/>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北京时间11日凌晨，美股周三收盘涨跌不一，道指涨逾460点再创历史新高，纳指小幅收跌。美国国债收益率下降，1.9万亿美元财政刺激计划即将出炉，推动投资者买进将受益于经济复苏的股票。美国2月份核心CPI低于预期，显通胀压力仍然低迷。</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道指涨464.28点，或1.46%，报32297.02点;纳指跌4.99点，或0.04%，报13068.83点;标普500指数涨23.37点，或0.60%，报3898.81点。</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道指创历史最高收盘纪录。周三盘中该指数最高上涨至32389.50点，创盘中历史新高。标普500指数的11大组成板块中，能源与金融板块领涨。</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美国国会众议院周三投票批准了1.9万亿美元刺激计划，将递交总统签字。白宫在投票结果出炉前称拜登将在3月12日签字使其生效。</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那些对经济复苏最敏感的周期性股票领涨，恢复了过去几周的上涨趋势。标准普尔500能源板块周三上涨1.9%，使其今年迄今的涨幅超过38%。工业、原材料和金融股均上涨超过1%。</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周三公布的通货膨胀数据温和，缓解了人们对价格上涨的担忧。此前对通胀上行的担忧使国债收益率上升、导致股票投资者紧张不安。周三10年期美国国债收益率几乎没有变化，为1.51%。</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美国劳工部报告称，2月消费者价格指数(CPI)环比增长0.4%，同比增长1.7%，均符合预期。</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National Securities分析师Art Hogan表示：“在过去一个月左右的时间里，市场最大的担忧就是通货膨胀比我们预期的要高。很明显，CPI数据至少在今天缓解了这种担忧情绪。数据公布后，10年期国债收益率已不再迅猛上涨。”</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与此同时，在前一交易日大规模反弹之后，高增长科技股的反弹行情有所松懈。特斯拉(Tesla)下跌0.8%，昨日该股收盘大涨近20%。Cathie Wood的旗舰主动投资型型方舟创新基金(ARKK)略微收跌，昨日该基金上涨逾10%，创史上最大日涨幅。</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最近国债收益率的上升引发了人们对科技股估值的担忧。周一，科技股重镇纳指较近期高点下跌超过10%，已跌入回调区域。</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最近以来，新一轮刺激方案出台的预期以及国债收益率的上涨，使美股市场走势分化，经济复苏预期使周期性板块攀升，而国债收益率的上涨使疫情期间领涨大盘的高成长型科技股遭到抛售。</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市场策略师普遍认为，对通货膨胀和利率上升的不安情绪可能仍将是今年投资者的中心主题。引发最近美股板块轮动的因素——即对通胀与国债收益率同步上升的担忧及其对成长型股票的压力——仍是投资者关注的焦点。</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美国10年期国债标售受关注 市场反应平淡</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备受瞩目的380亿美元10年期美国国债拍卖获得了足够多的需求支持，这一结果在某种程度上缓解了交易员的担忧。此前市场曾担心美国日益增加的债务负担将使市场无法承受、进而打击债券需求并迫使收益率涨得更高。</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该期国债中标收益率为1.523%，比投标截止前的市场收益率高1个基点，这表明需求比交易商预期的稍弱。</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NatWest Markets策略师Blake Gwinn表示：“这还没有糟到会让人夺路而逃，但结果也不算好。希望从此次发行中找到长债买/卖信号的投资者或许只能把目光转到明天了。”</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周三标售之后，10年期美债收益率小幅下滑。周一该项收益率再次突破1.6%关口。国债收益率价格与收益率走势相反。</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许多策略师甚至认为，未来三个月内，10年期美债收益率将突破2%。</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Globalt Investments的投资组合经理Kimberly Woody表示：“我认为目前债券仍超卖。就收益率而言，我们仍处于非常明确的交易范围内。我认为我们将看到国债收益率继续走低，然后才会上涨。”</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瑞银上调了标普500指数到年底的目标位，指出可能强于预期的公司盈利回升将抵消债券收益率上升带来的风险。他们将标普500指数目标位从4100点上调至4250点。</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美众院批准拜登1.9万亿美元刺激计划</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美国众议院周三批准了1.9万亿美元疫情纾困计划，已递交总统等待签字。白宫在投票结果出炉前称总统3月12日要签字使其生效。</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市场预料大多数美国人从本月开始将陆续收到1400美元支票，而此后很长一段时间内美国经济都将受到上述计划的提振。</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周二，众议院多数党领袖Steny Hoyer办公室表示，众议院已于当天收到了获得参议院通过的最新版本大规模刺激法案，随后将采取程序性投票并于周三上午完成最终的表决和审批。</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从市场的走势来看，似乎已经消化了1.9万亿美元刺激方案出台的预期。该计划规模远超出市场最初预料。此前因为国会严重分裂，刺激计划曾多次搁浅。</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鉴于新一轮刺激计划出台在即，经济学家本周纷纷上调对经济增长的预期。摩根士丹利(83.09, 2.24, 2.77%)周二将2021年美国经济增长预期从6.5%调升至7.3%，这是自1951年以来的最高水平。</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经合组织(OECD)预计美国的新一轮刺激计划可能会在实施后的第一年将美国的产出提高约3%至4%。</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美国2月份核心CPI低于预期 通胀压力仍然低迷</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美国劳工部周三报告，美国2月未季调核心CPI年率实际公布1.30%，预期1.4%，前值1.4%;美国2月未季调CPI年率实际公布1.70%，预期1.7%，前值1.4%。美国2月未季调CPI指数实际公布263.01，预期263.13，前值261.58。</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机构评美国2月CPI数据称，因公共健康状况改善，航空旅行等服务需求逐渐升温，美国2月CPI稳固上升，录得一年来最大年度升幅，然而潜在通胀仍不温不火。</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由于二手车、服装和运输服务的成本较一个月前下降，美国核心消费物价指数(CPI)升幅低于预期，表明整体通胀压力仍然低迷。</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不包括波动的食品和能源成本的核心CPI比一个月前增长0.1%，较去年同期增长1.3%。劳工部周三公布的数据显示，整体CPI较上月增长0.4%，较去年同期增长1.7%。</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此前经济学家预计美国2月CPI月环比中值预估为增长0.4%，核心CPI预估增长0.2%。</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投资者和经济学家对美国通货膨胀的看法存在分歧，一些人预测，强劲的需求和刺激措施将推动物价上涨，而其他人则认为，多年来一直遏制通胀压力的力量(从技术到人口)仍然存在。</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由于市场押注美国通货膨胀升高，美债收益率近期飙升，但美联储官员淡化了通胀担忧，并预计任何回升都是暂时的。</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美联储主席鲍威尔在最近的公开讲话中表示，若通胀在未来数月上扬，那将是暂时性的。美国财政部长耶伦称她自己过去多年就在研究通胀，如果那种风险成为现实，美国也有足够的应对工具。</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其他市场</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4月交割的西德州中质原油(WTI)期货价格上涨43美分，涨幅0.7%，收于每桶64.44美元。</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伦敦洲际交易所5月交割的布伦特原油期货价格上涨38美分，涨幅0.6%，收于每桶67.90美元。</w:t>
      </w:r>
    </w:p>
    <w:p>
      <w:pPr>
        <w:pStyle w:val="3"/>
        <w:spacing w:before="120" w:after="120" w:line="240" w:lineRule="auto"/>
        <w:rPr>
          <w:rFonts w:hint="eastAsia" w:ascii="宋体" w:hAnsi="宋体"/>
          <w:b/>
          <w:bCs/>
          <w:sz w:val="30"/>
          <w:szCs w:val="30"/>
          <w:highlight w:val="none"/>
          <w:lang w:val="en-US" w:eastAsia="zh-CN"/>
        </w:rPr>
      </w:pPr>
      <w:bookmarkStart w:id="10" w:name="_Toc66345686"/>
      <w:bookmarkStart w:id="11" w:name="_Toc28546"/>
      <w:r>
        <w:rPr>
          <w:rFonts w:hint="eastAsia" w:ascii="宋体" w:hAnsi="宋体"/>
          <w:b/>
          <w:bCs/>
          <w:sz w:val="30"/>
          <w:szCs w:val="30"/>
          <w:highlight w:val="none"/>
          <w:lang w:val="en-US" w:eastAsia="zh-CN"/>
        </w:rPr>
        <w:t>3世界经济形</w:t>
      </w:r>
      <w:bookmarkEnd w:id="10"/>
      <w:r>
        <w:rPr>
          <w:rFonts w:hint="eastAsia" w:ascii="宋体" w:hAnsi="宋体"/>
          <w:b/>
          <w:bCs/>
          <w:sz w:val="30"/>
          <w:szCs w:val="30"/>
          <w:highlight w:val="none"/>
          <w:lang w:val="en-US" w:eastAsia="zh-CN"/>
        </w:rPr>
        <w:t>势</w:t>
      </w:r>
      <w:bookmarkEnd w:id="11"/>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周二，经合组织发布了最新的经济展望报告。该组织预计2021年全球GDP增长率为5.6%，此前预计为4.2%;2022年，全球GDP增速将为4%，此前预计为3.7%。</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经合组织将其对2021年美国经济增长率的预测上调至6.5%，此前预计为3.2%;预计2021年欧元区经济增长率为3.9%，此前预计为3.6%;英国2021年经济增长预测从4.2%上调至5.1%，2022年预测从4.1%上调至4.7%。经合组织对日本2021年经济增长的预测为2.7%，而之前为2.3%，2022年为1.8%(之前为1.5%)。</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据经合组织称，随着新冠肺炎疫苗推广的加快，全球经济前景变得更加光明。到2021年中期，全球国内生产总值应该会高于疫情爆发前的水平，尽管并非所有国家都这样做。</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它还警告说，即使全球经济增长率提高，这种改善的前景仍然存在风险，特别是有关部门给人们接种疫苗的速度会有多快，何时解除疫情限制措施，以及新疫苗品种是否会得到控制。</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因此，央行应保持非常宽松的货币政策，政策的首要任务是确保所有必要的资源用于疫苗生产和全面疫苗接种部署。</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该组织还对美国新一轮刺激计划发表评论，称新的美国经济刺激计划可能在第一整年增加美国产出约3%至4%。到2021年底，美国援助计划将使美国就业人数增加225万至300万，年通胀率为0.75%。</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不仅如此，该组织还表示，拜登的刺激计划也将有助于全球经济复苏。经合组织首席经济学家劳伦斯·布恩(Laurence Boone)告诉英国《金融时报》，拜登的刺激计划将在2021年使全球经济增长约1个百分点。</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经合组织估计，加拿大和墨西哥也将受益于美国的刺激措施，因为它们与美国有贸易关系。与11月份的预测相比，今年美国的刺激措施将使其经济增长约1个百分点。</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布恩说，美国的刺激计划将提高国内通胀率，但不会达到危险的水平，因为美国劳动力市场仍然疲软。虽然在一些地区会有一些暂时的价格压力，但刺激措施不太可能导致所有美国人的工资普遍增加，因此不会导致持续的通货膨胀。</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她补充说，投资者对欧洲和其他地区通胀压力的预期不太可能实现，部分原因是疫苗接种计划进展缓慢。</w:t>
      </w:r>
    </w:p>
    <w:p>
      <w:pPr>
        <w:pStyle w:val="3"/>
        <w:spacing w:before="120" w:after="120" w:line="240" w:lineRule="auto"/>
        <w:rPr>
          <w:rFonts w:hint="eastAsia" w:ascii="宋体" w:hAnsi="宋体"/>
          <w:b/>
          <w:bCs/>
          <w:sz w:val="30"/>
          <w:szCs w:val="30"/>
          <w:highlight w:val="none"/>
          <w:lang w:val="en-US" w:eastAsia="zh-CN"/>
        </w:rPr>
      </w:pPr>
      <w:bookmarkStart w:id="12" w:name="_Toc21786"/>
      <w:r>
        <w:rPr>
          <w:rFonts w:hint="eastAsia" w:ascii="宋体" w:hAnsi="宋体"/>
          <w:b/>
          <w:bCs/>
          <w:sz w:val="30"/>
          <w:szCs w:val="30"/>
          <w:highlight w:val="none"/>
          <w:lang w:val="en-US" w:eastAsia="zh-CN"/>
        </w:rPr>
        <w:t>4后市预测</w:t>
      </w:r>
      <w:bookmarkEnd w:id="12"/>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美国WTI原油原油价格在63.83-66.09美元/桶。布伦特原油价格在66.74-69.36美元/桶震荡。周内国际油价震荡不稳。EIA原油库存暴增成品油库存暴降的两极化趋势依然延续，美盘时段媒体对俄罗斯石油部长诺瓦克发言的误读一度导致油价巨震。2月美国核心CPI不及预期表明通胀压力依然温和，美元及美债收益率下挫，市场判断美国大规模经济纾困计划即将获批将推动经济进一步复苏，外盘时间3月10日欧美原油期货价格适度上涨。4月WTI：64.44涨0.43;5月布伦特：67.90涨0.38。基本面利好因素：1.当地时间周二，美国众议院以220票赞成、211票反对的结果，投票通过了1.9万亿美元的新冠纾困救助法案。该计划将提交美国总统拜登签署成为法律。此次纾困救助法案的几项主要措施包括：每人最多可获得1400美元的纾困金，大约90%的家庭和个人将有资格获得。联邦政府每周将增加300美元失业救济金。扩大儿童免税额，每名儿童税收抵免额至多可达到3600美元。拨款3500亿美元作为州和地方援助金，以及拨款数十亿美元帮助受新冠肺炎疫情影响的小企业，疫苗的研究、开发和分发， 以及用于K-12学校，帮助中小学学生返回课堂。将食品券福利增加15%，并延长至9月份。帮助低收入家庭支付租金等。2.当地时间周二，美国能源信息署(EIA)发布了短期能源展望报告。EIA预计2021年WTI原油价格为57.24美元/桶，此前预期为50.21美元/桶;预计2021年布伦特价格为60.67美元/桶，此前预期为53.20美元/桶。预计2022年WTI原油价格为54.75美元/桶，此前预期为51.56美元/桶;预计2022年布伦特价格为58.51美元/桶，此前预期为55.19美元/桶。2021年全球原油需求增速预期保持不变，为538万桶/日。预计2021年美国原油产量将减少16.00万桶/日，此前为减少29.00万桶/日。3.欧佩克+于上周四举行了会议。在会议上，沙特及欧佩克+盟国决定继续控制石油供应，令石油市场震惊，导致油价飙升，全球经济在走出新冠疫情之际多了另一个通胀压力。欧佩克+成员国同意维持目前的减产规模，只有俄罗斯和哈萨克斯坦获得豁免，可以小幅增产。沙特能源大臣称，不认为油市会过热，去年沙特独自吃了苦头，现在必须保持警惕和谨慎。伦敦咨询公司Energy Aspects首席石油分析师Amrita称，欧佩克+肯定会面临石油市场过度收紧的风险。基本面利空因素：1.香港时间周三晚23:30，美国能源信息署(EIA)公布的数据显示，截至3月3日当周，原油库存增加1379.80万桶，预期减少83.3万桶，前值增加2156.3万桶;汽油库存减少1186.90万桶，预期减少416.7万桶，前值减少1362.4万桶;精炼油库存减少550.40万桶，预期减少366.7万桶，前值减少971.9万桶;美国墨西哥湾原油库存上周升至去年7月以来最高水平;上周美国国内原油产量增加90万桶/日，增幅为2020年10月23日当周以来最大。2.美国总统拜登已寻求与伊朗重启核协议谈判，不过严厉的经济制裁措施仍未解除。伊朗坚持要美国先解除制裁，才会重新加入谈判。但根据业内消息人士提供的数据，近几个月，印度国有炼厂已经将伊朗石油加入他们的年度进口计划中，预期美国对伊朗的制裁很快将取消。伊朗总统鲁哈尼(Hassan Rouhani)周三提出，伊朗和美国可以逐步恢复2015年达成的核协议，这似乎软化了此前有关拜登政府必须立即解除所有制裁才能取得进展的说法。鲁哈尼在周三的内阁电视会议上表示，一旦美国这样做，德黑兰就准备完全重新遵守协议条款。但他表示，它也会考虑两党分阶段回归，同时再次强调，这取决于华盛顿采取初步行动。3.俄罗斯副总理诺瓦克上周四表示，由于季节性需求，俄罗斯需要在4月份提高原油产量。由于欧佩克+的决定，今天油价已经上涨了6%，油价的复苏让人感到乐观。我们应该监控石油价格以避免油市过热。俄罗斯在2月的原油减产执行率略高于100%。石油市场将在2022年初或2022年中恢复到危机前的水平。油价可能会稳定下来。</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预测下周WTI油价将触及62-67美元/桶，布油在之后几个月触及65-70美元/桶。</w:t>
      </w:r>
    </w:p>
    <w:p>
      <w:pPr>
        <w:pStyle w:val="3"/>
        <w:spacing w:before="120" w:after="120" w:line="240" w:lineRule="auto"/>
        <w:rPr>
          <w:rFonts w:hint="eastAsia" w:ascii="宋体" w:hAnsi="宋体" w:eastAsia="宋体"/>
          <w:b/>
          <w:sz w:val="30"/>
          <w:szCs w:val="30"/>
          <w:highlight w:val="none"/>
          <w:lang w:val="en-US" w:eastAsia="zh-CN"/>
        </w:rPr>
      </w:pPr>
      <w:bookmarkStart w:id="13" w:name="_Toc24151"/>
      <w:r>
        <w:rPr>
          <w:rFonts w:hint="eastAsia" w:ascii="宋体" w:hAnsi="宋体"/>
          <w:b/>
          <w:sz w:val="30"/>
          <w:szCs w:val="30"/>
          <w:highlight w:val="none"/>
        </w:rPr>
        <w:t>2.2国际市场MTBE价格</w:t>
      </w:r>
      <w:bookmarkEnd w:id="13"/>
      <w:r>
        <w:rPr>
          <w:rFonts w:hint="eastAsia" w:ascii="宋体" w:hAnsi="宋体"/>
          <w:b/>
          <w:sz w:val="30"/>
          <w:szCs w:val="30"/>
          <w:highlight w:val="none"/>
          <w:lang w:val="en-US" w:eastAsia="zh-CN"/>
        </w:rPr>
        <w:t xml:space="preserve"> </w:t>
      </w:r>
    </w:p>
    <w:p>
      <w:pPr>
        <w:rPr>
          <w:rFonts w:hint="eastAsia"/>
        </w:rPr>
      </w:pPr>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3月10日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681.00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220.16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692.00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3月9日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685.00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217.23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690.00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3月8日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714.00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217.08 </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696.00 </w:t>
            </w:r>
          </w:p>
        </w:tc>
      </w:tr>
      <w:tr>
        <w:tblPrEx>
          <w:tblCellMar>
            <w:top w:w="0" w:type="dxa"/>
            <w:left w:w="0" w:type="dxa"/>
            <w:bottom w:w="0" w:type="dxa"/>
            <w:right w:w="0" w:type="dxa"/>
          </w:tblCellMar>
        </w:tblPrEx>
        <w:trPr>
          <w:trHeight w:val="360" w:hRule="atLeast"/>
        </w:trPr>
        <w:tc>
          <w:tcPr>
            <w:tcW w:w="1365"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3月5日</w:t>
            </w:r>
          </w:p>
        </w:tc>
        <w:tc>
          <w:tcPr>
            <w:tcW w:w="208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694.00 </w:t>
            </w:r>
          </w:p>
        </w:tc>
        <w:tc>
          <w:tcPr>
            <w:tcW w:w="195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217.66 </w:t>
            </w:r>
          </w:p>
        </w:tc>
        <w:tc>
          <w:tcPr>
            <w:tcW w:w="1830" w:type="dxa"/>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693.50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3月4日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669.00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210.98 </w:t>
            </w:r>
          </w:p>
        </w:tc>
        <w:tc>
          <w:tcPr>
            <w:tcW w:w="183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683.25 </w:t>
            </w:r>
          </w:p>
        </w:tc>
      </w:tr>
    </w:tbl>
    <w:p>
      <w:pPr>
        <w:pStyle w:val="2"/>
        <w:numPr>
          <w:ilvl w:val="0"/>
          <w:numId w:val="0"/>
        </w:numPr>
        <w:spacing w:before="120" w:after="0" w:line="240" w:lineRule="auto"/>
        <w:rPr>
          <w:rFonts w:hint="eastAsia"/>
          <w:b/>
          <w:lang w:eastAsia="zh-CN"/>
        </w:rPr>
      </w:pPr>
    </w:p>
    <w:p>
      <w:pPr>
        <w:rPr>
          <w:rFonts w:hint="eastAsia"/>
          <w:lang w:eastAsia="zh-CN"/>
        </w:rPr>
      </w:pPr>
    </w:p>
    <w:p>
      <w:pPr>
        <w:pStyle w:val="2"/>
        <w:numPr>
          <w:ilvl w:val="0"/>
          <w:numId w:val="0"/>
        </w:numPr>
        <w:spacing w:before="120" w:after="0" w:line="240" w:lineRule="auto"/>
        <w:rPr>
          <w:rFonts w:hint="eastAsia"/>
          <w:b/>
        </w:rPr>
      </w:pPr>
      <w:bookmarkStart w:id="14" w:name="_Toc22724"/>
      <w:r>
        <w:rPr>
          <w:rFonts w:hint="eastAsia"/>
          <w:b/>
          <w:lang w:eastAsia="zh-CN"/>
        </w:rPr>
        <w:t>三、</w:t>
      </w:r>
      <w:r>
        <w:rPr>
          <w:rFonts w:hint="eastAsia"/>
          <w:b/>
        </w:rPr>
        <w:t>本周国内市场</w:t>
      </w:r>
      <w:bookmarkEnd w:id="14"/>
    </w:p>
    <w:p>
      <w:pPr>
        <w:numPr>
          <w:ilvl w:val="0"/>
          <w:numId w:val="0"/>
        </w:numPr>
      </w:pPr>
    </w:p>
    <w:p>
      <w:pPr>
        <w:pStyle w:val="3"/>
        <w:spacing w:before="120" w:after="120" w:line="240" w:lineRule="auto"/>
      </w:pPr>
      <w:bookmarkStart w:id="15" w:name="_Toc6779"/>
      <w:r>
        <w:rPr>
          <w:rFonts w:hint="eastAsia" w:ascii="宋体" w:hAnsi="宋体"/>
          <w:b/>
          <w:sz w:val="30"/>
          <w:szCs w:val="30"/>
          <w:highlight w:val="none"/>
        </w:rPr>
        <w:t>3.1 国内炼厂装置运行情况</w:t>
      </w:r>
      <w:bookmarkEnd w:id="15"/>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10306"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67"/>
        <w:gridCol w:w="893"/>
        <w:gridCol w:w="1053"/>
        <w:gridCol w:w="1197"/>
        <w:gridCol w:w="2325"/>
        <w:gridCol w:w="1755"/>
        <w:gridCol w:w="1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trPr>
        <w:tc>
          <w:tcPr>
            <w:tcW w:w="10306" w:type="dxa"/>
            <w:gridSpan w:val="7"/>
            <w:tcBorders>
              <w:top w:val="single" w:color="auto" w:sz="6" w:space="0"/>
              <w:left w:val="single" w:color="auto" w:sz="6" w:space="0"/>
              <w:bottom w:val="single" w:color="auto" w:sz="6" w:space="0"/>
              <w:right w:val="single" w:color="auto"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b/>
                <w:bCs/>
                <w:caps w:val="0"/>
                <w:color w:val="000000"/>
                <w:spacing w:val="0"/>
                <w:sz w:val="24"/>
                <w:szCs w:val="24"/>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20"/>
                <w:szCs w:val="20"/>
              </w:rPr>
            </w:pPr>
            <w:r>
              <w:rPr>
                <w:rFonts w:hint="eastAsia" w:ascii="宋体" w:hAnsi="宋体" w:eastAsia="宋体" w:cs="宋体"/>
                <w:b/>
                <w:bCs/>
                <w:caps w:val="0"/>
                <w:color w:val="000000"/>
                <w:spacing w:val="0"/>
                <w:sz w:val="20"/>
                <w:szCs w:val="20"/>
              </w:rPr>
              <w:t>炼厂名称</w:t>
            </w:r>
          </w:p>
        </w:tc>
        <w:tc>
          <w:tcPr>
            <w:tcW w:w="893" w:type="dxa"/>
            <w:tcBorders>
              <w:top w:val="nil"/>
              <w:left w:val="nil"/>
              <w:bottom w:val="single" w:color="auto" w:sz="6" w:space="0"/>
              <w:right w:val="single" w:color="auto"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20"/>
                <w:szCs w:val="20"/>
              </w:rPr>
            </w:pPr>
            <w:r>
              <w:rPr>
                <w:rFonts w:hint="eastAsia" w:ascii="宋体" w:hAnsi="宋体" w:eastAsia="宋体" w:cs="宋体"/>
                <w:b/>
                <w:bCs/>
                <w:caps w:val="0"/>
                <w:color w:val="000000"/>
                <w:spacing w:val="0"/>
                <w:sz w:val="20"/>
                <w:szCs w:val="20"/>
              </w:rPr>
              <w:t>所在地</w:t>
            </w:r>
          </w:p>
        </w:tc>
        <w:tc>
          <w:tcPr>
            <w:tcW w:w="1053" w:type="dxa"/>
            <w:tcBorders>
              <w:top w:val="nil"/>
              <w:left w:val="nil"/>
              <w:bottom w:val="single" w:color="auto" w:sz="6" w:space="0"/>
              <w:right w:val="single" w:color="auto"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20"/>
                <w:szCs w:val="20"/>
              </w:rPr>
            </w:pPr>
            <w:r>
              <w:rPr>
                <w:rFonts w:hint="eastAsia" w:ascii="宋体" w:hAnsi="宋体" w:eastAsia="宋体" w:cs="宋体"/>
                <w:b/>
                <w:bCs/>
                <w:caps w:val="0"/>
                <w:color w:val="000000"/>
                <w:spacing w:val="0"/>
                <w:sz w:val="20"/>
                <w:szCs w:val="20"/>
              </w:rPr>
              <w:t>加工能力</w:t>
            </w:r>
          </w:p>
        </w:tc>
        <w:tc>
          <w:tcPr>
            <w:tcW w:w="1197" w:type="dxa"/>
            <w:tcBorders>
              <w:top w:val="nil"/>
              <w:left w:val="nil"/>
              <w:bottom w:val="single" w:color="auto" w:sz="6" w:space="0"/>
              <w:right w:val="single" w:color="auto"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20"/>
                <w:szCs w:val="20"/>
              </w:rPr>
            </w:pPr>
            <w:r>
              <w:rPr>
                <w:rFonts w:hint="eastAsia" w:ascii="宋体" w:hAnsi="宋体" w:eastAsia="宋体" w:cs="宋体"/>
                <w:b/>
                <w:bCs/>
                <w:caps w:val="0"/>
                <w:color w:val="000000"/>
                <w:spacing w:val="0"/>
                <w:sz w:val="20"/>
                <w:szCs w:val="20"/>
              </w:rPr>
              <w:t>检修装置</w:t>
            </w:r>
          </w:p>
        </w:tc>
        <w:tc>
          <w:tcPr>
            <w:tcW w:w="2325" w:type="dxa"/>
            <w:tcBorders>
              <w:top w:val="nil"/>
              <w:left w:val="nil"/>
              <w:bottom w:val="single" w:color="auto" w:sz="6" w:space="0"/>
              <w:right w:val="single" w:color="auto"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20"/>
                <w:szCs w:val="20"/>
              </w:rPr>
            </w:pPr>
            <w:r>
              <w:rPr>
                <w:rFonts w:hint="eastAsia" w:ascii="宋体" w:hAnsi="宋体" w:eastAsia="宋体" w:cs="宋体"/>
                <w:b/>
                <w:bCs/>
                <w:caps w:val="0"/>
                <w:color w:val="000000"/>
                <w:spacing w:val="0"/>
                <w:sz w:val="20"/>
                <w:szCs w:val="20"/>
              </w:rPr>
              <w:t>检修产能（单位：万吨）</w:t>
            </w:r>
          </w:p>
        </w:tc>
        <w:tc>
          <w:tcPr>
            <w:tcW w:w="1755" w:type="dxa"/>
            <w:tcBorders>
              <w:top w:val="nil"/>
              <w:left w:val="nil"/>
              <w:bottom w:val="single" w:color="auto" w:sz="6" w:space="0"/>
              <w:right w:val="single" w:color="auto"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20"/>
                <w:szCs w:val="20"/>
              </w:rPr>
            </w:pPr>
            <w:r>
              <w:rPr>
                <w:rFonts w:hint="eastAsia" w:ascii="宋体" w:hAnsi="宋体" w:eastAsia="宋体" w:cs="宋体"/>
                <w:b/>
                <w:bCs/>
                <w:caps w:val="0"/>
                <w:color w:val="000000"/>
                <w:spacing w:val="0"/>
                <w:sz w:val="20"/>
                <w:szCs w:val="20"/>
              </w:rPr>
              <w:t>起始时间</w:t>
            </w:r>
          </w:p>
        </w:tc>
        <w:tc>
          <w:tcPr>
            <w:tcW w:w="1816" w:type="dxa"/>
            <w:tcBorders>
              <w:top w:val="nil"/>
              <w:left w:val="nil"/>
              <w:bottom w:val="single" w:color="auto" w:sz="6" w:space="0"/>
              <w:right w:val="single" w:color="auto"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sz w:val="20"/>
                <w:szCs w:val="20"/>
              </w:rPr>
            </w:pPr>
            <w:r>
              <w:rPr>
                <w:rFonts w:hint="eastAsia" w:ascii="宋体" w:hAnsi="宋体" w:eastAsia="宋体" w:cs="宋体"/>
                <w:b/>
                <w:bCs/>
                <w:caps w:val="0"/>
                <w:color w:val="00000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金陵石化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江苏</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1800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1800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2020/11/26</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济南炼化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山东</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800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800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2021年2月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燕山石化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北京</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1350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4#常减压</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2021年3月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长岭石化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湖南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1150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1150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2021年3月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2021年4月中旬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0"/>
                <w:szCs w:val="20"/>
                <w:lang w:eastAsia="zh-CN"/>
              </w:rPr>
            </w:pPr>
            <w:r>
              <w:rPr>
                <w:rFonts w:hint="eastAsia" w:cs="宋体"/>
                <w:caps w:val="0"/>
                <w:color w:val="000000"/>
                <w:spacing w:val="0"/>
                <w:sz w:val="20"/>
                <w:szCs w:val="20"/>
                <w:lang w:eastAsia="zh-CN"/>
              </w:rPr>
              <w:t>扬子石化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0"/>
                <w:szCs w:val="20"/>
                <w:lang w:eastAsia="zh-CN"/>
              </w:rPr>
            </w:pPr>
            <w:r>
              <w:rPr>
                <w:rFonts w:hint="eastAsia" w:cs="宋体"/>
                <w:caps w:val="0"/>
                <w:color w:val="000000"/>
                <w:spacing w:val="0"/>
                <w:sz w:val="20"/>
                <w:szCs w:val="20"/>
                <w:lang w:eastAsia="zh-CN"/>
              </w:rPr>
              <w:t>江苏</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caps w:val="0"/>
                <w:color w:val="000000"/>
                <w:spacing w:val="0"/>
                <w:sz w:val="20"/>
                <w:szCs w:val="20"/>
                <w:lang w:val="en-US" w:eastAsia="zh-CN"/>
              </w:rPr>
            </w:pPr>
            <w:r>
              <w:rPr>
                <w:rFonts w:hint="eastAsia" w:cs="宋体"/>
                <w:caps w:val="0"/>
                <w:color w:val="000000"/>
                <w:spacing w:val="0"/>
                <w:sz w:val="20"/>
                <w:szCs w:val="20"/>
                <w:lang w:val="en-US" w:eastAsia="zh-CN"/>
              </w:rPr>
              <w:t>1450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0"/>
                <w:szCs w:val="20"/>
                <w:lang w:eastAsia="zh-CN"/>
              </w:rPr>
            </w:pPr>
            <w:r>
              <w:rPr>
                <w:rFonts w:hint="eastAsia" w:cs="宋体"/>
                <w:caps w:val="0"/>
                <w:color w:val="000000"/>
                <w:spacing w:val="0"/>
                <w:sz w:val="20"/>
                <w:szCs w:val="20"/>
                <w:lang w:eastAsia="zh-CN"/>
              </w:rPr>
              <w:t>乙烯装置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0"/>
                <w:szCs w:val="20"/>
                <w:lang w:val="en-US" w:eastAsia="zh-CN"/>
              </w:rPr>
            </w:pPr>
            <w:r>
              <w:rPr>
                <w:rFonts w:hint="eastAsia" w:cs="宋体"/>
                <w:caps w:val="0"/>
                <w:color w:val="000000"/>
                <w:spacing w:val="0"/>
                <w:sz w:val="20"/>
                <w:szCs w:val="20"/>
                <w:lang w:val="en-US" w:eastAsia="zh-CN"/>
              </w:rPr>
              <w:t>/</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caps w:val="0"/>
                <w:color w:val="000000"/>
                <w:spacing w:val="0"/>
                <w:sz w:val="20"/>
                <w:szCs w:val="20"/>
                <w:lang w:val="en-US" w:eastAsia="zh-CN"/>
              </w:rPr>
            </w:pPr>
            <w:r>
              <w:rPr>
                <w:rFonts w:hint="eastAsia" w:cs="宋体"/>
                <w:caps w:val="0"/>
                <w:color w:val="000000"/>
                <w:spacing w:val="0"/>
                <w:sz w:val="20"/>
                <w:szCs w:val="20"/>
                <w:lang w:val="en-US" w:eastAsia="zh-CN"/>
              </w:rPr>
              <w:t>2021年3月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0"/>
                <w:szCs w:val="20"/>
              </w:rPr>
            </w:pPr>
            <w:r>
              <w:rPr>
                <w:rFonts w:hint="eastAsia" w:cs="宋体"/>
                <w:caps w:val="0"/>
                <w:color w:val="000000"/>
                <w:spacing w:val="0"/>
                <w:sz w:val="20"/>
                <w:szCs w:val="20"/>
                <w:lang w:val="en-US" w:eastAsia="zh-CN"/>
              </w:rPr>
              <w:t>2021年5月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上海石化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上海</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1600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1600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2021年4月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茂名石化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广东</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5#常减压</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2021年4月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石家庄炼厂</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河北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2021年9月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海南炼化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海南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950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950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2021年11月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306" w:type="dxa"/>
            <w:gridSpan w:val="7"/>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b/>
                <w:bCs/>
                <w:caps w:val="0"/>
                <w:color w:val="000000"/>
                <w:spacing w:val="0"/>
                <w:sz w:val="20"/>
                <w:szCs w:val="20"/>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炼厂名称</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所在地</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加工能力</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检修装置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检修产能（单位：万吨）</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起始时间</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云南石化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云南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1300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1300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2020/12/5</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抚顺石化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辽宁</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1150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1150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2021年5月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吉林石化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吉林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2021年6月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格尔木炼厂</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青海</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150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2021/7/1</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306" w:type="dxa"/>
            <w:gridSpan w:val="7"/>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b/>
                <w:bCs/>
                <w:caps w:val="0"/>
                <w:color w:val="000000"/>
                <w:spacing w:val="0"/>
                <w:sz w:val="20"/>
                <w:szCs w:val="20"/>
              </w:rPr>
              <w:t>中海油旗下炼厂检修计划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炼厂名称</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所在地</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加工能力</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检修装置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检修产能（单位：万吨）</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起始时间</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东方石化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海南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2021/3/1</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惠州炼化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广东</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2200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二期</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2021年3月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2021年4月</w:t>
            </w:r>
          </w:p>
        </w:tc>
      </w:tr>
    </w:tbl>
    <w:p>
      <w:pPr>
        <w:rPr>
          <w:rFonts w:hint="eastAsia" w:ascii="宋体" w:hAnsi="宋体"/>
          <w:sz w:val="28"/>
          <w:szCs w:val="28"/>
          <w:highlight w:val="none"/>
        </w:rPr>
      </w:pPr>
    </w:p>
    <w:p>
      <w:pPr>
        <w:numPr>
          <w:ilvl w:val="0"/>
          <w:numId w:val="0"/>
        </w:numPr>
        <w:rPr>
          <w:rFonts w:hint="eastAsia" w:ascii="宋体" w:hAnsi="宋体"/>
          <w:sz w:val="28"/>
          <w:szCs w:val="28"/>
          <w:highlight w:val="none"/>
        </w:rPr>
      </w:pPr>
    </w:p>
    <w:p>
      <w:pPr>
        <w:numPr>
          <w:ilvl w:val="0"/>
          <w:numId w:val="2"/>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612" w:type="dxa"/>
        <w:tblInd w:w="93" w:type="dxa"/>
        <w:shd w:val="clear" w:color="auto" w:fill="auto"/>
        <w:tblLayout w:type="autofit"/>
        <w:tblCellMar>
          <w:top w:w="0" w:type="dxa"/>
          <w:left w:w="108" w:type="dxa"/>
          <w:bottom w:w="0" w:type="dxa"/>
          <w:right w:w="108" w:type="dxa"/>
        </w:tblCellMar>
      </w:tblPr>
      <w:tblGrid>
        <w:gridCol w:w="1080"/>
        <w:gridCol w:w="1080"/>
        <w:gridCol w:w="1335"/>
        <w:gridCol w:w="1410"/>
        <w:gridCol w:w="972"/>
        <w:gridCol w:w="1770"/>
        <w:gridCol w:w="1965"/>
      </w:tblGrid>
      <w:tr>
        <w:tblPrEx>
          <w:shd w:val="clear" w:color="auto" w:fill="auto"/>
          <w:tblCellMar>
            <w:top w:w="0" w:type="dxa"/>
            <w:left w:w="108" w:type="dxa"/>
            <w:bottom w:w="0" w:type="dxa"/>
            <w:right w:w="108" w:type="dxa"/>
          </w:tblCellMar>
        </w:tblPrEx>
        <w:trPr>
          <w:trHeight w:val="300" w:hRule="atLeast"/>
        </w:trPr>
        <w:tc>
          <w:tcPr>
            <w:tcW w:w="9612" w:type="dxa"/>
            <w:gridSpan w:val="7"/>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地方炼厂装置检修计划表(单位：万吨)</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区域</w:t>
            </w:r>
          </w:p>
        </w:tc>
        <w:tc>
          <w:tcPr>
            <w:tcW w:w="1080"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省市</w:t>
            </w:r>
          </w:p>
        </w:tc>
        <w:tc>
          <w:tcPr>
            <w:tcW w:w="1335"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炼厂名称</w:t>
            </w:r>
          </w:p>
        </w:tc>
        <w:tc>
          <w:tcPr>
            <w:tcW w:w="1410"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检修装置</w:t>
            </w:r>
          </w:p>
        </w:tc>
        <w:tc>
          <w:tcPr>
            <w:tcW w:w="972"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产能</w:t>
            </w:r>
          </w:p>
        </w:tc>
        <w:tc>
          <w:tcPr>
            <w:tcW w:w="1770"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开工时间</w:t>
            </w:r>
          </w:p>
        </w:tc>
        <w:tc>
          <w:tcPr>
            <w:tcW w:w="1965"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停工时间</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山东</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日照</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海右石化</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柴油加氢</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2021年1月16日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日照</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海右石化</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常减压</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2021年3月</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2021年1月16日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东营</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红海化工</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全厂</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2021年1月15日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滨州</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京博石化</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常减压</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待定</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2021年3月1日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东营</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亚通石化</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柴油加氢</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待定</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2021年3月中旬</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菏泽</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金诚石化</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全厂（新厂）</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待定</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2021年3月中旬</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东营</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正和石化</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全厂</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待定</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2021年3-4月</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滨州</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博兴永鑫</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焦化</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2021年2月底</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滨州</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京博石化</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延迟焦化</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待定</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2020年8月下旬</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东营</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东方华龙</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催化裂化</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待定</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2020年1月1日</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西南</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东营</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垦利石化</w:t>
            </w:r>
          </w:p>
        </w:tc>
        <w:tc>
          <w:tcPr>
            <w:tcW w:w="14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小重整</w:t>
            </w:r>
          </w:p>
        </w:tc>
        <w:tc>
          <w:tcPr>
            <w:tcW w:w="97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77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待定</w:t>
            </w:r>
          </w:p>
        </w:tc>
        <w:tc>
          <w:tcPr>
            <w:tcW w:w="19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2019年4月27日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33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龙海石化</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全厂检修</w:t>
            </w:r>
          </w:p>
        </w:tc>
        <w:tc>
          <w:tcPr>
            <w:tcW w:w="97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77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2021年3月底</w:t>
            </w:r>
          </w:p>
        </w:tc>
        <w:tc>
          <w:tcPr>
            <w:tcW w:w="196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2021年2月2日</w:t>
            </w:r>
          </w:p>
        </w:tc>
      </w:tr>
    </w:tbl>
    <w:p>
      <w:pPr>
        <w:rPr>
          <w:rFonts w:hint="eastAsia"/>
        </w:rPr>
      </w:pPr>
    </w:p>
    <w:p>
      <w:pPr>
        <w:pStyle w:val="3"/>
        <w:spacing w:before="120" w:after="120" w:line="240" w:lineRule="auto"/>
        <w:rPr>
          <w:rFonts w:hint="eastAsia" w:ascii="宋体" w:hAnsi="宋体"/>
          <w:b/>
          <w:sz w:val="30"/>
          <w:szCs w:val="30"/>
          <w:highlight w:val="none"/>
        </w:rPr>
      </w:pPr>
      <w:bookmarkStart w:id="16" w:name="_Toc10253"/>
      <w:r>
        <w:rPr>
          <w:rFonts w:hint="eastAsia" w:ascii="宋体" w:hAnsi="宋体"/>
          <w:b/>
          <w:sz w:val="30"/>
          <w:szCs w:val="30"/>
          <w:highlight w:val="none"/>
        </w:rPr>
        <w:t>3.2本周成品油市场行情</w:t>
      </w:r>
      <w:bookmarkEnd w:id="16"/>
    </w:p>
    <w:p>
      <w:pPr>
        <w:pStyle w:val="23"/>
        <w:spacing w:line="360" w:lineRule="auto"/>
        <w:ind w:firstLine="420" w:firstLineChars="200"/>
        <w:rPr>
          <w:rFonts w:hint="eastAsia" w:ascii="宋体" w:hAnsi="宋体" w:eastAsia="宋体" w:cs="宋体"/>
          <w:color w:val="333335"/>
          <w:kern w:val="2"/>
          <w:sz w:val="28"/>
          <w:szCs w:val="28"/>
          <w:shd w:val="clear" w:color="auto" w:fill="FFFFFF"/>
        </w:rPr>
      </w:pPr>
      <w:r>
        <w:rPr>
          <w:sz w:val="21"/>
          <w:szCs w:val="21"/>
        </w:rPr>
        <w:t>　</w:t>
      </w:r>
      <w:r>
        <w:rPr>
          <w:rFonts w:hint="eastAsia" w:ascii="宋体" w:hAnsi="宋体" w:eastAsia="宋体" w:cs="宋体"/>
          <w:color w:val="333335"/>
          <w:kern w:val="2"/>
          <w:sz w:val="28"/>
          <w:szCs w:val="28"/>
          <w:shd w:val="clear" w:color="auto" w:fill="FFFFFF"/>
        </w:rPr>
        <w:t>　本周，国际原油期货震荡上行，据测算第六个工作日参考原油变化率为5%。受此影响，国内成品油市场行情整体上行，各地主营单位汽柴油销售执行优惠政策。与此同时，山东地炼成品油行情先扬后抑，各炼厂纷纷调高售价，但成交保持100元/吨左右优惠。具体来看出货方面：周初，外盘油价持续大涨提振业者心态，区内油市看涨气氛热烈，中下游商家购进操作频频，市场交投气氛活跃。临近周末，受原油弱势打压，中间商大单采购意向低迷，仅少数下游用户按需采购，使得地炼整体出货量较此前有所减少。据了解，周期内地炼方面整体出货表现一般，汽柴油平均产销比在90-100%左右。</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本周(3月5日-3月11日)利好因素占据上风 华中地区油价再度攀高。周初，国际油价涨势强劲，变化率由负转正向运行，消息面利好油市，受此支撑地炼价格二调三调上涨普遍，主营外采成本明显增加。诸多利好因素助推，华中地区主营成品油批发价格全线走高。随后原油适度回调，但变化率受惯性影响，依然维持正向加深发展，加之主营销售政策侧重保证利润并积极消化客存为主，价格依然高位持坚。不过目前市场价格偏高，下游跟涨热情明显减弱，入市采购十分有限，整体购销气氛清淡不已。后市而言，短期原油或高位偏弱震荡，零售价“九连涨”预期仍存，消息面指向偏好。不过因下游前期多有备货，而市场需求提升有限。预计短期内华中地区汽柴油价格上涨阻力加大，或逐渐进入盘整阶段，不乏部分单位追赶销量，实施高挂低卖的销售政策。</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5日-3月11日)，华东地区成品油行情大幅上涨，消息面利好因素支撑，市场观望情绪浓厚，整体成交淡稳。具体来看，周内国际油价大幅上涨，原油变化率不断正向扩大，区内各地区主营单位均大幅上调汽柴油价格，与此同时，山东地炼汽柴油均价也呈现上涨走势，令主营外采成本不断上扬，因此周内累计涨幅在100-300元/吨。但各主营单位为完成当月销售任务，优惠力度暗中加大。目前市场观望情绪浓厚，下游商家多消库为主，入市补货多按需购进，故整体成交氛围淡稳。后市而言，国际油价或高位震荡，消息面或存一定支撑，加之本轮零售价上调预期强烈，各地区主营单位或仍上调汽柴油价格，故预计短期内华东地区成品油行情或仍以涨势为主。</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4日-3月11日)，华南成品油市场继续推涨承压，周内区内汽柴油行情窄幅盘整。具体来看，周初国际原油价格强势冲高后迅速回落，消息面利好支撑有限，加重业者的观望情绪，部分主营单位顺势理性回调刺激出货，不过目前价格偏高，加之下游需求情况欠佳，贸易商高价追涨心态谨慎，虽市场询价热情有所升温，但实单操作依旧稀少，主营单位整体客存水平有所上涨，交投气氛依旧较为低迷。受全球经济前景向好及美国库存减少提振，预计原油价格将维持震荡上行走势，成品油市场“九连涨”预期强烈，市场正向指导明显，主营单位挺价稳市为主，不排除价格面小幅推涨。</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5日-3月11日)，市场利好支撑仍存，华北地区行情继续上行。分析来看，周初原油走势宽幅上涨，新一轮调价上调预期不断拉宽，地炼市场推价积极性较高，华北地区内汽柴价格累计推涨150-300元/吨，部分单位二调上涨，但下游追涨气氛不高，市场操作多小单刚需为主，成交气氛相对平稳。周内原油走势回落，但上调预期继续小幅拉宽，主营单位挺价心态较重，销售政策侧重降库为主，部分低价单位继续小幅补涨，下游进入阶段性消库阶段，成交清淡。临近周末原油小幅走高，主营报价持稳，但成交政策略有松动，市场观望气氛较重，成交气氛低迷。后市而言，国际市场消息面支撑仍存，短期内价格走势继续高位震荡，受此影响国内本轮调价上调概率较大。华北地区市场来看，下游需求表现尚可，但中间商库存水平普遍处于高位，短期内市场补货需求较弱，主营单位为积极降库，销售政策侧重保利。因此预计下周华北地区内油价走势将继续坚挺为主，随市场库存逐渐消化，商家销售政策将趋于灵活，市场优惠幅度将继续拉宽。</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(2月26日-3月4日)，西北地炼汽柴行情延续涨势，市场成交气氛平平。分析来看：周内国际油价跌后小涨，变化率维持正向区间延伸，上调预期持续增加，零售价“九连涨”为大概率事件，消息面对市场呈现利好指引。与此同时，销售公司前期出货顺畅，当前汽柴库存压力不大，因此汽柴价格继续推涨，周内汽油累积上涨300元/吨，柴油累积涨350元/吨。当前汽柴行情处于高位，且需求面提升有限，业者操作心态趋于谨慎，消库之余小单补货为主，市场成交交投氛围维持平淡。就后市而言，国际油价或弱势震荡，不过，变化率维持正向，上调预期对市场仍有支撑，但销售公司出货转淡，继续大幅推涨概率不大，预计短线西北地炼汽柴行情趋于平稳。业者消耗前期库存为主，市场成交气氛难见活跃。</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5日-3月11日)，西南地区汽柴行情冲高之后趋稳，市场成交氛围维持平淡。分析来看：周内国际油价走势转弱，但变化率维持正向区间运行，上调预期对市场仍有支撑，本周初主营单位继续推价，整体行情攀升至高位。但国际油价走势转弱，令市场观望气氛升温，并且，下游需求仍处于缓慢恢复阶段，社会库存消耗有限。再者，当前汽柴价格处于高位，业者操作风险较大，多退市消库为主，市场成交气氛转淡。主营单位出货不畅，虽然汽柴报价多保持稳定，但优惠力度较前期放宽。就后市而言，国际油价高位震荡，变化率正向区间窄幅波动，下周零售价“九连涨”为大概率事件，消息面仍存利好指引。不过，业者操作心态谨慎，市场成交难有提升。预计短线西南地区汽柴行情稳中窄幅整理为主，主营优惠政策趋于灵活。</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后市前瞻：国际原油期价由于遭遇66美元/桶的阻力位，或呈现震荡态势。以WTI为例，主流运行区间在62-66(均值64)美元/桶之间，环比下跌0.68美元/桶或1.05%。在缺少消息面利好持续作用下，山东地区成品油行情恐将进入盘整阶段，虽然季节性需求提升对区内行情起到一定支撑作用，但山东地炼缺乏消息面原油方面借力，汽柴油价格上涨乏力，因此建议中下游商家购进操作保持理性态度。综上所述，预计下周山东地炼汽柴油价格震荡走低，幅度在100元/吨左右。</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3"/>
        <w:spacing w:before="120" w:after="120" w:line="240" w:lineRule="auto"/>
        <w:rPr>
          <w:rFonts w:ascii="宋体" w:hAnsi="宋体"/>
          <w:b/>
          <w:sz w:val="30"/>
          <w:szCs w:val="30"/>
        </w:rPr>
      </w:pPr>
      <w:bookmarkStart w:id="17" w:name="_Toc5666"/>
      <w:r>
        <w:rPr>
          <w:rFonts w:hint="eastAsia" w:ascii="宋体" w:hAnsi="宋体"/>
          <w:b/>
          <w:sz w:val="30"/>
          <w:szCs w:val="30"/>
        </w:rPr>
        <w:t>3.3 国内汽油价格周报</w:t>
      </w:r>
      <w:bookmarkEnd w:id="17"/>
    </w:p>
    <w:p>
      <w:pPr>
        <w:rPr>
          <w:rFonts w:hint="eastAsia"/>
        </w:rPr>
      </w:pPr>
      <w:r>
        <w:rPr>
          <w:rFonts w:hint="eastAsia"/>
        </w:rPr>
        <w:t>单位：元/吨</w:t>
      </w:r>
    </w:p>
    <w:p>
      <w:pPr>
        <w:rPr>
          <w:rFonts w:hint="eastAsia"/>
        </w:rPr>
      </w:pPr>
    </w:p>
    <w:p>
      <w:pPr>
        <w:rPr>
          <w:rFonts w:hint="eastAsia"/>
        </w:rPr>
      </w:pPr>
    </w:p>
    <w:tbl>
      <w:tblPr>
        <w:tblStyle w:val="24"/>
        <w:tblW w:w="9735" w:type="dxa"/>
        <w:tblInd w:w="0" w:type="dxa"/>
        <w:shd w:val="clear" w:color="auto" w:fill="auto"/>
        <w:tblLayout w:type="fixed"/>
        <w:tblCellMar>
          <w:top w:w="0" w:type="dxa"/>
          <w:left w:w="0" w:type="dxa"/>
          <w:bottom w:w="0" w:type="dxa"/>
          <w:right w:w="0" w:type="dxa"/>
        </w:tblCellMar>
      </w:tblPr>
      <w:tblGrid>
        <w:gridCol w:w="990"/>
        <w:gridCol w:w="1140"/>
        <w:gridCol w:w="1155"/>
        <w:gridCol w:w="1065"/>
        <w:gridCol w:w="885"/>
        <w:gridCol w:w="1080"/>
        <w:gridCol w:w="990"/>
        <w:gridCol w:w="1215"/>
        <w:gridCol w:w="1215"/>
      </w:tblGrid>
      <w:tr>
        <w:tblPrEx>
          <w:shd w:val="clear" w:color="auto" w:fill="auto"/>
          <w:tblCellMar>
            <w:top w:w="0" w:type="dxa"/>
            <w:left w:w="0" w:type="dxa"/>
            <w:bottom w:w="0" w:type="dxa"/>
            <w:right w:w="0" w:type="dxa"/>
          </w:tblCellMar>
        </w:tblPrEx>
        <w:trPr>
          <w:trHeight w:val="2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14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2021/3/11</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2021/3/4</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6870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6870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7510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7170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8366</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7415</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6870</w:t>
            </w:r>
          </w:p>
        </w:tc>
      </w:tr>
    </w:tbl>
    <w:p>
      <w:pPr>
        <w:rPr>
          <w:rFonts w:hint="eastAsia"/>
          <w:b/>
          <w:bCs w:val="0"/>
          <w:szCs w:val="21"/>
          <w:lang w:val="en-US" w:eastAsia="zh-CN"/>
        </w:rPr>
      </w:pPr>
    </w:p>
    <w:p>
      <w:pPr>
        <w:pStyle w:val="3"/>
        <w:spacing w:before="120" w:after="120" w:line="240" w:lineRule="auto"/>
        <w:rPr>
          <w:rFonts w:hint="eastAsia" w:ascii="宋体" w:hAnsi="宋体"/>
          <w:b/>
          <w:sz w:val="30"/>
          <w:szCs w:val="30"/>
          <w:lang w:val="en-US" w:eastAsia="zh-CN"/>
        </w:rPr>
      </w:pPr>
      <w:bookmarkStart w:id="18" w:name="_Toc6836"/>
      <w:r>
        <w:rPr>
          <w:rFonts w:hint="eastAsia" w:ascii="宋体" w:hAnsi="宋体"/>
          <w:b/>
          <w:sz w:val="30"/>
          <w:szCs w:val="30"/>
          <w:lang w:val="en-US" w:eastAsia="zh-CN"/>
        </w:rPr>
        <w:t>3.4国内柴油价格周报</w:t>
      </w:r>
      <w:bookmarkEnd w:id="18"/>
    </w:p>
    <w:p>
      <w:pPr>
        <w:rPr>
          <w:rFonts w:hint="eastAsia"/>
          <w:lang w:val="en-US" w:eastAsia="zh-CN"/>
        </w:rPr>
      </w:pPr>
      <w:r>
        <w:rPr>
          <w:rFonts w:hint="eastAsia"/>
          <w:lang w:val="en-US" w:eastAsia="zh-CN"/>
        </w:rPr>
        <w:t>单位：元/吨</w:t>
      </w:r>
    </w:p>
    <w:tbl>
      <w:tblPr>
        <w:tblStyle w:val="24"/>
        <w:tblW w:w="9507" w:type="dxa"/>
        <w:tblInd w:w="0" w:type="dxa"/>
        <w:shd w:val="clear" w:color="auto" w:fill="auto"/>
        <w:tblLayout w:type="fixed"/>
        <w:tblCellMar>
          <w:top w:w="0" w:type="dxa"/>
          <w:left w:w="0" w:type="dxa"/>
          <w:bottom w:w="0" w:type="dxa"/>
          <w:right w:w="0" w:type="dxa"/>
        </w:tblCellMar>
      </w:tblPr>
      <w:tblGrid>
        <w:gridCol w:w="1017"/>
        <w:gridCol w:w="1110"/>
        <w:gridCol w:w="1245"/>
        <w:gridCol w:w="1050"/>
        <w:gridCol w:w="840"/>
        <w:gridCol w:w="1050"/>
        <w:gridCol w:w="810"/>
        <w:gridCol w:w="1185"/>
        <w:gridCol w:w="1200"/>
      </w:tblGrid>
      <w:tr>
        <w:tblPrEx>
          <w:shd w:val="clear" w:color="auto" w:fill="auto"/>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1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2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105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84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5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涨跌</w:t>
            </w:r>
          </w:p>
        </w:tc>
        <w:tc>
          <w:tcPr>
            <w:tcW w:w="11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2021/3/11</w:t>
            </w:r>
          </w:p>
        </w:tc>
        <w:tc>
          <w:tcPr>
            <w:tcW w:w="120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2021/3/4</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舟山市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6180</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6035</w:t>
            </w:r>
          </w:p>
        </w:tc>
      </w:tr>
      <w:tr>
        <w:tblPrEx>
          <w:tblCellMar>
            <w:top w:w="0" w:type="dxa"/>
            <w:left w:w="0" w:type="dxa"/>
            <w:bottom w:w="0" w:type="dxa"/>
            <w:right w:w="0" w:type="dxa"/>
          </w:tblCellMar>
        </w:tblPrEx>
        <w:trPr>
          <w:trHeight w:val="285"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r>
    </w:tbl>
    <w:p>
      <w:pPr>
        <w:rPr>
          <w:rFonts w:hint="eastAsia" w:eastAsia="宋体"/>
          <w:lang w:val="en-US" w:eastAsia="zh-CN"/>
        </w:rPr>
      </w:pPr>
    </w:p>
    <w:p>
      <w:pPr>
        <w:pStyle w:val="3"/>
        <w:spacing w:before="120" w:after="120" w:line="240" w:lineRule="auto"/>
        <w:rPr>
          <w:rFonts w:hint="eastAsia" w:ascii="宋体" w:hAnsi="宋体"/>
          <w:b/>
          <w:sz w:val="30"/>
          <w:szCs w:val="30"/>
          <w:lang w:val="en-US" w:eastAsia="zh-CN"/>
        </w:rPr>
      </w:pPr>
      <w:bookmarkStart w:id="19" w:name="_Toc9985"/>
      <w:r>
        <w:rPr>
          <w:rFonts w:hint="eastAsia" w:ascii="宋体" w:hAnsi="宋体"/>
          <w:b/>
          <w:sz w:val="30"/>
          <w:szCs w:val="30"/>
          <w:lang w:val="en-US" w:eastAsia="zh-CN"/>
        </w:rPr>
        <w:t>3.5 山东地炼汽油出厂价格周报</w:t>
      </w:r>
      <w:bookmarkEnd w:id="19"/>
    </w:p>
    <w:p>
      <w:pPr>
        <w:rPr>
          <w:rFonts w:hint="eastAsia"/>
          <w:lang w:val="en-US" w:eastAsia="zh-CN"/>
        </w:rPr>
      </w:pPr>
      <w:r>
        <w:rPr>
          <w:rFonts w:hint="eastAsia"/>
          <w:lang w:val="en-US" w:eastAsia="zh-CN"/>
        </w:rPr>
        <w:t>单位：元/吨</w:t>
      </w:r>
    </w:p>
    <w:p>
      <w:pPr>
        <w:rPr>
          <w:rFonts w:hint="eastAsia"/>
          <w:lang w:val="en-US" w:eastAsia="zh-CN"/>
        </w:rPr>
      </w:pPr>
    </w:p>
    <w:tbl>
      <w:tblPr>
        <w:tblStyle w:val="24"/>
        <w:tblW w:w="9270" w:type="dxa"/>
        <w:tblInd w:w="0" w:type="dxa"/>
        <w:shd w:val="clear" w:color="auto" w:fill="auto"/>
        <w:tblLayout w:type="fixed"/>
        <w:tblCellMar>
          <w:top w:w="0" w:type="dxa"/>
          <w:left w:w="0" w:type="dxa"/>
          <w:bottom w:w="0" w:type="dxa"/>
          <w:right w:w="0" w:type="dxa"/>
        </w:tblCellMar>
      </w:tblPr>
      <w:tblGrid>
        <w:gridCol w:w="945"/>
        <w:gridCol w:w="1470"/>
        <w:gridCol w:w="977"/>
        <w:gridCol w:w="913"/>
        <w:gridCol w:w="1065"/>
        <w:gridCol w:w="1080"/>
        <w:gridCol w:w="1410"/>
        <w:gridCol w:w="1410"/>
      </w:tblGrid>
      <w:tr>
        <w:tblPrEx>
          <w:shd w:val="clear" w:color="auto" w:fill="auto"/>
          <w:tblCellMar>
            <w:top w:w="0" w:type="dxa"/>
            <w:left w:w="0" w:type="dxa"/>
            <w:bottom w:w="0" w:type="dxa"/>
            <w:right w:w="0"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97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913"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2021/3/11</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2021/3/4</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7093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7193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7048</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20" w:name="_Toc24766"/>
      <w:r>
        <w:rPr>
          <w:rFonts w:hint="eastAsia" w:ascii="宋体" w:hAnsi="宋体"/>
          <w:b/>
          <w:sz w:val="30"/>
          <w:szCs w:val="30"/>
          <w:lang w:val="en-US" w:eastAsia="zh-CN"/>
        </w:rPr>
        <w:t>3.6 山东地炼柴油出厂价格周报</w:t>
      </w:r>
      <w:bookmarkEnd w:id="20"/>
    </w:p>
    <w:p>
      <w:pPr>
        <w:rPr>
          <w:rFonts w:hint="eastAsia" w:ascii="宋体" w:hAnsi="宋体"/>
          <w:b/>
          <w:sz w:val="10"/>
          <w:szCs w:val="10"/>
          <w:lang w:val="en-US" w:eastAsia="zh-CN"/>
        </w:rPr>
      </w:pPr>
      <w:r>
        <w:rPr>
          <w:rFonts w:hint="eastAsia"/>
          <w:bCs/>
          <w:szCs w:val="21"/>
          <w:lang w:val="en-US" w:eastAsia="zh-CN"/>
        </w:rPr>
        <w:t>单位：元/吨</w:t>
      </w:r>
    </w:p>
    <w:p>
      <w:pPr>
        <w:rPr>
          <w:rFonts w:hint="eastAsia"/>
          <w:lang w:val="en-US" w:eastAsia="zh-CN"/>
        </w:rPr>
      </w:pPr>
    </w:p>
    <w:p>
      <w:pPr>
        <w:rPr>
          <w:rFonts w:hint="eastAsia"/>
          <w:lang w:val="en-US" w:eastAsia="zh-CN"/>
        </w:rPr>
      </w:pPr>
    </w:p>
    <w:tbl>
      <w:tblPr>
        <w:tblStyle w:val="24"/>
        <w:tblW w:w="9600" w:type="dxa"/>
        <w:tblInd w:w="0" w:type="dxa"/>
        <w:shd w:val="clear" w:color="auto" w:fill="auto"/>
        <w:tblLayout w:type="fixed"/>
        <w:tblCellMar>
          <w:top w:w="0" w:type="dxa"/>
          <w:left w:w="0" w:type="dxa"/>
          <w:bottom w:w="0" w:type="dxa"/>
          <w:right w:w="0" w:type="dxa"/>
        </w:tblCellMar>
      </w:tblPr>
      <w:tblGrid>
        <w:gridCol w:w="675"/>
        <w:gridCol w:w="1875"/>
        <w:gridCol w:w="960"/>
        <w:gridCol w:w="1245"/>
        <w:gridCol w:w="1080"/>
        <w:gridCol w:w="1005"/>
        <w:gridCol w:w="1380"/>
        <w:gridCol w:w="1380"/>
      </w:tblGrid>
      <w:tr>
        <w:tblPrEx>
          <w:shd w:val="clear" w:color="auto" w:fill="auto"/>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9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2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2021/3/11</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2021/3/4</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5613</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5890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常压</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鑫泰石化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bookmarkStart w:id="21" w:name="_Toc20870"/>
      <w:r>
        <w:rPr>
          <w:rFonts w:hint="eastAsia" w:ascii="宋体" w:hAnsi="宋体"/>
          <w:b/>
          <w:sz w:val="30"/>
          <w:szCs w:val="30"/>
          <w:lang w:val="en-US" w:eastAsia="zh-CN"/>
        </w:rPr>
        <w:t>四、2020年12月份进出口统计数据</w:t>
      </w:r>
      <w:bookmarkEnd w:id="21"/>
    </w:p>
    <w:p>
      <w:pPr>
        <w:rPr>
          <w:rFonts w:hint="eastAsia"/>
        </w:rPr>
      </w:pPr>
    </w:p>
    <w:p>
      <w:pPr>
        <w:pStyle w:val="3"/>
        <w:spacing w:before="120" w:after="120" w:line="240" w:lineRule="auto"/>
        <w:rPr>
          <w:rFonts w:hint="eastAsia" w:ascii="宋体" w:hAnsi="宋体"/>
          <w:b/>
          <w:sz w:val="30"/>
          <w:szCs w:val="30"/>
        </w:rPr>
      </w:pPr>
      <w:bookmarkStart w:id="22" w:name="_Toc14178"/>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12</w:t>
      </w:r>
      <w:r>
        <w:rPr>
          <w:rFonts w:hint="eastAsia" w:ascii="宋体" w:hAnsi="宋体"/>
          <w:b/>
          <w:sz w:val="30"/>
          <w:szCs w:val="30"/>
        </w:rPr>
        <w:t>份全国车用汽油</w:t>
      </w:r>
      <w:r>
        <w:rPr>
          <w:rFonts w:hint="eastAsia" w:ascii="宋体" w:hAnsi="宋体"/>
          <w:b/>
          <w:sz w:val="30"/>
          <w:szCs w:val="30"/>
          <w:lang w:eastAsia="zh-CN"/>
        </w:rPr>
        <w:t>进</w:t>
      </w:r>
      <w:r>
        <w:rPr>
          <w:rFonts w:hint="eastAsia" w:ascii="宋体" w:hAnsi="宋体"/>
          <w:b/>
          <w:sz w:val="30"/>
          <w:szCs w:val="30"/>
        </w:rPr>
        <w:t>出口统计数据</w:t>
      </w:r>
      <w:bookmarkEnd w:id="22"/>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tbl>
      <w:tblPr>
        <w:tblStyle w:val="24"/>
        <w:tblW w:w="951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2920"/>
        <w:gridCol w:w="2605"/>
        <w:gridCol w:w="1030"/>
        <w:gridCol w:w="1933"/>
        <w:gridCol w:w="103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594" w:hRule="atLeast"/>
        </w:trPr>
        <w:tc>
          <w:tcPr>
            <w:tcW w:w="2920" w:type="dxa"/>
            <w:tcBorders>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商品名称 </w:t>
            </w:r>
          </w:p>
        </w:tc>
        <w:tc>
          <w:tcPr>
            <w:tcW w:w="2605" w:type="dxa"/>
            <w:tcBorders>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贸易伙伴名称 </w:t>
            </w:r>
          </w:p>
        </w:tc>
        <w:tc>
          <w:tcPr>
            <w:tcW w:w="1030" w:type="dxa"/>
            <w:tcBorders>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数量(吨）</w:t>
            </w:r>
          </w:p>
        </w:tc>
        <w:tc>
          <w:tcPr>
            <w:tcW w:w="1933" w:type="dxa"/>
            <w:tcBorders>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人民币（元） </w:t>
            </w:r>
          </w:p>
        </w:tc>
        <w:tc>
          <w:tcPr>
            <w:tcW w:w="1030" w:type="dxa"/>
            <w:tcBorders>
              <w:left w:val="nil"/>
              <w:bottom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单价（元/吨）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缅甸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5603</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15290349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印度尼西亚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67890</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199007037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日本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26900</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65619998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中国澳门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7206</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13284227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马来西亚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182747</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446388344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蒙古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6331</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16773785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巴基斯坦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54845</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130763702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菲律宾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363590</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866992623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新加坡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491363</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1188245276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韩国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19744070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斯里兰卡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29666</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74701672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泰国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42976</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106408746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越南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28970</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87129213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9" w:hRule="atLeast"/>
        </w:trPr>
        <w:tc>
          <w:tcPr>
            <w:tcW w:w="2920" w:type="dxa"/>
            <w:tcBorders>
              <w:top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尼日利亚 </w:t>
            </w:r>
          </w:p>
        </w:tc>
        <w:tc>
          <w:tcPr>
            <w:tcW w:w="1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62865</w:t>
            </w:r>
          </w:p>
        </w:tc>
        <w:tc>
          <w:tcPr>
            <w:tcW w:w="19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163805390  </w:t>
            </w:r>
          </w:p>
        </w:tc>
        <w:tc>
          <w:tcPr>
            <w:tcW w:w="1030" w:type="dxa"/>
            <w:tcBorders>
              <w:top w:val="nil"/>
              <w:left w:val="nil"/>
              <w:bottom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17" w:hRule="atLeast"/>
        </w:trPr>
        <w:tc>
          <w:tcPr>
            <w:tcW w:w="2920" w:type="dxa"/>
            <w:tcBorders>
              <w:top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605" w:type="dxa"/>
            <w:tcBorders>
              <w:top w:val="nil"/>
              <w:left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澳大利亚 </w:t>
            </w:r>
          </w:p>
        </w:tc>
        <w:tc>
          <w:tcPr>
            <w:tcW w:w="1030" w:type="dxa"/>
            <w:tcBorders>
              <w:top w:val="nil"/>
              <w:left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70035</w:t>
            </w:r>
          </w:p>
        </w:tc>
        <w:tc>
          <w:tcPr>
            <w:tcW w:w="1933" w:type="dxa"/>
            <w:tcBorders>
              <w:top w:val="nil"/>
              <w:left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176850280  </w:t>
            </w:r>
          </w:p>
        </w:tc>
        <w:tc>
          <w:tcPr>
            <w:tcW w:w="1030" w:type="dxa"/>
            <w:tcBorders>
              <w:top w:val="nil"/>
              <w:lef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2525</w:t>
            </w:r>
          </w:p>
        </w:tc>
      </w:tr>
    </w:tbl>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p>
      <w:pPr>
        <w:rPr>
          <w:rFonts w:hint="eastAsia"/>
        </w:rPr>
      </w:pPr>
    </w:p>
    <w:tbl>
      <w:tblPr>
        <w:tblW w:w="9596" w:type="dxa"/>
        <w:tblInd w:w="93" w:type="dxa"/>
        <w:shd w:val="clear"/>
        <w:tblLayout w:type="autofit"/>
        <w:tblCellMar>
          <w:top w:w="0" w:type="dxa"/>
          <w:left w:w="108" w:type="dxa"/>
          <w:bottom w:w="0" w:type="dxa"/>
          <w:right w:w="108" w:type="dxa"/>
        </w:tblCellMar>
      </w:tblPr>
      <w:tblGrid>
        <w:gridCol w:w="2418"/>
        <w:gridCol w:w="1662"/>
        <w:gridCol w:w="1549"/>
        <w:gridCol w:w="1908"/>
        <w:gridCol w:w="2059"/>
      </w:tblGrid>
      <w:tr>
        <w:tblPrEx>
          <w:shd w:val="clear"/>
          <w:tblCellMar>
            <w:top w:w="0" w:type="dxa"/>
            <w:left w:w="108" w:type="dxa"/>
            <w:bottom w:w="0" w:type="dxa"/>
            <w:right w:w="108" w:type="dxa"/>
          </w:tblCellMar>
        </w:tblPrEx>
        <w:trPr>
          <w:trHeight w:val="654" w:hRule="atLeast"/>
        </w:trPr>
        <w:tc>
          <w:tcPr>
            <w:tcW w:w="2418"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贸易伙伴名称</w:t>
            </w:r>
          </w:p>
        </w:tc>
        <w:tc>
          <w:tcPr>
            <w:tcW w:w="1662"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2E363F"/>
                <w:sz w:val="20"/>
                <w:szCs w:val="20"/>
                <w:u w:val="none"/>
              </w:rPr>
            </w:pPr>
            <w:r>
              <w:rPr>
                <w:rFonts w:hint="eastAsia" w:ascii="宋体" w:hAnsi="宋体" w:eastAsia="宋体" w:cs="宋体"/>
                <w:b/>
                <w:bCs/>
                <w:i w:val="0"/>
                <w:iCs w:val="0"/>
                <w:color w:val="2E363F"/>
                <w:kern w:val="0"/>
                <w:sz w:val="20"/>
                <w:szCs w:val="20"/>
                <w:u w:val="none"/>
                <w:bdr w:val="none" w:color="auto" w:sz="0" w:space="0"/>
                <w:lang w:val="en-US" w:eastAsia="zh-CN" w:bidi="ar"/>
              </w:rPr>
              <w:t>数量（吨）</w:t>
            </w:r>
          </w:p>
        </w:tc>
        <w:tc>
          <w:tcPr>
            <w:tcW w:w="1549"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2E363F"/>
                <w:sz w:val="20"/>
                <w:szCs w:val="20"/>
                <w:u w:val="none"/>
              </w:rPr>
            </w:pPr>
            <w:r>
              <w:rPr>
                <w:rFonts w:hint="eastAsia" w:ascii="宋体" w:hAnsi="宋体" w:eastAsia="宋体" w:cs="宋体"/>
                <w:b/>
                <w:bCs/>
                <w:i w:val="0"/>
                <w:iCs w:val="0"/>
                <w:color w:val="2E363F"/>
                <w:kern w:val="0"/>
                <w:sz w:val="20"/>
                <w:szCs w:val="20"/>
                <w:u w:val="none"/>
                <w:bdr w:val="none" w:color="auto" w:sz="0" w:space="0"/>
                <w:lang w:val="en-US" w:eastAsia="zh-CN" w:bidi="ar"/>
              </w:rPr>
              <w:t>所占比率</w:t>
            </w:r>
          </w:p>
        </w:tc>
        <w:tc>
          <w:tcPr>
            <w:tcW w:w="1908"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2E363F"/>
                <w:sz w:val="20"/>
                <w:szCs w:val="20"/>
                <w:u w:val="none"/>
              </w:rPr>
            </w:pPr>
            <w:r>
              <w:rPr>
                <w:rFonts w:hint="eastAsia" w:ascii="宋体" w:hAnsi="宋体" w:eastAsia="宋体" w:cs="宋体"/>
                <w:b/>
                <w:bCs/>
                <w:i w:val="0"/>
                <w:iCs w:val="0"/>
                <w:color w:val="2E363F"/>
                <w:kern w:val="0"/>
                <w:sz w:val="20"/>
                <w:szCs w:val="20"/>
                <w:u w:val="none"/>
                <w:bdr w:val="none" w:color="auto" w:sz="0" w:space="0"/>
                <w:lang w:val="en-US" w:eastAsia="zh-CN" w:bidi="ar"/>
              </w:rPr>
              <w:t>当月金额（元）</w:t>
            </w:r>
          </w:p>
        </w:tc>
        <w:tc>
          <w:tcPr>
            <w:tcW w:w="2059"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2E363F"/>
                <w:sz w:val="20"/>
                <w:szCs w:val="20"/>
                <w:u w:val="none"/>
              </w:rPr>
            </w:pPr>
            <w:r>
              <w:rPr>
                <w:rFonts w:hint="eastAsia" w:ascii="宋体" w:hAnsi="宋体" w:eastAsia="宋体" w:cs="宋体"/>
                <w:b/>
                <w:bCs/>
                <w:i w:val="0"/>
                <w:iCs w:val="0"/>
                <w:color w:val="2E363F"/>
                <w:kern w:val="0"/>
                <w:sz w:val="20"/>
                <w:szCs w:val="20"/>
                <w:u w:val="none"/>
                <w:bdr w:val="none" w:color="auto" w:sz="0" w:space="0"/>
                <w:lang w:val="en-US" w:eastAsia="zh-CN" w:bidi="ar"/>
              </w:rPr>
              <w:t>当月均价（元/吨）</w:t>
            </w:r>
          </w:p>
        </w:tc>
      </w:tr>
      <w:tr>
        <w:tblPrEx>
          <w:tblCellMar>
            <w:top w:w="0" w:type="dxa"/>
            <w:left w:w="108" w:type="dxa"/>
            <w:bottom w:w="0" w:type="dxa"/>
            <w:right w:w="108" w:type="dxa"/>
          </w:tblCellMar>
        </w:tblPrEx>
        <w:trPr>
          <w:trHeight w:val="345"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埃塞俄比亚</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1385706</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2771.41</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安提瓜和巴布达</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170085</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2616.69</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澳大利亚</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511757.9</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1129143671</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2206.4</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巴哈马</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871.61</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2393336</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2745.89</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巴拿马</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14671.54</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38208916</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2604.29</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百慕大</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74065</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2468.83</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伯利兹</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55.44</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152370</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2748.23</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丹麦</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124.5</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354657</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2848.65</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德国</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557</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1493304</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2680.98</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多哥</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163349</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2969.98</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俄罗斯联邦</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323.99</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889676</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2746.03</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菲律宾</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281264.18</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593034277</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2108.46</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韩国</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217119.52</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482577567</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2222.64</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荷兰</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397</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1025882</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2584.09</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黑山</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83764</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2792.13</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喀麦隆</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182996</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3049.93</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开曼群岛</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139720</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2794.4</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利比里亚</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6999.33</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20522887</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2932.12</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卢森堡</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18.77</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50134</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2671.25</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马耳他</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2665.72</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9623438</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3610.08</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马来西亚</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39836.93</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84277612</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2115.57</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马绍尔群岛</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5644.08</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15684179</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2778.87</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毛里塔尼亚</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657.61</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1712728</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2604.46</w:t>
            </w:r>
          </w:p>
        </w:tc>
      </w:tr>
      <w:tr>
        <w:tblPrEx>
          <w:tblCellMar>
            <w:top w:w="0" w:type="dxa"/>
            <w:left w:w="108" w:type="dxa"/>
            <w:bottom w:w="0" w:type="dxa"/>
            <w:right w:w="108" w:type="dxa"/>
          </w:tblCellMar>
        </w:tblPrEx>
        <w:trPr>
          <w:trHeight w:val="365"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孟加拉国</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168692.41</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360439596</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2136.67</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缅甸</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17191.04</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41815804</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2432.42</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挪威</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625.67</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1723483</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2754.62</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帕劳</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137755</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2649.13</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葡萄牙</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233.5</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1141402</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4888.23</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日本</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1392969</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4705.98</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瑞士</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78.8</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234354</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2974.22</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塞拉利昂</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66164</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3308.2</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塞浦路斯</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1224.5</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3411295</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2785.87</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沙特阿拉伯</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479794</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2665.52</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圣其茨和尼维斯</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117.5</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286900</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2441.7</w:t>
            </w:r>
          </w:p>
        </w:tc>
      </w:tr>
      <w:tr>
        <w:tblPrEx>
          <w:tblCellMar>
            <w:top w:w="0" w:type="dxa"/>
            <w:left w:w="108" w:type="dxa"/>
            <w:bottom w:w="0" w:type="dxa"/>
            <w:right w:w="108" w:type="dxa"/>
          </w:tblCellMar>
        </w:tblPrEx>
        <w:trPr>
          <w:trHeight w:val="384"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圣文森特和格林纳丁斯</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249.8</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576051</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2306.05</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泰国</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130563</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2611.26</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图瓦卢</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574317</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2871.59</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希腊</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835.51</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2795036</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3345.31</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新加坡</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161636.33</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347446436</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2149.56</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牙买加</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19.65</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56071</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2853.49</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印度尼西亚</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24063</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58666575</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2438.04</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英国</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640.22</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1669893</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2608.32</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越南</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16821.89</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34747789</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2065.63</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智利</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77559.62</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167610933</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2161.06</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中国澳门</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4555.75</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9735610</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2136.99</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中国台湾</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455.62</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1258785</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2762.8</w:t>
            </w:r>
          </w:p>
        </w:tc>
      </w:tr>
      <w:tr>
        <w:tblPrEx>
          <w:tblCellMar>
            <w:top w:w="0" w:type="dxa"/>
            <w:left w:w="108" w:type="dxa"/>
            <w:bottom w:w="0" w:type="dxa"/>
            <w:right w:w="108" w:type="dxa"/>
          </w:tblCellMar>
        </w:tblPrEx>
        <w:trPr>
          <w:trHeight w:val="337" w:hRule="atLeast"/>
        </w:trPr>
        <w:tc>
          <w:tcPr>
            <w:tcW w:w="241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中国香港</w:t>
            </w:r>
          </w:p>
        </w:tc>
        <w:tc>
          <w:tcPr>
            <w:tcW w:w="1662"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361087.38</w:t>
            </w:r>
          </w:p>
        </w:tc>
        <w:tc>
          <w:tcPr>
            <w:tcW w:w="154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90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820207403</w:t>
            </w:r>
          </w:p>
        </w:tc>
        <w:tc>
          <w:tcPr>
            <w:tcW w:w="2059"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2271.49</w:t>
            </w:r>
          </w:p>
        </w:tc>
      </w:tr>
      <w:tr>
        <w:tblPrEx>
          <w:tblCellMar>
            <w:top w:w="0" w:type="dxa"/>
            <w:left w:w="108" w:type="dxa"/>
            <w:bottom w:w="0" w:type="dxa"/>
            <w:right w:w="108" w:type="dxa"/>
          </w:tblCellMar>
        </w:tblPrEx>
        <w:trPr>
          <w:trHeight w:val="357" w:hRule="atLeast"/>
        </w:trPr>
        <w:tc>
          <w:tcPr>
            <w:tcW w:w="2418" w:type="dxa"/>
            <w:tcBorders>
              <w:top w:val="nil"/>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1662"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1920641.29</w:t>
            </w:r>
          </w:p>
        </w:tc>
        <w:tc>
          <w:tcPr>
            <w:tcW w:w="1549"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100%</w:t>
            </w:r>
          </w:p>
        </w:tc>
        <w:tc>
          <w:tcPr>
            <w:tcW w:w="1908"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4239949297</w:t>
            </w:r>
          </w:p>
        </w:tc>
        <w:tc>
          <w:tcPr>
            <w:tcW w:w="2059"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2207.57</w:t>
            </w:r>
          </w:p>
        </w:tc>
      </w:tr>
    </w:tbl>
    <w:p>
      <w:pPr>
        <w:pStyle w:val="3"/>
        <w:spacing w:before="120" w:after="120" w:line="240" w:lineRule="auto"/>
        <w:rPr>
          <w:rFonts w:hint="eastAsia" w:ascii="宋体" w:hAnsi="宋体"/>
          <w:b/>
          <w:sz w:val="30"/>
          <w:szCs w:val="30"/>
        </w:rPr>
      </w:pPr>
      <w:bookmarkStart w:id="23" w:name="_Toc26275"/>
      <w:r>
        <w:rPr>
          <w:rFonts w:hint="eastAsia" w:ascii="宋体" w:hAnsi="宋体"/>
          <w:b/>
          <w:sz w:val="30"/>
          <w:szCs w:val="30"/>
        </w:rPr>
        <w:t>4.2 20</w:t>
      </w:r>
      <w:r>
        <w:rPr>
          <w:rFonts w:hint="eastAsia" w:ascii="宋体" w:hAnsi="宋体"/>
          <w:b/>
          <w:sz w:val="30"/>
          <w:szCs w:val="30"/>
          <w:lang w:val="en-US" w:eastAsia="zh-CN"/>
        </w:rPr>
        <w:t>20</w:t>
      </w:r>
      <w:r>
        <w:rPr>
          <w:rFonts w:hint="eastAsia" w:ascii="宋体" w:hAnsi="宋体"/>
          <w:b/>
          <w:sz w:val="30"/>
          <w:szCs w:val="30"/>
        </w:rPr>
        <w:t>年1</w:t>
      </w:r>
      <w:r>
        <w:rPr>
          <w:rFonts w:hint="eastAsia" w:ascii="宋体" w:hAnsi="宋体"/>
          <w:b/>
          <w:sz w:val="30"/>
          <w:szCs w:val="30"/>
          <w:lang w:val="en-US" w:eastAsia="zh-CN"/>
        </w:rPr>
        <w:t>2</w:t>
      </w:r>
      <w:r>
        <w:rPr>
          <w:rFonts w:hint="eastAsia" w:ascii="宋体" w:hAnsi="宋体"/>
          <w:b/>
          <w:sz w:val="30"/>
          <w:szCs w:val="30"/>
        </w:rPr>
        <w:t>月份全国柴油出口统计数据</w:t>
      </w:r>
      <w:bookmarkEnd w:id="23"/>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975" w:type="dxa"/>
        <w:tblInd w:w="0" w:type="dxa"/>
        <w:shd w:val="clear" w:color="auto" w:fill="auto"/>
        <w:tblLayout w:type="fixed"/>
        <w:tblCellMar>
          <w:top w:w="0" w:type="dxa"/>
          <w:left w:w="0" w:type="dxa"/>
          <w:bottom w:w="0" w:type="dxa"/>
          <w:right w:w="0" w:type="dxa"/>
        </w:tblCellMar>
      </w:tblPr>
      <w:tblGrid>
        <w:gridCol w:w="3060"/>
        <w:gridCol w:w="2730"/>
        <w:gridCol w:w="1080"/>
        <w:gridCol w:w="2025"/>
        <w:gridCol w:w="1080"/>
      </w:tblGrid>
      <w:tr>
        <w:tblPrEx>
          <w:shd w:val="clear" w:color="auto" w:fill="auto"/>
          <w:tblCellMar>
            <w:top w:w="0" w:type="dxa"/>
            <w:left w:w="0" w:type="dxa"/>
            <w:bottom w:w="0" w:type="dxa"/>
            <w:right w:w="0" w:type="dxa"/>
          </w:tblCellMar>
        </w:tblPrEx>
        <w:trPr>
          <w:trHeight w:val="540" w:hRule="atLeast"/>
        </w:trPr>
        <w:tc>
          <w:tcPr>
            <w:tcW w:w="306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24" w:name="_Toc533771879"/>
            <w:r>
              <w:rPr>
                <w:rFonts w:hint="eastAsia" w:ascii="宋体" w:hAnsi="宋体" w:eastAsia="宋体" w:cs="宋体"/>
                <w:b/>
                <w:i w:val="0"/>
                <w:color w:val="000000"/>
                <w:kern w:val="0"/>
                <w:sz w:val="20"/>
                <w:szCs w:val="20"/>
                <w:u w:val="none"/>
                <w:lang w:val="en-US" w:eastAsia="zh-CN" w:bidi="ar"/>
              </w:rPr>
              <w:t>贸易伙伴名称</w:t>
            </w:r>
          </w:p>
        </w:tc>
        <w:tc>
          <w:tcPr>
            <w:tcW w:w="273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0"/>
                <w:szCs w:val="20"/>
                <w:u w:val="none"/>
              </w:rPr>
            </w:pPr>
            <w:r>
              <w:rPr>
                <w:rFonts w:hint="eastAsia" w:ascii="宋体" w:hAnsi="宋体" w:eastAsia="宋体" w:cs="宋体"/>
                <w:b/>
                <w:i w:val="0"/>
                <w:color w:val="2E363F"/>
                <w:kern w:val="0"/>
                <w:sz w:val="20"/>
                <w:szCs w:val="20"/>
                <w:u w:val="none"/>
                <w:lang w:val="en-US" w:eastAsia="zh-CN" w:bidi="ar"/>
              </w:rPr>
              <w:t>数量（吨）</w:t>
            </w:r>
          </w:p>
        </w:tc>
        <w:tc>
          <w:tcPr>
            <w:tcW w:w="108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0"/>
                <w:szCs w:val="20"/>
                <w:u w:val="none"/>
              </w:rPr>
            </w:pPr>
            <w:r>
              <w:rPr>
                <w:rFonts w:hint="eastAsia" w:ascii="宋体" w:hAnsi="宋体" w:eastAsia="宋体" w:cs="宋体"/>
                <w:b/>
                <w:i w:val="0"/>
                <w:color w:val="2E363F"/>
                <w:kern w:val="0"/>
                <w:sz w:val="20"/>
                <w:szCs w:val="20"/>
                <w:u w:val="none"/>
                <w:lang w:val="en-US" w:eastAsia="zh-CN" w:bidi="ar"/>
              </w:rPr>
              <w:t>所占比率</w:t>
            </w:r>
          </w:p>
        </w:tc>
        <w:tc>
          <w:tcPr>
            <w:tcW w:w="202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0"/>
                <w:szCs w:val="20"/>
                <w:u w:val="none"/>
              </w:rPr>
            </w:pPr>
            <w:r>
              <w:rPr>
                <w:rFonts w:hint="eastAsia" w:ascii="宋体" w:hAnsi="宋体" w:eastAsia="宋体" w:cs="宋体"/>
                <w:b/>
                <w:i w:val="0"/>
                <w:color w:val="2E363F"/>
                <w:kern w:val="0"/>
                <w:sz w:val="20"/>
                <w:szCs w:val="20"/>
                <w:u w:val="none"/>
                <w:lang w:val="en-US" w:eastAsia="zh-CN" w:bidi="ar"/>
              </w:rPr>
              <w:t>当月金额（元）</w:t>
            </w:r>
          </w:p>
        </w:tc>
        <w:tc>
          <w:tcPr>
            <w:tcW w:w="108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0"/>
                <w:szCs w:val="20"/>
                <w:u w:val="none"/>
              </w:rPr>
            </w:pPr>
            <w:r>
              <w:rPr>
                <w:rFonts w:hint="eastAsia" w:ascii="宋体" w:hAnsi="宋体" w:eastAsia="宋体" w:cs="宋体"/>
                <w:b/>
                <w:i w:val="0"/>
                <w:color w:val="2E363F"/>
                <w:kern w:val="0"/>
                <w:sz w:val="20"/>
                <w:szCs w:val="20"/>
                <w:u w:val="none"/>
                <w:lang w:val="en-US" w:eastAsia="zh-CN" w:bidi="ar"/>
              </w:rPr>
              <w:t>当月均价（元/吨）</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安提瓜和巴布达</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325215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2521.05</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澳大利亚</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145809.707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330776396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2268.55</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巴巴多斯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30051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2504.25</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巴哈马</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1466.279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3944970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2690.46</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巴拿马</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32424.924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82504262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2544.47</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白俄罗斯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2136.99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伯利兹</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580.66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1545081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2660.9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丹麦</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1809.15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4731931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2615.55</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5865132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2654.39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多哥</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267663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2676.63</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多米尼加共和国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908222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2671.24</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俄罗斯联邦</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268462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2684.62</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厄瓜多尔</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37715.098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81661175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2165.21</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1047756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2651.2</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菲律宾</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476878.59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1135811289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2381.76</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1043.462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2820825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2703.33</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荷兰</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675696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2699.54</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基里巴斯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54938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2746.9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喀麦隆</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134701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2777.34</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开曼群岛</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1181997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2761.68</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克罗地亚</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240412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2404.12</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利比里亚</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12370.96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32048932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2590.66</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马耳他</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3655.974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9771923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2672.86</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马绍尔群岛</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9949.338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26059275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2619.2</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480823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2404.12</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蒙古</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98.995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245745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2482.4</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孟加拉国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249883.983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586944523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2348.87</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缅甸</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16543.119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35351706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2136.94</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挪威</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709.4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1805035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2544.45</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帕劳</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194947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2670.51</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葡萄牙</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2248.397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5984769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2661.79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日本</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1818.597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4731977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2601.99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塞拉利昂</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425896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3178.33</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塞浦路斯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1843.704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4871264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2642.11</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沙特阿拉伯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308.186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810616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2630.28</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圣其茨和尼维斯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123545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2470.9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泰国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209.38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544093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2598.59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土耳其</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361274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2454.31</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危地马拉</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38080.375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79912576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2098.52</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希腊</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1012.715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2620524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2587.62</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127005.177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316694649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2493.56</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牙买加</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61362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2667.91</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意大利</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1125091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2642.3</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印度</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123545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2470.9</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3970.976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10443091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2629.85</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越南</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16512.065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42117069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2550.68</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中国澳门</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1986.535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4169689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2098.98</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中国台湾</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1448.783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3658096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2524.94</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中国香港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295214.967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697976495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2364.3</w:t>
            </w:r>
          </w:p>
        </w:tc>
      </w:tr>
      <w:tr>
        <w:tblPrEx>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FF"/>
                <w:sz w:val="20"/>
                <w:szCs w:val="20"/>
                <w:u w:val="none"/>
              </w:rPr>
            </w:pPr>
            <w:r>
              <w:rPr>
                <w:rFonts w:hint="eastAsia" w:ascii="宋体" w:hAnsi="宋体" w:eastAsia="宋体" w:cs="宋体"/>
                <w:b/>
                <w:i w:val="0"/>
                <w:color w:val="0000FF"/>
                <w:kern w:val="0"/>
                <w:sz w:val="20"/>
                <w:szCs w:val="20"/>
                <w:u w:val="none"/>
                <w:lang w:val="en-US" w:eastAsia="zh-CN" w:bidi="ar"/>
              </w:rPr>
              <w:t>合计</w:t>
            </w:r>
          </w:p>
        </w:tc>
        <w:tc>
          <w:tcPr>
            <w:tcW w:w="273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FF"/>
                <w:sz w:val="20"/>
                <w:szCs w:val="20"/>
                <w:u w:val="none"/>
              </w:rPr>
            </w:pPr>
            <w:r>
              <w:rPr>
                <w:rFonts w:hint="eastAsia" w:ascii="宋体" w:hAnsi="宋体" w:eastAsia="宋体" w:cs="宋体"/>
                <w:b/>
                <w:i w:val="0"/>
                <w:color w:val="0000FF"/>
                <w:kern w:val="0"/>
                <w:sz w:val="20"/>
                <w:szCs w:val="20"/>
                <w:u w:val="none"/>
                <w:lang w:val="en-US" w:eastAsia="zh-CN" w:bidi="ar"/>
              </w:rPr>
              <w:t>1487864.3</w:t>
            </w:r>
          </w:p>
        </w:tc>
        <w:tc>
          <w:tcPr>
            <w:tcW w:w="108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FF"/>
                <w:sz w:val="20"/>
                <w:szCs w:val="20"/>
                <w:u w:val="none"/>
              </w:rPr>
            </w:pPr>
            <w:r>
              <w:rPr>
                <w:rFonts w:hint="eastAsia" w:ascii="宋体" w:hAnsi="宋体" w:eastAsia="宋体" w:cs="宋体"/>
                <w:b/>
                <w:i w:val="0"/>
                <w:color w:val="0000FF"/>
                <w:kern w:val="0"/>
                <w:sz w:val="20"/>
                <w:szCs w:val="20"/>
                <w:u w:val="none"/>
                <w:lang w:val="en-US" w:eastAsia="zh-CN" w:bidi="ar"/>
              </w:rPr>
              <w:t>100%</w:t>
            </w:r>
          </w:p>
        </w:tc>
        <w:tc>
          <w:tcPr>
            <w:tcW w:w="2025"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FF"/>
                <w:sz w:val="20"/>
                <w:szCs w:val="20"/>
                <w:u w:val="none"/>
              </w:rPr>
            </w:pPr>
            <w:r>
              <w:rPr>
                <w:rFonts w:hint="eastAsia" w:ascii="宋体" w:hAnsi="宋体" w:eastAsia="宋体" w:cs="宋体"/>
                <w:b/>
                <w:i w:val="0"/>
                <w:color w:val="0000FF"/>
                <w:kern w:val="0"/>
                <w:sz w:val="20"/>
                <w:szCs w:val="20"/>
                <w:u w:val="none"/>
                <w:lang w:val="en-US" w:eastAsia="zh-CN" w:bidi="ar"/>
              </w:rPr>
              <w:t>3524517104</w:t>
            </w:r>
          </w:p>
        </w:tc>
        <w:tc>
          <w:tcPr>
            <w:tcW w:w="108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FF"/>
                <w:sz w:val="20"/>
                <w:szCs w:val="20"/>
                <w:u w:val="none"/>
              </w:rPr>
            </w:pPr>
            <w:r>
              <w:rPr>
                <w:rFonts w:hint="eastAsia" w:ascii="宋体" w:hAnsi="宋体" w:eastAsia="宋体" w:cs="宋体"/>
                <w:b/>
                <w:i w:val="0"/>
                <w:color w:val="0000FF"/>
                <w:kern w:val="0"/>
                <w:sz w:val="20"/>
                <w:szCs w:val="20"/>
                <w:u w:val="none"/>
                <w:lang w:val="en-US" w:eastAsia="zh-CN" w:bidi="ar"/>
              </w:rPr>
              <w:t>2368.84</w:t>
            </w:r>
          </w:p>
        </w:tc>
      </w:tr>
    </w:tbl>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25" w:name="_Toc23056"/>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12</w:t>
      </w:r>
      <w:r>
        <w:rPr>
          <w:rFonts w:hint="eastAsia" w:ascii="宋体" w:hAnsi="宋体"/>
          <w:b/>
          <w:sz w:val="30"/>
          <w:szCs w:val="30"/>
        </w:rPr>
        <w:t>月份全国原油进出口统计数据</w:t>
      </w:r>
      <w:bookmarkEnd w:id="25"/>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854" w:type="dxa"/>
        <w:tblInd w:w="0" w:type="dxa"/>
        <w:tblLayout w:type="fixed"/>
        <w:tblCellMar>
          <w:top w:w="0" w:type="dxa"/>
          <w:left w:w="108" w:type="dxa"/>
          <w:bottom w:w="0" w:type="dxa"/>
          <w:right w:w="108" w:type="dxa"/>
        </w:tblCellMar>
      </w:tblPr>
      <w:tblGrid>
        <w:gridCol w:w="517"/>
        <w:gridCol w:w="2505"/>
        <w:gridCol w:w="1946"/>
        <w:gridCol w:w="1884"/>
        <w:gridCol w:w="1884"/>
        <w:gridCol w:w="1118"/>
      </w:tblGrid>
      <w:tr>
        <w:tblPrEx>
          <w:tblCellMar>
            <w:top w:w="0" w:type="dxa"/>
            <w:left w:w="108" w:type="dxa"/>
            <w:bottom w:w="0" w:type="dxa"/>
            <w:right w:w="108" w:type="dxa"/>
          </w:tblCellMar>
        </w:tblPrEx>
        <w:trPr>
          <w:trHeight w:val="825" w:hRule="atLeast"/>
        </w:trPr>
        <w:tc>
          <w:tcPr>
            <w:tcW w:w="517" w:type="dxa"/>
            <w:tcBorders>
              <w:top w:val="single" w:color="333333" w:sz="8" w:space="0"/>
              <w:left w:val="nil"/>
              <w:bottom w:val="nil"/>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商品</w:t>
            </w:r>
          </w:p>
        </w:tc>
        <w:tc>
          <w:tcPr>
            <w:tcW w:w="2505"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国家</w:t>
            </w:r>
          </w:p>
        </w:tc>
        <w:tc>
          <w:tcPr>
            <w:tcW w:w="1946"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进口数量</w:t>
            </w:r>
          </w:p>
        </w:tc>
        <w:tc>
          <w:tcPr>
            <w:tcW w:w="1884"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计量单位</w:t>
            </w:r>
          </w:p>
        </w:tc>
        <w:tc>
          <w:tcPr>
            <w:tcW w:w="1884"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美元</w:t>
            </w:r>
          </w:p>
        </w:tc>
        <w:tc>
          <w:tcPr>
            <w:tcW w:w="1118"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均价</w:t>
            </w:r>
          </w:p>
        </w:tc>
      </w:tr>
      <w:tr>
        <w:tblPrEx>
          <w:tblCellMar>
            <w:top w:w="0" w:type="dxa"/>
            <w:left w:w="108" w:type="dxa"/>
            <w:bottom w:w="0" w:type="dxa"/>
            <w:right w:w="108" w:type="dxa"/>
          </w:tblCellMar>
        </w:tblPrEx>
        <w:trPr>
          <w:trHeight w:val="402" w:hRule="atLeast"/>
        </w:trPr>
        <w:tc>
          <w:tcPr>
            <w:tcW w:w="517" w:type="dxa"/>
            <w:vMerge w:val="restart"/>
            <w:tcBorders>
              <w:top w:val="single" w:color="auto" w:sz="8" w:space="0"/>
              <w:left w:val="single" w:color="auto" w:sz="8" w:space="0"/>
              <w:bottom w:val="single" w:color="000000" w:sz="8" w:space="0"/>
              <w:right w:val="single" w:color="auto" w:sz="8" w:space="0"/>
            </w:tcBorders>
            <w:shd w:val="clear" w:color="auto" w:fill="auto"/>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石油原油(包括从沥青矿物提取的原油)</w:t>
            </w: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沙特阿拉伯</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6938734.129</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2296972417</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331.036</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俄罗斯联邦</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6204928.518</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1999725441</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322.28</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安哥拉</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3825103.13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1241298758</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324.514</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美国</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3599057.578</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1233948760</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342.853</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科威特</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3183638.825</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1004536526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315.531</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伊拉克</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3178954.233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976015934</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307.024</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巴西</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2154408.173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666649981</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309.435</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阿曼</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1635573.416</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526509767</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321.911</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哥伦比亚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1149014.881</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325250181</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283.069</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马来西亚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1038049.714</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359705576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346.521</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挪威</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836432.999</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307726336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367.903</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阿联酋</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732583.565</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231669205</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316.236</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刚果(布)</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585281.245</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175769420</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300.316</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厄瓜多尔</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526472.595</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147821258</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280.777</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伊朗</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518758.218</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175971765</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339.217</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加蓬</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374465.433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123699336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330.336</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利比亚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276995.2</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98944617</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357.207</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加纳</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254171.84</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91247905</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359.001</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印度尼西亚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171041.123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57147746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334.117</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圭亚那</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143435.223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44488818</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310.167</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埃及</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138574.519</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47157649</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340.305</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阿塞拜疆</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138556.837</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52488345</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378.822</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卡塔尔</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128622.731</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43384539</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337.301</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喀麦隆</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126882.3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39681751</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312.745</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尼日利亚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125684</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40452634</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321.86</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赤道几内亚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125094.62</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33218303</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265.545</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刚果(金)</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124486</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41361427</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332.258</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加拿大</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79644.47</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23312448</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292.706</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文莱</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40604</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14534800</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357.965</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泰国</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40211.545</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13731888</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341.491</w:t>
            </w:r>
          </w:p>
        </w:tc>
      </w:tr>
      <w:tr>
        <w:tblPrEx>
          <w:tblCellMar>
            <w:top w:w="0" w:type="dxa"/>
            <w:left w:w="108" w:type="dxa"/>
            <w:bottom w:w="0" w:type="dxa"/>
            <w:right w:w="108" w:type="dxa"/>
          </w:tblCellMar>
        </w:tblPrEx>
        <w:trPr>
          <w:trHeight w:val="402"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哈萨克斯坦</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35513.83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9758670</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274.785</w:t>
            </w:r>
          </w:p>
        </w:tc>
      </w:tr>
      <w:tr>
        <w:tblPrEx>
          <w:tblCellMar>
            <w:top w:w="0" w:type="dxa"/>
            <w:left w:w="108" w:type="dxa"/>
            <w:bottom w:w="0" w:type="dxa"/>
            <w:right w:w="108" w:type="dxa"/>
          </w:tblCellMar>
        </w:tblPrEx>
        <w:trPr>
          <w:trHeight w:val="645"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蒙古</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33217.03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7877832</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237.162</w:t>
            </w:r>
          </w:p>
        </w:tc>
      </w:tr>
      <w:tr>
        <w:tblPrEx>
          <w:tblCellMar>
            <w:top w:w="0" w:type="dxa"/>
            <w:left w:w="108" w:type="dxa"/>
            <w:bottom w:w="0" w:type="dxa"/>
            <w:right w:w="108" w:type="dxa"/>
          </w:tblCellMar>
        </w:tblPrEx>
        <w:trPr>
          <w:trHeight w:val="405"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澳大利亚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4999.03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1577283</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315.518</w:t>
            </w:r>
          </w:p>
        </w:tc>
      </w:tr>
      <w:tr>
        <w:tblPrEx>
          <w:tblCellMar>
            <w:top w:w="0" w:type="dxa"/>
            <w:left w:w="108" w:type="dxa"/>
            <w:bottom w:w="0" w:type="dxa"/>
            <w:right w:w="108" w:type="dxa"/>
          </w:tblCellMar>
        </w:tblPrEx>
        <w:trPr>
          <w:trHeight w:val="405"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乍得</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0.046</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300</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6521.74</w:t>
            </w:r>
          </w:p>
        </w:tc>
      </w:tr>
      <w:tr>
        <w:tblPrEx>
          <w:tblCellMar>
            <w:top w:w="0" w:type="dxa"/>
            <w:left w:w="108" w:type="dxa"/>
            <w:bottom w:w="0" w:type="dxa"/>
            <w:right w:w="108" w:type="dxa"/>
          </w:tblCellMar>
        </w:tblPrEx>
        <w:trPr>
          <w:trHeight w:val="480" w:hRule="atLeast"/>
        </w:trPr>
        <w:tc>
          <w:tcPr>
            <w:tcW w:w="517"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2505"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总计</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38469191</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12453637616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323.73</w:t>
            </w:r>
          </w:p>
        </w:tc>
      </w:tr>
    </w:tbl>
    <w:p>
      <w:pPr>
        <w:keepNext w:val="0"/>
        <w:keepLines w:val="0"/>
        <w:widowControl/>
        <w:suppressLineNumbers w:val="0"/>
        <w:jc w:val="center"/>
        <w:textAlignment w:val="center"/>
        <w:rPr>
          <w:rFonts w:hint="eastAsia"/>
          <w:bCs/>
          <w:szCs w:val="21"/>
        </w:rPr>
      </w:pPr>
    </w:p>
    <w:p>
      <w:pPr>
        <w:jc w:val="center"/>
        <w:rPr>
          <w:rFonts w:hint="eastAsia"/>
          <w:bCs/>
          <w:szCs w:val="21"/>
        </w:rPr>
      </w:pPr>
    </w:p>
    <w:p>
      <w:pPr>
        <w:pStyle w:val="3"/>
        <w:spacing w:before="120" w:after="120" w:line="240" w:lineRule="auto"/>
        <w:rPr>
          <w:rFonts w:hint="eastAsia" w:ascii="宋体" w:hAnsi="宋体"/>
          <w:b/>
          <w:sz w:val="30"/>
          <w:szCs w:val="30"/>
        </w:rPr>
      </w:pPr>
      <w:bookmarkStart w:id="26" w:name="_Toc20776"/>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12</w:t>
      </w:r>
      <w:r>
        <w:rPr>
          <w:rFonts w:hint="eastAsia" w:ascii="宋体" w:hAnsi="宋体"/>
          <w:b/>
          <w:sz w:val="30"/>
          <w:szCs w:val="30"/>
        </w:rPr>
        <w:t>月份航空煤油进出口统计数据</w:t>
      </w:r>
      <w:bookmarkEnd w:id="26"/>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24"/>
    <w:tbl>
      <w:tblPr>
        <w:tblStyle w:val="24"/>
        <w:tblW w:w="10140" w:type="dxa"/>
        <w:tblInd w:w="0" w:type="dxa"/>
        <w:shd w:val="clear" w:color="auto" w:fill="auto"/>
        <w:tblLayout w:type="fixed"/>
        <w:tblCellMar>
          <w:top w:w="0" w:type="dxa"/>
          <w:left w:w="0" w:type="dxa"/>
          <w:bottom w:w="0" w:type="dxa"/>
          <w:right w:w="0" w:type="dxa"/>
        </w:tblCellMar>
      </w:tblPr>
      <w:tblGrid>
        <w:gridCol w:w="5235"/>
        <w:gridCol w:w="4905"/>
      </w:tblGrid>
      <w:tr>
        <w:tblPrEx>
          <w:shd w:val="clear" w:color="auto" w:fill="auto"/>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Style w:val="28"/>
                <w:rFonts w:hint="eastAsia" w:ascii="宋体" w:hAnsi="宋体" w:eastAsia="宋体" w:cs="宋体"/>
                <w:caps w:val="0"/>
                <w:color w:val="000000"/>
                <w:spacing w:val="0"/>
                <w:sz w:val="20"/>
                <w:szCs w:val="20"/>
              </w:rPr>
              <w:t>进口</w:t>
            </w:r>
          </w:p>
        </w:tc>
        <w:tc>
          <w:tcPr>
            <w:tcW w:w="4905"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Style w:val="28"/>
                <w:rFonts w:hint="eastAsia" w:ascii="宋体" w:hAnsi="宋体" w:eastAsia="宋体" w:cs="宋体"/>
                <w:caps w:val="0"/>
                <w:color w:val="000000"/>
                <w:spacing w:val="0"/>
                <w:sz w:val="20"/>
                <w:szCs w:val="20"/>
              </w:rPr>
              <w:t>出口</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12月进口量:239824.71（吨）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12月出口量:433403.17（吨）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累计进口量:2552554.347 (吨）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累计出口量:9976381.864（吨）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当月进口均价:2631.26（元/吨）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当月出口均价:2631.09（元/吨）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累计进口均价：2526.175（元/吨）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累计出口均价:2867.48（元/吨）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进口量环比:147.00%</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出口量环比：-6.21%</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进口量同比：-31.97%</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出口量同比：-77.27%</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累计进口量比去年同期：-18.47%</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累计出口量比去年同期：-36.47%</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06709E88"/>
    <w:multiLevelType w:val="singleLevel"/>
    <w:tmpl w:val="06709E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533173"/>
    <w:rsid w:val="0174199B"/>
    <w:rsid w:val="018C042F"/>
    <w:rsid w:val="019139BB"/>
    <w:rsid w:val="01A95B6A"/>
    <w:rsid w:val="01BD1D63"/>
    <w:rsid w:val="01ED4894"/>
    <w:rsid w:val="01F27845"/>
    <w:rsid w:val="01FE2CFE"/>
    <w:rsid w:val="02353D60"/>
    <w:rsid w:val="02526173"/>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62125"/>
    <w:rsid w:val="035F2635"/>
    <w:rsid w:val="036D5E24"/>
    <w:rsid w:val="037413B6"/>
    <w:rsid w:val="03A57F11"/>
    <w:rsid w:val="03A93E53"/>
    <w:rsid w:val="03C71B14"/>
    <w:rsid w:val="03C968EE"/>
    <w:rsid w:val="03EC30D3"/>
    <w:rsid w:val="040707FC"/>
    <w:rsid w:val="042972F1"/>
    <w:rsid w:val="042B4FB5"/>
    <w:rsid w:val="04331F6D"/>
    <w:rsid w:val="044D6C9D"/>
    <w:rsid w:val="044E5434"/>
    <w:rsid w:val="045E1E00"/>
    <w:rsid w:val="04684ED7"/>
    <w:rsid w:val="048101D3"/>
    <w:rsid w:val="048C7CAA"/>
    <w:rsid w:val="04987F00"/>
    <w:rsid w:val="04A45D71"/>
    <w:rsid w:val="04B04E89"/>
    <w:rsid w:val="04BF7371"/>
    <w:rsid w:val="04C829A7"/>
    <w:rsid w:val="04E22C17"/>
    <w:rsid w:val="04EE66C3"/>
    <w:rsid w:val="04F36106"/>
    <w:rsid w:val="04F4133B"/>
    <w:rsid w:val="05021B01"/>
    <w:rsid w:val="051E18E1"/>
    <w:rsid w:val="05292B71"/>
    <w:rsid w:val="052C0D66"/>
    <w:rsid w:val="052F18F0"/>
    <w:rsid w:val="05314FD7"/>
    <w:rsid w:val="0538191C"/>
    <w:rsid w:val="053B1A3D"/>
    <w:rsid w:val="05500555"/>
    <w:rsid w:val="0558720E"/>
    <w:rsid w:val="057F2A2A"/>
    <w:rsid w:val="05894C8A"/>
    <w:rsid w:val="05920A6B"/>
    <w:rsid w:val="05993019"/>
    <w:rsid w:val="05A63D05"/>
    <w:rsid w:val="05AA3E69"/>
    <w:rsid w:val="05C01E8E"/>
    <w:rsid w:val="05D0127E"/>
    <w:rsid w:val="05D36477"/>
    <w:rsid w:val="05D708A6"/>
    <w:rsid w:val="05F5542B"/>
    <w:rsid w:val="06002DF6"/>
    <w:rsid w:val="06153E6E"/>
    <w:rsid w:val="0618444D"/>
    <w:rsid w:val="06254A25"/>
    <w:rsid w:val="062A6CB4"/>
    <w:rsid w:val="06300679"/>
    <w:rsid w:val="063E0E8C"/>
    <w:rsid w:val="06471306"/>
    <w:rsid w:val="06762765"/>
    <w:rsid w:val="067746D4"/>
    <w:rsid w:val="067D4056"/>
    <w:rsid w:val="069C6A8D"/>
    <w:rsid w:val="069D265D"/>
    <w:rsid w:val="06B474E1"/>
    <w:rsid w:val="06B9287B"/>
    <w:rsid w:val="06DA3028"/>
    <w:rsid w:val="06E3294D"/>
    <w:rsid w:val="06F31CB3"/>
    <w:rsid w:val="06F93008"/>
    <w:rsid w:val="0718687A"/>
    <w:rsid w:val="071A60E7"/>
    <w:rsid w:val="071C4EDC"/>
    <w:rsid w:val="07243E5A"/>
    <w:rsid w:val="07252677"/>
    <w:rsid w:val="07272AF3"/>
    <w:rsid w:val="0759111C"/>
    <w:rsid w:val="07594F06"/>
    <w:rsid w:val="076C6634"/>
    <w:rsid w:val="07743510"/>
    <w:rsid w:val="07820AB4"/>
    <w:rsid w:val="07836EEE"/>
    <w:rsid w:val="07906BB7"/>
    <w:rsid w:val="079B346A"/>
    <w:rsid w:val="079D7717"/>
    <w:rsid w:val="07B872E0"/>
    <w:rsid w:val="07CC2D78"/>
    <w:rsid w:val="07CC4016"/>
    <w:rsid w:val="07D15C8A"/>
    <w:rsid w:val="07E05AA3"/>
    <w:rsid w:val="07E76A1F"/>
    <w:rsid w:val="07F17792"/>
    <w:rsid w:val="080158C0"/>
    <w:rsid w:val="0809715C"/>
    <w:rsid w:val="080A4814"/>
    <w:rsid w:val="0817293A"/>
    <w:rsid w:val="0820276D"/>
    <w:rsid w:val="082F1BCD"/>
    <w:rsid w:val="08573B5A"/>
    <w:rsid w:val="086F6B65"/>
    <w:rsid w:val="08A4401C"/>
    <w:rsid w:val="08A55AD2"/>
    <w:rsid w:val="08CA207E"/>
    <w:rsid w:val="08CD17C0"/>
    <w:rsid w:val="08DE60ED"/>
    <w:rsid w:val="08E21688"/>
    <w:rsid w:val="08EE777D"/>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C26D2C"/>
    <w:rsid w:val="09E0028A"/>
    <w:rsid w:val="09E31010"/>
    <w:rsid w:val="09ED009F"/>
    <w:rsid w:val="09F11ACB"/>
    <w:rsid w:val="09FB6243"/>
    <w:rsid w:val="0A047BEC"/>
    <w:rsid w:val="0A06506B"/>
    <w:rsid w:val="0A0A6618"/>
    <w:rsid w:val="0A1527C8"/>
    <w:rsid w:val="0A207C84"/>
    <w:rsid w:val="0A29795D"/>
    <w:rsid w:val="0A2A7E86"/>
    <w:rsid w:val="0A2D68BE"/>
    <w:rsid w:val="0A3C22BA"/>
    <w:rsid w:val="0A3D34F3"/>
    <w:rsid w:val="0A3F54A5"/>
    <w:rsid w:val="0A557C07"/>
    <w:rsid w:val="0A5B4AF5"/>
    <w:rsid w:val="0A75433E"/>
    <w:rsid w:val="0A796F7C"/>
    <w:rsid w:val="0A7B7455"/>
    <w:rsid w:val="0A951C4F"/>
    <w:rsid w:val="0AA33DAF"/>
    <w:rsid w:val="0AB608CB"/>
    <w:rsid w:val="0AC60296"/>
    <w:rsid w:val="0AD32487"/>
    <w:rsid w:val="0AD50553"/>
    <w:rsid w:val="0ADB26A0"/>
    <w:rsid w:val="0AE31AD5"/>
    <w:rsid w:val="0B017D09"/>
    <w:rsid w:val="0B0715B1"/>
    <w:rsid w:val="0B0F0B26"/>
    <w:rsid w:val="0B2C39A7"/>
    <w:rsid w:val="0B400CB2"/>
    <w:rsid w:val="0B421176"/>
    <w:rsid w:val="0B4B49C1"/>
    <w:rsid w:val="0B5D43F5"/>
    <w:rsid w:val="0B721C38"/>
    <w:rsid w:val="0B860805"/>
    <w:rsid w:val="0B945C54"/>
    <w:rsid w:val="0BA91AA1"/>
    <w:rsid w:val="0BB16187"/>
    <w:rsid w:val="0BCB6AF2"/>
    <w:rsid w:val="0BCE6861"/>
    <w:rsid w:val="0BDC4FBC"/>
    <w:rsid w:val="0BDF0A5F"/>
    <w:rsid w:val="0C08318F"/>
    <w:rsid w:val="0C1C163D"/>
    <w:rsid w:val="0C1E7ABD"/>
    <w:rsid w:val="0C206584"/>
    <w:rsid w:val="0C212EC8"/>
    <w:rsid w:val="0C2444B3"/>
    <w:rsid w:val="0C270CC3"/>
    <w:rsid w:val="0C3E0441"/>
    <w:rsid w:val="0C586B50"/>
    <w:rsid w:val="0C586E44"/>
    <w:rsid w:val="0C7F402D"/>
    <w:rsid w:val="0C822A19"/>
    <w:rsid w:val="0C930A24"/>
    <w:rsid w:val="0C9F5640"/>
    <w:rsid w:val="0CAA3B04"/>
    <w:rsid w:val="0CB81916"/>
    <w:rsid w:val="0CD123E3"/>
    <w:rsid w:val="0CE32FB8"/>
    <w:rsid w:val="0CE44838"/>
    <w:rsid w:val="0D206C21"/>
    <w:rsid w:val="0D731CA1"/>
    <w:rsid w:val="0D775B07"/>
    <w:rsid w:val="0D8323A4"/>
    <w:rsid w:val="0D893BAC"/>
    <w:rsid w:val="0D952410"/>
    <w:rsid w:val="0D9F3354"/>
    <w:rsid w:val="0DA370DA"/>
    <w:rsid w:val="0DA7099A"/>
    <w:rsid w:val="0DB01CE1"/>
    <w:rsid w:val="0DBA1705"/>
    <w:rsid w:val="0DC46B30"/>
    <w:rsid w:val="0DC9706D"/>
    <w:rsid w:val="0DD115AA"/>
    <w:rsid w:val="0DD27705"/>
    <w:rsid w:val="0DEA06F6"/>
    <w:rsid w:val="0DEA1ECA"/>
    <w:rsid w:val="0E01030B"/>
    <w:rsid w:val="0E04318C"/>
    <w:rsid w:val="0E274301"/>
    <w:rsid w:val="0E31785B"/>
    <w:rsid w:val="0E357D47"/>
    <w:rsid w:val="0E5C0982"/>
    <w:rsid w:val="0E730195"/>
    <w:rsid w:val="0E7675E6"/>
    <w:rsid w:val="0E803657"/>
    <w:rsid w:val="0E8B35C9"/>
    <w:rsid w:val="0E9742FB"/>
    <w:rsid w:val="0E9E354A"/>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A41FA"/>
    <w:rsid w:val="0F962DED"/>
    <w:rsid w:val="0F9B4E2A"/>
    <w:rsid w:val="0FA45D17"/>
    <w:rsid w:val="0FB045CC"/>
    <w:rsid w:val="0FC910AB"/>
    <w:rsid w:val="0FCA36AC"/>
    <w:rsid w:val="0FD23F99"/>
    <w:rsid w:val="0FE34C1B"/>
    <w:rsid w:val="0FE35E2C"/>
    <w:rsid w:val="0FEF79AA"/>
    <w:rsid w:val="101B677C"/>
    <w:rsid w:val="101C7D06"/>
    <w:rsid w:val="101F6270"/>
    <w:rsid w:val="1024515A"/>
    <w:rsid w:val="1037062C"/>
    <w:rsid w:val="1046198D"/>
    <w:rsid w:val="104E6FC1"/>
    <w:rsid w:val="105F3A71"/>
    <w:rsid w:val="106D475B"/>
    <w:rsid w:val="108362B8"/>
    <w:rsid w:val="108C4660"/>
    <w:rsid w:val="10957382"/>
    <w:rsid w:val="10BA0A0E"/>
    <w:rsid w:val="10CE39DE"/>
    <w:rsid w:val="10FA6B68"/>
    <w:rsid w:val="10FF5E5F"/>
    <w:rsid w:val="11190B98"/>
    <w:rsid w:val="11247901"/>
    <w:rsid w:val="11365062"/>
    <w:rsid w:val="11422692"/>
    <w:rsid w:val="11590029"/>
    <w:rsid w:val="117F7F48"/>
    <w:rsid w:val="11CA3B0B"/>
    <w:rsid w:val="11F843DE"/>
    <w:rsid w:val="121446A8"/>
    <w:rsid w:val="12320E5B"/>
    <w:rsid w:val="124E5846"/>
    <w:rsid w:val="1265739D"/>
    <w:rsid w:val="12662947"/>
    <w:rsid w:val="127E2138"/>
    <w:rsid w:val="128771AE"/>
    <w:rsid w:val="12A84E60"/>
    <w:rsid w:val="12BE2ADE"/>
    <w:rsid w:val="12D52D83"/>
    <w:rsid w:val="12D61BB4"/>
    <w:rsid w:val="12D8263D"/>
    <w:rsid w:val="12F6517F"/>
    <w:rsid w:val="13086577"/>
    <w:rsid w:val="130B16E4"/>
    <w:rsid w:val="13267B35"/>
    <w:rsid w:val="134A6D86"/>
    <w:rsid w:val="13594CF7"/>
    <w:rsid w:val="135A728A"/>
    <w:rsid w:val="1367698A"/>
    <w:rsid w:val="13772D89"/>
    <w:rsid w:val="138744BB"/>
    <w:rsid w:val="13AA18EC"/>
    <w:rsid w:val="13B45FC3"/>
    <w:rsid w:val="13C924DB"/>
    <w:rsid w:val="13DB164D"/>
    <w:rsid w:val="13E7373B"/>
    <w:rsid w:val="13EC16FF"/>
    <w:rsid w:val="13F712B9"/>
    <w:rsid w:val="13FE142E"/>
    <w:rsid w:val="14176463"/>
    <w:rsid w:val="144B6D3F"/>
    <w:rsid w:val="14522844"/>
    <w:rsid w:val="14546EAA"/>
    <w:rsid w:val="147759A4"/>
    <w:rsid w:val="147A75E5"/>
    <w:rsid w:val="14997CF1"/>
    <w:rsid w:val="149C7CF0"/>
    <w:rsid w:val="14BC21CE"/>
    <w:rsid w:val="14BE2339"/>
    <w:rsid w:val="14BF4DCE"/>
    <w:rsid w:val="14CD3607"/>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A274D"/>
    <w:rsid w:val="154B5C10"/>
    <w:rsid w:val="154F205D"/>
    <w:rsid w:val="15615E0F"/>
    <w:rsid w:val="156D2843"/>
    <w:rsid w:val="15701AB8"/>
    <w:rsid w:val="15786279"/>
    <w:rsid w:val="15892652"/>
    <w:rsid w:val="159001BC"/>
    <w:rsid w:val="15965FE2"/>
    <w:rsid w:val="15AA23F1"/>
    <w:rsid w:val="15B1437C"/>
    <w:rsid w:val="15B939D5"/>
    <w:rsid w:val="15D83B2E"/>
    <w:rsid w:val="15DD70EA"/>
    <w:rsid w:val="15E11AB3"/>
    <w:rsid w:val="15E25134"/>
    <w:rsid w:val="15E8785D"/>
    <w:rsid w:val="160025BB"/>
    <w:rsid w:val="16113EF1"/>
    <w:rsid w:val="16116F4B"/>
    <w:rsid w:val="161D05B7"/>
    <w:rsid w:val="162E280E"/>
    <w:rsid w:val="164206BE"/>
    <w:rsid w:val="16446BD7"/>
    <w:rsid w:val="16600954"/>
    <w:rsid w:val="166969D8"/>
    <w:rsid w:val="16734EEE"/>
    <w:rsid w:val="1691331C"/>
    <w:rsid w:val="16B0271F"/>
    <w:rsid w:val="16D82413"/>
    <w:rsid w:val="16DC7206"/>
    <w:rsid w:val="16E22B33"/>
    <w:rsid w:val="16EF1899"/>
    <w:rsid w:val="16F85570"/>
    <w:rsid w:val="16FA58EE"/>
    <w:rsid w:val="17116BE2"/>
    <w:rsid w:val="17194D7A"/>
    <w:rsid w:val="172078E9"/>
    <w:rsid w:val="172D12A6"/>
    <w:rsid w:val="17350283"/>
    <w:rsid w:val="173C1948"/>
    <w:rsid w:val="17464B66"/>
    <w:rsid w:val="175B5D81"/>
    <w:rsid w:val="17652D76"/>
    <w:rsid w:val="177742FF"/>
    <w:rsid w:val="177778D5"/>
    <w:rsid w:val="177C4324"/>
    <w:rsid w:val="179E41EC"/>
    <w:rsid w:val="17BD7A6D"/>
    <w:rsid w:val="17FE3268"/>
    <w:rsid w:val="18296936"/>
    <w:rsid w:val="182A5943"/>
    <w:rsid w:val="186022DC"/>
    <w:rsid w:val="186453BA"/>
    <w:rsid w:val="18704C74"/>
    <w:rsid w:val="187F1331"/>
    <w:rsid w:val="18AD026B"/>
    <w:rsid w:val="18B70A2B"/>
    <w:rsid w:val="18CA2202"/>
    <w:rsid w:val="18CA4E8D"/>
    <w:rsid w:val="18FC46F8"/>
    <w:rsid w:val="190E26FF"/>
    <w:rsid w:val="191B1724"/>
    <w:rsid w:val="19254E9B"/>
    <w:rsid w:val="19383C89"/>
    <w:rsid w:val="194573ED"/>
    <w:rsid w:val="195D29F2"/>
    <w:rsid w:val="196272D4"/>
    <w:rsid w:val="196465FF"/>
    <w:rsid w:val="196B6E10"/>
    <w:rsid w:val="198154A5"/>
    <w:rsid w:val="19850C75"/>
    <w:rsid w:val="19856830"/>
    <w:rsid w:val="198A3D94"/>
    <w:rsid w:val="198F27F8"/>
    <w:rsid w:val="199C5ECD"/>
    <w:rsid w:val="19B1121F"/>
    <w:rsid w:val="19E14ABD"/>
    <w:rsid w:val="19F07148"/>
    <w:rsid w:val="1A031971"/>
    <w:rsid w:val="1A051BC1"/>
    <w:rsid w:val="1A055302"/>
    <w:rsid w:val="1A11011E"/>
    <w:rsid w:val="1A110D84"/>
    <w:rsid w:val="1A2B0F11"/>
    <w:rsid w:val="1A2C43DF"/>
    <w:rsid w:val="1A372CD4"/>
    <w:rsid w:val="1A555BDB"/>
    <w:rsid w:val="1A660755"/>
    <w:rsid w:val="1A703BC4"/>
    <w:rsid w:val="1A7262E8"/>
    <w:rsid w:val="1A882B3D"/>
    <w:rsid w:val="1A896854"/>
    <w:rsid w:val="1A964171"/>
    <w:rsid w:val="1AB162F9"/>
    <w:rsid w:val="1ABE2D20"/>
    <w:rsid w:val="1ACC4B7F"/>
    <w:rsid w:val="1AD34CD1"/>
    <w:rsid w:val="1AD417D6"/>
    <w:rsid w:val="1AE72378"/>
    <w:rsid w:val="1AE7665A"/>
    <w:rsid w:val="1AF74A59"/>
    <w:rsid w:val="1B111CB0"/>
    <w:rsid w:val="1B393D9E"/>
    <w:rsid w:val="1B3F0566"/>
    <w:rsid w:val="1B5A0EC6"/>
    <w:rsid w:val="1B5C3BD7"/>
    <w:rsid w:val="1B5F0C8F"/>
    <w:rsid w:val="1B743284"/>
    <w:rsid w:val="1B816F9A"/>
    <w:rsid w:val="1B8175D6"/>
    <w:rsid w:val="1B9C1B61"/>
    <w:rsid w:val="1BB46A20"/>
    <w:rsid w:val="1BB93222"/>
    <w:rsid w:val="1BBD6973"/>
    <w:rsid w:val="1BE24098"/>
    <w:rsid w:val="1BE81B85"/>
    <w:rsid w:val="1BF27AE1"/>
    <w:rsid w:val="1BFE2971"/>
    <w:rsid w:val="1C01336C"/>
    <w:rsid w:val="1C021382"/>
    <w:rsid w:val="1C081DD0"/>
    <w:rsid w:val="1C1669BA"/>
    <w:rsid w:val="1C1C3102"/>
    <w:rsid w:val="1C2230E8"/>
    <w:rsid w:val="1C251540"/>
    <w:rsid w:val="1C2E2C8D"/>
    <w:rsid w:val="1C6C7614"/>
    <w:rsid w:val="1C795B0B"/>
    <w:rsid w:val="1CB31F52"/>
    <w:rsid w:val="1CC609D9"/>
    <w:rsid w:val="1CDC7753"/>
    <w:rsid w:val="1CE6684D"/>
    <w:rsid w:val="1CEC4A0D"/>
    <w:rsid w:val="1D1712A0"/>
    <w:rsid w:val="1D2B7B9F"/>
    <w:rsid w:val="1D305274"/>
    <w:rsid w:val="1D3F5714"/>
    <w:rsid w:val="1D466011"/>
    <w:rsid w:val="1D487015"/>
    <w:rsid w:val="1D5133E5"/>
    <w:rsid w:val="1D547E28"/>
    <w:rsid w:val="1D5B57EE"/>
    <w:rsid w:val="1D606070"/>
    <w:rsid w:val="1D655DB6"/>
    <w:rsid w:val="1D980258"/>
    <w:rsid w:val="1D9C1F14"/>
    <w:rsid w:val="1DB113DA"/>
    <w:rsid w:val="1DFB4E0B"/>
    <w:rsid w:val="1E196DA1"/>
    <w:rsid w:val="1E2278F4"/>
    <w:rsid w:val="1E4062B7"/>
    <w:rsid w:val="1E450B99"/>
    <w:rsid w:val="1E5542CC"/>
    <w:rsid w:val="1E64791C"/>
    <w:rsid w:val="1E6D6ABE"/>
    <w:rsid w:val="1E755624"/>
    <w:rsid w:val="1E8C73FA"/>
    <w:rsid w:val="1E9E3D33"/>
    <w:rsid w:val="1EAA616E"/>
    <w:rsid w:val="1EB15364"/>
    <w:rsid w:val="1EB20356"/>
    <w:rsid w:val="1EBE2AB5"/>
    <w:rsid w:val="1EC81089"/>
    <w:rsid w:val="1EDD703F"/>
    <w:rsid w:val="1F092A2D"/>
    <w:rsid w:val="1F1162FE"/>
    <w:rsid w:val="1F1C0B32"/>
    <w:rsid w:val="1F352B32"/>
    <w:rsid w:val="1F4A096C"/>
    <w:rsid w:val="1F5A5945"/>
    <w:rsid w:val="1F6B3A34"/>
    <w:rsid w:val="1F751CBE"/>
    <w:rsid w:val="1F7D6B10"/>
    <w:rsid w:val="1F963D6D"/>
    <w:rsid w:val="1F98363F"/>
    <w:rsid w:val="1FA70F8C"/>
    <w:rsid w:val="1FBF488C"/>
    <w:rsid w:val="1FC55B54"/>
    <w:rsid w:val="1FCD7450"/>
    <w:rsid w:val="1FCD7675"/>
    <w:rsid w:val="1FD377B1"/>
    <w:rsid w:val="1FDC18BC"/>
    <w:rsid w:val="1FEB4C55"/>
    <w:rsid w:val="1FEF77E1"/>
    <w:rsid w:val="1FFC155B"/>
    <w:rsid w:val="20010BD0"/>
    <w:rsid w:val="200B266C"/>
    <w:rsid w:val="20137C9A"/>
    <w:rsid w:val="20261774"/>
    <w:rsid w:val="202A3AEF"/>
    <w:rsid w:val="203A4D2E"/>
    <w:rsid w:val="204030A0"/>
    <w:rsid w:val="205B78B2"/>
    <w:rsid w:val="205C4184"/>
    <w:rsid w:val="206558CE"/>
    <w:rsid w:val="206901B1"/>
    <w:rsid w:val="206B1575"/>
    <w:rsid w:val="2078018B"/>
    <w:rsid w:val="209323D8"/>
    <w:rsid w:val="209327AA"/>
    <w:rsid w:val="20AD55FF"/>
    <w:rsid w:val="20C12FDC"/>
    <w:rsid w:val="20C55A62"/>
    <w:rsid w:val="20EA7590"/>
    <w:rsid w:val="211001E9"/>
    <w:rsid w:val="21147D43"/>
    <w:rsid w:val="2119067D"/>
    <w:rsid w:val="211F5020"/>
    <w:rsid w:val="21216F1B"/>
    <w:rsid w:val="2123407B"/>
    <w:rsid w:val="21320B64"/>
    <w:rsid w:val="21370E12"/>
    <w:rsid w:val="21432F9F"/>
    <w:rsid w:val="214F55E4"/>
    <w:rsid w:val="215A4604"/>
    <w:rsid w:val="217C7ED4"/>
    <w:rsid w:val="21862B07"/>
    <w:rsid w:val="218A1EF5"/>
    <w:rsid w:val="21973788"/>
    <w:rsid w:val="219A3406"/>
    <w:rsid w:val="21A70D61"/>
    <w:rsid w:val="21B2244C"/>
    <w:rsid w:val="21C30EF9"/>
    <w:rsid w:val="21CB7C2D"/>
    <w:rsid w:val="21D956E3"/>
    <w:rsid w:val="21EF7C0A"/>
    <w:rsid w:val="221551D8"/>
    <w:rsid w:val="224441F7"/>
    <w:rsid w:val="224E7428"/>
    <w:rsid w:val="2261560B"/>
    <w:rsid w:val="227918A6"/>
    <w:rsid w:val="22944164"/>
    <w:rsid w:val="229674ED"/>
    <w:rsid w:val="22AC485D"/>
    <w:rsid w:val="22D174A6"/>
    <w:rsid w:val="22D2551D"/>
    <w:rsid w:val="22E67532"/>
    <w:rsid w:val="230F16FC"/>
    <w:rsid w:val="231C2E7E"/>
    <w:rsid w:val="232A4048"/>
    <w:rsid w:val="233344E4"/>
    <w:rsid w:val="2337735C"/>
    <w:rsid w:val="23384D61"/>
    <w:rsid w:val="23392A7A"/>
    <w:rsid w:val="235336A2"/>
    <w:rsid w:val="236765E1"/>
    <w:rsid w:val="23817C48"/>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4E234FE"/>
    <w:rsid w:val="24F86BA3"/>
    <w:rsid w:val="250D3E66"/>
    <w:rsid w:val="252754C5"/>
    <w:rsid w:val="252D0E2C"/>
    <w:rsid w:val="252D3F69"/>
    <w:rsid w:val="253C0FBD"/>
    <w:rsid w:val="2547370A"/>
    <w:rsid w:val="25585795"/>
    <w:rsid w:val="25740BBD"/>
    <w:rsid w:val="25955E96"/>
    <w:rsid w:val="259B6E31"/>
    <w:rsid w:val="259E33E1"/>
    <w:rsid w:val="25A07C39"/>
    <w:rsid w:val="25AF1FA5"/>
    <w:rsid w:val="25B677AD"/>
    <w:rsid w:val="25B904A8"/>
    <w:rsid w:val="25E06259"/>
    <w:rsid w:val="25FD0304"/>
    <w:rsid w:val="2606044C"/>
    <w:rsid w:val="26090E12"/>
    <w:rsid w:val="261447E7"/>
    <w:rsid w:val="26162D47"/>
    <w:rsid w:val="26313BB1"/>
    <w:rsid w:val="26417898"/>
    <w:rsid w:val="26442276"/>
    <w:rsid w:val="26444B63"/>
    <w:rsid w:val="264D7096"/>
    <w:rsid w:val="26552532"/>
    <w:rsid w:val="26671EE8"/>
    <w:rsid w:val="2692422E"/>
    <w:rsid w:val="269F6889"/>
    <w:rsid w:val="26AD0D8B"/>
    <w:rsid w:val="26C17431"/>
    <w:rsid w:val="26C27EC9"/>
    <w:rsid w:val="26C545A4"/>
    <w:rsid w:val="26C94300"/>
    <w:rsid w:val="26DF7D7C"/>
    <w:rsid w:val="26EE1723"/>
    <w:rsid w:val="26F154C7"/>
    <w:rsid w:val="26FD7030"/>
    <w:rsid w:val="27007370"/>
    <w:rsid w:val="27080E2E"/>
    <w:rsid w:val="270D21C6"/>
    <w:rsid w:val="270D2595"/>
    <w:rsid w:val="27251F41"/>
    <w:rsid w:val="273301A4"/>
    <w:rsid w:val="277F5A23"/>
    <w:rsid w:val="279E36DD"/>
    <w:rsid w:val="27A7464B"/>
    <w:rsid w:val="27EA2797"/>
    <w:rsid w:val="28011EB5"/>
    <w:rsid w:val="28092464"/>
    <w:rsid w:val="2810409B"/>
    <w:rsid w:val="282013B4"/>
    <w:rsid w:val="282B47A7"/>
    <w:rsid w:val="282C5A3A"/>
    <w:rsid w:val="283F32F7"/>
    <w:rsid w:val="2855423F"/>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617AC"/>
    <w:rsid w:val="29D84ABC"/>
    <w:rsid w:val="29F5410D"/>
    <w:rsid w:val="2A091D0A"/>
    <w:rsid w:val="2A0D39C3"/>
    <w:rsid w:val="2A1503FE"/>
    <w:rsid w:val="2A194990"/>
    <w:rsid w:val="2A215E5E"/>
    <w:rsid w:val="2A252C4C"/>
    <w:rsid w:val="2A3E7B5A"/>
    <w:rsid w:val="2A6B55C6"/>
    <w:rsid w:val="2A8475EE"/>
    <w:rsid w:val="2A951C8C"/>
    <w:rsid w:val="2A953E86"/>
    <w:rsid w:val="2A9B26F1"/>
    <w:rsid w:val="2AA81E53"/>
    <w:rsid w:val="2AA82B74"/>
    <w:rsid w:val="2AB25451"/>
    <w:rsid w:val="2AC063B7"/>
    <w:rsid w:val="2ACB5B48"/>
    <w:rsid w:val="2ACD0874"/>
    <w:rsid w:val="2AD267B8"/>
    <w:rsid w:val="2AD8059C"/>
    <w:rsid w:val="2B0A5818"/>
    <w:rsid w:val="2B0D737C"/>
    <w:rsid w:val="2B0F004D"/>
    <w:rsid w:val="2B154A20"/>
    <w:rsid w:val="2B1B5BFD"/>
    <w:rsid w:val="2B380E7B"/>
    <w:rsid w:val="2B574357"/>
    <w:rsid w:val="2B5F5BE1"/>
    <w:rsid w:val="2B6638DE"/>
    <w:rsid w:val="2B843D59"/>
    <w:rsid w:val="2B84406F"/>
    <w:rsid w:val="2B8B518F"/>
    <w:rsid w:val="2B8F58E2"/>
    <w:rsid w:val="2BA07FAD"/>
    <w:rsid w:val="2BBF0DDA"/>
    <w:rsid w:val="2BE5055C"/>
    <w:rsid w:val="2BED5A7C"/>
    <w:rsid w:val="2BF858F4"/>
    <w:rsid w:val="2BFC3C2B"/>
    <w:rsid w:val="2BFC6315"/>
    <w:rsid w:val="2BFD5564"/>
    <w:rsid w:val="2C054251"/>
    <w:rsid w:val="2C2E0403"/>
    <w:rsid w:val="2C4C1107"/>
    <w:rsid w:val="2C7C5CC5"/>
    <w:rsid w:val="2C811341"/>
    <w:rsid w:val="2C823F4E"/>
    <w:rsid w:val="2C9D3080"/>
    <w:rsid w:val="2CAD067B"/>
    <w:rsid w:val="2CFD0FC0"/>
    <w:rsid w:val="2D050EBF"/>
    <w:rsid w:val="2D2009C3"/>
    <w:rsid w:val="2D2A25A1"/>
    <w:rsid w:val="2D2A51E4"/>
    <w:rsid w:val="2D3059BC"/>
    <w:rsid w:val="2D4D17E5"/>
    <w:rsid w:val="2D6F58D8"/>
    <w:rsid w:val="2D892B5C"/>
    <w:rsid w:val="2DAF27D1"/>
    <w:rsid w:val="2DB328B9"/>
    <w:rsid w:val="2DC6450C"/>
    <w:rsid w:val="2DD85082"/>
    <w:rsid w:val="2DE11692"/>
    <w:rsid w:val="2DF24F64"/>
    <w:rsid w:val="2DF5641D"/>
    <w:rsid w:val="2DF644E3"/>
    <w:rsid w:val="2E0D40F5"/>
    <w:rsid w:val="2E2F56E6"/>
    <w:rsid w:val="2E4A7323"/>
    <w:rsid w:val="2E682AAC"/>
    <w:rsid w:val="2E6D230F"/>
    <w:rsid w:val="2E7D543E"/>
    <w:rsid w:val="2E8C2DE3"/>
    <w:rsid w:val="2E942C46"/>
    <w:rsid w:val="2E98229F"/>
    <w:rsid w:val="2EA56E95"/>
    <w:rsid w:val="2EA673C9"/>
    <w:rsid w:val="2EAF1D1D"/>
    <w:rsid w:val="2EC0096E"/>
    <w:rsid w:val="2ECA710C"/>
    <w:rsid w:val="2ED4404D"/>
    <w:rsid w:val="2ED50475"/>
    <w:rsid w:val="2EE365C8"/>
    <w:rsid w:val="2F090AB4"/>
    <w:rsid w:val="2F13732E"/>
    <w:rsid w:val="2F2F2D16"/>
    <w:rsid w:val="2F336BA3"/>
    <w:rsid w:val="2F5621A6"/>
    <w:rsid w:val="2F66411F"/>
    <w:rsid w:val="2F9E2267"/>
    <w:rsid w:val="2FA5716E"/>
    <w:rsid w:val="2FB91769"/>
    <w:rsid w:val="2FBE7D06"/>
    <w:rsid w:val="2FCD4219"/>
    <w:rsid w:val="2FD85581"/>
    <w:rsid w:val="2FE37EAB"/>
    <w:rsid w:val="2FE513F6"/>
    <w:rsid w:val="2FE91ED2"/>
    <w:rsid w:val="2FEC28E9"/>
    <w:rsid w:val="2FF22D62"/>
    <w:rsid w:val="30037E76"/>
    <w:rsid w:val="300B0CEC"/>
    <w:rsid w:val="30173C95"/>
    <w:rsid w:val="301B31E2"/>
    <w:rsid w:val="302909D7"/>
    <w:rsid w:val="30320AA9"/>
    <w:rsid w:val="30427218"/>
    <w:rsid w:val="3055125A"/>
    <w:rsid w:val="30664FDE"/>
    <w:rsid w:val="309E4811"/>
    <w:rsid w:val="30A00CB5"/>
    <w:rsid w:val="30AF5F22"/>
    <w:rsid w:val="30C14186"/>
    <w:rsid w:val="30D71496"/>
    <w:rsid w:val="30DC0703"/>
    <w:rsid w:val="30E73B0D"/>
    <w:rsid w:val="30F74C53"/>
    <w:rsid w:val="30FC61C2"/>
    <w:rsid w:val="30FD55E0"/>
    <w:rsid w:val="31030DD2"/>
    <w:rsid w:val="310F6F60"/>
    <w:rsid w:val="311333E6"/>
    <w:rsid w:val="311467EF"/>
    <w:rsid w:val="31162712"/>
    <w:rsid w:val="311A24D7"/>
    <w:rsid w:val="31363ABC"/>
    <w:rsid w:val="314614BA"/>
    <w:rsid w:val="31490B7D"/>
    <w:rsid w:val="3153679E"/>
    <w:rsid w:val="315F2471"/>
    <w:rsid w:val="3177458F"/>
    <w:rsid w:val="3189708E"/>
    <w:rsid w:val="318B1F3D"/>
    <w:rsid w:val="3193741E"/>
    <w:rsid w:val="319434F7"/>
    <w:rsid w:val="31994D00"/>
    <w:rsid w:val="31A65E57"/>
    <w:rsid w:val="31AD16EF"/>
    <w:rsid w:val="31AE660C"/>
    <w:rsid w:val="31B05A1F"/>
    <w:rsid w:val="31B17EF2"/>
    <w:rsid w:val="31E155AC"/>
    <w:rsid w:val="31E361FB"/>
    <w:rsid w:val="31FC35FB"/>
    <w:rsid w:val="32010D04"/>
    <w:rsid w:val="3202665F"/>
    <w:rsid w:val="320A7836"/>
    <w:rsid w:val="323C3FDE"/>
    <w:rsid w:val="324163CA"/>
    <w:rsid w:val="32574FD8"/>
    <w:rsid w:val="325C547C"/>
    <w:rsid w:val="32646DB1"/>
    <w:rsid w:val="326C29F6"/>
    <w:rsid w:val="327C3888"/>
    <w:rsid w:val="329338D7"/>
    <w:rsid w:val="32945DAC"/>
    <w:rsid w:val="329B3155"/>
    <w:rsid w:val="329C631F"/>
    <w:rsid w:val="32A24DE0"/>
    <w:rsid w:val="32AB0897"/>
    <w:rsid w:val="32AE266E"/>
    <w:rsid w:val="32CB3A84"/>
    <w:rsid w:val="32CE45BC"/>
    <w:rsid w:val="32D9201A"/>
    <w:rsid w:val="32E42D0F"/>
    <w:rsid w:val="32E779A4"/>
    <w:rsid w:val="330D4D94"/>
    <w:rsid w:val="33435E16"/>
    <w:rsid w:val="335F11B3"/>
    <w:rsid w:val="337B12FB"/>
    <w:rsid w:val="33846435"/>
    <w:rsid w:val="339C5454"/>
    <w:rsid w:val="33A258FF"/>
    <w:rsid w:val="33D354DF"/>
    <w:rsid w:val="33DD1D83"/>
    <w:rsid w:val="33FC5F9C"/>
    <w:rsid w:val="34005D95"/>
    <w:rsid w:val="340370F4"/>
    <w:rsid w:val="34173060"/>
    <w:rsid w:val="342451AA"/>
    <w:rsid w:val="3425323C"/>
    <w:rsid w:val="342E5EA7"/>
    <w:rsid w:val="343E0BAC"/>
    <w:rsid w:val="34474FF1"/>
    <w:rsid w:val="344B3651"/>
    <w:rsid w:val="34555269"/>
    <w:rsid w:val="346B6657"/>
    <w:rsid w:val="34827541"/>
    <w:rsid w:val="34B63281"/>
    <w:rsid w:val="34C105B0"/>
    <w:rsid w:val="34CA39B2"/>
    <w:rsid w:val="34D564C3"/>
    <w:rsid w:val="34DC79C0"/>
    <w:rsid w:val="34E32E56"/>
    <w:rsid w:val="34EC4B86"/>
    <w:rsid w:val="351321CB"/>
    <w:rsid w:val="35367A72"/>
    <w:rsid w:val="355171EC"/>
    <w:rsid w:val="355E299F"/>
    <w:rsid w:val="355E6D49"/>
    <w:rsid w:val="35671EE7"/>
    <w:rsid w:val="3572663B"/>
    <w:rsid w:val="357D4C50"/>
    <w:rsid w:val="3591419B"/>
    <w:rsid w:val="35925B04"/>
    <w:rsid w:val="35963717"/>
    <w:rsid w:val="35AF3549"/>
    <w:rsid w:val="35CA49CB"/>
    <w:rsid w:val="35DA5213"/>
    <w:rsid w:val="35EE7B1B"/>
    <w:rsid w:val="35F65FAD"/>
    <w:rsid w:val="36202050"/>
    <w:rsid w:val="364A7C84"/>
    <w:rsid w:val="36605016"/>
    <w:rsid w:val="366B7A53"/>
    <w:rsid w:val="366D649A"/>
    <w:rsid w:val="368259EE"/>
    <w:rsid w:val="3689301E"/>
    <w:rsid w:val="369C7E5C"/>
    <w:rsid w:val="36A22949"/>
    <w:rsid w:val="36B523AB"/>
    <w:rsid w:val="36C76D40"/>
    <w:rsid w:val="36F44E23"/>
    <w:rsid w:val="371D2966"/>
    <w:rsid w:val="373062E8"/>
    <w:rsid w:val="375C1AC9"/>
    <w:rsid w:val="37770231"/>
    <w:rsid w:val="37785098"/>
    <w:rsid w:val="377E7331"/>
    <w:rsid w:val="379038C8"/>
    <w:rsid w:val="379B1E6C"/>
    <w:rsid w:val="379D002A"/>
    <w:rsid w:val="37A6234C"/>
    <w:rsid w:val="37A907BA"/>
    <w:rsid w:val="37AF1535"/>
    <w:rsid w:val="37CA63F2"/>
    <w:rsid w:val="37CB57CA"/>
    <w:rsid w:val="37D337D1"/>
    <w:rsid w:val="37DD56C2"/>
    <w:rsid w:val="37DE20F8"/>
    <w:rsid w:val="37F16302"/>
    <w:rsid w:val="38253136"/>
    <w:rsid w:val="38372548"/>
    <w:rsid w:val="384570A4"/>
    <w:rsid w:val="38467A04"/>
    <w:rsid w:val="38781C56"/>
    <w:rsid w:val="38A140CE"/>
    <w:rsid w:val="38B54C1A"/>
    <w:rsid w:val="38C30240"/>
    <w:rsid w:val="38CF65F7"/>
    <w:rsid w:val="38D113BF"/>
    <w:rsid w:val="38D30895"/>
    <w:rsid w:val="38D5511D"/>
    <w:rsid w:val="38DB4DD5"/>
    <w:rsid w:val="38E95212"/>
    <w:rsid w:val="38F3691D"/>
    <w:rsid w:val="3909408E"/>
    <w:rsid w:val="391C1C7A"/>
    <w:rsid w:val="39465968"/>
    <w:rsid w:val="394D1A3B"/>
    <w:rsid w:val="394F4D33"/>
    <w:rsid w:val="39600E80"/>
    <w:rsid w:val="39803383"/>
    <w:rsid w:val="399A429F"/>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B002E8F"/>
    <w:rsid w:val="3B0A7991"/>
    <w:rsid w:val="3B100A85"/>
    <w:rsid w:val="3B18283A"/>
    <w:rsid w:val="3B336F2F"/>
    <w:rsid w:val="3B567019"/>
    <w:rsid w:val="3B5C777B"/>
    <w:rsid w:val="3B691338"/>
    <w:rsid w:val="3B6B36CF"/>
    <w:rsid w:val="3B96787F"/>
    <w:rsid w:val="3BA60160"/>
    <w:rsid w:val="3BB46CD1"/>
    <w:rsid w:val="3BB6128D"/>
    <w:rsid w:val="3BD11411"/>
    <w:rsid w:val="3BD837A5"/>
    <w:rsid w:val="3BE05196"/>
    <w:rsid w:val="3BED4242"/>
    <w:rsid w:val="3C173EBE"/>
    <w:rsid w:val="3C317DDD"/>
    <w:rsid w:val="3C336F35"/>
    <w:rsid w:val="3C3D3F09"/>
    <w:rsid w:val="3C457CDF"/>
    <w:rsid w:val="3C61573F"/>
    <w:rsid w:val="3C742BEB"/>
    <w:rsid w:val="3C744F7F"/>
    <w:rsid w:val="3C857740"/>
    <w:rsid w:val="3C8E02B7"/>
    <w:rsid w:val="3CA732CA"/>
    <w:rsid w:val="3CB004C5"/>
    <w:rsid w:val="3CB35047"/>
    <w:rsid w:val="3CB47F7E"/>
    <w:rsid w:val="3CB603EF"/>
    <w:rsid w:val="3CD82621"/>
    <w:rsid w:val="3CDD69B2"/>
    <w:rsid w:val="3CEA693F"/>
    <w:rsid w:val="3CEF1648"/>
    <w:rsid w:val="3D0D0F5F"/>
    <w:rsid w:val="3D0D55A5"/>
    <w:rsid w:val="3D187CD8"/>
    <w:rsid w:val="3D324998"/>
    <w:rsid w:val="3D354C10"/>
    <w:rsid w:val="3D475AFB"/>
    <w:rsid w:val="3D4C43AF"/>
    <w:rsid w:val="3D502422"/>
    <w:rsid w:val="3D5275CE"/>
    <w:rsid w:val="3D5404DD"/>
    <w:rsid w:val="3D5941EB"/>
    <w:rsid w:val="3D6341E4"/>
    <w:rsid w:val="3D6A48AA"/>
    <w:rsid w:val="3D6D23E3"/>
    <w:rsid w:val="3D7C1281"/>
    <w:rsid w:val="3D8D1DDC"/>
    <w:rsid w:val="3D995C7E"/>
    <w:rsid w:val="3DCE2E82"/>
    <w:rsid w:val="3DD2333F"/>
    <w:rsid w:val="3DEC316F"/>
    <w:rsid w:val="3E000E38"/>
    <w:rsid w:val="3E037731"/>
    <w:rsid w:val="3E0F09D9"/>
    <w:rsid w:val="3E1646C1"/>
    <w:rsid w:val="3E247488"/>
    <w:rsid w:val="3E305EE4"/>
    <w:rsid w:val="3E360DF6"/>
    <w:rsid w:val="3E3D25F5"/>
    <w:rsid w:val="3E4E6762"/>
    <w:rsid w:val="3E5F5CBB"/>
    <w:rsid w:val="3E70166E"/>
    <w:rsid w:val="3E752011"/>
    <w:rsid w:val="3E8270FA"/>
    <w:rsid w:val="3E8E2505"/>
    <w:rsid w:val="3E8F0C9A"/>
    <w:rsid w:val="3E9953AC"/>
    <w:rsid w:val="3E9D3F84"/>
    <w:rsid w:val="3E9F3605"/>
    <w:rsid w:val="3EAF142E"/>
    <w:rsid w:val="3EEC1C8D"/>
    <w:rsid w:val="3EF15A07"/>
    <w:rsid w:val="3EFC4AE4"/>
    <w:rsid w:val="3F0C0C5D"/>
    <w:rsid w:val="3F310E2B"/>
    <w:rsid w:val="3F3E5B85"/>
    <w:rsid w:val="3F4D19AF"/>
    <w:rsid w:val="3F691A99"/>
    <w:rsid w:val="3F837DDF"/>
    <w:rsid w:val="3F901403"/>
    <w:rsid w:val="3FA21405"/>
    <w:rsid w:val="3FA96E5D"/>
    <w:rsid w:val="3FC04528"/>
    <w:rsid w:val="3FCB012B"/>
    <w:rsid w:val="3FD27B2E"/>
    <w:rsid w:val="3FEE1DE8"/>
    <w:rsid w:val="3FFE5EFF"/>
    <w:rsid w:val="40171145"/>
    <w:rsid w:val="402104DC"/>
    <w:rsid w:val="402D3537"/>
    <w:rsid w:val="40480E8F"/>
    <w:rsid w:val="40662C29"/>
    <w:rsid w:val="40742438"/>
    <w:rsid w:val="40791098"/>
    <w:rsid w:val="40932E75"/>
    <w:rsid w:val="40A70377"/>
    <w:rsid w:val="40BC5D67"/>
    <w:rsid w:val="40CC7CA3"/>
    <w:rsid w:val="40D775A2"/>
    <w:rsid w:val="40DC23A0"/>
    <w:rsid w:val="40EE33BE"/>
    <w:rsid w:val="40F61783"/>
    <w:rsid w:val="4100601D"/>
    <w:rsid w:val="410D75D5"/>
    <w:rsid w:val="411A76EB"/>
    <w:rsid w:val="411E3000"/>
    <w:rsid w:val="41402C24"/>
    <w:rsid w:val="414E7345"/>
    <w:rsid w:val="41546D3E"/>
    <w:rsid w:val="41591FEE"/>
    <w:rsid w:val="41696F7F"/>
    <w:rsid w:val="417240B9"/>
    <w:rsid w:val="417C0D06"/>
    <w:rsid w:val="418B25AA"/>
    <w:rsid w:val="418D33B3"/>
    <w:rsid w:val="418E56CE"/>
    <w:rsid w:val="41925E9B"/>
    <w:rsid w:val="419B1BC4"/>
    <w:rsid w:val="419D5169"/>
    <w:rsid w:val="419D7C05"/>
    <w:rsid w:val="41A46863"/>
    <w:rsid w:val="41A739EA"/>
    <w:rsid w:val="41B3371C"/>
    <w:rsid w:val="41B4302C"/>
    <w:rsid w:val="41CC67E1"/>
    <w:rsid w:val="41DA3C01"/>
    <w:rsid w:val="41E3266D"/>
    <w:rsid w:val="41E5665C"/>
    <w:rsid w:val="41E70FD1"/>
    <w:rsid w:val="41F604FA"/>
    <w:rsid w:val="41FE6085"/>
    <w:rsid w:val="42013C9E"/>
    <w:rsid w:val="420F24CA"/>
    <w:rsid w:val="421C0994"/>
    <w:rsid w:val="424F02B6"/>
    <w:rsid w:val="42523372"/>
    <w:rsid w:val="42672C44"/>
    <w:rsid w:val="42683145"/>
    <w:rsid w:val="427133C0"/>
    <w:rsid w:val="42715180"/>
    <w:rsid w:val="4277762F"/>
    <w:rsid w:val="429D7D7D"/>
    <w:rsid w:val="42B06FDD"/>
    <w:rsid w:val="42B23DF0"/>
    <w:rsid w:val="42B45768"/>
    <w:rsid w:val="42DD7341"/>
    <w:rsid w:val="42E637C3"/>
    <w:rsid w:val="42FD1410"/>
    <w:rsid w:val="430C488E"/>
    <w:rsid w:val="43184FA0"/>
    <w:rsid w:val="431F563A"/>
    <w:rsid w:val="432151DF"/>
    <w:rsid w:val="432A3E0D"/>
    <w:rsid w:val="432D0CD2"/>
    <w:rsid w:val="4338356A"/>
    <w:rsid w:val="433E24EE"/>
    <w:rsid w:val="43412F21"/>
    <w:rsid w:val="4348259E"/>
    <w:rsid w:val="434C0977"/>
    <w:rsid w:val="434D5EB2"/>
    <w:rsid w:val="43604502"/>
    <w:rsid w:val="43705840"/>
    <w:rsid w:val="437E6752"/>
    <w:rsid w:val="43803823"/>
    <w:rsid w:val="438D2FF7"/>
    <w:rsid w:val="43AF6845"/>
    <w:rsid w:val="43CC31B4"/>
    <w:rsid w:val="43CC79E5"/>
    <w:rsid w:val="43D44FF8"/>
    <w:rsid w:val="441557E3"/>
    <w:rsid w:val="44226F3F"/>
    <w:rsid w:val="4425659D"/>
    <w:rsid w:val="44286453"/>
    <w:rsid w:val="44371554"/>
    <w:rsid w:val="444B4817"/>
    <w:rsid w:val="444C54FC"/>
    <w:rsid w:val="44615639"/>
    <w:rsid w:val="44762FC6"/>
    <w:rsid w:val="44807EEA"/>
    <w:rsid w:val="4488431A"/>
    <w:rsid w:val="448F5706"/>
    <w:rsid w:val="44944331"/>
    <w:rsid w:val="449A539D"/>
    <w:rsid w:val="44A538D4"/>
    <w:rsid w:val="44B05905"/>
    <w:rsid w:val="44B67F0B"/>
    <w:rsid w:val="44BB1103"/>
    <w:rsid w:val="451317C4"/>
    <w:rsid w:val="45252A65"/>
    <w:rsid w:val="45575AD5"/>
    <w:rsid w:val="455907EE"/>
    <w:rsid w:val="457E0115"/>
    <w:rsid w:val="459B774E"/>
    <w:rsid w:val="45B72AB1"/>
    <w:rsid w:val="45BA079F"/>
    <w:rsid w:val="45CC0EF3"/>
    <w:rsid w:val="45CF5AD4"/>
    <w:rsid w:val="45D61E17"/>
    <w:rsid w:val="45DD06D9"/>
    <w:rsid w:val="460D21F2"/>
    <w:rsid w:val="460E0469"/>
    <w:rsid w:val="460E0A15"/>
    <w:rsid w:val="461909E8"/>
    <w:rsid w:val="462E79C9"/>
    <w:rsid w:val="4635298E"/>
    <w:rsid w:val="46355D58"/>
    <w:rsid w:val="463C04FA"/>
    <w:rsid w:val="464050BB"/>
    <w:rsid w:val="46405C21"/>
    <w:rsid w:val="466B6702"/>
    <w:rsid w:val="466F037A"/>
    <w:rsid w:val="467737E1"/>
    <w:rsid w:val="467C180C"/>
    <w:rsid w:val="468B577B"/>
    <w:rsid w:val="46A075FA"/>
    <w:rsid w:val="46A359DC"/>
    <w:rsid w:val="46A54FB3"/>
    <w:rsid w:val="46D040D1"/>
    <w:rsid w:val="46D47B0B"/>
    <w:rsid w:val="46D7121E"/>
    <w:rsid w:val="46E07671"/>
    <w:rsid w:val="46F84FBA"/>
    <w:rsid w:val="46FF57CE"/>
    <w:rsid w:val="47154F60"/>
    <w:rsid w:val="47162E3C"/>
    <w:rsid w:val="47476572"/>
    <w:rsid w:val="47700BCB"/>
    <w:rsid w:val="47732DB6"/>
    <w:rsid w:val="47B94CE5"/>
    <w:rsid w:val="47C254B8"/>
    <w:rsid w:val="47DF082A"/>
    <w:rsid w:val="47EB5003"/>
    <w:rsid w:val="48081128"/>
    <w:rsid w:val="480D3EC3"/>
    <w:rsid w:val="48144FED"/>
    <w:rsid w:val="482B26B0"/>
    <w:rsid w:val="483A31DC"/>
    <w:rsid w:val="48440530"/>
    <w:rsid w:val="484715CC"/>
    <w:rsid w:val="485D616F"/>
    <w:rsid w:val="4873370F"/>
    <w:rsid w:val="48942C25"/>
    <w:rsid w:val="4898666C"/>
    <w:rsid w:val="489B75DE"/>
    <w:rsid w:val="489F44D2"/>
    <w:rsid w:val="48A82C22"/>
    <w:rsid w:val="48AB4379"/>
    <w:rsid w:val="48B5305A"/>
    <w:rsid w:val="48B63FE7"/>
    <w:rsid w:val="48C71061"/>
    <w:rsid w:val="48CC7D6E"/>
    <w:rsid w:val="48DD5408"/>
    <w:rsid w:val="48EB5A5C"/>
    <w:rsid w:val="490B579F"/>
    <w:rsid w:val="491F0291"/>
    <w:rsid w:val="4920208E"/>
    <w:rsid w:val="492A1C6E"/>
    <w:rsid w:val="492C7D33"/>
    <w:rsid w:val="493A79B5"/>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3546EB"/>
    <w:rsid w:val="4A443774"/>
    <w:rsid w:val="4A4A48A6"/>
    <w:rsid w:val="4A524812"/>
    <w:rsid w:val="4A526073"/>
    <w:rsid w:val="4A56215E"/>
    <w:rsid w:val="4A5D4A40"/>
    <w:rsid w:val="4A63534F"/>
    <w:rsid w:val="4A6C1B50"/>
    <w:rsid w:val="4A7E40F2"/>
    <w:rsid w:val="4A8561F1"/>
    <w:rsid w:val="4A943BC6"/>
    <w:rsid w:val="4A977A4A"/>
    <w:rsid w:val="4AA30352"/>
    <w:rsid w:val="4AAF17A9"/>
    <w:rsid w:val="4ABA7840"/>
    <w:rsid w:val="4AE623A4"/>
    <w:rsid w:val="4AE74F60"/>
    <w:rsid w:val="4AFF5CC6"/>
    <w:rsid w:val="4B1D3A51"/>
    <w:rsid w:val="4B280F1E"/>
    <w:rsid w:val="4B3D4E30"/>
    <w:rsid w:val="4B411E5A"/>
    <w:rsid w:val="4B413D26"/>
    <w:rsid w:val="4B6B6050"/>
    <w:rsid w:val="4B8B446D"/>
    <w:rsid w:val="4BA324C2"/>
    <w:rsid w:val="4BB317A2"/>
    <w:rsid w:val="4BC27F8D"/>
    <w:rsid w:val="4BC97047"/>
    <w:rsid w:val="4BCC6CCE"/>
    <w:rsid w:val="4BE44E6C"/>
    <w:rsid w:val="4BF446B8"/>
    <w:rsid w:val="4C061338"/>
    <w:rsid w:val="4C061EF7"/>
    <w:rsid w:val="4C497215"/>
    <w:rsid w:val="4C4F5F99"/>
    <w:rsid w:val="4C5474C5"/>
    <w:rsid w:val="4C5D0817"/>
    <w:rsid w:val="4C5E08E0"/>
    <w:rsid w:val="4C7C64A4"/>
    <w:rsid w:val="4CBF4AE9"/>
    <w:rsid w:val="4CCA7CF8"/>
    <w:rsid w:val="4CCC299D"/>
    <w:rsid w:val="4D0A349B"/>
    <w:rsid w:val="4D0D2E78"/>
    <w:rsid w:val="4D0F04ED"/>
    <w:rsid w:val="4D164C7E"/>
    <w:rsid w:val="4D384A7C"/>
    <w:rsid w:val="4D3A0411"/>
    <w:rsid w:val="4D427C91"/>
    <w:rsid w:val="4D7706F2"/>
    <w:rsid w:val="4D845711"/>
    <w:rsid w:val="4D8A02B7"/>
    <w:rsid w:val="4DBE12C2"/>
    <w:rsid w:val="4DCE6ED3"/>
    <w:rsid w:val="4DF46CF3"/>
    <w:rsid w:val="4E095444"/>
    <w:rsid w:val="4E0E40E2"/>
    <w:rsid w:val="4E333BBB"/>
    <w:rsid w:val="4E4E04E5"/>
    <w:rsid w:val="4E665F7B"/>
    <w:rsid w:val="4E6A06E9"/>
    <w:rsid w:val="4E715DB2"/>
    <w:rsid w:val="4E776B87"/>
    <w:rsid w:val="4E8E5857"/>
    <w:rsid w:val="4EC206BE"/>
    <w:rsid w:val="4EC46EFB"/>
    <w:rsid w:val="4EC7194E"/>
    <w:rsid w:val="4EC951FF"/>
    <w:rsid w:val="4ED04B02"/>
    <w:rsid w:val="4ED346CC"/>
    <w:rsid w:val="4EDD6EFA"/>
    <w:rsid w:val="4EE96853"/>
    <w:rsid w:val="4F105F02"/>
    <w:rsid w:val="4F121BEA"/>
    <w:rsid w:val="4F172396"/>
    <w:rsid w:val="4F1D4181"/>
    <w:rsid w:val="4F3F03C1"/>
    <w:rsid w:val="4F4C2971"/>
    <w:rsid w:val="4F566ACF"/>
    <w:rsid w:val="4F704BBC"/>
    <w:rsid w:val="4F8028EE"/>
    <w:rsid w:val="4F8435B4"/>
    <w:rsid w:val="4F8C7DDC"/>
    <w:rsid w:val="4FAD0DF7"/>
    <w:rsid w:val="4FBC1F04"/>
    <w:rsid w:val="4FBD361C"/>
    <w:rsid w:val="4FBE1CEA"/>
    <w:rsid w:val="4FC15F00"/>
    <w:rsid w:val="4FF17370"/>
    <w:rsid w:val="4FF77C61"/>
    <w:rsid w:val="50037C0C"/>
    <w:rsid w:val="500F51F9"/>
    <w:rsid w:val="50200CEA"/>
    <w:rsid w:val="502A7546"/>
    <w:rsid w:val="502E1CFA"/>
    <w:rsid w:val="50371519"/>
    <w:rsid w:val="503D6ACE"/>
    <w:rsid w:val="50447CE3"/>
    <w:rsid w:val="504570EB"/>
    <w:rsid w:val="505A0A75"/>
    <w:rsid w:val="505B05E7"/>
    <w:rsid w:val="50753DB9"/>
    <w:rsid w:val="509E2BD3"/>
    <w:rsid w:val="50C04426"/>
    <w:rsid w:val="50C7518D"/>
    <w:rsid w:val="50C95413"/>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52A88"/>
    <w:rsid w:val="51B23F17"/>
    <w:rsid w:val="51B661F2"/>
    <w:rsid w:val="51BB2EED"/>
    <w:rsid w:val="51E51BA8"/>
    <w:rsid w:val="51EE27E3"/>
    <w:rsid w:val="52040DD8"/>
    <w:rsid w:val="52101F45"/>
    <w:rsid w:val="52125E5B"/>
    <w:rsid w:val="5213342A"/>
    <w:rsid w:val="52163344"/>
    <w:rsid w:val="52217FFE"/>
    <w:rsid w:val="5234477C"/>
    <w:rsid w:val="52475C9F"/>
    <w:rsid w:val="52515077"/>
    <w:rsid w:val="52806E8B"/>
    <w:rsid w:val="52A84489"/>
    <w:rsid w:val="52B118DE"/>
    <w:rsid w:val="52B80D5E"/>
    <w:rsid w:val="52BF77E0"/>
    <w:rsid w:val="52C52078"/>
    <w:rsid w:val="52CB6EC0"/>
    <w:rsid w:val="52D061DA"/>
    <w:rsid w:val="52D211F8"/>
    <w:rsid w:val="52F26F28"/>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522B5"/>
    <w:rsid w:val="542406F9"/>
    <w:rsid w:val="542C2C82"/>
    <w:rsid w:val="543F012A"/>
    <w:rsid w:val="546136C7"/>
    <w:rsid w:val="54635F00"/>
    <w:rsid w:val="54661F54"/>
    <w:rsid w:val="546C3F2D"/>
    <w:rsid w:val="547F46DA"/>
    <w:rsid w:val="54944893"/>
    <w:rsid w:val="549F75FE"/>
    <w:rsid w:val="54A51CC5"/>
    <w:rsid w:val="54AF6C60"/>
    <w:rsid w:val="54B52F94"/>
    <w:rsid w:val="54BD36E4"/>
    <w:rsid w:val="54DD78BD"/>
    <w:rsid w:val="54E06144"/>
    <w:rsid w:val="54F52367"/>
    <w:rsid w:val="550A393D"/>
    <w:rsid w:val="555E54FB"/>
    <w:rsid w:val="556D2811"/>
    <w:rsid w:val="55767F46"/>
    <w:rsid w:val="55CE1AD5"/>
    <w:rsid w:val="55ED37B8"/>
    <w:rsid w:val="55F04C52"/>
    <w:rsid w:val="55F35D23"/>
    <w:rsid w:val="56281CBC"/>
    <w:rsid w:val="56333685"/>
    <w:rsid w:val="56540424"/>
    <w:rsid w:val="567466BA"/>
    <w:rsid w:val="567B7B50"/>
    <w:rsid w:val="568F0DF7"/>
    <w:rsid w:val="56A332D5"/>
    <w:rsid w:val="56AD59C6"/>
    <w:rsid w:val="56B85F25"/>
    <w:rsid w:val="56C325A5"/>
    <w:rsid w:val="56C4174F"/>
    <w:rsid w:val="56E709F8"/>
    <w:rsid w:val="56F10A56"/>
    <w:rsid w:val="56FB32FA"/>
    <w:rsid w:val="570703AF"/>
    <w:rsid w:val="572D602C"/>
    <w:rsid w:val="573221A2"/>
    <w:rsid w:val="57364D30"/>
    <w:rsid w:val="573D71D1"/>
    <w:rsid w:val="57574216"/>
    <w:rsid w:val="57636B03"/>
    <w:rsid w:val="57A21363"/>
    <w:rsid w:val="57A54C20"/>
    <w:rsid w:val="57A71406"/>
    <w:rsid w:val="57B06D46"/>
    <w:rsid w:val="57B937A9"/>
    <w:rsid w:val="57BB4E50"/>
    <w:rsid w:val="57C34B39"/>
    <w:rsid w:val="57DE1F69"/>
    <w:rsid w:val="57E116B4"/>
    <w:rsid w:val="580C0140"/>
    <w:rsid w:val="580F431F"/>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3E6CC6"/>
    <w:rsid w:val="59404EE0"/>
    <w:rsid w:val="594B0A62"/>
    <w:rsid w:val="594E1B0E"/>
    <w:rsid w:val="594F32F2"/>
    <w:rsid w:val="595461B1"/>
    <w:rsid w:val="59591BB8"/>
    <w:rsid w:val="595C743E"/>
    <w:rsid w:val="595E1551"/>
    <w:rsid w:val="59760077"/>
    <w:rsid w:val="59820786"/>
    <w:rsid w:val="59A774F2"/>
    <w:rsid w:val="59AD15AB"/>
    <w:rsid w:val="59CE313C"/>
    <w:rsid w:val="59E474BD"/>
    <w:rsid w:val="59E869EC"/>
    <w:rsid w:val="59FC6B89"/>
    <w:rsid w:val="5A143012"/>
    <w:rsid w:val="5A261D0E"/>
    <w:rsid w:val="5A2907FC"/>
    <w:rsid w:val="5A2E6A84"/>
    <w:rsid w:val="5A412A61"/>
    <w:rsid w:val="5A4752E2"/>
    <w:rsid w:val="5A527BDD"/>
    <w:rsid w:val="5A7D1253"/>
    <w:rsid w:val="5A905E59"/>
    <w:rsid w:val="5A9311E7"/>
    <w:rsid w:val="5AA72593"/>
    <w:rsid w:val="5AA9358C"/>
    <w:rsid w:val="5AD0373D"/>
    <w:rsid w:val="5AF46A20"/>
    <w:rsid w:val="5AF81B7B"/>
    <w:rsid w:val="5AF86253"/>
    <w:rsid w:val="5AFB1569"/>
    <w:rsid w:val="5B047A73"/>
    <w:rsid w:val="5B081862"/>
    <w:rsid w:val="5B0A0B9B"/>
    <w:rsid w:val="5B1140FC"/>
    <w:rsid w:val="5B1C3DCA"/>
    <w:rsid w:val="5B1F176B"/>
    <w:rsid w:val="5B24355B"/>
    <w:rsid w:val="5B2D01BB"/>
    <w:rsid w:val="5B340596"/>
    <w:rsid w:val="5B3F26B3"/>
    <w:rsid w:val="5B467F94"/>
    <w:rsid w:val="5B491028"/>
    <w:rsid w:val="5B4B70AC"/>
    <w:rsid w:val="5B850F8B"/>
    <w:rsid w:val="5B8A7522"/>
    <w:rsid w:val="5B946B5D"/>
    <w:rsid w:val="5BA53E1C"/>
    <w:rsid w:val="5BA92AAB"/>
    <w:rsid w:val="5BB41290"/>
    <w:rsid w:val="5BC50503"/>
    <w:rsid w:val="5BCC4827"/>
    <w:rsid w:val="5BCD464A"/>
    <w:rsid w:val="5BF50EB6"/>
    <w:rsid w:val="5BF92128"/>
    <w:rsid w:val="5BFA7DB5"/>
    <w:rsid w:val="5BFB1F01"/>
    <w:rsid w:val="5C075DA6"/>
    <w:rsid w:val="5C1D7D30"/>
    <w:rsid w:val="5C275BD4"/>
    <w:rsid w:val="5C491EC9"/>
    <w:rsid w:val="5C5028D7"/>
    <w:rsid w:val="5C6D1904"/>
    <w:rsid w:val="5C703E21"/>
    <w:rsid w:val="5C790A6A"/>
    <w:rsid w:val="5C81109C"/>
    <w:rsid w:val="5C9E10E9"/>
    <w:rsid w:val="5C9E40DE"/>
    <w:rsid w:val="5CA11D7F"/>
    <w:rsid w:val="5CAF4CE5"/>
    <w:rsid w:val="5CC927D0"/>
    <w:rsid w:val="5CDA6371"/>
    <w:rsid w:val="5CF30224"/>
    <w:rsid w:val="5CFC64A7"/>
    <w:rsid w:val="5D1516BF"/>
    <w:rsid w:val="5D1569ED"/>
    <w:rsid w:val="5D1B2A4F"/>
    <w:rsid w:val="5D2E6665"/>
    <w:rsid w:val="5D4F34F7"/>
    <w:rsid w:val="5D521435"/>
    <w:rsid w:val="5D623C65"/>
    <w:rsid w:val="5D7636FE"/>
    <w:rsid w:val="5D7F7A77"/>
    <w:rsid w:val="5D810CA8"/>
    <w:rsid w:val="5D8C1819"/>
    <w:rsid w:val="5DC477E0"/>
    <w:rsid w:val="5DD05318"/>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F67A22"/>
    <w:rsid w:val="5EFB4ED5"/>
    <w:rsid w:val="5F123BC6"/>
    <w:rsid w:val="5F184877"/>
    <w:rsid w:val="5F1A7A37"/>
    <w:rsid w:val="5F2E3F46"/>
    <w:rsid w:val="5F406402"/>
    <w:rsid w:val="5F474C09"/>
    <w:rsid w:val="5F475D4B"/>
    <w:rsid w:val="5F63419E"/>
    <w:rsid w:val="5F6B086B"/>
    <w:rsid w:val="5F736746"/>
    <w:rsid w:val="5F7B52AA"/>
    <w:rsid w:val="5F880842"/>
    <w:rsid w:val="5FD95A66"/>
    <w:rsid w:val="5FDF7A00"/>
    <w:rsid w:val="5FE12AC5"/>
    <w:rsid w:val="5FF309C7"/>
    <w:rsid w:val="5FFC4765"/>
    <w:rsid w:val="60046C0F"/>
    <w:rsid w:val="600E4F7F"/>
    <w:rsid w:val="60131685"/>
    <w:rsid w:val="601327BB"/>
    <w:rsid w:val="60245068"/>
    <w:rsid w:val="60255BE3"/>
    <w:rsid w:val="602717FC"/>
    <w:rsid w:val="602A62F8"/>
    <w:rsid w:val="602C01A9"/>
    <w:rsid w:val="603B1B21"/>
    <w:rsid w:val="603F44BF"/>
    <w:rsid w:val="60504051"/>
    <w:rsid w:val="607F2EF2"/>
    <w:rsid w:val="60842FF2"/>
    <w:rsid w:val="60AF5E00"/>
    <w:rsid w:val="60B1155A"/>
    <w:rsid w:val="60B54161"/>
    <w:rsid w:val="60D43BFA"/>
    <w:rsid w:val="60E142BE"/>
    <w:rsid w:val="60E16AB6"/>
    <w:rsid w:val="60E40C2C"/>
    <w:rsid w:val="60F32CD5"/>
    <w:rsid w:val="60FB6994"/>
    <w:rsid w:val="610D2A7D"/>
    <w:rsid w:val="61111BF1"/>
    <w:rsid w:val="61175A9A"/>
    <w:rsid w:val="612129FE"/>
    <w:rsid w:val="61375BEC"/>
    <w:rsid w:val="614A2305"/>
    <w:rsid w:val="614E4437"/>
    <w:rsid w:val="615F1F60"/>
    <w:rsid w:val="6182631E"/>
    <w:rsid w:val="61AF5CD6"/>
    <w:rsid w:val="61BC217C"/>
    <w:rsid w:val="61D9772A"/>
    <w:rsid w:val="61DA1B5D"/>
    <w:rsid w:val="61DB33CF"/>
    <w:rsid w:val="61EF0933"/>
    <w:rsid w:val="61F2327B"/>
    <w:rsid w:val="61F64176"/>
    <w:rsid w:val="61F6471A"/>
    <w:rsid w:val="62413765"/>
    <w:rsid w:val="625A4915"/>
    <w:rsid w:val="625E2011"/>
    <w:rsid w:val="626E5BD1"/>
    <w:rsid w:val="627803DA"/>
    <w:rsid w:val="627966B2"/>
    <w:rsid w:val="62921FA4"/>
    <w:rsid w:val="62A06349"/>
    <w:rsid w:val="62BF1D8B"/>
    <w:rsid w:val="62C83DFB"/>
    <w:rsid w:val="62CB6DF0"/>
    <w:rsid w:val="62DC2379"/>
    <w:rsid w:val="62EF16C5"/>
    <w:rsid w:val="62FA52C3"/>
    <w:rsid w:val="63077DCD"/>
    <w:rsid w:val="630C3818"/>
    <w:rsid w:val="63196725"/>
    <w:rsid w:val="631F3FB6"/>
    <w:rsid w:val="63307428"/>
    <w:rsid w:val="63356B20"/>
    <w:rsid w:val="633B4FC0"/>
    <w:rsid w:val="6349142A"/>
    <w:rsid w:val="634B7547"/>
    <w:rsid w:val="63647D08"/>
    <w:rsid w:val="637B37CB"/>
    <w:rsid w:val="637E69F6"/>
    <w:rsid w:val="63B47AD6"/>
    <w:rsid w:val="63B55E70"/>
    <w:rsid w:val="63BD1F88"/>
    <w:rsid w:val="63D07482"/>
    <w:rsid w:val="63E85719"/>
    <w:rsid w:val="63F34E27"/>
    <w:rsid w:val="63FD53D7"/>
    <w:rsid w:val="640D3774"/>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B42AB0"/>
    <w:rsid w:val="64B76AA3"/>
    <w:rsid w:val="64C61C82"/>
    <w:rsid w:val="64D124DB"/>
    <w:rsid w:val="64EB099D"/>
    <w:rsid w:val="65012AAF"/>
    <w:rsid w:val="65233DA8"/>
    <w:rsid w:val="652860EC"/>
    <w:rsid w:val="652A1A84"/>
    <w:rsid w:val="652A5D21"/>
    <w:rsid w:val="65480BBE"/>
    <w:rsid w:val="6550438A"/>
    <w:rsid w:val="6554639C"/>
    <w:rsid w:val="65687D20"/>
    <w:rsid w:val="657B264C"/>
    <w:rsid w:val="657C3759"/>
    <w:rsid w:val="659052F9"/>
    <w:rsid w:val="65933B3C"/>
    <w:rsid w:val="65AE026A"/>
    <w:rsid w:val="65B955CA"/>
    <w:rsid w:val="65BE6C54"/>
    <w:rsid w:val="65CC3546"/>
    <w:rsid w:val="65CE71FF"/>
    <w:rsid w:val="65EE73B7"/>
    <w:rsid w:val="66087C36"/>
    <w:rsid w:val="660A413F"/>
    <w:rsid w:val="661A0E12"/>
    <w:rsid w:val="66214D7C"/>
    <w:rsid w:val="6624580B"/>
    <w:rsid w:val="6625001A"/>
    <w:rsid w:val="662A15EB"/>
    <w:rsid w:val="66356B67"/>
    <w:rsid w:val="665078F8"/>
    <w:rsid w:val="66760042"/>
    <w:rsid w:val="667B6C3F"/>
    <w:rsid w:val="66933BD2"/>
    <w:rsid w:val="66B40E42"/>
    <w:rsid w:val="66B56D61"/>
    <w:rsid w:val="66B56D68"/>
    <w:rsid w:val="66DA6071"/>
    <w:rsid w:val="66E9392A"/>
    <w:rsid w:val="66EA1480"/>
    <w:rsid w:val="67056631"/>
    <w:rsid w:val="6745249B"/>
    <w:rsid w:val="674672D3"/>
    <w:rsid w:val="676E6425"/>
    <w:rsid w:val="67770DB9"/>
    <w:rsid w:val="67776ADD"/>
    <w:rsid w:val="6779797F"/>
    <w:rsid w:val="6789047F"/>
    <w:rsid w:val="67A27AF8"/>
    <w:rsid w:val="67A720F6"/>
    <w:rsid w:val="67AC1398"/>
    <w:rsid w:val="67E7540E"/>
    <w:rsid w:val="67EA1736"/>
    <w:rsid w:val="67F509D9"/>
    <w:rsid w:val="67FC02AC"/>
    <w:rsid w:val="68006207"/>
    <w:rsid w:val="68070E08"/>
    <w:rsid w:val="680E4CA4"/>
    <w:rsid w:val="682D2C3F"/>
    <w:rsid w:val="682D432C"/>
    <w:rsid w:val="68382592"/>
    <w:rsid w:val="684159B8"/>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1052CA"/>
    <w:rsid w:val="69194464"/>
    <w:rsid w:val="691D05F7"/>
    <w:rsid w:val="69256624"/>
    <w:rsid w:val="69312B59"/>
    <w:rsid w:val="69446209"/>
    <w:rsid w:val="694E271E"/>
    <w:rsid w:val="69534859"/>
    <w:rsid w:val="69726337"/>
    <w:rsid w:val="69787B08"/>
    <w:rsid w:val="698B1B24"/>
    <w:rsid w:val="6994580C"/>
    <w:rsid w:val="69A66C99"/>
    <w:rsid w:val="69B75241"/>
    <w:rsid w:val="69BB0755"/>
    <w:rsid w:val="69CD6D6F"/>
    <w:rsid w:val="69FB0A5B"/>
    <w:rsid w:val="6A0D79AA"/>
    <w:rsid w:val="6A115C81"/>
    <w:rsid w:val="6A162FAD"/>
    <w:rsid w:val="6A165F97"/>
    <w:rsid w:val="6A22015C"/>
    <w:rsid w:val="6A7A60F7"/>
    <w:rsid w:val="6A7E417E"/>
    <w:rsid w:val="6A9C36E2"/>
    <w:rsid w:val="6AAC2E76"/>
    <w:rsid w:val="6AB90DA9"/>
    <w:rsid w:val="6AD73CE6"/>
    <w:rsid w:val="6AE03E44"/>
    <w:rsid w:val="6AEE1969"/>
    <w:rsid w:val="6AF4494F"/>
    <w:rsid w:val="6B0A125F"/>
    <w:rsid w:val="6B1834FD"/>
    <w:rsid w:val="6B23484A"/>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A0F7D"/>
    <w:rsid w:val="6BDE4DDD"/>
    <w:rsid w:val="6BE07242"/>
    <w:rsid w:val="6BE5514A"/>
    <w:rsid w:val="6BE82C3E"/>
    <w:rsid w:val="6BE972DB"/>
    <w:rsid w:val="6BFE0452"/>
    <w:rsid w:val="6C0F2440"/>
    <w:rsid w:val="6C176418"/>
    <w:rsid w:val="6C247F63"/>
    <w:rsid w:val="6C392A9F"/>
    <w:rsid w:val="6C452784"/>
    <w:rsid w:val="6C4D097B"/>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497025"/>
    <w:rsid w:val="6D5941BB"/>
    <w:rsid w:val="6D5B0CBD"/>
    <w:rsid w:val="6D6D33F8"/>
    <w:rsid w:val="6D6F3AB1"/>
    <w:rsid w:val="6D73256C"/>
    <w:rsid w:val="6D760430"/>
    <w:rsid w:val="6D8A08D8"/>
    <w:rsid w:val="6D9541F5"/>
    <w:rsid w:val="6D961017"/>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565A56"/>
    <w:rsid w:val="6E5C1E9E"/>
    <w:rsid w:val="6E5D68D3"/>
    <w:rsid w:val="6E682450"/>
    <w:rsid w:val="6E6A511F"/>
    <w:rsid w:val="6E720DA7"/>
    <w:rsid w:val="6E7251F0"/>
    <w:rsid w:val="6E757524"/>
    <w:rsid w:val="6E7934F3"/>
    <w:rsid w:val="6E9C5623"/>
    <w:rsid w:val="6E9E05A5"/>
    <w:rsid w:val="6EAD6286"/>
    <w:rsid w:val="6EB24C59"/>
    <w:rsid w:val="6EBD3CCD"/>
    <w:rsid w:val="6EC9468F"/>
    <w:rsid w:val="6ECD60E1"/>
    <w:rsid w:val="6EDB6C60"/>
    <w:rsid w:val="6EE64158"/>
    <w:rsid w:val="6F0F28B8"/>
    <w:rsid w:val="6F2428C0"/>
    <w:rsid w:val="6F350CF1"/>
    <w:rsid w:val="6F3A17D7"/>
    <w:rsid w:val="6F433285"/>
    <w:rsid w:val="6F591B5D"/>
    <w:rsid w:val="6F7E65DB"/>
    <w:rsid w:val="6F7F6D3A"/>
    <w:rsid w:val="6F8D476D"/>
    <w:rsid w:val="6F9016E6"/>
    <w:rsid w:val="6F981073"/>
    <w:rsid w:val="6FA172A4"/>
    <w:rsid w:val="6FE07DD0"/>
    <w:rsid w:val="6FEC6F26"/>
    <w:rsid w:val="6FF72D78"/>
    <w:rsid w:val="6FFF65EB"/>
    <w:rsid w:val="702D3A00"/>
    <w:rsid w:val="70341230"/>
    <w:rsid w:val="70342FAD"/>
    <w:rsid w:val="7034472B"/>
    <w:rsid w:val="705A14E5"/>
    <w:rsid w:val="705A4D1B"/>
    <w:rsid w:val="705F37D3"/>
    <w:rsid w:val="708B108A"/>
    <w:rsid w:val="709143C4"/>
    <w:rsid w:val="70930271"/>
    <w:rsid w:val="70DB5146"/>
    <w:rsid w:val="70E51B6F"/>
    <w:rsid w:val="70E561EA"/>
    <w:rsid w:val="70FA4092"/>
    <w:rsid w:val="70FC3C7A"/>
    <w:rsid w:val="71075B1A"/>
    <w:rsid w:val="710E7F44"/>
    <w:rsid w:val="71193089"/>
    <w:rsid w:val="71211292"/>
    <w:rsid w:val="71243B68"/>
    <w:rsid w:val="712776C4"/>
    <w:rsid w:val="714344B4"/>
    <w:rsid w:val="71654226"/>
    <w:rsid w:val="7181738B"/>
    <w:rsid w:val="71820038"/>
    <w:rsid w:val="718B1478"/>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3D42BE"/>
    <w:rsid w:val="72412901"/>
    <w:rsid w:val="72553DBC"/>
    <w:rsid w:val="72777556"/>
    <w:rsid w:val="72887B37"/>
    <w:rsid w:val="72910320"/>
    <w:rsid w:val="72A53302"/>
    <w:rsid w:val="72B3410C"/>
    <w:rsid w:val="72BD6DA9"/>
    <w:rsid w:val="72CB01B8"/>
    <w:rsid w:val="72CB5E1F"/>
    <w:rsid w:val="72D95B00"/>
    <w:rsid w:val="72F66709"/>
    <w:rsid w:val="730554B3"/>
    <w:rsid w:val="73092FAA"/>
    <w:rsid w:val="73272012"/>
    <w:rsid w:val="732C3102"/>
    <w:rsid w:val="73413694"/>
    <w:rsid w:val="734608F5"/>
    <w:rsid w:val="7365663A"/>
    <w:rsid w:val="736D4BAC"/>
    <w:rsid w:val="736F1AFC"/>
    <w:rsid w:val="739B5B15"/>
    <w:rsid w:val="73B36872"/>
    <w:rsid w:val="73BA58B5"/>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B5C9D"/>
    <w:rsid w:val="747F1177"/>
    <w:rsid w:val="748028C0"/>
    <w:rsid w:val="748431AE"/>
    <w:rsid w:val="74A471EE"/>
    <w:rsid w:val="74AB58BC"/>
    <w:rsid w:val="74C111AB"/>
    <w:rsid w:val="74C768EE"/>
    <w:rsid w:val="74CA493F"/>
    <w:rsid w:val="74E97F38"/>
    <w:rsid w:val="74ED6920"/>
    <w:rsid w:val="74F13E40"/>
    <w:rsid w:val="750B1697"/>
    <w:rsid w:val="752A3F7B"/>
    <w:rsid w:val="7533655A"/>
    <w:rsid w:val="754222FC"/>
    <w:rsid w:val="75444F15"/>
    <w:rsid w:val="75485488"/>
    <w:rsid w:val="75692896"/>
    <w:rsid w:val="75733C39"/>
    <w:rsid w:val="758516A2"/>
    <w:rsid w:val="759A2104"/>
    <w:rsid w:val="75B35E00"/>
    <w:rsid w:val="75CD1343"/>
    <w:rsid w:val="75EB2F64"/>
    <w:rsid w:val="75F04A64"/>
    <w:rsid w:val="7609404D"/>
    <w:rsid w:val="760F1847"/>
    <w:rsid w:val="76192C32"/>
    <w:rsid w:val="761D1573"/>
    <w:rsid w:val="761F64EF"/>
    <w:rsid w:val="76281DF8"/>
    <w:rsid w:val="763929C4"/>
    <w:rsid w:val="765B6CE9"/>
    <w:rsid w:val="765D3DA8"/>
    <w:rsid w:val="766740C2"/>
    <w:rsid w:val="766852F0"/>
    <w:rsid w:val="766A6521"/>
    <w:rsid w:val="766C7968"/>
    <w:rsid w:val="766E7DAC"/>
    <w:rsid w:val="76936F16"/>
    <w:rsid w:val="76993FC0"/>
    <w:rsid w:val="76A10D28"/>
    <w:rsid w:val="76A64EB2"/>
    <w:rsid w:val="76BC1014"/>
    <w:rsid w:val="77025DC3"/>
    <w:rsid w:val="772354E1"/>
    <w:rsid w:val="77276E30"/>
    <w:rsid w:val="772C68C6"/>
    <w:rsid w:val="773E0DC5"/>
    <w:rsid w:val="77594BC8"/>
    <w:rsid w:val="77652DD1"/>
    <w:rsid w:val="776C53FF"/>
    <w:rsid w:val="776E3681"/>
    <w:rsid w:val="777E5705"/>
    <w:rsid w:val="7781654E"/>
    <w:rsid w:val="77881C4F"/>
    <w:rsid w:val="779231D8"/>
    <w:rsid w:val="77A618BC"/>
    <w:rsid w:val="77B92312"/>
    <w:rsid w:val="77CC68FE"/>
    <w:rsid w:val="77DE5CDB"/>
    <w:rsid w:val="77F67883"/>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E038B"/>
    <w:rsid w:val="7911644D"/>
    <w:rsid w:val="791E0B4D"/>
    <w:rsid w:val="792078D7"/>
    <w:rsid w:val="79331EC1"/>
    <w:rsid w:val="79404911"/>
    <w:rsid w:val="794D0D3C"/>
    <w:rsid w:val="7967360B"/>
    <w:rsid w:val="79781473"/>
    <w:rsid w:val="7986601A"/>
    <w:rsid w:val="79905EB8"/>
    <w:rsid w:val="7993616D"/>
    <w:rsid w:val="799D69BF"/>
    <w:rsid w:val="799F3A31"/>
    <w:rsid w:val="79AE14B2"/>
    <w:rsid w:val="79B1687C"/>
    <w:rsid w:val="79B22738"/>
    <w:rsid w:val="79CE4B72"/>
    <w:rsid w:val="79FE0269"/>
    <w:rsid w:val="7A055366"/>
    <w:rsid w:val="7A292C38"/>
    <w:rsid w:val="7A49541C"/>
    <w:rsid w:val="7A5E6715"/>
    <w:rsid w:val="7A5F22B4"/>
    <w:rsid w:val="7A680094"/>
    <w:rsid w:val="7A7508D5"/>
    <w:rsid w:val="7A80455C"/>
    <w:rsid w:val="7A81102C"/>
    <w:rsid w:val="7A8D6BBC"/>
    <w:rsid w:val="7AA37ECA"/>
    <w:rsid w:val="7AB16073"/>
    <w:rsid w:val="7ABB5514"/>
    <w:rsid w:val="7AC2458A"/>
    <w:rsid w:val="7ADE3222"/>
    <w:rsid w:val="7AF037CB"/>
    <w:rsid w:val="7AF04DB0"/>
    <w:rsid w:val="7AFA759D"/>
    <w:rsid w:val="7B0D28AD"/>
    <w:rsid w:val="7B133363"/>
    <w:rsid w:val="7B1C1737"/>
    <w:rsid w:val="7B2F5379"/>
    <w:rsid w:val="7B322761"/>
    <w:rsid w:val="7B3C2640"/>
    <w:rsid w:val="7B41164E"/>
    <w:rsid w:val="7B4443D1"/>
    <w:rsid w:val="7BA76397"/>
    <w:rsid w:val="7BB151FD"/>
    <w:rsid w:val="7BB43296"/>
    <w:rsid w:val="7BBE12F2"/>
    <w:rsid w:val="7BDE6C84"/>
    <w:rsid w:val="7BE07A81"/>
    <w:rsid w:val="7BE81B8B"/>
    <w:rsid w:val="7BE97D38"/>
    <w:rsid w:val="7BED162A"/>
    <w:rsid w:val="7BF01170"/>
    <w:rsid w:val="7C272B3E"/>
    <w:rsid w:val="7C471D4F"/>
    <w:rsid w:val="7C573A0C"/>
    <w:rsid w:val="7C5A71C2"/>
    <w:rsid w:val="7C615DCB"/>
    <w:rsid w:val="7C7A6596"/>
    <w:rsid w:val="7CA76A22"/>
    <w:rsid w:val="7CB167D6"/>
    <w:rsid w:val="7CCC4E54"/>
    <w:rsid w:val="7CEB2ACD"/>
    <w:rsid w:val="7CEF6F65"/>
    <w:rsid w:val="7CF41D8D"/>
    <w:rsid w:val="7D0E7370"/>
    <w:rsid w:val="7D2745EF"/>
    <w:rsid w:val="7D2D2CA0"/>
    <w:rsid w:val="7D5607A5"/>
    <w:rsid w:val="7D5C29E8"/>
    <w:rsid w:val="7D6C69AF"/>
    <w:rsid w:val="7D7A7BC6"/>
    <w:rsid w:val="7D995EB0"/>
    <w:rsid w:val="7DBB08B6"/>
    <w:rsid w:val="7DBC7173"/>
    <w:rsid w:val="7DC815C9"/>
    <w:rsid w:val="7DD90B59"/>
    <w:rsid w:val="7DEF15A6"/>
    <w:rsid w:val="7DFC511B"/>
    <w:rsid w:val="7E0565F6"/>
    <w:rsid w:val="7E221AFC"/>
    <w:rsid w:val="7E2A514E"/>
    <w:rsid w:val="7E2C4E20"/>
    <w:rsid w:val="7E2D20BE"/>
    <w:rsid w:val="7E35355F"/>
    <w:rsid w:val="7E4306A6"/>
    <w:rsid w:val="7E5733E1"/>
    <w:rsid w:val="7E660C33"/>
    <w:rsid w:val="7E6637F7"/>
    <w:rsid w:val="7E707801"/>
    <w:rsid w:val="7E733B66"/>
    <w:rsid w:val="7E8A121F"/>
    <w:rsid w:val="7EA36680"/>
    <w:rsid w:val="7EAA0237"/>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6347A3"/>
    <w:rsid w:val="7F6F44D4"/>
    <w:rsid w:val="7F7B4335"/>
    <w:rsid w:val="7F8805ED"/>
    <w:rsid w:val="7FA3192C"/>
    <w:rsid w:val="7FAB42E7"/>
    <w:rsid w:val="7FB745D2"/>
    <w:rsid w:val="7FC4182D"/>
    <w:rsid w:val="7FC44AE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0</TotalTime>
  <ScaleCrop>false</ScaleCrop>
  <LinksUpToDate>false</LinksUpToDate>
  <CharactersWithSpaces>26786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2021-03-11T08:21:55Z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2052-11.1.0.10356</vt:lpwstr>
  </property>
  <property fmtid="{D5CDD505-2E9C-101B-9397-08002B2CF9AE}" pid="4" name="ICV">
    <vt:lpwstr>D366F8CEF0B34B9A839F473A36DCA92E</vt:lpwstr>
  </property>
</Properties>
</file>