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-890905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2.4</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_Toc12675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_Toc12675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_Toc16355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_Toc16355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_Toc19257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_Toc19257 </w:instrText>
      </w:r>
      <w:r>
        <w:fldChar w:fldCharType="separate"/>
      </w:r>
      <w:r>
        <w:t>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_Toc19334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_Toc19334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_Toc21154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_Toc21154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_Toc6262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_Toc6262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_Toc7156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_Toc7156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_Toc7991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_Toc7991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_Toc1575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_Toc1575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_Toc29026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_Toc29026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_Toc14588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_Toc14588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_Toc18935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_Toc18935 </w:instrText>
      </w:r>
      <w:r>
        <w:fldChar w:fldCharType="separate"/>
      </w:r>
      <w:r>
        <w:t>26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_Toc5278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_Toc5278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_Toc23829 </w:instrText>
      </w:r>
      <w:r>
        <w:rPr>
          <w:rFonts w:hint="eastAsia" w:ascii="宋体" w:hAnsi="宋体" w:eastAsia="宋体" w:cs="宋体"/>
          <w:szCs w:val="21"/>
        </w:rPr>
        <w:fldChar w:fldCharType="separate"/>
      </w:r>
      <w:r>
        <w:rPr>
          <w:rFonts w:hint="eastAsia" w:ascii="宋体" w:hAnsi="宋体"/>
          <w:szCs w:val="30"/>
          <w:lang w:val="en-US" w:eastAsia="zh-CN"/>
        </w:rPr>
        <w:t>四、2020年11月份进出口统计数据</w:t>
      </w:r>
      <w:r>
        <w:tab/>
      </w:r>
      <w:r>
        <w:fldChar w:fldCharType="begin"/>
      </w:r>
      <w:r>
        <w:instrText xml:space="preserve"> PAGEREF _Toc23829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_Toc26331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份全国车用汽油和航空汽油进出口统计数据</w:t>
      </w:r>
      <w:r>
        <w:tab/>
      </w:r>
      <w:r>
        <w:fldChar w:fldCharType="begin"/>
      </w:r>
      <w:r>
        <w:instrText xml:space="preserve"> PAGEREF _Toc26331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_Toc19129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1</w:t>
      </w:r>
      <w:r>
        <w:rPr>
          <w:rFonts w:hint="eastAsia" w:ascii="宋体" w:hAnsi="宋体"/>
          <w:szCs w:val="30"/>
        </w:rPr>
        <w:t>月份全国柴油出口统计数据</w:t>
      </w:r>
      <w:r>
        <w:tab/>
      </w:r>
      <w:r>
        <w:fldChar w:fldCharType="begin"/>
      </w:r>
      <w:r>
        <w:instrText xml:space="preserve"> PAGEREF _Toc19129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_Toc23425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月份全国原油进出口统计数据</w:t>
      </w:r>
      <w:r>
        <w:tab/>
      </w:r>
      <w:r>
        <w:fldChar w:fldCharType="begin"/>
      </w:r>
      <w:r>
        <w:instrText xml:space="preserve"> PAGEREF _Toc23425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_Toc29747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月份航空煤油进出口统计数据</w:t>
      </w:r>
      <w:r>
        <w:tab/>
      </w:r>
      <w:r>
        <w:fldChar w:fldCharType="begin"/>
      </w:r>
      <w:r>
        <w:instrText xml:space="preserve"> PAGEREF _Toc29747 </w:instrText>
      </w:r>
      <w:r>
        <w:fldChar w:fldCharType="separate"/>
      </w:r>
      <w:r>
        <w:t>34</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12675"/>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16355"/>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2021/1/28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52.34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55.53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原油期货价格下跌。尽管美国原油库存大幅下降,但是旅运限制引发新的燃料需求疑虑、以及新冠疫苗接种不及时，均令油价受抑。</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2021/1/29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55.88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原油期货价格涨跌互现。市场对OPEC+将继续执行减产、沙特将主动扩大减产幅度的前景持乐观预期，抵消了对疫情形势可能抑制原油需求的担忧。</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53.55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56.35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东北部地区遭遇数年来最严重的暴风雪袭击，或推动冬季燃油需求上涨，并抵消了对疫情形势可能抑制原油需求的担忧，提振油价走高。此外，欧佩克1月份产量增幅小于预期，减产协议履行率上升，2月份沙特阿拉伯承诺减产生效，也都助力油价。</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54.76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57.46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原油收盘上涨，OPEC核心国家原油出口量仍在下滑，数据显示，1月从沙特阿拉伯、伊拉克、阿联酋和科威特发运的原油和凝析油的总出货量环比减少近43万桶/日。OPEC严守减产承诺的态度为油价带来有力提振。</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58.46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EIA库存数据喜忧参半，原油库存小幅下降的同时，汽油库存增幅超出市场预期。但另一方面，OPEC会议期间，市场对减产后续的乐观预期仍在提振油价。</w:t>
            </w:r>
          </w:p>
        </w:tc>
      </w:tr>
    </w:tbl>
    <w:p>
      <w:pPr>
        <w:jc w:val="center"/>
        <w:rPr>
          <w:rFonts w:hint="eastAsia"/>
        </w:rPr>
      </w:pPr>
    </w:p>
    <w:p>
      <w:pPr>
        <w:pStyle w:val="3"/>
        <w:spacing w:before="120" w:after="120" w:line="240" w:lineRule="auto"/>
        <w:rPr>
          <w:rFonts w:hint="eastAsia" w:ascii="宋体" w:hAnsi="宋体" w:cs="Arial"/>
          <w:b/>
          <w:kern w:val="0"/>
          <w:sz w:val="30"/>
          <w:szCs w:val="30"/>
        </w:rPr>
      </w:pPr>
      <w:bookmarkStart w:id="2" w:name="_Toc19257"/>
      <w:r>
        <w:rPr>
          <w:rFonts w:hint="eastAsia" w:ascii="宋体" w:hAnsi="宋体"/>
          <w:b/>
          <w:sz w:val="30"/>
          <w:szCs w:val="30"/>
        </w:rPr>
        <w:t>1.2 20</w:t>
      </w:r>
      <w:r>
        <w:rPr>
          <w:rFonts w:hint="eastAsia" w:ascii="宋体" w:hAnsi="宋体"/>
          <w:b/>
          <w:sz w:val="30"/>
          <w:szCs w:val="30"/>
          <w:lang w:val="en-US" w:eastAsia="zh-CN"/>
        </w:rPr>
        <w:t>21</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4457065" cy="37617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57065" cy="376174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9334"/>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115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3324523"/>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的数据显示，截至1月22日当周美国除却战略储备的商业原油库存录得锐减，精炼油库存降幅略超预期，汽油库存增幅超预期。具体数据显示:美国1月22日当周EIA原油库存锐减991.0万桶，预期增加37.573万桶，前值增加435.2万桶。美国1月22日当周EIA库欣原油库存减少228.1万桶，前值增加472.7万桶。美国1月22日当周EIA汽油库存增加246.9万桶，预期增加94.718万桶，前值减少25.9万桶。美国1月22日当周EIA馏分油库存减少81.5万桶，预期减少33.392万桶，前值增加45.7万桶。美国1月22日当周EIA精炼油产能利用率下降0.80%至81.7%，预期下降0.38%，前值增加0.50%。截至1月22日当周，原油库存减少527.2万桶，至约4.818亿桶，分析师预估为增加60.3万桶。但汽油和精炼油库存分别增加305.8万桶和139.8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3324524"/>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4日凌晨，美股周三收盘涨跌不一，纳指小幅收跌，标普指数连续第三日收高。投资者正在权衡谷歌等的财报与经济数据。拜登刺激计划进入快车道。投资者对Reddit论坛用户发起的逼空交易的担忧有所缓解。</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道指涨36.12点，或0.12%，报30723.60点;纳指跌2.23点，或0.02%，报13610.54点;标普500指数涨3.86点，或0.10%，报3830.17点。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谷歌的母公司Alphabet股价上涨逾8%，此前这家科技行业巨头宣布，受谷歌的广告业务复苏推动，公司营收增长23%，盈利超出预期。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亚马逊宣布盈利约为市场预期值的两倍。其营收攀升至1255.6亿美元创历史新高，史上首次突破象征性的1000亿美元关口。该公司同时宣布贝索斯将不再担任CEO。</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安进收跌1.4%，成为跌幅最大的道指成分股。这家生物技术公司发布了弱于市场预期的全年业绩指引，指出新冠疫情仍在拖累其销售收入。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周三收盘后，高通、电子港湾、PayPal与百胜中国等均将公布财报。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周三的ADP就业报告显示，美国1月份的ADP私营层面就业人数增加17.4万，远高于市场预期。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E-Trade Financial投资策略常务理事Mike Loewengart表示：“ADP数据暗示美国经济正在恢复强劲增长动力。与这份数据一道，本周大型科技股令人瞩目的盈利报告，以及疫苗推广力度增大、美国新增新冠感染人数下降等积极因素均表明：积极的大背景正在形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由Reddit论坛用户发起的散户投机交易狂潮正在消退，投资者对整体市场的信心有所提升。周三美股券商Robinhood放松对AMC院线和游戏驿站的交易限制。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巴克莱股票衍生品策略主管Maneesh Deshpande表示：“对散户逼空交易狂潮可能蔓延的担忧暂时减缓。尽管一些热门股出现了相对强力的井喷式上涨，但从整体来看，受到影响的短期逼空交易股票仍然只是美国股票市场上微不足道的一小部分。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抗疫纾困刺激计划方面，尽管国会共和党在周二表示反对，但美国国会在推行拜登的1.9万亿美元刺激计划方面又取得了进展。美国总统拜登将于周三在白宫与民主党参议员会面，以讨论他的全面经济刺激计划。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会参众两院都投票同意启动关于预算决议的辩论，在按党派划分的投票表决中，民主党在两院的多数地位被证明是至关重要的，民主党未来可能在无需共和党人支持的情况下批准拜登刺激计划的大部分内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据媒体报道，若要使拜登的刺激方案成为法律，就必须起草一份独立的、更加详细的文本，但最终投票至少要到3月份才可能进行。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投资者还在关注美国的疫苗接种推广进程。白宫证实将实行每周疫苗供应量增加到1150万剂、直接将疫苗分配给4万多家药房的计划。美国总统拜登谴责前任总统特朗普统治时期的疫苗推广速度缓慢。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美国1月ADP就业人数大增17.4万 证实经济出现复苏迹象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美国ADP就业机构周三报告称，1月ADP就业人数增加17.4万，远超预期的增加4.9万。前值从减少12.3万人上修至减少7.8万人。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号称“小非农”的ADP数据公布后，美国10年期国债收益率走高，报1.122%;现货黄金短线走低近3美元。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分析师称，ADP就业报告证明美国经济显示出复苏迹象，美国经济看来已经从国会12月底批准的9000亿美元援助计划中受益。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在此之前，美国上周公布的初请失业救济人数已连续两周下降，而每周消费者信心指数和餐厅预订量等数据也显示出一定程度的走强。美国银行收集的信用卡和借记卡数据均显示消费者支出回升。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Jefferies LLC的经济学家马科夫斯卡和西蒙斯认为，2月份将是经济增长加速的拐点。美国国会预算办公室周一表示，美国GDP从疫情中复苏的速度远快于此前的预期。预计在2020年收缩3.5%之后，今年GDP将增长4.6%，这是自1999年以来最快的增长速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劳工部将于本周五公布1月非农就业数据。经济学家对非农就业人数变化的估计预测差别很大，范围从减少25万人到增加40万人都有，但预期中值为增加7万，料将从去年12月的低迷中反弹(前值为减少14万);1月失业率料将录得6.7%，与前值持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另一份数据表明，美国服务业增速1月份出人意料加速到近两年最高水平，因为订单的增加鼓励了招聘反弹。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根据周三发布的数据，供应管理协会(ISM)的服务业指数从12月的57.7升至58.7。经济学家预期中值为降至56.7。在此之前，ISM周一的报告显示制造业在1月份保持强劲。</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ISM服务业指数的新订单指标1月份升至61.8，为7月以来最高。上个月的积压订单也有所增加。然而，出口需求指标以5月以来最快速度收缩。同时，随着公司努力补充库存，进口增加。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拜登1.9万亿美元刺激计划进入快车道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美国总统拜登将于周三在白宫与民主党参议员会面，以讨论他的全面经济刺激计划。白宫宣布，拜登通过电话出席众议院民主党党团周会后，将在总统办公室会见参议员。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周二美国参议院民主党人推动拜登的1.9万亿美元刺激计划进入获得通过的快速通道，增加了其最终按照党派路线投票获得通过的可能性。美国参议院将于2月4日就决议进行最后表决，众议院也将于本周投票。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参议院2月2日以50票对49票的投票结果，就2021财政年度预算决议开始辩论，此举将为拜登救济计划以简单多数而不是大多数立法所需的60票在参议院获得通过扫清道路。参议院将于2月4日就决议进行最后表决，而众议院也将于本周投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参议院多数党领袖查舒默表示，这一名为“和解”(reconciliation)的程序欢迎共和党参与，而刺激方案仍可以随着他们的加入而进行调整。但他称，民主党人在提振经济方面不会冒行动缓慢或胆小怯懦之险。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两院均采取行动后，众议院和参议院委员会将在2月16日之前制定刺激法案的内容。这项立法将必须保持在1.9万亿美元以下，并遵守参议院不纳入非财政条款的规定，以免遭到共和党人的阻挠。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共和党人表示，现在就启动快速预算程序说明，拜登并不真想努力达成两党的刺激协议。印第安纳州共和党参议员Todd Young说：“我认为他对核心组织的最左端没有太多掌控力。”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舒默对记者表示，拜登2月2日告诉参议院民主党人，10位共和党人提出的6180亿美元提案规模太小，无法接受，并敦促他们采取更大胆的行动。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由于民主党及其盟友在参院仅拥有勉强达到半数的50席议席，所有的民主党和独立派议员在协调法案和预算方面必须团结一致，如果有1人反水，法案就无法过关，因而民主党是否拥有独力通过刺激法案所需的50票也存在不确定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西弗吉尼亚州的Joe Manchin和蒙大拿州的Jon Tester这两位温和派民主党参议员表示，他们愿意推动这一进程，但会寻求调整拜登的计划，包括提议将联邦最低工资提高到每小时15美元。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单单是拜登刺激方案推动着经济乐观情绪，美国新财长耶伦的最新评论也暗示，美国迫切需要经济救援。她表示：“根据国会预算办公室的预测，美国再次实现充分就业还需要数年时间。国会预算办公室的预测显示，我们迫切需要国会就救助计划采取行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作为进程的一部分，美国参议院2月4日将就各种修正案进行一长串的投票，可能持续到第二天早晨。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白宫将为增加疫苗接种点 新冠疫苗将直供零售药房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当地时间2月2日，美国白宫新冠疫情应对协调员杰夫-齐恩茨在白宫新冠疫情发布会上表示，为方便各州和地方政府更好地管理和加快疫苗接种速度，美国政府将于本周向美国全国分发1050万剂新冠肺炎疫苗。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另外，为了让更广泛的人群尽快接种新冠肺炎疫苗，联邦政府计划于2月11日在全国范围内直接向药房提供疫苗，以为人们提供更多的疫苗接种场所。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齐恩茨表示，开始阶段的疫苗供应约100万剂，目前全国有大约6500家药房参与了这项计划，此后将进一步扩大，最终美国全国将有约4万家药房可提供新冠疫苗的接种。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齐恩茨表示，虽然早期的供应非常有限，但依然会优先照顾有严重疾病风险的人群和弱势群体，人们应该首先确保他们符合所在州的疫苗接种资格，然后在当地药房网站上查看是否可以预约。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美股券商Robinhood放松对AMC院线和游戏驿站的交易限制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市场继续关注散户抱团的逼空交易。在获得数十亿美元融资后，美国在线券商Robinhood放松了对散户抱团股的限制，其中游戏驿站股票的交易上限从20股提高到100股。同时游戏驿站和高斯电子等股票转涨。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继国会将就散户引发的市场波动举行听证会后，美国财政部也发布声明，表示希望了解游戏驿站和其他散户重仓股票的最新交易情况。</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美国财长耶伦本周将召集美国证监会、美联储、纽约联储和美国商品期货交易委员会(CFTC)开会，讨论游戏驿站相关的市场波动问题。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据报道，美国证监会正在搜查推动游戏驿站上涨的社交媒体帖子中的欺诈行为。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据知情人士透露，SEC调查人员正在搜查社交媒体和留言板上的帖子，寻找欺诈在游戏驿站、AMC院线和其他公司股价波动中扮演了重要角色的迹象。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这些知情人士表示，SEC在进行审查的同时，还对交易数据进行审查，以评估这些帖子是否属于操纵行为，以推高股价。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知情人士说，SEC还在调查券商如何处理交易量增加的问题，并决定在交易量激增期间限制交易，以及这些公司在限制交易时是否遵守了规定，是否在向客户全面披露信息方面保持一致。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3月交割的西德州中质原油(WTI)期货价格上涨93美分，涨幅1.7%，收于每桶55.69美元，创2020年1月以来最高收盘价。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Theme="minorEastAsia" w:hAnsiTheme="minorEastAsia" w:eastAsiaTheme="minorEastAsia" w:cstheme="minorEastAsia"/>
          <w:b/>
          <w:bCs/>
          <w:sz w:val="28"/>
          <w:szCs w:val="28"/>
        </w:rPr>
      </w:pPr>
      <w:bookmarkStart w:id="7" w:name="_Toc63324525"/>
      <w:r>
        <w:rPr>
          <w:rFonts w:hint="eastAsia" w:asciiTheme="minorEastAsia" w:hAnsiTheme="minorEastAsia" w:eastAsiaTheme="minorEastAsia" w:cstheme="minorEastAsia"/>
          <w:b/>
          <w:bCs/>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联合国贸发会议发布最新一期《全球投资趋势监测报告》显示，2020年中国吸收外资逆势增长，超过美国成为全球最大外资流入国。成为全球吸引外资的一抹亮色。</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本是逐利的，决定外资走向的根本因素是所在国的盈利能力，或者说经济增长韧性。受新冠肺炎疫情影响，2020年全球出现了大范围停产停工，甚至供应链局部中断现象，全球外国直接投资缩水42%。尽管全球各地同样遭受疫情冲击，但各国政府治理能力、经济增长韧性表现出显著差异。欧美发达经济体复苏相对更慢，普遍出现负增长;中国较快遏制疫情大范围传播并进行常态化防控，成为2020年全球主要经济体中唯一正增长国家。这“一正一负”也表现在了吸收外资数据上，2020年发达经济体外国直接投资下降69%，其中美国缩水近一半;发展中经济体下滑12%，其中中国逆势上扬4%。这也与近年来世界格局变化相一致，发展中经济体占全球外国直接投资比重达72%，为历史最高纪录，其中中国以19%份额占全球榜首。可以说，新冠肺炎疫情未改变全球经济格局，当今世界仍处于百年未有之大变局，但疫情加剧了既有格局的演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这一成绩的取得，表明外部环境相对改善。2018年以来，美国发起对华贸易争端、遏制中国5G等科技投资、炒作“一带一路”债务陷阱等举动，中国对外贸易投资环境有所恶化。2020年这一情况得到扭转。新冠肺炎疫情全球大流行使得欧美主要关注如何应对疫情和恢复经济，跨国企业对华经贸活动更加务实。中国稳健的经济复苏、广阔的消费市场、完备的产业链成为外商加大对华投资的内生动力，使中国成为外资“避风港”。中国德国商会于2020年12月的一项调查显示，大多数在华外企一直走在复苏的道路上，72%受访企业已恢复满负荷生产，大量企业计划增加对华投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更重要的是，中国的对外开放制度赢得了全球投资者的信心。近年来，单边主义、贸易保护主义抬头，经济全球化遭遇逆流。2020年欧美进一步封锁国门，尤其收紧了对科技产业投资的审查。中国则坚持全球化道路，对外开放的大门越开越大。党的十九届五中全会提出，坚持实施更大范围、更宽领域、更深层次对外开放。2020年以来，中国全面落实外商投资法及其实施条例，缩减外商投资准入负面清单，出台《海南自由贸易港建设总体方案》，取消证券公司等外资股比限制。而且，中国分别与东盟和部分亚太国家、欧盟签署了区域全面经济伙伴关系协定(RCEP)、中欧投资协定。这些举措赢得了全球投资者的高度欢迎，鼓舞了对华投资信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综合来看，中国取代美国成为全球最大的外资流入国，是应对疫情及时有效、外部环境持续改善和自身开放大幅提升三方面综合作用的结果，反映出全球投资者对中国政府治理能力和经济增长韧性的充分肯定。</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向未来，中国作为全球第二大经济体将对全球经济发挥更加重要的作用，吸收外资数量持续增长、结构不断优化。一方面，中国经济增长和市场需求前景较好，有利于稳定外商投资预期。据世界银行、国际货币基金组织等机构预测，2021年中国仍将是全球经济增长主要引擎，增长率接近甚至高于8%。中国促进形成强大国内市场和着力扩大内需也为外资在华投资设厂提供了良好机遇。另一方面，对外开放制度水平的提升将发挥长期作用，持续改善外商投资环境并提高投资盈利能力。疫情冲击和外部环境变化具有较大不确定性，尤其是拜登担任美国总统之后国际地缘政治形势仍不明朗，但只要中国不断提升对外开放水平，加强自身营商环境建设，减少外资限制，外资必将源源不断地涌入。而且，随着中国经济高质量发展，外资结构也将持续改善，这在2020年数据中已露端倪。2020年中国服务业、高技术产业、高技术服务业实际使用外资分别增长13.9%、11.4%、28.5%，远高于吸收外资总体增速。当然，考虑到美国2020年吸收外资缩水近一半，其短期内可能大幅反弹并反超中国，但这不改变中国吸收外资稳健增长的长期趋势。</w:t>
      </w:r>
    </w:p>
    <w:p>
      <w:pPr>
        <w:pStyle w:val="23"/>
        <w:spacing w:line="360" w:lineRule="auto"/>
        <w:ind w:firstLine="560" w:firstLineChars="200"/>
        <w:rPr>
          <w:rFonts w:hint="eastAsia" w:asciiTheme="minorEastAsia" w:hAnsiTheme="minorEastAsia" w:eastAsiaTheme="minorEastAsia" w:cstheme="minorEastAsia"/>
          <w:sz w:val="28"/>
          <w:szCs w:val="28"/>
        </w:rPr>
      </w:pPr>
    </w:p>
    <w:p>
      <w:pPr>
        <w:rPr>
          <w:rFonts w:hint="eastAsia"/>
        </w:rPr>
      </w:pPr>
    </w:p>
    <w:p>
      <w:pPr>
        <w:pStyle w:val="23"/>
        <w:numPr>
          <w:ilvl w:val="0"/>
          <w:numId w:val="2"/>
        </w:numPr>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bookmarkStart w:id="8" w:name="_Toc6262"/>
      <w:r>
        <w:rPr>
          <w:rFonts w:hint="eastAsia" w:ascii="宋体" w:hAnsi="宋体" w:eastAsia="宋体" w:cs="宋体"/>
          <w:color w:val="333335"/>
          <w:kern w:val="2"/>
          <w:sz w:val="28"/>
          <w:szCs w:val="28"/>
          <w:shd w:val="clear" w:color="auto" w:fill="FFFFFF"/>
        </w:rPr>
        <w:t>本周美国WTI原油原油价格在52.2-55.69美元/桶。布伦特原油价格在55.53-58.46美元/桶震荡。周内国际油价窄幅整理。油价周三上涨近2%，美国原油结算价达到一年来最高水平，此前发布的数据显示美国原油库存降至去年3月以来最低。WTI原油期货上涨0.93美元，或1.7%，结算价报每桶55.69美元，为2020年1月22日以来的最高水平，盘中稍早曾一度高见56.33美元。布伦特原油期货上涨1美元，涨幅1.7%，结算价报每桶58.46美元，为2020年2月21日以来的最高水平。基本面利好因素：1.埃克森美孚正与美国另一家石油公司雪佛龙谈论合并事宜，如果交易达成，可能会是有史以来最大规模的企业兼并案例之一，并将重塑石油行业。埃克森美孚首席执行官和雪弗龙首席执行官在去年疫情造成油价暴跌后就曾讨论过合并的问题。这也可能是有史以来规模最大的企业合并。Dealogic的数据显示，这一纪录目前由沃达丰集团在2000年斥资1810亿美元收购德国企业Mannesmann AG的交易所保持。2.即使限产措施已经放松，欧佩克核心国家原油出口仍在下滑。其中最大的降幅来自沙特阿拉伯，该国1月出货量下降68.8万桶/日。四个海湾国家运往中国的石油减少35万桶/日，降幅为9%。尽管限制产量措施有所放宽，并且生产量增加，欧佩克波斯湾产油国的石油出货量上个月仍有所下滑。彭博监测的船舶追踪数据显示，1月从沙特阿拉伯、伊拉克、阿联酋和科威特发运的原油和凝析油的总出货量比12月减少了近43万桶/日。阿联酋是上个月唯一一个增加出货量的国家。3.欧佩克上月按原计划提高了原油产量，但由于长期陷入困境的成员国供应中断，产量增幅有所减弱。一项调查显示，欧佩克今年1月将石油日产量提高了19万桶，这符合欧佩克+达成的恢复疫情期间中断的部分供应的协议。然而，增产幅度仅是计划的三分之二，因欧佩克波斯湾出口国的产量增长被非洲国家尼日利亚和利比亚的供应中断所抵消。调查显示，欧佩克13个成员国1月份的平均日产量为2567万桶。基本面利空因素：1.香港时间周三晚23:30，美国能源信息署(EIA)公布的数据显示，截至1月29日当周，EIA原油库存减少99.4万桶至4.757亿桶，预期减少50万桶，前值减少991万桶。美国上周原油出口增加12.8万桶/日至348.3万桶/日。美国原油产品四周平均供应量为1936.5万桶/日，较去年同期减少4.3%;当日凌晨，美国石油协会(API)公布的数据显示，截至1月29日当周，API原油库存减少426.1万桶，预期增加36.7万桶;汽油库存减少24万桶;精炼油库存减少162.2万桶。2.据Worldometers世界实时统计数据显示，截至香港时间2月3日13时22分，全球新冠肺炎累计确诊病例突破1亿零439万例，达到104,393,853例，累计死亡病例超过226.2万例，达到2,262,795例。美国新冠肺炎累计确诊病例全球最多，超过2702万例，达到27,027,347例;累计死亡病例超过45.7万例，达到457,856例。3.2020年，全球勘探开发资本支出下降了30%，其中北美下降幅度最大。即使油价和收入回升，石油行业仍面临一系列挑战，这些挑战可能会限制未来的投资。石油公司的债务水平处于创纪录水平，投资者态度趋于客观。过去10年里，能源是标普500指数中表现最差的板块，投资者都在要求更高的回报。石油公司关注到了这一需求，相信未来资本约束将是一大关键。另一个不利因素是，开发新的上游项目的成本预计很难大幅下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预测下周WTI油价将触及51-56美元/桶，布油在之后几个月触及54-59美元/桶。</w:t>
      </w:r>
    </w:p>
    <w:p>
      <w:pPr>
        <w:pStyle w:val="3"/>
        <w:spacing w:before="120" w:after="120" w:line="240" w:lineRule="auto"/>
        <w:rPr>
          <w:rFonts w:hint="eastAsia" w:ascii="宋体" w:hAnsi="宋体" w:eastAsia="宋体"/>
          <w:b/>
          <w:sz w:val="30"/>
          <w:szCs w:val="30"/>
          <w:highlight w:val="none"/>
          <w:lang w:val="en-US" w:eastAsia="zh-CN"/>
        </w:rPr>
      </w:pPr>
      <w:r>
        <w:rPr>
          <w:rFonts w:hint="eastAsia" w:ascii="宋体" w:hAnsi="宋体"/>
          <w:b/>
          <w:sz w:val="30"/>
          <w:szCs w:val="30"/>
          <w:highlight w:val="none"/>
        </w:rPr>
        <w:t>2.2国际市场MTBE价格</w:t>
      </w:r>
      <w:bookmarkEnd w:id="8"/>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170.80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565.00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579.00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167.54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555.00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564.50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164.95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538.75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565.00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164.75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538.75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565.50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165.79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534.25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7156"/>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7991"/>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7560" w:type="dxa"/>
        <w:tblInd w:w="0" w:type="dxa"/>
        <w:shd w:val="clear" w:color="auto" w:fill="auto"/>
        <w:tblLayout w:type="autofit"/>
        <w:tblCellMar>
          <w:top w:w="0" w:type="dxa"/>
          <w:left w:w="0" w:type="dxa"/>
          <w:bottom w:w="0" w:type="dxa"/>
          <w:right w:w="0" w:type="dxa"/>
        </w:tblCellMar>
      </w:tblPr>
      <w:tblGrid>
        <w:gridCol w:w="1069"/>
        <w:gridCol w:w="1069"/>
        <w:gridCol w:w="1072"/>
        <w:gridCol w:w="1069"/>
        <w:gridCol w:w="1072"/>
        <w:gridCol w:w="1130"/>
        <w:gridCol w:w="1079"/>
      </w:tblGrid>
      <w:tr>
        <w:tblPrEx>
          <w:shd w:val="clear" w:color="auto" w:fill="auto"/>
          <w:tblCellMar>
            <w:top w:w="0" w:type="dxa"/>
            <w:left w:w="0" w:type="dxa"/>
            <w:bottom w:w="0" w:type="dxa"/>
            <w:right w:w="0" w:type="dxa"/>
          </w:tblCellMar>
        </w:tblPrEx>
        <w:trPr>
          <w:trHeight w:val="300" w:hRule="atLeast"/>
        </w:trPr>
        <w:tc>
          <w:tcPr>
            <w:tcW w:w="7560" w:type="dxa"/>
            <w:gridSpan w:val="7"/>
            <w:tcBorders>
              <w:top w:val="single" w:color="000000" w:sz="8" w:space="0"/>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中石化旗下炼厂检修计划</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炼厂名称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加工能力</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检修装置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检修产能（单位：万吨）</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起始时间</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结束时间</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2020/11/26</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2021/1/1</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济南炼化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2021年3月</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燕山石化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4#常减压</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2021年3月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2021年5月</w:t>
            </w:r>
          </w:p>
        </w:tc>
      </w:tr>
      <w:tr>
        <w:tblPrEx>
          <w:tblCellMar>
            <w:top w:w="0" w:type="dxa"/>
            <w:left w:w="0" w:type="dxa"/>
            <w:bottom w:w="0" w:type="dxa"/>
            <w:right w:w="0"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长岭石化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2021年3月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2021年4月中旬</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2021年4月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CellMar>
            <w:top w:w="0" w:type="dxa"/>
            <w:left w:w="0" w:type="dxa"/>
            <w:bottom w:w="0" w:type="dxa"/>
            <w:right w:w="0" w:type="dxa"/>
          </w:tblCellMar>
        </w:tblPrEx>
        <w:trPr>
          <w:trHeight w:val="300" w:hRule="atLeast"/>
        </w:trPr>
        <w:tc>
          <w:tcPr>
            <w:tcW w:w="7560" w:type="dxa"/>
            <w:gridSpan w:val="7"/>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中石油旗下炼厂检修计划</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炼厂名称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加工能力</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检修装置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检修产能（单位：万吨）</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起始时间</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结束时间</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2020/12/5</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2021/1/24</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2021年5月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2021年7月</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2021年7月</w:t>
            </w:r>
          </w:p>
        </w:tc>
      </w:tr>
      <w:tr>
        <w:tblPrEx>
          <w:tblCellMar>
            <w:top w:w="0" w:type="dxa"/>
            <w:left w:w="0" w:type="dxa"/>
            <w:bottom w:w="0" w:type="dxa"/>
            <w:right w:w="0"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格尔木炼厂</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青海</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2021/7/1</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2021/8/15</w:t>
            </w:r>
          </w:p>
        </w:tc>
      </w:tr>
      <w:tr>
        <w:tblPrEx>
          <w:tblCellMar>
            <w:top w:w="0" w:type="dxa"/>
            <w:left w:w="0" w:type="dxa"/>
            <w:bottom w:w="0" w:type="dxa"/>
            <w:right w:w="0" w:type="dxa"/>
          </w:tblCellMar>
        </w:tblPrEx>
        <w:trPr>
          <w:trHeight w:val="300" w:hRule="atLeast"/>
        </w:trPr>
        <w:tc>
          <w:tcPr>
            <w:tcW w:w="7560" w:type="dxa"/>
            <w:gridSpan w:val="7"/>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中海油旗下炼厂检修计划</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炼厂名称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加工能力</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检修装置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检修产能（单位：万吨）</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起始时间</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结束时间</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2021/3/1</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2021/4/15</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惠州炼化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二期</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2021年3月</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2021年4月</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8265"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785"/>
      </w:tblGrid>
      <w:tr>
        <w:tblPrEx>
          <w:shd w:val="clear" w:color="auto" w:fill="auto"/>
          <w:tblCellMar>
            <w:top w:w="0" w:type="dxa"/>
            <w:left w:w="0" w:type="dxa"/>
            <w:bottom w:w="0" w:type="dxa"/>
            <w:right w:w="0" w:type="dxa"/>
          </w:tblCellMar>
        </w:tblPrEx>
        <w:trPr>
          <w:trHeight w:val="300" w:hRule="atLeast"/>
        </w:trPr>
        <w:tc>
          <w:tcPr>
            <w:tcW w:w="8265"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地方炼厂装置检修计划表(单位：万吨)</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区域</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炼厂名称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检修装置</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产能</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开工时间</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停工时间</w:t>
            </w:r>
          </w:p>
        </w:tc>
      </w:tr>
      <w:tr>
        <w:tblPrEx>
          <w:tblCellMar>
            <w:top w:w="0" w:type="dxa"/>
            <w:left w:w="0" w:type="dxa"/>
            <w:bottom w:w="0" w:type="dxa"/>
            <w:right w:w="0"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日照</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海右石化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柴油加氢</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2021年2月</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2021年1月16日</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红海化工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2021年2月</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2021年1月15日</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神驰化工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催化裂化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2021年2月</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2021年1月10日</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催化裂化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2021年1月25日</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2020年12月底</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淄博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鑫泰石化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延迟焦化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2020年12月底</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菏泽</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东明石化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催化裂化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2021年1月中旬</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2021年1初</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永鑫石化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催化裂化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2021年1月中旬</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2021年1初</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垦利石化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柴油加氢</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2020年12月20日</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2020年12月10日</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亨润德石化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常减压</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2021年1月底</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2020年10月23日</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京博石化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延迟焦化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待定</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2020年8月下旬</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淄博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常减压</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待定</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2020年6月底</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东方华龙</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催化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待定</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2020年1月1日</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垦利石化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小重整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待定</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2019年4月27日</w:t>
            </w:r>
          </w:p>
        </w:tc>
      </w:tr>
      <w:tr>
        <w:tblPrEx>
          <w:tblCellMar>
            <w:top w:w="0" w:type="dxa"/>
            <w:left w:w="0" w:type="dxa"/>
            <w:bottom w:w="0" w:type="dxa"/>
            <w:right w:w="0"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龙海石化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全厂检修</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2021年3月底</w:t>
            </w:r>
          </w:p>
        </w:tc>
        <w:tc>
          <w:tcPr>
            <w:tcW w:w="178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2021年2月2日</w:t>
            </w:r>
          </w:p>
        </w:tc>
      </w:tr>
    </w:tbl>
    <w:p>
      <w:pPr>
        <w:numPr>
          <w:ilvl w:val="0"/>
          <w:numId w:val="0"/>
        </w:numPr>
        <w:rPr>
          <w:rFonts w:hint="eastAsia" w:ascii="宋体" w:hAnsi="宋体"/>
          <w:sz w:val="28"/>
          <w:szCs w:val="28"/>
          <w:highlight w:val="none"/>
        </w:rPr>
      </w:pPr>
    </w:p>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1575"/>
      <w:r>
        <w:rPr>
          <w:rFonts w:hint="eastAsia" w:ascii="宋体" w:hAnsi="宋体"/>
          <w:b/>
          <w:sz w:val="30"/>
          <w:szCs w:val="30"/>
          <w:highlight w:val="none"/>
        </w:rPr>
        <w:t>3.2本周成品油市场行情</w:t>
      </w:r>
      <w:bookmarkEnd w:id="11"/>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国际原油期价持续上涨，据测算第四个工作日参考原油变化率为2.4%。受此影响，国内成品油市场行情整体上行，部分地区主营汽柴油价格上调。与此同时，山东地炼汽柴油行情涨势再起，区内炼厂报价频频调涨，其成交优惠100元/吨左右。具体来看出货方面：外盘油价连续上涨提振业者心态，区内油市看涨气氛热烈，加上春节假期临近，终端用户及贸易商备货操作增加，市场交投气氛活跃。据了解，周期内地炼整体</w:t>
      </w:r>
      <w:bookmarkStart w:id="22" w:name="_GoBack"/>
      <w:bookmarkEnd w:id="22"/>
      <w:r>
        <w:rPr>
          <w:rFonts w:hint="default" w:asciiTheme="minorEastAsia" w:hAnsiTheme="minorEastAsia" w:eastAsiaTheme="minorEastAsia" w:cstheme="minorEastAsia"/>
          <w:color w:val="333335"/>
          <w:kern w:val="2"/>
          <w:sz w:val="28"/>
          <w:szCs w:val="28"/>
          <w:shd w:val="clear" w:color="auto" w:fill="FFFFFF"/>
        </w:rPr>
        <w:t>出货表现顺畅，汽柴油平均产销比在100-110%附近。</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本周(1月29日-2月4日)消息面利好助推,华中区内汽油以涨为主 具体分析如下，周初，国际油价窄幅调整，零售价虽刚刚兑现小涨，但新一轮变化率0附近波动，消息面缺乏有力支撑。步入新一销售周期，受春节假期影响，本月销售压力普遍较大，主营多积极赶量为主。成交重心稳中下滑。不过近日原油受减产支撑接连大幅收涨，零售价上调预期逐步显现，消息面利好加深支撑油市。受此影响，山东地炼频频推价，主营成本面大幅增加。再加上汽油需求走势稳好，主营方面顺势推涨报价，尤其汽油价格接连调涨，不过为维持销量，多数单位实盘出货仍存较大优惠空间。下游节前陆续备货到位，市场整体购销气氛持淡。后市而言，短期原油或有望维持偏强运行，零售价或将再度上调，消息面将维持利好指引。春节渐近，预计近期主营价格高位持坚，部分单位汽油仍存上行空间，柴油波动幅度相对有限，销售维持灵活宽松优惠。</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28日-2月4日)，华南成品油市场延续稳中上涨走势，交投气氛清淡。具体来看，本周国际原油市场连续三日大幅推涨，成品油调价窗口转为上调预期，消息面对国内油价形成一定的拉动，周内广东地区除中石油汽油价格高位回落后，中石化及中海油价格均维持上涨走势，主营单位顺势推涨热情高涨，但从终端需求来看，下游基建工程、企业多数停工，目前主供物流及加油站需求，业者寻货热情不高，整体交投气氛清淡。福建及海南地区汽柴油市场保持平稳走势，主营出货量有限，价格面多维持平稳走势。随着春节临近，终端需求量降至冰点，节前下游补货也基本结束，市场呈现空涨行情，受成品油上调预期提振，预计短期内整体行情将维持窄幅盘整走势。</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29日-2月4日)，华东地区成品油行情涨跌不一，消息面利好因素主导，市场整体购销平平。具体来看，周初国际油价震荡下跌，原油变化率由正转负，虽零售价兑现小幅上调，但对市场提振有限，加之春节假期临近，市场整体需求平淡，部分主营单位大幅下调汽柴油价格。周尾国际油价换月连续大涨，对市场信心提振，区内各主营单位纷纷借势上调汽柴油价格，但就地过年政策全面铺开，区内汽柴油需求萎缩，业者入市大单补货几无，市场整体购销平平。后市而言，国际油价或保持震荡为主，消息面或利好因素支撑，但恰逢春节假期，市场处于停滞状态，汽柴需求几无，下游商家多消库为主，补货心态谨慎，故预计短期内华东地区成品油行情或趋稳整理为主。</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29日-2月4日)，西南地区汽柴行情走势震荡，市场成交提升有限。分析来看：上周五成品油零售价兑现“六连涨”，个别地区主营价格跟涨。进入本周，国际油价连续冲高，新一轮变化率由负转正，上调预期持续增强，消息面对市场呈现利好指引。不过，春节假期临近，工程基建等行业多停工休假，柴油需求持续萎缩，业者补货有限;汽油方面，下游需求相对旺盛，但对整体行情支撑有限。此外，主营价格偏高，业者补货谨慎，市场成交仍显平淡。主营单位出货不畅，部分地区加大优惠促销力度，整体行情略有下移。就后市而言，国际油价高位震荡，本轮成品油零售价上调仍为大概率事件，消息面利好仍存。不过，需求面分化，汽油行情或震荡走高，柴油行存下行压力。春节将至，下游补货基本到位，市场成交难有提升，主营单位销售政策灵活。</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29日-2月4日)，小涨预期作用市场，华北区内行情汽涨柴跌。分析来看，本周初原油走势震荡，国内调价预期维持小涨，但区内中石油汽油普遍推至6600-6700元/吨，部分中石化单位小幅汽油上推，主营销售政策灵活应市，但因周末山东地炼市场价格走跌，下游市场观望气氛较重，实盘操作意向不高。周内原油走势高位整理，调价预期维持小涨，因柴油需求进一步回落，柴油价格小幅下行，汽油价格暂时坚挺，但成交优惠幅度拉宽，下游谨慎接货，成交气氛维持淡稳。后市而言，因各国为阻止新冠病例激增多实行旅行限制政策，引发市场对燃料需求减弱的疑虑，短期内原油走势将难有上涨行情。本轮调价小涨预期基本落实，新一轮调价预期初始暂时显示搁浅，下周主营单位虽进入新的销售周期，但因临近春节假期，主营单位将继续积极出货为主，价格走势难有大幅上涨空间，预计区内汽油价格高位坚挺，成交政策灵活应市，柴油价格将继续承压下行。</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29日-2月4日)，西北地炼汽柴行情大致走稳，市场成交气氛平平。分析来看：周内国际油价高位震荡，变化率正向区间窄幅波动，本轮零售价存小涨可能，但消息面对市场支撑力度仍有限。与此同时，冬季户外工程基建等行业开工受限，尤其随着春节假期临近，停工休假企业增多，柴油需求持续转淡。业者操作意向持低，消库之余按需采购为主，市场成交清淡;汽油方面，今年疫情影响下，政府鼓励就地过年，私家车长途出行减少，出行半径虽有缩短但出行频次增多，下游需求仍有支撑。业者刚需补货为主，市场成交尚可。就后市而言，本周五成品油零售价将迎来“六连涨”，但后期国际油价波动空间不大，预计下一轮调价或面临搁浅，消息面对市场难有指引。加之，下游业者多提前备货到位，市场进入去库存阶段，市场成交难有提升。预计短线西北地炼汽柴行情维持弱势整理。</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后市前瞻：国际原油期货或呈现冲高震荡的态势。以WTI为例，主流运行区间在54-57(均值55.5)美元/桶之间，环比上涨1.79美元/桶或3.33%。在消息面利好持续作用下，山东地区成品油行情有望保持坚挺，但终端需求导致炼厂出货表现不一，市场成交多以汽油为主。综上所述，预计下周山东地炼汽油价格看涨，幅度在100元/吨左右，柴油价格则涨跌微调，幅度在50元/吨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29026"/>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p>
      <w:pPr>
        <w:rPr>
          <w:rFonts w:hint="eastAsia"/>
        </w:rPr>
      </w:pPr>
    </w:p>
    <w:tbl>
      <w:tblPr>
        <w:tblW w:w="9735" w:type="dxa"/>
        <w:tblInd w:w="0" w:type="dxa"/>
        <w:shd w:val="clear"/>
        <w:tblLayout w:type="autofit"/>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2021/2/4</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2021/1/28</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6490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6640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7767</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7683</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6805</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14588"/>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10065" w:type="dxa"/>
        <w:tblInd w:w="0" w:type="dxa"/>
        <w:shd w:val="clear"/>
        <w:tblLayout w:type="autofit"/>
        <w:tblCellMar>
          <w:top w:w="0" w:type="dxa"/>
          <w:left w:w="0" w:type="dxa"/>
          <w:bottom w:w="0" w:type="dxa"/>
          <w:right w:w="0" w:type="dxa"/>
        </w:tblCellMar>
      </w:tblPr>
      <w:tblGrid>
        <w:gridCol w:w="1245"/>
        <w:gridCol w:w="1110"/>
        <w:gridCol w:w="1275"/>
        <w:gridCol w:w="960"/>
        <w:gridCol w:w="795"/>
        <w:gridCol w:w="1080"/>
        <w:gridCol w:w="990"/>
        <w:gridCol w:w="1305"/>
        <w:gridCol w:w="1305"/>
      </w:tblGrid>
      <w:tr>
        <w:tblPrEx>
          <w:shd w:val="clear"/>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2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2021/2/4</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2021/1/28</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5480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5420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4980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4930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5220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5535</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4" w:name="_Toc18935"/>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270" w:type="dxa"/>
        <w:tblInd w:w="0" w:type="dxa"/>
        <w:shd w:val="clear"/>
        <w:tblLayout w:type="autofit"/>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2021/2/4</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2021/1/28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278"/>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W w:w="9600" w:type="dxa"/>
        <w:tblInd w:w="0" w:type="dxa"/>
        <w:shd w:val="clear"/>
        <w:tblLayout w:type="autofit"/>
        <w:tblCellMar>
          <w:top w:w="0" w:type="dxa"/>
          <w:left w:w="0" w:type="dxa"/>
          <w:bottom w:w="0" w:type="dxa"/>
          <w:right w:w="0" w:type="dxa"/>
        </w:tblCellMar>
      </w:tblPr>
      <w:tblGrid>
        <w:gridCol w:w="675"/>
        <w:gridCol w:w="1875"/>
        <w:gridCol w:w="960"/>
        <w:gridCol w:w="1245"/>
        <w:gridCol w:w="1080"/>
        <w:gridCol w:w="1005"/>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2021/2/4</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2021/1/28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4883</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4838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6" w:name="_Toc23829"/>
      <w:r>
        <w:rPr>
          <w:rFonts w:hint="eastAsia" w:ascii="宋体" w:hAnsi="宋体"/>
          <w:b/>
          <w:sz w:val="30"/>
          <w:szCs w:val="30"/>
          <w:lang w:val="en-US" w:eastAsia="zh-CN"/>
        </w:rPr>
        <w:t>四、2020年12月份进出口统计数据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6331"/>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975" w:type="dxa"/>
        <w:tblInd w:w="0" w:type="dxa"/>
        <w:shd w:val="clear" w:color="auto" w:fill="auto"/>
        <w:tblLayout w:type="autofit"/>
        <w:tblCellMar>
          <w:top w:w="0" w:type="dxa"/>
          <w:left w:w="0" w:type="dxa"/>
          <w:bottom w:w="0" w:type="dxa"/>
          <w:right w:w="0" w:type="dxa"/>
        </w:tblCellMar>
      </w:tblPr>
      <w:tblGrid>
        <w:gridCol w:w="3060"/>
        <w:gridCol w:w="2730"/>
        <w:gridCol w:w="1080"/>
        <w:gridCol w:w="2025"/>
        <w:gridCol w:w="1080"/>
      </w:tblGrid>
      <w:tr>
        <w:tblPrEx>
          <w:shd w:val="clear" w:color="auto" w:fill="auto"/>
          <w:tblCellMar>
            <w:top w:w="0" w:type="dxa"/>
            <w:left w:w="0" w:type="dxa"/>
            <w:bottom w:w="0" w:type="dxa"/>
            <w:right w:w="0" w:type="dxa"/>
          </w:tblCellMar>
        </w:tblPrEx>
        <w:trPr>
          <w:trHeight w:val="585"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商品名称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贸易伙伴名称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数量(吨）</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人民币（元）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单价（元/吨）</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缅甸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5603</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15290349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2729</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印度尼西亚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67890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199007037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2931</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日本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26900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65619998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2439</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中国澳门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13284227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1843</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马来西亚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182747</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446388344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2443</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蒙古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6331</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16773785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2649</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巴基斯坦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54845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130763702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2384</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菲律宾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363590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866992623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2385</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新加坡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491363</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1188245276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2418</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韩国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8100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19744070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2438</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斯里兰卡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29666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74701672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2518</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泰国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42976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106408746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越南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28970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87129213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3008</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尼日利亚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62865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163805390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2606</w:t>
            </w:r>
          </w:p>
        </w:tc>
      </w:tr>
      <w:tr>
        <w:tblPrEx>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澳大利亚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70035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176850280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2525</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Style w:val="24"/>
        <w:tblpPr w:leftFromText="180" w:rightFromText="180" w:vertAnchor="text" w:horzAnchor="page" w:tblpX="1097" w:tblpY="1036"/>
        <w:tblOverlap w:val="never"/>
        <w:tblW w:w="10182" w:type="dxa"/>
        <w:tblInd w:w="0" w:type="dxa"/>
        <w:shd w:val="clear" w:color="auto" w:fill="auto"/>
        <w:tblLayout w:type="autofit"/>
        <w:tblCellMar>
          <w:top w:w="0" w:type="dxa"/>
          <w:left w:w="0" w:type="dxa"/>
          <w:bottom w:w="0" w:type="dxa"/>
          <w:right w:w="0" w:type="dxa"/>
        </w:tblCellMar>
      </w:tblPr>
      <w:tblGrid>
        <w:gridCol w:w="2187"/>
        <w:gridCol w:w="2625"/>
        <w:gridCol w:w="1380"/>
        <w:gridCol w:w="1770"/>
        <w:gridCol w:w="2220"/>
      </w:tblGrid>
      <w:tr>
        <w:tblPrEx>
          <w:shd w:val="clear" w:color="auto" w:fill="auto"/>
          <w:tblCellMar>
            <w:top w:w="0" w:type="dxa"/>
            <w:left w:w="0" w:type="dxa"/>
            <w:bottom w:w="0" w:type="dxa"/>
            <w:right w:w="0" w:type="dxa"/>
          </w:tblCellMar>
        </w:tblPrEx>
        <w:trPr>
          <w:trHeight w:val="560" w:hRule="atLeast"/>
        </w:trPr>
        <w:tc>
          <w:tcPr>
            <w:tcW w:w="218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bookmarkStart w:id="18" w:name="_Toc19129"/>
            <w:r>
              <w:rPr>
                <w:rFonts w:hint="eastAsia" w:ascii="宋体" w:hAnsi="宋体" w:eastAsia="宋体" w:cs="宋体"/>
                <w:b/>
                <w:i w:val="0"/>
                <w:color w:val="000000"/>
                <w:kern w:val="0"/>
                <w:sz w:val="24"/>
                <w:szCs w:val="24"/>
                <w:u w:val="none"/>
                <w:lang w:val="en-US" w:eastAsia="zh-CN" w:bidi="ar"/>
              </w:rPr>
              <w:t>贸易伙伴名称</w:t>
            </w:r>
          </w:p>
        </w:tc>
        <w:tc>
          <w:tcPr>
            <w:tcW w:w="26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数量（吨）</w:t>
            </w:r>
          </w:p>
        </w:tc>
        <w:tc>
          <w:tcPr>
            <w:tcW w:w="13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所占比率</w:t>
            </w:r>
          </w:p>
        </w:tc>
        <w:tc>
          <w:tcPr>
            <w:tcW w:w="177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当月金额（元）</w:t>
            </w:r>
          </w:p>
        </w:tc>
        <w:tc>
          <w:tcPr>
            <w:tcW w:w="222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当月均价（元/吨）</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埃塞俄比亚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1385706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2771.41</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安提瓜和巴布达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2616.69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澳大利亚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511757.9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1129143671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2206.4</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巴哈马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2393336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2745.89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巴拿马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14671.54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38208916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2604.29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百慕大</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74065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2468.83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伯利兹</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152370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2748.23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354657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2848.65</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1493304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2680.98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多哥</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163349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2969.98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俄罗斯联邦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323.99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889676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2746.03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菲律宾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281264.18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593034277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2108.46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217119.52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482577567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2222.64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荷兰</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1025882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2584.09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黑山</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喀麦隆</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3049.93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开曼群岛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139720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2794.4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利比里亚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6999.33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20522887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2932.12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卢森堡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50134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2671.25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马耳他</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2665.72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9623438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3610.08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39836.93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84277612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2115.57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马绍尔群岛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5644.08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15684179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2778.87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毛里塔尼亚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1712728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168692.41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360439596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2136.67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缅甸</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17191.04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41815804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2432.42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挪威</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625.67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1723483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2754.62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帕劳</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137755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2649.13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葡萄牙</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1141402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4888.23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1392969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4705.98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瑞士</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234354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2974.22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塞拉利昂</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3308.2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塞浦路斯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3411295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2785.87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沙特阿拉伯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479794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2665.52</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圣其茨和尼维斯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286900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2441.7</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圣文森特和格林纳丁斯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576051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2306.05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130563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2611.26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图瓦卢</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574317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2871.59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希腊</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835.51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2795036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3345.31</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新加坡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161636.33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347446436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2149.56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牙买加</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2853.49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印度尼西亚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24063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58666575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2438.04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640.22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1669893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2608.32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越南</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16821.89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34747789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2065.63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智利</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77559.62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167610933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2161.06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中国澳门</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4555.75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9735610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2136.99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中国台湾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1258785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2762.8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中国香港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361087.38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820207403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2271.49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6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1920641.29</w:t>
            </w:r>
          </w:p>
        </w:tc>
        <w:tc>
          <w:tcPr>
            <w:tcW w:w="13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77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4239949297</w:t>
            </w:r>
          </w:p>
        </w:tc>
        <w:tc>
          <w:tcPr>
            <w:tcW w:w="222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2207.57</w:t>
            </w:r>
          </w:p>
        </w:tc>
      </w:tr>
    </w:tbl>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975" w:type="dxa"/>
        <w:tblInd w:w="0" w:type="dxa"/>
        <w:shd w:val="clear" w:color="auto" w:fill="auto"/>
        <w:tblLayout w:type="autofit"/>
        <w:tblCellMar>
          <w:top w:w="0" w:type="dxa"/>
          <w:left w:w="0" w:type="dxa"/>
          <w:bottom w:w="0" w:type="dxa"/>
          <w:right w:w="0" w:type="dxa"/>
        </w:tblCellMar>
      </w:tblPr>
      <w:tblGrid>
        <w:gridCol w:w="3060"/>
        <w:gridCol w:w="2730"/>
        <w:gridCol w:w="1080"/>
        <w:gridCol w:w="2025"/>
        <w:gridCol w:w="1080"/>
      </w:tblGrid>
      <w:tr>
        <w:tblPrEx>
          <w:shd w:val="clear" w:color="auto" w:fill="auto"/>
          <w:tblCellMar>
            <w:top w:w="0" w:type="dxa"/>
            <w:left w:w="0" w:type="dxa"/>
            <w:bottom w:w="0" w:type="dxa"/>
            <w:right w:w="0" w:type="dxa"/>
          </w:tblCellMar>
        </w:tblPrEx>
        <w:trPr>
          <w:trHeight w:val="540" w:hRule="atLeast"/>
        </w:trPr>
        <w:tc>
          <w:tcPr>
            <w:tcW w:w="306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bookmarkStart w:id="19" w:name="_Toc533771879"/>
            <w:r>
              <w:rPr>
                <w:rFonts w:hint="eastAsia" w:ascii="宋体" w:hAnsi="宋体" w:eastAsia="宋体" w:cs="宋体"/>
                <w:b/>
                <w:i w:val="0"/>
                <w:color w:val="000000"/>
                <w:kern w:val="0"/>
                <w:sz w:val="19"/>
                <w:szCs w:val="19"/>
                <w:u w:val="none"/>
                <w:lang w:val="en-US" w:eastAsia="zh-CN" w:bidi="ar"/>
              </w:rPr>
              <w:t>贸易伙伴名称</w:t>
            </w:r>
          </w:p>
        </w:tc>
        <w:tc>
          <w:tcPr>
            <w:tcW w:w="273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19"/>
                <w:szCs w:val="19"/>
                <w:u w:val="none"/>
              </w:rPr>
            </w:pPr>
            <w:r>
              <w:rPr>
                <w:rFonts w:hint="eastAsia" w:ascii="宋体" w:hAnsi="宋体" w:eastAsia="宋体" w:cs="宋体"/>
                <w:b/>
                <w:i w:val="0"/>
                <w:color w:val="2E363F"/>
                <w:kern w:val="0"/>
                <w:sz w:val="19"/>
                <w:szCs w:val="19"/>
                <w:u w:val="none"/>
                <w:lang w:val="en-US" w:eastAsia="zh-CN" w:bidi="ar"/>
              </w:rPr>
              <w:t>数量（吨）</w:t>
            </w:r>
          </w:p>
        </w:tc>
        <w:tc>
          <w:tcPr>
            <w:tcW w:w="10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19"/>
                <w:szCs w:val="19"/>
                <w:u w:val="none"/>
              </w:rPr>
            </w:pPr>
            <w:r>
              <w:rPr>
                <w:rFonts w:hint="eastAsia" w:ascii="宋体" w:hAnsi="宋体" w:eastAsia="宋体" w:cs="宋体"/>
                <w:b/>
                <w:i w:val="0"/>
                <w:color w:val="2E363F"/>
                <w:kern w:val="0"/>
                <w:sz w:val="19"/>
                <w:szCs w:val="19"/>
                <w:u w:val="none"/>
                <w:lang w:val="en-US" w:eastAsia="zh-CN" w:bidi="ar"/>
              </w:rPr>
              <w:t>所占比率</w:t>
            </w:r>
          </w:p>
        </w:tc>
        <w:tc>
          <w:tcPr>
            <w:tcW w:w="20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19"/>
                <w:szCs w:val="19"/>
                <w:u w:val="none"/>
              </w:rPr>
            </w:pPr>
            <w:r>
              <w:rPr>
                <w:rFonts w:hint="eastAsia" w:ascii="宋体" w:hAnsi="宋体" w:eastAsia="宋体" w:cs="宋体"/>
                <w:b/>
                <w:i w:val="0"/>
                <w:color w:val="2E363F"/>
                <w:kern w:val="0"/>
                <w:sz w:val="19"/>
                <w:szCs w:val="19"/>
                <w:u w:val="none"/>
                <w:lang w:val="en-US" w:eastAsia="zh-CN" w:bidi="ar"/>
              </w:rPr>
              <w:t>当月金额（元）</w:t>
            </w:r>
          </w:p>
        </w:tc>
        <w:tc>
          <w:tcPr>
            <w:tcW w:w="10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19"/>
                <w:szCs w:val="19"/>
                <w:u w:val="none"/>
              </w:rPr>
            </w:pPr>
            <w:r>
              <w:rPr>
                <w:rFonts w:hint="eastAsia" w:ascii="宋体" w:hAnsi="宋体" w:eastAsia="宋体" w:cs="宋体"/>
                <w:b/>
                <w:i w:val="0"/>
                <w:color w:val="2E363F"/>
                <w:kern w:val="0"/>
                <w:sz w:val="19"/>
                <w:szCs w:val="19"/>
                <w:u w:val="none"/>
                <w:lang w:val="en-US" w:eastAsia="zh-CN" w:bidi="ar"/>
              </w:rPr>
              <w:t>当月均价（元</w:t>
            </w:r>
            <w:r>
              <w:rPr>
                <w:rFonts w:ascii="宋体" w:hAnsi="宋体" w:eastAsia="宋体" w:cs="宋体"/>
                <w:b/>
                <w:i w:val="0"/>
                <w:color w:val="2E363F"/>
                <w:kern w:val="0"/>
                <w:sz w:val="24"/>
                <w:szCs w:val="24"/>
                <w:u w:val="none"/>
                <w:lang w:val="en-US" w:eastAsia="zh-CN" w:bidi="ar"/>
              </w:rPr>
              <w:t>/</w:t>
            </w:r>
            <w:r>
              <w:rPr>
                <w:rFonts w:hint="eastAsia" w:ascii="宋体" w:hAnsi="宋体" w:eastAsia="宋体" w:cs="宋体"/>
                <w:b/>
                <w:i w:val="0"/>
                <w:color w:val="2E363F"/>
                <w:kern w:val="0"/>
                <w:sz w:val="19"/>
                <w:szCs w:val="19"/>
                <w:u w:val="none"/>
                <w:lang w:val="en-US" w:eastAsia="zh-CN" w:bidi="ar"/>
              </w:rPr>
              <w:t>吨）</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安提瓜和巴布达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2521.05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澳大利亚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145809.707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330776396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2268.55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巴巴多斯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2504.25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巴哈马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1466.279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3944970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2690.46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巴拿马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32424.924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82504262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2544.47</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白俄罗斯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2136.99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伯利兹</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1545081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2660.9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4731931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2615.55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5865132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2654.39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多哥</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267663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2676.63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多米尼加共和国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908222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2671.24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俄罗斯联邦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2684.62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厄瓜多尔</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37715.098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81661175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2165.21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1047756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2651.2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菲律宾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476878.59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1135811289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2381.76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2820825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2703.33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675696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2699.54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基里巴斯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2746.9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喀麦隆</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134701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2777.34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开曼群岛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1181997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2761.68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克罗地亚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240412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2404.12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利比里亚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32048932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2590.66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马耳他</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3655.974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9771923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2672.86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马绍尔群岛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9949.338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26059275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2619.2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480823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2404.12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蒙古</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2482.4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孟加拉国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249883.983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586944523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2348.87</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缅甸</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16543.119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35351706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2136.94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挪威</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1805035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2544.45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帕劳</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194947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2670.51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葡萄牙</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2248.397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5984769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2661.79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1818.597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4731977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2601.99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塞拉利昂</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425896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3178.33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塞浦路斯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1843.704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4871264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2642.11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沙特阿拉伯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308.186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810616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2630.28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圣其茨和尼维斯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2470.9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544093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2598.59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土耳其</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361274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2454.31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危地马拉</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38080.375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79912576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2098.52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希腊</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1012.715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2620524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2587.62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新加坡</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127005.177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316694649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2493.56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牙买加</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2667.91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意大利</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2642.3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2470.9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3970.976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10443091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2629.85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16512.065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42117069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2550.68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中国澳门</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1986.535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4169689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2098.98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中国台湾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1448.783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2524.94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中国香港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295214.967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697976495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2364.3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合计</w:t>
            </w:r>
          </w:p>
        </w:tc>
        <w:tc>
          <w:tcPr>
            <w:tcW w:w="273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1487864.3</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100%</w:t>
            </w:r>
          </w:p>
        </w:tc>
        <w:tc>
          <w:tcPr>
            <w:tcW w:w="20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3524517104</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9"/>
                <w:szCs w:val="19"/>
                <w:u w:val="none"/>
              </w:rPr>
            </w:pPr>
            <w:r>
              <w:rPr>
                <w:rFonts w:hint="eastAsia" w:ascii="宋体" w:hAnsi="宋体" w:eastAsia="宋体" w:cs="宋体"/>
                <w:b/>
                <w:i w:val="0"/>
                <w:color w:val="000000"/>
                <w:kern w:val="0"/>
                <w:sz w:val="19"/>
                <w:szCs w:val="19"/>
                <w:u w:val="none"/>
                <w:lang w:val="en-US" w:eastAsia="zh-CN" w:bidi="ar"/>
              </w:rPr>
              <w:t>2368.84</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23425"/>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5000" w:type="pct"/>
        <w:tblInd w:w="0" w:type="dxa"/>
        <w:tblLayout w:type="autofit"/>
        <w:tblCellMar>
          <w:top w:w="0" w:type="dxa"/>
          <w:left w:w="108" w:type="dxa"/>
          <w:bottom w:w="0" w:type="dxa"/>
          <w:right w:w="108" w:type="dxa"/>
        </w:tblCellMar>
      </w:tblPr>
      <w:tblGrid>
        <w:gridCol w:w="1118"/>
        <w:gridCol w:w="1904"/>
        <w:gridCol w:w="1946"/>
        <w:gridCol w:w="1884"/>
        <w:gridCol w:w="1884"/>
        <w:gridCol w:w="1118"/>
      </w:tblGrid>
      <w:tr>
        <w:tblPrEx>
          <w:tblCellMar>
            <w:top w:w="0" w:type="dxa"/>
            <w:left w:w="108" w:type="dxa"/>
            <w:bottom w:w="0" w:type="dxa"/>
            <w:right w:w="108" w:type="dxa"/>
          </w:tblCellMar>
        </w:tblPrEx>
        <w:trPr>
          <w:trHeight w:val="825" w:hRule="atLeast"/>
        </w:trPr>
        <w:tc>
          <w:tcPr>
            <w:tcW w:w="567" w:type="pct"/>
            <w:tcBorders>
              <w:top w:val="single" w:color="333333" w:sz="8" w:space="0"/>
              <w:left w:val="nil"/>
              <w:bottom w:val="nil"/>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商品 </w:t>
            </w:r>
          </w:p>
        </w:tc>
        <w:tc>
          <w:tcPr>
            <w:tcW w:w="966"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国家 </w:t>
            </w:r>
          </w:p>
        </w:tc>
        <w:tc>
          <w:tcPr>
            <w:tcW w:w="987"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进口数量 </w:t>
            </w:r>
          </w:p>
        </w:tc>
        <w:tc>
          <w:tcPr>
            <w:tcW w:w="956"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计量单位 </w:t>
            </w:r>
          </w:p>
        </w:tc>
        <w:tc>
          <w:tcPr>
            <w:tcW w:w="956"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美元 </w:t>
            </w:r>
          </w:p>
        </w:tc>
        <w:tc>
          <w:tcPr>
            <w:tcW w:w="567"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均价</w:t>
            </w:r>
          </w:p>
        </w:tc>
      </w:tr>
      <w:tr>
        <w:tblPrEx>
          <w:tblCellMar>
            <w:top w:w="0" w:type="dxa"/>
            <w:left w:w="108" w:type="dxa"/>
            <w:bottom w:w="0" w:type="dxa"/>
            <w:right w:w="108" w:type="dxa"/>
          </w:tblCellMar>
        </w:tblPrEx>
        <w:trPr>
          <w:trHeight w:val="402" w:hRule="atLeast"/>
        </w:trPr>
        <w:tc>
          <w:tcPr>
            <w:tcW w:w="567" w:type="pct"/>
            <w:vMerge w:val="restart"/>
            <w:tcBorders>
              <w:top w:val="single" w:color="auto" w:sz="8" w:space="0"/>
              <w:left w:val="single" w:color="auto" w:sz="8" w:space="0"/>
              <w:bottom w:val="single" w:color="000000" w:sz="8" w:space="0"/>
              <w:right w:val="single" w:color="auto" w:sz="8" w:space="0"/>
            </w:tcBorders>
            <w:shd w:val="clear" w:color="auto" w:fill="auto"/>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石油原油(包括从沥青矿物提取的原油)</w:t>
            </w: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沙特阿拉伯</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6938734.129</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2296972417</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331.036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俄罗斯联邦</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6204928.518</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1999725441</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322.28</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安哥拉</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3825103.13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1241298758</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324.514</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美国</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3599057.578</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1233948760</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342.853</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科威特</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3183638.825</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1004536526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315.531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伊拉克</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3178954.233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976015934</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307.024</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巴西</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2154408.173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666649981</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309.435</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阿曼</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1635573.416</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526509767</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321.911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哥伦比亚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1149014.881</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325250181</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283.069</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马来西亚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1038049.714</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359705576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346.521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挪威</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836432.999</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307726336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367.903</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阿联酋</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732583.565</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231669205</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316.236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刚果(布)</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585281.245</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175769420</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300.316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厄瓜多尔</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526472.595</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147821258</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280.777</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伊朗</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518758.218</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175971765</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339.217</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加蓬</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374465.433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123699336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330.336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利比亚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276995.2</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98944617</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357.207</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加纳</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254171.84</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91247905</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359.001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印度尼西亚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171041.123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57147746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334.117</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圭亚那</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143435.223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44488818</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310.167</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埃及</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138574.519</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47157649</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340.305</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阿塞拜疆</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138556.837</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52488345</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378.822</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卡塔尔</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128622.731</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43384539</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337.301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喀麦隆</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126882.3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39681751</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312.745</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尼日利亚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125684</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40452634</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321.86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赤道几内亚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125094.62</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33218303</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265.545</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刚果(金)</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124486</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41361427</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332.258</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加拿大</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79644.47</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23312448</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292.706</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文莱</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40604</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14534800</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357.965</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泰国</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40211.545</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13731888</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341.491</w:t>
            </w:r>
          </w:p>
        </w:tc>
      </w:tr>
      <w:tr>
        <w:tblPrEx>
          <w:tblCellMar>
            <w:top w:w="0" w:type="dxa"/>
            <w:left w:w="108" w:type="dxa"/>
            <w:bottom w:w="0" w:type="dxa"/>
            <w:right w:w="108" w:type="dxa"/>
          </w:tblCellMar>
        </w:tblPrEx>
        <w:trPr>
          <w:trHeight w:val="402"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哈萨克斯坦</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35513.83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9758670</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274.785</w:t>
            </w:r>
          </w:p>
        </w:tc>
      </w:tr>
      <w:tr>
        <w:tblPrEx>
          <w:tblCellMar>
            <w:top w:w="0" w:type="dxa"/>
            <w:left w:w="108" w:type="dxa"/>
            <w:bottom w:w="0" w:type="dxa"/>
            <w:right w:w="108" w:type="dxa"/>
          </w:tblCellMar>
        </w:tblPrEx>
        <w:trPr>
          <w:trHeight w:val="645"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蒙古</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33217.03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7877832</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237.162</w:t>
            </w:r>
          </w:p>
        </w:tc>
      </w:tr>
      <w:tr>
        <w:tblPrEx>
          <w:tblCellMar>
            <w:top w:w="0" w:type="dxa"/>
            <w:left w:w="108" w:type="dxa"/>
            <w:bottom w:w="0" w:type="dxa"/>
            <w:right w:w="108" w:type="dxa"/>
          </w:tblCellMar>
        </w:tblPrEx>
        <w:trPr>
          <w:trHeight w:val="405"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澳大利亚</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4999.03</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1577283</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315.518</w:t>
            </w:r>
          </w:p>
        </w:tc>
      </w:tr>
      <w:tr>
        <w:tblPrEx>
          <w:tblCellMar>
            <w:top w:w="0" w:type="dxa"/>
            <w:left w:w="108" w:type="dxa"/>
            <w:bottom w:w="0" w:type="dxa"/>
            <w:right w:w="108" w:type="dxa"/>
          </w:tblCellMar>
        </w:tblPrEx>
        <w:trPr>
          <w:trHeight w:val="405"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乍得</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0.046</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300</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6521.74</w:t>
            </w:r>
          </w:p>
        </w:tc>
      </w:tr>
      <w:tr>
        <w:tblPrEx>
          <w:tblCellMar>
            <w:top w:w="0" w:type="dxa"/>
            <w:left w:w="108" w:type="dxa"/>
            <w:bottom w:w="0" w:type="dxa"/>
            <w:right w:w="108" w:type="dxa"/>
          </w:tblCellMar>
        </w:tblPrEx>
        <w:trPr>
          <w:trHeight w:val="480" w:hRule="atLeast"/>
        </w:trPr>
        <w:tc>
          <w:tcPr>
            <w:tcW w:w="5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96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总计</w:t>
            </w:r>
          </w:p>
        </w:tc>
        <w:tc>
          <w:tcPr>
            <w:tcW w:w="98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38469191</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吨</w:t>
            </w:r>
          </w:p>
        </w:tc>
        <w:tc>
          <w:tcPr>
            <w:tcW w:w="956"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12453637616</w:t>
            </w:r>
          </w:p>
        </w:tc>
        <w:tc>
          <w:tcPr>
            <w:tcW w:w="56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323.73</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1" w:name="_Toc29747"/>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140" w:type="dxa"/>
        <w:tblInd w:w="0" w:type="dxa"/>
        <w:shd w:val="clear" w:color="auto" w:fill="auto"/>
        <w:tblLayout w:type="autofit"/>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Style w:val="28"/>
                <w:rFonts w:hint="eastAsia" w:ascii="宋体" w:hAnsi="宋体" w:eastAsia="宋体" w:cs="宋体"/>
                <w:caps w:val="0"/>
                <w:color w:val="000000"/>
                <w:spacing w:val="0"/>
                <w:sz w:val="24"/>
                <w:szCs w:val="24"/>
              </w:rPr>
              <w:t>进口</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Style w:val="28"/>
                <w:rFonts w:hint="eastAsia" w:ascii="宋体" w:hAnsi="宋体" w:eastAsia="宋体" w:cs="宋体"/>
                <w:caps w:val="0"/>
                <w:color w:val="000000"/>
                <w:spacing w:val="0"/>
                <w:sz w:val="24"/>
                <w:szCs w:val="24"/>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12月进口量:239824.71（吨）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12月出口量:433403.17（吨）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累计进口量:2552554.347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累计出口量:9976381.864（吨）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当月进口均价:2631.26（元/吨）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当月出口均价:</w:t>
            </w:r>
            <w:r>
              <w:rPr>
                <w:rFonts w:hint="eastAsia" w:ascii="宋体" w:hAnsi="宋体" w:eastAsia="宋体" w:cs="宋体"/>
                <w:caps w:val="0"/>
                <w:color w:val="000000"/>
                <w:spacing w:val="0"/>
              </w:rPr>
              <w:t>2631.09</w:t>
            </w:r>
            <w:r>
              <w:rPr>
                <w:rFonts w:hint="eastAsia" w:ascii="宋体" w:hAnsi="宋体" w:eastAsia="宋体" w:cs="宋体"/>
                <w:caps w:val="0"/>
                <w:color w:val="000000"/>
                <w:spacing w:val="0"/>
                <w:sz w:val="24"/>
                <w:szCs w:val="24"/>
              </w:rPr>
              <w:t>（元/吨）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累计进口均价：2526.175（元/吨）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累计出口均价:</w:t>
            </w:r>
            <w:r>
              <w:rPr>
                <w:rFonts w:hint="eastAsia" w:ascii="宋体" w:hAnsi="宋体" w:eastAsia="宋体" w:cs="宋体"/>
                <w:caps w:val="0"/>
                <w:color w:val="000000"/>
                <w:spacing w:val="0"/>
              </w:rPr>
              <w:t>2867.48</w:t>
            </w:r>
            <w:r>
              <w:rPr>
                <w:rFonts w:hint="eastAsia" w:ascii="宋体" w:hAnsi="宋体" w:eastAsia="宋体" w:cs="宋体"/>
                <w:caps w:val="0"/>
                <w:color w:val="000000"/>
                <w:spacing w:val="0"/>
                <w:sz w:val="24"/>
                <w:szCs w:val="24"/>
              </w:rPr>
              <w:t>（元/吨）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进口量环比:147.00%</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出口量环比：-6.21%</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进口量同比：-31.97%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出口量同比：-77.27%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累计进口量比去年同期：-18.47%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8"/>
                <w:szCs w:val="28"/>
                <w:u w:val="none"/>
              </w:rPr>
            </w:pPr>
            <w:r>
              <w:rPr>
                <w:rFonts w:hint="eastAsia" w:ascii="宋体" w:hAnsi="宋体" w:eastAsia="宋体" w:cs="宋体"/>
                <w:caps w:val="0"/>
                <w:color w:val="000000"/>
                <w:spacing w:val="0"/>
                <w:sz w:val="24"/>
                <w:szCs w:val="24"/>
              </w:rPr>
              <w:t>累计出口量比去年同期：-36.47%</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079CC3D"/>
    <w:multiLevelType w:val="singleLevel"/>
    <w:tmpl w:val="4079CC3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836EEE"/>
    <w:rsid w:val="07906BB7"/>
    <w:rsid w:val="079B346A"/>
    <w:rsid w:val="079D7717"/>
    <w:rsid w:val="07B872E0"/>
    <w:rsid w:val="07CC2D78"/>
    <w:rsid w:val="07CC4016"/>
    <w:rsid w:val="07D15C8A"/>
    <w:rsid w:val="07E05AA3"/>
    <w:rsid w:val="07E76A1F"/>
    <w:rsid w:val="07F17792"/>
    <w:rsid w:val="080158C0"/>
    <w:rsid w:val="0809715C"/>
    <w:rsid w:val="080A4814"/>
    <w:rsid w:val="0817293A"/>
    <w:rsid w:val="0820276D"/>
    <w:rsid w:val="082F1BCD"/>
    <w:rsid w:val="08573B5A"/>
    <w:rsid w:val="086F6B65"/>
    <w:rsid w:val="08A4401C"/>
    <w:rsid w:val="08A55AD2"/>
    <w:rsid w:val="08CD17C0"/>
    <w:rsid w:val="08DE60ED"/>
    <w:rsid w:val="08E21688"/>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721C38"/>
    <w:rsid w:val="0B860805"/>
    <w:rsid w:val="0B945C54"/>
    <w:rsid w:val="0BB16187"/>
    <w:rsid w:val="0BCB6AF2"/>
    <w:rsid w:val="0BCE6861"/>
    <w:rsid w:val="0BDC4FBC"/>
    <w:rsid w:val="0BDF0A5F"/>
    <w:rsid w:val="0C08318F"/>
    <w:rsid w:val="0C1C163D"/>
    <w:rsid w:val="0C1E7ABD"/>
    <w:rsid w:val="0C206584"/>
    <w:rsid w:val="0C212EC8"/>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1F6270"/>
    <w:rsid w:val="1024515A"/>
    <w:rsid w:val="1046198D"/>
    <w:rsid w:val="104E6FC1"/>
    <w:rsid w:val="105F3A71"/>
    <w:rsid w:val="106D475B"/>
    <w:rsid w:val="108362B8"/>
    <w:rsid w:val="108C4660"/>
    <w:rsid w:val="10957382"/>
    <w:rsid w:val="10BA0A0E"/>
    <w:rsid w:val="10CE39DE"/>
    <w:rsid w:val="10FA6B68"/>
    <w:rsid w:val="10FF5E5F"/>
    <w:rsid w:val="11190B98"/>
    <w:rsid w:val="11247901"/>
    <w:rsid w:val="11365062"/>
    <w:rsid w:val="11422692"/>
    <w:rsid w:val="11590029"/>
    <w:rsid w:val="117F7F48"/>
    <w:rsid w:val="11F843DE"/>
    <w:rsid w:val="121446A8"/>
    <w:rsid w:val="12320E5B"/>
    <w:rsid w:val="124E5846"/>
    <w:rsid w:val="1265739D"/>
    <w:rsid w:val="12662947"/>
    <w:rsid w:val="127E2138"/>
    <w:rsid w:val="128771AE"/>
    <w:rsid w:val="12BE2ADE"/>
    <w:rsid w:val="12D52D83"/>
    <w:rsid w:val="12D8263D"/>
    <w:rsid w:val="13086577"/>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22844"/>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A00D9"/>
    <w:rsid w:val="151B73F8"/>
    <w:rsid w:val="15211EFF"/>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6969D8"/>
    <w:rsid w:val="16734EEE"/>
    <w:rsid w:val="1691331C"/>
    <w:rsid w:val="16B0271F"/>
    <w:rsid w:val="16D82413"/>
    <w:rsid w:val="16DC7206"/>
    <w:rsid w:val="16E22B33"/>
    <w:rsid w:val="16EF1899"/>
    <w:rsid w:val="16F85570"/>
    <w:rsid w:val="16FA58EE"/>
    <w:rsid w:val="17116BE2"/>
    <w:rsid w:val="17194D7A"/>
    <w:rsid w:val="172078E9"/>
    <w:rsid w:val="172D12A6"/>
    <w:rsid w:val="17350283"/>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D6973"/>
    <w:rsid w:val="1BE24098"/>
    <w:rsid w:val="1BE81B85"/>
    <w:rsid w:val="1BF27AE1"/>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4F86BA3"/>
    <w:rsid w:val="250D3E66"/>
    <w:rsid w:val="252754C5"/>
    <w:rsid w:val="252D0E2C"/>
    <w:rsid w:val="252D3F69"/>
    <w:rsid w:val="2547370A"/>
    <w:rsid w:val="25585795"/>
    <w:rsid w:val="25740BBD"/>
    <w:rsid w:val="25955E96"/>
    <w:rsid w:val="259B6E31"/>
    <w:rsid w:val="259E33E1"/>
    <w:rsid w:val="25A07C39"/>
    <w:rsid w:val="25AF1FA5"/>
    <w:rsid w:val="25B677AD"/>
    <w:rsid w:val="25B904A8"/>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9D3080"/>
    <w:rsid w:val="2CAD067B"/>
    <w:rsid w:val="2CFD0FC0"/>
    <w:rsid w:val="2D050EBF"/>
    <w:rsid w:val="2D2009C3"/>
    <w:rsid w:val="2D2A25A1"/>
    <w:rsid w:val="2D2A51E4"/>
    <w:rsid w:val="2D3059BC"/>
    <w:rsid w:val="2D4D17E5"/>
    <w:rsid w:val="2D6F58D8"/>
    <w:rsid w:val="2D892B5C"/>
    <w:rsid w:val="2DAF27D1"/>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8229F"/>
    <w:rsid w:val="2EA56E95"/>
    <w:rsid w:val="2EA673C9"/>
    <w:rsid w:val="2EAF1D1D"/>
    <w:rsid w:val="2EC0096E"/>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37EAB"/>
    <w:rsid w:val="2FE513F6"/>
    <w:rsid w:val="2FE91ED2"/>
    <w:rsid w:val="2FEC28E9"/>
    <w:rsid w:val="2FF22D62"/>
    <w:rsid w:val="30037E76"/>
    <w:rsid w:val="300B0CEC"/>
    <w:rsid w:val="30173C95"/>
    <w:rsid w:val="301B31E2"/>
    <w:rsid w:val="302909D7"/>
    <w:rsid w:val="30320AA9"/>
    <w:rsid w:val="30427218"/>
    <w:rsid w:val="3055125A"/>
    <w:rsid w:val="30664FDE"/>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CB3A84"/>
    <w:rsid w:val="32CE45BC"/>
    <w:rsid w:val="32D9201A"/>
    <w:rsid w:val="32E42D0F"/>
    <w:rsid w:val="32E779A4"/>
    <w:rsid w:val="330D4D94"/>
    <w:rsid w:val="33435E16"/>
    <w:rsid w:val="335F11B3"/>
    <w:rsid w:val="337B12FB"/>
    <w:rsid w:val="33846435"/>
    <w:rsid w:val="339C5454"/>
    <w:rsid w:val="33A258FF"/>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E95212"/>
    <w:rsid w:val="38F3691D"/>
    <w:rsid w:val="3909408E"/>
    <w:rsid w:val="391C1C7A"/>
    <w:rsid w:val="39465968"/>
    <w:rsid w:val="394D1A3B"/>
    <w:rsid w:val="394F4D33"/>
    <w:rsid w:val="39600E80"/>
    <w:rsid w:val="39803383"/>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CE2E82"/>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EFC4AE4"/>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E56CE"/>
    <w:rsid w:val="41925E9B"/>
    <w:rsid w:val="419B1BC4"/>
    <w:rsid w:val="419D5169"/>
    <w:rsid w:val="419D7C05"/>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07EEA"/>
    <w:rsid w:val="4488431A"/>
    <w:rsid w:val="448F5706"/>
    <w:rsid w:val="44944331"/>
    <w:rsid w:val="449A539D"/>
    <w:rsid w:val="44A538D4"/>
    <w:rsid w:val="44B05905"/>
    <w:rsid w:val="44B67F0B"/>
    <w:rsid w:val="44BB1103"/>
    <w:rsid w:val="451317C4"/>
    <w:rsid w:val="45252A65"/>
    <w:rsid w:val="45575AD5"/>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5B05E7"/>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52A88"/>
    <w:rsid w:val="51B23F17"/>
    <w:rsid w:val="51B661F2"/>
    <w:rsid w:val="51BB2EED"/>
    <w:rsid w:val="51E51BA8"/>
    <w:rsid w:val="51EE27E3"/>
    <w:rsid w:val="52101F45"/>
    <w:rsid w:val="52125E5B"/>
    <w:rsid w:val="5213342A"/>
    <w:rsid w:val="52163344"/>
    <w:rsid w:val="52217FFE"/>
    <w:rsid w:val="5234477C"/>
    <w:rsid w:val="52475C9F"/>
    <w:rsid w:val="52515077"/>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709F8"/>
    <w:rsid w:val="56F10A56"/>
    <w:rsid w:val="56FB32FA"/>
    <w:rsid w:val="570703AF"/>
    <w:rsid w:val="572D602C"/>
    <w:rsid w:val="573221A2"/>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7D1253"/>
    <w:rsid w:val="5A905E59"/>
    <w:rsid w:val="5A9311E7"/>
    <w:rsid w:val="5AA72593"/>
    <w:rsid w:val="5AA9358C"/>
    <w:rsid w:val="5AD0373D"/>
    <w:rsid w:val="5AF46A20"/>
    <w:rsid w:val="5AF81B7B"/>
    <w:rsid w:val="5AF86253"/>
    <w:rsid w:val="5AFB1569"/>
    <w:rsid w:val="5B047A73"/>
    <w:rsid w:val="5B081862"/>
    <w:rsid w:val="5B0A0B9B"/>
    <w:rsid w:val="5B1140FC"/>
    <w:rsid w:val="5B1C3DCA"/>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7F7A77"/>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42BE"/>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B37CB"/>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860EC"/>
    <w:rsid w:val="652A1A84"/>
    <w:rsid w:val="652A5D21"/>
    <w:rsid w:val="65480BBE"/>
    <w:rsid w:val="6554639C"/>
    <w:rsid w:val="65687D20"/>
    <w:rsid w:val="657B264C"/>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84674"/>
    <w:rsid w:val="687C00C8"/>
    <w:rsid w:val="687C4042"/>
    <w:rsid w:val="68A742AD"/>
    <w:rsid w:val="68B71B00"/>
    <w:rsid w:val="68B87F12"/>
    <w:rsid w:val="68C25CFA"/>
    <w:rsid w:val="68C731B8"/>
    <w:rsid w:val="68D536DE"/>
    <w:rsid w:val="68E62895"/>
    <w:rsid w:val="69044A5D"/>
    <w:rsid w:val="691052CA"/>
    <w:rsid w:val="69194464"/>
    <w:rsid w:val="691D05F7"/>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B1697"/>
    <w:rsid w:val="752A3F7B"/>
    <w:rsid w:val="7533655A"/>
    <w:rsid w:val="75444F15"/>
    <w:rsid w:val="75485488"/>
    <w:rsid w:val="75692896"/>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1E0B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E7370"/>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156</TotalTime>
  <ScaleCrop>false</ScaleCrop>
  <LinksUpToDate>false</LinksUpToDate>
  <CharactersWithSpaces>26786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2021-02-04T08:04:04Z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2052-11.1.0.10314</vt:lpwstr>
  </property>
</Properties>
</file>