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7216" behindDoc="1" locked="0" layoutInCell="1" allowOverlap="1">
            <wp:simplePos x="0" y="0"/>
            <wp:positionH relativeFrom="column">
              <wp:posOffset>-892175</wp:posOffset>
            </wp:positionH>
            <wp:positionV relativeFrom="paragraph">
              <wp:posOffset>-901065</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xaJUtgA&#10;AAAKAQAADwAAAAAAAAABACAAAAAiAAAAZHJzL2Rvd25yZXYueG1sUEsBAhQAFAAAAAgAh07iQBmd&#10;hPqtAQAATwMAAA4AAAAAAAAAAQAgAAAAJwEAAGRycy9lMm9Eb2MueG1sUEsFBgAAAAAGAAYAWQEA&#10;AEY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lang w:val="en-US"/>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12.24</w:t>
      </w: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beaHX&#10;AAAACgEAAA8AAAAAAAAAAQAgAAAAIgAAAGRycy9kb3ducmV2LnhtbFBLAQIUABQAAAAIAIdO4kDH&#10;CofIrwEAAFADAAAOAAAAAAAAAAEAIAAAACYBAABkcnMvZTJvRG9jLnhtbFBLBQYAAAAABgAGAFkB&#10;AABH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TOC \o "1-3" \h \z </w:instrText>
      </w:r>
      <w:r>
        <w:rPr>
          <w:rFonts w:hint="eastAsia" w:ascii="宋体" w:hAnsi="宋体" w:eastAsia="宋体" w:cs="宋体"/>
          <w:color w:val="000000"/>
          <w:sz w:val="24"/>
          <w:szCs w:val="21"/>
        </w:rPr>
        <w:fldChar w:fldCharType="separate"/>
      </w: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_Toc22754 </w:instrText>
      </w:r>
      <w:r>
        <w:rPr>
          <w:rFonts w:hint="eastAsia" w:ascii="宋体" w:hAnsi="宋体" w:eastAsia="宋体" w:cs="宋体"/>
          <w:szCs w:val="21"/>
        </w:rPr>
        <w:fldChar w:fldCharType="separate"/>
      </w:r>
      <w:r>
        <w:rPr>
          <w:rFonts w:hint="eastAsia"/>
        </w:rPr>
        <w:t>一、国际原油市场回顾 </w:t>
      </w:r>
      <w:r>
        <w:tab/>
      </w:r>
      <w:r>
        <w:fldChar w:fldCharType="begin"/>
      </w:r>
      <w:r>
        <w:instrText xml:space="preserve"> PAGEREF _Toc22754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_Toc2223 </w:instrText>
      </w:r>
      <w:r>
        <w:rPr>
          <w:rFonts w:hint="eastAsia" w:ascii="宋体" w:hAnsi="宋体" w:eastAsia="宋体" w:cs="宋体"/>
          <w:szCs w:val="21"/>
        </w:rPr>
        <w:fldChar w:fldCharType="separate"/>
      </w:r>
      <w:r>
        <w:rPr>
          <w:rFonts w:hint="eastAsia" w:ascii="宋体" w:hAnsi="宋体"/>
          <w:szCs w:val="30"/>
        </w:rPr>
        <w:t>1.1国际原油收盘价涨跌情况（单位：美元/桶）</w:t>
      </w:r>
      <w:r>
        <w:tab/>
      </w:r>
      <w:r>
        <w:fldChar w:fldCharType="begin"/>
      </w:r>
      <w:r>
        <w:instrText xml:space="preserve"> PAGEREF _Toc2223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_Toc8868 </w:instrText>
      </w:r>
      <w:r>
        <w:rPr>
          <w:rFonts w:hint="eastAsia" w:ascii="宋体" w:hAnsi="宋体" w:eastAsia="宋体" w:cs="宋体"/>
          <w:szCs w:val="21"/>
        </w:rPr>
        <w:fldChar w:fldCharType="separate"/>
      </w:r>
      <w:r>
        <w:rPr>
          <w:rFonts w:hint="eastAsia" w:ascii="宋体" w:hAnsi="宋体"/>
          <w:szCs w:val="30"/>
        </w:rPr>
        <w:t>1.2 20</w:t>
      </w:r>
      <w:r>
        <w:rPr>
          <w:rFonts w:hint="eastAsia" w:ascii="宋体" w:hAnsi="宋体"/>
          <w:szCs w:val="30"/>
          <w:lang w:val="en-US" w:eastAsia="zh-CN"/>
        </w:rPr>
        <w:t>20</w:t>
      </w:r>
      <w:r>
        <w:rPr>
          <w:rFonts w:hint="eastAsia" w:ascii="宋体" w:hAnsi="宋体"/>
          <w:szCs w:val="30"/>
        </w:rPr>
        <w:t>年国际原油价格走势图</w:t>
      </w:r>
      <w:r>
        <w:tab/>
      </w:r>
      <w:r>
        <w:fldChar w:fldCharType="begin"/>
      </w:r>
      <w:r>
        <w:instrText xml:space="preserve"> PAGEREF _Toc8868 </w:instrText>
      </w:r>
      <w:r>
        <w:fldChar w:fldCharType="separate"/>
      </w:r>
      <w:r>
        <w:t>3</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_Toc9249 </w:instrText>
      </w:r>
      <w:r>
        <w:rPr>
          <w:rFonts w:hint="eastAsia" w:ascii="宋体" w:hAnsi="宋体" w:eastAsia="宋体" w:cs="宋体"/>
          <w:szCs w:val="21"/>
        </w:rPr>
        <w:fldChar w:fldCharType="separate"/>
      </w:r>
      <w:r>
        <w:rPr>
          <w:rFonts w:hint="eastAsia"/>
        </w:rPr>
        <w:t>二、 近期影响国际原油市场的主要因素</w:t>
      </w:r>
      <w:r>
        <w:tab/>
      </w:r>
      <w:r>
        <w:fldChar w:fldCharType="begin"/>
      </w:r>
      <w:r>
        <w:instrText xml:space="preserve"> PAGEREF _Toc9249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_Toc3912 </w:instrText>
      </w:r>
      <w:r>
        <w:rPr>
          <w:rFonts w:hint="eastAsia" w:ascii="宋体" w:hAnsi="宋体" w:eastAsia="宋体" w:cs="宋体"/>
          <w:szCs w:val="21"/>
        </w:rPr>
        <w:fldChar w:fldCharType="separate"/>
      </w:r>
      <w:r>
        <w:rPr>
          <w:rFonts w:hint="eastAsia" w:ascii="宋体" w:hAnsi="宋体"/>
          <w:szCs w:val="30"/>
        </w:rPr>
        <w:t>2.1影响国际原油市场的主要因素</w:t>
      </w:r>
      <w:r>
        <w:tab/>
      </w:r>
      <w:r>
        <w:fldChar w:fldCharType="begin"/>
      </w:r>
      <w:r>
        <w:instrText xml:space="preserve"> PAGEREF _Toc3912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_Toc9710 </w:instrText>
      </w:r>
      <w:r>
        <w:rPr>
          <w:rFonts w:hint="eastAsia" w:ascii="宋体" w:hAnsi="宋体" w:eastAsia="宋体" w:cs="宋体"/>
          <w:szCs w:val="21"/>
        </w:rPr>
        <w:fldChar w:fldCharType="separate"/>
      </w:r>
      <w:r>
        <w:rPr>
          <w:rFonts w:hint="eastAsia" w:ascii="宋体" w:hAnsi="宋体"/>
          <w:szCs w:val="30"/>
          <w:highlight w:val="none"/>
        </w:rPr>
        <w:t>2.2国际市场MTBE价格</w:t>
      </w:r>
      <w:r>
        <w:tab/>
      </w:r>
      <w:r>
        <w:fldChar w:fldCharType="begin"/>
      </w:r>
      <w:r>
        <w:instrText xml:space="preserve"> PAGEREF _Toc9710 </w:instrText>
      </w:r>
      <w:r>
        <w:fldChar w:fldCharType="separate"/>
      </w:r>
      <w:r>
        <w:t>13</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_Toc9440 </w:instrText>
      </w:r>
      <w:r>
        <w:rPr>
          <w:rFonts w:hint="eastAsia" w:ascii="宋体" w:hAnsi="宋体" w:eastAsia="宋体" w:cs="宋体"/>
          <w:szCs w:val="21"/>
        </w:rPr>
        <w:fldChar w:fldCharType="separate"/>
      </w:r>
      <w:r>
        <w:rPr>
          <w:rFonts w:hint="eastAsia"/>
          <w:lang w:eastAsia="zh-CN"/>
        </w:rPr>
        <w:t>三、</w:t>
      </w:r>
      <w:r>
        <w:rPr>
          <w:rFonts w:hint="eastAsia"/>
        </w:rPr>
        <w:t>本周国内市场</w:t>
      </w:r>
      <w:r>
        <w:tab/>
      </w:r>
      <w:r>
        <w:fldChar w:fldCharType="begin"/>
      </w:r>
      <w:r>
        <w:instrText xml:space="preserve"> PAGEREF _Toc9440 </w:instrText>
      </w:r>
      <w:r>
        <w:fldChar w:fldCharType="separate"/>
      </w:r>
      <w:r>
        <w:t>13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_Toc15820 </w:instrText>
      </w:r>
      <w:r>
        <w:rPr>
          <w:rFonts w:hint="eastAsia" w:ascii="宋体" w:hAnsi="宋体" w:eastAsia="宋体" w:cs="宋体"/>
          <w:szCs w:val="21"/>
        </w:rPr>
        <w:fldChar w:fldCharType="separate"/>
      </w:r>
      <w:r>
        <w:rPr>
          <w:rFonts w:hint="eastAsia" w:ascii="宋体" w:hAnsi="宋体"/>
          <w:szCs w:val="30"/>
          <w:highlight w:val="none"/>
        </w:rPr>
        <w:t>3.1 国内炼厂装置运行情况</w:t>
      </w:r>
      <w:r>
        <w:tab/>
      </w:r>
      <w:r>
        <w:fldChar w:fldCharType="begin"/>
      </w:r>
      <w:r>
        <w:instrText xml:space="preserve"> PAGEREF _Toc15820 </w:instrText>
      </w:r>
      <w:r>
        <w:fldChar w:fldCharType="separate"/>
      </w:r>
      <w:r>
        <w:t>13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_Toc22131 </w:instrText>
      </w:r>
      <w:r>
        <w:rPr>
          <w:rFonts w:hint="eastAsia" w:ascii="宋体" w:hAnsi="宋体" w:eastAsia="宋体" w:cs="宋体"/>
          <w:szCs w:val="21"/>
        </w:rPr>
        <w:fldChar w:fldCharType="separate"/>
      </w:r>
      <w:r>
        <w:rPr>
          <w:rFonts w:hint="eastAsia" w:ascii="宋体" w:hAnsi="宋体"/>
          <w:szCs w:val="30"/>
          <w:highlight w:val="none"/>
        </w:rPr>
        <w:t>3.2本周成品油市场行情</w:t>
      </w:r>
      <w:r>
        <w:tab/>
      </w:r>
      <w:r>
        <w:fldChar w:fldCharType="begin"/>
      </w:r>
      <w:r>
        <w:instrText xml:space="preserve"> PAGEREF _Toc22131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_Toc13353 </w:instrText>
      </w:r>
      <w:r>
        <w:rPr>
          <w:rFonts w:hint="eastAsia" w:ascii="宋体" w:hAnsi="宋体" w:eastAsia="宋体" w:cs="宋体"/>
          <w:szCs w:val="21"/>
        </w:rPr>
        <w:fldChar w:fldCharType="separate"/>
      </w:r>
      <w:r>
        <w:rPr>
          <w:rFonts w:hint="eastAsia" w:ascii="宋体" w:hAnsi="宋体"/>
          <w:szCs w:val="30"/>
        </w:rPr>
        <w:t>3.3 国内汽油价格周报</w:t>
      </w:r>
      <w:r>
        <w:tab/>
      </w:r>
      <w:r>
        <w:fldChar w:fldCharType="begin"/>
      </w:r>
      <w:r>
        <w:instrText xml:space="preserve"> PAGEREF _Toc13353 </w:instrText>
      </w:r>
      <w:r>
        <w:fldChar w:fldCharType="separate"/>
      </w:r>
      <w:r>
        <w:t>19</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_Toc28209 </w:instrText>
      </w:r>
      <w:r>
        <w:rPr>
          <w:rFonts w:hint="eastAsia" w:ascii="宋体" w:hAnsi="宋体" w:eastAsia="宋体" w:cs="宋体"/>
          <w:szCs w:val="21"/>
        </w:rPr>
        <w:fldChar w:fldCharType="separate"/>
      </w:r>
      <w:r>
        <w:rPr>
          <w:rFonts w:hint="eastAsia" w:ascii="宋体" w:hAnsi="宋体"/>
          <w:szCs w:val="30"/>
          <w:lang w:val="en-US" w:eastAsia="zh-CN"/>
        </w:rPr>
        <w:t>3.4国内柴油价格周报</w:t>
      </w:r>
      <w:r>
        <w:tab/>
      </w:r>
      <w:r>
        <w:fldChar w:fldCharType="begin"/>
      </w:r>
      <w:r>
        <w:instrText xml:space="preserve"> PAGEREF _Toc28209 </w:instrText>
      </w:r>
      <w:r>
        <w:fldChar w:fldCharType="separate"/>
      </w:r>
      <w:r>
        <w:t>22</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_Toc10254 </w:instrText>
      </w:r>
      <w:r>
        <w:rPr>
          <w:rFonts w:hint="eastAsia" w:ascii="宋体" w:hAnsi="宋体" w:eastAsia="宋体" w:cs="宋体"/>
          <w:szCs w:val="21"/>
        </w:rPr>
        <w:fldChar w:fldCharType="separate"/>
      </w:r>
      <w:r>
        <w:rPr>
          <w:rFonts w:hint="eastAsia" w:ascii="宋体" w:hAnsi="宋体"/>
          <w:szCs w:val="30"/>
          <w:lang w:val="en-US" w:eastAsia="zh-CN"/>
        </w:rPr>
        <w:t>3.5 山东地炼汽油出厂价格周报</w:t>
      </w:r>
      <w:r>
        <w:tab/>
      </w:r>
      <w:r>
        <w:fldChar w:fldCharType="begin"/>
      </w:r>
      <w:r>
        <w:instrText xml:space="preserve"> PAGEREF _Toc10254 </w:instrText>
      </w:r>
      <w:r>
        <w:fldChar w:fldCharType="separate"/>
      </w:r>
      <w:r>
        <w:t>27</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_Toc24140 </w:instrText>
      </w:r>
      <w:r>
        <w:rPr>
          <w:rFonts w:hint="eastAsia" w:ascii="宋体" w:hAnsi="宋体" w:eastAsia="宋体" w:cs="宋体"/>
          <w:szCs w:val="21"/>
        </w:rPr>
        <w:fldChar w:fldCharType="separate"/>
      </w:r>
      <w:r>
        <w:rPr>
          <w:rFonts w:hint="eastAsia" w:ascii="宋体" w:hAnsi="宋体"/>
          <w:szCs w:val="30"/>
          <w:lang w:val="en-US" w:eastAsia="zh-CN"/>
        </w:rPr>
        <w:t>3.6 山东地炼柴油出厂价格周报</w:t>
      </w:r>
      <w:r>
        <w:tab/>
      </w:r>
      <w:r>
        <w:fldChar w:fldCharType="begin"/>
      </w:r>
      <w:r>
        <w:instrText xml:space="preserve"> PAGEREF _Toc24140 </w:instrText>
      </w:r>
      <w:r>
        <w:fldChar w:fldCharType="separate"/>
      </w:r>
      <w:r>
        <w:t>29</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_Toc32000 </w:instrText>
      </w:r>
      <w:r>
        <w:rPr>
          <w:rFonts w:hint="eastAsia" w:ascii="宋体" w:hAnsi="宋体" w:eastAsia="宋体" w:cs="宋体"/>
          <w:szCs w:val="21"/>
        </w:rPr>
        <w:fldChar w:fldCharType="separate"/>
      </w:r>
      <w:r>
        <w:rPr>
          <w:rFonts w:hint="eastAsia" w:ascii="宋体" w:hAnsi="宋体"/>
          <w:szCs w:val="30"/>
          <w:lang w:val="en-US" w:eastAsia="zh-CN"/>
        </w:rPr>
        <w:t>四、2020年10月份进出口统计数据</w:t>
      </w:r>
      <w:r>
        <w:tab/>
      </w:r>
      <w:r>
        <w:fldChar w:fldCharType="begin"/>
      </w:r>
      <w:r>
        <w:instrText xml:space="preserve"> PAGEREF _Toc32000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_Toc21966 </w:instrText>
      </w:r>
      <w:r>
        <w:rPr>
          <w:rFonts w:hint="eastAsia" w:ascii="宋体" w:hAnsi="宋体" w:eastAsia="宋体" w:cs="宋体"/>
          <w:szCs w:val="21"/>
        </w:rPr>
        <w:fldChar w:fldCharType="separate"/>
      </w:r>
      <w:r>
        <w:rPr>
          <w:rFonts w:hint="eastAsia" w:ascii="宋体" w:hAnsi="宋体"/>
          <w:szCs w:val="30"/>
        </w:rPr>
        <w:t>4.1 20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10</w:t>
      </w:r>
      <w:r>
        <w:rPr>
          <w:rFonts w:hint="eastAsia" w:ascii="宋体" w:hAnsi="宋体"/>
          <w:szCs w:val="30"/>
        </w:rPr>
        <w:t>份全国车用汽油和航空汽油进出口统计数据</w:t>
      </w:r>
      <w:r>
        <w:tab/>
      </w:r>
      <w:r>
        <w:fldChar w:fldCharType="begin"/>
      </w:r>
      <w:r>
        <w:instrText xml:space="preserve"> PAGEREF _Toc21966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_Toc277 </w:instrText>
      </w:r>
      <w:r>
        <w:rPr>
          <w:rFonts w:hint="eastAsia" w:ascii="宋体" w:hAnsi="宋体" w:eastAsia="宋体" w:cs="宋体"/>
          <w:szCs w:val="21"/>
        </w:rPr>
        <w:fldChar w:fldCharType="separate"/>
      </w:r>
      <w:r>
        <w:rPr>
          <w:rFonts w:hint="eastAsia" w:ascii="宋体" w:hAnsi="宋体"/>
          <w:szCs w:val="30"/>
        </w:rPr>
        <w:t>4.2 20</w:t>
      </w:r>
      <w:r>
        <w:rPr>
          <w:rFonts w:hint="eastAsia" w:ascii="宋体" w:hAnsi="宋体"/>
          <w:szCs w:val="30"/>
          <w:lang w:val="en-US" w:eastAsia="zh-CN"/>
        </w:rPr>
        <w:t>20</w:t>
      </w:r>
      <w:r>
        <w:rPr>
          <w:rFonts w:hint="eastAsia" w:ascii="宋体" w:hAnsi="宋体"/>
          <w:szCs w:val="30"/>
        </w:rPr>
        <w:t>年1</w:t>
      </w:r>
      <w:r>
        <w:rPr>
          <w:rFonts w:hint="eastAsia" w:ascii="宋体" w:hAnsi="宋体"/>
          <w:szCs w:val="30"/>
          <w:lang w:val="en-US" w:eastAsia="zh-CN"/>
        </w:rPr>
        <w:t>0</w:t>
      </w:r>
      <w:r>
        <w:rPr>
          <w:rFonts w:hint="eastAsia" w:ascii="宋体" w:hAnsi="宋体"/>
          <w:szCs w:val="30"/>
        </w:rPr>
        <w:t>月份全国柴油出口统计数据</w:t>
      </w:r>
      <w:r>
        <w:tab/>
      </w:r>
      <w:r>
        <w:fldChar w:fldCharType="begin"/>
      </w:r>
      <w:r>
        <w:instrText xml:space="preserve"> PAGEREF _Toc277 </w:instrText>
      </w:r>
      <w:r>
        <w:fldChar w:fldCharType="separate"/>
      </w:r>
      <w:r>
        <w:t>32</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_Toc8413 </w:instrText>
      </w:r>
      <w:r>
        <w:rPr>
          <w:rFonts w:hint="eastAsia" w:ascii="宋体" w:hAnsi="宋体" w:eastAsia="宋体" w:cs="宋体"/>
          <w:szCs w:val="21"/>
        </w:rPr>
        <w:fldChar w:fldCharType="separate"/>
      </w:r>
      <w:r>
        <w:rPr>
          <w:rFonts w:hint="eastAsia" w:ascii="宋体" w:hAnsi="宋体"/>
          <w:szCs w:val="30"/>
        </w:rPr>
        <w:t>4.3 20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10</w:t>
      </w:r>
      <w:r>
        <w:rPr>
          <w:rFonts w:hint="eastAsia" w:ascii="宋体" w:hAnsi="宋体"/>
          <w:szCs w:val="30"/>
        </w:rPr>
        <w:t>月份全国原油进出口统计数据</w:t>
      </w:r>
      <w:r>
        <w:tab/>
      </w:r>
      <w:r>
        <w:fldChar w:fldCharType="begin"/>
      </w:r>
      <w:r>
        <w:instrText xml:space="preserve"> PAGEREF _Toc8413 </w:instrText>
      </w:r>
      <w:r>
        <w:fldChar w:fldCharType="separate"/>
      </w:r>
      <w:r>
        <w:t>33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_Toc21660 </w:instrText>
      </w:r>
      <w:r>
        <w:rPr>
          <w:rFonts w:hint="eastAsia" w:ascii="宋体" w:hAnsi="宋体" w:eastAsia="宋体" w:cs="宋体"/>
          <w:szCs w:val="21"/>
        </w:rPr>
        <w:fldChar w:fldCharType="separate"/>
      </w:r>
      <w:r>
        <w:rPr>
          <w:rFonts w:hint="eastAsia" w:ascii="宋体" w:hAnsi="宋体"/>
          <w:szCs w:val="30"/>
        </w:rPr>
        <w:t>4.4 20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10</w:t>
      </w:r>
      <w:r>
        <w:rPr>
          <w:rFonts w:hint="eastAsia" w:ascii="宋体" w:hAnsi="宋体"/>
          <w:szCs w:val="30"/>
        </w:rPr>
        <w:t>月份航空煤油进出口统计数据</w:t>
      </w:r>
      <w:r>
        <w:tab/>
      </w:r>
      <w:r>
        <w:fldChar w:fldCharType="begin"/>
      </w:r>
      <w:r>
        <w:instrText xml:space="preserve"> PAGEREF _Toc21660 </w:instrText>
      </w:r>
      <w:r>
        <w:fldChar w:fldCharType="separate"/>
      </w:r>
      <w:r>
        <w:t>35</w:t>
      </w:r>
      <w:r>
        <w:fldChar w:fldCharType="end"/>
      </w: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22754"/>
      <w:r>
        <w:rPr>
          <w:rFonts w:hint="eastAsia"/>
        </w:rPr>
        <w:t>一、国际原油市场回顾 </w:t>
      </w:r>
      <w:bookmarkEnd w:id="0"/>
    </w:p>
    <w:p>
      <w:pPr>
        <w:pStyle w:val="3"/>
        <w:spacing w:before="120" w:after="120" w:line="240" w:lineRule="auto"/>
        <w:rPr>
          <w:rFonts w:hint="eastAsia" w:ascii="宋体" w:hAnsi="宋体"/>
          <w:b/>
          <w:sz w:val="30"/>
          <w:szCs w:val="30"/>
        </w:rPr>
      </w:pPr>
      <w:bookmarkStart w:id="1" w:name="_Toc2223"/>
      <w:r>
        <w:rPr>
          <w:rFonts w:hint="eastAsia" w:ascii="宋体" w:hAnsi="宋体"/>
          <w:b/>
          <w:sz w:val="30"/>
          <w:szCs w:val="30"/>
        </w:rPr>
        <w:t>1.1国际原油收盘价涨跌情况（单位：美元/桶）</w:t>
      </w:r>
      <w:bookmarkEnd w:id="1"/>
    </w:p>
    <w:tbl>
      <w:tblPr>
        <w:tblStyle w:val="24"/>
        <w:tblW w:w="8662" w:type="dxa"/>
        <w:tblInd w:w="0" w:type="dxa"/>
        <w:tblLayout w:type="fixed"/>
        <w:tblCellMar>
          <w:top w:w="15" w:type="dxa"/>
          <w:left w:w="15" w:type="dxa"/>
          <w:bottom w:w="15" w:type="dxa"/>
          <w:right w:w="15" w:type="dxa"/>
        </w:tblCellMar>
      </w:tblPr>
      <w:tblGrid>
        <w:gridCol w:w="1291"/>
        <w:gridCol w:w="709"/>
        <w:gridCol w:w="709"/>
        <w:gridCol w:w="5953"/>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2020/12/17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48.36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51.5</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EIA库存下降带来的利好仍在发酵，加之美国达成刺激计划以及随着疫苗推出需求前景收到提振，原油延续此前涨势，收盘上涨。</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2020/12/18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49.1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52.26</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原油收盘上涨，一方面，各国疫苗接种取得较大进展，原油需求预期有所好转，这对油价仍有提振，另一方面，美国或将达成财政计划也支撑油价。</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2020/12/21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47.74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50.91</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大幅下跌，英国首相约翰逊此前发表全国讲话，证实了变异新冠病毒的存在，并下达了伦敦的封锁禁令，与此同时，欧盟多国相继宣布关闭边境、停飞往返英国航班等措施，应对新冠病毒新变种。欧美疫情严峻形势再度打击了市场乐观情绪，随着假期临近，投资者担心英国和其他欧洲国家收紧限制措施可能会阻碍全球经济复苏及其对燃料的需求。</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2020/12/22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47.02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50.08</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原油收盘延续跌势，市场对欧洲旅行限制收紧影响原油需求复苏的担忧仍令油价承压。此外，俄罗斯方面或将支持进一步提高石油产量的消息也加重了油价的下行压力。</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2020/12/23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48.12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51.2</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上涨，EIA原油库存和成品油库存双双减少提振了投资者对能源需求复苏的预期。此外，欧盟各国与此前发现新冠病毒变异株的英国达成和解，法国与英国也恢复了交通往来，市场风险情绪有所好转也缓解了油价的利空压力。</w:t>
            </w:r>
          </w:p>
        </w:tc>
      </w:tr>
    </w:tbl>
    <w:p>
      <w:pPr>
        <w:jc w:val="center"/>
        <w:rPr>
          <w:rFonts w:hint="eastAsia"/>
        </w:rPr>
      </w:pPr>
    </w:p>
    <w:p>
      <w:pPr>
        <w:pStyle w:val="3"/>
        <w:spacing w:before="120" w:after="120" w:line="240" w:lineRule="auto"/>
        <w:rPr>
          <w:rFonts w:hint="eastAsia" w:ascii="宋体" w:hAnsi="宋体"/>
          <w:b/>
          <w:sz w:val="30"/>
          <w:szCs w:val="30"/>
        </w:rPr>
      </w:pPr>
      <w:bookmarkStart w:id="2" w:name="_Toc8868"/>
      <w:r>
        <w:rPr>
          <w:rFonts w:hint="eastAsia" w:ascii="宋体" w:hAnsi="宋体"/>
          <w:b/>
          <w:sz w:val="30"/>
          <w:szCs w:val="30"/>
        </w:rPr>
        <w:t>1.2 20</w:t>
      </w:r>
      <w:r>
        <w:rPr>
          <w:rFonts w:hint="eastAsia" w:ascii="宋体" w:hAnsi="宋体"/>
          <w:b/>
          <w:sz w:val="30"/>
          <w:szCs w:val="30"/>
          <w:lang w:val="en-US" w:eastAsia="zh-CN"/>
        </w:rPr>
        <w:t>20</w:t>
      </w:r>
      <w:r>
        <w:rPr>
          <w:rFonts w:hint="eastAsia" w:ascii="宋体" w:hAnsi="宋体"/>
          <w:b/>
          <w:sz w:val="30"/>
          <w:szCs w:val="30"/>
        </w:rPr>
        <w:t>年国际原油价格走势图</w:t>
      </w:r>
      <w:bookmarkEnd w:id="2"/>
    </w:p>
    <w:p>
      <w:pPr>
        <w:widowControl/>
        <w:wordWrap w:val="0"/>
        <w:spacing w:after="90" w:line="288" w:lineRule="auto"/>
        <w:jc w:val="left"/>
        <w:rPr>
          <w:rFonts w:hint="eastAsia" w:ascii="宋体" w:hAnsi="宋体" w:cs="Arial"/>
          <w:b/>
          <w:kern w:val="0"/>
          <w:sz w:val="30"/>
          <w:szCs w:val="30"/>
        </w:rPr>
      </w:pPr>
      <w:r>
        <w:rPr>
          <w:rFonts w:hint="eastAsia" w:ascii="宋体" w:hAnsi="宋体" w:cs="Arial"/>
          <w:b/>
          <w:kern w:val="0"/>
          <w:sz w:val="30"/>
          <w:szCs w:val="30"/>
        </w:rPr>
        <w:drawing>
          <wp:inline distT="0" distB="0" distL="114300" distR="114300">
            <wp:extent cx="5310505" cy="3348990"/>
            <wp:effectExtent l="0" t="0" r="4445" b="381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5310505" cy="3348990"/>
                    </a:xfrm>
                    <a:prstGeom prst="rect">
                      <a:avLst/>
                    </a:prstGeom>
                    <a:noFill/>
                    <a:ln>
                      <a:noFill/>
                    </a:ln>
                  </pic:spPr>
                </pic:pic>
              </a:graphicData>
            </a:graphic>
          </wp:inline>
        </w:drawing>
      </w:r>
    </w:p>
    <w:p>
      <w:pPr>
        <w:widowControl/>
        <w:wordWrap w:val="0"/>
        <w:spacing w:after="90" w:line="288" w:lineRule="auto"/>
        <w:jc w:val="left"/>
        <w:rPr>
          <w:rFonts w:hint="eastAsia" w:ascii="宋体" w:hAnsi="宋体" w:cs="Arial"/>
          <w:b/>
          <w:kern w:val="0"/>
          <w:sz w:val="30"/>
          <w:szCs w:val="30"/>
        </w:rPr>
      </w:pPr>
    </w:p>
    <w:p>
      <w:pPr>
        <w:rPr>
          <w:rFonts w:hint="eastAsia" w:ascii="宋体" w:hAnsi="宋体" w:cs="Arial"/>
          <w:b/>
          <w:kern w:val="0"/>
          <w:sz w:val="30"/>
          <w:szCs w:val="30"/>
        </w:rPr>
      </w:pPr>
    </w:p>
    <w:p>
      <w:pPr>
        <w:pStyle w:val="2"/>
        <w:numPr>
          <w:ilvl w:val="0"/>
          <w:numId w:val="1"/>
        </w:numPr>
        <w:spacing w:before="120" w:after="0" w:line="240" w:lineRule="auto"/>
      </w:pPr>
      <w:bookmarkStart w:id="3" w:name="_Toc9249"/>
      <w:r>
        <w:rPr>
          <w:rFonts w:hint="eastAsia"/>
        </w:rPr>
        <w:t>近期影响国际原油市场的主要因素</w:t>
      </w:r>
      <w:bookmarkEnd w:id="3"/>
    </w:p>
    <w:p>
      <w:pPr>
        <w:pStyle w:val="3"/>
        <w:spacing w:before="120" w:after="120" w:line="240" w:lineRule="auto"/>
        <w:rPr>
          <w:rFonts w:hint="eastAsia" w:ascii="宋体" w:hAnsi="宋体"/>
          <w:b/>
          <w:sz w:val="30"/>
          <w:szCs w:val="30"/>
        </w:rPr>
      </w:pPr>
      <w:bookmarkStart w:id="4" w:name="_Toc3912"/>
      <w:r>
        <w:rPr>
          <w:rFonts w:hint="eastAsia" w:ascii="宋体" w:hAnsi="宋体"/>
          <w:b/>
          <w:sz w:val="30"/>
          <w:szCs w:val="30"/>
        </w:rPr>
        <w:t>2.1影响国际原油市场的主要因素</w:t>
      </w:r>
      <w:bookmarkEnd w:id="4"/>
    </w:p>
    <w:p>
      <w:pPr>
        <w:ind w:firstLine="551" w:firstLineChars="196"/>
        <w:outlineLvl w:val="1"/>
        <w:rPr>
          <w:rFonts w:hint="eastAsia" w:ascii="宋体" w:hAnsi="宋体" w:eastAsia="宋体" w:cs="宋体"/>
          <w:b/>
          <w:color w:val="000000"/>
          <w:sz w:val="28"/>
          <w:szCs w:val="28"/>
        </w:rPr>
      </w:pPr>
      <w:bookmarkStart w:id="5" w:name="_Toc59695333"/>
      <w:r>
        <w:rPr>
          <w:rFonts w:hint="eastAsia" w:ascii="宋体" w:hAnsi="宋体" w:eastAsia="宋体" w:cs="宋体"/>
          <w:b/>
          <w:color w:val="000000"/>
          <w:sz w:val="28"/>
          <w:szCs w:val="28"/>
        </w:rPr>
        <w:t>1.美国原油库存情况</w:t>
      </w:r>
      <w:bookmarkEnd w:id="5"/>
      <w:r>
        <w:rPr>
          <w:rFonts w:hint="eastAsia" w:ascii="宋体" w:hAnsi="宋体" w:eastAsia="宋体" w:cs="宋体"/>
          <w:b/>
          <w:color w:val="000000"/>
          <w:sz w:val="28"/>
          <w:szCs w:val="28"/>
        </w:rPr>
        <w:t xml:space="preserve"> </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美国EIA公布的数据显示，截至12月11日当周美国除却战略储备的商业原油库存降幅超预期，精炼油库存和汽油库存略不及预期。具体数据显示，美国截至12月11日当周EIA原油库存变动实际公布减少313.5万桶，预期减少减少103.5万桶，前值减少67.9万桶。此外，美国截至12月11日当周EIA汽油库存实际公布增加102万桶，预期增加200万桶，前值增加349.1万桶;美国截至12月11日当周EIA精炼油库存实际公布增加16.7万桶，预期增加90万桶，前值增加323.8万桶。美国石油协会(API)公布的数据显示，截至12月11日当周API美国原油库存增加197.3万桶至4.95亿桶，预期减少151.4万桶，库欣原油库存减少16.5万桶;汽油库存增加82.8万桶，精炼油库存增加476.2万桶。</w:t>
      </w:r>
    </w:p>
    <w:p>
      <w:pPr>
        <w:pStyle w:val="23"/>
        <w:spacing w:line="360" w:lineRule="auto"/>
        <w:ind w:firstLine="560" w:firstLineChars="200"/>
        <w:rPr>
          <w:rFonts w:hint="eastAsia" w:ascii="宋体" w:hAnsi="宋体" w:eastAsia="宋体" w:cs="宋体"/>
          <w:sz w:val="28"/>
          <w:szCs w:val="28"/>
        </w:rPr>
      </w:pPr>
    </w:p>
    <w:p>
      <w:pPr>
        <w:pStyle w:val="23"/>
        <w:spacing w:line="360" w:lineRule="auto"/>
        <w:ind w:firstLine="562" w:firstLineChars="200"/>
        <w:outlineLvl w:val="1"/>
        <w:rPr>
          <w:rFonts w:hint="eastAsia" w:ascii="宋体" w:hAnsi="宋体" w:eastAsia="宋体" w:cs="宋体"/>
          <w:b/>
          <w:sz w:val="28"/>
          <w:szCs w:val="28"/>
        </w:rPr>
      </w:pPr>
      <w:bookmarkStart w:id="6" w:name="_Toc59695334"/>
      <w:r>
        <w:rPr>
          <w:rFonts w:hint="eastAsia" w:ascii="宋体" w:hAnsi="宋体" w:eastAsia="宋体" w:cs="宋体"/>
          <w:b/>
          <w:sz w:val="28"/>
          <w:szCs w:val="28"/>
        </w:rPr>
        <w:t>2.美国经济形势</w:t>
      </w:r>
      <w:bookmarkEnd w:id="6"/>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北京时间24日凌晨，美股周三收盘涨跌不一，金融股引领道指收高，纳指创盘中新高后收跌。投资者正在权衡严峻的新冠病毒疫情。美国总统特朗普拒绝签署抗疫纾困刺激法案，佩洛西计划周四表决特朗普提议的2000美元援助支票。英国脱欧贸易协议框架已经达成。</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道指涨114.32点，或0.38%，报30129.83点；纳指跌36.80点，或0.29%，报12771.11点；标普500指数涨2.75点，或0.07%，报3690.01点。</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金融股推动道指走高。道指成分股摩根大通收高2.8%，高盛涨2.6%，美国运通上涨2.1%。</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纳指盘中最高上涨至12841.92点，创盘中历史新高。该指数尾盘跳水并收跌。</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美国总统特朗普表示不会签署规模为9000亿美元的刺激法案，但也没否决该法案。</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美国众议院议长佩洛西表示，众议院计划周四表决一项法案，将本周通过的抗疫纾困法案中的600美元刺激支票替换为特朗普要求的2000美元。</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佩洛西表示，特朗普应向美国众议院少数党派（共和党）领袖麦卡锡施压，敦促其同意要求众议员一致通过这项法案。佩洛西表示，要想众议院一致通过，麦卡锡的同意是必不可少的。</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券商Raymond James分析师Ed Mills表示：“特朗普总统要求修改抗疫纾困救济法案，将其中支付给个人的支票金额提高到2000美元，这使未来几天内的不确定性大增，但我们的基本预测仍然是国会通过的法案将成为法律。”</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他称：“如果美国总统不采取任何行动，该法案会在1月3日成为法律，但如果该法案在12月28日之前仍未签署，美国联邦政府将部分关闭。”</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美国疾控中心称，最近几周在英国流行的变异冠状病毒毒株可能已经流入美国而未被发现。</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新冠肺炎疫苗方面，辉瑞周三表示，将在明年7月前向美国额外供应1亿剂新冠肺炎疫苗，使得公司对美国供应的新冠疫苗总量达到2亿剂。</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特朗普拒绝签署9000亿美元抗疫纾困法案 敦促国会修改</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周二晚间，美国总统特朗普暗示他可能不会签署国会刚刚通过的9000亿美元抗疫纾困刺激法案。他在视频中要求国会“立即删掉该法案中浪费和不必要的项目”，并要求国会将直接发给美国民众的支票额度从每人600美元提高到2000美元。</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如果特朗普否决该法案，国会参众两院可以以三分之二的多数票推翻他的否决。周一晚间，美国参议院以92票赞成、6票反对的结果批准了这项法案。众议院更早一些以359票赞成、53票反对通过了这项议案。</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美国众议院议长佩洛西周三承诺迅速采取立法行动，将针对个人的抗疫救济款提高至2000美元，并敦促共和党人与民主党人一道满足特朗普在最后时刻提出的这个危及历史性抗疫纾困方案前景的要求。</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佩洛西周三致函国会同僚，强调众议院一致同意将个人援助款从600美元提高至2000美元需要众院少数党派（共和党）领袖麦卡锡的支持。特朗普周二表示600美元不够，并且对是否签署2.3万亿美元的支出法案不置可否。</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佩洛西致函众议院民主党人称：“如果总统在2000美元款项上真想加入我们，他应该呼吁众院少数党派领袖麦卡锡同意我们的一致同意请求。”</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佩洛西还表示，特朗普应该签署周一晚通过的法案。该法案包括9000亿美元抗疫纾困和1.4万亿美元直至本财年末的常规联邦支出。特朗普需要在12月28日之前签署，以防当天午夜过后政府拨款终止。</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佩洛西在信中说：“整个国家都知道，总统亟需签署这项法案，既提供抗疫救济，也保持政府运作。”</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众议长计划周四上午9点举行众议院形式会议。参议院多数党领袖麦康奈尔尚未表态在参议院是否采取行动——在周一达成9000亿美元纾困方案之前，共和党人一直要求一个较小的纾困方案。</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投资者还在关注严峻的新冠病毒疫情威胁。美国疾病预防与控制中心（CDC）表示，尽管最近英国实施了许多新的旅行限制措施，但最近在该国发现变异新型冠状病毒毒株可能已经开始在美国传播，只是尚未检出而已。</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关于该新型变异病毒的毒力、及其对现有冠状病毒疫苗是否存在抗药性，目前仍属未知。</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美国各州仍在努力应对新冠疫情爆发的趋势。本周早些时候，新泽西州和亚利桑那州的新冠死亡病例数都达到了数月来的高点，而人口众多的加州仍在竭力遏制正在发生的感染人数激增状况。尽管新冠疫苗正在分发，企业和个人仍需应对病毒传播造成的现实后果。</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英国脱欧贸易协议框架已经达成</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经过近10个月时常引发担忧的谈判后，英国与欧盟已经达成脱欧后贸易协议框架，目前正在敲定协议文本。据了解情况的官员透露，英国与欧盟已经达成脱欧后贸易协议框架。</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据知情匿名官员称，谈判代表正在对协议做收尾工作。其他人则谨慎表示，协议尚未敲定，若有任何关于达成协议的消息宣布，都可能还要几小时后。</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英国首相约翰逊与欧盟委员会主席冯德莱恩最近几天亲自干预，数次通电话，赶在本月底英国离开欧盟单一市场前就达成协议做最后的尝试。</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若能达成协议，将给2016年英国脱欧公投以来长达近五年的谈判画上句号，并为英国与欧盟今后的贸易及合作奠定基础。本周早些时候，英国南部港口多佛附近拥堵了数百辆货车，提醒着人们12月31日脱欧过渡期结束时达不成协议的后果。</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经济数据</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美国劳工部报告称，截至12月19日当周初请失业金人数实际公布80.30万，预期88万，前值88.5万；美国截至12月12日当周续请失业金人数实际公布533.70万，预期556.0万，前值550.8万。</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在新冠疫情反弹影响下美国就业市场复苏面临巨大阻碍。分析人士认为，自今年春季以来，申请失业救济人数整体呈下降趋势。但近月来复苏速度有所放缓，这与新冠疫情在美境内大幅反弹趋势相吻合。</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据美国媒体预测，按照11月份就业增速，美国就业市场可能要到2024年才能恢复至疫情前水平。</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分析认为，美国就业增长整体趋势正在明显放缓。就业市场已经失去了增长动力。近期裁员主要发生在娱乐和休闲业以及交通运输行业，包括餐馆、零售商和航空公司等。这也与疫情下被迫关停的行业类型相一致。由于就业需求没有完全恢复，就业机会下降趋势还将持续，每周都将有成千上万人失去工作。</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美国11月PCE物价指数年率实际公布1.1%，预期1.2%，前值1.2%；美国11月核心PCE物价指数年率实际公布1.4%，预期1.4%，前值1.4%。</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从今年3月至今，美国经济已经开始从新冠肺炎疫情的打击中出现温和复苏。美国国会推出新一轮财政刺激计划的可能性上升以及新冠疫苗取得积极进展成为近期影响美国经济复苏前景的利好消息。不过，疫情的阴霾还远未散去。</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分析指出，近期美国失业人数激增，表明就业形势不仅没有逐步好转，反而在加剧恶化。而首次申请失业救济人数出现跳升尤其令人担忧，因为目前该指标仍远高于疫情前，环比增幅也仍维持在疫情前三倍多水平。</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其他市场</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原油期货价格周三收高。美国能源信息署（EIA）报告显示美国上周原油库存下降。地缘政治方面的发展似乎清除了阻碍未来原油需求方面的因素。</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EIA报告称，截止12月18日当周，美国原油库存减少56.2万桶，市场平均预期该数字将减少470万桶。周二，美国石油协会（API）报告称美国上周原油库存增加270万桶。EIA与API数据相左并不罕见，但投资者通常更信赖EIA数据。</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地缘政治消息面，英国《太阳报》的一篇报道暗示英国脱欧协议已经“在望”，最早可能在周三或圣诞节前夕签署。这篇报道帮助市场降低了对英国避免硬脱欧的担忧。</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法国对英国重新开放边境，现在司机可在提供新冠病毒测试阴性结果报告的条件下，通过英法海底隧道或者渡口进入法国。</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分析师称，英法恢复交通与人员交流是个积极的进展，但提交病毒检测结果的要求还是会造成一定的障碍。</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周三，纽约商品交易所2月交割的西德州中质原油（WTI）期货价格上涨1.10美元，涨幅2.3%，收于每桶48.12美元。</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伦敦洲际交易所2月交割的布伦特原油期货价格上涨1.12美元，涨幅2.2%，收于每桶51.20美元。</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按照最活跃合约计算，本周截止周三收盘，美国WTI原油下跌2.5%，伦敦布伦特原油下跌2.1%。</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p>
    <w:p>
      <w:pPr>
        <w:pStyle w:val="23"/>
        <w:rPr>
          <w:rFonts w:hint="eastAsia" w:ascii="宋体" w:hAnsi="宋体" w:eastAsia="宋体" w:cs="宋体"/>
          <w:color w:val="333335"/>
          <w:kern w:val="2"/>
          <w:sz w:val="28"/>
          <w:szCs w:val="28"/>
          <w:shd w:val="clear" w:color="auto" w:fill="FFFFFF"/>
        </w:rPr>
      </w:pPr>
    </w:p>
    <w:p>
      <w:pPr>
        <w:pStyle w:val="23"/>
        <w:ind w:firstLine="562" w:firstLineChars="200"/>
        <w:outlineLvl w:val="1"/>
        <w:rPr>
          <w:rFonts w:hint="eastAsia" w:ascii="宋体" w:hAnsi="宋体" w:eastAsia="宋体" w:cs="宋体"/>
          <w:b/>
          <w:bCs/>
          <w:sz w:val="28"/>
          <w:szCs w:val="28"/>
        </w:rPr>
      </w:pPr>
      <w:bookmarkStart w:id="7" w:name="_Toc59695335"/>
      <w:r>
        <w:rPr>
          <w:rFonts w:hint="eastAsia" w:ascii="宋体" w:hAnsi="宋体" w:eastAsia="宋体" w:cs="宋体"/>
          <w:b/>
          <w:bCs/>
          <w:sz w:val="28"/>
          <w:szCs w:val="28"/>
        </w:rPr>
        <w:t>3.世界经济形势</w:t>
      </w:r>
      <w:bookmarkEnd w:id="7"/>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据《日本经济新闻》报道，由于新冠疫情再次扩大，世界经济或将踩下刹车。经济学家近期的预测显示，日美欧今年第四季度实际经济增长率与此前预期相比将下行。尤其是疫情严重扩大的欧洲或将陷入负增长。另一方面，成功遏制疫情并恢复经济活动的中国维持增长速度，与日美欧形成明暗分化。</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金融信息公司路孚特的数据显示，经济学家12月预计的国内生产总值(GDP)增长率与9月时的预计相比有所下调。与三季度的高增长相比，认为日美欧四季度增速将下降的预期正在增加。</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报道称，经济学家此前预计欧洲四季度将实现10.4%的环比年化高增长，但最新的预计显示，四季度或将转为10%的下滑。以旅游等为主要产业的法国和意大利采取严格的出行限制措施，对经济产生消极影响。此前经济比较坚挺的德国也不得不加强封城。经济学家9月份预计欧洲2021年一季度将增长5.7%，现在则将预期下调至4.5%，还存在进一步下调的可能性。</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在美国，疫情反弹的影响突出，尤其是对消费的影响明显。网上订餐平台“开放餐桌”网站的数据显示，截至12月13日，全美国的预订数同比减少66%。10月的降幅为40%左右，但随着营业限制扩大至全美国，情况进一步恶化。</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路孚特的数据显示，经济学家12月预测美国四季度增长4.0%。这一预期在9月时为5.3%。预计美国经济增速2021年一季度将放缓至2.5%。高盛经济学家简·哈丘斯指出，“财政支援的不足和疫情恶化成为重大下行风险。”摩根大通等预计，美国将晚于欧洲在2021年一季度陷入负增长。</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报道称，日本的新冠感染和死亡人数少于欧美，但限制经济活动的影响巨大。路孚特的数据显示，日本四季度的增长率将从此前预计的4.8%降至3.9%。</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日本经济研究中心统计的12月ESP经济预期调查显示，35名经济学家的平均预期为增长3.44%。与一个月前的调查相比下调0.6个百分点。</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尤其是日本的民间消费和设备投资等内需疲软。汽车行业有声音表示：“对中国出口正在增长，但日本国内销量仍低于疫情扩大前。”受疫情影响，旅游刺激政策将在今年底明年初全面暂停。有酒店运营商担忧地表示：“在24日免费取消预定的最后期限之前，可能会有更多预定被取消。”</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明治安田综合研究所的小玉祐一表示：“由于奖金减少等收入环境恶化加上刺激政策削减，消费形势非常严峻。根据疫情发展，日本也存在明年一季度陷入负增长的风险。”</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报道称，与日美欧形成对照，较早遏制住疫情的中国表现坚挺。中日两国的经济学家预计，中国四季度GDP将同比增长5%至6%。多数观点认为，中国GDP增速会比三季度(4.9%)加快。这种预期在秋季以后基本没有改变，野村证券现阶段维持了10月时的预期，即预测中国GDP四季度增长5.7%。</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报道指出，对中国经济起到拉动作用的是出口的增长。由于疫情在海外蔓延，口罩和防护用品等医疗相关商品的销售明显增加。由于中国抢在其他国家之前恢复了供应链，还出现了企业把部分生产工序迁回中国的趋势。</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浙商证券的首席经济学家李超预计四季度中国GDP增长6.6%。其分析称，海外供应链尚未完全恢复，年底商战期间，会对中国的出口产品产生需求。在中国的内需方面，无法赴海外旅游的富裕阶层的高额消费也起到支撑作用。2020年全年，中国有望在主要国家中唯一维持正增长。</w:t>
      </w:r>
    </w:p>
    <w:p>
      <w:pPr>
        <w:pStyle w:val="23"/>
        <w:spacing w:line="360" w:lineRule="auto"/>
        <w:ind w:firstLine="560" w:firstLineChars="200"/>
        <w:rPr>
          <w:rFonts w:hint="eastAsia" w:ascii="宋体" w:hAnsi="宋体" w:eastAsia="宋体" w:cs="宋体"/>
          <w:sz w:val="28"/>
          <w:szCs w:val="28"/>
        </w:rPr>
      </w:pPr>
    </w:p>
    <w:p>
      <w:pPr>
        <w:ind w:firstLine="562" w:firstLineChars="200"/>
        <w:rPr>
          <w:rFonts w:hint="eastAsia" w:asciiTheme="minorEastAsia" w:hAnsiTheme="minorEastAsia" w:eastAsiaTheme="minorEastAsia" w:cstheme="minorEastAsia"/>
          <w:b/>
          <w:sz w:val="28"/>
          <w:szCs w:val="28"/>
        </w:rPr>
      </w:pPr>
    </w:p>
    <w:p>
      <w:pPr>
        <w:rPr>
          <w:rFonts w:hint="eastAsia"/>
        </w:rPr>
      </w:pPr>
    </w:p>
    <w:p>
      <w:pPr>
        <w:pStyle w:val="23"/>
        <w:numPr>
          <w:ilvl w:val="0"/>
          <w:numId w:val="2"/>
        </w:numPr>
        <w:outlineLvl w:val="1"/>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后市预测</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美国WTI原油原油价格在46.57-47.82美元/桶。布伦特原油价格在49.97-51.08美元/桶震荡。周内国际油价窄幅整理。美国能源信息署(EIA)周三(12月16日)公布的数据显示，上周原油库存降幅远高于预期，加之多国相继展开新冠疫苗接种行动以及中东紧张局势升级为油市带来了提振，两大原油期货周三(12月16日)延续了此前交易日的涨势。1月WTI：47.82涨0.20;2月布伦特：51.08涨0.32。基本面利好因素：1.香港时间周三晚23:30，美国能源信息署公布的数据显示，截至12月11日当周，原油库存减少313.5万桶，预期减少减少103.5万桶，前值减少67.9万桶;汽油库存增加102万桶，预期增加200万桶，前值增加349.1万桶;精炼油库存增加16.7万桶，预期增加90万桶，前值增加323.8万桶;美国上周原油出口增加79.3万桶/日至262.7万桶/日;上周美国国内原油产量减少10万桶至1100万桶/日。美国原油产品四周平均供应量为1887.3万桶/日，较去年同期减少8.4%。2.欧佩克轮值主席、阿尔及利亚能源部长阿塔尔于周二重申，组织在明年初不应急于增产，并表示，由于新冠病毒在世界部分地区肆虐，能源需求仍然脆弱。阿塔尔表示，无法保证欧佩克及其盟友在4月前将原油产量提高200万桶/日，尽管本月早些时候已达成逐步达到这一水平的协议。3.美国卫生与公众服务部长阿扎尔周一表示， 美国疾控中心向各州拨款1.4亿美元用于继续规划新冠疫苗的分配工作;国卫生与公众服务部和其他公共卫生领导人将在未来几周内努力确保让美国人知道新冠疫苗是安全有效的;鼓励美国零售药店CVS和Walgreens在养老院开始新冠疫苗的接种，12月21日为这两家连锁药店的计划日期。根据先前的估计，本月将分发足够的新冠疫苗，为2000万人接种。当日，美国政府“曲速行动”计划联席负责人佩尔纳称，美国卫生与公众服务部没必要动用新冠疫苗的安全储备;美国卫生与公众服务部正准备为MODERNA的疫苗预留备用剂量，就像预留辉瑞新冠疫苗的备用剂量一样。基本面利空因素：1.香港时间周三凌晨05:30，美国石油协会(API)公布的数据显示，截至12月11日当周，原油库存增加197.3万桶，预期减少350万桶;汽油库存增加82.8万桶;精炼油库存增加476.2万桶。知名金融博客零对冲对此表示，在上周原油库存大幅增加后，分析师原本预计本周公布的数据会显示原油库存小幅减少350万桶，但却出现了再一次增加，精炼油库存也再度出现令人惊讶的激增。2.投资者仍在密切关注抑制欧洲疫情急剧上升的措施，德国和荷兰宣布将在圣诞节期间加强限制措施。英国伦敦日前移至最严格的封锁等级——三级。在第三等级(高度戒备)下，除了外卖和送餐服务外，酒吧和餐馆必须关闭，剧院、保龄球馆和电影院等室内娱乐场所也必须保持关闭。英国卫生部长马特·汉考克(Matt Hancock)在周一晚间在唐宁街的简报会上说，新冠病毒大约每7天在英格兰某些地区就增加一倍。他警告说，在伦敦、埃塞克斯郡和肯特郡的医院，如果再有几次翻倍，就将“崩溃”。汉考克还透露，对冠状病毒新变种的初步分析表明，它“比现有变种生长更快”，应作为“对我们所有人的警告”，以令我们保持“警惕”。3.据Worldometers实时统计数据显示，截至香港时间12月17日02时23分，全球新冠病毒确诊病例达7417万例，新增378127例至74178092例，死亡病例达164万例，新增8274例至1649179例。美国新冠病毒确诊病例达1719万例，新增47486例至17192945例，占全球确诊病例的约五分之一;死亡病例达31万例，新增973例至312066例，占全球死亡人数的近五分之一。</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预测下周WTI油价将触及45-48美元/桶，布油在之后几个月触及48-52美元/桶。</w:t>
      </w:r>
    </w:p>
    <w:p>
      <w:pPr>
        <w:pStyle w:val="23"/>
        <w:numPr>
          <w:ilvl w:val="0"/>
          <w:numId w:val="0"/>
        </w:numPr>
        <w:outlineLvl w:val="1"/>
        <w:rPr>
          <w:rFonts w:hint="eastAsia" w:asciiTheme="minorEastAsia" w:hAnsiTheme="minorEastAsia" w:eastAsiaTheme="minorEastAsia" w:cstheme="minorEastAsia"/>
          <w:b/>
          <w:bCs/>
          <w:sz w:val="32"/>
          <w:szCs w:val="32"/>
        </w:rPr>
      </w:pPr>
    </w:p>
    <w:p>
      <w:pPr>
        <w:pStyle w:val="3"/>
        <w:spacing w:before="120" w:after="120" w:line="240" w:lineRule="auto"/>
        <w:rPr>
          <w:rFonts w:hint="eastAsia" w:ascii="宋体" w:hAnsi="宋体"/>
          <w:b/>
          <w:sz w:val="30"/>
          <w:szCs w:val="30"/>
          <w:highlight w:val="none"/>
        </w:rPr>
      </w:pPr>
      <w:bookmarkStart w:id="8" w:name="_Toc9710"/>
      <w:r>
        <w:rPr>
          <w:rFonts w:hint="eastAsia" w:ascii="宋体" w:hAnsi="宋体"/>
          <w:b/>
          <w:sz w:val="30"/>
          <w:szCs w:val="30"/>
          <w:highlight w:val="none"/>
        </w:rPr>
        <w:t>2.2国际市场MTBE价格</w:t>
      </w:r>
      <w:bookmarkEnd w:id="8"/>
    </w:p>
    <w:tbl>
      <w:tblPr>
        <w:tblStyle w:val="24"/>
        <w:tblW w:w="7230" w:type="dxa"/>
        <w:tblInd w:w="0" w:type="dxa"/>
        <w:shd w:val="clear" w:color="auto" w:fill="auto"/>
        <w:tblLayout w:type="autofit"/>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12月23日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143.02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490.50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12月22日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476.90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138.77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479.50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12月21日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478.00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140.86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476.25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12月18日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494.40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144.38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497.25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12月17日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494.00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143.63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486.75 </w:t>
            </w:r>
          </w:p>
        </w:tc>
      </w:tr>
    </w:tbl>
    <w:p>
      <w:pPr>
        <w:pStyle w:val="2"/>
        <w:numPr>
          <w:ilvl w:val="0"/>
          <w:numId w:val="0"/>
        </w:numPr>
        <w:spacing w:before="120" w:after="0" w:line="240" w:lineRule="auto"/>
        <w:rPr>
          <w:rFonts w:hint="eastAsia"/>
          <w:b/>
          <w:lang w:eastAsia="zh-CN"/>
        </w:rPr>
      </w:pPr>
    </w:p>
    <w:p>
      <w:pPr>
        <w:pStyle w:val="2"/>
        <w:numPr>
          <w:ilvl w:val="0"/>
          <w:numId w:val="0"/>
        </w:numPr>
        <w:spacing w:before="120" w:after="0" w:line="240" w:lineRule="auto"/>
        <w:rPr>
          <w:rFonts w:hint="eastAsia"/>
          <w:b/>
        </w:rPr>
      </w:pPr>
      <w:bookmarkStart w:id="9" w:name="_Toc9440"/>
      <w:r>
        <w:rPr>
          <w:rFonts w:hint="eastAsia"/>
          <w:b/>
          <w:lang w:eastAsia="zh-CN"/>
        </w:rPr>
        <w:t>三、</w:t>
      </w:r>
      <w:r>
        <w:rPr>
          <w:rFonts w:hint="eastAsia"/>
          <w:b/>
        </w:rPr>
        <w:t>本周国内市场</w:t>
      </w:r>
      <w:bookmarkEnd w:id="9"/>
    </w:p>
    <w:p>
      <w:pPr>
        <w:numPr>
          <w:ilvl w:val="0"/>
          <w:numId w:val="0"/>
        </w:numPr>
      </w:pPr>
    </w:p>
    <w:p>
      <w:pPr>
        <w:pStyle w:val="3"/>
        <w:spacing w:before="120" w:after="120" w:line="240" w:lineRule="auto"/>
      </w:pPr>
      <w:bookmarkStart w:id="10" w:name="_Toc15820"/>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940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69"/>
        <w:gridCol w:w="1627"/>
        <w:gridCol w:w="1841"/>
        <w:gridCol w:w="2220"/>
        <w:gridCol w:w="214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1569"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炼厂名称</w:t>
            </w:r>
          </w:p>
        </w:tc>
        <w:tc>
          <w:tcPr>
            <w:tcW w:w="1627"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检修装置</w:t>
            </w:r>
          </w:p>
        </w:tc>
        <w:tc>
          <w:tcPr>
            <w:tcW w:w="1841"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装置能力（万吨）</w:t>
            </w:r>
          </w:p>
        </w:tc>
        <w:tc>
          <w:tcPr>
            <w:tcW w:w="2220"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开始时间</w:t>
            </w:r>
          </w:p>
        </w:tc>
        <w:tc>
          <w:tcPr>
            <w:tcW w:w="2145"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结束时间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燕山石化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燕山石化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塔河石化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塔河石化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延迟焦化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上海石化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上海石化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3#柴油加氢</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330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镇海炼化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镇海炼化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茂名石化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茂名石化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2020年7月中旬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北海炼化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天津石化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齐鲁石化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2020年9中上旬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武汉石化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青岛石化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大连石化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2020年4月上旬陆续停</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广西石化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2020/2/9</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宁夏石化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云南石化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2021年1月底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锦西石化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700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2020年9月底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惠州炼厂</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二期</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436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检修延至2021年2月-4月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中海油气(泰州)</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bl>
    <w:p>
      <w:pPr>
        <w:numPr>
          <w:ilvl w:val="0"/>
          <w:numId w:val="0"/>
        </w:numPr>
        <w:rPr>
          <w:rFonts w:hint="eastAsia" w:ascii="宋体" w:hAnsi="宋体"/>
          <w:sz w:val="28"/>
          <w:szCs w:val="28"/>
          <w:highlight w:val="none"/>
        </w:rPr>
      </w:pPr>
    </w:p>
    <w:p>
      <w:pPr>
        <w:numPr>
          <w:ilvl w:val="0"/>
          <w:numId w:val="3"/>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Style w:val="24"/>
        <w:tblW w:w="9522" w:type="dxa"/>
        <w:tblInd w:w="0" w:type="dxa"/>
        <w:shd w:val="clear" w:color="auto" w:fill="auto"/>
        <w:tblLayout w:type="autofit"/>
        <w:tblCellMar>
          <w:top w:w="0" w:type="dxa"/>
          <w:left w:w="0" w:type="dxa"/>
          <w:bottom w:w="0" w:type="dxa"/>
          <w:right w:w="0" w:type="dxa"/>
        </w:tblCellMar>
      </w:tblPr>
      <w:tblGrid>
        <w:gridCol w:w="1782"/>
        <w:gridCol w:w="1188"/>
        <w:gridCol w:w="1890"/>
        <w:gridCol w:w="2385"/>
        <w:gridCol w:w="2277"/>
      </w:tblGrid>
      <w:tr>
        <w:tblPrEx>
          <w:shd w:val="clear" w:color="auto" w:fill="auto"/>
          <w:tblCellMar>
            <w:top w:w="0" w:type="dxa"/>
            <w:left w:w="0" w:type="dxa"/>
            <w:bottom w:w="0" w:type="dxa"/>
            <w:right w:w="0" w:type="dxa"/>
          </w:tblCellMar>
        </w:tblPrEx>
        <w:trPr>
          <w:trHeight w:val="240" w:hRule="atLeast"/>
        </w:trPr>
        <w:tc>
          <w:tcPr>
            <w:tcW w:w="178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18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检修产能（万吨）</w:t>
            </w:r>
          </w:p>
        </w:tc>
        <w:tc>
          <w:tcPr>
            <w:tcW w:w="23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停工时间</w:t>
            </w:r>
          </w:p>
        </w:tc>
        <w:tc>
          <w:tcPr>
            <w:tcW w:w="22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开工时间</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2018年5月1日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岚桥石化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2020年5月10日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2019年11月18日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2020年3月30日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奥星(亨润德)石化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海化石化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2020年1月12日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万达天弘</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2020年4月2</w:t>
            </w: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亚通石化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汽油加氢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尚能石化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寿光联盟</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胜星化工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正和石化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2020年2月19日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华联石化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2020年4月</w:t>
            </w:r>
            <w:r>
              <w:rPr>
                <w:rFonts w:hint="eastAsia" w:ascii="宋体" w:hAnsi="宋体" w:cs="宋体"/>
                <w:i w:val="0"/>
                <w:color w:val="000000"/>
                <w:kern w:val="0"/>
                <w:sz w:val="21"/>
                <w:szCs w:val="21"/>
                <w:u w:val="none"/>
                <w:lang w:val="en-US" w:eastAsia="zh-CN" w:bidi="ar"/>
              </w:rPr>
              <w:t>29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5月初</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2020年3月15日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柴油加氢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奥星石化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2020年6月23日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2020年7月初</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2020年7月30日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计划2020年9月份</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后期装置拆除</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后期装置拆除</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2020年8月12日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2020年9月13日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中海东营石化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2020年9月3日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2020年10月5日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齐成石化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2020年10月23日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2020年10月26日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0"/>
                <w:szCs w:val="20"/>
                <w:u w:val="none"/>
                <w:lang w:val="en-US" w:eastAsia="zh-CN" w:bidi="ar"/>
              </w:rPr>
              <w:t>计划2020年11月中旬</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岚桥石化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2020年10月31日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计划2020年11月12日</w:t>
            </w:r>
          </w:p>
        </w:tc>
      </w:tr>
    </w:tbl>
    <w:p>
      <w:pPr>
        <w:numPr>
          <w:ilvl w:val="0"/>
          <w:numId w:val="0"/>
        </w:numPr>
        <w:jc w:val="center"/>
        <w:rPr>
          <w:rFonts w:hint="eastAsia" w:ascii="宋体" w:hAnsi="宋体"/>
          <w:sz w:val="28"/>
          <w:szCs w:val="28"/>
          <w:highlight w:val="none"/>
        </w:rPr>
      </w:pPr>
    </w:p>
    <w:p>
      <w:pPr>
        <w:rPr>
          <w:rFonts w:hint="eastAsia"/>
        </w:rPr>
      </w:pPr>
    </w:p>
    <w:p>
      <w:pPr>
        <w:pStyle w:val="3"/>
        <w:spacing w:before="120" w:after="120" w:line="240" w:lineRule="auto"/>
        <w:rPr>
          <w:rFonts w:hint="eastAsia" w:ascii="宋体" w:hAnsi="宋体"/>
          <w:b/>
          <w:sz w:val="30"/>
          <w:szCs w:val="30"/>
          <w:highlight w:val="none"/>
        </w:rPr>
      </w:pPr>
      <w:bookmarkStart w:id="11" w:name="_Toc22131"/>
      <w:r>
        <w:rPr>
          <w:rFonts w:hint="eastAsia" w:ascii="宋体" w:hAnsi="宋体"/>
          <w:b/>
          <w:sz w:val="30"/>
          <w:szCs w:val="30"/>
          <w:highlight w:val="none"/>
        </w:rPr>
        <w:t>3.2本周成品油市场行情</w:t>
      </w:r>
      <w:bookmarkEnd w:id="11"/>
    </w:p>
    <w:p>
      <w:pPr>
        <w:rPr>
          <w:rFonts w:hint="eastAsia"/>
        </w:rPr>
      </w:pPr>
    </w:p>
    <w:p>
      <w:pPr>
        <w:pStyle w:val="23"/>
        <w:keepNext w:val="0"/>
        <w:keepLines w:val="0"/>
        <w:widowControl/>
        <w:suppressLineNumbers w:val="0"/>
      </w:pPr>
      <w:r>
        <w:rPr>
          <w:sz w:val="21"/>
          <w:szCs w:val="21"/>
        </w:rPr>
        <w:t>本周(12月17日-12月24日)，华南地区汽柴油市场整体呈现零星上涨走势，市场成交情况欠佳。国际原油市场走势跌宕不定，但调价窗口呈现小幅上调预期，加之临近年末，主营市场出货压力不大，短期内整体行情将维持窄幅盘整为主。</w:t>
      </w:r>
    </w:p>
    <w:p>
      <w:pPr>
        <w:pStyle w:val="23"/>
        <w:keepNext w:val="0"/>
        <w:keepLines w:val="0"/>
        <w:widowControl/>
        <w:suppressLineNumbers w:val="0"/>
      </w:pPr>
      <w:r>
        <w:rPr>
          <w:sz w:val="21"/>
          <w:szCs w:val="21"/>
        </w:rPr>
        <w:t>汽油方面，华南地区汽油市场价格涨后高位盘整。本周汽油均价为6176元/吨，较上周上涨3.06%。周内华南地区主营单位依旧保利润为主，汽油市场高位盘整。目前北方汽油船单下海价格高位，中间商操作积极性不高。据悉，周内主营汽油外采送到价在5600元/吨附近，与当前市场基本相符。截止周四，广东主营92#汽油价格主流在5850-5900元/吨，福建主营92#汽油价格主流在5750-5950元/吨。</w:t>
      </w:r>
    </w:p>
    <w:p>
      <w:pPr>
        <w:pStyle w:val="23"/>
        <w:keepNext w:val="0"/>
        <w:keepLines w:val="0"/>
        <w:widowControl/>
        <w:suppressLineNumbers w:val="0"/>
      </w:pPr>
      <w:r>
        <w:rPr>
          <w:sz w:val="21"/>
          <w:szCs w:val="21"/>
        </w:rPr>
        <w:t>柴油方面：华南地区柴油市场价格呈现稳上涨趋势，本周0#柴油价格指数5873，较上周上涨46。广州中石化国Ⅵ柴油6000元/吨，中石油0#柴油5650元/吨，成交可惠;惠州中海油0#柴油5400元/吨;广州中海油0#柴油5500元/吨，大单成交可惠。深圳中石油0#柴油5650元/吨，中石化0#柴油6000元/吨，海油0#柴油5500元/吨。福建市场柴油价格推涨，中石油国Ⅵ0#柴油5800元/吨，中石化国Ⅵ0#柴油5900元/吨。海南地区主营单位柴油价格呈现上涨走势，中石化0#柴油报价5950元/吨，中石油0#柴油报价在5900元/吨。</w:t>
      </w:r>
    </w:p>
    <w:p>
      <w:pPr>
        <w:pStyle w:val="23"/>
        <w:keepNext w:val="0"/>
        <w:keepLines w:val="0"/>
        <w:widowControl/>
        <w:suppressLineNumbers w:val="0"/>
      </w:pPr>
      <w:r>
        <w:rPr>
          <w:sz w:val="21"/>
          <w:szCs w:val="21"/>
        </w:rPr>
        <w:t>本周国际油价震荡上行，西南地区汽柴行情涨后趋稳，市场成交氛围清淡。汽油方面：上周零售价上调兑现，且新一轮变化率仍正向开端，受此支撑，区内主营价格多大幅跟涨。本周92#汽油价格指数6311，较上周涨99，95#汽油价格指数6656，较上周四涨69。国际油价宽幅震荡，上调预期对市场支撑力度减弱。此外，下游需求整体平淡，社会库存消耗缓慢。业者谨慎观望为主，消库之余零星补货，市场成交气氛寡淡。主营单位出货不畅，多暗中增加优惠力度，成交重心有所下移。柴油方面：国际油价或维持区间震荡，变化率窄幅波动，本轮零售价上调概率偏大，消息面利好仍存。不过，需求面难有改善，业者操作意向持低，市场成交难有提升。预计短线西南地区汽柴行情高位整理，主营优惠政策趋于灵活。</w:t>
      </w:r>
    </w:p>
    <w:p>
      <w:pPr>
        <w:pStyle w:val="23"/>
        <w:keepNext w:val="0"/>
        <w:keepLines w:val="0"/>
        <w:widowControl/>
        <w:suppressLineNumbers w:val="0"/>
      </w:pPr>
      <w:r>
        <w:rPr>
          <w:sz w:val="21"/>
          <w:szCs w:val="21"/>
        </w:rPr>
        <w:t>本周，山东地炼成品油行情先抑后扬，部分地区主营汽柴油价格下调，其中各炼厂多以柴油跌价为主。其中各炼厂多以柴油跌价为主，且成交保持100元/吨左右优惠。具体来看出货方面：周初，消息面利空打压业者心态，区内油市观望气氛浓厚，买卖双方操作较为谨慎。临近周末，外盘油价大涨提振业者心态，中下游商家购进操作有所增加，但成交多以散户小单为主。因此周期内地炼整体出货表现一般，汽柴油平均产销比在80-90%左右。</w:t>
      </w:r>
    </w:p>
    <w:p>
      <w:pPr>
        <w:pStyle w:val="23"/>
        <w:keepNext w:val="0"/>
        <w:keepLines w:val="0"/>
        <w:widowControl/>
        <w:suppressLineNumbers w:val="0"/>
      </w:pPr>
      <w:r>
        <w:rPr>
          <w:sz w:val="21"/>
          <w:szCs w:val="21"/>
        </w:rPr>
        <w:t>本周，华东地区成品油行情稳中上涨，消息面利好因素主导，市场观望情绪为主，整体成交氛围依旧清淡。具体来看，周内国际油价保持震荡，受上一轮零售价上调影响，周初区内各主营单位纷纷上调汽柴油价格，上调幅度在100-200元/吨。周末国际油价偏弱整理，区内各主营单位保持挺价为主，与此同时，山东地炼汽柴油均价弱势运行，令主营外采成本略有回落。临近年末，区内各主营单位已陆续完成年度任务，销售意愿不强，优惠政策与力度适度收窄，下游商家多持观望态度，入市补货多刚需逢低为主，故市场整体成交氛围保持清淡。后市而言，国际油价短期内或宽幅震荡为主，进入月底，各主营销售任务已完成，多数以挺价为主。</w:t>
      </w:r>
    </w:p>
    <w:p>
      <w:pPr>
        <w:pStyle w:val="23"/>
        <w:keepNext w:val="0"/>
        <w:keepLines w:val="0"/>
        <w:widowControl/>
        <w:suppressLineNumbers w:val="0"/>
      </w:pPr>
      <w:r>
        <w:rPr>
          <w:sz w:val="21"/>
          <w:szCs w:val="21"/>
        </w:rPr>
        <w:t>本周，西北地炼汽柴行情维持淡稳运行，市场成交气氛平平。周内国际原油期价宽幅震荡，变化率正向窄幅波动，上调预期仍存，但对市场支撑力度有限，供需面转为市场主导。随着天气转冷，工程基建等户外用油企业开工受限，且疫情影响下，部分企业或提前停工休假，柴油需求将持续萎缩，而汽油方面，元旦小长假临近，但居民出行谨慎，终端需求整体平淡。业者操作心态谨慎，消库之余按需补货为主，市场成交难有改善。</w:t>
      </w:r>
    </w:p>
    <w:p>
      <w:pPr>
        <w:pStyle w:val="23"/>
        <w:keepNext w:val="0"/>
        <w:keepLines w:val="0"/>
        <w:widowControl/>
        <w:suppressLineNumbers w:val="0"/>
      </w:pPr>
      <w:r>
        <w:rPr>
          <w:sz w:val="21"/>
          <w:szCs w:val="21"/>
        </w:rPr>
        <w:t>后市预测：随着"圣诞"与"元旦"的临近，原油市场的交投将趋于清淡。以WTI为例，主流运行区间在47-50(均值48.5)美元/桶之间，环比上涨0.42美元/桶或0.89%。在缺少实质性利好支撑下，山东地区成品油行情大涨不易，中下游商家购进操作谨慎，市场观望气氛仍存。综上所述，预计下周山东地炼汽柴油价格稳中小跌，幅度在100元/吨左右。</w:t>
      </w:r>
    </w:p>
    <w:p>
      <w:pPr>
        <w:pStyle w:val="23"/>
        <w:spacing w:line="360" w:lineRule="auto"/>
        <w:rPr>
          <w:rFonts w:hint="eastAsia" w:asciiTheme="minorEastAsia" w:hAnsiTheme="minorEastAsia" w:eastAsiaTheme="minorEastAsia" w:cstheme="minorEastAsia"/>
          <w:color w:val="333335"/>
          <w:kern w:val="2"/>
          <w:sz w:val="28"/>
          <w:szCs w:val="28"/>
          <w:shd w:val="clear" w:color="auto" w:fill="FFFFFF"/>
        </w:rPr>
      </w:pPr>
    </w:p>
    <w:p>
      <w:pPr>
        <w:pStyle w:val="3"/>
        <w:spacing w:before="120" w:after="120" w:line="240" w:lineRule="auto"/>
        <w:rPr>
          <w:rFonts w:ascii="宋体" w:hAnsi="宋体"/>
          <w:b/>
          <w:sz w:val="30"/>
          <w:szCs w:val="30"/>
        </w:rPr>
      </w:pPr>
      <w:bookmarkStart w:id="12" w:name="_Toc13353"/>
      <w:r>
        <w:rPr>
          <w:rFonts w:hint="eastAsia" w:ascii="宋体" w:hAnsi="宋体"/>
          <w:b/>
          <w:sz w:val="30"/>
          <w:szCs w:val="30"/>
        </w:rPr>
        <w:t>3.3 国内汽油价格周报</w:t>
      </w:r>
      <w:bookmarkEnd w:id="12"/>
    </w:p>
    <w:p>
      <w:pPr>
        <w:rPr>
          <w:rFonts w:hint="eastAsia"/>
        </w:rPr>
      </w:pPr>
      <w:r>
        <w:rPr>
          <w:rFonts w:hint="eastAsia"/>
        </w:rPr>
        <w:t>单位：元/吨</w:t>
      </w:r>
    </w:p>
    <w:p>
      <w:pPr>
        <w:rPr>
          <w:rFonts w:hint="eastAsia"/>
        </w:rPr>
      </w:pPr>
    </w:p>
    <w:tbl>
      <w:tblPr>
        <w:tblW w:w="10980" w:type="dxa"/>
        <w:tblInd w:w="0" w:type="dxa"/>
        <w:shd w:val="clear"/>
        <w:tblLayout w:type="autofit"/>
        <w:tblCellMar>
          <w:top w:w="0" w:type="dxa"/>
          <w:left w:w="0" w:type="dxa"/>
          <w:bottom w:w="0" w:type="dxa"/>
          <w:right w:w="0" w:type="dxa"/>
        </w:tblCellMar>
      </w:tblPr>
      <w:tblGrid>
        <w:gridCol w:w="1260"/>
        <w:gridCol w:w="1260"/>
        <w:gridCol w:w="1260"/>
        <w:gridCol w:w="1260"/>
        <w:gridCol w:w="1260"/>
        <w:gridCol w:w="1080"/>
        <w:gridCol w:w="1080"/>
        <w:gridCol w:w="1260"/>
        <w:gridCol w:w="1260"/>
      </w:tblGrid>
      <w:tr>
        <w:tblPrEx>
          <w:shd w:val="clear"/>
          <w:tblCellMar>
            <w:top w:w="0" w:type="dxa"/>
            <w:left w:w="0" w:type="dxa"/>
            <w:bottom w:w="0" w:type="dxa"/>
            <w:right w:w="0" w:type="dxa"/>
          </w:tblCellMar>
        </w:tblPrEx>
        <w:trPr>
          <w:trHeight w:val="2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2020/12/24</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2020/12/17</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6120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6120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6120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6390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6390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5930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6130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5870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5870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6090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5790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6210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6180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6060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5980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6205</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5870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6130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5930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6430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6330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5990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任丘市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6090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5790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6130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6130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-175</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6375</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枣庄市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5830</w:t>
            </w:r>
          </w:p>
        </w:tc>
      </w:tr>
    </w:tbl>
    <w:p>
      <w:pPr>
        <w:rPr>
          <w:rFonts w:hint="eastAsia"/>
        </w:rPr>
      </w:pPr>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28209"/>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p>
      <w:pPr>
        <w:rPr>
          <w:rFonts w:hint="eastAsia"/>
          <w:lang w:val="en-US" w:eastAsia="zh-CN"/>
        </w:rPr>
      </w:pPr>
    </w:p>
    <w:tbl>
      <w:tblPr>
        <w:tblW w:w="13200" w:type="dxa"/>
        <w:tblInd w:w="0" w:type="dxa"/>
        <w:shd w:val="clear"/>
        <w:tblLayout w:type="autofit"/>
        <w:tblCellMar>
          <w:top w:w="0" w:type="dxa"/>
          <w:left w:w="0" w:type="dxa"/>
          <w:bottom w:w="0" w:type="dxa"/>
          <w:right w:w="0" w:type="dxa"/>
        </w:tblCellMar>
      </w:tblPr>
      <w:tblGrid>
        <w:gridCol w:w="1515"/>
        <w:gridCol w:w="1515"/>
        <w:gridCol w:w="1515"/>
        <w:gridCol w:w="1515"/>
        <w:gridCol w:w="1515"/>
        <w:gridCol w:w="1080"/>
        <w:gridCol w:w="1515"/>
        <w:gridCol w:w="1515"/>
        <w:gridCol w:w="1515"/>
      </w:tblGrid>
      <w:tr>
        <w:tblPrEx>
          <w:shd w:val="clear"/>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2020/12/24</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2020/12/17</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5380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5280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5380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5295</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5960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6060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5960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商丘市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5540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5520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商丘市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5720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5530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5610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5720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5570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5330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5610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5270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舟山市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5770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5770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5770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5785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5555</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任丘市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5295</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4" w:name="_Toc10254"/>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tbl>
      <w:tblPr>
        <w:tblW w:w="10560" w:type="dxa"/>
        <w:tblInd w:w="0" w:type="dxa"/>
        <w:shd w:val="clear"/>
        <w:tblLayout w:type="autofit"/>
        <w:tblCellMar>
          <w:top w:w="0" w:type="dxa"/>
          <w:left w:w="0" w:type="dxa"/>
          <w:bottom w:w="0" w:type="dxa"/>
          <w:right w:w="0" w:type="dxa"/>
        </w:tblCellMar>
      </w:tblPr>
      <w:tblGrid>
        <w:gridCol w:w="1410"/>
        <w:gridCol w:w="1410"/>
        <w:gridCol w:w="1410"/>
        <w:gridCol w:w="1410"/>
        <w:gridCol w:w="1065"/>
        <w:gridCol w:w="1035"/>
        <w:gridCol w:w="1410"/>
        <w:gridCol w:w="1410"/>
      </w:tblGrid>
      <w:tr>
        <w:tblPrEx>
          <w:shd w:val="clear"/>
          <w:tblCellMar>
            <w:top w:w="0" w:type="dxa"/>
            <w:left w:w="0" w:type="dxa"/>
            <w:bottom w:w="0" w:type="dxa"/>
            <w:right w:w="0" w:type="dxa"/>
          </w:tblCellMar>
        </w:tblPrEx>
        <w:trPr>
          <w:trHeight w:val="42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3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2020/12/24</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2020/12/17</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垦利石化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5380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5460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5790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5930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5870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5685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5755</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5805</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海科瑞林</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5520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5749</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5749</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5903</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6056</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6056</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东方华龙</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东方华龙</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5890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6220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金诚石化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5910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金诚石化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5820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5960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5870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5890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5730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5570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6140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国四90#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国四93#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亚通石化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济南天蓝石油</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济南天蓝石油</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清源石化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清源石化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榆林炼厂铁路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西安临潼公路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西安临潼铁路</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5890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bl>
    <w:p>
      <w:pPr>
        <w:rPr>
          <w:rFonts w:hint="eastAsia"/>
          <w:lang w:val="en-US" w:eastAsia="zh-CN"/>
        </w:rPr>
      </w:pPr>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24140"/>
      <w:r>
        <w:rPr>
          <w:rFonts w:hint="eastAsia" w:ascii="宋体" w:hAnsi="宋体"/>
          <w:b/>
          <w:sz w:val="30"/>
          <w:szCs w:val="30"/>
          <w:lang w:val="en-US" w:eastAsia="zh-CN"/>
        </w:rPr>
        <w:t>3.6 山东地炼柴油出厂价格周报</w:t>
      </w:r>
      <w:bookmarkEnd w:id="15"/>
    </w:p>
    <w:p>
      <w:pPr>
        <w:rPr>
          <w:rFonts w:hint="eastAsia" w:ascii="宋体" w:hAnsi="宋体"/>
          <w:b/>
          <w:sz w:val="10"/>
          <w:szCs w:val="10"/>
          <w:lang w:val="en-US" w:eastAsia="zh-CN"/>
        </w:rPr>
      </w:pPr>
      <w:r>
        <w:rPr>
          <w:rFonts w:hint="eastAsia"/>
          <w:bCs/>
          <w:szCs w:val="21"/>
          <w:lang w:val="en-US" w:eastAsia="zh-CN"/>
        </w:rPr>
        <w:t>单位：元/吨</w:t>
      </w:r>
    </w:p>
    <w:p>
      <w:pPr>
        <w:rPr>
          <w:rFonts w:hint="eastAsia"/>
          <w:lang w:val="en-US" w:eastAsia="zh-CN"/>
        </w:rPr>
      </w:pPr>
    </w:p>
    <w:tbl>
      <w:tblPr>
        <w:tblW w:w="10440" w:type="dxa"/>
        <w:tblInd w:w="0" w:type="dxa"/>
        <w:shd w:val="clear"/>
        <w:tblLayout w:type="autofit"/>
        <w:tblCellMar>
          <w:top w:w="0" w:type="dxa"/>
          <w:left w:w="0" w:type="dxa"/>
          <w:bottom w:w="0" w:type="dxa"/>
          <w:right w:w="0" w:type="dxa"/>
        </w:tblCellMar>
      </w:tblPr>
      <w:tblGrid>
        <w:gridCol w:w="1380"/>
        <w:gridCol w:w="1380"/>
        <w:gridCol w:w="1380"/>
        <w:gridCol w:w="1380"/>
        <w:gridCol w:w="1080"/>
        <w:gridCol w:w="1080"/>
        <w:gridCol w:w="1380"/>
        <w:gridCol w:w="1380"/>
      </w:tblGrid>
      <w:tr>
        <w:tblPrEx>
          <w:shd w:val="clear"/>
          <w:tblCellMar>
            <w:top w:w="0" w:type="dxa"/>
            <w:left w:w="0" w:type="dxa"/>
            <w:bottom w:w="0" w:type="dxa"/>
            <w:right w:w="0" w:type="dxa"/>
          </w:tblCellMar>
        </w:tblPrEx>
        <w:trPr>
          <w:trHeight w:val="36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2020/12/24</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2020/12/17</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海科瑞林</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44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亚通石化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鑫泰石化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海化石化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海化石化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岚桥港口石化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榆林炼厂铁路</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西安临潼公路</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西安临潼铁路</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5430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w:t>
            </w:r>
            <w:r>
              <w:rPr>
                <w:rFonts w:hint="eastAsia" w:ascii="宋体" w:hAnsi="宋体" w:eastAsia="宋体" w:cs="宋体"/>
                <w:i w:val="0"/>
                <w:color w:val="000000"/>
                <w:kern w:val="0"/>
                <w:sz w:val="20"/>
                <w:szCs w:val="20"/>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4920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4840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4930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w:t>
            </w:r>
            <w:r>
              <w:rPr>
                <w:rFonts w:hint="eastAsia" w:ascii="宋体" w:hAnsi="宋体" w:eastAsia="宋体" w:cs="宋体"/>
                <w:i w:val="0"/>
                <w:color w:val="000000"/>
                <w:kern w:val="0"/>
                <w:sz w:val="20"/>
                <w:szCs w:val="20"/>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4930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垦利石化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4930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4970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5075</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4955</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4870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5067</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5130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5260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5140</w:t>
            </w:r>
          </w:p>
        </w:tc>
      </w:tr>
      <w:tr>
        <w:tblPrEx>
          <w:tblCellMar>
            <w:top w:w="0" w:type="dxa"/>
            <w:left w:w="0" w:type="dxa"/>
            <w:bottom w:w="0" w:type="dxa"/>
            <w:right w:w="0" w:type="dxa"/>
          </w:tblCellMar>
        </w:tblPrEx>
        <w:trPr>
          <w:trHeight w:val="312"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5120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常压</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4810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320" w:hRule="atLeast"/>
        </w:trPr>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4930</w:t>
            </w:r>
          </w:p>
        </w:tc>
      </w:tr>
    </w:tbl>
    <w:p>
      <w:pPr>
        <w:rPr>
          <w:rFonts w:hint="eastAsia"/>
          <w:lang w:val="en-US" w:eastAsia="zh-CN"/>
        </w:rPr>
      </w:pPr>
      <w:bookmarkStart w:id="22" w:name="_GoBack"/>
      <w:bookmarkEnd w:id="22"/>
    </w:p>
    <w:p>
      <w:pPr>
        <w:pStyle w:val="3"/>
        <w:spacing w:before="120" w:after="120" w:line="240" w:lineRule="auto"/>
        <w:rPr>
          <w:rFonts w:hint="eastAsia" w:ascii="宋体" w:hAnsi="宋体"/>
          <w:b/>
          <w:sz w:val="30"/>
          <w:szCs w:val="30"/>
          <w:lang w:val="en-US" w:eastAsia="zh-CN"/>
        </w:rPr>
      </w:pPr>
      <w:bookmarkStart w:id="16" w:name="_Toc32000"/>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四、2020年10月份进出口统计数据</w:t>
      </w:r>
      <w:bookmarkEnd w:id="16"/>
    </w:p>
    <w:p>
      <w:pPr>
        <w:rPr>
          <w:rFonts w:hint="eastAsia"/>
        </w:rPr>
      </w:pPr>
    </w:p>
    <w:p>
      <w:pPr>
        <w:pStyle w:val="3"/>
        <w:spacing w:before="120" w:after="120" w:line="240" w:lineRule="auto"/>
        <w:rPr>
          <w:rFonts w:hint="eastAsia" w:ascii="宋体" w:hAnsi="宋体"/>
          <w:b/>
          <w:sz w:val="30"/>
          <w:szCs w:val="30"/>
        </w:rPr>
      </w:pPr>
      <w:bookmarkStart w:id="17" w:name="_Toc21966"/>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10</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rPr>
      </w:pPr>
    </w:p>
    <w:tbl>
      <w:tblPr>
        <w:tblStyle w:val="24"/>
        <w:tblW w:w="9719" w:type="dxa"/>
        <w:tblInd w:w="0" w:type="dxa"/>
        <w:shd w:val="clear" w:color="auto" w:fill="auto"/>
        <w:tblLayout w:type="autofit"/>
        <w:tblCellMar>
          <w:top w:w="0" w:type="dxa"/>
          <w:left w:w="0" w:type="dxa"/>
          <w:bottom w:w="0" w:type="dxa"/>
          <w:right w:w="0" w:type="dxa"/>
        </w:tblCellMar>
      </w:tblPr>
      <w:tblGrid>
        <w:gridCol w:w="2163"/>
        <w:gridCol w:w="2100"/>
        <w:gridCol w:w="2006"/>
        <w:gridCol w:w="3450"/>
      </w:tblGrid>
      <w:tr>
        <w:tblPrEx>
          <w:shd w:val="clear" w:color="auto" w:fill="auto"/>
          <w:tblCellMar>
            <w:top w:w="0" w:type="dxa"/>
            <w:left w:w="0" w:type="dxa"/>
            <w:bottom w:w="0" w:type="dxa"/>
            <w:right w:w="0" w:type="dxa"/>
          </w:tblCellMar>
        </w:tblPrEx>
        <w:trPr>
          <w:trHeight w:val="765" w:hRule="atLeast"/>
        </w:trPr>
        <w:tc>
          <w:tcPr>
            <w:tcW w:w="2163"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出口目的地</w:t>
            </w:r>
          </w:p>
        </w:tc>
        <w:tc>
          <w:tcPr>
            <w:tcW w:w="2100"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数量</w:t>
            </w:r>
          </w:p>
        </w:tc>
        <w:tc>
          <w:tcPr>
            <w:tcW w:w="2006"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单位</w:t>
            </w:r>
          </w:p>
        </w:tc>
        <w:tc>
          <w:tcPr>
            <w:tcW w:w="3450"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出口金额美元</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巴基斯坦</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153145.4</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57062371</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菲律宾</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252346</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94544052</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韩国</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29249.6</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11747499</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马来西亚</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221023.3</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79680134</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蒙古</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5618.5</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2292804</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缅甸</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5275.8</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1898953</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墨西哥</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105808.2</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40117311</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尼日利亚</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73000</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16780000</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新加坡</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1032679.6</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386511676</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越南</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23332</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11594580</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中国澳门</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4286.239</w:t>
            </w:r>
          </w:p>
        </w:tc>
        <w:tc>
          <w:tcPr>
            <w:tcW w:w="2006"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1200147</w:t>
            </w:r>
          </w:p>
        </w:tc>
      </w:tr>
    </w:tbl>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p>
      <w:pPr>
        <w:rPr>
          <w:rFonts w:hint="eastAsia"/>
        </w:rPr>
      </w:pPr>
    </w:p>
    <w:p>
      <w:pPr>
        <w:pStyle w:val="3"/>
        <w:spacing w:before="120" w:after="120" w:line="240" w:lineRule="auto"/>
        <w:rPr>
          <w:rFonts w:hint="eastAsia" w:ascii="宋体" w:hAnsi="宋体"/>
          <w:b/>
          <w:sz w:val="30"/>
          <w:szCs w:val="30"/>
        </w:rPr>
      </w:pPr>
      <w:bookmarkStart w:id="18" w:name="_Toc277"/>
      <w:r>
        <w:rPr>
          <w:rFonts w:hint="eastAsia" w:ascii="宋体" w:hAnsi="宋体"/>
          <w:b/>
          <w:sz w:val="30"/>
          <w:szCs w:val="30"/>
        </w:rPr>
        <w:t>4.2 20</w:t>
      </w:r>
      <w:r>
        <w:rPr>
          <w:rFonts w:hint="eastAsia" w:ascii="宋体" w:hAnsi="宋体"/>
          <w:b/>
          <w:sz w:val="30"/>
          <w:szCs w:val="30"/>
          <w:lang w:val="en-US" w:eastAsia="zh-CN"/>
        </w:rPr>
        <w:t>20</w:t>
      </w:r>
      <w:r>
        <w:rPr>
          <w:rFonts w:hint="eastAsia" w:ascii="宋体" w:hAnsi="宋体"/>
          <w:b/>
          <w:sz w:val="30"/>
          <w:szCs w:val="30"/>
        </w:rPr>
        <w:t>年1</w:t>
      </w:r>
      <w:r>
        <w:rPr>
          <w:rFonts w:hint="eastAsia" w:ascii="宋体" w:hAnsi="宋体"/>
          <w:b/>
          <w:sz w:val="30"/>
          <w:szCs w:val="30"/>
          <w:lang w:val="en-US" w:eastAsia="zh-CN"/>
        </w:rPr>
        <w:t>0</w:t>
      </w:r>
      <w:r>
        <w:rPr>
          <w:rFonts w:hint="eastAsia" w:ascii="宋体" w:hAnsi="宋体"/>
          <w:b/>
          <w:sz w:val="30"/>
          <w:szCs w:val="30"/>
        </w:rPr>
        <w:t>月份全国柴油出口统计数据</w:t>
      </w:r>
      <w:bookmarkEnd w:id="1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10245" w:type="dxa"/>
        <w:tblInd w:w="0" w:type="dxa"/>
        <w:shd w:val="clear" w:color="auto" w:fill="auto"/>
        <w:tblLayout w:type="autofit"/>
        <w:tblCellMar>
          <w:top w:w="0" w:type="dxa"/>
          <w:left w:w="0" w:type="dxa"/>
          <w:bottom w:w="0" w:type="dxa"/>
          <w:right w:w="0" w:type="dxa"/>
        </w:tblCellMar>
      </w:tblPr>
      <w:tblGrid>
        <w:gridCol w:w="2195"/>
        <w:gridCol w:w="2168"/>
        <w:gridCol w:w="1964"/>
        <w:gridCol w:w="1882"/>
        <w:gridCol w:w="2036"/>
      </w:tblGrid>
      <w:tr>
        <w:tblPrEx>
          <w:shd w:val="clear" w:color="auto" w:fill="auto"/>
          <w:tblCellMar>
            <w:top w:w="0" w:type="dxa"/>
            <w:left w:w="0" w:type="dxa"/>
            <w:bottom w:w="0" w:type="dxa"/>
            <w:right w:w="0" w:type="dxa"/>
          </w:tblCellMar>
        </w:tblPrEx>
        <w:trPr>
          <w:trHeight w:val="510" w:hRule="atLeast"/>
        </w:trPr>
        <w:tc>
          <w:tcPr>
            <w:tcW w:w="219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bookmarkStart w:id="19" w:name="_Toc533771879"/>
            <w:r>
              <w:rPr>
                <w:rFonts w:hint="eastAsia" w:asciiTheme="minorEastAsia" w:hAnsiTheme="minorEastAsia" w:eastAsiaTheme="minorEastAsia" w:cstheme="minorEastAsia"/>
                <w:i w:val="0"/>
                <w:color w:val="000000"/>
                <w:kern w:val="0"/>
                <w:sz w:val="22"/>
                <w:szCs w:val="22"/>
                <w:u w:val="none"/>
                <w:lang w:val="en-US" w:eastAsia="zh-CN" w:bidi="ar"/>
              </w:rPr>
              <w:t>贸易伙伴名称</w:t>
            </w:r>
          </w:p>
        </w:tc>
        <w:tc>
          <w:tcPr>
            <w:tcW w:w="2168"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数量（吨）</w:t>
            </w:r>
          </w:p>
        </w:tc>
        <w:tc>
          <w:tcPr>
            <w:tcW w:w="1964"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所占比率</w:t>
            </w:r>
          </w:p>
        </w:tc>
        <w:tc>
          <w:tcPr>
            <w:tcW w:w="1882"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当月金额（元）</w:t>
            </w:r>
          </w:p>
        </w:tc>
        <w:tc>
          <w:tcPr>
            <w:tcW w:w="2036"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当月均价（元</w:t>
            </w:r>
            <w:r>
              <w:rPr>
                <w:rFonts w:hint="default" w:asciiTheme="minorEastAsia" w:hAnsiTheme="minorEastAsia" w:eastAsiaTheme="minorEastAsia" w:cstheme="minorEastAsia"/>
                <w:i w:val="0"/>
                <w:color w:val="000000"/>
                <w:kern w:val="0"/>
                <w:sz w:val="22"/>
                <w:szCs w:val="22"/>
                <w:u w:val="none"/>
                <w:lang w:val="en-US" w:eastAsia="zh-CN" w:bidi="ar"/>
              </w:rPr>
              <w:t>/</w:t>
            </w:r>
            <w:r>
              <w:rPr>
                <w:rFonts w:hint="eastAsia" w:asciiTheme="minorEastAsia" w:hAnsiTheme="minorEastAsia" w:eastAsiaTheme="minorEastAsia" w:cstheme="minorEastAsia"/>
                <w:i w:val="0"/>
                <w:color w:val="000000"/>
                <w:kern w:val="0"/>
                <w:sz w:val="22"/>
                <w:szCs w:val="22"/>
                <w:u w:val="none"/>
                <w:lang w:val="en-US" w:eastAsia="zh-CN" w:bidi="ar"/>
              </w:rPr>
              <w:t>吨）</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阿曼</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54.98</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159376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2898.8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安提瓜和巴布达</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329.8</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887152</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2689.97</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澳大利亚</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415944.11</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912629361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2194.12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巴巴多斯</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79.1</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295444</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3735.07</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巴哈马</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1363.48</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3708143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2719.61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巴拿马</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18100.82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49084195</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2711.71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伯利兹</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271.93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785572</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2888.84</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丹麦</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342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1435720</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4198.01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德国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119.5</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338889</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2835.89</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俄罗斯联邦</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7011.71</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16750271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2388.9</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法国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1214.1</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3740758</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3081.1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菲律宾</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375212.13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17%</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846686227</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2256.55</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韩国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19494.59</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47774799</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2450.67</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荷兰</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128</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357816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2795.44</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基里巴斯</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123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343587</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2793.39</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加纳</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41548.62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90693726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2182.83</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开曼群岛</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227.5</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650137</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2857.75</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克罗地亚</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80</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240656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3008.2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利比里亚</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5839.06</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16580576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2839.6</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马耳他</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3166.83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8917385</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2815.87</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马来西亚</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218997.74</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504726153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2304.71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马绍尔群岛</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4315.49</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12357568</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2863.54</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美国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41396.16</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91007721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2198.46</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蒙古</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698.93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1656320</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2369.8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孟加拉国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100762.77</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245910154</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2440.49</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缅甸</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9757.7</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23651881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2423.92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挪威</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533.9</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1460791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2736.08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帕劳</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49.3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148383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3009.8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葡萄牙</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190</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596182</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3137.8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日本</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299.3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809404</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2704.32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塞拉利昂</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268.56</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790766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2944.48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塞浦路斯</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718.3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2063010</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2872.07</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圣其茨和尼维斯</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100</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359473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3594.73</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斯威士兰</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84385</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2812.83</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泰国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92.92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261546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2814.74</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图瓦卢</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181.64</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524958</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2890.16</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土耳其</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63.5</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169098</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2662.96</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瓦努阿图</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950</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3723042</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3918.99</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希腊</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1192.3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3381604</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2836.2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新加坡</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508793.95</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1180224543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2319.65</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意大利</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98.1</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271415</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2766.72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印度尼西亚</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1135.72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3005336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2646.2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英国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1171.64</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3203637</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2734.31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越南</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10093.72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19224550</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1904.61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智利</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79123.24</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174413760</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2204.33</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中国澳门</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2177.26</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4134831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1899.1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中国台湾</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89.5</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241599</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2699.43</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中国香港</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298373.6</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14%</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658091383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2205.6</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合计</w:t>
            </w:r>
          </w:p>
        </w:tc>
        <w:tc>
          <w:tcPr>
            <w:tcW w:w="2168" w:type="dxa"/>
            <w:tcBorders>
              <w:top w:val="nil"/>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2172306.48</w:t>
            </w:r>
          </w:p>
        </w:tc>
        <w:tc>
          <w:tcPr>
            <w:tcW w:w="1964" w:type="dxa"/>
            <w:tcBorders>
              <w:top w:val="nil"/>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100%</w:t>
            </w:r>
          </w:p>
        </w:tc>
        <w:tc>
          <w:tcPr>
            <w:tcW w:w="1882" w:type="dxa"/>
            <w:tcBorders>
              <w:top w:val="nil"/>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4938553283</w:t>
            </w:r>
          </w:p>
        </w:tc>
        <w:tc>
          <w:tcPr>
            <w:tcW w:w="2036" w:type="dxa"/>
            <w:tcBorders>
              <w:top w:val="nil"/>
              <w:left w:val="nil"/>
              <w:bottom w:val="nil"/>
              <w:right w:val="nil"/>
            </w:tcBorders>
            <w:shd w:val="clear" w:color="auto" w:fill="00B0F0"/>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2273.41</w:t>
            </w:r>
          </w:p>
        </w:tc>
      </w:tr>
    </w:tbl>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bookmarkStart w:id="20" w:name="_Toc8413"/>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10</w:t>
      </w:r>
      <w:r>
        <w:rPr>
          <w:rFonts w:hint="eastAsia" w:ascii="宋体" w:hAnsi="宋体"/>
          <w:b/>
          <w:sz w:val="30"/>
          <w:szCs w:val="30"/>
        </w:rPr>
        <w:t>月份全国原油进出口统计数据</w:t>
      </w:r>
      <w:bookmarkEnd w:id="20"/>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keepNext w:val="0"/>
        <w:keepLines w:val="0"/>
        <w:widowControl/>
        <w:suppressLineNumbers w:val="0"/>
        <w:jc w:val="center"/>
        <w:textAlignment w:val="center"/>
        <w:rPr>
          <w:rFonts w:hint="eastAsia"/>
          <w:bCs/>
          <w:szCs w:val="21"/>
        </w:rPr>
      </w:pPr>
    </w:p>
    <w:tbl>
      <w:tblPr>
        <w:tblStyle w:val="24"/>
        <w:tblW w:w="5026" w:type="pct"/>
        <w:tblInd w:w="0" w:type="dxa"/>
        <w:tblLayout w:type="autofit"/>
        <w:tblCellMar>
          <w:top w:w="0" w:type="dxa"/>
          <w:left w:w="108" w:type="dxa"/>
          <w:bottom w:w="0" w:type="dxa"/>
          <w:right w:w="108" w:type="dxa"/>
        </w:tblCellMar>
      </w:tblPr>
      <w:tblGrid>
        <w:gridCol w:w="836"/>
        <w:gridCol w:w="751"/>
        <w:gridCol w:w="749"/>
        <w:gridCol w:w="767"/>
        <w:gridCol w:w="1449"/>
        <w:gridCol w:w="1649"/>
        <w:gridCol w:w="1060"/>
        <w:gridCol w:w="2644"/>
      </w:tblGrid>
      <w:tr>
        <w:tblPrEx>
          <w:tblCellMar>
            <w:top w:w="0" w:type="dxa"/>
            <w:left w:w="108" w:type="dxa"/>
            <w:bottom w:w="0" w:type="dxa"/>
            <w:right w:w="108" w:type="dxa"/>
          </w:tblCellMar>
        </w:tblPrEx>
        <w:trPr>
          <w:trHeight w:val="1230" w:hRule="atLeast"/>
        </w:trPr>
        <w:tc>
          <w:tcPr>
            <w:tcW w:w="422"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产品</w:t>
            </w:r>
          </w:p>
        </w:tc>
        <w:tc>
          <w:tcPr>
            <w:tcW w:w="379"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年度</w:t>
            </w:r>
          </w:p>
        </w:tc>
        <w:tc>
          <w:tcPr>
            <w:tcW w:w="378"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月份</w:t>
            </w:r>
          </w:p>
        </w:tc>
        <w:tc>
          <w:tcPr>
            <w:tcW w:w="386"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产销国</w:t>
            </w:r>
          </w:p>
        </w:tc>
        <w:tc>
          <w:tcPr>
            <w:tcW w:w="731"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进口数量/吨</w:t>
            </w:r>
          </w:p>
        </w:tc>
        <w:tc>
          <w:tcPr>
            <w:tcW w:w="832"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进口金额/美元</w:t>
            </w:r>
          </w:p>
        </w:tc>
        <w:tc>
          <w:tcPr>
            <w:tcW w:w="535"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出口数量/吨</w:t>
            </w:r>
          </w:p>
        </w:tc>
        <w:tc>
          <w:tcPr>
            <w:tcW w:w="1334"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出口金额/美元</w:t>
            </w:r>
          </w:p>
        </w:tc>
      </w:tr>
      <w:tr>
        <w:tblPrEx>
          <w:tblCellMar>
            <w:top w:w="0" w:type="dxa"/>
            <w:left w:w="108" w:type="dxa"/>
            <w:bottom w:w="0" w:type="dxa"/>
            <w:right w:w="108" w:type="dxa"/>
          </w:tblCellMar>
        </w:tblPrEx>
        <w:trPr>
          <w:trHeight w:val="420" w:hRule="atLeast"/>
        </w:trPr>
        <w:tc>
          <w:tcPr>
            <w:tcW w:w="422" w:type="pct"/>
            <w:vMerge w:val="restart"/>
            <w:tcBorders>
              <w:top w:val="single" w:color="000000" w:sz="8" w:space="0"/>
              <w:left w:val="single" w:color="auto" w:sz="8" w:space="0"/>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石油原油(包括从沥青矿物提取的原油)</w:t>
            </w: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阿联酋</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2823581.29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901379190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阿曼</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3115927.65</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1020238282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阿塞拜疆</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122612.78</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46824024</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埃及</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138396.24</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46550821</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安哥拉</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3524036.51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1087675910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巴西</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3240274.44</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997027252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赤道几内亚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90055.06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27550919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俄罗斯联邦</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6640388.33</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1983668345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厄瓜多尔</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875228.17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254264576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刚果(布)</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522890.67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157218555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刚果(金)</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124397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43538950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哥伦比亚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1119923.9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319176087</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圭亚那</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263700.51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76900180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哈萨克斯坦</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41547.37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10765494</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韩国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68719.6</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20717207</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加拿大</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81247.46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22864575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加纳</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377918.7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125993486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加蓬</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381020.02</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120852989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喀麦隆</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139118.95</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43167339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卡塔尔</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767483.6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249037018</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科威特</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2382011.96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754816350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马来西亚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705046.27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204146068</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美国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1625638.11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551498135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蒙古</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65333.74</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13840822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墨西哥</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89446.99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23849497</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南苏丹共和国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242796.32</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76451413</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尼日利亚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209156.1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73086228</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挪威</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1380141.05</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405398022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沙特阿拉伯</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5936830.97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1931475116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也门</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274826.96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84026586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伊拉克</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4613361.09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1412833532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伊朗</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263387.66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82543749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英国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25535.61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6944960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20"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越南</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222354.22</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73328445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20"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乍得</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132589.16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46304126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720" w:hRule="atLeast"/>
        </w:trPr>
        <w:tc>
          <w:tcPr>
            <w:tcW w:w="1566" w:type="pct"/>
            <w:gridSpan w:val="4"/>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2020年10月合计</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42558204.9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13275237041</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68719.6</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20717207</w:t>
            </w:r>
          </w:p>
        </w:tc>
      </w:tr>
    </w:tbl>
    <w:p>
      <w:pPr>
        <w:jc w:val="center"/>
        <w:rPr>
          <w:rFonts w:hint="eastAsia"/>
          <w:bCs/>
          <w:szCs w:val="21"/>
        </w:rPr>
      </w:pPr>
    </w:p>
    <w:p>
      <w:pPr>
        <w:pStyle w:val="3"/>
        <w:spacing w:before="120" w:after="120" w:line="240" w:lineRule="auto"/>
        <w:rPr>
          <w:rFonts w:hint="eastAsia" w:ascii="宋体" w:hAnsi="宋体"/>
          <w:b/>
          <w:sz w:val="30"/>
          <w:szCs w:val="30"/>
        </w:rPr>
      </w:pPr>
      <w:bookmarkStart w:id="21" w:name="_Toc21660"/>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10</w:t>
      </w:r>
      <w:r>
        <w:rPr>
          <w:rFonts w:hint="eastAsia" w:ascii="宋体" w:hAnsi="宋体"/>
          <w:b/>
          <w:sz w:val="30"/>
          <w:szCs w:val="30"/>
        </w:rPr>
        <w:t>月份航空煤油进出口统计数据</w:t>
      </w:r>
      <w:bookmarkEnd w:id="21"/>
    </w:p>
    <w:p>
      <w:pPr>
        <w:ind w:firstLine="420" w:firstLineChars="200"/>
        <w:jc w:val="left"/>
        <w:rPr>
          <w:rFonts w:hint="eastAsia" w:ascii="宋体" w:hAnsi="宋体"/>
          <w:b/>
          <w:sz w:val="30"/>
          <w:szCs w:val="30"/>
        </w:rPr>
      </w:pPr>
      <w:r>
        <w:rPr>
          <w:rFonts w:hint="eastAsia" w:ascii="宋体" w:hAnsi="宋体"/>
        </w:rPr>
        <w:t>单位：</w:t>
      </w:r>
      <w:r>
        <w:rPr>
          <w:rFonts w:hint="eastAsia" w:ascii="宋体" w:hAnsi="宋体"/>
          <w:lang w:eastAsia="zh-CN"/>
        </w:rPr>
        <w:t>吨</w:t>
      </w:r>
      <w:r>
        <w:rPr>
          <w:rFonts w:hint="eastAsia" w:ascii="宋体" w:hAnsi="宋体"/>
        </w:rPr>
        <w:t>，美元</w:t>
      </w:r>
    </w:p>
    <w:bookmarkEnd w:id="19"/>
    <w:tbl>
      <w:tblPr>
        <w:tblStyle w:val="24"/>
        <w:tblW w:w="9300" w:type="dxa"/>
        <w:tblInd w:w="0" w:type="dxa"/>
        <w:shd w:val="clear" w:color="auto" w:fill="auto"/>
        <w:tblLayout w:type="autofit"/>
        <w:tblCellMar>
          <w:top w:w="0" w:type="dxa"/>
          <w:left w:w="0" w:type="dxa"/>
          <w:bottom w:w="0" w:type="dxa"/>
          <w:right w:w="0" w:type="dxa"/>
        </w:tblCellMar>
      </w:tblPr>
      <w:tblGrid>
        <w:gridCol w:w="4704"/>
        <w:gridCol w:w="4596"/>
      </w:tblGrid>
      <w:tr>
        <w:tblPrEx>
          <w:shd w:val="clear" w:color="auto" w:fill="auto"/>
          <w:tblCellMar>
            <w:top w:w="0" w:type="dxa"/>
            <w:left w:w="0" w:type="dxa"/>
            <w:bottom w:w="0" w:type="dxa"/>
            <w:right w:w="0" w:type="dxa"/>
          </w:tblCellMar>
        </w:tblPrEx>
        <w:trPr>
          <w:trHeight w:val="300" w:hRule="atLeast"/>
        </w:trPr>
        <w:tc>
          <w:tcPr>
            <w:tcW w:w="4704"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进口</w:t>
            </w:r>
          </w:p>
        </w:tc>
        <w:tc>
          <w:tcPr>
            <w:tcW w:w="4596"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出口</w:t>
            </w:r>
          </w:p>
        </w:tc>
      </w:tr>
      <w:tr>
        <w:tblPrEx>
          <w:tblCellMar>
            <w:top w:w="0" w:type="dxa"/>
            <w:left w:w="0" w:type="dxa"/>
            <w:bottom w:w="0" w:type="dxa"/>
            <w:right w:w="0" w:type="dxa"/>
          </w:tblCellMar>
        </w:tblPrEx>
        <w:trPr>
          <w:trHeight w:val="585"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10月进口量:19788.26（吨）</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10月出口量:437274.25（吨）</w:t>
            </w:r>
          </w:p>
        </w:tc>
      </w:tr>
      <w:tr>
        <w:tblPrEx>
          <w:tblCellMar>
            <w:top w:w="0" w:type="dxa"/>
            <w:left w:w="0" w:type="dxa"/>
            <w:bottom w:w="0" w:type="dxa"/>
            <w:right w:w="0" w:type="dxa"/>
          </w:tblCellMar>
        </w:tblPrEx>
        <w:trPr>
          <w:trHeight w:val="585"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累计进口量:2130333.17 (吨）</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累计出口量:9080989.76（吨）</w:t>
            </w:r>
          </w:p>
        </w:tc>
      </w:tr>
      <w:tr>
        <w:tblPrEx>
          <w:tblCellMar>
            <w:top w:w="0" w:type="dxa"/>
            <w:left w:w="0" w:type="dxa"/>
            <w:bottom w:w="0" w:type="dxa"/>
            <w:right w:w="0" w:type="dxa"/>
          </w:tblCellMar>
        </w:tblPrEx>
        <w:trPr>
          <w:trHeight w:val="585"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当月进口均价:2090.1（元/吨）</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当月出口均价:</w:t>
            </w:r>
            <w:r>
              <w:rPr>
                <w:rFonts w:hint="eastAsia" w:ascii="宋体" w:hAnsi="宋体" w:eastAsia="宋体" w:cs="宋体"/>
                <w:i w:val="0"/>
                <w:color w:val="000000"/>
                <w:kern w:val="0"/>
                <w:sz w:val="22"/>
                <w:szCs w:val="22"/>
                <w:u w:val="none"/>
                <w:lang w:val="en-US" w:eastAsia="zh-CN" w:bidi="ar"/>
              </w:rPr>
              <w:t>2371.89</w:t>
            </w:r>
            <w:r>
              <w:rPr>
                <w:rFonts w:hint="eastAsia" w:ascii="宋体" w:hAnsi="宋体" w:eastAsia="宋体" w:cs="宋体"/>
                <w:i w:val="0"/>
                <w:color w:val="000000"/>
                <w:kern w:val="0"/>
                <w:sz w:val="24"/>
                <w:szCs w:val="24"/>
                <w:u w:val="none"/>
                <w:lang w:val="en-US" w:eastAsia="zh-CN" w:bidi="ar"/>
              </w:rPr>
              <w:t>（元/吨）</w:t>
            </w:r>
          </w:p>
        </w:tc>
      </w:tr>
      <w:tr>
        <w:tblPrEx>
          <w:tblCellMar>
            <w:top w:w="0" w:type="dxa"/>
            <w:left w:w="0" w:type="dxa"/>
            <w:bottom w:w="0" w:type="dxa"/>
            <w:right w:w="0" w:type="dxa"/>
          </w:tblCellMar>
        </w:tblPrEx>
        <w:trPr>
          <w:trHeight w:val="585"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累计进口均价：2544.99（元/吨）</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累计出口均价:</w:t>
            </w:r>
            <w:r>
              <w:rPr>
                <w:rFonts w:hint="eastAsia" w:ascii="宋体" w:hAnsi="宋体" w:eastAsia="宋体" w:cs="宋体"/>
                <w:i w:val="0"/>
                <w:color w:val="000000"/>
                <w:kern w:val="0"/>
                <w:sz w:val="22"/>
                <w:szCs w:val="22"/>
                <w:u w:val="none"/>
                <w:lang w:val="en-US" w:eastAsia="zh-CN" w:bidi="ar"/>
              </w:rPr>
              <w:t>2947.26</w:t>
            </w:r>
            <w:r>
              <w:rPr>
                <w:rFonts w:hint="eastAsia" w:ascii="宋体" w:hAnsi="宋体" w:eastAsia="宋体" w:cs="宋体"/>
                <w:i w:val="0"/>
                <w:color w:val="000000"/>
                <w:kern w:val="0"/>
                <w:sz w:val="24"/>
                <w:szCs w:val="24"/>
                <w:u w:val="none"/>
                <w:lang w:val="en-US" w:eastAsia="zh-CN" w:bidi="ar"/>
              </w:rPr>
              <w:t>（元/吨）</w:t>
            </w:r>
          </w:p>
        </w:tc>
      </w:tr>
      <w:tr>
        <w:tblPrEx>
          <w:tblCellMar>
            <w:top w:w="0" w:type="dxa"/>
            <w:left w:w="0" w:type="dxa"/>
            <w:bottom w:w="0" w:type="dxa"/>
            <w:right w:w="0" w:type="dxa"/>
          </w:tblCellMar>
        </w:tblPrEx>
        <w:trPr>
          <w:trHeight w:val="300"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进口量环比:-89.46%</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出口量环比：+68.85%</w:t>
            </w:r>
          </w:p>
        </w:tc>
      </w:tr>
      <w:tr>
        <w:tblPrEx>
          <w:tblCellMar>
            <w:top w:w="0" w:type="dxa"/>
            <w:left w:w="0" w:type="dxa"/>
            <w:bottom w:w="0" w:type="dxa"/>
            <w:right w:w="0" w:type="dxa"/>
          </w:tblCellMar>
        </w:tblPrEx>
        <w:trPr>
          <w:trHeight w:val="300"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进口量同比：-94.46%</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出口量同比：-72.23%</w:t>
            </w:r>
          </w:p>
        </w:tc>
      </w:tr>
      <w:tr>
        <w:tblPrEx>
          <w:tblCellMar>
            <w:top w:w="0" w:type="dxa"/>
            <w:left w:w="0" w:type="dxa"/>
            <w:bottom w:w="0" w:type="dxa"/>
            <w:right w:w="0" w:type="dxa"/>
          </w:tblCellMar>
        </w:tblPrEx>
        <w:trPr>
          <w:trHeight w:val="585"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累计进口量比去年同期：-22.68%</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累计出口量比去年同期：-35.51%</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DD852283"/>
    <w:multiLevelType w:val="singleLevel"/>
    <w:tmpl w:val="DD852283"/>
    <w:lvl w:ilvl="0" w:tentative="0">
      <w:start w:val="2"/>
      <w:numFmt w:val="chineseCounting"/>
      <w:suff w:val="nothing"/>
      <w:lvlText w:val="%1、"/>
      <w:lvlJc w:val="left"/>
      <w:rPr>
        <w:rFonts w:hint="eastAsia"/>
      </w:rPr>
    </w:lvl>
  </w:abstractNum>
  <w:abstractNum w:abstractNumId="2">
    <w:nsid w:val="4D211001"/>
    <w:multiLevelType w:val="singleLevel"/>
    <w:tmpl w:val="4D211001"/>
    <w:lvl w:ilvl="0" w:tentative="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533173"/>
    <w:rsid w:val="0174199B"/>
    <w:rsid w:val="018C042F"/>
    <w:rsid w:val="019139BB"/>
    <w:rsid w:val="01A95B6A"/>
    <w:rsid w:val="01BD1D63"/>
    <w:rsid w:val="01ED4894"/>
    <w:rsid w:val="01F27845"/>
    <w:rsid w:val="01FE2CFE"/>
    <w:rsid w:val="02353D60"/>
    <w:rsid w:val="02526173"/>
    <w:rsid w:val="029A6633"/>
    <w:rsid w:val="029F2908"/>
    <w:rsid w:val="02AC60AA"/>
    <w:rsid w:val="02B87E06"/>
    <w:rsid w:val="02CD4EB7"/>
    <w:rsid w:val="02D71373"/>
    <w:rsid w:val="02D85611"/>
    <w:rsid w:val="02E90170"/>
    <w:rsid w:val="02FE589D"/>
    <w:rsid w:val="031B1C80"/>
    <w:rsid w:val="03211A1D"/>
    <w:rsid w:val="0324523D"/>
    <w:rsid w:val="03331E75"/>
    <w:rsid w:val="034407FB"/>
    <w:rsid w:val="034F6246"/>
    <w:rsid w:val="03562125"/>
    <w:rsid w:val="035F2635"/>
    <w:rsid w:val="036D5E24"/>
    <w:rsid w:val="037413B6"/>
    <w:rsid w:val="03A57F11"/>
    <w:rsid w:val="03C968EE"/>
    <w:rsid w:val="03EC30D3"/>
    <w:rsid w:val="040707FC"/>
    <w:rsid w:val="042972F1"/>
    <w:rsid w:val="044E5434"/>
    <w:rsid w:val="045E1E00"/>
    <w:rsid w:val="04684ED7"/>
    <w:rsid w:val="048101D3"/>
    <w:rsid w:val="048C7CAA"/>
    <w:rsid w:val="04987F00"/>
    <w:rsid w:val="04A45D71"/>
    <w:rsid w:val="04B04E89"/>
    <w:rsid w:val="04BF7371"/>
    <w:rsid w:val="04C829A7"/>
    <w:rsid w:val="04E22C17"/>
    <w:rsid w:val="04EE66C3"/>
    <w:rsid w:val="04F36106"/>
    <w:rsid w:val="04F4133B"/>
    <w:rsid w:val="05021B01"/>
    <w:rsid w:val="05292B71"/>
    <w:rsid w:val="052C0D66"/>
    <w:rsid w:val="05314FD7"/>
    <w:rsid w:val="0538191C"/>
    <w:rsid w:val="053B1A3D"/>
    <w:rsid w:val="05500555"/>
    <w:rsid w:val="0558720E"/>
    <w:rsid w:val="057F2A2A"/>
    <w:rsid w:val="05894C8A"/>
    <w:rsid w:val="05993019"/>
    <w:rsid w:val="05C01E8E"/>
    <w:rsid w:val="05D0127E"/>
    <w:rsid w:val="05D708A6"/>
    <w:rsid w:val="06002DF6"/>
    <w:rsid w:val="06153E6E"/>
    <w:rsid w:val="0618444D"/>
    <w:rsid w:val="06254A25"/>
    <w:rsid w:val="062A6CB4"/>
    <w:rsid w:val="06300679"/>
    <w:rsid w:val="063E0E8C"/>
    <w:rsid w:val="06471306"/>
    <w:rsid w:val="06762765"/>
    <w:rsid w:val="067746D4"/>
    <w:rsid w:val="067D4056"/>
    <w:rsid w:val="069C6A8D"/>
    <w:rsid w:val="069D265D"/>
    <w:rsid w:val="06B474E1"/>
    <w:rsid w:val="06B9287B"/>
    <w:rsid w:val="06DA3028"/>
    <w:rsid w:val="06E3294D"/>
    <w:rsid w:val="06F31CB3"/>
    <w:rsid w:val="06F93008"/>
    <w:rsid w:val="0718687A"/>
    <w:rsid w:val="071A60E7"/>
    <w:rsid w:val="07252677"/>
    <w:rsid w:val="07272AF3"/>
    <w:rsid w:val="076C6634"/>
    <w:rsid w:val="07820AB4"/>
    <w:rsid w:val="07906BB7"/>
    <w:rsid w:val="079B346A"/>
    <w:rsid w:val="079D7717"/>
    <w:rsid w:val="07CC2D78"/>
    <w:rsid w:val="07CC4016"/>
    <w:rsid w:val="07D15C8A"/>
    <w:rsid w:val="07E05AA3"/>
    <w:rsid w:val="07E76A1F"/>
    <w:rsid w:val="07F17792"/>
    <w:rsid w:val="080158C0"/>
    <w:rsid w:val="0809715C"/>
    <w:rsid w:val="080A4814"/>
    <w:rsid w:val="0820276D"/>
    <w:rsid w:val="082F1BCD"/>
    <w:rsid w:val="08573B5A"/>
    <w:rsid w:val="086F6B65"/>
    <w:rsid w:val="08A4401C"/>
    <w:rsid w:val="08A55AD2"/>
    <w:rsid w:val="08CD17C0"/>
    <w:rsid w:val="0918731F"/>
    <w:rsid w:val="091D1431"/>
    <w:rsid w:val="09223CDC"/>
    <w:rsid w:val="09371EEF"/>
    <w:rsid w:val="093F6B95"/>
    <w:rsid w:val="09524755"/>
    <w:rsid w:val="095B63CA"/>
    <w:rsid w:val="09701692"/>
    <w:rsid w:val="09717916"/>
    <w:rsid w:val="09816B1A"/>
    <w:rsid w:val="098251C0"/>
    <w:rsid w:val="0984738F"/>
    <w:rsid w:val="09853CE2"/>
    <w:rsid w:val="098C4592"/>
    <w:rsid w:val="098C467A"/>
    <w:rsid w:val="09915D75"/>
    <w:rsid w:val="0996332C"/>
    <w:rsid w:val="09BE1AF4"/>
    <w:rsid w:val="09E0028A"/>
    <w:rsid w:val="09E31010"/>
    <w:rsid w:val="09ED009F"/>
    <w:rsid w:val="09F11ACB"/>
    <w:rsid w:val="09FB6243"/>
    <w:rsid w:val="0A047BEC"/>
    <w:rsid w:val="0A06506B"/>
    <w:rsid w:val="0A0A6618"/>
    <w:rsid w:val="0A207C84"/>
    <w:rsid w:val="0A29795D"/>
    <w:rsid w:val="0A2A7E86"/>
    <w:rsid w:val="0A2D68BE"/>
    <w:rsid w:val="0A3C22BA"/>
    <w:rsid w:val="0A3D34F3"/>
    <w:rsid w:val="0A3F54A5"/>
    <w:rsid w:val="0A557C07"/>
    <w:rsid w:val="0A5B4AF5"/>
    <w:rsid w:val="0A75433E"/>
    <w:rsid w:val="0A796F7C"/>
    <w:rsid w:val="0A7B7455"/>
    <w:rsid w:val="0AA33DAF"/>
    <w:rsid w:val="0AB608CB"/>
    <w:rsid w:val="0AC60296"/>
    <w:rsid w:val="0AD32487"/>
    <w:rsid w:val="0AD50553"/>
    <w:rsid w:val="0AE31AD5"/>
    <w:rsid w:val="0B017D09"/>
    <w:rsid w:val="0B0715B1"/>
    <w:rsid w:val="0B0F0B26"/>
    <w:rsid w:val="0B400CB2"/>
    <w:rsid w:val="0B421176"/>
    <w:rsid w:val="0B4B49C1"/>
    <w:rsid w:val="0B721C38"/>
    <w:rsid w:val="0B860805"/>
    <w:rsid w:val="0B945C54"/>
    <w:rsid w:val="0BB16187"/>
    <w:rsid w:val="0BCE6861"/>
    <w:rsid w:val="0BDC4FBC"/>
    <w:rsid w:val="0BDF0A5F"/>
    <w:rsid w:val="0C08318F"/>
    <w:rsid w:val="0C1E7ABD"/>
    <w:rsid w:val="0C2444B3"/>
    <w:rsid w:val="0C270CC3"/>
    <w:rsid w:val="0C3E0441"/>
    <w:rsid w:val="0C586B50"/>
    <w:rsid w:val="0C586E44"/>
    <w:rsid w:val="0C7F402D"/>
    <w:rsid w:val="0C822A19"/>
    <w:rsid w:val="0C930A24"/>
    <w:rsid w:val="0C9F5640"/>
    <w:rsid w:val="0CAA3B04"/>
    <w:rsid w:val="0CB81916"/>
    <w:rsid w:val="0CD123E3"/>
    <w:rsid w:val="0CE32FB8"/>
    <w:rsid w:val="0CE44838"/>
    <w:rsid w:val="0D206C21"/>
    <w:rsid w:val="0D731CA1"/>
    <w:rsid w:val="0D775B07"/>
    <w:rsid w:val="0D8323A4"/>
    <w:rsid w:val="0D893BAC"/>
    <w:rsid w:val="0D952410"/>
    <w:rsid w:val="0D9F3354"/>
    <w:rsid w:val="0DA370DA"/>
    <w:rsid w:val="0DA7099A"/>
    <w:rsid w:val="0DB01CE1"/>
    <w:rsid w:val="0DBA1705"/>
    <w:rsid w:val="0DC46B30"/>
    <w:rsid w:val="0DC9706D"/>
    <w:rsid w:val="0DD115AA"/>
    <w:rsid w:val="0DEA06F6"/>
    <w:rsid w:val="0E01030B"/>
    <w:rsid w:val="0E04318C"/>
    <w:rsid w:val="0E274301"/>
    <w:rsid w:val="0E31785B"/>
    <w:rsid w:val="0E357D47"/>
    <w:rsid w:val="0E5C0982"/>
    <w:rsid w:val="0E730195"/>
    <w:rsid w:val="0E803657"/>
    <w:rsid w:val="0E8B35C9"/>
    <w:rsid w:val="0E9742FB"/>
    <w:rsid w:val="0E9E354A"/>
    <w:rsid w:val="0EAF107B"/>
    <w:rsid w:val="0EB4347F"/>
    <w:rsid w:val="0EBE27AA"/>
    <w:rsid w:val="0EC1627E"/>
    <w:rsid w:val="0ED36950"/>
    <w:rsid w:val="0EED0FC5"/>
    <w:rsid w:val="0EF07619"/>
    <w:rsid w:val="0EF248CA"/>
    <w:rsid w:val="0EFB4176"/>
    <w:rsid w:val="0F034AA6"/>
    <w:rsid w:val="0F08360E"/>
    <w:rsid w:val="0F125E7D"/>
    <w:rsid w:val="0F1F0D30"/>
    <w:rsid w:val="0F26373F"/>
    <w:rsid w:val="0F446A41"/>
    <w:rsid w:val="0F4A18F4"/>
    <w:rsid w:val="0F5808CC"/>
    <w:rsid w:val="0F666559"/>
    <w:rsid w:val="0F6B3E79"/>
    <w:rsid w:val="0F790BDF"/>
    <w:rsid w:val="0F7D42FE"/>
    <w:rsid w:val="0F820E85"/>
    <w:rsid w:val="0F8A41FA"/>
    <w:rsid w:val="0F962DED"/>
    <w:rsid w:val="0F9B4E2A"/>
    <w:rsid w:val="0FA45D17"/>
    <w:rsid w:val="0FB045CC"/>
    <w:rsid w:val="0FC910AB"/>
    <w:rsid w:val="0FD23F99"/>
    <w:rsid w:val="0FE34C1B"/>
    <w:rsid w:val="0FE35E2C"/>
    <w:rsid w:val="0FEF79AA"/>
    <w:rsid w:val="101B677C"/>
    <w:rsid w:val="101C7D06"/>
    <w:rsid w:val="1024515A"/>
    <w:rsid w:val="1046198D"/>
    <w:rsid w:val="105F3A71"/>
    <w:rsid w:val="106D475B"/>
    <w:rsid w:val="108C4660"/>
    <w:rsid w:val="10BA0A0E"/>
    <w:rsid w:val="10CE39DE"/>
    <w:rsid w:val="10FA6B68"/>
    <w:rsid w:val="10FF5E5F"/>
    <w:rsid w:val="11190B98"/>
    <w:rsid w:val="11247901"/>
    <w:rsid w:val="11365062"/>
    <w:rsid w:val="11422692"/>
    <w:rsid w:val="11590029"/>
    <w:rsid w:val="117F7F48"/>
    <w:rsid w:val="11F843DE"/>
    <w:rsid w:val="12320E5B"/>
    <w:rsid w:val="1265739D"/>
    <w:rsid w:val="12662947"/>
    <w:rsid w:val="12BE2ADE"/>
    <w:rsid w:val="12D8263D"/>
    <w:rsid w:val="130B16E4"/>
    <w:rsid w:val="13267B35"/>
    <w:rsid w:val="134A6D86"/>
    <w:rsid w:val="13594CF7"/>
    <w:rsid w:val="135A728A"/>
    <w:rsid w:val="1367698A"/>
    <w:rsid w:val="13772D89"/>
    <w:rsid w:val="138744BB"/>
    <w:rsid w:val="13AA18EC"/>
    <w:rsid w:val="13B45FC3"/>
    <w:rsid w:val="13C924DB"/>
    <w:rsid w:val="13DB164D"/>
    <w:rsid w:val="13E7373B"/>
    <w:rsid w:val="13F712B9"/>
    <w:rsid w:val="13FE142E"/>
    <w:rsid w:val="14176463"/>
    <w:rsid w:val="144B6D3F"/>
    <w:rsid w:val="14546EAA"/>
    <w:rsid w:val="147759A4"/>
    <w:rsid w:val="147A75E5"/>
    <w:rsid w:val="149C7CF0"/>
    <w:rsid w:val="14BC21CE"/>
    <w:rsid w:val="14BE2339"/>
    <w:rsid w:val="14BF4DCE"/>
    <w:rsid w:val="14CD3607"/>
    <w:rsid w:val="14D14395"/>
    <w:rsid w:val="14D56BF6"/>
    <w:rsid w:val="14E36C24"/>
    <w:rsid w:val="14F32D76"/>
    <w:rsid w:val="14F5216B"/>
    <w:rsid w:val="14FE7778"/>
    <w:rsid w:val="15060A70"/>
    <w:rsid w:val="151B73F8"/>
    <w:rsid w:val="15211EFF"/>
    <w:rsid w:val="15353F74"/>
    <w:rsid w:val="154B5C10"/>
    <w:rsid w:val="154F205D"/>
    <w:rsid w:val="15615E0F"/>
    <w:rsid w:val="156D2843"/>
    <w:rsid w:val="15701AB8"/>
    <w:rsid w:val="15786279"/>
    <w:rsid w:val="15892652"/>
    <w:rsid w:val="159001BC"/>
    <w:rsid w:val="15B1437C"/>
    <w:rsid w:val="15B939D5"/>
    <w:rsid w:val="15D83B2E"/>
    <w:rsid w:val="15DD70EA"/>
    <w:rsid w:val="15E11AB3"/>
    <w:rsid w:val="15E25134"/>
    <w:rsid w:val="15E8785D"/>
    <w:rsid w:val="16113EF1"/>
    <w:rsid w:val="16116F4B"/>
    <w:rsid w:val="161D05B7"/>
    <w:rsid w:val="162E280E"/>
    <w:rsid w:val="164206BE"/>
    <w:rsid w:val="16446BD7"/>
    <w:rsid w:val="16600954"/>
    <w:rsid w:val="16734EEE"/>
    <w:rsid w:val="1691331C"/>
    <w:rsid w:val="16B0271F"/>
    <w:rsid w:val="16D82413"/>
    <w:rsid w:val="16E22B33"/>
    <w:rsid w:val="16EF1899"/>
    <w:rsid w:val="16F85570"/>
    <w:rsid w:val="16FA58EE"/>
    <w:rsid w:val="17116BE2"/>
    <w:rsid w:val="17194D7A"/>
    <w:rsid w:val="172078E9"/>
    <w:rsid w:val="172D12A6"/>
    <w:rsid w:val="173C1948"/>
    <w:rsid w:val="17464B66"/>
    <w:rsid w:val="175B5D81"/>
    <w:rsid w:val="17652D76"/>
    <w:rsid w:val="177742FF"/>
    <w:rsid w:val="177778D5"/>
    <w:rsid w:val="177C4324"/>
    <w:rsid w:val="179E41EC"/>
    <w:rsid w:val="17BD7A6D"/>
    <w:rsid w:val="17FE3268"/>
    <w:rsid w:val="182A5943"/>
    <w:rsid w:val="18704C74"/>
    <w:rsid w:val="187F1331"/>
    <w:rsid w:val="18AD026B"/>
    <w:rsid w:val="18CA2202"/>
    <w:rsid w:val="18CA4E8D"/>
    <w:rsid w:val="18FC46F8"/>
    <w:rsid w:val="191B1724"/>
    <w:rsid w:val="19254E9B"/>
    <w:rsid w:val="19383C89"/>
    <w:rsid w:val="194573ED"/>
    <w:rsid w:val="195D29F2"/>
    <w:rsid w:val="196465FF"/>
    <w:rsid w:val="196B6E10"/>
    <w:rsid w:val="198154A5"/>
    <w:rsid w:val="19850C75"/>
    <w:rsid w:val="19856830"/>
    <w:rsid w:val="198A3D94"/>
    <w:rsid w:val="198F27F8"/>
    <w:rsid w:val="199C5ECD"/>
    <w:rsid w:val="19B1121F"/>
    <w:rsid w:val="19E14ABD"/>
    <w:rsid w:val="19F07148"/>
    <w:rsid w:val="1A031971"/>
    <w:rsid w:val="1A051BC1"/>
    <w:rsid w:val="1A110D84"/>
    <w:rsid w:val="1A2B0F11"/>
    <w:rsid w:val="1A2C43DF"/>
    <w:rsid w:val="1A372CD4"/>
    <w:rsid w:val="1A555BDB"/>
    <w:rsid w:val="1A660755"/>
    <w:rsid w:val="1A703BC4"/>
    <w:rsid w:val="1A7262E8"/>
    <w:rsid w:val="1A882B3D"/>
    <w:rsid w:val="1A964171"/>
    <w:rsid w:val="1AB162F9"/>
    <w:rsid w:val="1ABE2D20"/>
    <w:rsid w:val="1ACC4B7F"/>
    <w:rsid w:val="1AD34CD1"/>
    <w:rsid w:val="1AD417D6"/>
    <w:rsid w:val="1AE72378"/>
    <w:rsid w:val="1AE7665A"/>
    <w:rsid w:val="1AF74A59"/>
    <w:rsid w:val="1B111CB0"/>
    <w:rsid w:val="1B393D9E"/>
    <w:rsid w:val="1B3F0566"/>
    <w:rsid w:val="1B743284"/>
    <w:rsid w:val="1B816F9A"/>
    <w:rsid w:val="1B8175D6"/>
    <w:rsid w:val="1B9C1B61"/>
    <w:rsid w:val="1BB46A20"/>
    <w:rsid w:val="1BBD6973"/>
    <w:rsid w:val="1BE24098"/>
    <w:rsid w:val="1BE81B85"/>
    <w:rsid w:val="1BFE2971"/>
    <w:rsid w:val="1C01336C"/>
    <w:rsid w:val="1C021382"/>
    <w:rsid w:val="1C081DD0"/>
    <w:rsid w:val="1C1669BA"/>
    <w:rsid w:val="1C1C3102"/>
    <w:rsid w:val="1C2230E8"/>
    <w:rsid w:val="1C2E2C8D"/>
    <w:rsid w:val="1C6C7614"/>
    <w:rsid w:val="1CB31F52"/>
    <w:rsid w:val="1CC609D9"/>
    <w:rsid w:val="1CDC7753"/>
    <w:rsid w:val="1CE6684D"/>
    <w:rsid w:val="1CEC4A0D"/>
    <w:rsid w:val="1D1712A0"/>
    <w:rsid w:val="1D2B7B9F"/>
    <w:rsid w:val="1D305274"/>
    <w:rsid w:val="1D3F5714"/>
    <w:rsid w:val="1D466011"/>
    <w:rsid w:val="1D487015"/>
    <w:rsid w:val="1D5133E5"/>
    <w:rsid w:val="1D547E28"/>
    <w:rsid w:val="1D5B57EE"/>
    <w:rsid w:val="1D606070"/>
    <w:rsid w:val="1D655DB6"/>
    <w:rsid w:val="1D980258"/>
    <w:rsid w:val="1D9C1F14"/>
    <w:rsid w:val="1DB113DA"/>
    <w:rsid w:val="1DFB4E0B"/>
    <w:rsid w:val="1E196DA1"/>
    <w:rsid w:val="1E2278F4"/>
    <w:rsid w:val="1E4062B7"/>
    <w:rsid w:val="1E450B99"/>
    <w:rsid w:val="1E5542CC"/>
    <w:rsid w:val="1E64791C"/>
    <w:rsid w:val="1E6D6ABE"/>
    <w:rsid w:val="1E755624"/>
    <w:rsid w:val="1E8C73FA"/>
    <w:rsid w:val="1E9E3D33"/>
    <w:rsid w:val="1EAA616E"/>
    <w:rsid w:val="1EB15364"/>
    <w:rsid w:val="1EB20356"/>
    <w:rsid w:val="1EBE2AB5"/>
    <w:rsid w:val="1EC81089"/>
    <w:rsid w:val="1EDD703F"/>
    <w:rsid w:val="1F092A2D"/>
    <w:rsid w:val="1F1162FE"/>
    <w:rsid w:val="1F1C0B32"/>
    <w:rsid w:val="1F352B32"/>
    <w:rsid w:val="1F4A096C"/>
    <w:rsid w:val="1F5A5945"/>
    <w:rsid w:val="1F6B3A34"/>
    <w:rsid w:val="1F751CBE"/>
    <w:rsid w:val="1F7D6B10"/>
    <w:rsid w:val="1F963D6D"/>
    <w:rsid w:val="1F98363F"/>
    <w:rsid w:val="1FA70F8C"/>
    <w:rsid w:val="1FBF488C"/>
    <w:rsid w:val="1FC55B54"/>
    <w:rsid w:val="1FCD7675"/>
    <w:rsid w:val="1FD377B1"/>
    <w:rsid w:val="1FDC18BC"/>
    <w:rsid w:val="1FEF77E1"/>
    <w:rsid w:val="1FFC155B"/>
    <w:rsid w:val="20010BD0"/>
    <w:rsid w:val="20137C9A"/>
    <w:rsid w:val="20261774"/>
    <w:rsid w:val="202A3AEF"/>
    <w:rsid w:val="203A4D2E"/>
    <w:rsid w:val="204030A0"/>
    <w:rsid w:val="205B78B2"/>
    <w:rsid w:val="205C4184"/>
    <w:rsid w:val="206558CE"/>
    <w:rsid w:val="206901B1"/>
    <w:rsid w:val="206B1575"/>
    <w:rsid w:val="2078018B"/>
    <w:rsid w:val="209323D8"/>
    <w:rsid w:val="20AD55FF"/>
    <w:rsid w:val="20C12FDC"/>
    <w:rsid w:val="20C55A62"/>
    <w:rsid w:val="20EA7590"/>
    <w:rsid w:val="211001E9"/>
    <w:rsid w:val="21147D43"/>
    <w:rsid w:val="2119067D"/>
    <w:rsid w:val="21216F1B"/>
    <w:rsid w:val="21320B64"/>
    <w:rsid w:val="21370E12"/>
    <w:rsid w:val="214F55E4"/>
    <w:rsid w:val="215A4604"/>
    <w:rsid w:val="217C7ED4"/>
    <w:rsid w:val="21862B07"/>
    <w:rsid w:val="218A1EF5"/>
    <w:rsid w:val="21973788"/>
    <w:rsid w:val="219A3406"/>
    <w:rsid w:val="21A70D61"/>
    <w:rsid w:val="21B2244C"/>
    <w:rsid w:val="21C30EF9"/>
    <w:rsid w:val="21CB7C2D"/>
    <w:rsid w:val="21D956E3"/>
    <w:rsid w:val="21EF7C0A"/>
    <w:rsid w:val="221551D8"/>
    <w:rsid w:val="224441F7"/>
    <w:rsid w:val="224E7428"/>
    <w:rsid w:val="2261560B"/>
    <w:rsid w:val="227918A6"/>
    <w:rsid w:val="22944164"/>
    <w:rsid w:val="229674ED"/>
    <w:rsid w:val="22AC485D"/>
    <w:rsid w:val="22D174A6"/>
    <w:rsid w:val="22E67532"/>
    <w:rsid w:val="230F16FC"/>
    <w:rsid w:val="231C2E7E"/>
    <w:rsid w:val="232A4048"/>
    <w:rsid w:val="233344E4"/>
    <w:rsid w:val="2337735C"/>
    <w:rsid w:val="23384D61"/>
    <w:rsid w:val="23392A7A"/>
    <w:rsid w:val="235336A2"/>
    <w:rsid w:val="23850BE5"/>
    <w:rsid w:val="238E2690"/>
    <w:rsid w:val="239015CD"/>
    <w:rsid w:val="23B946BE"/>
    <w:rsid w:val="23C01773"/>
    <w:rsid w:val="23EF13A7"/>
    <w:rsid w:val="23F7720B"/>
    <w:rsid w:val="24086432"/>
    <w:rsid w:val="240F1052"/>
    <w:rsid w:val="242A187D"/>
    <w:rsid w:val="24310987"/>
    <w:rsid w:val="24322A62"/>
    <w:rsid w:val="24554136"/>
    <w:rsid w:val="245C2B3F"/>
    <w:rsid w:val="24836E94"/>
    <w:rsid w:val="24867974"/>
    <w:rsid w:val="248945E2"/>
    <w:rsid w:val="24974A9D"/>
    <w:rsid w:val="24990AB6"/>
    <w:rsid w:val="24A21A55"/>
    <w:rsid w:val="24BC74B9"/>
    <w:rsid w:val="24BE33B8"/>
    <w:rsid w:val="24E234FE"/>
    <w:rsid w:val="250D3E66"/>
    <w:rsid w:val="252754C5"/>
    <w:rsid w:val="252D3F69"/>
    <w:rsid w:val="2547370A"/>
    <w:rsid w:val="25585795"/>
    <w:rsid w:val="25740BBD"/>
    <w:rsid w:val="25955E96"/>
    <w:rsid w:val="259B6E31"/>
    <w:rsid w:val="259E33E1"/>
    <w:rsid w:val="25A07C39"/>
    <w:rsid w:val="25AF1FA5"/>
    <w:rsid w:val="25B677AD"/>
    <w:rsid w:val="25B904A8"/>
    <w:rsid w:val="25E06259"/>
    <w:rsid w:val="25FD0304"/>
    <w:rsid w:val="26090E12"/>
    <w:rsid w:val="261447E7"/>
    <w:rsid w:val="26162D47"/>
    <w:rsid w:val="26417898"/>
    <w:rsid w:val="26442276"/>
    <w:rsid w:val="26444B63"/>
    <w:rsid w:val="264D7096"/>
    <w:rsid w:val="26552532"/>
    <w:rsid w:val="26671EE8"/>
    <w:rsid w:val="269F6889"/>
    <w:rsid w:val="26AD0D8B"/>
    <w:rsid w:val="26C17431"/>
    <w:rsid w:val="26C27EC9"/>
    <w:rsid w:val="26C545A4"/>
    <w:rsid w:val="26C94300"/>
    <w:rsid w:val="26DF7D7C"/>
    <w:rsid w:val="26EE1723"/>
    <w:rsid w:val="26F154C7"/>
    <w:rsid w:val="26FD7030"/>
    <w:rsid w:val="27080E2E"/>
    <w:rsid w:val="270D21C6"/>
    <w:rsid w:val="270D2595"/>
    <w:rsid w:val="277F5A23"/>
    <w:rsid w:val="279E36DD"/>
    <w:rsid w:val="27A7464B"/>
    <w:rsid w:val="27EA2797"/>
    <w:rsid w:val="28011EB5"/>
    <w:rsid w:val="28092464"/>
    <w:rsid w:val="282B47A7"/>
    <w:rsid w:val="282C5A3A"/>
    <w:rsid w:val="283F32F7"/>
    <w:rsid w:val="2855423F"/>
    <w:rsid w:val="285E5BE3"/>
    <w:rsid w:val="28611CC2"/>
    <w:rsid w:val="286D2B55"/>
    <w:rsid w:val="28721E59"/>
    <w:rsid w:val="28892109"/>
    <w:rsid w:val="289430A0"/>
    <w:rsid w:val="289A1AAA"/>
    <w:rsid w:val="28A325B7"/>
    <w:rsid w:val="28AB052C"/>
    <w:rsid w:val="28B71571"/>
    <w:rsid w:val="28BA104F"/>
    <w:rsid w:val="28C132F2"/>
    <w:rsid w:val="28D133DE"/>
    <w:rsid w:val="28D37B64"/>
    <w:rsid w:val="28EF11D1"/>
    <w:rsid w:val="290566C3"/>
    <w:rsid w:val="295C2D51"/>
    <w:rsid w:val="29A81CD2"/>
    <w:rsid w:val="29A90232"/>
    <w:rsid w:val="29A92B3A"/>
    <w:rsid w:val="29C804D1"/>
    <w:rsid w:val="29CB1410"/>
    <w:rsid w:val="29D84ABC"/>
    <w:rsid w:val="29F5410D"/>
    <w:rsid w:val="2A0D39C3"/>
    <w:rsid w:val="2A1503FE"/>
    <w:rsid w:val="2A194990"/>
    <w:rsid w:val="2A215E5E"/>
    <w:rsid w:val="2A252C4C"/>
    <w:rsid w:val="2A3E7B5A"/>
    <w:rsid w:val="2A6B55C6"/>
    <w:rsid w:val="2A8475EE"/>
    <w:rsid w:val="2A951C8C"/>
    <w:rsid w:val="2A953E86"/>
    <w:rsid w:val="2A9B26F1"/>
    <w:rsid w:val="2AA81E53"/>
    <w:rsid w:val="2AB25451"/>
    <w:rsid w:val="2AC063B7"/>
    <w:rsid w:val="2ACB5B48"/>
    <w:rsid w:val="2ACD0874"/>
    <w:rsid w:val="2AD267B8"/>
    <w:rsid w:val="2AD8059C"/>
    <w:rsid w:val="2B0A5818"/>
    <w:rsid w:val="2B0D737C"/>
    <w:rsid w:val="2B0F004D"/>
    <w:rsid w:val="2B154A20"/>
    <w:rsid w:val="2B380E7B"/>
    <w:rsid w:val="2B574357"/>
    <w:rsid w:val="2B5F5BE1"/>
    <w:rsid w:val="2B6638DE"/>
    <w:rsid w:val="2B84406F"/>
    <w:rsid w:val="2B8F58E2"/>
    <w:rsid w:val="2BA07FAD"/>
    <w:rsid w:val="2BBF0DDA"/>
    <w:rsid w:val="2BE5055C"/>
    <w:rsid w:val="2BED5A7C"/>
    <w:rsid w:val="2BF858F4"/>
    <w:rsid w:val="2BFC3C2B"/>
    <w:rsid w:val="2BFC6315"/>
    <w:rsid w:val="2BFD5564"/>
    <w:rsid w:val="2C054251"/>
    <w:rsid w:val="2C2E0403"/>
    <w:rsid w:val="2C4C1107"/>
    <w:rsid w:val="2C7C5CC5"/>
    <w:rsid w:val="2C811341"/>
    <w:rsid w:val="2C823F4E"/>
    <w:rsid w:val="2CAD067B"/>
    <w:rsid w:val="2CFD0FC0"/>
    <w:rsid w:val="2D050EBF"/>
    <w:rsid w:val="2D2009C3"/>
    <w:rsid w:val="2D2A25A1"/>
    <w:rsid w:val="2D2A51E4"/>
    <w:rsid w:val="2D3059BC"/>
    <w:rsid w:val="2D4D17E5"/>
    <w:rsid w:val="2D6F58D8"/>
    <w:rsid w:val="2D892B5C"/>
    <w:rsid w:val="2DB328B9"/>
    <w:rsid w:val="2DC6450C"/>
    <w:rsid w:val="2DD85082"/>
    <w:rsid w:val="2DE11692"/>
    <w:rsid w:val="2DF24F64"/>
    <w:rsid w:val="2DF5641D"/>
    <w:rsid w:val="2DF644E3"/>
    <w:rsid w:val="2E0D40F5"/>
    <w:rsid w:val="2E2F56E6"/>
    <w:rsid w:val="2E4A7323"/>
    <w:rsid w:val="2E682AAC"/>
    <w:rsid w:val="2E6D230F"/>
    <w:rsid w:val="2E98229F"/>
    <w:rsid w:val="2EA56E95"/>
    <w:rsid w:val="2EA673C9"/>
    <w:rsid w:val="2EAF1D1D"/>
    <w:rsid w:val="2ECA710C"/>
    <w:rsid w:val="2ED4404D"/>
    <w:rsid w:val="2ED50475"/>
    <w:rsid w:val="2EE365C8"/>
    <w:rsid w:val="2F090AB4"/>
    <w:rsid w:val="2F13732E"/>
    <w:rsid w:val="2F336BA3"/>
    <w:rsid w:val="2F5621A6"/>
    <w:rsid w:val="2F66411F"/>
    <w:rsid w:val="2F9E2267"/>
    <w:rsid w:val="2FA5716E"/>
    <w:rsid w:val="2FB91769"/>
    <w:rsid w:val="2FBE7D06"/>
    <w:rsid w:val="2FCD4219"/>
    <w:rsid w:val="2FD85581"/>
    <w:rsid w:val="2FE513F6"/>
    <w:rsid w:val="2FE91ED2"/>
    <w:rsid w:val="2FEC28E9"/>
    <w:rsid w:val="2FF22D62"/>
    <w:rsid w:val="30037E76"/>
    <w:rsid w:val="300B0CEC"/>
    <w:rsid w:val="301B31E2"/>
    <w:rsid w:val="302909D7"/>
    <w:rsid w:val="30320AA9"/>
    <w:rsid w:val="30427218"/>
    <w:rsid w:val="30664FDE"/>
    <w:rsid w:val="309E4811"/>
    <w:rsid w:val="30A00CB5"/>
    <w:rsid w:val="30AF5F22"/>
    <w:rsid w:val="30C14186"/>
    <w:rsid w:val="30D71496"/>
    <w:rsid w:val="30E73B0D"/>
    <w:rsid w:val="30FC61C2"/>
    <w:rsid w:val="30FD55E0"/>
    <w:rsid w:val="31030DD2"/>
    <w:rsid w:val="310F6F60"/>
    <w:rsid w:val="311333E6"/>
    <w:rsid w:val="311467EF"/>
    <w:rsid w:val="31162712"/>
    <w:rsid w:val="31363ABC"/>
    <w:rsid w:val="314614BA"/>
    <w:rsid w:val="31490B7D"/>
    <w:rsid w:val="3153679E"/>
    <w:rsid w:val="315F2471"/>
    <w:rsid w:val="3177458F"/>
    <w:rsid w:val="3189708E"/>
    <w:rsid w:val="318B1F3D"/>
    <w:rsid w:val="3193741E"/>
    <w:rsid w:val="319434F7"/>
    <w:rsid w:val="31994D00"/>
    <w:rsid w:val="31A65E57"/>
    <w:rsid w:val="31AD16EF"/>
    <w:rsid w:val="31AE660C"/>
    <w:rsid w:val="31B05A1F"/>
    <w:rsid w:val="31B17EF2"/>
    <w:rsid w:val="31E155AC"/>
    <w:rsid w:val="31FC35FB"/>
    <w:rsid w:val="32010D04"/>
    <w:rsid w:val="3202665F"/>
    <w:rsid w:val="320A7836"/>
    <w:rsid w:val="324163CA"/>
    <w:rsid w:val="32574FD8"/>
    <w:rsid w:val="325C547C"/>
    <w:rsid w:val="326C29F6"/>
    <w:rsid w:val="327C3888"/>
    <w:rsid w:val="329338D7"/>
    <w:rsid w:val="32945DAC"/>
    <w:rsid w:val="329C631F"/>
    <w:rsid w:val="32A24DE0"/>
    <w:rsid w:val="32AB0897"/>
    <w:rsid w:val="32CB3A84"/>
    <w:rsid w:val="32CE45BC"/>
    <w:rsid w:val="32D9201A"/>
    <w:rsid w:val="32E42D0F"/>
    <w:rsid w:val="32E779A4"/>
    <w:rsid w:val="330D4D94"/>
    <w:rsid w:val="33435E16"/>
    <w:rsid w:val="335F11B3"/>
    <w:rsid w:val="337B12FB"/>
    <w:rsid w:val="339C5454"/>
    <w:rsid w:val="33D354DF"/>
    <w:rsid w:val="33DD1D83"/>
    <w:rsid w:val="33FC5F9C"/>
    <w:rsid w:val="34005D95"/>
    <w:rsid w:val="340370F4"/>
    <w:rsid w:val="34173060"/>
    <w:rsid w:val="342451AA"/>
    <w:rsid w:val="3425323C"/>
    <w:rsid w:val="342E5EA7"/>
    <w:rsid w:val="343E0BAC"/>
    <w:rsid w:val="34474FF1"/>
    <w:rsid w:val="344B3651"/>
    <w:rsid w:val="34555269"/>
    <w:rsid w:val="34827541"/>
    <w:rsid w:val="34B63281"/>
    <w:rsid w:val="34C105B0"/>
    <w:rsid w:val="34CA39B2"/>
    <w:rsid w:val="34D564C3"/>
    <w:rsid w:val="34DC79C0"/>
    <w:rsid w:val="34EC4B86"/>
    <w:rsid w:val="351321CB"/>
    <w:rsid w:val="355171EC"/>
    <w:rsid w:val="355E299F"/>
    <w:rsid w:val="355E6D49"/>
    <w:rsid w:val="35671EE7"/>
    <w:rsid w:val="3572663B"/>
    <w:rsid w:val="357D4C50"/>
    <w:rsid w:val="35925B04"/>
    <w:rsid w:val="35963717"/>
    <w:rsid w:val="35AF3549"/>
    <w:rsid w:val="35CA49CB"/>
    <w:rsid w:val="35DA5213"/>
    <w:rsid w:val="35EE7B1B"/>
    <w:rsid w:val="35F65FAD"/>
    <w:rsid w:val="36202050"/>
    <w:rsid w:val="364A7C84"/>
    <w:rsid w:val="36605016"/>
    <w:rsid w:val="366B7A53"/>
    <w:rsid w:val="366D649A"/>
    <w:rsid w:val="368259EE"/>
    <w:rsid w:val="3689301E"/>
    <w:rsid w:val="369C7E5C"/>
    <w:rsid w:val="36B523AB"/>
    <w:rsid w:val="36C76D40"/>
    <w:rsid w:val="36F44E23"/>
    <w:rsid w:val="371D2966"/>
    <w:rsid w:val="373062E8"/>
    <w:rsid w:val="375C1AC9"/>
    <w:rsid w:val="37785098"/>
    <w:rsid w:val="377E7331"/>
    <w:rsid w:val="379038C8"/>
    <w:rsid w:val="379B1E6C"/>
    <w:rsid w:val="379D002A"/>
    <w:rsid w:val="37A6234C"/>
    <w:rsid w:val="37A907BA"/>
    <w:rsid w:val="37AF1535"/>
    <w:rsid w:val="37CA63F2"/>
    <w:rsid w:val="37CB57CA"/>
    <w:rsid w:val="37D337D1"/>
    <w:rsid w:val="37DD56C2"/>
    <w:rsid w:val="37F16302"/>
    <w:rsid w:val="38253136"/>
    <w:rsid w:val="38372548"/>
    <w:rsid w:val="384570A4"/>
    <w:rsid w:val="38781C56"/>
    <w:rsid w:val="38B54C1A"/>
    <w:rsid w:val="38C30240"/>
    <w:rsid w:val="38CF65F7"/>
    <w:rsid w:val="38D30895"/>
    <w:rsid w:val="38E95212"/>
    <w:rsid w:val="3909408E"/>
    <w:rsid w:val="391C1C7A"/>
    <w:rsid w:val="39465968"/>
    <w:rsid w:val="394D1A3B"/>
    <w:rsid w:val="39600E80"/>
    <w:rsid w:val="399B72BC"/>
    <w:rsid w:val="39A73391"/>
    <w:rsid w:val="39A95A0D"/>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90237F"/>
    <w:rsid w:val="3B002E8F"/>
    <w:rsid w:val="3B0A7991"/>
    <w:rsid w:val="3B100A85"/>
    <w:rsid w:val="3B18283A"/>
    <w:rsid w:val="3B336F2F"/>
    <w:rsid w:val="3B567019"/>
    <w:rsid w:val="3B5C777B"/>
    <w:rsid w:val="3B691338"/>
    <w:rsid w:val="3B6B36CF"/>
    <w:rsid w:val="3BA60160"/>
    <w:rsid w:val="3BB46CD1"/>
    <w:rsid w:val="3BB6128D"/>
    <w:rsid w:val="3BD11411"/>
    <w:rsid w:val="3BD837A5"/>
    <w:rsid w:val="3BED4242"/>
    <w:rsid w:val="3C173EBE"/>
    <w:rsid w:val="3C317DDD"/>
    <w:rsid w:val="3C336F35"/>
    <w:rsid w:val="3C3D3F09"/>
    <w:rsid w:val="3C457CDF"/>
    <w:rsid w:val="3C742BEB"/>
    <w:rsid w:val="3C857740"/>
    <w:rsid w:val="3C8E02B7"/>
    <w:rsid w:val="3CA732CA"/>
    <w:rsid w:val="3CB004C5"/>
    <w:rsid w:val="3CB35047"/>
    <w:rsid w:val="3CB47F7E"/>
    <w:rsid w:val="3CB603EF"/>
    <w:rsid w:val="3CD82621"/>
    <w:rsid w:val="3CDD69B2"/>
    <w:rsid w:val="3CEA693F"/>
    <w:rsid w:val="3D0D0F5F"/>
    <w:rsid w:val="3D0D55A5"/>
    <w:rsid w:val="3D187CD8"/>
    <w:rsid w:val="3D324998"/>
    <w:rsid w:val="3D354C10"/>
    <w:rsid w:val="3D475AFB"/>
    <w:rsid w:val="3D4C43AF"/>
    <w:rsid w:val="3D502422"/>
    <w:rsid w:val="3D5275CE"/>
    <w:rsid w:val="3D5404DD"/>
    <w:rsid w:val="3D6341E4"/>
    <w:rsid w:val="3D6A48AA"/>
    <w:rsid w:val="3D6D23E3"/>
    <w:rsid w:val="3D7C1281"/>
    <w:rsid w:val="3D8D1DDC"/>
    <w:rsid w:val="3D995C7E"/>
    <w:rsid w:val="3DD2333F"/>
    <w:rsid w:val="3DEC316F"/>
    <w:rsid w:val="3E000E38"/>
    <w:rsid w:val="3E037731"/>
    <w:rsid w:val="3E0F09D9"/>
    <w:rsid w:val="3E1646C1"/>
    <w:rsid w:val="3E247488"/>
    <w:rsid w:val="3E305EE4"/>
    <w:rsid w:val="3E360DF6"/>
    <w:rsid w:val="3E3D25F5"/>
    <w:rsid w:val="3E4E6762"/>
    <w:rsid w:val="3E70166E"/>
    <w:rsid w:val="3E752011"/>
    <w:rsid w:val="3E8270FA"/>
    <w:rsid w:val="3E8E2505"/>
    <w:rsid w:val="3E8F0C9A"/>
    <w:rsid w:val="3E9953AC"/>
    <w:rsid w:val="3E9D3F84"/>
    <w:rsid w:val="3E9F3605"/>
    <w:rsid w:val="3EEC1C8D"/>
    <w:rsid w:val="3EF15A07"/>
    <w:rsid w:val="3F0C0C5D"/>
    <w:rsid w:val="3F310E2B"/>
    <w:rsid w:val="3F3E5B85"/>
    <w:rsid w:val="3F4D19AF"/>
    <w:rsid w:val="3F691A99"/>
    <w:rsid w:val="3F837DDF"/>
    <w:rsid w:val="3FA21405"/>
    <w:rsid w:val="3FA96E5D"/>
    <w:rsid w:val="3FC04528"/>
    <w:rsid w:val="3FCB012B"/>
    <w:rsid w:val="3FD27B2E"/>
    <w:rsid w:val="3FEE1DE8"/>
    <w:rsid w:val="3FFE5EFF"/>
    <w:rsid w:val="40171145"/>
    <w:rsid w:val="402104DC"/>
    <w:rsid w:val="402D3537"/>
    <w:rsid w:val="40480E8F"/>
    <w:rsid w:val="40662C29"/>
    <w:rsid w:val="40742438"/>
    <w:rsid w:val="40791098"/>
    <w:rsid w:val="40932E75"/>
    <w:rsid w:val="40A70377"/>
    <w:rsid w:val="40BC5D67"/>
    <w:rsid w:val="40D775A2"/>
    <w:rsid w:val="40EE33BE"/>
    <w:rsid w:val="40F61783"/>
    <w:rsid w:val="4100601D"/>
    <w:rsid w:val="410D75D5"/>
    <w:rsid w:val="411E3000"/>
    <w:rsid w:val="41402C24"/>
    <w:rsid w:val="414E7345"/>
    <w:rsid w:val="41696F7F"/>
    <w:rsid w:val="417240B9"/>
    <w:rsid w:val="417C0D06"/>
    <w:rsid w:val="418B25AA"/>
    <w:rsid w:val="418E56CE"/>
    <w:rsid w:val="41925E9B"/>
    <w:rsid w:val="419B1BC4"/>
    <w:rsid w:val="419D7C05"/>
    <w:rsid w:val="41A739EA"/>
    <w:rsid w:val="41B3371C"/>
    <w:rsid w:val="41B4302C"/>
    <w:rsid w:val="41CC67E1"/>
    <w:rsid w:val="41DA3C01"/>
    <w:rsid w:val="41E3266D"/>
    <w:rsid w:val="41E70FD1"/>
    <w:rsid w:val="41F604FA"/>
    <w:rsid w:val="41FE6085"/>
    <w:rsid w:val="42013C9E"/>
    <w:rsid w:val="420F24CA"/>
    <w:rsid w:val="421C0994"/>
    <w:rsid w:val="424F02B6"/>
    <w:rsid w:val="42683145"/>
    <w:rsid w:val="427133C0"/>
    <w:rsid w:val="42715180"/>
    <w:rsid w:val="4277762F"/>
    <w:rsid w:val="429D7D7D"/>
    <w:rsid w:val="42B06FDD"/>
    <w:rsid w:val="42B23DF0"/>
    <w:rsid w:val="42B45768"/>
    <w:rsid w:val="42DD7341"/>
    <w:rsid w:val="42E637C3"/>
    <w:rsid w:val="42FD1410"/>
    <w:rsid w:val="43184FA0"/>
    <w:rsid w:val="431F563A"/>
    <w:rsid w:val="432D0CD2"/>
    <w:rsid w:val="433E24EE"/>
    <w:rsid w:val="4348259E"/>
    <w:rsid w:val="434C0977"/>
    <w:rsid w:val="434D5EB2"/>
    <w:rsid w:val="43604502"/>
    <w:rsid w:val="43705840"/>
    <w:rsid w:val="437E6752"/>
    <w:rsid w:val="43803823"/>
    <w:rsid w:val="43AF6845"/>
    <w:rsid w:val="43CC31B4"/>
    <w:rsid w:val="43D44FF8"/>
    <w:rsid w:val="441557E3"/>
    <w:rsid w:val="44286453"/>
    <w:rsid w:val="44371554"/>
    <w:rsid w:val="444B4817"/>
    <w:rsid w:val="444C54FC"/>
    <w:rsid w:val="44615639"/>
    <w:rsid w:val="44762FC6"/>
    <w:rsid w:val="4488431A"/>
    <w:rsid w:val="448F5706"/>
    <w:rsid w:val="44944331"/>
    <w:rsid w:val="449A539D"/>
    <w:rsid w:val="44A538D4"/>
    <w:rsid w:val="44B05905"/>
    <w:rsid w:val="44B67F0B"/>
    <w:rsid w:val="451317C4"/>
    <w:rsid w:val="45252A65"/>
    <w:rsid w:val="45575AD5"/>
    <w:rsid w:val="457E0115"/>
    <w:rsid w:val="459B774E"/>
    <w:rsid w:val="45B72AB1"/>
    <w:rsid w:val="45BA079F"/>
    <w:rsid w:val="45CC0EF3"/>
    <w:rsid w:val="45CF5AD4"/>
    <w:rsid w:val="45DD06D9"/>
    <w:rsid w:val="460D21F2"/>
    <w:rsid w:val="460E0469"/>
    <w:rsid w:val="460E0A15"/>
    <w:rsid w:val="4635298E"/>
    <w:rsid w:val="46355D58"/>
    <w:rsid w:val="463C04FA"/>
    <w:rsid w:val="464050BB"/>
    <w:rsid w:val="46405C21"/>
    <w:rsid w:val="466B6702"/>
    <w:rsid w:val="466F037A"/>
    <w:rsid w:val="467737E1"/>
    <w:rsid w:val="46A075FA"/>
    <w:rsid w:val="46A359DC"/>
    <w:rsid w:val="46A54FB3"/>
    <w:rsid w:val="46D040D1"/>
    <w:rsid w:val="46D47B0B"/>
    <w:rsid w:val="46D7121E"/>
    <w:rsid w:val="46E07671"/>
    <w:rsid w:val="46FF57CE"/>
    <w:rsid w:val="47154F60"/>
    <w:rsid w:val="47162E3C"/>
    <w:rsid w:val="47476572"/>
    <w:rsid w:val="47700BCB"/>
    <w:rsid w:val="47732DB6"/>
    <w:rsid w:val="47C254B8"/>
    <w:rsid w:val="47DF082A"/>
    <w:rsid w:val="47EB5003"/>
    <w:rsid w:val="48081128"/>
    <w:rsid w:val="480D3EC3"/>
    <w:rsid w:val="48144FED"/>
    <w:rsid w:val="483A31DC"/>
    <w:rsid w:val="484715CC"/>
    <w:rsid w:val="485D616F"/>
    <w:rsid w:val="4873370F"/>
    <w:rsid w:val="48942C25"/>
    <w:rsid w:val="4898666C"/>
    <w:rsid w:val="489B75DE"/>
    <w:rsid w:val="489F44D2"/>
    <w:rsid w:val="48AB4379"/>
    <w:rsid w:val="48B5305A"/>
    <w:rsid w:val="48B63FE7"/>
    <w:rsid w:val="48C71061"/>
    <w:rsid w:val="48CC7D6E"/>
    <w:rsid w:val="48DD5408"/>
    <w:rsid w:val="48EB5A5C"/>
    <w:rsid w:val="490B579F"/>
    <w:rsid w:val="491F0291"/>
    <w:rsid w:val="4920208E"/>
    <w:rsid w:val="492A1C6E"/>
    <w:rsid w:val="492C7D33"/>
    <w:rsid w:val="493A79B5"/>
    <w:rsid w:val="49575C03"/>
    <w:rsid w:val="4969605D"/>
    <w:rsid w:val="496D1F2A"/>
    <w:rsid w:val="497C7394"/>
    <w:rsid w:val="498A3B85"/>
    <w:rsid w:val="49AE3287"/>
    <w:rsid w:val="49C65C46"/>
    <w:rsid w:val="49D021B0"/>
    <w:rsid w:val="49D61F4B"/>
    <w:rsid w:val="49D7375C"/>
    <w:rsid w:val="49E81BC9"/>
    <w:rsid w:val="49EC64E1"/>
    <w:rsid w:val="4A11668C"/>
    <w:rsid w:val="4A3546EB"/>
    <w:rsid w:val="4A443774"/>
    <w:rsid w:val="4A4A48A6"/>
    <w:rsid w:val="4A524812"/>
    <w:rsid w:val="4A526073"/>
    <w:rsid w:val="4A56215E"/>
    <w:rsid w:val="4A5D4A40"/>
    <w:rsid w:val="4A63534F"/>
    <w:rsid w:val="4A6C1B50"/>
    <w:rsid w:val="4A7E40F2"/>
    <w:rsid w:val="4A8561F1"/>
    <w:rsid w:val="4A943BC6"/>
    <w:rsid w:val="4AAF17A9"/>
    <w:rsid w:val="4ABA7840"/>
    <w:rsid w:val="4AE623A4"/>
    <w:rsid w:val="4AE74F60"/>
    <w:rsid w:val="4AFF5CC6"/>
    <w:rsid w:val="4B1D3A51"/>
    <w:rsid w:val="4B280F1E"/>
    <w:rsid w:val="4B3D4E30"/>
    <w:rsid w:val="4B411E5A"/>
    <w:rsid w:val="4B413D26"/>
    <w:rsid w:val="4B6B6050"/>
    <w:rsid w:val="4B8B446D"/>
    <w:rsid w:val="4BA324C2"/>
    <w:rsid w:val="4BB317A2"/>
    <w:rsid w:val="4BC27F8D"/>
    <w:rsid w:val="4BC97047"/>
    <w:rsid w:val="4BCC6CCE"/>
    <w:rsid w:val="4BE44E6C"/>
    <w:rsid w:val="4BF446B8"/>
    <w:rsid w:val="4C061338"/>
    <w:rsid w:val="4C497215"/>
    <w:rsid w:val="4C4F5F99"/>
    <w:rsid w:val="4C5474C5"/>
    <w:rsid w:val="4C5D0817"/>
    <w:rsid w:val="4C5E08E0"/>
    <w:rsid w:val="4C7C64A4"/>
    <w:rsid w:val="4CBF4AE9"/>
    <w:rsid w:val="4CCC299D"/>
    <w:rsid w:val="4D0A349B"/>
    <w:rsid w:val="4D0D2E78"/>
    <w:rsid w:val="4D0F04ED"/>
    <w:rsid w:val="4D384A7C"/>
    <w:rsid w:val="4D3A0411"/>
    <w:rsid w:val="4D427C91"/>
    <w:rsid w:val="4D7706F2"/>
    <w:rsid w:val="4D845711"/>
    <w:rsid w:val="4DBE12C2"/>
    <w:rsid w:val="4DCE6ED3"/>
    <w:rsid w:val="4DF46CF3"/>
    <w:rsid w:val="4E095444"/>
    <w:rsid w:val="4E0E40E2"/>
    <w:rsid w:val="4E333BBB"/>
    <w:rsid w:val="4E4E04E5"/>
    <w:rsid w:val="4E665F7B"/>
    <w:rsid w:val="4E6A06E9"/>
    <w:rsid w:val="4E715DB2"/>
    <w:rsid w:val="4E776B87"/>
    <w:rsid w:val="4E8E5857"/>
    <w:rsid w:val="4EC206BE"/>
    <w:rsid w:val="4EC46EFB"/>
    <w:rsid w:val="4EC951FF"/>
    <w:rsid w:val="4ED04B02"/>
    <w:rsid w:val="4EDD6EFA"/>
    <w:rsid w:val="4EE96853"/>
    <w:rsid w:val="4F105F02"/>
    <w:rsid w:val="4F121BEA"/>
    <w:rsid w:val="4F172396"/>
    <w:rsid w:val="4F1D4181"/>
    <w:rsid w:val="4F3F03C1"/>
    <w:rsid w:val="4F4C2971"/>
    <w:rsid w:val="4F566ACF"/>
    <w:rsid w:val="4F704BBC"/>
    <w:rsid w:val="4F8028EE"/>
    <w:rsid w:val="4F8435B4"/>
    <w:rsid w:val="4FAD0DF7"/>
    <w:rsid w:val="4FBC1F04"/>
    <w:rsid w:val="4FBD361C"/>
    <w:rsid w:val="4FBE1CEA"/>
    <w:rsid w:val="4FC15F00"/>
    <w:rsid w:val="4FF17370"/>
    <w:rsid w:val="4FF77C61"/>
    <w:rsid w:val="50037C0C"/>
    <w:rsid w:val="500F51F9"/>
    <w:rsid w:val="50200CEA"/>
    <w:rsid w:val="502E1CFA"/>
    <w:rsid w:val="50371519"/>
    <w:rsid w:val="503D6ACE"/>
    <w:rsid w:val="50447CE3"/>
    <w:rsid w:val="505A0A75"/>
    <w:rsid w:val="50753DB9"/>
    <w:rsid w:val="509E2BD3"/>
    <w:rsid w:val="50C04426"/>
    <w:rsid w:val="50C7518D"/>
    <w:rsid w:val="50C95413"/>
    <w:rsid w:val="50CA58C9"/>
    <w:rsid w:val="50ED0D36"/>
    <w:rsid w:val="50F462DA"/>
    <w:rsid w:val="510B317F"/>
    <w:rsid w:val="51130AD6"/>
    <w:rsid w:val="51147068"/>
    <w:rsid w:val="511B4097"/>
    <w:rsid w:val="51216FB7"/>
    <w:rsid w:val="512452DA"/>
    <w:rsid w:val="512E023D"/>
    <w:rsid w:val="514C3C7B"/>
    <w:rsid w:val="515029F4"/>
    <w:rsid w:val="51777BA1"/>
    <w:rsid w:val="517A1ADB"/>
    <w:rsid w:val="517C1302"/>
    <w:rsid w:val="51901189"/>
    <w:rsid w:val="51952A88"/>
    <w:rsid w:val="51B661F2"/>
    <w:rsid w:val="51BB2EED"/>
    <w:rsid w:val="51E51BA8"/>
    <w:rsid w:val="51EE27E3"/>
    <w:rsid w:val="52101F45"/>
    <w:rsid w:val="52125E5B"/>
    <w:rsid w:val="5213342A"/>
    <w:rsid w:val="52163344"/>
    <w:rsid w:val="52217FFE"/>
    <w:rsid w:val="5234477C"/>
    <w:rsid w:val="52515077"/>
    <w:rsid w:val="52806E8B"/>
    <w:rsid w:val="52B118DE"/>
    <w:rsid w:val="52B80D5E"/>
    <w:rsid w:val="52C52078"/>
    <w:rsid w:val="52CB6EC0"/>
    <w:rsid w:val="52D061DA"/>
    <w:rsid w:val="52D211F8"/>
    <w:rsid w:val="52F26F28"/>
    <w:rsid w:val="53031E61"/>
    <w:rsid w:val="5315442E"/>
    <w:rsid w:val="533907AA"/>
    <w:rsid w:val="5341530E"/>
    <w:rsid w:val="534326DA"/>
    <w:rsid w:val="53434396"/>
    <w:rsid w:val="534D112E"/>
    <w:rsid w:val="53761C93"/>
    <w:rsid w:val="537B0A8C"/>
    <w:rsid w:val="5393301A"/>
    <w:rsid w:val="53971518"/>
    <w:rsid w:val="5399073D"/>
    <w:rsid w:val="539E3677"/>
    <w:rsid w:val="53A84C2D"/>
    <w:rsid w:val="53AB2CD5"/>
    <w:rsid w:val="53AF23D8"/>
    <w:rsid w:val="53B31343"/>
    <w:rsid w:val="53B91D8C"/>
    <w:rsid w:val="53CE2D5A"/>
    <w:rsid w:val="53D82514"/>
    <w:rsid w:val="53E56E6E"/>
    <w:rsid w:val="53EB2495"/>
    <w:rsid w:val="53F17662"/>
    <w:rsid w:val="54010C17"/>
    <w:rsid w:val="540366C1"/>
    <w:rsid w:val="542406F9"/>
    <w:rsid w:val="542C2C82"/>
    <w:rsid w:val="543F012A"/>
    <w:rsid w:val="546136C7"/>
    <w:rsid w:val="54635F00"/>
    <w:rsid w:val="54661F54"/>
    <w:rsid w:val="546C3F2D"/>
    <w:rsid w:val="547F46DA"/>
    <w:rsid w:val="54944893"/>
    <w:rsid w:val="549F75FE"/>
    <w:rsid w:val="54A51CC5"/>
    <w:rsid w:val="54B52F94"/>
    <w:rsid w:val="54BD36E4"/>
    <w:rsid w:val="54DD78BD"/>
    <w:rsid w:val="54E06144"/>
    <w:rsid w:val="54F52367"/>
    <w:rsid w:val="550A393D"/>
    <w:rsid w:val="555E54FB"/>
    <w:rsid w:val="556D2811"/>
    <w:rsid w:val="55767F46"/>
    <w:rsid w:val="55CE1AD5"/>
    <w:rsid w:val="55ED37B8"/>
    <w:rsid w:val="55F04C52"/>
    <w:rsid w:val="55F35D23"/>
    <w:rsid w:val="56281CBC"/>
    <w:rsid w:val="56333685"/>
    <w:rsid w:val="567B7B50"/>
    <w:rsid w:val="568F0DF7"/>
    <w:rsid w:val="56A332D5"/>
    <w:rsid w:val="56B85F25"/>
    <w:rsid w:val="56C325A5"/>
    <w:rsid w:val="56E709F8"/>
    <w:rsid w:val="56F10A56"/>
    <w:rsid w:val="56FB32FA"/>
    <w:rsid w:val="570703AF"/>
    <w:rsid w:val="572D602C"/>
    <w:rsid w:val="57364D30"/>
    <w:rsid w:val="573D71D1"/>
    <w:rsid w:val="57574216"/>
    <w:rsid w:val="57636B03"/>
    <w:rsid w:val="57A21363"/>
    <w:rsid w:val="57A54C20"/>
    <w:rsid w:val="57B06D46"/>
    <w:rsid w:val="57B937A9"/>
    <w:rsid w:val="57BB4E50"/>
    <w:rsid w:val="57C34B39"/>
    <w:rsid w:val="57DE1F69"/>
    <w:rsid w:val="57E116B4"/>
    <w:rsid w:val="580C0140"/>
    <w:rsid w:val="580F431F"/>
    <w:rsid w:val="587B6F7C"/>
    <w:rsid w:val="58A22BE9"/>
    <w:rsid w:val="58BD6FD7"/>
    <w:rsid w:val="58DB6137"/>
    <w:rsid w:val="58E44026"/>
    <w:rsid w:val="58E67C57"/>
    <w:rsid w:val="58E94F10"/>
    <w:rsid w:val="58F965E6"/>
    <w:rsid w:val="58FA15B8"/>
    <w:rsid w:val="58FF06B6"/>
    <w:rsid w:val="59046596"/>
    <w:rsid w:val="591C3F4A"/>
    <w:rsid w:val="591F1CBF"/>
    <w:rsid w:val="593E6CC6"/>
    <w:rsid w:val="59404EE0"/>
    <w:rsid w:val="594B0A62"/>
    <w:rsid w:val="594E1B0E"/>
    <w:rsid w:val="594F32F2"/>
    <w:rsid w:val="595461B1"/>
    <w:rsid w:val="59591BB8"/>
    <w:rsid w:val="595C743E"/>
    <w:rsid w:val="59760077"/>
    <w:rsid w:val="59820786"/>
    <w:rsid w:val="59A774F2"/>
    <w:rsid w:val="59AD15AB"/>
    <w:rsid w:val="59CE313C"/>
    <w:rsid w:val="59E474BD"/>
    <w:rsid w:val="59E869EC"/>
    <w:rsid w:val="59FC6B89"/>
    <w:rsid w:val="5A143012"/>
    <w:rsid w:val="5A261D0E"/>
    <w:rsid w:val="5A2907FC"/>
    <w:rsid w:val="5A2E6A84"/>
    <w:rsid w:val="5A412A61"/>
    <w:rsid w:val="5A4752E2"/>
    <w:rsid w:val="5A527BDD"/>
    <w:rsid w:val="5A905E59"/>
    <w:rsid w:val="5A9311E7"/>
    <w:rsid w:val="5AA72593"/>
    <w:rsid w:val="5AA9358C"/>
    <w:rsid w:val="5AD0373D"/>
    <w:rsid w:val="5AF81B7B"/>
    <w:rsid w:val="5AF86253"/>
    <w:rsid w:val="5B047A73"/>
    <w:rsid w:val="5B081862"/>
    <w:rsid w:val="5B1140FC"/>
    <w:rsid w:val="5B1C3DCA"/>
    <w:rsid w:val="5B24355B"/>
    <w:rsid w:val="5B2D01BB"/>
    <w:rsid w:val="5B340596"/>
    <w:rsid w:val="5B3F26B3"/>
    <w:rsid w:val="5B467F94"/>
    <w:rsid w:val="5B4B70AC"/>
    <w:rsid w:val="5B8A7522"/>
    <w:rsid w:val="5BA53E1C"/>
    <w:rsid w:val="5BA92AAB"/>
    <w:rsid w:val="5BB41290"/>
    <w:rsid w:val="5BC50503"/>
    <w:rsid w:val="5BCC4827"/>
    <w:rsid w:val="5BCD464A"/>
    <w:rsid w:val="5BF50EB6"/>
    <w:rsid w:val="5BF92128"/>
    <w:rsid w:val="5BFA7DB5"/>
    <w:rsid w:val="5BFB1F01"/>
    <w:rsid w:val="5C075DA6"/>
    <w:rsid w:val="5C1D7D30"/>
    <w:rsid w:val="5C275BD4"/>
    <w:rsid w:val="5C491EC9"/>
    <w:rsid w:val="5C5028D7"/>
    <w:rsid w:val="5C6D1904"/>
    <w:rsid w:val="5C790A6A"/>
    <w:rsid w:val="5C81109C"/>
    <w:rsid w:val="5C9E10E9"/>
    <w:rsid w:val="5C9E40DE"/>
    <w:rsid w:val="5CA11D7F"/>
    <w:rsid w:val="5CAF4CE5"/>
    <w:rsid w:val="5CDA6371"/>
    <w:rsid w:val="5CF30224"/>
    <w:rsid w:val="5CFC64A7"/>
    <w:rsid w:val="5D1516BF"/>
    <w:rsid w:val="5D1569ED"/>
    <w:rsid w:val="5D1B2A4F"/>
    <w:rsid w:val="5D2E6665"/>
    <w:rsid w:val="5D4F34F7"/>
    <w:rsid w:val="5D521435"/>
    <w:rsid w:val="5D623C65"/>
    <w:rsid w:val="5D810CA8"/>
    <w:rsid w:val="5D8C1819"/>
    <w:rsid w:val="5DC477E0"/>
    <w:rsid w:val="5DD05318"/>
    <w:rsid w:val="5DE97207"/>
    <w:rsid w:val="5DEF6C2B"/>
    <w:rsid w:val="5DF22741"/>
    <w:rsid w:val="5DFE50F6"/>
    <w:rsid w:val="5E026A9A"/>
    <w:rsid w:val="5E123553"/>
    <w:rsid w:val="5E186B89"/>
    <w:rsid w:val="5E2D7C7A"/>
    <w:rsid w:val="5E4E3F80"/>
    <w:rsid w:val="5E5F4BD4"/>
    <w:rsid w:val="5E852B0D"/>
    <w:rsid w:val="5E8A7777"/>
    <w:rsid w:val="5E932264"/>
    <w:rsid w:val="5EA1268E"/>
    <w:rsid w:val="5ED20F44"/>
    <w:rsid w:val="5EE7073E"/>
    <w:rsid w:val="5EF67A22"/>
    <w:rsid w:val="5EFB4ED5"/>
    <w:rsid w:val="5F123BC6"/>
    <w:rsid w:val="5F184877"/>
    <w:rsid w:val="5F1A7A37"/>
    <w:rsid w:val="5F2E3F46"/>
    <w:rsid w:val="5F406402"/>
    <w:rsid w:val="5F474C09"/>
    <w:rsid w:val="5F475D4B"/>
    <w:rsid w:val="5F63419E"/>
    <w:rsid w:val="5F736746"/>
    <w:rsid w:val="5F7B52AA"/>
    <w:rsid w:val="5F880842"/>
    <w:rsid w:val="5FD95A66"/>
    <w:rsid w:val="5FDF7A00"/>
    <w:rsid w:val="5FE12AC5"/>
    <w:rsid w:val="5FF309C7"/>
    <w:rsid w:val="5FFC4765"/>
    <w:rsid w:val="60046C0F"/>
    <w:rsid w:val="600E4F7F"/>
    <w:rsid w:val="60131685"/>
    <w:rsid w:val="601327BB"/>
    <w:rsid w:val="60245068"/>
    <w:rsid w:val="60255BE3"/>
    <w:rsid w:val="602717FC"/>
    <w:rsid w:val="602A62F8"/>
    <w:rsid w:val="602C01A9"/>
    <w:rsid w:val="603B1B21"/>
    <w:rsid w:val="60504051"/>
    <w:rsid w:val="607F2EF2"/>
    <w:rsid w:val="60842FF2"/>
    <w:rsid w:val="60AF5E00"/>
    <w:rsid w:val="60B54161"/>
    <w:rsid w:val="60D43BFA"/>
    <w:rsid w:val="60E16AB6"/>
    <w:rsid w:val="60E40C2C"/>
    <w:rsid w:val="60F32CD5"/>
    <w:rsid w:val="610D2A7D"/>
    <w:rsid w:val="61111BF1"/>
    <w:rsid w:val="61175A9A"/>
    <w:rsid w:val="612129FE"/>
    <w:rsid w:val="61375BEC"/>
    <w:rsid w:val="614A2305"/>
    <w:rsid w:val="614E4437"/>
    <w:rsid w:val="615F1F60"/>
    <w:rsid w:val="6182631E"/>
    <w:rsid w:val="61AF5CD6"/>
    <w:rsid w:val="61BC217C"/>
    <w:rsid w:val="61D9772A"/>
    <w:rsid w:val="61DA1B5D"/>
    <w:rsid w:val="61DB33CF"/>
    <w:rsid w:val="61EF0933"/>
    <w:rsid w:val="61F2327B"/>
    <w:rsid w:val="61F64176"/>
    <w:rsid w:val="61F6471A"/>
    <w:rsid w:val="62413765"/>
    <w:rsid w:val="625A4915"/>
    <w:rsid w:val="625E2011"/>
    <w:rsid w:val="626E5BD1"/>
    <w:rsid w:val="627803DA"/>
    <w:rsid w:val="627966B2"/>
    <w:rsid w:val="62921FA4"/>
    <w:rsid w:val="62A06349"/>
    <w:rsid w:val="62BF1D8B"/>
    <w:rsid w:val="62C83DFB"/>
    <w:rsid w:val="62CB6DF0"/>
    <w:rsid w:val="62DC2379"/>
    <w:rsid w:val="62EF16C5"/>
    <w:rsid w:val="62FA52C3"/>
    <w:rsid w:val="63077DCD"/>
    <w:rsid w:val="630C3818"/>
    <w:rsid w:val="63196725"/>
    <w:rsid w:val="631F3FB6"/>
    <w:rsid w:val="63307428"/>
    <w:rsid w:val="63356B20"/>
    <w:rsid w:val="633B4FC0"/>
    <w:rsid w:val="634B7547"/>
    <w:rsid w:val="63647D08"/>
    <w:rsid w:val="637E69F6"/>
    <w:rsid w:val="63B47AD6"/>
    <w:rsid w:val="63B55E70"/>
    <w:rsid w:val="63BD1F88"/>
    <w:rsid w:val="63D07482"/>
    <w:rsid w:val="63E85719"/>
    <w:rsid w:val="63F34E27"/>
    <w:rsid w:val="63FD53D7"/>
    <w:rsid w:val="640D3774"/>
    <w:rsid w:val="642E2D6E"/>
    <w:rsid w:val="642F141D"/>
    <w:rsid w:val="6439179D"/>
    <w:rsid w:val="643A7D3D"/>
    <w:rsid w:val="644845EE"/>
    <w:rsid w:val="64494CF7"/>
    <w:rsid w:val="644C43F2"/>
    <w:rsid w:val="645E071A"/>
    <w:rsid w:val="64611864"/>
    <w:rsid w:val="6465357A"/>
    <w:rsid w:val="64704226"/>
    <w:rsid w:val="647E3F09"/>
    <w:rsid w:val="64870014"/>
    <w:rsid w:val="64B42AB0"/>
    <w:rsid w:val="64B76AA3"/>
    <w:rsid w:val="64C61C82"/>
    <w:rsid w:val="64D124DB"/>
    <w:rsid w:val="64EB099D"/>
    <w:rsid w:val="65012AAF"/>
    <w:rsid w:val="65233DA8"/>
    <w:rsid w:val="652A1A84"/>
    <w:rsid w:val="652A5D21"/>
    <w:rsid w:val="65480BBE"/>
    <w:rsid w:val="6554639C"/>
    <w:rsid w:val="65687D20"/>
    <w:rsid w:val="657B264C"/>
    <w:rsid w:val="65933B3C"/>
    <w:rsid w:val="65B955CA"/>
    <w:rsid w:val="65BE6C54"/>
    <w:rsid w:val="65CC3546"/>
    <w:rsid w:val="65CE71FF"/>
    <w:rsid w:val="65EE73B7"/>
    <w:rsid w:val="66087C36"/>
    <w:rsid w:val="660A413F"/>
    <w:rsid w:val="661A0E12"/>
    <w:rsid w:val="66214D7C"/>
    <w:rsid w:val="6624580B"/>
    <w:rsid w:val="662A15EB"/>
    <w:rsid w:val="66356B67"/>
    <w:rsid w:val="66760042"/>
    <w:rsid w:val="667B6C3F"/>
    <w:rsid w:val="66933BD2"/>
    <w:rsid w:val="66B40E42"/>
    <w:rsid w:val="66B56D61"/>
    <w:rsid w:val="66B56D68"/>
    <w:rsid w:val="66DA6071"/>
    <w:rsid w:val="66E9392A"/>
    <w:rsid w:val="66EA1480"/>
    <w:rsid w:val="67056631"/>
    <w:rsid w:val="6745249B"/>
    <w:rsid w:val="674672D3"/>
    <w:rsid w:val="676E6425"/>
    <w:rsid w:val="67770DB9"/>
    <w:rsid w:val="67776ADD"/>
    <w:rsid w:val="6779797F"/>
    <w:rsid w:val="6789047F"/>
    <w:rsid w:val="67A27AF8"/>
    <w:rsid w:val="67A720F6"/>
    <w:rsid w:val="67AC1398"/>
    <w:rsid w:val="67E7540E"/>
    <w:rsid w:val="67EA1736"/>
    <w:rsid w:val="67FC02AC"/>
    <w:rsid w:val="68006207"/>
    <w:rsid w:val="68070E08"/>
    <w:rsid w:val="682D2C3F"/>
    <w:rsid w:val="682D432C"/>
    <w:rsid w:val="68382592"/>
    <w:rsid w:val="684A32DA"/>
    <w:rsid w:val="68524FFC"/>
    <w:rsid w:val="68784674"/>
    <w:rsid w:val="687C00C8"/>
    <w:rsid w:val="687C4042"/>
    <w:rsid w:val="68A742AD"/>
    <w:rsid w:val="68B87F12"/>
    <w:rsid w:val="68C25CFA"/>
    <w:rsid w:val="68C731B8"/>
    <w:rsid w:val="68D536DE"/>
    <w:rsid w:val="69044A5D"/>
    <w:rsid w:val="691052CA"/>
    <w:rsid w:val="69194464"/>
    <w:rsid w:val="691D05F7"/>
    <w:rsid w:val="69312B59"/>
    <w:rsid w:val="69446209"/>
    <w:rsid w:val="694E271E"/>
    <w:rsid w:val="69534859"/>
    <w:rsid w:val="69726337"/>
    <w:rsid w:val="69787B08"/>
    <w:rsid w:val="698B1B24"/>
    <w:rsid w:val="6994580C"/>
    <w:rsid w:val="69B75241"/>
    <w:rsid w:val="69BB0755"/>
    <w:rsid w:val="69CD6D6F"/>
    <w:rsid w:val="69FB0A5B"/>
    <w:rsid w:val="6A0D79AA"/>
    <w:rsid w:val="6A115C81"/>
    <w:rsid w:val="6A162FAD"/>
    <w:rsid w:val="6A22015C"/>
    <w:rsid w:val="6A7A60F7"/>
    <w:rsid w:val="6A7E417E"/>
    <w:rsid w:val="6A9C36E2"/>
    <w:rsid w:val="6AAC2E76"/>
    <w:rsid w:val="6AB90DA9"/>
    <w:rsid w:val="6AD73CE6"/>
    <w:rsid w:val="6AEE1969"/>
    <w:rsid w:val="6AF4494F"/>
    <w:rsid w:val="6B0A125F"/>
    <w:rsid w:val="6B1834FD"/>
    <w:rsid w:val="6B23484A"/>
    <w:rsid w:val="6B30457A"/>
    <w:rsid w:val="6B3B1CB3"/>
    <w:rsid w:val="6B43702A"/>
    <w:rsid w:val="6B446AE6"/>
    <w:rsid w:val="6B524C27"/>
    <w:rsid w:val="6B5A1EC9"/>
    <w:rsid w:val="6B7308B4"/>
    <w:rsid w:val="6B744505"/>
    <w:rsid w:val="6B7B26EC"/>
    <w:rsid w:val="6B990784"/>
    <w:rsid w:val="6BA2498F"/>
    <w:rsid w:val="6BB93C93"/>
    <w:rsid w:val="6BBC51E6"/>
    <w:rsid w:val="6BBF609A"/>
    <w:rsid w:val="6BC012E3"/>
    <w:rsid w:val="6BCA0F7D"/>
    <w:rsid w:val="6BDE4DDD"/>
    <w:rsid w:val="6BE07242"/>
    <w:rsid w:val="6BE82C3E"/>
    <w:rsid w:val="6BE972DB"/>
    <w:rsid w:val="6BFE0452"/>
    <w:rsid w:val="6C0F2440"/>
    <w:rsid w:val="6C176418"/>
    <w:rsid w:val="6C392A9F"/>
    <w:rsid w:val="6C452784"/>
    <w:rsid w:val="6C4D097B"/>
    <w:rsid w:val="6C531367"/>
    <w:rsid w:val="6C5973BD"/>
    <w:rsid w:val="6C5F452A"/>
    <w:rsid w:val="6C762792"/>
    <w:rsid w:val="6C7D1213"/>
    <w:rsid w:val="6C801375"/>
    <w:rsid w:val="6C822E35"/>
    <w:rsid w:val="6CA714E6"/>
    <w:rsid w:val="6CEF6EBD"/>
    <w:rsid w:val="6CF01C95"/>
    <w:rsid w:val="6CF542B7"/>
    <w:rsid w:val="6CFA3A07"/>
    <w:rsid w:val="6D0071CD"/>
    <w:rsid w:val="6D18295E"/>
    <w:rsid w:val="6D1A13F6"/>
    <w:rsid w:val="6D1F12FA"/>
    <w:rsid w:val="6D206AE2"/>
    <w:rsid w:val="6D497025"/>
    <w:rsid w:val="6D5941BB"/>
    <w:rsid w:val="6D5B0CBD"/>
    <w:rsid w:val="6D6D33F8"/>
    <w:rsid w:val="6D6F3AB1"/>
    <w:rsid w:val="6D73256C"/>
    <w:rsid w:val="6D8A08D8"/>
    <w:rsid w:val="6D961017"/>
    <w:rsid w:val="6DCE3EDB"/>
    <w:rsid w:val="6DD23F1E"/>
    <w:rsid w:val="6DDB4275"/>
    <w:rsid w:val="6DEE2081"/>
    <w:rsid w:val="6E0135EB"/>
    <w:rsid w:val="6E210E7D"/>
    <w:rsid w:val="6E336938"/>
    <w:rsid w:val="6E360304"/>
    <w:rsid w:val="6E4C0EF4"/>
    <w:rsid w:val="6E4E028C"/>
    <w:rsid w:val="6E565A56"/>
    <w:rsid w:val="6E5C1E9E"/>
    <w:rsid w:val="6E5D68D3"/>
    <w:rsid w:val="6E682450"/>
    <w:rsid w:val="6E7251F0"/>
    <w:rsid w:val="6E757524"/>
    <w:rsid w:val="6E7934F3"/>
    <w:rsid w:val="6E9C5623"/>
    <w:rsid w:val="6E9E05A5"/>
    <w:rsid w:val="6EAD6286"/>
    <w:rsid w:val="6EB24C59"/>
    <w:rsid w:val="6EBD3CCD"/>
    <w:rsid w:val="6EC9468F"/>
    <w:rsid w:val="6ECD60E1"/>
    <w:rsid w:val="6EDB6C60"/>
    <w:rsid w:val="6F2428C0"/>
    <w:rsid w:val="6F3A17D7"/>
    <w:rsid w:val="6F433285"/>
    <w:rsid w:val="6F591B5D"/>
    <w:rsid w:val="6F7E65DB"/>
    <w:rsid w:val="6F7F6D3A"/>
    <w:rsid w:val="6F981073"/>
    <w:rsid w:val="6FA172A4"/>
    <w:rsid w:val="6FF72D78"/>
    <w:rsid w:val="6FFF65EB"/>
    <w:rsid w:val="702D3A00"/>
    <w:rsid w:val="70341230"/>
    <w:rsid w:val="70342FAD"/>
    <w:rsid w:val="7034472B"/>
    <w:rsid w:val="705A14E5"/>
    <w:rsid w:val="705A4D1B"/>
    <w:rsid w:val="705F37D3"/>
    <w:rsid w:val="708B108A"/>
    <w:rsid w:val="709143C4"/>
    <w:rsid w:val="70930271"/>
    <w:rsid w:val="70DB5146"/>
    <w:rsid w:val="70E51B6F"/>
    <w:rsid w:val="70E561EA"/>
    <w:rsid w:val="70FA4092"/>
    <w:rsid w:val="70FC3C7A"/>
    <w:rsid w:val="71075B1A"/>
    <w:rsid w:val="710E7F44"/>
    <w:rsid w:val="71193089"/>
    <w:rsid w:val="71211292"/>
    <w:rsid w:val="71243B68"/>
    <w:rsid w:val="712776C4"/>
    <w:rsid w:val="714344B4"/>
    <w:rsid w:val="71654226"/>
    <w:rsid w:val="7181738B"/>
    <w:rsid w:val="71820038"/>
    <w:rsid w:val="718B1478"/>
    <w:rsid w:val="71990145"/>
    <w:rsid w:val="719E164B"/>
    <w:rsid w:val="71AD6080"/>
    <w:rsid w:val="71C90ED8"/>
    <w:rsid w:val="71D72430"/>
    <w:rsid w:val="71E12038"/>
    <w:rsid w:val="720A6753"/>
    <w:rsid w:val="720F4AFB"/>
    <w:rsid w:val="72112B83"/>
    <w:rsid w:val="72143F3C"/>
    <w:rsid w:val="721F61D9"/>
    <w:rsid w:val="723D42BE"/>
    <w:rsid w:val="72412901"/>
    <w:rsid w:val="72553DBC"/>
    <w:rsid w:val="72887B37"/>
    <w:rsid w:val="72910320"/>
    <w:rsid w:val="72A53302"/>
    <w:rsid w:val="72B3410C"/>
    <w:rsid w:val="72BD6DA9"/>
    <w:rsid w:val="72CB01B8"/>
    <w:rsid w:val="72CB5E1F"/>
    <w:rsid w:val="72D95B00"/>
    <w:rsid w:val="72F66709"/>
    <w:rsid w:val="730554B3"/>
    <w:rsid w:val="73092FAA"/>
    <w:rsid w:val="732C3102"/>
    <w:rsid w:val="73413694"/>
    <w:rsid w:val="734608F5"/>
    <w:rsid w:val="736D4BAC"/>
    <w:rsid w:val="736F1AFC"/>
    <w:rsid w:val="739B5B15"/>
    <w:rsid w:val="73B36872"/>
    <w:rsid w:val="73BA58B5"/>
    <w:rsid w:val="73CA3FB8"/>
    <w:rsid w:val="73E63732"/>
    <w:rsid w:val="73EC345F"/>
    <w:rsid w:val="73F34510"/>
    <w:rsid w:val="73FD1118"/>
    <w:rsid w:val="74090510"/>
    <w:rsid w:val="740E2D2D"/>
    <w:rsid w:val="7410282D"/>
    <w:rsid w:val="741752A2"/>
    <w:rsid w:val="74223A5C"/>
    <w:rsid w:val="742661E9"/>
    <w:rsid w:val="746075B0"/>
    <w:rsid w:val="746B6757"/>
    <w:rsid w:val="74780C44"/>
    <w:rsid w:val="7479294A"/>
    <w:rsid w:val="747B5C9D"/>
    <w:rsid w:val="747F1177"/>
    <w:rsid w:val="748028C0"/>
    <w:rsid w:val="74A471EE"/>
    <w:rsid w:val="74AB58BC"/>
    <w:rsid w:val="74C111AB"/>
    <w:rsid w:val="74C768EE"/>
    <w:rsid w:val="74CA493F"/>
    <w:rsid w:val="74E97F38"/>
    <w:rsid w:val="74F13E40"/>
    <w:rsid w:val="750B1697"/>
    <w:rsid w:val="752A3F7B"/>
    <w:rsid w:val="7533655A"/>
    <w:rsid w:val="75444F15"/>
    <w:rsid w:val="75485488"/>
    <w:rsid w:val="75733C39"/>
    <w:rsid w:val="758516A2"/>
    <w:rsid w:val="759A2104"/>
    <w:rsid w:val="75B35E00"/>
    <w:rsid w:val="75CD1343"/>
    <w:rsid w:val="75EB2F64"/>
    <w:rsid w:val="75F04A64"/>
    <w:rsid w:val="76192C32"/>
    <w:rsid w:val="761D1573"/>
    <w:rsid w:val="761F64EF"/>
    <w:rsid w:val="76281DF8"/>
    <w:rsid w:val="763929C4"/>
    <w:rsid w:val="765B6CE9"/>
    <w:rsid w:val="765D3DA8"/>
    <w:rsid w:val="766740C2"/>
    <w:rsid w:val="766852F0"/>
    <w:rsid w:val="766A6521"/>
    <w:rsid w:val="766C7968"/>
    <w:rsid w:val="766E7DAC"/>
    <w:rsid w:val="76936F16"/>
    <w:rsid w:val="76993FC0"/>
    <w:rsid w:val="76A64EB2"/>
    <w:rsid w:val="76BC1014"/>
    <w:rsid w:val="77025DC3"/>
    <w:rsid w:val="772354E1"/>
    <w:rsid w:val="77276E30"/>
    <w:rsid w:val="772C68C6"/>
    <w:rsid w:val="773E0DC5"/>
    <w:rsid w:val="776C53FF"/>
    <w:rsid w:val="776E3681"/>
    <w:rsid w:val="777E5705"/>
    <w:rsid w:val="7781654E"/>
    <w:rsid w:val="779231D8"/>
    <w:rsid w:val="77A618BC"/>
    <w:rsid w:val="77B92312"/>
    <w:rsid w:val="77DE5CDB"/>
    <w:rsid w:val="77F67883"/>
    <w:rsid w:val="7827423F"/>
    <w:rsid w:val="78386307"/>
    <w:rsid w:val="78493B6B"/>
    <w:rsid w:val="7850391E"/>
    <w:rsid w:val="78586B5B"/>
    <w:rsid w:val="78597E32"/>
    <w:rsid w:val="78703EBE"/>
    <w:rsid w:val="78805A36"/>
    <w:rsid w:val="78830880"/>
    <w:rsid w:val="78A51D8F"/>
    <w:rsid w:val="78AE0946"/>
    <w:rsid w:val="78D02D1A"/>
    <w:rsid w:val="78D1727E"/>
    <w:rsid w:val="78D17516"/>
    <w:rsid w:val="78D96E40"/>
    <w:rsid w:val="78FE038B"/>
    <w:rsid w:val="7911644D"/>
    <w:rsid w:val="792078D7"/>
    <w:rsid w:val="79331EC1"/>
    <w:rsid w:val="79404911"/>
    <w:rsid w:val="794D0D3C"/>
    <w:rsid w:val="7967360B"/>
    <w:rsid w:val="7986601A"/>
    <w:rsid w:val="7993616D"/>
    <w:rsid w:val="799D69BF"/>
    <w:rsid w:val="799F3A31"/>
    <w:rsid w:val="79AE14B2"/>
    <w:rsid w:val="79B1687C"/>
    <w:rsid w:val="79B22738"/>
    <w:rsid w:val="79CE4B72"/>
    <w:rsid w:val="79FE0269"/>
    <w:rsid w:val="7A055366"/>
    <w:rsid w:val="7A292C38"/>
    <w:rsid w:val="7A49541C"/>
    <w:rsid w:val="7A5F22B4"/>
    <w:rsid w:val="7A680094"/>
    <w:rsid w:val="7A7508D5"/>
    <w:rsid w:val="7A80455C"/>
    <w:rsid w:val="7A81102C"/>
    <w:rsid w:val="7A8D6BBC"/>
    <w:rsid w:val="7AA37ECA"/>
    <w:rsid w:val="7AB16073"/>
    <w:rsid w:val="7ABB5514"/>
    <w:rsid w:val="7AC2458A"/>
    <w:rsid w:val="7ADE3222"/>
    <w:rsid w:val="7AF04DB0"/>
    <w:rsid w:val="7B0D28AD"/>
    <w:rsid w:val="7B133363"/>
    <w:rsid w:val="7B1C1737"/>
    <w:rsid w:val="7B2F5379"/>
    <w:rsid w:val="7B322761"/>
    <w:rsid w:val="7B3C2640"/>
    <w:rsid w:val="7B4443D1"/>
    <w:rsid w:val="7BB151FD"/>
    <w:rsid w:val="7BB43296"/>
    <w:rsid w:val="7BBE12F2"/>
    <w:rsid w:val="7BDE6C84"/>
    <w:rsid w:val="7BE07A81"/>
    <w:rsid w:val="7BE81B8B"/>
    <w:rsid w:val="7BE97D38"/>
    <w:rsid w:val="7BF01170"/>
    <w:rsid w:val="7C272B3E"/>
    <w:rsid w:val="7C471D4F"/>
    <w:rsid w:val="7C573A0C"/>
    <w:rsid w:val="7C5A71C2"/>
    <w:rsid w:val="7C7A6596"/>
    <w:rsid w:val="7CA76A22"/>
    <w:rsid w:val="7CB167D6"/>
    <w:rsid w:val="7CCC4E54"/>
    <w:rsid w:val="7CEB2ACD"/>
    <w:rsid w:val="7CEF6F65"/>
    <w:rsid w:val="7CF41D8D"/>
    <w:rsid w:val="7D2745EF"/>
    <w:rsid w:val="7D2D2CA0"/>
    <w:rsid w:val="7D5C29E8"/>
    <w:rsid w:val="7D7A7BC6"/>
    <w:rsid w:val="7D995EB0"/>
    <w:rsid w:val="7DBB08B6"/>
    <w:rsid w:val="7DBC7173"/>
    <w:rsid w:val="7DD90B59"/>
    <w:rsid w:val="7DEF15A6"/>
    <w:rsid w:val="7DFC511B"/>
    <w:rsid w:val="7E0565F6"/>
    <w:rsid w:val="7E221AFC"/>
    <w:rsid w:val="7E2A514E"/>
    <w:rsid w:val="7E2C4E20"/>
    <w:rsid w:val="7E2D20BE"/>
    <w:rsid w:val="7E4306A6"/>
    <w:rsid w:val="7E5733E1"/>
    <w:rsid w:val="7E660C33"/>
    <w:rsid w:val="7E6637F7"/>
    <w:rsid w:val="7E707801"/>
    <w:rsid w:val="7E733B66"/>
    <w:rsid w:val="7E8A121F"/>
    <w:rsid w:val="7EA36680"/>
    <w:rsid w:val="7EC12AAE"/>
    <w:rsid w:val="7EC52141"/>
    <w:rsid w:val="7EC73D34"/>
    <w:rsid w:val="7ED12FEE"/>
    <w:rsid w:val="7EFD03F7"/>
    <w:rsid w:val="7F1648D6"/>
    <w:rsid w:val="7F21639D"/>
    <w:rsid w:val="7F23784E"/>
    <w:rsid w:val="7F3A0E31"/>
    <w:rsid w:val="7F442E56"/>
    <w:rsid w:val="7F457080"/>
    <w:rsid w:val="7F4734EB"/>
    <w:rsid w:val="7F486BDC"/>
    <w:rsid w:val="7F493BBB"/>
    <w:rsid w:val="7F4C71A0"/>
    <w:rsid w:val="7F5124CE"/>
    <w:rsid w:val="7F5653E5"/>
    <w:rsid w:val="7F6347A3"/>
    <w:rsid w:val="7F6F44D4"/>
    <w:rsid w:val="7F7B4335"/>
    <w:rsid w:val="7F8805ED"/>
    <w:rsid w:val="7FB745D2"/>
    <w:rsid w:val="7FC4182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38</TotalTime>
  <ScaleCrop>false</ScaleCrop>
  <LinksUpToDate>false</LinksUpToDate>
  <CharactersWithSpaces>26786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2020-12-24T08:27:06Z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2052-11.1.0.10228</vt:lpwstr>
  </property>
</Properties>
</file>