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7216" behindDoc="1" locked="0" layoutInCell="1" allowOverlap="1">
            <wp:simplePos x="0" y="0"/>
            <wp:positionH relativeFrom="column">
              <wp:posOffset>-884555</wp:posOffset>
            </wp:positionH>
            <wp:positionV relativeFrom="paragraph">
              <wp:posOffset>-901065</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GZ2E+q0BAABPAwAADgAAAGRycy9lMm9Eb2MueG1srVPB&#10;bhMxEL0j9R8s3xtvU0ijVTaVqqhcECAVPsDxerOWbI/lcbKbH4A/4MSFO9+V72DshATKpQcuXnvm&#10;+c28N97F/egs2+mIBnzDbyYVZ9oraI3fNPzzp8frOWeYpG+lBa8bvtfI75dXrxZDqPUUerCtjoxI&#10;PNZDaHifUqiFQNVrJ3ECQXtKdhCdTHSMG9FGORC7s2JaVTMxQGxDBKURKbo6JvmJMb6EELrOKL0C&#10;tXXapyNr1FYmkoS9CciXpduu0yp96DrUidmGk9JUVipC+3VexXIh602UoTfq1IJ8SQvPNDlpPBU9&#10;U61kkmwbzT9UzqgICF2aKHDiKKQ4QipuqmfePPUy6KKFrMZwNh3/H616v/sYmWkbPuXMS0cDP3z7&#10;evj+8/DjC5sVf4aANcGeAgHT+AAjvZrsW44jBbPssYsuf0kQozy5uz+7q8fEVL40q+7mU0opyt29&#10;eX07L/TicjtETG81OJY3DY80vWKq3L3DRBUJ+huSi3l4NNaWCVr/V4CAOSIuLeZdGtfjqe81tHuS&#10;sw3RbHoqVQQVOPlcCp3eRB7kn+dCevkP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xaJUtgA&#10;AAAKAQAADwAAAAAAAAABACAAAAAiAAAAZHJzL2Rvd25yZXYueG1sUEsBAhQAFAAAAAgAh07iQBmd&#10;hPqtAQAATwMAAA4AAAAAAAAAAQAgAAAAJwEAAGRycy9lMm9Eb2MueG1sUEsFBgAAAAAGAAYAWQEA&#10;AEY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lang w:val="en-US"/>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12.17</w:t>
      </w: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DHCofIrwEAAFADAAAOAAAAZHJzL2Uyb0RvYy54bWytU81u&#10;GyEQvlfqOyDuNd6NHFcrryNFVnqpmkppHwCz4EUCBgH2rl+geYOeeum9z+Xn6IAd5++SQy4szHz7&#10;zXzfwOJqtIbsZIgaXEuryZQS6QR02m1a+vPHzafPlMTEXccNONnSvYz0avnxw2LwjayhB9PJQJDE&#10;xWbwLe1T8g1jUfTS8jgBLx0mFQTLEx7DhnWBD8huDaun00s2QOh8ACFjxOjqmKQnxvAWQlBKC7kC&#10;sbXSpSNrkIYnlBR77SNdlm6VkiLdKhVlIqalqDSVFYvgfp1XtlzwZhO477U4tcDf0sILTZZrh0XP&#10;VCueONkG/YrKahEggkoTAZYdhRRHUEU1feHNXc+9LFrQ6ujPpsf3oxXfdt8D0V1LLyhx3OLAD7/v&#10;D3/+Hf7+IrMq+zP42CDsziMwjdcw4q15iEcMZtmjCjZ/URDBPLq7P7srx0QEBmcXdT2bY0pgrqrq&#10;+fyy+M8ef/chpi8SLMmblgYcX3GV777GhK0g9AGSqzm40caUERr3LIDAHGG592OPeZfG9XgStIZu&#10;j3q2PuhNj6WKogJHo0uh06XIk3x6LqSPD2H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beaHX&#10;AAAACgEAAA8AAAAAAAAAAQAgAAAAIgAAAGRycy9kb3ducmV2LnhtbFBLAQIUABQAAAAIAIdO4kDH&#10;CofIrwEAAFADAAAOAAAAAAAAAAEAIAAAACYBAABkcnMvZTJvRG9jLnhtbFBLBQYAAAAABgAGAFkB&#10;AABH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TOC \o "1-3" \h \z </w:instrText>
      </w:r>
      <w:r>
        <w:rPr>
          <w:rFonts w:hint="eastAsia" w:ascii="宋体" w:hAnsi="宋体" w:eastAsia="宋体" w:cs="宋体"/>
          <w:color w:val="000000"/>
          <w:sz w:val="24"/>
          <w:szCs w:val="21"/>
        </w:rPr>
        <w:fldChar w:fldCharType="separate"/>
      </w: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_Toc22754 </w:instrText>
      </w:r>
      <w:r>
        <w:rPr>
          <w:rFonts w:hint="eastAsia" w:ascii="宋体" w:hAnsi="宋体" w:eastAsia="宋体" w:cs="宋体"/>
          <w:szCs w:val="21"/>
        </w:rPr>
        <w:fldChar w:fldCharType="separate"/>
      </w:r>
      <w:r>
        <w:rPr>
          <w:rFonts w:hint="eastAsia"/>
        </w:rPr>
        <w:t>一、国际原油市场回顾 </w:t>
      </w:r>
      <w:r>
        <w:tab/>
      </w:r>
      <w:r>
        <w:fldChar w:fldCharType="begin"/>
      </w:r>
      <w:r>
        <w:instrText xml:space="preserve"> PAGEREF _Toc22754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_Toc2223 </w:instrText>
      </w:r>
      <w:r>
        <w:rPr>
          <w:rFonts w:hint="eastAsia" w:ascii="宋体" w:hAnsi="宋体" w:eastAsia="宋体" w:cs="宋体"/>
          <w:szCs w:val="21"/>
        </w:rPr>
        <w:fldChar w:fldCharType="separate"/>
      </w:r>
      <w:r>
        <w:rPr>
          <w:rFonts w:hint="eastAsia" w:ascii="宋体" w:hAnsi="宋体"/>
          <w:szCs w:val="30"/>
        </w:rPr>
        <w:t>1.1国际原油收盘价涨跌情况（单位：美元/桶）</w:t>
      </w:r>
      <w:r>
        <w:tab/>
      </w:r>
      <w:r>
        <w:fldChar w:fldCharType="begin"/>
      </w:r>
      <w:r>
        <w:instrText xml:space="preserve"> PAGEREF _Toc2223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_Toc8868 </w:instrText>
      </w:r>
      <w:r>
        <w:rPr>
          <w:rFonts w:hint="eastAsia" w:ascii="宋体" w:hAnsi="宋体" w:eastAsia="宋体" w:cs="宋体"/>
          <w:szCs w:val="21"/>
        </w:rPr>
        <w:fldChar w:fldCharType="separate"/>
      </w:r>
      <w:r>
        <w:rPr>
          <w:rFonts w:hint="eastAsia" w:ascii="宋体" w:hAnsi="宋体"/>
          <w:szCs w:val="30"/>
        </w:rPr>
        <w:t>1.2 20</w:t>
      </w:r>
      <w:r>
        <w:rPr>
          <w:rFonts w:hint="eastAsia" w:ascii="宋体" w:hAnsi="宋体"/>
          <w:szCs w:val="30"/>
          <w:lang w:val="en-US" w:eastAsia="zh-CN"/>
        </w:rPr>
        <w:t>20</w:t>
      </w:r>
      <w:r>
        <w:rPr>
          <w:rFonts w:hint="eastAsia" w:ascii="宋体" w:hAnsi="宋体"/>
          <w:szCs w:val="30"/>
        </w:rPr>
        <w:t>年国际原油价格走势图</w:t>
      </w:r>
      <w:r>
        <w:tab/>
      </w:r>
      <w:r>
        <w:fldChar w:fldCharType="begin"/>
      </w:r>
      <w:r>
        <w:instrText xml:space="preserve"> PAGEREF _Toc8868 </w:instrText>
      </w:r>
      <w:r>
        <w:fldChar w:fldCharType="separate"/>
      </w:r>
      <w:r>
        <w:t>3</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_Toc9249 </w:instrText>
      </w:r>
      <w:r>
        <w:rPr>
          <w:rFonts w:hint="eastAsia" w:ascii="宋体" w:hAnsi="宋体" w:eastAsia="宋体" w:cs="宋体"/>
          <w:szCs w:val="21"/>
        </w:rPr>
        <w:fldChar w:fldCharType="separate"/>
      </w:r>
      <w:r>
        <w:rPr>
          <w:rFonts w:hint="eastAsia"/>
        </w:rPr>
        <w:t>二、 近期影响国际原油市场的主要因素</w:t>
      </w:r>
      <w:r>
        <w:tab/>
      </w:r>
      <w:r>
        <w:fldChar w:fldCharType="begin"/>
      </w:r>
      <w:r>
        <w:instrText xml:space="preserve"> PAGEREF _Toc9249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_Toc3912 </w:instrText>
      </w:r>
      <w:r>
        <w:rPr>
          <w:rFonts w:hint="eastAsia" w:ascii="宋体" w:hAnsi="宋体" w:eastAsia="宋体" w:cs="宋体"/>
          <w:szCs w:val="21"/>
        </w:rPr>
        <w:fldChar w:fldCharType="separate"/>
      </w:r>
      <w:r>
        <w:rPr>
          <w:rFonts w:hint="eastAsia" w:ascii="宋体" w:hAnsi="宋体"/>
          <w:szCs w:val="30"/>
        </w:rPr>
        <w:t>2.1影响国际原油市场的主要因素</w:t>
      </w:r>
      <w:r>
        <w:tab/>
      </w:r>
      <w:r>
        <w:fldChar w:fldCharType="begin"/>
      </w:r>
      <w:r>
        <w:instrText xml:space="preserve"> PAGEREF _Toc3912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_Toc9710 </w:instrText>
      </w:r>
      <w:r>
        <w:rPr>
          <w:rFonts w:hint="eastAsia" w:ascii="宋体" w:hAnsi="宋体" w:eastAsia="宋体" w:cs="宋体"/>
          <w:szCs w:val="21"/>
        </w:rPr>
        <w:fldChar w:fldCharType="separate"/>
      </w:r>
      <w:r>
        <w:rPr>
          <w:rFonts w:hint="eastAsia" w:ascii="宋体" w:hAnsi="宋体"/>
          <w:szCs w:val="30"/>
          <w:highlight w:val="none"/>
        </w:rPr>
        <w:t>2.2国际市场MTBE价格</w:t>
      </w:r>
      <w:r>
        <w:tab/>
      </w:r>
      <w:r>
        <w:fldChar w:fldCharType="begin"/>
      </w:r>
      <w:r>
        <w:instrText xml:space="preserve"> PAGEREF _Toc9710 </w:instrText>
      </w:r>
      <w:r>
        <w:fldChar w:fldCharType="separate"/>
      </w:r>
      <w:r>
        <w:t>13</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_Toc9440 </w:instrText>
      </w:r>
      <w:r>
        <w:rPr>
          <w:rFonts w:hint="eastAsia" w:ascii="宋体" w:hAnsi="宋体" w:eastAsia="宋体" w:cs="宋体"/>
          <w:szCs w:val="21"/>
        </w:rPr>
        <w:fldChar w:fldCharType="separate"/>
      </w:r>
      <w:r>
        <w:rPr>
          <w:rFonts w:hint="eastAsia"/>
          <w:lang w:eastAsia="zh-CN"/>
        </w:rPr>
        <w:t>三、</w:t>
      </w:r>
      <w:r>
        <w:rPr>
          <w:rFonts w:hint="eastAsia"/>
        </w:rPr>
        <w:t>本周国内市场</w:t>
      </w:r>
      <w:r>
        <w:tab/>
      </w:r>
      <w:r>
        <w:fldChar w:fldCharType="begin"/>
      </w:r>
      <w:r>
        <w:instrText xml:space="preserve"> PAGEREF _Toc9440 </w:instrText>
      </w:r>
      <w:r>
        <w:fldChar w:fldCharType="separate"/>
      </w:r>
      <w:r>
        <w:t>13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_Toc15820 </w:instrText>
      </w:r>
      <w:r>
        <w:rPr>
          <w:rFonts w:hint="eastAsia" w:ascii="宋体" w:hAnsi="宋体" w:eastAsia="宋体" w:cs="宋体"/>
          <w:szCs w:val="21"/>
        </w:rPr>
        <w:fldChar w:fldCharType="separate"/>
      </w:r>
      <w:r>
        <w:rPr>
          <w:rFonts w:hint="eastAsia" w:ascii="宋体" w:hAnsi="宋体"/>
          <w:szCs w:val="30"/>
          <w:highlight w:val="none"/>
        </w:rPr>
        <w:t>3.1 国内炼厂装置运行情况</w:t>
      </w:r>
      <w:r>
        <w:tab/>
      </w:r>
      <w:r>
        <w:fldChar w:fldCharType="begin"/>
      </w:r>
      <w:r>
        <w:instrText xml:space="preserve"> PAGEREF _Toc15820 </w:instrText>
      </w:r>
      <w:r>
        <w:fldChar w:fldCharType="separate"/>
      </w:r>
      <w:r>
        <w:t>13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_Toc22131 </w:instrText>
      </w:r>
      <w:r>
        <w:rPr>
          <w:rFonts w:hint="eastAsia" w:ascii="宋体" w:hAnsi="宋体" w:eastAsia="宋体" w:cs="宋体"/>
          <w:szCs w:val="21"/>
        </w:rPr>
        <w:fldChar w:fldCharType="separate"/>
      </w:r>
      <w:r>
        <w:rPr>
          <w:rFonts w:hint="eastAsia" w:ascii="宋体" w:hAnsi="宋体"/>
          <w:szCs w:val="30"/>
          <w:highlight w:val="none"/>
        </w:rPr>
        <w:t>3.2本周成品油市场行情</w:t>
      </w:r>
      <w:r>
        <w:tab/>
      </w:r>
      <w:r>
        <w:fldChar w:fldCharType="begin"/>
      </w:r>
      <w:r>
        <w:instrText xml:space="preserve"> PAGEREF _Toc22131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_Toc13353 </w:instrText>
      </w:r>
      <w:r>
        <w:rPr>
          <w:rFonts w:hint="eastAsia" w:ascii="宋体" w:hAnsi="宋体" w:eastAsia="宋体" w:cs="宋体"/>
          <w:szCs w:val="21"/>
        </w:rPr>
        <w:fldChar w:fldCharType="separate"/>
      </w:r>
      <w:r>
        <w:rPr>
          <w:rFonts w:hint="eastAsia" w:ascii="宋体" w:hAnsi="宋体"/>
          <w:szCs w:val="30"/>
        </w:rPr>
        <w:t>3.3 国内汽油价格周报</w:t>
      </w:r>
      <w:r>
        <w:tab/>
      </w:r>
      <w:r>
        <w:fldChar w:fldCharType="begin"/>
      </w:r>
      <w:r>
        <w:instrText xml:space="preserve"> PAGEREF _Toc13353 </w:instrText>
      </w:r>
      <w:r>
        <w:fldChar w:fldCharType="separate"/>
      </w:r>
      <w:r>
        <w:t>19</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_Toc28209 </w:instrText>
      </w:r>
      <w:r>
        <w:rPr>
          <w:rFonts w:hint="eastAsia" w:ascii="宋体" w:hAnsi="宋体" w:eastAsia="宋体" w:cs="宋体"/>
          <w:szCs w:val="21"/>
        </w:rPr>
        <w:fldChar w:fldCharType="separate"/>
      </w:r>
      <w:r>
        <w:rPr>
          <w:rFonts w:hint="eastAsia" w:ascii="宋体" w:hAnsi="宋体"/>
          <w:szCs w:val="30"/>
          <w:lang w:val="en-US" w:eastAsia="zh-CN"/>
        </w:rPr>
        <w:t>3.4国内柴油价格周报</w:t>
      </w:r>
      <w:r>
        <w:tab/>
      </w:r>
      <w:r>
        <w:fldChar w:fldCharType="begin"/>
      </w:r>
      <w:r>
        <w:instrText xml:space="preserve"> PAGEREF _Toc28209 </w:instrText>
      </w:r>
      <w:r>
        <w:fldChar w:fldCharType="separate"/>
      </w:r>
      <w:r>
        <w:t>22</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_Toc10254 </w:instrText>
      </w:r>
      <w:r>
        <w:rPr>
          <w:rFonts w:hint="eastAsia" w:ascii="宋体" w:hAnsi="宋体" w:eastAsia="宋体" w:cs="宋体"/>
          <w:szCs w:val="21"/>
        </w:rPr>
        <w:fldChar w:fldCharType="separate"/>
      </w:r>
      <w:r>
        <w:rPr>
          <w:rFonts w:hint="eastAsia" w:ascii="宋体" w:hAnsi="宋体"/>
          <w:szCs w:val="30"/>
          <w:lang w:val="en-US" w:eastAsia="zh-CN"/>
        </w:rPr>
        <w:t>3.5 山东地炼汽油出厂价格周报</w:t>
      </w:r>
      <w:r>
        <w:tab/>
      </w:r>
      <w:r>
        <w:fldChar w:fldCharType="begin"/>
      </w:r>
      <w:r>
        <w:instrText xml:space="preserve"> PAGEREF _Toc10254 </w:instrText>
      </w:r>
      <w:r>
        <w:fldChar w:fldCharType="separate"/>
      </w:r>
      <w:r>
        <w:t>27</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_Toc24140 </w:instrText>
      </w:r>
      <w:r>
        <w:rPr>
          <w:rFonts w:hint="eastAsia" w:ascii="宋体" w:hAnsi="宋体" w:eastAsia="宋体" w:cs="宋体"/>
          <w:szCs w:val="21"/>
        </w:rPr>
        <w:fldChar w:fldCharType="separate"/>
      </w:r>
      <w:r>
        <w:rPr>
          <w:rFonts w:hint="eastAsia" w:ascii="宋体" w:hAnsi="宋体"/>
          <w:szCs w:val="30"/>
          <w:lang w:val="en-US" w:eastAsia="zh-CN"/>
        </w:rPr>
        <w:t>3.6 山东地炼柴油出厂价格周报</w:t>
      </w:r>
      <w:r>
        <w:tab/>
      </w:r>
      <w:r>
        <w:fldChar w:fldCharType="begin"/>
      </w:r>
      <w:r>
        <w:instrText xml:space="preserve"> PAGEREF _Toc24140 </w:instrText>
      </w:r>
      <w:r>
        <w:fldChar w:fldCharType="separate"/>
      </w:r>
      <w:r>
        <w:t>29</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_Toc32000 </w:instrText>
      </w:r>
      <w:r>
        <w:rPr>
          <w:rFonts w:hint="eastAsia" w:ascii="宋体" w:hAnsi="宋体" w:eastAsia="宋体" w:cs="宋体"/>
          <w:szCs w:val="21"/>
        </w:rPr>
        <w:fldChar w:fldCharType="separate"/>
      </w:r>
      <w:r>
        <w:rPr>
          <w:rFonts w:hint="eastAsia" w:ascii="宋体" w:hAnsi="宋体"/>
          <w:szCs w:val="30"/>
          <w:lang w:val="en-US" w:eastAsia="zh-CN"/>
        </w:rPr>
        <w:t>四、2020年10月份进出口统计数据</w:t>
      </w:r>
      <w:r>
        <w:tab/>
      </w:r>
      <w:r>
        <w:fldChar w:fldCharType="begin"/>
      </w:r>
      <w:r>
        <w:instrText xml:space="preserve"> PAGEREF _Toc32000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_Toc21966 </w:instrText>
      </w:r>
      <w:r>
        <w:rPr>
          <w:rFonts w:hint="eastAsia" w:ascii="宋体" w:hAnsi="宋体" w:eastAsia="宋体" w:cs="宋体"/>
          <w:szCs w:val="21"/>
        </w:rPr>
        <w:fldChar w:fldCharType="separate"/>
      </w:r>
      <w:r>
        <w:rPr>
          <w:rFonts w:hint="eastAsia" w:ascii="宋体" w:hAnsi="宋体"/>
          <w:szCs w:val="30"/>
        </w:rPr>
        <w:t>4.1 20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10</w:t>
      </w:r>
      <w:r>
        <w:rPr>
          <w:rFonts w:hint="eastAsia" w:ascii="宋体" w:hAnsi="宋体"/>
          <w:szCs w:val="30"/>
        </w:rPr>
        <w:t>份全国车用汽油和航空汽油进出口统计数据</w:t>
      </w:r>
      <w:r>
        <w:tab/>
      </w:r>
      <w:r>
        <w:fldChar w:fldCharType="begin"/>
      </w:r>
      <w:r>
        <w:instrText xml:space="preserve"> PAGEREF _Toc21966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_Toc277 </w:instrText>
      </w:r>
      <w:r>
        <w:rPr>
          <w:rFonts w:hint="eastAsia" w:ascii="宋体" w:hAnsi="宋体" w:eastAsia="宋体" w:cs="宋体"/>
          <w:szCs w:val="21"/>
        </w:rPr>
        <w:fldChar w:fldCharType="separate"/>
      </w:r>
      <w:r>
        <w:rPr>
          <w:rFonts w:hint="eastAsia" w:ascii="宋体" w:hAnsi="宋体"/>
          <w:szCs w:val="30"/>
        </w:rPr>
        <w:t>4.2 20</w:t>
      </w:r>
      <w:r>
        <w:rPr>
          <w:rFonts w:hint="eastAsia" w:ascii="宋体" w:hAnsi="宋体"/>
          <w:szCs w:val="30"/>
          <w:lang w:val="en-US" w:eastAsia="zh-CN"/>
        </w:rPr>
        <w:t>20</w:t>
      </w:r>
      <w:r>
        <w:rPr>
          <w:rFonts w:hint="eastAsia" w:ascii="宋体" w:hAnsi="宋体"/>
          <w:szCs w:val="30"/>
        </w:rPr>
        <w:t>年1</w:t>
      </w:r>
      <w:r>
        <w:rPr>
          <w:rFonts w:hint="eastAsia" w:ascii="宋体" w:hAnsi="宋体"/>
          <w:szCs w:val="30"/>
          <w:lang w:val="en-US" w:eastAsia="zh-CN"/>
        </w:rPr>
        <w:t>0</w:t>
      </w:r>
      <w:r>
        <w:rPr>
          <w:rFonts w:hint="eastAsia" w:ascii="宋体" w:hAnsi="宋体"/>
          <w:szCs w:val="30"/>
        </w:rPr>
        <w:t>月份全国柴油出口统计数据</w:t>
      </w:r>
      <w:r>
        <w:tab/>
      </w:r>
      <w:r>
        <w:fldChar w:fldCharType="begin"/>
      </w:r>
      <w:r>
        <w:instrText xml:space="preserve"> PAGEREF _Toc277 </w:instrText>
      </w:r>
      <w:r>
        <w:fldChar w:fldCharType="separate"/>
      </w:r>
      <w:r>
        <w:t>32</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_Toc8413 </w:instrText>
      </w:r>
      <w:r>
        <w:rPr>
          <w:rFonts w:hint="eastAsia" w:ascii="宋体" w:hAnsi="宋体" w:eastAsia="宋体" w:cs="宋体"/>
          <w:szCs w:val="21"/>
        </w:rPr>
        <w:fldChar w:fldCharType="separate"/>
      </w:r>
      <w:r>
        <w:rPr>
          <w:rFonts w:hint="eastAsia" w:ascii="宋体" w:hAnsi="宋体"/>
          <w:szCs w:val="30"/>
        </w:rPr>
        <w:t>4.3 20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10</w:t>
      </w:r>
      <w:r>
        <w:rPr>
          <w:rFonts w:hint="eastAsia" w:ascii="宋体" w:hAnsi="宋体"/>
          <w:szCs w:val="30"/>
        </w:rPr>
        <w:t>月份全国原油进出口统计数据</w:t>
      </w:r>
      <w:r>
        <w:tab/>
      </w:r>
      <w:r>
        <w:fldChar w:fldCharType="begin"/>
      </w:r>
      <w:r>
        <w:instrText xml:space="preserve"> PAGEREF _Toc8413 </w:instrText>
      </w:r>
      <w:r>
        <w:fldChar w:fldCharType="separate"/>
      </w:r>
      <w:r>
        <w:t>33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_Toc21660 </w:instrText>
      </w:r>
      <w:r>
        <w:rPr>
          <w:rFonts w:hint="eastAsia" w:ascii="宋体" w:hAnsi="宋体" w:eastAsia="宋体" w:cs="宋体"/>
          <w:szCs w:val="21"/>
        </w:rPr>
        <w:fldChar w:fldCharType="separate"/>
      </w:r>
      <w:r>
        <w:rPr>
          <w:rFonts w:hint="eastAsia" w:ascii="宋体" w:hAnsi="宋体"/>
          <w:szCs w:val="30"/>
        </w:rPr>
        <w:t>4.4 20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10</w:t>
      </w:r>
      <w:r>
        <w:rPr>
          <w:rFonts w:hint="eastAsia" w:ascii="宋体" w:hAnsi="宋体"/>
          <w:szCs w:val="30"/>
        </w:rPr>
        <w:t>月份航空煤油进出口统计数据</w:t>
      </w:r>
      <w:r>
        <w:tab/>
      </w:r>
      <w:r>
        <w:fldChar w:fldCharType="begin"/>
      </w:r>
      <w:r>
        <w:instrText xml:space="preserve"> PAGEREF _Toc21660 </w:instrText>
      </w:r>
      <w:r>
        <w:fldChar w:fldCharType="separate"/>
      </w:r>
      <w:r>
        <w:t>35</w:t>
      </w:r>
      <w:r>
        <w:fldChar w:fldCharType="end"/>
      </w: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22754"/>
      <w:r>
        <w:rPr>
          <w:rFonts w:hint="eastAsia"/>
        </w:rPr>
        <w:t>一、国际原油市场回顾 </w:t>
      </w:r>
      <w:bookmarkEnd w:id="0"/>
    </w:p>
    <w:p>
      <w:pPr>
        <w:pStyle w:val="3"/>
        <w:spacing w:before="120" w:after="120" w:line="240" w:lineRule="auto"/>
        <w:rPr>
          <w:rFonts w:hint="eastAsia" w:ascii="宋体" w:hAnsi="宋体"/>
          <w:b/>
          <w:sz w:val="30"/>
          <w:szCs w:val="30"/>
        </w:rPr>
      </w:pPr>
      <w:bookmarkStart w:id="1" w:name="_Toc2223"/>
      <w:r>
        <w:rPr>
          <w:rFonts w:hint="eastAsia" w:ascii="宋体" w:hAnsi="宋体"/>
          <w:b/>
          <w:sz w:val="30"/>
          <w:szCs w:val="30"/>
        </w:rPr>
        <w:t>1.1国际原油收盘价涨跌情况（单位：美元/桶）</w:t>
      </w:r>
      <w:bookmarkEnd w:id="1"/>
    </w:p>
    <w:tbl>
      <w:tblPr>
        <w:tblStyle w:val="24"/>
        <w:tblW w:w="8662" w:type="dxa"/>
        <w:tblInd w:w="0" w:type="dxa"/>
        <w:tblLayout w:type="fixed"/>
        <w:tblCellMar>
          <w:top w:w="15" w:type="dxa"/>
          <w:left w:w="15" w:type="dxa"/>
          <w:bottom w:w="15" w:type="dxa"/>
          <w:right w:w="15" w:type="dxa"/>
        </w:tblCellMar>
      </w:tblPr>
      <w:tblGrid>
        <w:gridCol w:w="1291"/>
        <w:gridCol w:w="709"/>
        <w:gridCol w:w="709"/>
        <w:gridCol w:w="5953"/>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2020/12/10</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46.78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50.25</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原油价格收盘上涨，各国开始推出新冠疫苗令市场乐观情绪持续发酵，需求加速复苏的预期提振油价上行。</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2020/12/11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46.57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49.97</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原油价格收盘下跌，欧美等国本周末或将进一步强化社交隔离措施的消息令市场利好情绪受挫，抵消了疫苗对油价的提振。</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2020/12/14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46.99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50.29</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原油价格收盘上涨，美国开始新冠疫苗接种,市场对需求前景的乐观预期提振油价上行。此外，沙特吉达港发生爆炸，至少一艘油轮受到冲击，中东地缘问题也对日内油价起到提振作用。</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2020/12/15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47.62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50.76</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价格收盘上涨，由于新冠疫情仍在蔓延，能源需求依然相对脆弱，欧佩克轮值主席重申欧佩克不急于增产。此外，虽然欧洲多国加强封锁，但随着多国接连展开新冠疫苗接种工作，这也缓和了市场对疫情的担忧。</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2020/12/16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47.82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51.08</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美国能源信息署(EIA)发布原油库存数据，具体数据显示，美国截至12月11日当周EIA原油库存减少313.5万桶，该降幅超过市场预期，油价受此提振收盘上涨。</w:t>
            </w:r>
          </w:p>
        </w:tc>
      </w:tr>
    </w:tbl>
    <w:p>
      <w:pPr>
        <w:jc w:val="center"/>
        <w:rPr>
          <w:rFonts w:hint="eastAsia"/>
        </w:rPr>
      </w:pPr>
    </w:p>
    <w:p>
      <w:pPr>
        <w:pStyle w:val="3"/>
        <w:spacing w:before="120" w:after="120" w:line="240" w:lineRule="auto"/>
        <w:rPr>
          <w:rFonts w:hint="eastAsia" w:ascii="宋体" w:hAnsi="宋体"/>
          <w:b/>
          <w:sz w:val="30"/>
          <w:szCs w:val="30"/>
        </w:rPr>
      </w:pPr>
      <w:bookmarkStart w:id="2" w:name="_Toc8868"/>
      <w:r>
        <w:rPr>
          <w:rFonts w:hint="eastAsia" w:ascii="宋体" w:hAnsi="宋体"/>
          <w:b/>
          <w:sz w:val="30"/>
          <w:szCs w:val="30"/>
        </w:rPr>
        <w:t>1.2 20</w:t>
      </w:r>
      <w:r>
        <w:rPr>
          <w:rFonts w:hint="eastAsia" w:ascii="宋体" w:hAnsi="宋体"/>
          <w:b/>
          <w:sz w:val="30"/>
          <w:szCs w:val="30"/>
          <w:lang w:val="en-US" w:eastAsia="zh-CN"/>
        </w:rPr>
        <w:t>20</w:t>
      </w:r>
      <w:r>
        <w:rPr>
          <w:rFonts w:hint="eastAsia" w:ascii="宋体" w:hAnsi="宋体"/>
          <w:b/>
          <w:sz w:val="30"/>
          <w:szCs w:val="30"/>
        </w:rPr>
        <w:t>年国际原油价格走势图</w:t>
      </w:r>
      <w:bookmarkEnd w:id="2"/>
    </w:p>
    <w:p>
      <w:pPr>
        <w:widowControl/>
        <w:wordWrap w:val="0"/>
        <w:spacing w:after="90" w:line="288" w:lineRule="auto"/>
        <w:jc w:val="left"/>
        <w:rPr>
          <w:rFonts w:hint="eastAsia" w:ascii="宋体" w:hAnsi="宋体" w:cs="Arial"/>
          <w:b/>
          <w:kern w:val="0"/>
          <w:sz w:val="30"/>
          <w:szCs w:val="30"/>
        </w:rPr>
      </w:pPr>
    </w:p>
    <w:p>
      <w:pPr>
        <w:widowControl/>
        <w:wordWrap w:val="0"/>
        <w:spacing w:after="90" w:line="288" w:lineRule="auto"/>
        <w:jc w:val="left"/>
        <w:rPr>
          <w:rFonts w:hint="eastAsia" w:ascii="宋体" w:hAnsi="宋体" w:cs="Arial"/>
          <w:b/>
          <w:kern w:val="0"/>
          <w:sz w:val="30"/>
          <w:szCs w:val="30"/>
        </w:rPr>
      </w:pPr>
      <w:r>
        <w:rPr>
          <w:rFonts w:hint="eastAsia" w:ascii="宋体" w:hAnsi="宋体" w:cs="Arial"/>
          <w:b/>
          <w:kern w:val="0"/>
          <w:sz w:val="30"/>
          <w:szCs w:val="30"/>
        </w:rPr>
        <w:drawing>
          <wp:inline distT="0" distB="0" distL="114300" distR="114300">
            <wp:extent cx="5833745" cy="4154170"/>
            <wp:effectExtent l="0" t="0" r="1460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833745" cy="4154170"/>
                    </a:xfrm>
                    <a:prstGeom prst="rect">
                      <a:avLst/>
                    </a:prstGeom>
                    <a:noFill/>
                    <a:ln>
                      <a:noFill/>
                    </a:ln>
                  </pic:spPr>
                </pic:pic>
              </a:graphicData>
            </a:graphic>
          </wp:inline>
        </w:drawing>
      </w:r>
    </w:p>
    <w:p>
      <w:pPr>
        <w:rPr>
          <w:rFonts w:hint="eastAsia" w:ascii="宋体" w:hAnsi="宋体" w:cs="Arial"/>
          <w:b/>
          <w:kern w:val="0"/>
          <w:sz w:val="30"/>
          <w:szCs w:val="30"/>
        </w:rPr>
      </w:pPr>
    </w:p>
    <w:p>
      <w:pPr>
        <w:pStyle w:val="2"/>
        <w:numPr>
          <w:ilvl w:val="0"/>
          <w:numId w:val="1"/>
        </w:numPr>
        <w:spacing w:before="120" w:after="0" w:line="240" w:lineRule="auto"/>
      </w:pPr>
      <w:bookmarkStart w:id="3" w:name="_Toc9249"/>
      <w:r>
        <w:rPr>
          <w:rFonts w:hint="eastAsia"/>
        </w:rPr>
        <w:t>近期影响国际原油市场的主要因素</w:t>
      </w:r>
      <w:bookmarkEnd w:id="3"/>
    </w:p>
    <w:p>
      <w:pPr>
        <w:pStyle w:val="3"/>
        <w:spacing w:before="120" w:after="120" w:line="240" w:lineRule="auto"/>
        <w:rPr>
          <w:rFonts w:hint="eastAsia" w:ascii="宋体" w:hAnsi="宋体"/>
          <w:b/>
          <w:sz w:val="30"/>
          <w:szCs w:val="30"/>
        </w:rPr>
      </w:pPr>
      <w:bookmarkStart w:id="4" w:name="_Toc3912"/>
      <w:r>
        <w:rPr>
          <w:rFonts w:hint="eastAsia" w:ascii="宋体" w:hAnsi="宋体"/>
          <w:b/>
          <w:sz w:val="30"/>
          <w:szCs w:val="30"/>
        </w:rPr>
        <w:t>2.1影响国际原油市场的主要因素</w:t>
      </w:r>
      <w:bookmarkEnd w:id="4"/>
    </w:p>
    <w:p>
      <w:pPr>
        <w:ind w:firstLine="562" w:firstLineChars="200"/>
        <w:rPr>
          <w:rFonts w:hint="eastAsia" w:asciiTheme="minorEastAsia" w:hAnsiTheme="minorEastAsia" w:eastAsiaTheme="minorEastAsia" w:cstheme="minorEastAsia"/>
          <w:b/>
          <w:sz w:val="28"/>
          <w:szCs w:val="28"/>
        </w:rPr>
      </w:pPr>
    </w:p>
    <w:p>
      <w:pPr>
        <w:ind w:firstLine="551" w:firstLineChars="196"/>
        <w:outlineLvl w:val="1"/>
        <w:rPr>
          <w:rFonts w:hint="eastAsia" w:asciiTheme="minorEastAsia" w:hAnsiTheme="minorEastAsia" w:eastAsiaTheme="minorEastAsia" w:cstheme="minorEastAsia"/>
          <w:b/>
          <w:color w:val="000000"/>
          <w:sz w:val="28"/>
          <w:szCs w:val="28"/>
        </w:rPr>
      </w:pPr>
      <w:bookmarkStart w:id="5" w:name="_Toc59090900"/>
      <w:r>
        <w:rPr>
          <w:rFonts w:hint="eastAsia" w:asciiTheme="minorEastAsia" w:hAnsiTheme="minorEastAsia" w:eastAsiaTheme="minorEastAsia" w:cstheme="minorEastAsia"/>
          <w:b/>
          <w:color w:val="000000"/>
          <w:sz w:val="28"/>
          <w:szCs w:val="28"/>
        </w:rPr>
        <w:t>1.美国原油库存情况</w:t>
      </w:r>
      <w:bookmarkEnd w:id="5"/>
      <w:r>
        <w:rPr>
          <w:rFonts w:hint="eastAsia" w:asciiTheme="minorEastAsia" w:hAnsiTheme="minorEastAsia" w:eastAsiaTheme="minorEastAsia" w:cstheme="minorEastAsia"/>
          <w:b/>
          <w:color w:val="000000"/>
          <w:sz w:val="28"/>
          <w:szCs w:val="28"/>
        </w:rPr>
        <w:t xml:space="preserve"> </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美国EIA公布的数据显示，截至12月4日当周美国除却战略储备的商业原油库存意外暴增1500万桶远超预期，同时精炼油库存和汽油库存都大幅超预期。美国截至12月4日当周EIA原油库存变动实际公布增加1518.9万桶，预期减少减少103.5万桶，前值减少67.9万桶。此外，美国截至12月4日当周EIA汽油库存实际公布增加422.1万桶，预期增加200万桶，前值增加349.1万桶;美国截至12月4日当周EIA精炼油库存实际公布增加522.2万桶，预期增加90万桶，前值增加323.8万桶。墨西哥湾沿岸的原油库存增加了1180万桶，为有记录以来最多。美国石油协会(API)公布的数据显示，截至12月4日当周API美国原油库存增加114.1万桶至4.93亿桶，预期减少151.4万桶，库欣原油库存减少184.5万桶;汽油库存增加644.2万桶，精炼油库存增加231.6万桶。</w:t>
      </w:r>
    </w:p>
    <w:p>
      <w:pPr>
        <w:pStyle w:val="23"/>
        <w:spacing w:line="360" w:lineRule="auto"/>
        <w:ind w:firstLine="560" w:firstLineChars="200"/>
        <w:rPr>
          <w:rFonts w:hint="eastAsia" w:asciiTheme="minorEastAsia" w:hAnsiTheme="minorEastAsia" w:eastAsiaTheme="minorEastAsia" w:cstheme="minorEastAsia"/>
          <w:sz w:val="28"/>
          <w:szCs w:val="28"/>
        </w:rPr>
      </w:pPr>
    </w:p>
    <w:p>
      <w:pPr>
        <w:pStyle w:val="23"/>
        <w:spacing w:line="360" w:lineRule="auto"/>
        <w:ind w:firstLine="562" w:firstLineChars="200"/>
        <w:outlineLvl w:val="1"/>
        <w:rPr>
          <w:rFonts w:hint="eastAsia" w:asciiTheme="minorEastAsia" w:hAnsiTheme="minorEastAsia" w:eastAsiaTheme="minorEastAsia" w:cstheme="minorEastAsia"/>
          <w:b/>
          <w:sz w:val="28"/>
          <w:szCs w:val="28"/>
        </w:rPr>
      </w:pPr>
      <w:bookmarkStart w:id="6" w:name="_Toc59090901"/>
      <w:r>
        <w:rPr>
          <w:rFonts w:hint="eastAsia" w:asciiTheme="minorEastAsia" w:hAnsiTheme="minorEastAsia" w:eastAsiaTheme="minorEastAsia" w:cstheme="minorEastAsia"/>
          <w:b/>
          <w:sz w:val="28"/>
          <w:szCs w:val="28"/>
        </w:rPr>
        <w:t>2.美国经济形势</w:t>
      </w:r>
      <w:bookmarkEnd w:id="6"/>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北京时间17日凌晨，美股周三收盘涨跌不一，纳指创盘中与收盘历史最高纪录。美联储维持利率不变，上调经济增长与通胀预期。鲍威尔重申美国经济前景面临不确定性，称仍可扩大债券购买力度。美国国会仍在为年底前通过抗疫纾困刺激方案作最后的努力。</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道指跌44.77点，或0.15%，报30154.54点；纳指涨63.13点，或0.50%，报12658.19点；标普500指数涨6.55点，或0.18%，报3701.17点。</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联储周三宣布维持利率与资产购买规模不变。美联储主席鲍威尔在利率决议后的新闻发布会上表示，美联储致力于实现政策目标，货币政策将继续为经济提供强有力的支持。他重申美国经济前景面临不确定性，而接下来几个月可能是非常具有挑战性的。他还强调，美联储可以扩大债券购买力度，调整所购买债券的时限。</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Gold Newsletter编辑Brien Lundin表示：“美联储会议强化了我们的认知，即他们会继续维持宽松货币政策，需要多长时间就维持多长时间，需要多少弹药就提供多少弹药。”</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美联储维持利率不变 未调整资产购买计划</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国联邦公开市场委员会（FOMC）公布最新利率决议，将基准利率维持在0%-0.25%区间不变，将超额准备金率（IOER）维持在0.1%不变，将贴现利率维持在0.25%不变，符合市场的普遍预期。此次会议是美联储今年最后一次政策会议。</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联储表示，将继续每月至少购买1200亿美元的债券，“直到在实现委员会的最大就业和价格稳定目标方面取得实质性进一步进展为止”。美联储称，“这些资产购买有助于促进平稳的市场运作和宽松的金融条件，从而支持信贷流向家庭和企业。”但该委员会没有表示将延长购买期限。</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美联储预计，2020年美国GDP萎缩幅度将小于9月的预测，2021年和2022年的增速将高于9月的预测。此外，美联储预测中值显示，直到2023年末利率都将维持在零附近。</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美联储加息路径点阵图显示，美联储预计将维持利率在当前水平直至2023年，与9月一致。</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声明中其他地方的措辞与11月会议相比基本上没有变化。美联储声明称，经济活动和就业持续复苏，但仍“大大低于”新冠疫情前的水平。</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总体而言，美联储预计新冠疫情将“继续对经济活动、就业、短期通胀和中期经济前景构成相当大的风险。”并重申致力于使用所有工具支撑美国经济。</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美联储表示，预计将维持当前的利率水平，直至劳动力市场符合充分就业评估，通胀升至2%并有望在一段时间内适度超过该水平。</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美联储还延长临时美元互换安排和回购工具，但没有调整资产购买操作的构成和速度。</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利率决议声明公布后，美联储明年1月维持利率在0%-0.25%区间的概率为100%，加息25个基点至0.25%-0.50%区间的概率为0%；明年2月维持利率在0%-0.25%区间的概率为100%，加息25个基点的概率为0%，与声明前一致。</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鲍威尔重申美国经济前景面临不确定性</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联储主席鲍威尔在美联储利率决议后的新闻发布会上表示，美联储致力于实现政策目标，货币政策将继续为经济提供强有力的支持。他重申美国经济前景面临不确定性，将取决于新冠疫情的发展，而接下来几个月可能是非常具有挑战性的。</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鲍威尔表示，近几个月来，经济改善的步伐有所放缓，未来道路仍然面临高度不确定性。11月失业率继续上升，就业市场改善的步伐已经放缓，美联储不会忽视数百万的失业者。不过鲍威尔称，美联储认为当前面临的下行风险较9月而言更少。</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鲍威尔称，今天美联储为购买债券提供了额外的指引，目标是向美国经济提供强大的支持。美联储将继续增持美国国债。</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鲍威尔还表示，新冠疫情对通胀造成了显著影响，美国总体通胀水平仍低于长期目标。在民众感到安全之前，美国经济不可能实现全面复苏。</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关于新冠疫苗方面，鲍威尔表示围绕疫苗的重大挑战和不确定性依然存在。</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美国国会领袖接近就规模不到9000亿美元的纾困法案达成协议</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尽管过去数月内投资者对陷入僵局的刺激谈判感到失望，但本周他们仍增大了关于华盛顿通过一揽子刺激方案的下注。</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众院议长佩洛西、参院多数党派领袖麦康奈尔、参院少数党领袖舒默、财政部长姆努钦及众院少数党领袖麦卡锡周二召开会议，讨论了全面的政府支出法案，以及预计可能附加其中的抗疫纾困刺激方案。据四位知情人士透露，预计法案规模不到9000亿美元。</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两位知情人士称，磋商中的纾困法案包含给个人发补贴和补充失业保险，但不包含企业免责条款和向州及地方政府直接提供援助。</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先前据两位知情人士透露，国会两党领袖接近就纾困方案达成协议。预计佩洛西、舒默、麦康奈尔和麦卡锡周三将继续会谈。</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麦康奈尔周三在参议院称，国会领导层朝着敲定可获得参众两院通过的定向纾困方案取得重大进展。他表示，国会领导人同意达不成法案就不离开华盛顿。</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预计国会将公布1.4万亿美元的综合性政府支出法案，用于满足2021财年的政府运作预算需求。这项法案必须于本周通过并签署立法，以免周六政府陷入停摆。</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美国零售销售连月下降 表明疫情下经济反弹遇阻</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美国11月零售额下降，前一个月数据修正后也为下降，表明由于新冠病例激增以及国会围绕刺激法案僵持不下，经济复苏受到阻碍。</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美国商务部周三公布的数据表示，零售总额11月下降1.1%，10月下降0.1%。 彭博调查的经济学家预估中值为下降0.3%，10月零售额修正前为增长0.3%。不包括汽车和汽油，零售销售下降0.8%，而预估为增长0.1%。</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其他市场</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周三欧股收盘集体上涨，德国DAX指数涨1.52%，报13565.98点，法国CAC40指数涨0.31%，报5547.68点，英国富时100指数涨0.88%，报6570.91点。</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美国原油期货价格周三连续第三个交易日收高。原油需求前景的改善令油价得到支撑。</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FXTM市场分析经理Lukman Otunuga称：“随着新冠疫苗陆续在全球多国获得批准并开始推广，市场预计全球原油需求将会回升。”</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他表示：“随着全球最大的一些经济体相继加入批准新冠疫苗紧急使用授权的行列，短期内原油需求回升的前景已变得更加光明。”</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周三，纽约商品交易所1月交割的西德州中质原油（WTI）期货价格上涨20美分，涨幅0.4%，收于每桶47.82美元，为连续第三个交易日上涨。</w:t>
      </w:r>
    </w:p>
    <w:p>
      <w:pPr>
        <w:pStyle w:val="23"/>
        <w:rPr>
          <w:rFonts w:hint="eastAsia" w:asciiTheme="minorEastAsia" w:hAnsiTheme="minorEastAsia" w:eastAsiaTheme="minorEastAsia" w:cstheme="minorEastAsia"/>
          <w:color w:val="333335"/>
          <w:kern w:val="2"/>
          <w:sz w:val="28"/>
          <w:szCs w:val="28"/>
          <w:shd w:val="clear" w:color="auto" w:fill="FFFFFF"/>
        </w:rPr>
      </w:pPr>
    </w:p>
    <w:p>
      <w:pPr>
        <w:pStyle w:val="23"/>
        <w:ind w:firstLine="562" w:firstLineChars="200"/>
        <w:outlineLvl w:val="1"/>
        <w:rPr>
          <w:rFonts w:hint="eastAsia" w:asciiTheme="minorEastAsia" w:hAnsiTheme="minorEastAsia" w:eastAsiaTheme="minorEastAsia" w:cstheme="minorEastAsia"/>
          <w:b/>
          <w:bCs/>
          <w:sz w:val="28"/>
          <w:szCs w:val="28"/>
        </w:rPr>
      </w:pPr>
      <w:bookmarkStart w:id="7" w:name="_Toc59090902"/>
      <w:r>
        <w:rPr>
          <w:rFonts w:hint="eastAsia" w:asciiTheme="minorEastAsia" w:hAnsiTheme="minorEastAsia" w:eastAsiaTheme="minorEastAsia" w:cstheme="minorEastAsia"/>
          <w:b/>
          <w:bCs/>
          <w:sz w:val="28"/>
          <w:szCs w:val="28"/>
        </w:rPr>
        <w:t>3.世界经济形势</w:t>
      </w:r>
      <w:bookmarkEnd w:id="7"/>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济合作与发展组织(OECD)最新一期世界经济展望报告预测，中国将是今年唯一实现正增长的主要经济体，全年经济增长预计为1.8%，2021年经济增长预计将达到8%。此前国际货币基金组织于10月份发布的报告也作出了同样的判断。</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商务部最新数据显示，前11个月，我国进出口规模创历史同期新高，总额达29.04万亿元，同比增长1.8%，其中，进口占全球份额上升0.8个百分点，中国外贸进出口从6月份起已连续6个月实现正增长，为世界经济贸易合作注入了活力。</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据世贸组织数据显示，今年上半年我国出口增速高于全球平均水平7.8个百分点，国际市场份额较去年同期提高1个百分点以上，创历史同期新高。今年前11个月，我国货物贸易出口额16.13万亿元，增长3.7%，国际市场份额进一步提升。</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面对全球经济低迷的形势，中国外贸的成绩格外“亮眼”。</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商务部新闻发言人高峰表示，中国坚持扩大进口，向世界各国展示了中国担当，为全球经济注入了中国红利。</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全球新冠肺炎疫情蔓延的大背景下，我国坚持举办的第三届进博会、第十七届东博会和第128届广交会等国际盛会，为各国贸易商进入中国市场、挖掘中国机遇创造了便利。第三届进博会有全球150多个国家和地区的3600多家企业参与，意向成交金额达726.2亿美元。第十七届东博会组织签订国际、国内投资合作项目86个，总投资额2638.7亿元，同比增长43.6%，成为2004年首届东博会以来签约项目投资总额增幅最高的一届。第128届广交会有来自30个国家和地区的346家境外企业。</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此外，今年来我国举办了多场国际性综合展会和行业展会，如2020第六届“一带一路”名品展·重庆由150余家参展商带来34个国家和地区的特色名品亮相。2020“永不落幕的南博会”在线展有90个国家和地区的9300余家企业完成注册报名参展，参展国家和地区数量及参展企业数量均已超过前5届南博会。2020中国(大连)国际服装纺织品博览会邀请海内外各类商家企业1000余家。第十九届中国国际装备制造业博览会吸引了11个国家的企业参展，线上云展有包括德国通快、日本大隈等1500家国内外著名企业入驻。第三届21世纪海上丝绸之路博览会暨第二十二届海峡两岸经贸交易会共有来自80多个国家和地区的1100多家企业报名。2020年第十六届北京国际汽车展览会吸引了近乎全部国内外知名汽车品牌携全新产品以高规格参展。2020厦门国际贸易洽谈会暨丝路投资大会有35个国家和地区参展，其云平台全面覆盖40多个主要参展国家地区。中国(甘肃)国际贸易数字展览会有国内28个省市的1200多家企业参展及来自阿联酋、波兰、印度、土耳其等国家的14000多买家和采购商线上观展。从地区综合性展会到装备制造业、服装纺织等领域的行业展会的成功举办，充分表明我国会展业正切实发挥全球外贸发展稳定器的作用，推动全球经贸复苏。</w:t>
      </w:r>
    </w:p>
    <w:p>
      <w:pPr>
        <w:pStyle w:val="23"/>
        <w:spacing w:line="360" w:lineRule="auto"/>
        <w:ind w:firstLine="560" w:firstLineChars="200"/>
        <w:rPr>
          <w:rFonts w:hint="eastAsia" w:asciiTheme="minorEastAsia" w:hAnsiTheme="minorEastAsia" w:eastAsiaTheme="minorEastAsia" w:cstheme="minorEastAsia"/>
          <w:sz w:val="28"/>
          <w:szCs w:val="28"/>
        </w:rPr>
      </w:pPr>
    </w:p>
    <w:p>
      <w:pPr>
        <w:rPr>
          <w:rFonts w:hint="eastAsia"/>
        </w:rPr>
      </w:pPr>
    </w:p>
    <w:p>
      <w:pPr>
        <w:pStyle w:val="23"/>
        <w:numPr>
          <w:ilvl w:val="0"/>
          <w:numId w:val="2"/>
        </w:numPr>
        <w:outlineLvl w:val="1"/>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后市预测</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美国WTI原油原油价格在46.57-47.82美元/桶。布伦特原油价格在49.97-51.08美元/桶震荡。周内国际油价窄幅整理。美国能源信息署(EIA)周三(12月16日)公布的数据显示，上周原油库存降幅远高于预期，加之多国相继展开新冠疫苗接种行动以及中东紧张局势升级为油市带来了提振，两大原油期货周三(12月16日)延续了此前交易日的涨势。1月WTI：47.82涨0.20;2月布伦特：51.08涨0.32。基本面利好因素：1.香港时间周三晚23:30，美国能源信息署公布的数据显示，截至12月11日当周，原油库存减少313.5万桶，预期减少减少103.5万桶，前值减少67.9万桶;汽油库存增加102万桶，预期增加200万桶，前值增加349.1万桶;精炼油库存增加16.7万桶，预期增加90万桶，前值增加323.8万桶;美国上周原油出口增加79.3万桶/日至262.7万桶/日;上周美国国内原油产量减少10万桶至1100万桶/日。美国原油产品四周平均供应量为1887.3万桶/日，较去年同期减少8.4%。2.欧佩克轮值主席、阿尔及利亚能源部长阿塔尔于周二重申，组织在明年初不应急于增产，并表示，由于新冠病毒在世界部分地区肆虐，能源需求仍然脆弱。阿塔尔表示，无法保证欧佩克及其盟友在4月前将原油产量提高200万桶/日，尽管本月早些时候已达成逐步达到这一水平的协议。3.美国卫生与公众服务部长阿扎尔周一表示， 美国疾控中心向各州拨款1.4亿美元用于继续规划新冠疫苗的分配工作;国卫生与公众服务部和其他公共卫生领导人将在未来几周内努力确保让美国人知道新冠疫苗是安全有效的;鼓励美国零售药店CVS和Walgreens在养老院开始新冠疫苗的接种，12月21日为这两家连锁药店的计划日期。根据先前的估计，本月将分发足够的新冠疫苗，为2000万人接种。当日，美国政府“曲速行动”计划联席负责人佩尔纳称，美国卫生与公众服务部没必要动用新冠疫苗的安全储备;美国卫生与公众服务部正准备为MODERNA的疫苗预留备用剂量，就像预留辉瑞新冠疫苗的备用剂量一样。基本面利空因素：1.香港时间周三凌晨05:30，美国石油协会(API)公布的数据显示，截至12月11日当周，原油库存增加197.3万桶，预期减少350万桶;汽油库存增加82.8万桶;精炼油库存增加476.2万桶。知名金融博客零对冲对此表示，在上周原油库存大幅增加后，分析师原本预计本周公布的数据会显示原油库存小幅减少350万桶，但却出现了再一次增加，精炼油库存也再度出现令人惊讶的激增。2.投资者仍在密切关注抑制欧洲疫情急剧上升的措施，德国和荷兰宣布将在圣诞节期间加强限制措施。英国伦敦日前移至最严格的封锁等级——三级。在第三等级(高度戒备)下，除了外卖和送餐服务外，酒吧和餐馆必须关闭，剧院、保龄球馆和电影院等室内娱乐场所也必须保持关闭。英国卫生部长马特·汉考克(Matt Hancock)在周一晚间在唐宁街的简报会上说，新冠病毒大约每7天在英格兰某些地区就增加一倍。他警告说，在伦敦、埃塞克斯郡和肯特郡的医院，如果再有几次翻倍，就将“崩溃”。汉考克还透露，对冠状病毒新变种的初步分析表明，它“比现有变种生长更快”，应作为“对我们所有人的警告”，以令我们保持“警惕”。3.据Worldometers实时统计数据显示，截至香港时间12月17日02时23分，全球新冠病毒确诊病例达7417万例，新增378127例至74178092例，死亡病例达164万例，新增8274例至1649179例。美国新冠病毒确诊病例达1719万例，新增47486例至17192945例，占全球确诊病例的约五分之一;死亡病例达31万例，新增973例至312066例，占全球死亡人数的近五分之一。</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预测下周WTI油价将触及45-48美元/桶，布油在之后几个月触及48-52美元/桶。</w:t>
      </w:r>
    </w:p>
    <w:p>
      <w:pPr>
        <w:pStyle w:val="23"/>
        <w:numPr>
          <w:ilvl w:val="0"/>
          <w:numId w:val="0"/>
        </w:numPr>
        <w:outlineLvl w:val="1"/>
        <w:rPr>
          <w:rFonts w:hint="eastAsia" w:asciiTheme="minorEastAsia" w:hAnsiTheme="minorEastAsia" w:eastAsiaTheme="minorEastAsia" w:cstheme="minorEastAsia"/>
          <w:b/>
          <w:bCs/>
          <w:sz w:val="32"/>
          <w:szCs w:val="32"/>
        </w:rPr>
      </w:pPr>
    </w:p>
    <w:p>
      <w:pPr>
        <w:pStyle w:val="3"/>
        <w:spacing w:before="120" w:after="120" w:line="240" w:lineRule="auto"/>
        <w:rPr>
          <w:rFonts w:hint="eastAsia" w:ascii="宋体" w:hAnsi="宋体"/>
          <w:b/>
          <w:sz w:val="30"/>
          <w:szCs w:val="30"/>
          <w:highlight w:val="none"/>
        </w:rPr>
      </w:pPr>
      <w:bookmarkStart w:id="8" w:name="_Toc9710"/>
      <w:r>
        <w:rPr>
          <w:rFonts w:hint="eastAsia" w:ascii="宋体" w:hAnsi="宋体"/>
          <w:b/>
          <w:sz w:val="30"/>
          <w:szCs w:val="30"/>
          <w:highlight w:val="none"/>
        </w:rPr>
        <w:t>2.2国际市场MTBE价格</w:t>
      </w:r>
      <w:bookmarkEnd w:id="8"/>
    </w:p>
    <w:tbl>
      <w:tblPr>
        <w:tblStyle w:val="24"/>
        <w:tblW w:w="7230" w:type="dxa"/>
        <w:tblInd w:w="0" w:type="dxa"/>
        <w:shd w:val="clear" w:color="auto" w:fill="auto"/>
        <w:tblLayout w:type="autofit"/>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12月16日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479.00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140.11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479.75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12月15日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478.00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137.50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479.75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12月14日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481.00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139.00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473.00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12月11日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482.50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142.39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478.25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12月10日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467.00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143.28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484.75 </w:t>
            </w:r>
          </w:p>
        </w:tc>
      </w:tr>
    </w:tbl>
    <w:p>
      <w:pPr>
        <w:pStyle w:val="2"/>
        <w:numPr>
          <w:ilvl w:val="0"/>
          <w:numId w:val="0"/>
        </w:numPr>
        <w:spacing w:before="120" w:after="0" w:line="240" w:lineRule="auto"/>
        <w:rPr>
          <w:rFonts w:hint="eastAsia"/>
          <w:b/>
          <w:lang w:eastAsia="zh-CN"/>
        </w:rPr>
      </w:pPr>
    </w:p>
    <w:p>
      <w:pPr>
        <w:pStyle w:val="2"/>
        <w:numPr>
          <w:ilvl w:val="0"/>
          <w:numId w:val="0"/>
        </w:numPr>
        <w:spacing w:before="120" w:after="0" w:line="240" w:lineRule="auto"/>
        <w:rPr>
          <w:rFonts w:hint="eastAsia"/>
          <w:b/>
        </w:rPr>
      </w:pPr>
      <w:bookmarkStart w:id="9" w:name="_Toc9440"/>
      <w:r>
        <w:rPr>
          <w:rFonts w:hint="eastAsia"/>
          <w:b/>
          <w:lang w:eastAsia="zh-CN"/>
        </w:rPr>
        <w:t>三、</w:t>
      </w:r>
      <w:r>
        <w:rPr>
          <w:rFonts w:hint="eastAsia"/>
          <w:b/>
        </w:rPr>
        <w:t>本周国内市场</w:t>
      </w:r>
      <w:bookmarkEnd w:id="9"/>
    </w:p>
    <w:p>
      <w:pPr>
        <w:numPr>
          <w:ilvl w:val="0"/>
          <w:numId w:val="0"/>
        </w:numPr>
      </w:pPr>
    </w:p>
    <w:p>
      <w:pPr>
        <w:pStyle w:val="3"/>
        <w:spacing w:before="120" w:after="120" w:line="240" w:lineRule="auto"/>
      </w:pPr>
      <w:bookmarkStart w:id="10" w:name="_Toc15820"/>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940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69"/>
        <w:gridCol w:w="1627"/>
        <w:gridCol w:w="1841"/>
        <w:gridCol w:w="2220"/>
        <w:gridCol w:w="214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1569"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炼厂名称</w:t>
            </w:r>
          </w:p>
        </w:tc>
        <w:tc>
          <w:tcPr>
            <w:tcW w:w="1627"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检修装置</w:t>
            </w:r>
          </w:p>
        </w:tc>
        <w:tc>
          <w:tcPr>
            <w:tcW w:w="1841"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装置能力（万吨）</w:t>
            </w:r>
          </w:p>
        </w:tc>
        <w:tc>
          <w:tcPr>
            <w:tcW w:w="2220"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开始时间</w:t>
            </w:r>
          </w:p>
        </w:tc>
        <w:tc>
          <w:tcPr>
            <w:tcW w:w="2145"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结束时间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燕山石化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燕山石化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塔河石化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塔河石化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延迟焦化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上海石化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上海石化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3#柴油加氢</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330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镇海炼化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镇海炼化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茂名石化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茂名石化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2020年7月中旬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北海炼化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天津石化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齐鲁石化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2020年9中上旬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武汉石化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青岛石化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大连石化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2020年4月上旬陆续停</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广西石化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2020/2/9</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宁夏石化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云南石化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2021年1月底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锦西石化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700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2020年9月底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惠州炼厂</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二期</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436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检修延至2021年2月-4月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中海油气(泰州)</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bl>
    <w:p>
      <w:pPr>
        <w:numPr>
          <w:ilvl w:val="0"/>
          <w:numId w:val="0"/>
        </w:numPr>
        <w:rPr>
          <w:rFonts w:hint="eastAsia" w:ascii="宋体" w:hAnsi="宋体"/>
          <w:sz w:val="28"/>
          <w:szCs w:val="28"/>
          <w:highlight w:val="none"/>
        </w:rPr>
      </w:pPr>
    </w:p>
    <w:p>
      <w:pPr>
        <w:numPr>
          <w:ilvl w:val="0"/>
          <w:numId w:val="3"/>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Style w:val="24"/>
        <w:tblW w:w="9522" w:type="dxa"/>
        <w:tblInd w:w="0" w:type="dxa"/>
        <w:shd w:val="clear" w:color="auto" w:fill="auto"/>
        <w:tblLayout w:type="autofit"/>
        <w:tblCellMar>
          <w:top w:w="0" w:type="dxa"/>
          <w:left w:w="0" w:type="dxa"/>
          <w:bottom w:w="0" w:type="dxa"/>
          <w:right w:w="0" w:type="dxa"/>
        </w:tblCellMar>
      </w:tblPr>
      <w:tblGrid>
        <w:gridCol w:w="1782"/>
        <w:gridCol w:w="1188"/>
        <w:gridCol w:w="1890"/>
        <w:gridCol w:w="2385"/>
        <w:gridCol w:w="2277"/>
      </w:tblGrid>
      <w:tr>
        <w:tblPrEx>
          <w:shd w:val="clear" w:color="auto" w:fill="auto"/>
          <w:tblCellMar>
            <w:top w:w="0" w:type="dxa"/>
            <w:left w:w="0" w:type="dxa"/>
            <w:bottom w:w="0" w:type="dxa"/>
            <w:right w:w="0" w:type="dxa"/>
          </w:tblCellMar>
        </w:tblPrEx>
        <w:trPr>
          <w:trHeight w:val="240" w:hRule="atLeast"/>
        </w:trPr>
        <w:tc>
          <w:tcPr>
            <w:tcW w:w="178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18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检修产能（万吨）</w:t>
            </w:r>
          </w:p>
        </w:tc>
        <w:tc>
          <w:tcPr>
            <w:tcW w:w="23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停工时间</w:t>
            </w:r>
          </w:p>
        </w:tc>
        <w:tc>
          <w:tcPr>
            <w:tcW w:w="22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开工时间</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2018年5月1日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岚桥石化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2020年5月10日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2019年11月18日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2020年3月30日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奥星(亨润德)石化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海化石化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2020年1月12日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万达天弘</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2020年4月2</w:t>
            </w: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亚通石化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汽油加氢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尚能石化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寿光联盟</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胜星化工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正和石化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2020年2月19日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华联石化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2020年4月</w:t>
            </w:r>
            <w:r>
              <w:rPr>
                <w:rFonts w:hint="eastAsia" w:ascii="宋体" w:hAnsi="宋体" w:cs="宋体"/>
                <w:i w:val="0"/>
                <w:color w:val="000000"/>
                <w:kern w:val="0"/>
                <w:sz w:val="21"/>
                <w:szCs w:val="21"/>
                <w:u w:val="none"/>
                <w:lang w:val="en-US" w:eastAsia="zh-CN" w:bidi="ar"/>
              </w:rPr>
              <w:t>29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5月初</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2020年3月15日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柴油加氢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奥星石化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2020年6月23日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2020年7月初</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2020年7月30日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计划2020年9月份</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后期装置拆除</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后期装置拆除</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2020年8月12日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2020年9月13日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中海东营石化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2020年9月3日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2020年10月5日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齐成石化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2020年10月23日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2020年10月26日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0"/>
                <w:szCs w:val="20"/>
                <w:u w:val="none"/>
                <w:lang w:val="en-US" w:eastAsia="zh-CN" w:bidi="ar"/>
              </w:rPr>
              <w:t>计划2020年11月中旬</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岚桥石化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2020年10月31日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计划2020年11月12日</w:t>
            </w:r>
          </w:p>
        </w:tc>
      </w:tr>
    </w:tbl>
    <w:p>
      <w:pPr>
        <w:numPr>
          <w:ilvl w:val="0"/>
          <w:numId w:val="0"/>
        </w:numPr>
        <w:jc w:val="center"/>
        <w:rPr>
          <w:rFonts w:hint="eastAsia" w:ascii="宋体" w:hAnsi="宋体"/>
          <w:sz w:val="28"/>
          <w:szCs w:val="28"/>
          <w:highlight w:val="none"/>
        </w:rPr>
      </w:pPr>
    </w:p>
    <w:p>
      <w:pPr>
        <w:rPr>
          <w:rFonts w:hint="eastAsia"/>
        </w:rPr>
      </w:pPr>
    </w:p>
    <w:p>
      <w:pPr>
        <w:pStyle w:val="3"/>
        <w:spacing w:before="120" w:after="120" w:line="240" w:lineRule="auto"/>
        <w:rPr>
          <w:rFonts w:hint="eastAsia" w:ascii="宋体" w:hAnsi="宋体"/>
          <w:b/>
          <w:sz w:val="30"/>
          <w:szCs w:val="30"/>
          <w:highlight w:val="none"/>
        </w:rPr>
      </w:pPr>
      <w:bookmarkStart w:id="11" w:name="_Toc22131"/>
      <w:r>
        <w:rPr>
          <w:rFonts w:hint="eastAsia" w:ascii="宋体" w:hAnsi="宋体"/>
          <w:b/>
          <w:sz w:val="30"/>
          <w:szCs w:val="30"/>
          <w:highlight w:val="none"/>
        </w:rPr>
        <w:t>3.2本周成品油市场行情</w:t>
      </w:r>
      <w:bookmarkEnd w:id="11"/>
    </w:p>
    <w:p>
      <w:pPr>
        <w:rPr>
          <w:rFonts w:hint="eastAsia"/>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华南地区成品油市场价格涨后僵持盘整为主。周内国际原油震荡上行，对国内成品油市场利好支撑。华南地区主营单位继续保利润为主，汽柴价格高位坚挺，但近期中间商采购成本居高不下，操作积极性不高，终端仍消库为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汽油方面，华南地区汽油市场价格涨后高位盘整。本周汽油均价为6176元/吨，较上周上涨3.06%。周内华南地区主营单位依旧保利润为主，汽油市场高位盘整。目前北方汽油船单下海价格高位，中间商操作积极性不高。据悉，周内主营汽油外采送到价在5600元/吨附近，与当前市场基本相符。截止周四，广东主营92#汽油价格主流在5850-5900元/吨，福建主营92#汽油价格主流在5750-5950元/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柴油方面，华南地区柴油市场涨后盘稳为主。本周柴油均价为5770元/吨，较上周上涨2.76%。周内，华南地区柴油市场交投转淡，近期区内虽有赶工期支撑，但业者预期后续柴油需求将会逐渐转淡，囤货积极性不高。并且近期主营单位挺市意向明显，柴油价格居高不下，中间商操盘积极性不高。截止周四，广东主营0#柴油价格主流在5250-5400元/吨，福建主营0#柴油价格主流在5350-5500元/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国际油价震荡上行，对西南汽柴油市场价格呈利好指引。汽油方面，本周主营均价6173元/吨，环比上涨103元/吨，涨幅1.70%。本周汽油价格继续上涨，但是涨幅已明显低于上周，价格高位，上行动力有限，但元旦将至，汽油需求支撑强劲，且主营保利为主，挺价意愿强硬，汽油价格稳中上涨。价格高位贸易商观望态度更加浓厚，下游市场接货意愿较低，出货一般。柴油方面，本周均价5762元/吨，环比上周上涨53元/吨，涨幅0.93%。临近年关，部分基建工程项目仍在赶工，但也有部分工程受天气及年底结算的原因陆续停工，柴油需求有稳中下滑趋势。</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山东市场汽油、柴油价格均先跌后反弹，波动区间不大。上周末至本周初，由于下游补货刚结束，且汽柴油价格高位，尚未达到客户心理价位，炼厂销量清淡，导致价格下跌。周三之后，由于原油反弹，下游观望情绪减弱，中下游采购量回升，炼厂顺势推涨。截至12月17日，山东地炼-10#车柴价格4909元/吨，环比上周下跌0.75%;92#汽油价格5541元/吨，环比下跌0.68%。</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华东主营汽油批发价格延续小涨态势，柴油价格趋稳。周内，欧美多国陆续开始接种首批疫苗，美联储大概率将强化宽松政策、美元走低，国际油价继续上涨。但多国因疫情封锁而抑制了涨幅。故近日华东各主营单位延续挺价心态，周内，华东市场92#汽油成交重心调整至5500-5750元/吨左右，较上周上涨50元/吨;柴油成交重心调整至5050-5350元/吨附近，较上周持平。目前随着国内气温降低，居民私家车出行较多，汽油需求表现较为平稳，且即将迎来元旦、春节假期支撑，汽油价格短期内或存上行空间;冬季基建工程、工矿等终端用油行业开工负荷降低，柴油需求逐步转淡，下游接货心态谨慎，整体成交趋淡。</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东北地炼汽柴价格走势呈现汽稳柴跌现象。目前柴油含税均价5016元/吨，较上周下跌25元/吨，区内柴油资源仍旧充裕，目前主流炼厂陆运车提销量较上周下跌12%;目前柴油市场在经历过前期的大涨后，价位偏高，业者入市操作开始谨慎，观望情绪较浓，另外个别主流炼厂周内开始出-20#柴油，多流向内蒙兴安盟、锡林郭勒等地区，抑制-35#柴油需求，加之东北气候逐渐变冷，工况、基建开工下降，故周内柴油需求整体下滑;汽油含税均价5592元/吨，较上周持稳，目前东北地区气温下降，黑龙江地区接近零下40度，居民出行活跃度下降，目前主流炼厂陆运车提销量较上周下跌3%，需求情况难言乐观。</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后市预测：原油近期持续高位震荡，消息面存有一定利好支撑，加之新一轮成品油零售调价迎来上调预期，市场较为看好汽油后市，故预计汽油价格有进一步上涨可能;柴油目前价格已推至高位，东北地区当下柴油基本面状况，多已不足支撑价格继续上涨，预计下周柴油市场多持稳为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bookmarkStart w:id="22" w:name="_GoBack"/>
      <w:bookmarkEnd w:id="22"/>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3"/>
        <w:spacing w:before="120" w:after="120" w:line="240" w:lineRule="auto"/>
        <w:rPr>
          <w:rFonts w:ascii="宋体" w:hAnsi="宋体"/>
          <w:b/>
          <w:sz w:val="30"/>
          <w:szCs w:val="30"/>
        </w:rPr>
      </w:pPr>
      <w:bookmarkStart w:id="12" w:name="_Toc13353"/>
      <w:r>
        <w:rPr>
          <w:rFonts w:hint="eastAsia" w:ascii="宋体" w:hAnsi="宋体"/>
          <w:b/>
          <w:sz w:val="30"/>
          <w:szCs w:val="30"/>
        </w:rPr>
        <w:t>3.3 国内汽油价格周报</w:t>
      </w:r>
      <w:bookmarkEnd w:id="12"/>
    </w:p>
    <w:p>
      <w:pPr>
        <w:rPr>
          <w:rFonts w:hint="eastAsia"/>
        </w:rPr>
      </w:pPr>
      <w:r>
        <w:rPr>
          <w:rFonts w:hint="eastAsia"/>
        </w:rPr>
        <w:t>单位：元/吨</w:t>
      </w:r>
    </w:p>
    <w:p>
      <w:pPr>
        <w:rPr>
          <w:rFonts w:hint="eastAsia"/>
        </w:rPr>
      </w:pPr>
    </w:p>
    <w:p>
      <w:pPr>
        <w:rPr>
          <w:rFonts w:hint="eastAsia"/>
        </w:rPr>
      </w:pPr>
    </w:p>
    <w:tbl>
      <w:tblPr>
        <w:tblW w:w="10980" w:type="dxa"/>
        <w:tblInd w:w="0" w:type="dxa"/>
        <w:shd w:val="clear"/>
        <w:tblLayout w:type="autofit"/>
        <w:tblCellMar>
          <w:top w:w="0" w:type="dxa"/>
          <w:left w:w="0" w:type="dxa"/>
          <w:bottom w:w="0" w:type="dxa"/>
          <w:right w:w="0" w:type="dxa"/>
        </w:tblCellMar>
      </w:tblPr>
      <w:tblGrid>
        <w:gridCol w:w="1260"/>
        <w:gridCol w:w="1260"/>
        <w:gridCol w:w="1260"/>
        <w:gridCol w:w="1260"/>
        <w:gridCol w:w="1260"/>
        <w:gridCol w:w="1080"/>
        <w:gridCol w:w="1080"/>
        <w:gridCol w:w="1260"/>
        <w:gridCol w:w="1260"/>
      </w:tblGrid>
      <w:tr>
        <w:tblPrEx>
          <w:shd w:val="clear"/>
          <w:tblCellMar>
            <w:top w:w="0" w:type="dxa"/>
            <w:left w:w="0" w:type="dxa"/>
            <w:bottom w:w="0" w:type="dxa"/>
            <w:right w:w="0" w:type="dxa"/>
          </w:tblCellMar>
        </w:tblPrEx>
        <w:trPr>
          <w:trHeight w:val="2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2020/12/17</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2020/12/10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6120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5880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6080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5930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5930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6130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6130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5870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5870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5790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5790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6180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6180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5980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5980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5930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6279</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5990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5990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任丘市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5790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5790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6130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6130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6375</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6375</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枣庄市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5830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5830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28209"/>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W w:w="13200" w:type="dxa"/>
        <w:tblInd w:w="0" w:type="dxa"/>
        <w:shd w:val="clear"/>
        <w:tblLayout w:type="autofit"/>
        <w:tblCellMar>
          <w:top w:w="0" w:type="dxa"/>
          <w:left w:w="0" w:type="dxa"/>
          <w:bottom w:w="0" w:type="dxa"/>
          <w:right w:w="0" w:type="dxa"/>
        </w:tblCellMar>
      </w:tblPr>
      <w:tblGrid>
        <w:gridCol w:w="1515"/>
        <w:gridCol w:w="1515"/>
        <w:gridCol w:w="1515"/>
        <w:gridCol w:w="1515"/>
        <w:gridCol w:w="1515"/>
        <w:gridCol w:w="1080"/>
        <w:gridCol w:w="1515"/>
        <w:gridCol w:w="1515"/>
        <w:gridCol w:w="1515"/>
      </w:tblGrid>
      <w:tr>
        <w:tblPrEx>
          <w:shd w:val="clear"/>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2020/12/17</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2020/12/10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5380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5280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5380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5295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5295</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5960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5960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商丘市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5520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商丘市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5720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5530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5720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5570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5330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5270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舟山市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5770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5770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5770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5555</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任丘市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5295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5295</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4" w:name="_Toc10254"/>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p>
      <w:pPr>
        <w:rPr>
          <w:rFonts w:hint="eastAsia"/>
          <w:lang w:val="en-US" w:eastAsia="zh-CN"/>
        </w:rPr>
      </w:pPr>
    </w:p>
    <w:tbl>
      <w:tblPr>
        <w:tblW w:w="10560" w:type="dxa"/>
        <w:tblInd w:w="0" w:type="dxa"/>
        <w:shd w:val="clear"/>
        <w:tblLayout w:type="autofit"/>
        <w:tblCellMar>
          <w:top w:w="0" w:type="dxa"/>
          <w:left w:w="0" w:type="dxa"/>
          <w:bottom w:w="0" w:type="dxa"/>
          <w:right w:w="0" w:type="dxa"/>
        </w:tblCellMar>
      </w:tblPr>
      <w:tblGrid>
        <w:gridCol w:w="1410"/>
        <w:gridCol w:w="1410"/>
        <w:gridCol w:w="1410"/>
        <w:gridCol w:w="1410"/>
        <w:gridCol w:w="1065"/>
        <w:gridCol w:w="1035"/>
        <w:gridCol w:w="1410"/>
        <w:gridCol w:w="1410"/>
      </w:tblGrid>
      <w:tr>
        <w:tblPrEx>
          <w:shd w:val="clear"/>
          <w:tblCellMar>
            <w:top w:w="0" w:type="dxa"/>
            <w:left w:w="0" w:type="dxa"/>
            <w:bottom w:w="0" w:type="dxa"/>
            <w:right w:w="0" w:type="dxa"/>
          </w:tblCellMar>
        </w:tblPrEx>
        <w:trPr>
          <w:trHeight w:val="42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3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2020/12/17</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2020/12/10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垦利石化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5380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5460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5790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5930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5870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5805</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5955</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海科瑞林</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5520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5749</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5884</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5974</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6056</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6131</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东方华龙</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东方华龙</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6260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金诚石化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5910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金诚石化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5820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5960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5870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5730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5570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6140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国四90#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国四93#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亚通石化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济南天蓝石油</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济南天蓝石油</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清源石化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清源石化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榆林炼厂铁路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西安临潼公路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西安临潼铁路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5890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24140"/>
      <w:r>
        <w:rPr>
          <w:rFonts w:hint="eastAsia" w:ascii="宋体" w:hAnsi="宋体"/>
          <w:b/>
          <w:sz w:val="30"/>
          <w:szCs w:val="30"/>
          <w:lang w:val="en-US" w:eastAsia="zh-CN"/>
        </w:rPr>
        <w:t>3.6 山东地炼柴油出厂价格周报</w:t>
      </w:r>
      <w:bookmarkEnd w:id="15"/>
    </w:p>
    <w:p>
      <w:pPr>
        <w:rPr>
          <w:rFonts w:hint="eastAsia" w:ascii="宋体" w:hAnsi="宋体"/>
          <w:b/>
          <w:sz w:val="10"/>
          <w:szCs w:val="10"/>
          <w:lang w:val="en-US" w:eastAsia="zh-CN"/>
        </w:rPr>
      </w:pPr>
      <w:r>
        <w:rPr>
          <w:rFonts w:hint="eastAsia"/>
          <w:bCs/>
          <w:szCs w:val="21"/>
          <w:lang w:val="en-US" w:eastAsia="zh-CN"/>
        </w:rPr>
        <w:t>单位：元/吨</w:t>
      </w:r>
    </w:p>
    <w:p>
      <w:pPr>
        <w:rPr>
          <w:rFonts w:hint="eastAsia"/>
          <w:lang w:val="en-US" w:eastAsia="zh-CN"/>
        </w:rPr>
      </w:pPr>
    </w:p>
    <w:p>
      <w:pPr>
        <w:rPr>
          <w:rFonts w:hint="eastAsia"/>
          <w:lang w:val="en-US" w:eastAsia="zh-CN"/>
        </w:rPr>
      </w:pPr>
    </w:p>
    <w:tbl>
      <w:tblPr>
        <w:tblW w:w="9630" w:type="dxa"/>
        <w:tblInd w:w="0" w:type="dxa"/>
        <w:shd w:val="clear"/>
        <w:tblLayout w:type="autofit"/>
        <w:tblCellMar>
          <w:top w:w="0" w:type="dxa"/>
          <w:left w:w="0" w:type="dxa"/>
          <w:bottom w:w="0" w:type="dxa"/>
          <w:right w:w="0" w:type="dxa"/>
        </w:tblCellMar>
      </w:tblPr>
      <w:tblGrid>
        <w:gridCol w:w="675"/>
        <w:gridCol w:w="1875"/>
        <w:gridCol w:w="1080"/>
        <w:gridCol w:w="1080"/>
        <w:gridCol w:w="1080"/>
        <w:gridCol w:w="1080"/>
        <w:gridCol w:w="1380"/>
        <w:gridCol w:w="1380"/>
      </w:tblGrid>
      <w:tr>
        <w:tblPrEx>
          <w:shd w:val="clear"/>
          <w:tblCellMar>
            <w:top w:w="0" w:type="dxa"/>
            <w:left w:w="0" w:type="dxa"/>
            <w:bottom w:w="0" w:type="dxa"/>
            <w:right w:w="0"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16" w:name="_Toc32000"/>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2020/12/17</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2020/12/10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w:t>
            </w:r>
            <w:r>
              <w:rPr>
                <w:rFonts w:hint="eastAsia" w:ascii="宋体" w:hAnsi="宋体" w:eastAsia="宋体" w:cs="宋体"/>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w:t>
            </w:r>
            <w:r>
              <w:rPr>
                <w:rFonts w:hint="eastAsia" w:ascii="宋体" w:hAnsi="宋体" w:eastAsia="宋体" w:cs="宋体"/>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4955</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4955</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5140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5140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5120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4810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4810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4930</w:t>
            </w:r>
          </w:p>
        </w:tc>
      </w:tr>
    </w:tbl>
    <w:p>
      <w:pPr>
        <w:pStyle w:val="3"/>
        <w:spacing w:before="120" w:after="120" w:line="240" w:lineRule="auto"/>
        <w:rPr>
          <w:rFonts w:hint="eastAsia" w:ascii="宋体" w:hAnsi="宋体"/>
          <w:b/>
          <w:sz w:val="30"/>
          <w:szCs w:val="30"/>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四、2020年10月份进出口统计数据</w:t>
      </w:r>
      <w:bookmarkEnd w:id="16"/>
    </w:p>
    <w:p>
      <w:pPr>
        <w:rPr>
          <w:rFonts w:hint="eastAsia"/>
        </w:rPr>
      </w:pPr>
    </w:p>
    <w:p>
      <w:pPr>
        <w:pStyle w:val="3"/>
        <w:spacing w:before="120" w:after="120" w:line="240" w:lineRule="auto"/>
        <w:rPr>
          <w:rFonts w:hint="eastAsia" w:ascii="宋体" w:hAnsi="宋体"/>
          <w:b/>
          <w:sz w:val="30"/>
          <w:szCs w:val="30"/>
        </w:rPr>
      </w:pPr>
      <w:bookmarkStart w:id="17" w:name="_Toc21966"/>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10</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rPr>
      </w:pPr>
    </w:p>
    <w:tbl>
      <w:tblPr>
        <w:tblStyle w:val="24"/>
        <w:tblW w:w="9719" w:type="dxa"/>
        <w:tblInd w:w="0" w:type="dxa"/>
        <w:shd w:val="clear" w:color="auto" w:fill="auto"/>
        <w:tblLayout w:type="autofit"/>
        <w:tblCellMar>
          <w:top w:w="0" w:type="dxa"/>
          <w:left w:w="0" w:type="dxa"/>
          <w:bottom w:w="0" w:type="dxa"/>
          <w:right w:w="0" w:type="dxa"/>
        </w:tblCellMar>
      </w:tblPr>
      <w:tblGrid>
        <w:gridCol w:w="2163"/>
        <w:gridCol w:w="2100"/>
        <w:gridCol w:w="2006"/>
        <w:gridCol w:w="3450"/>
      </w:tblGrid>
      <w:tr>
        <w:tblPrEx>
          <w:shd w:val="clear" w:color="auto" w:fill="auto"/>
          <w:tblCellMar>
            <w:top w:w="0" w:type="dxa"/>
            <w:left w:w="0" w:type="dxa"/>
            <w:bottom w:w="0" w:type="dxa"/>
            <w:right w:w="0" w:type="dxa"/>
          </w:tblCellMar>
        </w:tblPrEx>
        <w:trPr>
          <w:trHeight w:val="765" w:hRule="atLeast"/>
        </w:trPr>
        <w:tc>
          <w:tcPr>
            <w:tcW w:w="2163"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出口目的地</w:t>
            </w:r>
          </w:p>
        </w:tc>
        <w:tc>
          <w:tcPr>
            <w:tcW w:w="2100"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数量</w:t>
            </w:r>
          </w:p>
        </w:tc>
        <w:tc>
          <w:tcPr>
            <w:tcW w:w="2006"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单位</w:t>
            </w:r>
          </w:p>
        </w:tc>
        <w:tc>
          <w:tcPr>
            <w:tcW w:w="3450"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出口金额美元</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巴基斯坦</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153145.4</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57062371</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菲律宾</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252346</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94544052</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韩国</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29249.6</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11747499</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马来西亚</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221023.3</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79680134</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蒙古</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5618.5</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2292804</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缅甸</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5275.8</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1898953</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墨西哥</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105808.2</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40117311</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尼日利亚</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73000</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16780000</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新加坡</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1032679.6</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386511676</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越南</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23332</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11594580</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中国澳门</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4286.239</w:t>
            </w:r>
          </w:p>
        </w:tc>
        <w:tc>
          <w:tcPr>
            <w:tcW w:w="2006"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1200147</w:t>
            </w:r>
          </w:p>
        </w:tc>
      </w:tr>
    </w:tbl>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p>
      <w:pPr>
        <w:rPr>
          <w:rFonts w:hint="eastAsia"/>
        </w:rPr>
      </w:pPr>
    </w:p>
    <w:p>
      <w:pPr>
        <w:pStyle w:val="3"/>
        <w:spacing w:before="120" w:after="120" w:line="240" w:lineRule="auto"/>
        <w:rPr>
          <w:rFonts w:hint="eastAsia" w:ascii="宋体" w:hAnsi="宋体"/>
          <w:b/>
          <w:sz w:val="30"/>
          <w:szCs w:val="30"/>
        </w:rPr>
      </w:pPr>
      <w:bookmarkStart w:id="18" w:name="_Toc277"/>
      <w:r>
        <w:rPr>
          <w:rFonts w:hint="eastAsia" w:ascii="宋体" w:hAnsi="宋体"/>
          <w:b/>
          <w:sz w:val="30"/>
          <w:szCs w:val="30"/>
        </w:rPr>
        <w:t>4.2 20</w:t>
      </w:r>
      <w:r>
        <w:rPr>
          <w:rFonts w:hint="eastAsia" w:ascii="宋体" w:hAnsi="宋体"/>
          <w:b/>
          <w:sz w:val="30"/>
          <w:szCs w:val="30"/>
          <w:lang w:val="en-US" w:eastAsia="zh-CN"/>
        </w:rPr>
        <w:t>20</w:t>
      </w:r>
      <w:r>
        <w:rPr>
          <w:rFonts w:hint="eastAsia" w:ascii="宋体" w:hAnsi="宋体"/>
          <w:b/>
          <w:sz w:val="30"/>
          <w:szCs w:val="30"/>
        </w:rPr>
        <w:t>年1</w:t>
      </w:r>
      <w:r>
        <w:rPr>
          <w:rFonts w:hint="eastAsia" w:ascii="宋体" w:hAnsi="宋体"/>
          <w:b/>
          <w:sz w:val="30"/>
          <w:szCs w:val="30"/>
          <w:lang w:val="en-US" w:eastAsia="zh-CN"/>
        </w:rPr>
        <w:t>0</w:t>
      </w:r>
      <w:r>
        <w:rPr>
          <w:rFonts w:hint="eastAsia" w:ascii="宋体" w:hAnsi="宋体"/>
          <w:b/>
          <w:sz w:val="30"/>
          <w:szCs w:val="30"/>
        </w:rPr>
        <w:t>月份全国柴油出口统计数据</w:t>
      </w:r>
      <w:bookmarkEnd w:id="1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10245" w:type="dxa"/>
        <w:tblInd w:w="0" w:type="dxa"/>
        <w:shd w:val="clear" w:color="auto" w:fill="auto"/>
        <w:tblLayout w:type="autofit"/>
        <w:tblCellMar>
          <w:top w:w="0" w:type="dxa"/>
          <w:left w:w="0" w:type="dxa"/>
          <w:bottom w:w="0" w:type="dxa"/>
          <w:right w:w="0" w:type="dxa"/>
        </w:tblCellMar>
      </w:tblPr>
      <w:tblGrid>
        <w:gridCol w:w="2195"/>
        <w:gridCol w:w="2168"/>
        <w:gridCol w:w="1964"/>
        <w:gridCol w:w="1882"/>
        <w:gridCol w:w="2036"/>
      </w:tblGrid>
      <w:tr>
        <w:tblPrEx>
          <w:shd w:val="clear" w:color="auto" w:fill="auto"/>
          <w:tblCellMar>
            <w:top w:w="0" w:type="dxa"/>
            <w:left w:w="0" w:type="dxa"/>
            <w:bottom w:w="0" w:type="dxa"/>
            <w:right w:w="0" w:type="dxa"/>
          </w:tblCellMar>
        </w:tblPrEx>
        <w:trPr>
          <w:trHeight w:val="510" w:hRule="atLeast"/>
        </w:trPr>
        <w:tc>
          <w:tcPr>
            <w:tcW w:w="219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bookmarkStart w:id="19" w:name="_Toc533771879"/>
            <w:r>
              <w:rPr>
                <w:rFonts w:hint="eastAsia" w:asciiTheme="minorEastAsia" w:hAnsiTheme="minorEastAsia" w:eastAsiaTheme="minorEastAsia" w:cstheme="minorEastAsia"/>
                <w:i w:val="0"/>
                <w:color w:val="000000"/>
                <w:kern w:val="0"/>
                <w:sz w:val="22"/>
                <w:szCs w:val="22"/>
                <w:u w:val="none"/>
                <w:lang w:val="en-US" w:eastAsia="zh-CN" w:bidi="ar"/>
              </w:rPr>
              <w:t>贸易伙伴名称</w:t>
            </w:r>
          </w:p>
        </w:tc>
        <w:tc>
          <w:tcPr>
            <w:tcW w:w="2168"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数量（吨）</w:t>
            </w:r>
          </w:p>
        </w:tc>
        <w:tc>
          <w:tcPr>
            <w:tcW w:w="1964"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所占比率</w:t>
            </w:r>
          </w:p>
        </w:tc>
        <w:tc>
          <w:tcPr>
            <w:tcW w:w="1882"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当月金额（元）</w:t>
            </w:r>
          </w:p>
        </w:tc>
        <w:tc>
          <w:tcPr>
            <w:tcW w:w="2036"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当月均价（元</w:t>
            </w:r>
            <w:r>
              <w:rPr>
                <w:rFonts w:hint="default" w:asciiTheme="minorEastAsia" w:hAnsiTheme="minorEastAsia" w:eastAsiaTheme="minorEastAsia" w:cstheme="minorEastAsia"/>
                <w:i w:val="0"/>
                <w:color w:val="000000"/>
                <w:kern w:val="0"/>
                <w:sz w:val="22"/>
                <w:szCs w:val="22"/>
                <w:u w:val="none"/>
                <w:lang w:val="en-US" w:eastAsia="zh-CN" w:bidi="ar"/>
              </w:rPr>
              <w:t>/</w:t>
            </w:r>
            <w:r>
              <w:rPr>
                <w:rFonts w:hint="eastAsia" w:asciiTheme="minorEastAsia" w:hAnsiTheme="minorEastAsia" w:eastAsiaTheme="minorEastAsia" w:cstheme="minorEastAsia"/>
                <w:i w:val="0"/>
                <w:color w:val="000000"/>
                <w:kern w:val="0"/>
                <w:sz w:val="22"/>
                <w:szCs w:val="22"/>
                <w:u w:val="none"/>
                <w:lang w:val="en-US" w:eastAsia="zh-CN" w:bidi="ar"/>
              </w:rPr>
              <w:t>吨）</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阿曼</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54.98</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159376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2898.8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安提瓜和巴布达</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329.8</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887152</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2689.97</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澳大利亚</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415944.11</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912629361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2194.12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巴巴多斯</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79.1</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295444</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3735.07</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巴哈马</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1363.48</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3708143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2719.61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巴拿马</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18100.82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49084195</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2711.71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伯利兹</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271.93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785572</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2888.84</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丹麦</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342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1435720</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4198.01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德国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119.5</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338889</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2835.89</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俄罗斯联邦</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7011.71</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16750271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2388.9</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法国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1214.1</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3740758</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3081.1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菲律宾</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375212.13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17%</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846686227</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2256.55</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韩国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19494.59</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47774799</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2450.67</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荷兰</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128</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357816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2795.44</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基里巴斯</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123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343587</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2793.39</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加纳</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41548.62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90693726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2182.83</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开曼群岛</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227.5</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650137</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2857.75</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克罗地亚</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80</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240656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3008.2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利比里亚</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5839.06</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16580576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2839.6</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马耳他</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3166.83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8917385</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2815.87</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马来西亚</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218997.74</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504726153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2304.71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马绍尔群岛</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4315.49</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12357568</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2863.54</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美国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41396.16</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91007721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2198.46</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蒙古</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698.93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1656320</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2369.8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孟加拉国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100762.77</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245910154</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2440.49</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缅甸</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9757.7</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23651881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2423.92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挪威</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533.9</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1460791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2736.08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帕劳</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49.3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148383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3009.8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葡萄牙</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190</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596182</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3137.8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日本</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299.3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809404</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2704.32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塞拉利昂</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268.56</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790766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2944.48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塞浦路斯</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718.3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2063010</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2872.07</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圣其茨和尼维斯</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100</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359473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3594.73</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斯威士兰</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84385</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2812.83</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泰国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92.92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261546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2814.74</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图瓦卢</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181.64</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524958</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2890.16</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土耳其</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63.5</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169098</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2662.96</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瓦努阿图</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950</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3723042</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3918.99</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希腊</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1192.3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3381604</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2836.2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新加坡</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508793.95</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1180224543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2319.65</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意大利</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98.1</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271415</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2766.72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印度尼西亚</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1135.72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3005336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2646.2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英国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1171.64</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3203637</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2734.31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越南</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10093.72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19224550</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1904.61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智利</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79123.24</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174413760</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2204.33</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中国澳门</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2177.26</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4134831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1899.1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中国台湾</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89.5</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241599</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2699.43</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中国香港</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298373.6</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14%</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658091383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2205.6</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合计</w:t>
            </w:r>
          </w:p>
        </w:tc>
        <w:tc>
          <w:tcPr>
            <w:tcW w:w="2168" w:type="dxa"/>
            <w:tcBorders>
              <w:top w:val="nil"/>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2172306.48</w:t>
            </w:r>
          </w:p>
        </w:tc>
        <w:tc>
          <w:tcPr>
            <w:tcW w:w="1964" w:type="dxa"/>
            <w:tcBorders>
              <w:top w:val="nil"/>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100%</w:t>
            </w:r>
          </w:p>
        </w:tc>
        <w:tc>
          <w:tcPr>
            <w:tcW w:w="1882" w:type="dxa"/>
            <w:tcBorders>
              <w:top w:val="nil"/>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4938553283</w:t>
            </w:r>
          </w:p>
        </w:tc>
        <w:tc>
          <w:tcPr>
            <w:tcW w:w="2036" w:type="dxa"/>
            <w:tcBorders>
              <w:top w:val="nil"/>
              <w:left w:val="nil"/>
              <w:bottom w:val="nil"/>
              <w:right w:val="nil"/>
            </w:tcBorders>
            <w:shd w:val="clear" w:color="auto" w:fill="00B0F0"/>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2273.41</w:t>
            </w:r>
          </w:p>
        </w:tc>
      </w:tr>
    </w:tbl>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bookmarkStart w:id="20" w:name="_Toc8413"/>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10</w:t>
      </w:r>
      <w:r>
        <w:rPr>
          <w:rFonts w:hint="eastAsia" w:ascii="宋体" w:hAnsi="宋体"/>
          <w:b/>
          <w:sz w:val="30"/>
          <w:szCs w:val="30"/>
        </w:rPr>
        <w:t>月份全国原油进出口统计数据</w:t>
      </w:r>
      <w:bookmarkEnd w:id="20"/>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keepNext w:val="0"/>
        <w:keepLines w:val="0"/>
        <w:widowControl/>
        <w:suppressLineNumbers w:val="0"/>
        <w:jc w:val="center"/>
        <w:textAlignment w:val="center"/>
        <w:rPr>
          <w:rFonts w:hint="eastAsia"/>
          <w:bCs/>
          <w:szCs w:val="21"/>
        </w:rPr>
      </w:pPr>
    </w:p>
    <w:tbl>
      <w:tblPr>
        <w:tblStyle w:val="24"/>
        <w:tblW w:w="5026" w:type="pct"/>
        <w:tblInd w:w="0" w:type="dxa"/>
        <w:tblLayout w:type="autofit"/>
        <w:tblCellMar>
          <w:top w:w="0" w:type="dxa"/>
          <w:left w:w="108" w:type="dxa"/>
          <w:bottom w:w="0" w:type="dxa"/>
          <w:right w:w="108" w:type="dxa"/>
        </w:tblCellMar>
      </w:tblPr>
      <w:tblGrid>
        <w:gridCol w:w="836"/>
        <w:gridCol w:w="751"/>
        <w:gridCol w:w="749"/>
        <w:gridCol w:w="767"/>
        <w:gridCol w:w="1449"/>
        <w:gridCol w:w="1649"/>
        <w:gridCol w:w="1060"/>
        <w:gridCol w:w="2644"/>
      </w:tblGrid>
      <w:tr>
        <w:tblPrEx>
          <w:tblCellMar>
            <w:top w:w="0" w:type="dxa"/>
            <w:left w:w="108" w:type="dxa"/>
            <w:bottom w:w="0" w:type="dxa"/>
            <w:right w:w="108" w:type="dxa"/>
          </w:tblCellMar>
        </w:tblPrEx>
        <w:trPr>
          <w:trHeight w:val="1230" w:hRule="atLeast"/>
        </w:trPr>
        <w:tc>
          <w:tcPr>
            <w:tcW w:w="422"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产品</w:t>
            </w:r>
          </w:p>
        </w:tc>
        <w:tc>
          <w:tcPr>
            <w:tcW w:w="379"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年度</w:t>
            </w:r>
          </w:p>
        </w:tc>
        <w:tc>
          <w:tcPr>
            <w:tcW w:w="378"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月份</w:t>
            </w:r>
          </w:p>
        </w:tc>
        <w:tc>
          <w:tcPr>
            <w:tcW w:w="386"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产销国</w:t>
            </w:r>
          </w:p>
        </w:tc>
        <w:tc>
          <w:tcPr>
            <w:tcW w:w="731"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进口数量/吨</w:t>
            </w:r>
          </w:p>
        </w:tc>
        <w:tc>
          <w:tcPr>
            <w:tcW w:w="832"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进口金额/美元</w:t>
            </w:r>
          </w:p>
        </w:tc>
        <w:tc>
          <w:tcPr>
            <w:tcW w:w="535"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出口数量/吨</w:t>
            </w:r>
          </w:p>
        </w:tc>
        <w:tc>
          <w:tcPr>
            <w:tcW w:w="1334"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出口金额/美元</w:t>
            </w:r>
          </w:p>
        </w:tc>
      </w:tr>
      <w:tr>
        <w:tblPrEx>
          <w:tblCellMar>
            <w:top w:w="0" w:type="dxa"/>
            <w:left w:w="108" w:type="dxa"/>
            <w:bottom w:w="0" w:type="dxa"/>
            <w:right w:w="108" w:type="dxa"/>
          </w:tblCellMar>
        </w:tblPrEx>
        <w:trPr>
          <w:trHeight w:val="420" w:hRule="atLeast"/>
        </w:trPr>
        <w:tc>
          <w:tcPr>
            <w:tcW w:w="422" w:type="pct"/>
            <w:vMerge w:val="restart"/>
            <w:tcBorders>
              <w:top w:val="single" w:color="000000" w:sz="8" w:space="0"/>
              <w:left w:val="single" w:color="auto" w:sz="8" w:space="0"/>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石油原油(包括从沥青矿物提取的原油)</w:t>
            </w: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阿联酋</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2823581.29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901379190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阿曼</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3115927.65</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1020238282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阿塞拜疆</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122612.78</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46824024</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埃及</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138396.24</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46550821</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安哥拉</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3524036.51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1087675910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巴西</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3240274.44</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997027252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赤道几内亚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90055.06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27550919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俄罗斯联邦</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6640388.33</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1983668345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厄瓜多尔</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875228.17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254264576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刚果(布)</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522890.67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157218555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刚果(金)</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124397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43538950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哥伦比亚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1119923.9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319176087</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圭亚那</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263700.51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76900180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哈萨克斯坦</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41547.37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10765494</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韩国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68719.6</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20717207</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加拿大</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81247.46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22864575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加纳</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377918.7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125993486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加蓬</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381020.02</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120852989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喀麦隆</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139118.95</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43167339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卡塔尔</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767483.6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249037018</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科威特</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2382011.96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754816350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马来西亚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705046.27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204146068</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美国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1625638.11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551498135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蒙古</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65333.74</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13840822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墨西哥</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89446.99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23849497</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南苏丹共和国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242796.32</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76451413</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尼日利亚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209156.1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73086228</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挪威</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1380141.05</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405398022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沙特阿拉伯</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5936830.97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1931475116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也门</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274826.96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84026586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伊拉克</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4613361.09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1412833532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伊朗</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263387.66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82543749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英国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25535.61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6944960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20"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越南</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222354.22</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73328445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20"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乍得</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132589.16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46304126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720" w:hRule="atLeast"/>
        </w:trPr>
        <w:tc>
          <w:tcPr>
            <w:tcW w:w="1566" w:type="pct"/>
            <w:gridSpan w:val="4"/>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2020年10月合计</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42558204.9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13275237041</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68719.6</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20717207</w:t>
            </w:r>
          </w:p>
        </w:tc>
      </w:tr>
    </w:tbl>
    <w:p>
      <w:pPr>
        <w:jc w:val="center"/>
        <w:rPr>
          <w:rFonts w:hint="eastAsia"/>
          <w:bCs/>
          <w:szCs w:val="21"/>
        </w:rPr>
      </w:pPr>
    </w:p>
    <w:p>
      <w:pPr>
        <w:pStyle w:val="3"/>
        <w:spacing w:before="120" w:after="120" w:line="240" w:lineRule="auto"/>
        <w:rPr>
          <w:rFonts w:hint="eastAsia" w:ascii="宋体" w:hAnsi="宋体"/>
          <w:b/>
          <w:sz w:val="30"/>
          <w:szCs w:val="30"/>
        </w:rPr>
      </w:pPr>
      <w:bookmarkStart w:id="21" w:name="_Toc21660"/>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10</w:t>
      </w:r>
      <w:r>
        <w:rPr>
          <w:rFonts w:hint="eastAsia" w:ascii="宋体" w:hAnsi="宋体"/>
          <w:b/>
          <w:sz w:val="30"/>
          <w:szCs w:val="30"/>
        </w:rPr>
        <w:t>月份航空煤油进出口统计数据</w:t>
      </w:r>
      <w:bookmarkEnd w:id="21"/>
    </w:p>
    <w:p>
      <w:pPr>
        <w:ind w:firstLine="420" w:firstLineChars="200"/>
        <w:jc w:val="left"/>
        <w:rPr>
          <w:rFonts w:hint="eastAsia" w:ascii="宋体" w:hAnsi="宋体"/>
          <w:b/>
          <w:sz w:val="30"/>
          <w:szCs w:val="30"/>
        </w:rPr>
      </w:pPr>
      <w:r>
        <w:rPr>
          <w:rFonts w:hint="eastAsia" w:ascii="宋体" w:hAnsi="宋体"/>
        </w:rPr>
        <w:t>单位：</w:t>
      </w:r>
      <w:r>
        <w:rPr>
          <w:rFonts w:hint="eastAsia" w:ascii="宋体" w:hAnsi="宋体"/>
          <w:lang w:eastAsia="zh-CN"/>
        </w:rPr>
        <w:t>吨</w:t>
      </w:r>
      <w:r>
        <w:rPr>
          <w:rFonts w:hint="eastAsia" w:ascii="宋体" w:hAnsi="宋体"/>
        </w:rPr>
        <w:t>，美元</w:t>
      </w:r>
    </w:p>
    <w:bookmarkEnd w:id="19"/>
    <w:tbl>
      <w:tblPr>
        <w:tblStyle w:val="24"/>
        <w:tblW w:w="9300" w:type="dxa"/>
        <w:tblInd w:w="0" w:type="dxa"/>
        <w:shd w:val="clear" w:color="auto" w:fill="auto"/>
        <w:tblLayout w:type="autofit"/>
        <w:tblCellMar>
          <w:top w:w="0" w:type="dxa"/>
          <w:left w:w="0" w:type="dxa"/>
          <w:bottom w:w="0" w:type="dxa"/>
          <w:right w:w="0" w:type="dxa"/>
        </w:tblCellMar>
      </w:tblPr>
      <w:tblGrid>
        <w:gridCol w:w="4704"/>
        <w:gridCol w:w="4596"/>
      </w:tblGrid>
      <w:tr>
        <w:tblPrEx>
          <w:shd w:val="clear" w:color="auto" w:fill="auto"/>
          <w:tblCellMar>
            <w:top w:w="0" w:type="dxa"/>
            <w:left w:w="0" w:type="dxa"/>
            <w:bottom w:w="0" w:type="dxa"/>
            <w:right w:w="0" w:type="dxa"/>
          </w:tblCellMar>
        </w:tblPrEx>
        <w:trPr>
          <w:trHeight w:val="300" w:hRule="atLeast"/>
        </w:trPr>
        <w:tc>
          <w:tcPr>
            <w:tcW w:w="4704"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进口</w:t>
            </w:r>
          </w:p>
        </w:tc>
        <w:tc>
          <w:tcPr>
            <w:tcW w:w="4596"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出口</w:t>
            </w:r>
          </w:p>
        </w:tc>
      </w:tr>
      <w:tr>
        <w:tblPrEx>
          <w:tblCellMar>
            <w:top w:w="0" w:type="dxa"/>
            <w:left w:w="0" w:type="dxa"/>
            <w:bottom w:w="0" w:type="dxa"/>
            <w:right w:w="0" w:type="dxa"/>
          </w:tblCellMar>
        </w:tblPrEx>
        <w:trPr>
          <w:trHeight w:val="585"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10月进口量:19788.26（吨）</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10月出口量:437274.25（吨）</w:t>
            </w:r>
          </w:p>
        </w:tc>
      </w:tr>
      <w:tr>
        <w:tblPrEx>
          <w:tblCellMar>
            <w:top w:w="0" w:type="dxa"/>
            <w:left w:w="0" w:type="dxa"/>
            <w:bottom w:w="0" w:type="dxa"/>
            <w:right w:w="0" w:type="dxa"/>
          </w:tblCellMar>
        </w:tblPrEx>
        <w:trPr>
          <w:trHeight w:val="585"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累计进口量:2130333.17 (吨）</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累计出口量:9080989.76（吨）</w:t>
            </w:r>
          </w:p>
        </w:tc>
      </w:tr>
      <w:tr>
        <w:tblPrEx>
          <w:tblCellMar>
            <w:top w:w="0" w:type="dxa"/>
            <w:left w:w="0" w:type="dxa"/>
            <w:bottom w:w="0" w:type="dxa"/>
            <w:right w:w="0" w:type="dxa"/>
          </w:tblCellMar>
        </w:tblPrEx>
        <w:trPr>
          <w:trHeight w:val="585"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当月进口均价:2090.1（元/吨）</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当月出口均价:</w:t>
            </w:r>
            <w:r>
              <w:rPr>
                <w:rFonts w:hint="eastAsia" w:ascii="宋体" w:hAnsi="宋体" w:eastAsia="宋体" w:cs="宋体"/>
                <w:i w:val="0"/>
                <w:color w:val="000000"/>
                <w:kern w:val="0"/>
                <w:sz w:val="22"/>
                <w:szCs w:val="22"/>
                <w:u w:val="none"/>
                <w:lang w:val="en-US" w:eastAsia="zh-CN" w:bidi="ar"/>
              </w:rPr>
              <w:t>2371.89</w:t>
            </w:r>
            <w:r>
              <w:rPr>
                <w:rFonts w:hint="eastAsia" w:ascii="宋体" w:hAnsi="宋体" w:eastAsia="宋体" w:cs="宋体"/>
                <w:i w:val="0"/>
                <w:color w:val="000000"/>
                <w:kern w:val="0"/>
                <w:sz w:val="24"/>
                <w:szCs w:val="24"/>
                <w:u w:val="none"/>
                <w:lang w:val="en-US" w:eastAsia="zh-CN" w:bidi="ar"/>
              </w:rPr>
              <w:t>（元/吨）</w:t>
            </w:r>
          </w:p>
        </w:tc>
      </w:tr>
      <w:tr>
        <w:tblPrEx>
          <w:tblCellMar>
            <w:top w:w="0" w:type="dxa"/>
            <w:left w:w="0" w:type="dxa"/>
            <w:bottom w:w="0" w:type="dxa"/>
            <w:right w:w="0" w:type="dxa"/>
          </w:tblCellMar>
        </w:tblPrEx>
        <w:trPr>
          <w:trHeight w:val="585"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累计进口均价：2544.99（元/吨）</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累计出口均价:</w:t>
            </w:r>
            <w:r>
              <w:rPr>
                <w:rFonts w:hint="eastAsia" w:ascii="宋体" w:hAnsi="宋体" w:eastAsia="宋体" w:cs="宋体"/>
                <w:i w:val="0"/>
                <w:color w:val="000000"/>
                <w:kern w:val="0"/>
                <w:sz w:val="22"/>
                <w:szCs w:val="22"/>
                <w:u w:val="none"/>
                <w:lang w:val="en-US" w:eastAsia="zh-CN" w:bidi="ar"/>
              </w:rPr>
              <w:t>2947.26</w:t>
            </w:r>
            <w:r>
              <w:rPr>
                <w:rFonts w:hint="eastAsia" w:ascii="宋体" w:hAnsi="宋体" w:eastAsia="宋体" w:cs="宋体"/>
                <w:i w:val="0"/>
                <w:color w:val="000000"/>
                <w:kern w:val="0"/>
                <w:sz w:val="24"/>
                <w:szCs w:val="24"/>
                <w:u w:val="none"/>
                <w:lang w:val="en-US" w:eastAsia="zh-CN" w:bidi="ar"/>
              </w:rPr>
              <w:t>（元/吨）</w:t>
            </w:r>
          </w:p>
        </w:tc>
      </w:tr>
      <w:tr>
        <w:tblPrEx>
          <w:tblCellMar>
            <w:top w:w="0" w:type="dxa"/>
            <w:left w:w="0" w:type="dxa"/>
            <w:bottom w:w="0" w:type="dxa"/>
            <w:right w:w="0" w:type="dxa"/>
          </w:tblCellMar>
        </w:tblPrEx>
        <w:trPr>
          <w:trHeight w:val="300"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进口量环比:-89.46%</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出口量环比：+68.85%</w:t>
            </w:r>
          </w:p>
        </w:tc>
      </w:tr>
      <w:tr>
        <w:tblPrEx>
          <w:tblCellMar>
            <w:top w:w="0" w:type="dxa"/>
            <w:left w:w="0" w:type="dxa"/>
            <w:bottom w:w="0" w:type="dxa"/>
            <w:right w:w="0" w:type="dxa"/>
          </w:tblCellMar>
        </w:tblPrEx>
        <w:trPr>
          <w:trHeight w:val="300"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进口量同比：-94.46%</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出口量同比：-72.23%</w:t>
            </w:r>
          </w:p>
        </w:tc>
      </w:tr>
      <w:tr>
        <w:tblPrEx>
          <w:tblCellMar>
            <w:top w:w="0" w:type="dxa"/>
            <w:left w:w="0" w:type="dxa"/>
            <w:bottom w:w="0" w:type="dxa"/>
            <w:right w:w="0" w:type="dxa"/>
          </w:tblCellMar>
        </w:tblPrEx>
        <w:trPr>
          <w:trHeight w:val="585"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累计进口量比去年同期：-22.68%</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累计出口量比去年同期：-35.51%</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DD852283"/>
    <w:multiLevelType w:val="singleLevel"/>
    <w:tmpl w:val="DD852283"/>
    <w:lvl w:ilvl="0" w:tentative="0">
      <w:start w:val="2"/>
      <w:numFmt w:val="chineseCounting"/>
      <w:suff w:val="nothing"/>
      <w:lvlText w:val="%1、"/>
      <w:lvlJc w:val="left"/>
      <w:rPr>
        <w:rFonts w:hint="eastAsia"/>
      </w:rPr>
    </w:lvl>
  </w:abstractNum>
  <w:abstractNum w:abstractNumId="2">
    <w:nsid w:val="4D211001"/>
    <w:multiLevelType w:val="singleLevel"/>
    <w:tmpl w:val="4D211001"/>
    <w:lvl w:ilvl="0" w:tentative="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533173"/>
    <w:rsid w:val="0174199B"/>
    <w:rsid w:val="018C042F"/>
    <w:rsid w:val="019139BB"/>
    <w:rsid w:val="01A95B6A"/>
    <w:rsid w:val="01BD1D63"/>
    <w:rsid w:val="01ED4894"/>
    <w:rsid w:val="01F27845"/>
    <w:rsid w:val="01FE2CFE"/>
    <w:rsid w:val="02353D60"/>
    <w:rsid w:val="02526173"/>
    <w:rsid w:val="029A6633"/>
    <w:rsid w:val="029F2908"/>
    <w:rsid w:val="02AC60AA"/>
    <w:rsid w:val="02B87E06"/>
    <w:rsid w:val="02CD4EB7"/>
    <w:rsid w:val="02D71373"/>
    <w:rsid w:val="02D85611"/>
    <w:rsid w:val="02E90170"/>
    <w:rsid w:val="02FE589D"/>
    <w:rsid w:val="031B1C80"/>
    <w:rsid w:val="03211A1D"/>
    <w:rsid w:val="0324523D"/>
    <w:rsid w:val="03331E75"/>
    <w:rsid w:val="034407FB"/>
    <w:rsid w:val="034F6246"/>
    <w:rsid w:val="03562125"/>
    <w:rsid w:val="035F2635"/>
    <w:rsid w:val="036D5E24"/>
    <w:rsid w:val="037413B6"/>
    <w:rsid w:val="03A57F11"/>
    <w:rsid w:val="03C968EE"/>
    <w:rsid w:val="040707FC"/>
    <w:rsid w:val="042972F1"/>
    <w:rsid w:val="044E5434"/>
    <w:rsid w:val="045E1E00"/>
    <w:rsid w:val="04684ED7"/>
    <w:rsid w:val="048101D3"/>
    <w:rsid w:val="048C7CAA"/>
    <w:rsid w:val="04987F00"/>
    <w:rsid w:val="04A45D71"/>
    <w:rsid w:val="04B04E89"/>
    <w:rsid w:val="04BF7371"/>
    <w:rsid w:val="04C829A7"/>
    <w:rsid w:val="04E22C17"/>
    <w:rsid w:val="04EE66C3"/>
    <w:rsid w:val="04F36106"/>
    <w:rsid w:val="04F4133B"/>
    <w:rsid w:val="05021B01"/>
    <w:rsid w:val="05292B71"/>
    <w:rsid w:val="052C0D66"/>
    <w:rsid w:val="05314FD7"/>
    <w:rsid w:val="0538191C"/>
    <w:rsid w:val="053B1A3D"/>
    <w:rsid w:val="05500555"/>
    <w:rsid w:val="0558720E"/>
    <w:rsid w:val="057F2A2A"/>
    <w:rsid w:val="05894C8A"/>
    <w:rsid w:val="05993019"/>
    <w:rsid w:val="05C01E8E"/>
    <w:rsid w:val="05D0127E"/>
    <w:rsid w:val="05D708A6"/>
    <w:rsid w:val="06002DF6"/>
    <w:rsid w:val="06153E6E"/>
    <w:rsid w:val="0618444D"/>
    <w:rsid w:val="06254A25"/>
    <w:rsid w:val="062A6CB4"/>
    <w:rsid w:val="06300679"/>
    <w:rsid w:val="063E0E8C"/>
    <w:rsid w:val="06471306"/>
    <w:rsid w:val="06762765"/>
    <w:rsid w:val="067746D4"/>
    <w:rsid w:val="067D4056"/>
    <w:rsid w:val="069C6A8D"/>
    <w:rsid w:val="069D265D"/>
    <w:rsid w:val="06B474E1"/>
    <w:rsid w:val="06B9287B"/>
    <w:rsid w:val="06DA3028"/>
    <w:rsid w:val="06E3294D"/>
    <w:rsid w:val="06F31CB3"/>
    <w:rsid w:val="06F93008"/>
    <w:rsid w:val="0718687A"/>
    <w:rsid w:val="071A60E7"/>
    <w:rsid w:val="07252677"/>
    <w:rsid w:val="07272AF3"/>
    <w:rsid w:val="076C6634"/>
    <w:rsid w:val="07820AB4"/>
    <w:rsid w:val="07906BB7"/>
    <w:rsid w:val="079B346A"/>
    <w:rsid w:val="07CC2D78"/>
    <w:rsid w:val="07CC4016"/>
    <w:rsid w:val="07D15C8A"/>
    <w:rsid w:val="07E05AA3"/>
    <w:rsid w:val="07E76A1F"/>
    <w:rsid w:val="07F17792"/>
    <w:rsid w:val="080158C0"/>
    <w:rsid w:val="0809715C"/>
    <w:rsid w:val="080A4814"/>
    <w:rsid w:val="0820276D"/>
    <w:rsid w:val="082F1BCD"/>
    <w:rsid w:val="08573B5A"/>
    <w:rsid w:val="086F6B65"/>
    <w:rsid w:val="08A4401C"/>
    <w:rsid w:val="08A55AD2"/>
    <w:rsid w:val="08CD17C0"/>
    <w:rsid w:val="0918731F"/>
    <w:rsid w:val="091D1431"/>
    <w:rsid w:val="09223CDC"/>
    <w:rsid w:val="09371EEF"/>
    <w:rsid w:val="093F6B95"/>
    <w:rsid w:val="09524755"/>
    <w:rsid w:val="095B63CA"/>
    <w:rsid w:val="09701692"/>
    <w:rsid w:val="09717916"/>
    <w:rsid w:val="09816B1A"/>
    <w:rsid w:val="098251C0"/>
    <w:rsid w:val="0984738F"/>
    <w:rsid w:val="09853CE2"/>
    <w:rsid w:val="098C4592"/>
    <w:rsid w:val="098C467A"/>
    <w:rsid w:val="09915D75"/>
    <w:rsid w:val="0996332C"/>
    <w:rsid w:val="09BE1AF4"/>
    <w:rsid w:val="09E0028A"/>
    <w:rsid w:val="09E31010"/>
    <w:rsid w:val="09ED009F"/>
    <w:rsid w:val="09F11ACB"/>
    <w:rsid w:val="09FB6243"/>
    <w:rsid w:val="0A047BEC"/>
    <w:rsid w:val="0A06506B"/>
    <w:rsid w:val="0A0A6618"/>
    <w:rsid w:val="0A207C84"/>
    <w:rsid w:val="0A29795D"/>
    <w:rsid w:val="0A2A7E86"/>
    <w:rsid w:val="0A2D68BE"/>
    <w:rsid w:val="0A3C22BA"/>
    <w:rsid w:val="0A3D34F3"/>
    <w:rsid w:val="0A3F54A5"/>
    <w:rsid w:val="0A557C07"/>
    <w:rsid w:val="0A5B4AF5"/>
    <w:rsid w:val="0A75433E"/>
    <w:rsid w:val="0A796F7C"/>
    <w:rsid w:val="0A7B7455"/>
    <w:rsid w:val="0AA33DAF"/>
    <w:rsid w:val="0AB608CB"/>
    <w:rsid w:val="0AC60296"/>
    <w:rsid w:val="0AD32487"/>
    <w:rsid w:val="0AD50553"/>
    <w:rsid w:val="0AE31AD5"/>
    <w:rsid w:val="0B017D09"/>
    <w:rsid w:val="0B0715B1"/>
    <w:rsid w:val="0B0F0B26"/>
    <w:rsid w:val="0B400CB2"/>
    <w:rsid w:val="0B421176"/>
    <w:rsid w:val="0B4B49C1"/>
    <w:rsid w:val="0B721C38"/>
    <w:rsid w:val="0B860805"/>
    <w:rsid w:val="0B945C54"/>
    <w:rsid w:val="0BB16187"/>
    <w:rsid w:val="0BCE6861"/>
    <w:rsid w:val="0BDC4FBC"/>
    <w:rsid w:val="0BDF0A5F"/>
    <w:rsid w:val="0C08318F"/>
    <w:rsid w:val="0C1E7ABD"/>
    <w:rsid w:val="0C2444B3"/>
    <w:rsid w:val="0C270CC3"/>
    <w:rsid w:val="0C3E0441"/>
    <w:rsid w:val="0C586B50"/>
    <w:rsid w:val="0C586E44"/>
    <w:rsid w:val="0C7F402D"/>
    <w:rsid w:val="0C822A19"/>
    <w:rsid w:val="0C930A24"/>
    <w:rsid w:val="0C9F5640"/>
    <w:rsid w:val="0CAA3B04"/>
    <w:rsid w:val="0CB81916"/>
    <w:rsid w:val="0CD123E3"/>
    <w:rsid w:val="0CE32FB8"/>
    <w:rsid w:val="0CE44838"/>
    <w:rsid w:val="0D206C21"/>
    <w:rsid w:val="0D731CA1"/>
    <w:rsid w:val="0D775B07"/>
    <w:rsid w:val="0D8323A4"/>
    <w:rsid w:val="0D893BAC"/>
    <w:rsid w:val="0D952410"/>
    <w:rsid w:val="0D9F3354"/>
    <w:rsid w:val="0DA370DA"/>
    <w:rsid w:val="0DA7099A"/>
    <w:rsid w:val="0DB01CE1"/>
    <w:rsid w:val="0DBA1705"/>
    <w:rsid w:val="0DC46B30"/>
    <w:rsid w:val="0DC9706D"/>
    <w:rsid w:val="0DD115AA"/>
    <w:rsid w:val="0DEA06F6"/>
    <w:rsid w:val="0E01030B"/>
    <w:rsid w:val="0E04318C"/>
    <w:rsid w:val="0E274301"/>
    <w:rsid w:val="0E31785B"/>
    <w:rsid w:val="0E357D47"/>
    <w:rsid w:val="0E5C0982"/>
    <w:rsid w:val="0E730195"/>
    <w:rsid w:val="0E803657"/>
    <w:rsid w:val="0E8B35C9"/>
    <w:rsid w:val="0E9742FB"/>
    <w:rsid w:val="0E9E354A"/>
    <w:rsid w:val="0EAF107B"/>
    <w:rsid w:val="0EB4347F"/>
    <w:rsid w:val="0EBE27AA"/>
    <w:rsid w:val="0EC1627E"/>
    <w:rsid w:val="0ED36950"/>
    <w:rsid w:val="0EED0FC5"/>
    <w:rsid w:val="0EF07619"/>
    <w:rsid w:val="0EF248CA"/>
    <w:rsid w:val="0EFB4176"/>
    <w:rsid w:val="0F034AA6"/>
    <w:rsid w:val="0F08360E"/>
    <w:rsid w:val="0F125E7D"/>
    <w:rsid w:val="0F1F0D30"/>
    <w:rsid w:val="0F26373F"/>
    <w:rsid w:val="0F446A41"/>
    <w:rsid w:val="0F4A18F4"/>
    <w:rsid w:val="0F5808CC"/>
    <w:rsid w:val="0F666559"/>
    <w:rsid w:val="0F6B3E79"/>
    <w:rsid w:val="0F790BDF"/>
    <w:rsid w:val="0F7D42FE"/>
    <w:rsid w:val="0F820E85"/>
    <w:rsid w:val="0F8A41FA"/>
    <w:rsid w:val="0F962DED"/>
    <w:rsid w:val="0F9B4E2A"/>
    <w:rsid w:val="0FA45D17"/>
    <w:rsid w:val="0FB045CC"/>
    <w:rsid w:val="0FC910AB"/>
    <w:rsid w:val="0FD23F99"/>
    <w:rsid w:val="0FE34C1B"/>
    <w:rsid w:val="0FE35E2C"/>
    <w:rsid w:val="0FEF79AA"/>
    <w:rsid w:val="101B677C"/>
    <w:rsid w:val="101C7D06"/>
    <w:rsid w:val="1024515A"/>
    <w:rsid w:val="1046198D"/>
    <w:rsid w:val="105F3A71"/>
    <w:rsid w:val="106D475B"/>
    <w:rsid w:val="108C4660"/>
    <w:rsid w:val="10BA0A0E"/>
    <w:rsid w:val="10CE39DE"/>
    <w:rsid w:val="10FA6B68"/>
    <w:rsid w:val="10FF5E5F"/>
    <w:rsid w:val="11190B98"/>
    <w:rsid w:val="11247901"/>
    <w:rsid w:val="11365062"/>
    <w:rsid w:val="11422692"/>
    <w:rsid w:val="11590029"/>
    <w:rsid w:val="117F7F48"/>
    <w:rsid w:val="11F843DE"/>
    <w:rsid w:val="1265739D"/>
    <w:rsid w:val="12662947"/>
    <w:rsid w:val="12BE2ADE"/>
    <w:rsid w:val="12D8263D"/>
    <w:rsid w:val="130B16E4"/>
    <w:rsid w:val="13267B35"/>
    <w:rsid w:val="134A6D86"/>
    <w:rsid w:val="13594CF7"/>
    <w:rsid w:val="135A728A"/>
    <w:rsid w:val="1367698A"/>
    <w:rsid w:val="13772D89"/>
    <w:rsid w:val="138744BB"/>
    <w:rsid w:val="13AA18EC"/>
    <w:rsid w:val="13B45FC3"/>
    <w:rsid w:val="13C924DB"/>
    <w:rsid w:val="13DB164D"/>
    <w:rsid w:val="13E7373B"/>
    <w:rsid w:val="13F712B9"/>
    <w:rsid w:val="13FE142E"/>
    <w:rsid w:val="14176463"/>
    <w:rsid w:val="144B6D3F"/>
    <w:rsid w:val="14546EAA"/>
    <w:rsid w:val="147759A4"/>
    <w:rsid w:val="147A75E5"/>
    <w:rsid w:val="149C7CF0"/>
    <w:rsid w:val="14BC21CE"/>
    <w:rsid w:val="14BE2339"/>
    <w:rsid w:val="14BF4DCE"/>
    <w:rsid w:val="14CD3607"/>
    <w:rsid w:val="14D14395"/>
    <w:rsid w:val="14D56BF6"/>
    <w:rsid w:val="14E36C24"/>
    <w:rsid w:val="14F32D76"/>
    <w:rsid w:val="14F5216B"/>
    <w:rsid w:val="14FE7778"/>
    <w:rsid w:val="15060A70"/>
    <w:rsid w:val="151B73F8"/>
    <w:rsid w:val="15211EFF"/>
    <w:rsid w:val="15353F74"/>
    <w:rsid w:val="154B5C10"/>
    <w:rsid w:val="154F205D"/>
    <w:rsid w:val="15615E0F"/>
    <w:rsid w:val="156D2843"/>
    <w:rsid w:val="15701AB8"/>
    <w:rsid w:val="15786279"/>
    <w:rsid w:val="15892652"/>
    <w:rsid w:val="159001BC"/>
    <w:rsid w:val="15B1437C"/>
    <w:rsid w:val="15B939D5"/>
    <w:rsid w:val="15D83B2E"/>
    <w:rsid w:val="15DD70EA"/>
    <w:rsid w:val="15E11AB3"/>
    <w:rsid w:val="15E25134"/>
    <w:rsid w:val="15E8785D"/>
    <w:rsid w:val="16113EF1"/>
    <w:rsid w:val="16116F4B"/>
    <w:rsid w:val="161D05B7"/>
    <w:rsid w:val="162E280E"/>
    <w:rsid w:val="164206BE"/>
    <w:rsid w:val="16446BD7"/>
    <w:rsid w:val="16600954"/>
    <w:rsid w:val="16734EEE"/>
    <w:rsid w:val="1691331C"/>
    <w:rsid w:val="16B0271F"/>
    <w:rsid w:val="16D82413"/>
    <w:rsid w:val="16E22B33"/>
    <w:rsid w:val="16EF1899"/>
    <w:rsid w:val="16F85570"/>
    <w:rsid w:val="16FA58EE"/>
    <w:rsid w:val="17116BE2"/>
    <w:rsid w:val="17194D7A"/>
    <w:rsid w:val="172078E9"/>
    <w:rsid w:val="172D12A6"/>
    <w:rsid w:val="173C1948"/>
    <w:rsid w:val="17464B66"/>
    <w:rsid w:val="175B5D81"/>
    <w:rsid w:val="17652D76"/>
    <w:rsid w:val="177742FF"/>
    <w:rsid w:val="177778D5"/>
    <w:rsid w:val="177C4324"/>
    <w:rsid w:val="179E41EC"/>
    <w:rsid w:val="17BD7A6D"/>
    <w:rsid w:val="17FE3268"/>
    <w:rsid w:val="182A5943"/>
    <w:rsid w:val="18704C74"/>
    <w:rsid w:val="187F1331"/>
    <w:rsid w:val="18AD026B"/>
    <w:rsid w:val="18CA2202"/>
    <w:rsid w:val="18CA4E8D"/>
    <w:rsid w:val="18FC46F8"/>
    <w:rsid w:val="191B1724"/>
    <w:rsid w:val="19254E9B"/>
    <w:rsid w:val="19383C89"/>
    <w:rsid w:val="194573ED"/>
    <w:rsid w:val="195D29F2"/>
    <w:rsid w:val="196465FF"/>
    <w:rsid w:val="196B6E10"/>
    <w:rsid w:val="198154A5"/>
    <w:rsid w:val="19850C75"/>
    <w:rsid w:val="19856830"/>
    <w:rsid w:val="198A3D94"/>
    <w:rsid w:val="198F27F8"/>
    <w:rsid w:val="199C5ECD"/>
    <w:rsid w:val="19B1121F"/>
    <w:rsid w:val="19E14ABD"/>
    <w:rsid w:val="19F07148"/>
    <w:rsid w:val="1A031971"/>
    <w:rsid w:val="1A051BC1"/>
    <w:rsid w:val="1A110D84"/>
    <w:rsid w:val="1A2B0F11"/>
    <w:rsid w:val="1A2C43DF"/>
    <w:rsid w:val="1A372CD4"/>
    <w:rsid w:val="1A555BDB"/>
    <w:rsid w:val="1A660755"/>
    <w:rsid w:val="1A703BC4"/>
    <w:rsid w:val="1A7262E8"/>
    <w:rsid w:val="1A882B3D"/>
    <w:rsid w:val="1A964171"/>
    <w:rsid w:val="1AB162F9"/>
    <w:rsid w:val="1ABE2D20"/>
    <w:rsid w:val="1ACC4B7F"/>
    <w:rsid w:val="1AD34CD1"/>
    <w:rsid w:val="1AD417D6"/>
    <w:rsid w:val="1AE72378"/>
    <w:rsid w:val="1AE7665A"/>
    <w:rsid w:val="1AF74A59"/>
    <w:rsid w:val="1B111CB0"/>
    <w:rsid w:val="1B393D9E"/>
    <w:rsid w:val="1B3F0566"/>
    <w:rsid w:val="1B743284"/>
    <w:rsid w:val="1B816F9A"/>
    <w:rsid w:val="1B8175D6"/>
    <w:rsid w:val="1B9C1B61"/>
    <w:rsid w:val="1BB46A20"/>
    <w:rsid w:val="1BBD6973"/>
    <w:rsid w:val="1BE24098"/>
    <w:rsid w:val="1BE81B85"/>
    <w:rsid w:val="1BFE2971"/>
    <w:rsid w:val="1C01336C"/>
    <w:rsid w:val="1C021382"/>
    <w:rsid w:val="1C081DD0"/>
    <w:rsid w:val="1C1669BA"/>
    <w:rsid w:val="1C1C3102"/>
    <w:rsid w:val="1C2230E8"/>
    <w:rsid w:val="1C2E2C8D"/>
    <w:rsid w:val="1C6C7614"/>
    <w:rsid w:val="1CB31F52"/>
    <w:rsid w:val="1CC609D9"/>
    <w:rsid w:val="1CDC7753"/>
    <w:rsid w:val="1CE6684D"/>
    <w:rsid w:val="1CEC4A0D"/>
    <w:rsid w:val="1D1712A0"/>
    <w:rsid w:val="1D2B7B9F"/>
    <w:rsid w:val="1D305274"/>
    <w:rsid w:val="1D3F5714"/>
    <w:rsid w:val="1D466011"/>
    <w:rsid w:val="1D487015"/>
    <w:rsid w:val="1D5133E5"/>
    <w:rsid w:val="1D547E28"/>
    <w:rsid w:val="1D5B57EE"/>
    <w:rsid w:val="1D606070"/>
    <w:rsid w:val="1D655DB6"/>
    <w:rsid w:val="1D980258"/>
    <w:rsid w:val="1D9C1F14"/>
    <w:rsid w:val="1DB113DA"/>
    <w:rsid w:val="1DFB4E0B"/>
    <w:rsid w:val="1E196DA1"/>
    <w:rsid w:val="1E2278F4"/>
    <w:rsid w:val="1E4062B7"/>
    <w:rsid w:val="1E450B99"/>
    <w:rsid w:val="1E5542CC"/>
    <w:rsid w:val="1E64791C"/>
    <w:rsid w:val="1E6D6ABE"/>
    <w:rsid w:val="1E755624"/>
    <w:rsid w:val="1E8C73FA"/>
    <w:rsid w:val="1E9E3D33"/>
    <w:rsid w:val="1EAA616E"/>
    <w:rsid w:val="1EB15364"/>
    <w:rsid w:val="1EB20356"/>
    <w:rsid w:val="1EBE2AB5"/>
    <w:rsid w:val="1EC81089"/>
    <w:rsid w:val="1EDD703F"/>
    <w:rsid w:val="1F092A2D"/>
    <w:rsid w:val="1F1162FE"/>
    <w:rsid w:val="1F1C0B32"/>
    <w:rsid w:val="1F352B32"/>
    <w:rsid w:val="1F4A096C"/>
    <w:rsid w:val="1F5A5945"/>
    <w:rsid w:val="1F6B3A34"/>
    <w:rsid w:val="1F751CBE"/>
    <w:rsid w:val="1F7D6B10"/>
    <w:rsid w:val="1F963D6D"/>
    <w:rsid w:val="1F98363F"/>
    <w:rsid w:val="1FA70F8C"/>
    <w:rsid w:val="1FBF488C"/>
    <w:rsid w:val="1FC55B54"/>
    <w:rsid w:val="1FCD7675"/>
    <w:rsid w:val="1FD377B1"/>
    <w:rsid w:val="1FDC18BC"/>
    <w:rsid w:val="1FEF77E1"/>
    <w:rsid w:val="1FFC155B"/>
    <w:rsid w:val="20010BD0"/>
    <w:rsid w:val="20137C9A"/>
    <w:rsid w:val="20261774"/>
    <w:rsid w:val="202A3AEF"/>
    <w:rsid w:val="203A4D2E"/>
    <w:rsid w:val="204030A0"/>
    <w:rsid w:val="205B78B2"/>
    <w:rsid w:val="205C4184"/>
    <w:rsid w:val="206558CE"/>
    <w:rsid w:val="206901B1"/>
    <w:rsid w:val="206B1575"/>
    <w:rsid w:val="2078018B"/>
    <w:rsid w:val="209323D8"/>
    <w:rsid w:val="20AD55FF"/>
    <w:rsid w:val="20C12FDC"/>
    <w:rsid w:val="20C55A62"/>
    <w:rsid w:val="20EA7590"/>
    <w:rsid w:val="211001E9"/>
    <w:rsid w:val="21147D43"/>
    <w:rsid w:val="2119067D"/>
    <w:rsid w:val="21216F1B"/>
    <w:rsid w:val="21320B64"/>
    <w:rsid w:val="21370E12"/>
    <w:rsid w:val="214F55E4"/>
    <w:rsid w:val="215A4604"/>
    <w:rsid w:val="217C7ED4"/>
    <w:rsid w:val="21862B07"/>
    <w:rsid w:val="218A1EF5"/>
    <w:rsid w:val="21973788"/>
    <w:rsid w:val="219A3406"/>
    <w:rsid w:val="21A70D61"/>
    <w:rsid w:val="21B2244C"/>
    <w:rsid w:val="21C30EF9"/>
    <w:rsid w:val="21CB7C2D"/>
    <w:rsid w:val="21D956E3"/>
    <w:rsid w:val="21EF7C0A"/>
    <w:rsid w:val="221551D8"/>
    <w:rsid w:val="224441F7"/>
    <w:rsid w:val="224E7428"/>
    <w:rsid w:val="2261560B"/>
    <w:rsid w:val="227918A6"/>
    <w:rsid w:val="22944164"/>
    <w:rsid w:val="229674ED"/>
    <w:rsid w:val="22AC485D"/>
    <w:rsid w:val="22D174A6"/>
    <w:rsid w:val="22E67532"/>
    <w:rsid w:val="230F16FC"/>
    <w:rsid w:val="231C2E7E"/>
    <w:rsid w:val="232A4048"/>
    <w:rsid w:val="233344E4"/>
    <w:rsid w:val="2337735C"/>
    <w:rsid w:val="23384D61"/>
    <w:rsid w:val="23392A7A"/>
    <w:rsid w:val="235336A2"/>
    <w:rsid w:val="23850BE5"/>
    <w:rsid w:val="238E2690"/>
    <w:rsid w:val="239015CD"/>
    <w:rsid w:val="23B946BE"/>
    <w:rsid w:val="23C01773"/>
    <w:rsid w:val="23EF13A7"/>
    <w:rsid w:val="23F7720B"/>
    <w:rsid w:val="24086432"/>
    <w:rsid w:val="240F1052"/>
    <w:rsid w:val="242A187D"/>
    <w:rsid w:val="24310987"/>
    <w:rsid w:val="24322A62"/>
    <w:rsid w:val="24554136"/>
    <w:rsid w:val="245C2B3F"/>
    <w:rsid w:val="24836E94"/>
    <w:rsid w:val="24867974"/>
    <w:rsid w:val="248945E2"/>
    <w:rsid w:val="24974A9D"/>
    <w:rsid w:val="24990AB6"/>
    <w:rsid w:val="24A21A55"/>
    <w:rsid w:val="24BC74B9"/>
    <w:rsid w:val="24BE33B8"/>
    <w:rsid w:val="24E234FE"/>
    <w:rsid w:val="250D3E66"/>
    <w:rsid w:val="252754C5"/>
    <w:rsid w:val="252D3F69"/>
    <w:rsid w:val="2547370A"/>
    <w:rsid w:val="25585795"/>
    <w:rsid w:val="25740BBD"/>
    <w:rsid w:val="25955E96"/>
    <w:rsid w:val="259B6E31"/>
    <w:rsid w:val="259E33E1"/>
    <w:rsid w:val="25A07C39"/>
    <w:rsid w:val="25B677AD"/>
    <w:rsid w:val="25B904A8"/>
    <w:rsid w:val="25E06259"/>
    <w:rsid w:val="25FD0304"/>
    <w:rsid w:val="26090E12"/>
    <w:rsid w:val="261447E7"/>
    <w:rsid w:val="26162D47"/>
    <w:rsid w:val="26417898"/>
    <w:rsid w:val="26442276"/>
    <w:rsid w:val="26444B63"/>
    <w:rsid w:val="264D7096"/>
    <w:rsid w:val="26552532"/>
    <w:rsid w:val="26671EE8"/>
    <w:rsid w:val="269F6889"/>
    <w:rsid w:val="26AD0D8B"/>
    <w:rsid w:val="26C17431"/>
    <w:rsid w:val="26C545A4"/>
    <w:rsid w:val="26C94300"/>
    <w:rsid w:val="26DF7D7C"/>
    <w:rsid w:val="26EE1723"/>
    <w:rsid w:val="26F154C7"/>
    <w:rsid w:val="26FD7030"/>
    <w:rsid w:val="27080E2E"/>
    <w:rsid w:val="270D21C6"/>
    <w:rsid w:val="270D2595"/>
    <w:rsid w:val="277F5A23"/>
    <w:rsid w:val="279E36DD"/>
    <w:rsid w:val="27A7464B"/>
    <w:rsid w:val="27EA2797"/>
    <w:rsid w:val="28011EB5"/>
    <w:rsid w:val="28092464"/>
    <w:rsid w:val="282B47A7"/>
    <w:rsid w:val="282C5A3A"/>
    <w:rsid w:val="283F32F7"/>
    <w:rsid w:val="2855423F"/>
    <w:rsid w:val="285E5BE3"/>
    <w:rsid w:val="28611CC2"/>
    <w:rsid w:val="286D2B55"/>
    <w:rsid w:val="28721E59"/>
    <w:rsid w:val="28892109"/>
    <w:rsid w:val="289430A0"/>
    <w:rsid w:val="289A1AAA"/>
    <w:rsid w:val="28A325B7"/>
    <w:rsid w:val="28AB052C"/>
    <w:rsid w:val="28B71571"/>
    <w:rsid w:val="28BA104F"/>
    <w:rsid w:val="28C132F2"/>
    <w:rsid w:val="28D133DE"/>
    <w:rsid w:val="28D37B64"/>
    <w:rsid w:val="28EF11D1"/>
    <w:rsid w:val="290566C3"/>
    <w:rsid w:val="295C2D51"/>
    <w:rsid w:val="29A81CD2"/>
    <w:rsid w:val="29A90232"/>
    <w:rsid w:val="29A92B3A"/>
    <w:rsid w:val="29C804D1"/>
    <w:rsid w:val="29CB1410"/>
    <w:rsid w:val="29D84ABC"/>
    <w:rsid w:val="29F5410D"/>
    <w:rsid w:val="2A0D39C3"/>
    <w:rsid w:val="2A1503FE"/>
    <w:rsid w:val="2A194990"/>
    <w:rsid w:val="2A215E5E"/>
    <w:rsid w:val="2A252C4C"/>
    <w:rsid w:val="2A3E7B5A"/>
    <w:rsid w:val="2A6B55C6"/>
    <w:rsid w:val="2A8475EE"/>
    <w:rsid w:val="2A951C8C"/>
    <w:rsid w:val="2A953E86"/>
    <w:rsid w:val="2A9B26F1"/>
    <w:rsid w:val="2AA81E53"/>
    <w:rsid w:val="2AB25451"/>
    <w:rsid w:val="2AC063B7"/>
    <w:rsid w:val="2ACB5B48"/>
    <w:rsid w:val="2ACD0874"/>
    <w:rsid w:val="2AD267B8"/>
    <w:rsid w:val="2AD8059C"/>
    <w:rsid w:val="2B0A5818"/>
    <w:rsid w:val="2B0D737C"/>
    <w:rsid w:val="2B0F004D"/>
    <w:rsid w:val="2B154A20"/>
    <w:rsid w:val="2B380E7B"/>
    <w:rsid w:val="2B574357"/>
    <w:rsid w:val="2B5F5BE1"/>
    <w:rsid w:val="2B6638DE"/>
    <w:rsid w:val="2B84406F"/>
    <w:rsid w:val="2B8F58E2"/>
    <w:rsid w:val="2BA07FAD"/>
    <w:rsid w:val="2BBF0DDA"/>
    <w:rsid w:val="2BE5055C"/>
    <w:rsid w:val="2BED5A7C"/>
    <w:rsid w:val="2BF858F4"/>
    <w:rsid w:val="2BFC3C2B"/>
    <w:rsid w:val="2BFC6315"/>
    <w:rsid w:val="2BFD5564"/>
    <w:rsid w:val="2C054251"/>
    <w:rsid w:val="2C2E0403"/>
    <w:rsid w:val="2C4C1107"/>
    <w:rsid w:val="2C7C5CC5"/>
    <w:rsid w:val="2C811341"/>
    <w:rsid w:val="2C823F4E"/>
    <w:rsid w:val="2CAD067B"/>
    <w:rsid w:val="2CFD0FC0"/>
    <w:rsid w:val="2D050EBF"/>
    <w:rsid w:val="2D2009C3"/>
    <w:rsid w:val="2D2A25A1"/>
    <w:rsid w:val="2D2A51E4"/>
    <w:rsid w:val="2D3059BC"/>
    <w:rsid w:val="2D4D17E5"/>
    <w:rsid w:val="2D6F58D8"/>
    <w:rsid w:val="2D892B5C"/>
    <w:rsid w:val="2DB328B9"/>
    <w:rsid w:val="2DC6450C"/>
    <w:rsid w:val="2DD85082"/>
    <w:rsid w:val="2DE11692"/>
    <w:rsid w:val="2DF24F64"/>
    <w:rsid w:val="2DF5641D"/>
    <w:rsid w:val="2DF644E3"/>
    <w:rsid w:val="2E0D40F5"/>
    <w:rsid w:val="2E2F56E6"/>
    <w:rsid w:val="2E4A7323"/>
    <w:rsid w:val="2E682AAC"/>
    <w:rsid w:val="2E98229F"/>
    <w:rsid w:val="2EA56E95"/>
    <w:rsid w:val="2EA673C9"/>
    <w:rsid w:val="2EAF1D1D"/>
    <w:rsid w:val="2ECA710C"/>
    <w:rsid w:val="2ED4404D"/>
    <w:rsid w:val="2ED50475"/>
    <w:rsid w:val="2EE365C8"/>
    <w:rsid w:val="2F090AB4"/>
    <w:rsid w:val="2F13732E"/>
    <w:rsid w:val="2F336BA3"/>
    <w:rsid w:val="2F5621A6"/>
    <w:rsid w:val="2F66411F"/>
    <w:rsid w:val="2F9E2267"/>
    <w:rsid w:val="2FA5716E"/>
    <w:rsid w:val="2FB91769"/>
    <w:rsid w:val="2FBE7D06"/>
    <w:rsid w:val="2FCD4219"/>
    <w:rsid w:val="2FD85581"/>
    <w:rsid w:val="2FE513F6"/>
    <w:rsid w:val="2FE91ED2"/>
    <w:rsid w:val="2FF22D62"/>
    <w:rsid w:val="30037E76"/>
    <w:rsid w:val="300B0CEC"/>
    <w:rsid w:val="301B31E2"/>
    <w:rsid w:val="302909D7"/>
    <w:rsid w:val="30320AA9"/>
    <w:rsid w:val="30427218"/>
    <w:rsid w:val="30664FDE"/>
    <w:rsid w:val="309E4811"/>
    <w:rsid w:val="30A00CB5"/>
    <w:rsid w:val="30AF5F22"/>
    <w:rsid w:val="30C14186"/>
    <w:rsid w:val="30D71496"/>
    <w:rsid w:val="30E73B0D"/>
    <w:rsid w:val="30FC61C2"/>
    <w:rsid w:val="30FD55E0"/>
    <w:rsid w:val="31030DD2"/>
    <w:rsid w:val="310F6F60"/>
    <w:rsid w:val="311333E6"/>
    <w:rsid w:val="311467EF"/>
    <w:rsid w:val="31162712"/>
    <w:rsid w:val="31363ABC"/>
    <w:rsid w:val="314614BA"/>
    <w:rsid w:val="31490B7D"/>
    <w:rsid w:val="3153679E"/>
    <w:rsid w:val="315F2471"/>
    <w:rsid w:val="3177458F"/>
    <w:rsid w:val="3189708E"/>
    <w:rsid w:val="318B1F3D"/>
    <w:rsid w:val="3193741E"/>
    <w:rsid w:val="319434F7"/>
    <w:rsid w:val="31994D00"/>
    <w:rsid w:val="31A65E57"/>
    <w:rsid w:val="31AD16EF"/>
    <w:rsid w:val="31AE660C"/>
    <w:rsid w:val="31B05A1F"/>
    <w:rsid w:val="31B17EF2"/>
    <w:rsid w:val="31E155AC"/>
    <w:rsid w:val="31FC35FB"/>
    <w:rsid w:val="32010D04"/>
    <w:rsid w:val="3202665F"/>
    <w:rsid w:val="320A7836"/>
    <w:rsid w:val="324163CA"/>
    <w:rsid w:val="32574FD8"/>
    <w:rsid w:val="325C547C"/>
    <w:rsid w:val="326C29F6"/>
    <w:rsid w:val="327C3888"/>
    <w:rsid w:val="32945DAC"/>
    <w:rsid w:val="329C631F"/>
    <w:rsid w:val="32A24DE0"/>
    <w:rsid w:val="32AB0897"/>
    <w:rsid w:val="32CB3A84"/>
    <w:rsid w:val="32CE45BC"/>
    <w:rsid w:val="32D9201A"/>
    <w:rsid w:val="32E42D0F"/>
    <w:rsid w:val="32E779A4"/>
    <w:rsid w:val="330D4D94"/>
    <w:rsid w:val="33435E16"/>
    <w:rsid w:val="335F11B3"/>
    <w:rsid w:val="337B12FB"/>
    <w:rsid w:val="339C5454"/>
    <w:rsid w:val="33D354DF"/>
    <w:rsid w:val="33DD1D83"/>
    <w:rsid w:val="33FC5F9C"/>
    <w:rsid w:val="34005D95"/>
    <w:rsid w:val="340370F4"/>
    <w:rsid w:val="34173060"/>
    <w:rsid w:val="342451AA"/>
    <w:rsid w:val="3425323C"/>
    <w:rsid w:val="342E5EA7"/>
    <w:rsid w:val="343E0BAC"/>
    <w:rsid w:val="34474FF1"/>
    <w:rsid w:val="344B3651"/>
    <w:rsid w:val="34555269"/>
    <w:rsid w:val="34827541"/>
    <w:rsid w:val="34B63281"/>
    <w:rsid w:val="34C105B0"/>
    <w:rsid w:val="34CA39B2"/>
    <w:rsid w:val="34D564C3"/>
    <w:rsid w:val="34DC79C0"/>
    <w:rsid w:val="34EC4B86"/>
    <w:rsid w:val="351321CB"/>
    <w:rsid w:val="355171EC"/>
    <w:rsid w:val="355E299F"/>
    <w:rsid w:val="355E6D49"/>
    <w:rsid w:val="35671EE7"/>
    <w:rsid w:val="3572663B"/>
    <w:rsid w:val="357D4C50"/>
    <w:rsid w:val="35925B04"/>
    <w:rsid w:val="35963717"/>
    <w:rsid w:val="35AF3549"/>
    <w:rsid w:val="35CA49CB"/>
    <w:rsid w:val="35DA5213"/>
    <w:rsid w:val="35EE7B1B"/>
    <w:rsid w:val="35F65FAD"/>
    <w:rsid w:val="36202050"/>
    <w:rsid w:val="364A7C84"/>
    <w:rsid w:val="36605016"/>
    <w:rsid w:val="366B7A53"/>
    <w:rsid w:val="366D649A"/>
    <w:rsid w:val="368259EE"/>
    <w:rsid w:val="3689301E"/>
    <w:rsid w:val="369C7E5C"/>
    <w:rsid w:val="36B523AB"/>
    <w:rsid w:val="36C76D40"/>
    <w:rsid w:val="36F44E23"/>
    <w:rsid w:val="371D2966"/>
    <w:rsid w:val="373062E8"/>
    <w:rsid w:val="375C1AC9"/>
    <w:rsid w:val="37785098"/>
    <w:rsid w:val="377E7331"/>
    <w:rsid w:val="379038C8"/>
    <w:rsid w:val="379B1E6C"/>
    <w:rsid w:val="379D002A"/>
    <w:rsid w:val="37A6234C"/>
    <w:rsid w:val="37A907BA"/>
    <w:rsid w:val="37AF1535"/>
    <w:rsid w:val="37CA63F2"/>
    <w:rsid w:val="37CB57CA"/>
    <w:rsid w:val="37D337D1"/>
    <w:rsid w:val="37DD56C2"/>
    <w:rsid w:val="37F16302"/>
    <w:rsid w:val="38253136"/>
    <w:rsid w:val="38372548"/>
    <w:rsid w:val="384570A4"/>
    <w:rsid w:val="38781C56"/>
    <w:rsid w:val="38B54C1A"/>
    <w:rsid w:val="38C30240"/>
    <w:rsid w:val="38CF65F7"/>
    <w:rsid w:val="38D30895"/>
    <w:rsid w:val="38E95212"/>
    <w:rsid w:val="391C1C7A"/>
    <w:rsid w:val="39465968"/>
    <w:rsid w:val="394D1A3B"/>
    <w:rsid w:val="39600E80"/>
    <w:rsid w:val="399B72BC"/>
    <w:rsid w:val="39A73391"/>
    <w:rsid w:val="39A95A0D"/>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90237F"/>
    <w:rsid w:val="3B002E8F"/>
    <w:rsid w:val="3B0A7991"/>
    <w:rsid w:val="3B100A85"/>
    <w:rsid w:val="3B18283A"/>
    <w:rsid w:val="3B336F2F"/>
    <w:rsid w:val="3B567019"/>
    <w:rsid w:val="3B5C777B"/>
    <w:rsid w:val="3B691338"/>
    <w:rsid w:val="3B6B36CF"/>
    <w:rsid w:val="3BA60160"/>
    <w:rsid w:val="3BB46CD1"/>
    <w:rsid w:val="3BB6128D"/>
    <w:rsid w:val="3BD11411"/>
    <w:rsid w:val="3BD837A5"/>
    <w:rsid w:val="3BED4242"/>
    <w:rsid w:val="3C173EBE"/>
    <w:rsid w:val="3C317DDD"/>
    <w:rsid w:val="3C336F35"/>
    <w:rsid w:val="3C3D3F09"/>
    <w:rsid w:val="3C457CDF"/>
    <w:rsid w:val="3C742BEB"/>
    <w:rsid w:val="3C857740"/>
    <w:rsid w:val="3C8E02B7"/>
    <w:rsid w:val="3CA732CA"/>
    <w:rsid w:val="3CB004C5"/>
    <w:rsid w:val="3CB35047"/>
    <w:rsid w:val="3CB47F7E"/>
    <w:rsid w:val="3CB603EF"/>
    <w:rsid w:val="3CD82621"/>
    <w:rsid w:val="3CDD69B2"/>
    <w:rsid w:val="3CEA693F"/>
    <w:rsid w:val="3D0D0F5F"/>
    <w:rsid w:val="3D0D55A5"/>
    <w:rsid w:val="3D187CD8"/>
    <w:rsid w:val="3D324998"/>
    <w:rsid w:val="3D354C10"/>
    <w:rsid w:val="3D475AFB"/>
    <w:rsid w:val="3D4C43AF"/>
    <w:rsid w:val="3D502422"/>
    <w:rsid w:val="3D5275CE"/>
    <w:rsid w:val="3D5404DD"/>
    <w:rsid w:val="3D6341E4"/>
    <w:rsid w:val="3D6A48AA"/>
    <w:rsid w:val="3D6D23E3"/>
    <w:rsid w:val="3D7C1281"/>
    <w:rsid w:val="3D8D1DDC"/>
    <w:rsid w:val="3D995C7E"/>
    <w:rsid w:val="3DD2333F"/>
    <w:rsid w:val="3DEC316F"/>
    <w:rsid w:val="3E000E38"/>
    <w:rsid w:val="3E037731"/>
    <w:rsid w:val="3E0F09D9"/>
    <w:rsid w:val="3E1646C1"/>
    <w:rsid w:val="3E247488"/>
    <w:rsid w:val="3E305EE4"/>
    <w:rsid w:val="3E360DF6"/>
    <w:rsid w:val="3E3D25F5"/>
    <w:rsid w:val="3E4E6762"/>
    <w:rsid w:val="3E70166E"/>
    <w:rsid w:val="3E752011"/>
    <w:rsid w:val="3E8270FA"/>
    <w:rsid w:val="3E8E2505"/>
    <w:rsid w:val="3E8F0C9A"/>
    <w:rsid w:val="3E9953AC"/>
    <w:rsid w:val="3E9D3F84"/>
    <w:rsid w:val="3E9F3605"/>
    <w:rsid w:val="3EEC1C8D"/>
    <w:rsid w:val="3EF15A07"/>
    <w:rsid w:val="3F0C0C5D"/>
    <w:rsid w:val="3F310E2B"/>
    <w:rsid w:val="3F3E5B85"/>
    <w:rsid w:val="3F4D19AF"/>
    <w:rsid w:val="3F691A99"/>
    <w:rsid w:val="3F837DDF"/>
    <w:rsid w:val="3FA21405"/>
    <w:rsid w:val="3FA96E5D"/>
    <w:rsid w:val="3FC04528"/>
    <w:rsid w:val="3FCB012B"/>
    <w:rsid w:val="3FD27B2E"/>
    <w:rsid w:val="3FEE1DE8"/>
    <w:rsid w:val="3FFE5EFF"/>
    <w:rsid w:val="40171145"/>
    <w:rsid w:val="402104DC"/>
    <w:rsid w:val="402D3537"/>
    <w:rsid w:val="40480E8F"/>
    <w:rsid w:val="40662C29"/>
    <w:rsid w:val="40742438"/>
    <w:rsid w:val="40791098"/>
    <w:rsid w:val="40932E75"/>
    <w:rsid w:val="40A70377"/>
    <w:rsid w:val="40BC5D67"/>
    <w:rsid w:val="40D775A2"/>
    <w:rsid w:val="40EE33BE"/>
    <w:rsid w:val="40F61783"/>
    <w:rsid w:val="4100601D"/>
    <w:rsid w:val="410D75D5"/>
    <w:rsid w:val="411E3000"/>
    <w:rsid w:val="41402C24"/>
    <w:rsid w:val="414E7345"/>
    <w:rsid w:val="41696F7F"/>
    <w:rsid w:val="417240B9"/>
    <w:rsid w:val="417C0D06"/>
    <w:rsid w:val="418B25AA"/>
    <w:rsid w:val="418E56CE"/>
    <w:rsid w:val="41925E9B"/>
    <w:rsid w:val="419B1BC4"/>
    <w:rsid w:val="419D7C05"/>
    <w:rsid w:val="41A739EA"/>
    <w:rsid w:val="41B3371C"/>
    <w:rsid w:val="41B4302C"/>
    <w:rsid w:val="41CC67E1"/>
    <w:rsid w:val="41DA3C01"/>
    <w:rsid w:val="41E3266D"/>
    <w:rsid w:val="41E70FD1"/>
    <w:rsid w:val="41F604FA"/>
    <w:rsid w:val="41FE6085"/>
    <w:rsid w:val="42013C9E"/>
    <w:rsid w:val="420F24CA"/>
    <w:rsid w:val="421C0994"/>
    <w:rsid w:val="424F02B6"/>
    <w:rsid w:val="42683145"/>
    <w:rsid w:val="427133C0"/>
    <w:rsid w:val="42715180"/>
    <w:rsid w:val="4277762F"/>
    <w:rsid w:val="429D7D7D"/>
    <w:rsid w:val="42B06FDD"/>
    <w:rsid w:val="42B23DF0"/>
    <w:rsid w:val="42B45768"/>
    <w:rsid w:val="42DD7341"/>
    <w:rsid w:val="42E637C3"/>
    <w:rsid w:val="42FD1410"/>
    <w:rsid w:val="43184FA0"/>
    <w:rsid w:val="431F563A"/>
    <w:rsid w:val="432D0CD2"/>
    <w:rsid w:val="433E24EE"/>
    <w:rsid w:val="4348259E"/>
    <w:rsid w:val="434C0977"/>
    <w:rsid w:val="434D5EB2"/>
    <w:rsid w:val="43604502"/>
    <w:rsid w:val="43705840"/>
    <w:rsid w:val="437E6752"/>
    <w:rsid w:val="43803823"/>
    <w:rsid w:val="43AF6845"/>
    <w:rsid w:val="43CC31B4"/>
    <w:rsid w:val="43D44FF8"/>
    <w:rsid w:val="441557E3"/>
    <w:rsid w:val="44286453"/>
    <w:rsid w:val="44371554"/>
    <w:rsid w:val="444B4817"/>
    <w:rsid w:val="444C54FC"/>
    <w:rsid w:val="44615639"/>
    <w:rsid w:val="44762FC6"/>
    <w:rsid w:val="4488431A"/>
    <w:rsid w:val="448F5706"/>
    <w:rsid w:val="44944331"/>
    <w:rsid w:val="449A539D"/>
    <w:rsid w:val="44A538D4"/>
    <w:rsid w:val="44B05905"/>
    <w:rsid w:val="44B67F0B"/>
    <w:rsid w:val="451317C4"/>
    <w:rsid w:val="45252A65"/>
    <w:rsid w:val="45575AD5"/>
    <w:rsid w:val="457E0115"/>
    <w:rsid w:val="459B774E"/>
    <w:rsid w:val="45B72AB1"/>
    <w:rsid w:val="45BA079F"/>
    <w:rsid w:val="45CC0EF3"/>
    <w:rsid w:val="45CF5AD4"/>
    <w:rsid w:val="45DD06D9"/>
    <w:rsid w:val="460D21F2"/>
    <w:rsid w:val="460E0469"/>
    <w:rsid w:val="460E0A15"/>
    <w:rsid w:val="4635298E"/>
    <w:rsid w:val="46355D58"/>
    <w:rsid w:val="463C04FA"/>
    <w:rsid w:val="464050BB"/>
    <w:rsid w:val="46405C21"/>
    <w:rsid w:val="466B6702"/>
    <w:rsid w:val="466F037A"/>
    <w:rsid w:val="467737E1"/>
    <w:rsid w:val="46A075FA"/>
    <w:rsid w:val="46A359DC"/>
    <w:rsid w:val="46A54FB3"/>
    <w:rsid w:val="46D040D1"/>
    <w:rsid w:val="46D47B0B"/>
    <w:rsid w:val="46D7121E"/>
    <w:rsid w:val="46E07671"/>
    <w:rsid w:val="46FF57CE"/>
    <w:rsid w:val="47154F60"/>
    <w:rsid w:val="47162E3C"/>
    <w:rsid w:val="47476572"/>
    <w:rsid w:val="47700BCB"/>
    <w:rsid w:val="47732DB6"/>
    <w:rsid w:val="47C254B8"/>
    <w:rsid w:val="47DF082A"/>
    <w:rsid w:val="47EB5003"/>
    <w:rsid w:val="48081128"/>
    <w:rsid w:val="480D3EC3"/>
    <w:rsid w:val="48144FED"/>
    <w:rsid w:val="483A31DC"/>
    <w:rsid w:val="484715CC"/>
    <w:rsid w:val="485D616F"/>
    <w:rsid w:val="4873370F"/>
    <w:rsid w:val="48942C25"/>
    <w:rsid w:val="4898666C"/>
    <w:rsid w:val="489B75DE"/>
    <w:rsid w:val="489F44D2"/>
    <w:rsid w:val="48AB4379"/>
    <w:rsid w:val="48B5305A"/>
    <w:rsid w:val="48B63FE7"/>
    <w:rsid w:val="48C71061"/>
    <w:rsid w:val="48CC7D6E"/>
    <w:rsid w:val="48DD5408"/>
    <w:rsid w:val="48EB5A5C"/>
    <w:rsid w:val="490B579F"/>
    <w:rsid w:val="491F0291"/>
    <w:rsid w:val="4920208E"/>
    <w:rsid w:val="492A1C6E"/>
    <w:rsid w:val="492C7D33"/>
    <w:rsid w:val="493A79B5"/>
    <w:rsid w:val="49575C03"/>
    <w:rsid w:val="4969605D"/>
    <w:rsid w:val="496D1F2A"/>
    <w:rsid w:val="497C7394"/>
    <w:rsid w:val="498A3B85"/>
    <w:rsid w:val="49AE3287"/>
    <w:rsid w:val="49C65C46"/>
    <w:rsid w:val="49D021B0"/>
    <w:rsid w:val="49D61F4B"/>
    <w:rsid w:val="49D7375C"/>
    <w:rsid w:val="49E81BC9"/>
    <w:rsid w:val="49EC64E1"/>
    <w:rsid w:val="4A11668C"/>
    <w:rsid w:val="4A3546EB"/>
    <w:rsid w:val="4A443774"/>
    <w:rsid w:val="4A4A48A6"/>
    <w:rsid w:val="4A524812"/>
    <w:rsid w:val="4A526073"/>
    <w:rsid w:val="4A56215E"/>
    <w:rsid w:val="4A5D4A40"/>
    <w:rsid w:val="4A63534F"/>
    <w:rsid w:val="4A6C1B50"/>
    <w:rsid w:val="4A7E40F2"/>
    <w:rsid w:val="4A8561F1"/>
    <w:rsid w:val="4A943BC6"/>
    <w:rsid w:val="4AAF17A9"/>
    <w:rsid w:val="4ABA7840"/>
    <w:rsid w:val="4AE74F60"/>
    <w:rsid w:val="4AFF5CC6"/>
    <w:rsid w:val="4B1D3A51"/>
    <w:rsid w:val="4B280F1E"/>
    <w:rsid w:val="4B3D4E30"/>
    <w:rsid w:val="4B411E5A"/>
    <w:rsid w:val="4B413D26"/>
    <w:rsid w:val="4B6B6050"/>
    <w:rsid w:val="4B8B446D"/>
    <w:rsid w:val="4BB317A2"/>
    <w:rsid w:val="4BC27F8D"/>
    <w:rsid w:val="4BC97047"/>
    <w:rsid w:val="4BCC6CCE"/>
    <w:rsid w:val="4BE44E6C"/>
    <w:rsid w:val="4BF446B8"/>
    <w:rsid w:val="4C061338"/>
    <w:rsid w:val="4C497215"/>
    <w:rsid w:val="4C4F5F99"/>
    <w:rsid w:val="4C5474C5"/>
    <w:rsid w:val="4C5D0817"/>
    <w:rsid w:val="4C5E08E0"/>
    <w:rsid w:val="4C7C64A4"/>
    <w:rsid w:val="4CBF4AE9"/>
    <w:rsid w:val="4CCC299D"/>
    <w:rsid w:val="4D0A349B"/>
    <w:rsid w:val="4D0D2E78"/>
    <w:rsid w:val="4D0F04ED"/>
    <w:rsid w:val="4D384A7C"/>
    <w:rsid w:val="4D3A0411"/>
    <w:rsid w:val="4D427C91"/>
    <w:rsid w:val="4D7706F2"/>
    <w:rsid w:val="4D845711"/>
    <w:rsid w:val="4DBE12C2"/>
    <w:rsid w:val="4DCE6ED3"/>
    <w:rsid w:val="4DF46CF3"/>
    <w:rsid w:val="4E095444"/>
    <w:rsid w:val="4E0E40E2"/>
    <w:rsid w:val="4E333BBB"/>
    <w:rsid w:val="4E4E04E5"/>
    <w:rsid w:val="4E665F7B"/>
    <w:rsid w:val="4E6A06E9"/>
    <w:rsid w:val="4E715DB2"/>
    <w:rsid w:val="4E776B87"/>
    <w:rsid w:val="4E8E5857"/>
    <w:rsid w:val="4EC206BE"/>
    <w:rsid w:val="4EC46EFB"/>
    <w:rsid w:val="4EC951FF"/>
    <w:rsid w:val="4ED04B02"/>
    <w:rsid w:val="4EDD6EFA"/>
    <w:rsid w:val="4EE96853"/>
    <w:rsid w:val="4F105F02"/>
    <w:rsid w:val="4F121BEA"/>
    <w:rsid w:val="4F172396"/>
    <w:rsid w:val="4F1D4181"/>
    <w:rsid w:val="4F3F03C1"/>
    <w:rsid w:val="4F4C2971"/>
    <w:rsid w:val="4F566ACF"/>
    <w:rsid w:val="4F704BBC"/>
    <w:rsid w:val="4F8028EE"/>
    <w:rsid w:val="4F8435B4"/>
    <w:rsid w:val="4FAD0DF7"/>
    <w:rsid w:val="4FBC1F04"/>
    <w:rsid w:val="4FBD361C"/>
    <w:rsid w:val="4FBE1CEA"/>
    <w:rsid w:val="4FC15F00"/>
    <w:rsid w:val="4FF17370"/>
    <w:rsid w:val="4FF77C61"/>
    <w:rsid w:val="50037C0C"/>
    <w:rsid w:val="500F51F9"/>
    <w:rsid w:val="50200CEA"/>
    <w:rsid w:val="502E1CFA"/>
    <w:rsid w:val="50371519"/>
    <w:rsid w:val="503D6ACE"/>
    <w:rsid w:val="50447CE3"/>
    <w:rsid w:val="505A0A75"/>
    <w:rsid w:val="50753DB9"/>
    <w:rsid w:val="509E2BD3"/>
    <w:rsid w:val="50C04426"/>
    <w:rsid w:val="50C7518D"/>
    <w:rsid w:val="50C95413"/>
    <w:rsid w:val="50CA58C9"/>
    <w:rsid w:val="50ED0D36"/>
    <w:rsid w:val="50F462DA"/>
    <w:rsid w:val="510B317F"/>
    <w:rsid w:val="51130AD6"/>
    <w:rsid w:val="51147068"/>
    <w:rsid w:val="511B4097"/>
    <w:rsid w:val="512452DA"/>
    <w:rsid w:val="512E023D"/>
    <w:rsid w:val="514C3C7B"/>
    <w:rsid w:val="515029F4"/>
    <w:rsid w:val="51777BA1"/>
    <w:rsid w:val="517A1ADB"/>
    <w:rsid w:val="517C1302"/>
    <w:rsid w:val="51901189"/>
    <w:rsid w:val="51952A88"/>
    <w:rsid w:val="51B661F2"/>
    <w:rsid w:val="51BB2EED"/>
    <w:rsid w:val="51E51BA8"/>
    <w:rsid w:val="51EE27E3"/>
    <w:rsid w:val="52101F45"/>
    <w:rsid w:val="52125E5B"/>
    <w:rsid w:val="5213342A"/>
    <w:rsid w:val="52163344"/>
    <w:rsid w:val="52217FFE"/>
    <w:rsid w:val="5234477C"/>
    <w:rsid w:val="52515077"/>
    <w:rsid w:val="52806E8B"/>
    <w:rsid w:val="52B118DE"/>
    <w:rsid w:val="52B80D5E"/>
    <w:rsid w:val="52C52078"/>
    <w:rsid w:val="52CB6EC0"/>
    <w:rsid w:val="52D061DA"/>
    <w:rsid w:val="52D211F8"/>
    <w:rsid w:val="52F26F28"/>
    <w:rsid w:val="53031E61"/>
    <w:rsid w:val="5315442E"/>
    <w:rsid w:val="533907AA"/>
    <w:rsid w:val="5341530E"/>
    <w:rsid w:val="534326DA"/>
    <w:rsid w:val="53434396"/>
    <w:rsid w:val="534D112E"/>
    <w:rsid w:val="53761C93"/>
    <w:rsid w:val="537B0A8C"/>
    <w:rsid w:val="5393301A"/>
    <w:rsid w:val="53971518"/>
    <w:rsid w:val="5399073D"/>
    <w:rsid w:val="539E3677"/>
    <w:rsid w:val="53A84C2D"/>
    <w:rsid w:val="53AB2CD5"/>
    <w:rsid w:val="53AF23D8"/>
    <w:rsid w:val="53B31343"/>
    <w:rsid w:val="53B91D8C"/>
    <w:rsid w:val="53CE2D5A"/>
    <w:rsid w:val="53D82514"/>
    <w:rsid w:val="53E56E6E"/>
    <w:rsid w:val="53EB2495"/>
    <w:rsid w:val="53F17662"/>
    <w:rsid w:val="54010C17"/>
    <w:rsid w:val="540366C1"/>
    <w:rsid w:val="542406F9"/>
    <w:rsid w:val="542C2C82"/>
    <w:rsid w:val="543F012A"/>
    <w:rsid w:val="546136C7"/>
    <w:rsid w:val="54635F00"/>
    <w:rsid w:val="54661F54"/>
    <w:rsid w:val="546C3F2D"/>
    <w:rsid w:val="547F46DA"/>
    <w:rsid w:val="54944893"/>
    <w:rsid w:val="549F75FE"/>
    <w:rsid w:val="54A51CC5"/>
    <w:rsid w:val="54B52F94"/>
    <w:rsid w:val="54DD78BD"/>
    <w:rsid w:val="54E06144"/>
    <w:rsid w:val="54F52367"/>
    <w:rsid w:val="550A393D"/>
    <w:rsid w:val="555E54FB"/>
    <w:rsid w:val="556D2811"/>
    <w:rsid w:val="55767F46"/>
    <w:rsid w:val="55CE1AD5"/>
    <w:rsid w:val="55ED37B8"/>
    <w:rsid w:val="55F04C52"/>
    <w:rsid w:val="55F35D23"/>
    <w:rsid w:val="56281CBC"/>
    <w:rsid w:val="56333685"/>
    <w:rsid w:val="567B7B50"/>
    <w:rsid w:val="568F0DF7"/>
    <w:rsid w:val="56A332D5"/>
    <w:rsid w:val="56B85F25"/>
    <w:rsid w:val="56C325A5"/>
    <w:rsid w:val="56E709F8"/>
    <w:rsid w:val="56F10A56"/>
    <w:rsid w:val="56FB32FA"/>
    <w:rsid w:val="570703AF"/>
    <w:rsid w:val="572D602C"/>
    <w:rsid w:val="57364D30"/>
    <w:rsid w:val="573D71D1"/>
    <w:rsid w:val="57574216"/>
    <w:rsid w:val="57636B03"/>
    <w:rsid w:val="57A21363"/>
    <w:rsid w:val="57A54C20"/>
    <w:rsid w:val="57B06D46"/>
    <w:rsid w:val="57B937A9"/>
    <w:rsid w:val="57BB4E50"/>
    <w:rsid w:val="57C34B39"/>
    <w:rsid w:val="57DE1F69"/>
    <w:rsid w:val="57E116B4"/>
    <w:rsid w:val="580C0140"/>
    <w:rsid w:val="580F431F"/>
    <w:rsid w:val="587B6F7C"/>
    <w:rsid w:val="58A22BE9"/>
    <w:rsid w:val="58BD6FD7"/>
    <w:rsid w:val="58DB6137"/>
    <w:rsid w:val="58E44026"/>
    <w:rsid w:val="58E67C57"/>
    <w:rsid w:val="58E94F10"/>
    <w:rsid w:val="58F965E6"/>
    <w:rsid w:val="58FA15B8"/>
    <w:rsid w:val="58FF06B6"/>
    <w:rsid w:val="59046596"/>
    <w:rsid w:val="591C3F4A"/>
    <w:rsid w:val="591F1CBF"/>
    <w:rsid w:val="593E6CC6"/>
    <w:rsid w:val="59404EE0"/>
    <w:rsid w:val="594B0A62"/>
    <w:rsid w:val="594E1B0E"/>
    <w:rsid w:val="594F32F2"/>
    <w:rsid w:val="595461B1"/>
    <w:rsid w:val="59591BB8"/>
    <w:rsid w:val="595C743E"/>
    <w:rsid w:val="59760077"/>
    <w:rsid w:val="59820786"/>
    <w:rsid w:val="59A774F2"/>
    <w:rsid w:val="59AD15AB"/>
    <w:rsid w:val="59CE313C"/>
    <w:rsid w:val="59E474BD"/>
    <w:rsid w:val="59E869EC"/>
    <w:rsid w:val="59FC6B89"/>
    <w:rsid w:val="5A143012"/>
    <w:rsid w:val="5A261D0E"/>
    <w:rsid w:val="5A2907FC"/>
    <w:rsid w:val="5A2E6A84"/>
    <w:rsid w:val="5A412A61"/>
    <w:rsid w:val="5A4752E2"/>
    <w:rsid w:val="5A527BDD"/>
    <w:rsid w:val="5A905E59"/>
    <w:rsid w:val="5A9311E7"/>
    <w:rsid w:val="5AA72593"/>
    <w:rsid w:val="5AA9358C"/>
    <w:rsid w:val="5AD0373D"/>
    <w:rsid w:val="5AF81B7B"/>
    <w:rsid w:val="5AF86253"/>
    <w:rsid w:val="5B047A73"/>
    <w:rsid w:val="5B081862"/>
    <w:rsid w:val="5B1140FC"/>
    <w:rsid w:val="5B1C3DCA"/>
    <w:rsid w:val="5B24355B"/>
    <w:rsid w:val="5B2D01BB"/>
    <w:rsid w:val="5B340596"/>
    <w:rsid w:val="5B3F26B3"/>
    <w:rsid w:val="5B467F94"/>
    <w:rsid w:val="5B4B70AC"/>
    <w:rsid w:val="5B8A7522"/>
    <w:rsid w:val="5BA53E1C"/>
    <w:rsid w:val="5BA92AAB"/>
    <w:rsid w:val="5BB41290"/>
    <w:rsid w:val="5BC50503"/>
    <w:rsid w:val="5BCC4827"/>
    <w:rsid w:val="5BCD464A"/>
    <w:rsid w:val="5BF50EB6"/>
    <w:rsid w:val="5BF92128"/>
    <w:rsid w:val="5BFA7DB5"/>
    <w:rsid w:val="5BFB1F01"/>
    <w:rsid w:val="5C075DA6"/>
    <w:rsid w:val="5C1D7D30"/>
    <w:rsid w:val="5C275BD4"/>
    <w:rsid w:val="5C491EC9"/>
    <w:rsid w:val="5C5028D7"/>
    <w:rsid w:val="5C6D1904"/>
    <w:rsid w:val="5C790A6A"/>
    <w:rsid w:val="5C81109C"/>
    <w:rsid w:val="5C9E10E9"/>
    <w:rsid w:val="5C9E40DE"/>
    <w:rsid w:val="5CA11D7F"/>
    <w:rsid w:val="5CAF4CE5"/>
    <w:rsid w:val="5CDA6371"/>
    <w:rsid w:val="5CF30224"/>
    <w:rsid w:val="5CFC64A7"/>
    <w:rsid w:val="5D1516BF"/>
    <w:rsid w:val="5D1569ED"/>
    <w:rsid w:val="5D1B2A4F"/>
    <w:rsid w:val="5D2E6665"/>
    <w:rsid w:val="5D4F34F7"/>
    <w:rsid w:val="5D623C65"/>
    <w:rsid w:val="5D810CA8"/>
    <w:rsid w:val="5D8C1819"/>
    <w:rsid w:val="5DC477E0"/>
    <w:rsid w:val="5DD05318"/>
    <w:rsid w:val="5DE97207"/>
    <w:rsid w:val="5DEF6C2B"/>
    <w:rsid w:val="5DF22741"/>
    <w:rsid w:val="5DFE50F6"/>
    <w:rsid w:val="5E026A9A"/>
    <w:rsid w:val="5E123553"/>
    <w:rsid w:val="5E186B89"/>
    <w:rsid w:val="5E2D7C7A"/>
    <w:rsid w:val="5E4E3F80"/>
    <w:rsid w:val="5E5F4BD4"/>
    <w:rsid w:val="5E852B0D"/>
    <w:rsid w:val="5E8A7777"/>
    <w:rsid w:val="5E932264"/>
    <w:rsid w:val="5EA1268E"/>
    <w:rsid w:val="5ED20F44"/>
    <w:rsid w:val="5EE7073E"/>
    <w:rsid w:val="5EF67A22"/>
    <w:rsid w:val="5EFB4ED5"/>
    <w:rsid w:val="5F123BC6"/>
    <w:rsid w:val="5F184877"/>
    <w:rsid w:val="5F1A7A37"/>
    <w:rsid w:val="5F2E3F46"/>
    <w:rsid w:val="5F406402"/>
    <w:rsid w:val="5F474C09"/>
    <w:rsid w:val="5F475D4B"/>
    <w:rsid w:val="5F63419E"/>
    <w:rsid w:val="5F736746"/>
    <w:rsid w:val="5F7B52AA"/>
    <w:rsid w:val="5F880842"/>
    <w:rsid w:val="5FD95A66"/>
    <w:rsid w:val="5FDF7A00"/>
    <w:rsid w:val="5FE12AC5"/>
    <w:rsid w:val="5FF309C7"/>
    <w:rsid w:val="5FFC4765"/>
    <w:rsid w:val="60046C0F"/>
    <w:rsid w:val="600E4F7F"/>
    <w:rsid w:val="60131685"/>
    <w:rsid w:val="601327BB"/>
    <w:rsid w:val="60245068"/>
    <w:rsid w:val="60255BE3"/>
    <w:rsid w:val="602717FC"/>
    <w:rsid w:val="602A62F8"/>
    <w:rsid w:val="602C01A9"/>
    <w:rsid w:val="603B1B21"/>
    <w:rsid w:val="60504051"/>
    <w:rsid w:val="607F2EF2"/>
    <w:rsid w:val="60842FF2"/>
    <w:rsid w:val="60AF5E00"/>
    <w:rsid w:val="60B54161"/>
    <w:rsid w:val="60D43BFA"/>
    <w:rsid w:val="60E16AB6"/>
    <w:rsid w:val="60E40C2C"/>
    <w:rsid w:val="60F32CD5"/>
    <w:rsid w:val="610D2A7D"/>
    <w:rsid w:val="61111BF1"/>
    <w:rsid w:val="61175A9A"/>
    <w:rsid w:val="612129FE"/>
    <w:rsid w:val="61375BEC"/>
    <w:rsid w:val="614A2305"/>
    <w:rsid w:val="614E4437"/>
    <w:rsid w:val="615F1F60"/>
    <w:rsid w:val="6182631E"/>
    <w:rsid w:val="61AF5CD6"/>
    <w:rsid w:val="61BC217C"/>
    <w:rsid w:val="61D9772A"/>
    <w:rsid w:val="61DA1B5D"/>
    <w:rsid w:val="61DB33CF"/>
    <w:rsid w:val="61EF0933"/>
    <w:rsid w:val="61F2327B"/>
    <w:rsid w:val="61F64176"/>
    <w:rsid w:val="61F6471A"/>
    <w:rsid w:val="62413765"/>
    <w:rsid w:val="625A4915"/>
    <w:rsid w:val="625E2011"/>
    <w:rsid w:val="626E5BD1"/>
    <w:rsid w:val="627803DA"/>
    <w:rsid w:val="627966B2"/>
    <w:rsid w:val="62921FA4"/>
    <w:rsid w:val="62A06349"/>
    <w:rsid w:val="62BF1D8B"/>
    <w:rsid w:val="62C83DFB"/>
    <w:rsid w:val="62CB6DF0"/>
    <w:rsid w:val="62DC2379"/>
    <w:rsid w:val="62EF16C5"/>
    <w:rsid w:val="62FA52C3"/>
    <w:rsid w:val="63077DCD"/>
    <w:rsid w:val="630C3818"/>
    <w:rsid w:val="63196725"/>
    <w:rsid w:val="631F3FB6"/>
    <w:rsid w:val="63307428"/>
    <w:rsid w:val="63356B20"/>
    <w:rsid w:val="633B4FC0"/>
    <w:rsid w:val="634B7547"/>
    <w:rsid w:val="63647D08"/>
    <w:rsid w:val="637E69F6"/>
    <w:rsid w:val="63B47AD6"/>
    <w:rsid w:val="63B55E70"/>
    <w:rsid w:val="63BD1F88"/>
    <w:rsid w:val="63D07482"/>
    <w:rsid w:val="63E85719"/>
    <w:rsid w:val="63F34E27"/>
    <w:rsid w:val="63FD53D7"/>
    <w:rsid w:val="640D3774"/>
    <w:rsid w:val="642E2D6E"/>
    <w:rsid w:val="642F141D"/>
    <w:rsid w:val="6439179D"/>
    <w:rsid w:val="643A7D3D"/>
    <w:rsid w:val="644845EE"/>
    <w:rsid w:val="64494CF7"/>
    <w:rsid w:val="644C43F2"/>
    <w:rsid w:val="645E071A"/>
    <w:rsid w:val="64611864"/>
    <w:rsid w:val="6465357A"/>
    <w:rsid w:val="64704226"/>
    <w:rsid w:val="647E3F09"/>
    <w:rsid w:val="64870014"/>
    <w:rsid w:val="64B42AB0"/>
    <w:rsid w:val="64B76AA3"/>
    <w:rsid w:val="64C61C82"/>
    <w:rsid w:val="64D124DB"/>
    <w:rsid w:val="64EB099D"/>
    <w:rsid w:val="65012AAF"/>
    <w:rsid w:val="65233DA8"/>
    <w:rsid w:val="652A1A84"/>
    <w:rsid w:val="652A5D21"/>
    <w:rsid w:val="65480BBE"/>
    <w:rsid w:val="6554639C"/>
    <w:rsid w:val="65687D20"/>
    <w:rsid w:val="657B264C"/>
    <w:rsid w:val="65933B3C"/>
    <w:rsid w:val="65B955CA"/>
    <w:rsid w:val="65BE6C54"/>
    <w:rsid w:val="65CC3546"/>
    <w:rsid w:val="65CE71FF"/>
    <w:rsid w:val="65EE73B7"/>
    <w:rsid w:val="66087C36"/>
    <w:rsid w:val="660A413F"/>
    <w:rsid w:val="661A0E12"/>
    <w:rsid w:val="66214D7C"/>
    <w:rsid w:val="6624580B"/>
    <w:rsid w:val="662A15EB"/>
    <w:rsid w:val="66356B67"/>
    <w:rsid w:val="667B6C3F"/>
    <w:rsid w:val="66933BD2"/>
    <w:rsid w:val="66B40E42"/>
    <w:rsid w:val="66B56D61"/>
    <w:rsid w:val="66B56D68"/>
    <w:rsid w:val="66DA6071"/>
    <w:rsid w:val="66E9392A"/>
    <w:rsid w:val="66EA1480"/>
    <w:rsid w:val="67056631"/>
    <w:rsid w:val="6745249B"/>
    <w:rsid w:val="674672D3"/>
    <w:rsid w:val="676E6425"/>
    <w:rsid w:val="67770DB9"/>
    <w:rsid w:val="67776ADD"/>
    <w:rsid w:val="6779797F"/>
    <w:rsid w:val="6789047F"/>
    <w:rsid w:val="67A27AF8"/>
    <w:rsid w:val="67A720F6"/>
    <w:rsid w:val="67AC1398"/>
    <w:rsid w:val="67E7540E"/>
    <w:rsid w:val="67EA1736"/>
    <w:rsid w:val="67FC02AC"/>
    <w:rsid w:val="68006207"/>
    <w:rsid w:val="68070E08"/>
    <w:rsid w:val="682D2C3F"/>
    <w:rsid w:val="682D432C"/>
    <w:rsid w:val="68382592"/>
    <w:rsid w:val="684A32DA"/>
    <w:rsid w:val="68524FFC"/>
    <w:rsid w:val="68784674"/>
    <w:rsid w:val="687C00C8"/>
    <w:rsid w:val="687C4042"/>
    <w:rsid w:val="68A742AD"/>
    <w:rsid w:val="68B87F12"/>
    <w:rsid w:val="68C25CFA"/>
    <w:rsid w:val="68C731B8"/>
    <w:rsid w:val="68D536DE"/>
    <w:rsid w:val="69044A5D"/>
    <w:rsid w:val="691052CA"/>
    <w:rsid w:val="69194464"/>
    <w:rsid w:val="691D05F7"/>
    <w:rsid w:val="69312B59"/>
    <w:rsid w:val="69446209"/>
    <w:rsid w:val="69534859"/>
    <w:rsid w:val="69726337"/>
    <w:rsid w:val="69787B08"/>
    <w:rsid w:val="698B1B24"/>
    <w:rsid w:val="6994580C"/>
    <w:rsid w:val="69B75241"/>
    <w:rsid w:val="69BB0755"/>
    <w:rsid w:val="69CD6D6F"/>
    <w:rsid w:val="69FB0A5B"/>
    <w:rsid w:val="6A115C81"/>
    <w:rsid w:val="6A162FAD"/>
    <w:rsid w:val="6A22015C"/>
    <w:rsid w:val="6A7A60F7"/>
    <w:rsid w:val="6A7E417E"/>
    <w:rsid w:val="6A9C36E2"/>
    <w:rsid w:val="6AAC2E76"/>
    <w:rsid w:val="6AB90DA9"/>
    <w:rsid w:val="6AD73CE6"/>
    <w:rsid w:val="6AEE1969"/>
    <w:rsid w:val="6B0A125F"/>
    <w:rsid w:val="6B1834FD"/>
    <w:rsid w:val="6B23484A"/>
    <w:rsid w:val="6B30457A"/>
    <w:rsid w:val="6B3B1CB3"/>
    <w:rsid w:val="6B43702A"/>
    <w:rsid w:val="6B446AE6"/>
    <w:rsid w:val="6B524C27"/>
    <w:rsid w:val="6B5A1EC9"/>
    <w:rsid w:val="6B7308B4"/>
    <w:rsid w:val="6B744505"/>
    <w:rsid w:val="6B7B26EC"/>
    <w:rsid w:val="6B990784"/>
    <w:rsid w:val="6BA2498F"/>
    <w:rsid w:val="6BB93C93"/>
    <w:rsid w:val="6BBC51E6"/>
    <w:rsid w:val="6BBF609A"/>
    <w:rsid w:val="6BC012E3"/>
    <w:rsid w:val="6BCA0F7D"/>
    <w:rsid w:val="6BDE4DDD"/>
    <w:rsid w:val="6BE07242"/>
    <w:rsid w:val="6BE82C3E"/>
    <w:rsid w:val="6BE972DB"/>
    <w:rsid w:val="6BFE0452"/>
    <w:rsid w:val="6C0F2440"/>
    <w:rsid w:val="6C176418"/>
    <w:rsid w:val="6C392A9F"/>
    <w:rsid w:val="6C452784"/>
    <w:rsid w:val="6C4D097B"/>
    <w:rsid w:val="6C531367"/>
    <w:rsid w:val="6C5973BD"/>
    <w:rsid w:val="6C5F452A"/>
    <w:rsid w:val="6C762792"/>
    <w:rsid w:val="6C7D1213"/>
    <w:rsid w:val="6C801375"/>
    <w:rsid w:val="6C822E35"/>
    <w:rsid w:val="6CA714E6"/>
    <w:rsid w:val="6CEF6EBD"/>
    <w:rsid w:val="6CF01C95"/>
    <w:rsid w:val="6CF542B7"/>
    <w:rsid w:val="6CFA3A07"/>
    <w:rsid w:val="6D0071CD"/>
    <w:rsid w:val="6D18295E"/>
    <w:rsid w:val="6D1A13F6"/>
    <w:rsid w:val="6D1F12FA"/>
    <w:rsid w:val="6D206AE2"/>
    <w:rsid w:val="6D497025"/>
    <w:rsid w:val="6D5941BB"/>
    <w:rsid w:val="6D5B0CBD"/>
    <w:rsid w:val="6D6D33F8"/>
    <w:rsid w:val="6D6F3AB1"/>
    <w:rsid w:val="6D73256C"/>
    <w:rsid w:val="6D8A08D8"/>
    <w:rsid w:val="6D961017"/>
    <w:rsid w:val="6DCE3EDB"/>
    <w:rsid w:val="6DD23F1E"/>
    <w:rsid w:val="6DDB4275"/>
    <w:rsid w:val="6DEE2081"/>
    <w:rsid w:val="6E0135EB"/>
    <w:rsid w:val="6E210E7D"/>
    <w:rsid w:val="6E336938"/>
    <w:rsid w:val="6E360304"/>
    <w:rsid w:val="6E4C0EF4"/>
    <w:rsid w:val="6E4E028C"/>
    <w:rsid w:val="6E565A56"/>
    <w:rsid w:val="6E5C1E9E"/>
    <w:rsid w:val="6E5D68D3"/>
    <w:rsid w:val="6E682450"/>
    <w:rsid w:val="6E7251F0"/>
    <w:rsid w:val="6E757524"/>
    <w:rsid w:val="6E7934F3"/>
    <w:rsid w:val="6E9C5623"/>
    <w:rsid w:val="6E9E05A5"/>
    <w:rsid w:val="6EAD6286"/>
    <w:rsid w:val="6EB24C59"/>
    <w:rsid w:val="6EBD3CCD"/>
    <w:rsid w:val="6EC9468F"/>
    <w:rsid w:val="6ECD60E1"/>
    <w:rsid w:val="6EDB6C60"/>
    <w:rsid w:val="6F2428C0"/>
    <w:rsid w:val="6F3A17D7"/>
    <w:rsid w:val="6F433285"/>
    <w:rsid w:val="6F591B5D"/>
    <w:rsid w:val="6F7E65DB"/>
    <w:rsid w:val="6F7F6D3A"/>
    <w:rsid w:val="6F981073"/>
    <w:rsid w:val="6FA172A4"/>
    <w:rsid w:val="6FF72D78"/>
    <w:rsid w:val="6FFF65EB"/>
    <w:rsid w:val="702D3A00"/>
    <w:rsid w:val="70341230"/>
    <w:rsid w:val="70342FAD"/>
    <w:rsid w:val="7034472B"/>
    <w:rsid w:val="705A14E5"/>
    <w:rsid w:val="705A4D1B"/>
    <w:rsid w:val="705F37D3"/>
    <w:rsid w:val="708B108A"/>
    <w:rsid w:val="709143C4"/>
    <w:rsid w:val="70930271"/>
    <w:rsid w:val="70DB5146"/>
    <w:rsid w:val="70E51B6F"/>
    <w:rsid w:val="70E561EA"/>
    <w:rsid w:val="70FA4092"/>
    <w:rsid w:val="70FC3C7A"/>
    <w:rsid w:val="71075B1A"/>
    <w:rsid w:val="710E7F44"/>
    <w:rsid w:val="71193089"/>
    <w:rsid w:val="71211292"/>
    <w:rsid w:val="71243B68"/>
    <w:rsid w:val="712776C4"/>
    <w:rsid w:val="714344B4"/>
    <w:rsid w:val="71654226"/>
    <w:rsid w:val="7181738B"/>
    <w:rsid w:val="71820038"/>
    <w:rsid w:val="718B1478"/>
    <w:rsid w:val="71990145"/>
    <w:rsid w:val="719E164B"/>
    <w:rsid w:val="71AD6080"/>
    <w:rsid w:val="71C90ED8"/>
    <w:rsid w:val="71D72430"/>
    <w:rsid w:val="71E12038"/>
    <w:rsid w:val="720A6753"/>
    <w:rsid w:val="720F4AFB"/>
    <w:rsid w:val="72112B83"/>
    <w:rsid w:val="72143F3C"/>
    <w:rsid w:val="721F61D9"/>
    <w:rsid w:val="723D42BE"/>
    <w:rsid w:val="72412901"/>
    <w:rsid w:val="72553DBC"/>
    <w:rsid w:val="72887B37"/>
    <w:rsid w:val="72910320"/>
    <w:rsid w:val="72A53302"/>
    <w:rsid w:val="72B3410C"/>
    <w:rsid w:val="72BD6DA9"/>
    <w:rsid w:val="72CB01B8"/>
    <w:rsid w:val="72CB5E1F"/>
    <w:rsid w:val="72D95B00"/>
    <w:rsid w:val="72F66709"/>
    <w:rsid w:val="730554B3"/>
    <w:rsid w:val="73092FAA"/>
    <w:rsid w:val="732C3102"/>
    <w:rsid w:val="73413694"/>
    <w:rsid w:val="734608F5"/>
    <w:rsid w:val="736D4BAC"/>
    <w:rsid w:val="736F1AFC"/>
    <w:rsid w:val="739B5B15"/>
    <w:rsid w:val="73B36872"/>
    <w:rsid w:val="73BA58B5"/>
    <w:rsid w:val="73CA3FB8"/>
    <w:rsid w:val="73E63732"/>
    <w:rsid w:val="73EC345F"/>
    <w:rsid w:val="73F34510"/>
    <w:rsid w:val="73FD1118"/>
    <w:rsid w:val="74090510"/>
    <w:rsid w:val="740E2D2D"/>
    <w:rsid w:val="7410282D"/>
    <w:rsid w:val="741752A2"/>
    <w:rsid w:val="74223A5C"/>
    <w:rsid w:val="742661E9"/>
    <w:rsid w:val="746B6757"/>
    <w:rsid w:val="74780C44"/>
    <w:rsid w:val="7479294A"/>
    <w:rsid w:val="747B5C9D"/>
    <w:rsid w:val="747F1177"/>
    <w:rsid w:val="748028C0"/>
    <w:rsid w:val="74A471EE"/>
    <w:rsid w:val="74AB58BC"/>
    <w:rsid w:val="74C111AB"/>
    <w:rsid w:val="74C768EE"/>
    <w:rsid w:val="74CA493F"/>
    <w:rsid w:val="74E97F38"/>
    <w:rsid w:val="74F13E40"/>
    <w:rsid w:val="750B1697"/>
    <w:rsid w:val="752A3F7B"/>
    <w:rsid w:val="7533655A"/>
    <w:rsid w:val="75444F15"/>
    <w:rsid w:val="75485488"/>
    <w:rsid w:val="75733C39"/>
    <w:rsid w:val="758516A2"/>
    <w:rsid w:val="759A2104"/>
    <w:rsid w:val="75B35E00"/>
    <w:rsid w:val="75CD1343"/>
    <w:rsid w:val="75EB2F64"/>
    <w:rsid w:val="75F04A64"/>
    <w:rsid w:val="76192C32"/>
    <w:rsid w:val="761D1573"/>
    <w:rsid w:val="761F64EF"/>
    <w:rsid w:val="76281DF8"/>
    <w:rsid w:val="763929C4"/>
    <w:rsid w:val="765B6CE9"/>
    <w:rsid w:val="765D3DA8"/>
    <w:rsid w:val="766740C2"/>
    <w:rsid w:val="766852F0"/>
    <w:rsid w:val="766A6521"/>
    <w:rsid w:val="766C7968"/>
    <w:rsid w:val="766E7DAC"/>
    <w:rsid w:val="76936F16"/>
    <w:rsid w:val="76993FC0"/>
    <w:rsid w:val="76A64EB2"/>
    <w:rsid w:val="76BC1014"/>
    <w:rsid w:val="77025DC3"/>
    <w:rsid w:val="772354E1"/>
    <w:rsid w:val="77276E30"/>
    <w:rsid w:val="772C68C6"/>
    <w:rsid w:val="776C53FF"/>
    <w:rsid w:val="776E3681"/>
    <w:rsid w:val="777E5705"/>
    <w:rsid w:val="7781654E"/>
    <w:rsid w:val="779231D8"/>
    <w:rsid w:val="77A618BC"/>
    <w:rsid w:val="77B92312"/>
    <w:rsid w:val="77DE5CDB"/>
    <w:rsid w:val="77F67883"/>
    <w:rsid w:val="7827423F"/>
    <w:rsid w:val="78386307"/>
    <w:rsid w:val="78493B6B"/>
    <w:rsid w:val="7850391E"/>
    <w:rsid w:val="78586B5B"/>
    <w:rsid w:val="78597E32"/>
    <w:rsid w:val="78703EBE"/>
    <w:rsid w:val="78805A36"/>
    <w:rsid w:val="78830880"/>
    <w:rsid w:val="78A51D8F"/>
    <w:rsid w:val="78AE0946"/>
    <w:rsid w:val="78D1727E"/>
    <w:rsid w:val="78D17516"/>
    <w:rsid w:val="78D96E40"/>
    <w:rsid w:val="78FE038B"/>
    <w:rsid w:val="7911644D"/>
    <w:rsid w:val="792078D7"/>
    <w:rsid w:val="79331EC1"/>
    <w:rsid w:val="79404911"/>
    <w:rsid w:val="794D0D3C"/>
    <w:rsid w:val="7967360B"/>
    <w:rsid w:val="7986601A"/>
    <w:rsid w:val="7993616D"/>
    <w:rsid w:val="799D69BF"/>
    <w:rsid w:val="799F3A31"/>
    <w:rsid w:val="79AE14B2"/>
    <w:rsid w:val="79B1687C"/>
    <w:rsid w:val="79B22738"/>
    <w:rsid w:val="79CE4B72"/>
    <w:rsid w:val="79FE0269"/>
    <w:rsid w:val="7A055366"/>
    <w:rsid w:val="7A292C38"/>
    <w:rsid w:val="7A49541C"/>
    <w:rsid w:val="7A5F22B4"/>
    <w:rsid w:val="7A680094"/>
    <w:rsid w:val="7A7508D5"/>
    <w:rsid w:val="7A80455C"/>
    <w:rsid w:val="7A81102C"/>
    <w:rsid w:val="7A8D6BBC"/>
    <w:rsid w:val="7AA37ECA"/>
    <w:rsid w:val="7AB16073"/>
    <w:rsid w:val="7ABB5514"/>
    <w:rsid w:val="7AC2458A"/>
    <w:rsid w:val="7ADE3222"/>
    <w:rsid w:val="7AF04DB0"/>
    <w:rsid w:val="7B0D28AD"/>
    <w:rsid w:val="7B133363"/>
    <w:rsid w:val="7B1C1737"/>
    <w:rsid w:val="7B2F5379"/>
    <w:rsid w:val="7B322761"/>
    <w:rsid w:val="7B3C2640"/>
    <w:rsid w:val="7B4443D1"/>
    <w:rsid w:val="7BB151FD"/>
    <w:rsid w:val="7BB43296"/>
    <w:rsid w:val="7BBE12F2"/>
    <w:rsid w:val="7BDE6C84"/>
    <w:rsid w:val="7BE07A81"/>
    <w:rsid w:val="7BE81B8B"/>
    <w:rsid w:val="7BE97D38"/>
    <w:rsid w:val="7BF01170"/>
    <w:rsid w:val="7C272B3E"/>
    <w:rsid w:val="7C471D4F"/>
    <w:rsid w:val="7C573A0C"/>
    <w:rsid w:val="7C5A71C2"/>
    <w:rsid w:val="7C7A6596"/>
    <w:rsid w:val="7CA76A22"/>
    <w:rsid w:val="7CB167D6"/>
    <w:rsid w:val="7CCC4E54"/>
    <w:rsid w:val="7CEB2ACD"/>
    <w:rsid w:val="7CEF6F65"/>
    <w:rsid w:val="7CF41D8D"/>
    <w:rsid w:val="7D2745EF"/>
    <w:rsid w:val="7D2D2CA0"/>
    <w:rsid w:val="7D5C29E8"/>
    <w:rsid w:val="7D7A7BC6"/>
    <w:rsid w:val="7D995EB0"/>
    <w:rsid w:val="7DBB08B6"/>
    <w:rsid w:val="7DBC7173"/>
    <w:rsid w:val="7DD90B59"/>
    <w:rsid w:val="7DEF15A6"/>
    <w:rsid w:val="7DFC511B"/>
    <w:rsid w:val="7E0565F6"/>
    <w:rsid w:val="7E221AFC"/>
    <w:rsid w:val="7E2A514E"/>
    <w:rsid w:val="7E2C4E20"/>
    <w:rsid w:val="7E2D20BE"/>
    <w:rsid w:val="7E4306A6"/>
    <w:rsid w:val="7E5733E1"/>
    <w:rsid w:val="7E660C33"/>
    <w:rsid w:val="7E6637F7"/>
    <w:rsid w:val="7E707801"/>
    <w:rsid w:val="7E733B66"/>
    <w:rsid w:val="7E8A121F"/>
    <w:rsid w:val="7EA36680"/>
    <w:rsid w:val="7EC12AAE"/>
    <w:rsid w:val="7EC52141"/>
    <w:rsid w:val="7EC73D34"/>
    <w:rsid w:val="7ED12FEE"/>
    <w:rsid w:val="7EFD03F7"/>
    <w:rsid w:val="7F1648D6"/>
    <w:rsid w:val="7F21639D"/>
    <w:rsid w:val="7F23784E"/>
    <w:rsid w:val="7F3A0E31"/>
    <w:rsid w:val="7F442E56"/>
    <w:rsid w:val="7F457080"/>
    <w:rsid w:val="7F4734EB"/>
    <w:rsid w:val="7F486BDC"/>
    <w:rsid w:val="7F493BBB"/>
    <w:rsid w:val="7F4C71A0"/>
    <w:rsid w:val="7F5124CE"/>
    <w:rsid w:val="7F5653E5"/>
    <w:rsid w:val="7F6347A3"/>
    <w:rsid w:val="7F7B4335"/>
    <w:rsid w:val="7F8805ED"/>
    <w:rsid w:val="7FB745D2"/>
    <w:rsid w:val="7FC4182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35</TotalTime>
  <ScaleCrop>false</ScaleCrop>
  <LinksUpToDate>false</LinksUpToDate>
  <CharactersWithSpaces>26786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2020-12-17T08:34:43Z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2052-11.1.0.10228</vt:lpwstr>
  </property>
</Properties>
</file>