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-892810</wp:posOffset>
            </wp:positionH>
            <wp:positionV relativeFrom="paragraph">
              <wp:posOffset>-962025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12.3</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b w:val="0"/>
          <w:color w:val="auto"/>
          <w:sz w:val="24"/>
          <w:szCs w:val="24"/>
          <w:highlight w:val="none"/>
        </w:rPr>
        <w:fldChar w:fldCharType="begin"/>
      </w:r>
      <w:r>
        <w:rPr>
          <w:b w:val="0"/>
          <w:color w:val="auto"/>
          <w:sz w:val="24"/>
          <w:szCs w:val="24"/>
          <w:highlight w:val="none"/>
        </w:rPr>
        <w:instrText xml:space="preserve"> TOC \o "1-3" \h \z </w:instrText>
      </w:r>
      <w:r>
        <w:rPr>
          <w:b w:val="0"/>
          <w:color w:val="auto"/>
          <w:sz w:val="24"/>
          <w:szCs w:val="24"/>
          <w:highlight w:val="none"/>
        </w:rPr>
        <w:fldChar w:fldCharType="separate"/>
      </w:r>
      <w:r>
        <w:rPr>
          <w:color w:val="auto"/>
          <w:szCs w:val="24"/>
          <w:highlight w:val="none"/>
        </w:rPr>
        <w:fldChar w:fldCharType="begin"/>
      </w:r>
      <w:r>
        <w:rPr>
          <w:szCs w:val="24"/>
          <w:highlight w:val="none"/>
        </w:rPr>
        <w:instrText xml:space="preserve"> HYPERLINK \l _Toc16746 </w:instrText>
      </w:r>
      <w:r>
        <w:rPr>
          <w:szCs w:val="24"/>
          <w:highlight w:val="none"/>
        </w:rPr>
        <w:fldChar w:fldCharType="separate"/>
      </w:r>
      <w:r>
        <w:rPr>
          <w:rFonts w:hint="eastAsia"/>
        </w:rPr>
        <w:t>一、国际原油市场回顾 </w:t>
      </w:r>
      <w:r>
        <w:tab/>
      </w:r>
      <w:r>
        <w:fldChar w:fldCharType="begin"/>
      </w:r>
      <w:r>
        <w:instrText xml:space="preserve"> PAGEREF _Toc16746 </w:instrText>
      </w:r>
      <w:r>
        <w:fldChar w:fldCharType="separate"/>
      </w:r>
      <w:r>
        <w:t>3</w:t>
      </w:r>
      <w:r>
        <w:fldChar w:fldCharType="end"/>
      </w:r>
      <w:r>
        <w:rPr>
          <w:color w:val="auto"/>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_Toc28813 </w:instrText>
      </w:r>
      <w:r>
        <w:rPr>
          <w:rFonts w:ascii="宋体" w:hAnsi="宋体"/>
          <w:kern w:val="2"/>
          <w:szCs w:val="24"/>
          <w:highlight w:val="none"/>
        </w:rPr>
        <w:fldChar w:fldCharType="separate"/>
      </w:r>
      <w:r>
        <w:rPr>
          <w:rFonts w:hint="eastAsia" w:ascii="宋体" w:hAnsi="宋体"/>
          <w:szCs w:val="30"/>
        </w:rPr>
        <w:t>1.1国际原油收盘价涨跌情况（单位：美元/桶）</w:t>
      </w:r>
      <w:r>
        <w:tab/>
      </w:r>
      <w:r>
        <w:fldChar w:fldCharType="begin"/>
      </w:r>
      <w:r>
        <w:instrText xml:space="preserve"> PAGEREF _Toc28813 </w:instrText>
      </w:r>
      <w:r>
        <w:fldChar w:fldCharType="separate"/>
      </w:r>
      <w:r>
        <w:t>3</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_Toc31552 </w:instrText>
      </w:r>
      <w:r>
        <w:rPr>
          <w:rFonts w:ascii="宋体" w:hAnsi="宋体"/>
          <w:kern w:val="2"/>
          <w:szCs w:val="24"/>
          <w:highlight w:val="none"/>
        </w:rPr>
        <w:fldChar w:fldCharType="separate"/>
      </w:r>
      <w:r>
        <w:rPr>
          <w:rFonts w:hint="eastAsia" w:ascii="宋体" w:hAnsi="宋体"/>
          <w:szCs w:val="30"/>
        </w:rPr>
        <w:t>1.2 20</w:t>
      </w:r>
      <w:r>
        <w:rPr>
          <w:rFonts w:hint="eastAsia" w:ascii="宋体" w:hAnsi="宋体"/>
          <w:szCs w:val="30"/>
          <w:lang w:val="en-US" w:eastAsia="zh-CN"/>
        </w:rPr>
        <w:t>20</w:t>
      </w:r>
      <w:r>
        <w:rPr>
          <w:rFonts w:hint="eastAsia" w:ascii="宋体" w:hAnsi="宋体"/>
          <w:szCs w:val="30"/>
        </w:rPr>
        <w:t>年国际原油价格走势图</w:t>
      </w:r>
      <w:r>
        <w:tab/>
      </w:r>
      <w:r>
        <w:fldChar w:fldCharType="begin"/>
      </w:r>
      <w:r>
        <w:instrText xml:space="preserve"> PAGEREF _Toc31552 </w:instrText>
      </w:r>
      <w:r>
        <w:fldChar w:fldCharType="separate"/>
      </w:r>
      <w:r>
        <w:t>3</w:t>
      </w:r>
      <w:r>
        <w:fldChar w:fldCharType="end"/>
      </w:r>
      <w:r>
        <w:rPr>
          <w:rFonts w:ascii="宋体" w:hAnsi="宋体"/>
          <w:color w:val="auto"/>
          <w:kern w:val="2"/>
          <w:szCs w:val="24"/>
          <w:highlight w:val="none"/>
        </w:rPr>
        <w:fldChar w:fldCharType="end"/>
      </w:r>
    </w:p>
    <w:p>
      <w:pPr>
        <w:pStyle w:val="16"/>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_Toc19459 </w:instrText>
      </w:r>
      <w:r>
        <w:rPr>
          <w:rFonts w:ascii="宋体" w:hAnsi="宋体"/>
          <w:kern w:val="2"/>
          <w:szCs w:val="24"/>
          <w:highlight w:val="none"/>
        </w:rPr>
        <w:fldChar w:fldCharType="separate"/>
      </w:r>
      <w:r>
        <w:rPr>
          <w:rFonts w:hint="eastAsia"/>
        </w:rPr>
        <w:t>二、 近期影响国际原油市场的主要因素</w:t>
      </w:r>
      <w:r>
        <w:tab/>
      </w:r>
      <w:r>
        <w:fldChar w:fldCharType="begin"/>
      </w:r>
      <w:r>
        <w:instrText xml:space="preserve"> PAGEREF _Toc19459 </w:instrText>
      </w:r>
      <w:r>
        <w:fldChar w:fldCharType="separate"/>
      </w:r>
      <w:r>
        <w:t>4</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_Toc7066 </w:instrText>
      </w:r>
      <w:r>
        <w:rPr>
          <w:rFonts w:ascii="宋体" w:hAnsi="宋体"/>
          <w:kern w:val="2"/>
          <w:szCs w:val="24"/>
          <w:highlight w:val="none"/>
        </w:rPr>
        <w:fldChar w:fldCharType="separate"/>
      </w:r>
      <w:r>
        <w:rPr>
          <w:rFonts w:hint="eastAsia" w:ascii="宋体" w:hAnsi="宋体"/>
          <w:szCs w:val="30"/>
        </w:rPr>
        <w:t>2.1影响国际原油市场的主要因素</w:t>
      </w:r>
      <w:r>
        <w:tab/>
      </w:r>
      <w:r>
        <w:fldChar w:fldCharType="begin"/>
      </w:r>
      <w:r>
        <w:instrText xml:space="preserve"> PAGEREF _Toc7066 </w:instrText>
      </w:r>
      <w:r>
        <w:fldChar w:fldCharType="separate"/>
      </w:r>
      <w:r>
        <w:t>4</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_Toc27106 </w:instrText>
      </w:r>
      <w:r>
        <w:rPr>
          <w:rFonts w:ascii="宋体" w:hAnsi="宋体"/>
          <w:kern w:val="2"/>
          <w:szCs w:val="24"/>
          <w:highlight w:val="none"/>
        </w:rPr>
        <w:fldChar w:fldCharType="separate"/>
      </w:r>
      <w:r>
        <w:rPr>
          <w:rFonts w:hint="eastAsia" w:ascii="宋体" w:hAnsi="宋体"/>
          <w:szCs w:val="30"/>
          <w:highlight w:val="none"/>
        </w:rPr>
        <w:t>2.2国际市场MTBE价格</w:t>
      </w:r>
      <w:r>
        <w:tab/>
      </w:r>
      <w:r>
        <w:fldChar w:fldCharType="begin"/>
      </w:r>
      <w:r>
        <w:instrText xml:space="preserve"> PAGEREF _Toc27106 </w:instrText>
      </w:r>
      <w:r>
        <w:fldChar w:fldCharType="separate"/>
      </w:r>
      <w:r>
        <w:t>13</w:t>
      </w:r>
      <w:r>
        <w:fldChar w:fldCharType="end"/>
      </w:r>
      <w:r>
        <w:rPr>
          <w:rFonts w:ascii="宋体" w:hAnsi="宋体"/>
          <w:color w:val="auto"/>
          <w:kern w:val="2"/>
          <w:szCs w:val="24"/>
          <w:highlight w:val="none"/>
        </w:rPr>
        <w:fldChar w:fldCharType="end"/>
      </w:r>
    </w:p>
    <w:p>
      <w:pPr>
        <w:pStyle w:val="16"/>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_Toc32722 </w:instrText>
      </w:r>
      <w:r>
        <w:rPr>
          <w:rFonts w:ascii="宋体" w:hAnsi="宋体"/>
          <w:kern w:val="2"/>
          <w:szCs w:val="24"/>
          <w:highlight w:val="none"/>
        </w:rPr>
        <w:fldChar w:fldCharType="separate"/>
      </w:r>
      <w:r>
        <w:rPr>
          <w:rFonts w:hint="eastAsia"/>
          <w:lang w:eastAsia="zh-CN"/>
        </w:rPr>
        <w:t>三、</w:t>
      </w:r>
      <w:r>
        <w:rPr>
          <w:rFonts w:hint="eastAsia"/>
        </w:rPr>
        <w:t>本周国内市场</w:t>
      </w:r>
      <w:r>
        <w:tab/>
      </w:r>
      <w:r>
        <w:fldChar w:fldCharType="begin"/>
      </w:r>
      <w:r>
        <w:instrText xml:space="preserve"> PAGEREF _Toc32722 </w:instrText>
      </w:r>
      <w:r>
        <w:fldChar w:fldCharType="separate"/>
      </w:r>
      <w:r>
        <w:t>13</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_Toc21465 </w:instrText>
      </w:r>
      <w:r>
        <w:rPr>
          <w:rFonts w:ascii="宋体" w:hAnsi="宋体"/>
          <w:kern w:val="2"/>
          <w:szCs w:val="24"/>
          <w:highlight w:val="none"/>
        </w:rPr>
        <w:fldChar w:fldCharType="separate"/>
      </w:r>
      <w:r>
        <w:rPr>
          <w:rFonts w:hint="eastAsia" w:ascii="宋体" w:hAnsi="宋体"/>
          <w:szCs w:val="30"/>
          <w:highlight w:val="none"/>
        </w:rPr>
        <w:t>3.1 国内炼厂装置运行情况</w:t>
      </w:r>
      <w:r>
        <w:tab/>
      </w:r>
      <w:r>
        <w:fldChar w:fldCharType="begin"/>
      </w:r>
      <w:r>
        <w:instrText xml:space="preserve"> PAGEREF _Toc21465 </w:instrText>
      </w:r>
      <w:r>
        <w:fldChar w:fldCharType="separate"/>
      </w:r>
      <w:r>
        <w:t>13</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_Toc3502 </w:instrText>
      </w:r>
      <w:r>
        <w:rPr>
          <w:rFonts w:ascii="宋体" w:hAnsi="宋体"/>
          <w:kern w:val="2"/>
          <w:szCs w:val="24"/>
          <w:highlight w:val="none"/>
        </w:rPr>
        <w:fldChar w:fldCharType="separate"/>
      </w:r>
      <w:r>
        <w:rPr>
          <w:rFonts w:hint="eastAsia" w:ascii="宋体" w:hAnsi="宋体"/>
          <w:szCs w:val="30"/>
          <w:highlight w:val="none"/>
        </w:rPr>
        <w:t>3.2本周成品油市场行情</w:t>
      </w:r>
      <w:r>
        <w:tab/>
      </w:r>
      <w:r>
        <w:fldChar w:fldCharType="begin"/>
      </w:r>
      <w:r>
        <w:instrText xml:space="preserve"> PAGEREF _Toc3502 </w:instrText>
      </w:r>
      <w:r>
        <w:fldChar w:fldCharType="separate"/>
      </w:r>
      <w:r>
        <w:t>15</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_Toc6175 </w:instrText>
      </w:r>
      <w:r>
        <w:rPr>
          <w:rFonts w:ascii="宋体" w:hAnsi="宋体"/>
          <w:kern w:val="2"/>
          <w:szCs w:val="24"/>
          <w:highlight w:val="none"/>
        </w:rPr>
        <w:fldChar w:fldCharType="separate"/>
      </w:r>
      <w:r>
        <w:rPr>
          <w:rFonts w:hint="eastAsia" w:ascii="宋体" w:hAnsi="宋体"/>
          <w:szCs w:val="30"/>
        </w:rPr>
        <w:t>3.3 国内汽油价格周报</w:t>
      </w:r>
      <w:r>
        <w:tab/>
      </w:r>
      <w:r>
        <w:fldChar w:fldCharType="begin"/>
      </w:r>
      <w:r>
        <w:instrText xml:space="preserve"> PAGEREF _Toc6175 </w:instrText>
      </w:r>
      <w:r>
        <w:fldChar w:fldCharType="separate"/>
      </w:r>
      <w:r>
        <w:t>18</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_Toc1004 </w:instrText>
      </w:r>
      <w:r>
        <w:rPr>
          <w:rFonts w:ascii="宋体" w:hAnsi="宋体"/>
          <w:kern w:val="2"/>
          <w:szCs w:val="24"/>
          <w:highlight w:val="none"/>
        </w:rPr>
        <w:fldChar w:fldCharType="separate"/>
      </w:r>
      <w:r>
        <w:rPr>
          <w:rFonts w:hint="eastAsia" w:ascii="宋体" w:hAnsi="宋体"/>
          <w:szCs w:val="30"/>
          <w:lang w:val="en-US" w:eastAsia="zh-CN"/>
        </w:rPr>
        <w:t>3.4国内柴油价格周报</w:t>
      </w:r>
      <w:r>
        <w:tab/>
      </w:r>
      <w:r>
        <w:fldChar w:fldCharType="begin"/>
      </w:r>
      <w:r>
        <w:instrText xml:space="preserve"> PAGEREF _Toc1004 </w:instrText>
      </w:r>
      <w:r>
        <w:fldChar w:fldCharType="separate"/>
      </w:r>
      <w:r>
        <w:t>22</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_Toc18007 </w:instrText>
      </w:r>
      <w:r>
        <w:rPr>
          <w:rFonts w:ascii="宋体" w:hAnsi="宋体"/>
          <w:kern w:val="2"/>
          <w:szCs w:val="24"/>
          <w:highlight w:val="none"/>
        </w:rPr>
        <w:fldChar w:fldCharType="separate"/>
      </w:r>
      <w:r>
        <w:rPr>
          <w:rFonts w:hint="eastAsia" w:ascii="宋体" w:hAnsi="宋体"/>
          <w:szCs w:val="30"/>
          <w:lang w:val="en-US" w:eastAsia="zh-CN"/>
        </w:rPr>
        <w:t>3.5 山东地炼汽油出厂价格周报</w:t>
      </w:r>
      <w:r>
        <w:tab/>
      </w:r>
      <w:r>
        <w:fldChar w:fldCharType="begin"/>
      </w:r>
      <w:r>
        <w:instrText xml:space="preserve"> PAGEREF _Toc18007 </w:instrText>
      </w:r>
      <w:r>
        <w:fldChar w:fldCharType="separate"/>
      </w:r>
      <w:r>
        <w:t>24</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_Toc14357 </w:instrText>
      </w:r>
      <w:r>
        <w:rPr>
          <w:rFonts w:ascii="宋体" w:hAnsi="宋体"/>
          <w:kern w:val="2"/>
          <w:szCs w:val="24"/>
          <w:highlight w:val="none"/>
        </w:rPr>
        <w:fldChar w:fldCharType="separate"/>
      </w:r>
      <w:r>
        <w:rPr>
          <w:rFonts w:hint="eastAsia" w:ascii="宋体" w:hAnsi="宋体"/>
          <w:szCs w:val="30"/>
          <w:lang w:val="en-US" w:eastAsia="zh-CN"/>
        </w:rPr>
        <w:t>3.6 山东地炼柴油出厂价格周报</w:t>
      </w:r>
      <w:r>
        <w:tab/>
      </w:r>
      <w:r>
        <w:fldChar w:fldCharType="begin"/>
      </w:r>
      <w:r>
        <w:instrText xml:space="preserve"> PAGEREF _Toc14357 </w:instrText>
      </w:r>
      <w:r>
        <w:fldChar w:fldCharType="separate"/>
      </w:r>
      <w:r>
        <w:t>27</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_Toc6282 </w:instrText>
      </w:r>
      <w:r>
        <w:rPr>
          <w:rFonts w:ascii="宋体" w:hAnsi="宋体"/>
          <w:kern w:val="2"/>
          <w:szCs w:val="24"/>
          <w:highlight w:val="none"/>
        </w:rPr>
        <w:fldChar w:fldCharType="separate"/>
      </w:r>
      <w:r>
        <w:rPr>
          <w:rFonts w:hint="eastAsia" w:ascii="宋体" w:hAnsi="宋体"/>
          <w:szCs w:val="30"/>
          <w:lang w:val="en-US" w:eastAsia="zh-CN"/>
        </w:rPr>
        <w:t>四、2020年10月份进出口统计数据</w:t>
      </w:r>
      <w:r>
        <w:tab/>
      </w:r>
      <w:r>
        <w:fldChar w:fldCharType="begin"/>
      </w:r>
      <w:r>
        <w:instrText xml:space="preserve"> PAGEREF _Toc6282 </w:instrText>
      </w:r>
      <w:r>
        <w:fldChar w:fldCharType="separate"/>
      </w:r>
      <w:r>
        <w:t>28</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_Toc29710 </w:instrText>
      </w:r>
      <w:r>
        <w:rPr>
          <w:rFonts w:ascii="宋体" w:hAnsi="宋体"/>
          <w:kern w:val="2"/>
          <w:szCs w:val="24"/>
          <w:highlight w:val="none"/>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份全国车用汽油和航空汽油进出口统计数据</w:t>
      </w:r>
      <w:r>
        <w:tab/>
      </w:r>
      <w:r>
        <w:fldChar w:fldCharType="begin"/>
      </w:r>
      <w:r>
        <w:instrText xml:space="preserve"> PAGEREF _Toc29710 </w:instrText>
      </w:r>
      <w:r>
        <w:fldChar w:fldCharType="separate"/>
      </w:r>
      <w:r>
        <w:t>28</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_Toc20744 </w:instrText>
      </w:r>
      <w:r>
        <w:rPr>
          <w:rFonts w:ascii="宋体" w:hAnsi="宋体"/>
          <w:kern w:val="2"/>
          <w:szCs w:val="24"/>
          <w:highlight w:val="none"/>
        </w:rPr>
        <w:fldChar w:fldCharType="separate"/>
      </w:r>
      <w:r>
        <w:rPr>
          <w:rFonts w:hint="eastAsia" w:ascii="宋体" w:hAnsi="宋体"/>
          <w:szCs w:val="30"/>
        </w:rPr>
        <w:t>4.2 201</w:t>
      </w:r>
      <w:r>
        <w:rPr>
          <w:rFonts w:hint="eastAsia" w:ascii="宋体" w:hAnsi="宋体"/>
          <w:szCs w:val="30"/>
          <w:lang w:val="en-US" w:eastAsia="zh-CN"/>
        </w:rPr>
        <w:t>8</w:t>
      </w:r>
      <w:r>
        <w:rPr>
          <w:rFonts w:hint="eastAsia" w:ascii="宋体" w:hAnsi="宋体"/>
          <w:szCs w:val="30"/>
        </w:rPr>
        <w:t>年1</w:t>
      </w:r>
      <w:r>
        <w:rPr>
          <w:rFonts w:hint="eastAsia" w:ascii="宋体" w:hAnsi="宋体"/>
          <w:szCs w:val="30"/>
          <w:lang w:val="en-US" w:eastAsia="zh-CN"/>
        </w:rPr>
        <w:t>1</w:t>
      </w:r>
      <w:r>
        <w:rPr>
          <w:rFonts w:hint="eastAsia" w:ascii="宋体" w:hAnsi="宋体"/>
          <w:szCs w:val="30"/>
        </w:rPr>
        <w:t>月份全国轻柴油进出口统计数据</w:t>
      </w:r>
      <w:r>
        <w:tab/>
      </w:r>
      <w:r>
        <w:fldChar w:fldCharType="begin"/>
      </w:r>
      <w:r>
        <w:instrText xml:space="preserve"> PAGEREF _Toc20744 </w:instrText>
      </w:r>
      <w:r>
        <w:fldChar w:fldCharType="separate"/>
      </w:r>
      <w:r>
        <w:t>29</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_Toc30972 </w:instrText>
      </w:r>
      <w:r>
        <w:rPr>
          <w:rFonts w:ascii="宋体" w:hAnsi="宋体"/>
          <w:kern w:val="2"/>
          <w:szCs w:val="24"/>
          <w:highlight w:val="none"/>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月份全国原油进出口统计数据</w:t>
      </w:r>
      <w:r>
        <w:tab/>
      </w:r>
      <w:r>
        <w:fldChar w:fldCharType="begin"/>
      </w:r>
      <w:r>
        <w:instrText xml:space="preserve"> PAGEREF _Toc30972 </w:instrText>
      </w:r>
      <w:r>
        <w:fldChar w:fldCharType="separate"/>
      </w:r>
      <w:r>
        <w:t>30</w:t>
      </w:r>
      <w:r>
        <w:fldChar w:fldCharType="end"/>
      </w:r>
      <w:r>
        <w:rPr>
          <w:rFonts w:ascii="宋体" w:hAnsi="宋体"/>
          <w:color w:val="auto"/>
          <w:kern w:val="2"/>
          <w:szCs w:val="24"/>
          <w:highlight w:val="none"/>
        </w:rPr>
        <w:fldChar w:fldCharType="end"/>
      </w:r>
    </w:p>
    <w:p>
      <w:pPr>
        <w:pStyle w:val="20"/>
        <w:tabs>
          <w:tab w:val="right" w:leader="dot" w:pos="9638"/>
          <w:tab w:val="clear" w:pos="9170"/>
        </w:tabs>
      </w:pPr>
      <w:r>
        <w:rPr>
          <w:rFonts w:ascii="宋体" w:hAnsi="宋体"/>
          <w:color w:val="auto"/>
          <w:kern w:val="2"/>
          <w:szCs w:val="24"/>
          <w:highlight w:val="none"/>
        </w:rPr>
        <w:fldChar w:fldCharType="begin"/>
      </w:r>
      <w:r>
        <w:rPr>
          <w:rFonts w:ascii="宋体" w:hAnsi="宋体"/>
          <w:kern w:val="2"/>
          <w:szCs w:val="24"/>
          <w:highlight w:val="none"/>
        </w:rPr>
        <w:instrText xml:space="preserve"> HYPERLINK \l _Toc23594 </w:instrText>
      </w:r>
      <w:r>
        <w:rPr>
          <w:rFonts w:ascii="宋体" w:hAnsi="宋体"/>
          <w:kern w:val="2"/>
          <w:szCs w:val="24"/>
          <w:highlight w:val="none"/>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9</w:t>
      </w:r>
      <w:r>
        <w:rPr>
          <w:rFonts w:hint="eastAsia" w:ascii="宋体" w:hAnsi="宋体"/>
          <w:szCs w:val="30"/>
        </w:rPr>
        <w:t>月份全国航空煤油进出口统计数据</w:t>
      </w:r>
      <w:r>
        <w:tab/>
      </w:r>
      <w:r>
        <w:fldChar w:fldCharType="begin"/>
      </w:r>
      <w:r>
        <w:instrText xml:space="preserve"> PAGEREF _Toc23594 </w:instrText>
      </w:r>
      <w:r>
        <w:fldChar w:fldCharType="separate"/>
      </w:r>
      <w:r>
        <w:t>33</w:t>
      </w:r>
      <w:r>
        <w:fldChar w:fldCharType="end"/>
      </w:r>
      <w:r>
        <w:rPr>
          <w:rFonts w:ascii="宋体" w:hAnsi="宋体"/>
          <w:color w:val="auto"/>
          <w:kern w:val="2"/>
          <w:szCs w:val="24"/>
          <w:highlight w:val="none"/>
        </w:rPr>
        <w:fldChar w:fldCharType="end"/>
      </w:r>
    </w:p>
    <w:p>
      <w:pPr>
        <w:pStyle w:val="2"/>
        <w:spacing w:before="120" w:after="0" w:line="240" w:lineRule="auto"/>
        <w:rPr>
          <w:rFonts w:ascii="宋体" w:hAnsi="宋体"/>
          <w:b/>
          <w:color w:val="auto"/>
          <w:sz w:val="24"/>
          <w:szCs w:val="24"/>
          <w:highlight w:val="none"/>
        </w:rPr>
      </w:pPr>
      <w:r>
        <w:rPr>
          <w:rFonts w:ascii="宋体" w:hAnsi="宋体"/>
          <w:color w:val="auto"/>
          <w:kern w:val="2"/>
          <w:szCs w:val="24"/>
          <w:highlight w:val="none"/>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16746"/>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28813"/>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休市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47.8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原油收盘下跌，此前油价连日上涨后技术面存在一定回调压力，此外，尽管此前市场预期OPEC将延长减产时间，但OPEC内部的潜在矛盾也令市场担忧。</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2020/11/27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45.53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48.18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原油收盘涨跌不一。市场预期OPEC+将在部长级会议上做出延长减产三至六个月的决定，油价受此提振上涨。WTI前一交易日因感恩节假期休市，今日收盘小幅下跌，但跌幅较前一交易日收窄。</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2020/11/30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45.34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47.59</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油收盘小幅下跌。OPEC内部对推迟增产仍存不同意见,阿联酋和伊拉克两国代表对供给政策表示不满，直到周一的OPEC会议结束，也未能宣布官方决定。根据最新市场消息，原定周二(12月1日)举行的OPEC+会议或将改在12月3日举行，以便进行“进一步协商”。</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44.55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47.42</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连续两日收盘下跌。OPEC内部对推迟增产仍存不同意见，消息人士称，俄罗斯提议OPEC+从明年1月起每月增产50万桶/日，这与沙特推迟增产的观点产生分歧。OPEC+推迟减产政策会议令市场不确定性增加,国际油价继续承压下滑。</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45.28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48.25</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原油收盘上涨。EIA原油库存减少支撑油价，而美国试图通过新的财政刺激计划也令市场乐观情绪增加。此外，尽管OPEC+内部还有分歧，但市场观点普遍认为OPEC将推迟增产计划。</w:t>
            </w:r>
          </w:p>
        </w:tc>
      </w:tr>
    </w:tbl>
    <w:p>
      <w:pPr>
        <w:jc w:val="center"/>
        <w:rPr>
          <w:rFonts w:hint="eastAsia"/>
        </w:rPr>
      </w:pPr>
    </w:p>
    <w:p>
      <w:pPr>
        <w:pStyle w:val="3"/>
        <w:spacing w:before="120" w:after="120" w:line="240" w:lineRule="auto"/>
        <w:rPr>
          <w:rFonts w:hint="eastAsia" w:ascii="宋体" w:hAnsi="宋体"/>
          <w:b/>
          <w:sz w:val="30"/>
          <w:szCs w:val="30"/>
        </w:rPr>
      </w:pPr>
      <w:bookmarkStart w:id="2" w:name="_Toc31552"/>
      <w:r>
        <w:rPr>
          <w:rFonts w:hint="eastAsia" w:ascii="宋体" w:hAnsi="宋体"/>
          <w:b/>
          <w:sz w:val="30"/>
          <w:szCs w:val="30"/>
        </w:rPr>
        <w:t>1.2 20</w:t>
      </w:r>
      <w:r>
        <w:rPr>
          <w:rFonts w:hint="eastAsia" w:ascii="宋体" w:hAnsi="宋体"/>
          <w:b/>
          <w:sz w:val="30"/>
          <w:szCs w:val="30"/>
          <w:lang w:val="en-US" w:eastAsia="zh-CN"/>
        </w:rPr>
        <w:t>20</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447030" cy="3342640"/>
            <wp:effectExtent l="0" t="0" r="12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47030" cy="3342640"/>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19459"/>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7066"/>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57880954"/>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能源信息署(EIA)公布报告显示，截至11月20日当周美国除却战略储备的商业原油库存意外低于预期，精炼油库存降幅不及预期，汽油库存超出预期。具体数据显示，美国截至11月20日当周EIA原油库存变动实际公布减少75.40万桶，预期增长22.5万桶，前值增长76.9万桶。美国截至11月20日当周EIA汽油库存实际公布增加218万桶，预期增加115万桶，前值增加261.1万桶;美国截至11月20日当周EIA精炼油库存实际公布减少144.10万桶，预期减少225万桶，前值减少521.6万桶。美国11月20日当周EIA库欣地区原油库存变动 -172.1万桶，前值 120万桶。美国石油协会(API)公布的数据显示，截至11月20日当周，API原油库存增加380万桶至4.9亿桶，预期减少33.3万桶;汽油库存增加130万桶;精炼油库存减少180万桶;库欣原油库存减少140万桶;上周汽油库存增加130万桶;上周精炼油库存减少180万桶;上周原油进口增加23.7万桶/日。</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57880955"/>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3日凌晨，美股周三收盘涨跌不一。标普500指数小幅上扬并刷新历史最高收盘纪录。美参院两党部分议员提出9080亿美元经济刺激计划，但遭参议院多数派领袖麦康奈尔否决。英国成全球首个批准辉瑞新冠疫苗国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道指涨61.12点，或0.20%，报29885.04点;纳指跌5.74点，或0.05%，报12349.37点;标普500指数涨6.56点，或0.18%，报3669.01点。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道指成分股赛富时(CRM)收盘下跌8.6%，此前该公司宣布将收购工作信息软件公司Slack(WORK)，交易价值277亿美元。与此同时，赛富时宣布第三财季盈利超出预期，但其第四财季盈利指引令人失望。</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美联储主席鲍威尔周三继续出席国会听证会。鲍威尔周二警告美国经济仍然脆弱，敦促国会推出财政刺激措施。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投资者对一款冠状病毒疫苗获批与分发一直持乐观态度。辉瑞制药(PFE)与Moderna(MRNA)公司已向美国食品与药物管理局(FDA)提交了疫苗经济适用授权(EUA)申请。此外，英国已成全球首个批准辉瑞新冠疫苗的国家。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美国副总统迈克-彭斯周二对各州州长表示，首批疫苗最早可能从本月中旬开始分发。许多健康专家预测到明年年中疫苗可广泛分发。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美参院两党议员提议9080亿美元刺激方案 遭共和党领袖否决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美国人仍在与冠状病毒疫情及其经济影响作斗争，但美国国会与政府仍未就新一轮抗疫纾困财政刺激措施的规模与范围达成共识。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周二，美国国会两党部分共和党与民主党议员提出9080亿美元新版经济刺激计划，但遭到参议院多数派领袖米奇-麦康奈尔(Mitch McConnell)否决。此前麦康奈尔表示仅支持大约5000亿美元的援助方案。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市场普遍认为，若无财政刺激，美国经济面临重新陷入萎缩的危险。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美国众议院议长佩洛西和美国参议院民主党领袖舒默支持两党计划作为刺激谈判的基础，投资者仍对国会在出台纾困方案抱有希望。</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美国国会众议院多数党派领袖Steny Hoyer周三表示，他希望最早在本周末达成新一轮财政刺激措施的原则性协议。</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但是共和党和民主党领导人都没有为该方案背书。当选总统拜登迄今为止支持众议院议长南希-佩洛西的立场，后者一直在推动规模2.4万亿美元的法案。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美国白宫新闻秘书麦克纳尼称，参议院两党提出的9080亿美元的经济刺激方案并不在白宫和国会领袖纾困方案的谈判范围内。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麦康奈尔周二称，希望今年能通过他所谓的“有针对性的救助法案”，参议院共和党人正在审查他们认为特朗普会签署成为法律的救济方案，他计划为参议院共和党人提供潜在的解决方案并获得他们的反馈。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Baird投资策略分析师Ross Mayfield表示：“在未来几个月内，如果什么形式的财政刺激措施都没有，我认为出现经济放缓乃至双底衰退——或某些人所谓的回调——的可能性更大。”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他表示：“但如果未来的前景一片光明，那么股市就可以忽略一些实际的经济损失。现在疫苗研发带来了光明的前景。”</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StoneX全球市场分析师Yousef Abbasi表示：“跛脚鸭议会期间达成协议的可能性似乎有所提高，但即使能通过刺激协议，其规模也会远远小于大选前讨论过的1万亿美元。”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英国成全球首个批准辉瑞新冠疫苗国家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辉瑞制药公司和德国BioNTech制药公司周三表示，其合作研制的新冠疫苗已经获得英国政府的批准，在英国开始新冠病毒疫苗的紧急注射工作。英国媒体报道说，英国医院已经接到通知，从下周开始将优先为医疗工作人员注射新冠疫苗。</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英国政府表示，已经有800000剂疫苗准备好从比利时运往英国。在美国和欧盟做出决定之前，英国的监管机构批准了辉瑞联合BioNTech SE研发的新冠疫苗。</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紧急使用授权为部署该款疫苗扫清了道路。辉瑞及其德国合作伙伴表示，该疫苗预防新冠肺炎的有效性达95%。英国下周起将开始提供该疫苗。</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英国卫生大臣Matt Hancock在电台采访中说：“这将是历史上最大的民用项目之一”。有50家医院在准备接种该疫苗，已有800000剂疫苗准备好从比利时运往英国。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美国11月ADP就业数据不及预期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美国11月ADP就业人数增加30.7万，预期值为41万，前值从36.5万修正至40.4万。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ADP报告称，美国就业增长步伐继续放缓。但11月所有行业、规模的就业增长保持正增长。10月新增就业岗位总数由36.5万个修正至40.4万个。</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分析机构指出，ADP报告公布的实际数据逊于预期，突显出周五非农就业数据面临的一些下行风险。但问题是，这份报告在预测新冠病毒大流行时的政府数据方面做得很糟糕。市场对该报告的反应微乎其微，但也有轻微的避险情绪。</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报告表明，美国11月份的商品和服务行业的就业人数都有所增加，但速度放缓。目前的迹象表明美国劳动力市场正在迅速衰退。</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今年的全球经济衰退与2008-09年的危机有很大不同，在通常的经济衰退中，制造业的表现不如服务业。但今年情况不同，在保持社交距离的限制下，服务业的崩溃比制造业更为严重，复苏速度也比不上制造业。</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此外，许多制造业，不再像以前那样属于劳动密集型。与制造业相比，服务业可以提供更多的就业机会。但目前很明显，服务业的情况不佳，这预计会拖累劳动力市场复苏。</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周三欧洲泛欧绩优300指数收跌0.02%，英国富时100指数收涨1.17%，德国DAX指数收跌0.55%，法国CAC指数收跌0.03%，西班牙IBEX指数收涨0.9%。</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美国原油期货价格周三收高。有报道称OPEC+将宣布一项协议，将目前的减产协议延期到明年。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The Price Futures Group高级市场分析师Phil Flynn表示：“OPEC+谈判高层人士透露的消息似乎表明，此前曾被怀疑的将减产协议时间再延长三个月的说法，似乎又有可能成为现实。”</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Phil Flynn表示，与此同时，英国批准冠状病毒疫苗，以及关于美国众议院议长佩洛西与财政部长姆努钦就抗疫纾困刺激计划进行了讨论，使石油价格前景“突然看起来更加乐观”。</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纽约商品交易所1月交割的西德克萨斯中质原油(WTI)上涨73美分，涨幅为1.6%，报收于每桶45.28美元。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ind w:firstLine="562" w:firstLineChars="200"/>
        <w:outlineLvl w:val="1"/>
        <w:rPr>
          <w:rFonts w:hint="eastAsia" w:asciiTheme="minorEastAsia" w:hAnsiTheme="minorEastAsia" w:eastAsiaTheme="minorEastAsia" w:cstheme="minorEastAsia"/>
          <w:b/>
          <w:bCs/>
          <w:sz w:val="28"/>
          <w:szCs w:val="28"/>
        </w:rPr>
      </w:pPr>
      <w:bookmarkStart w:id="7" w:name="_Toc57880956"/>
      <w:r>
        <w:rPr>
          <w:rFonts w:hint="eastAsia" w:asciiTheme="minorEastAsia" w:hAnsiTheme="minorEastAsia" w:eastAsiaTheme="minorEastAsia" w:cstheme="minorEastAsia"/>
          <w:b/>
          <w:bCs/>
          <w:sz w:val="28"/>
          <w:szCs w:val="28"/>
        </w:rPr>
        <w:t>3.世界经济形势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地时间12月1日，总部位于法国巴黎的经济合作与发展组织(OECD)发布最新的全球经济展望报告。报告指出，中国将是今年唯一实现了经济正增长的国家。到明年年底，全球经济可能恢复到新冠肺炎疫情暴发前的水平，预计中国对明年全球经济增长的贡献将达到三分之一。</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告预计，受新冠肺炎疫情影响，今年全球经济下降4.2%。随着未来新冠疫苗投入使用，将有助于提振市场信心，推动全球经济复苏。全球经济可能在明年年底恢复到新冠肺炎疫情暴发前的水平，但增长可能不平衡。预计明年中国对全球经济增长的贡献将达到三分之一。</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经合组织首席经济学家布恩表示，可以看到中国和韩国比其他国家更好地应对了危机，中国和韩国在全球经济增长中都有相当大的占比。</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布恩表示，随着新冠疫苗投入使用以及各国对于疫情的管控，全球经济形势将更加光明，但情况仍不稳定。尤其是对于中小型企业而言，持续的不确定性将使它们的生存受到威胁，面临更加严重的经济损失。布恩指出，疫情对经济造成的后果未来数年将一直持续，各国政府须尽快解决其对最弱势群体的影响。</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经合组织秘书长古里亚表示，目前许多国家正面临疫情反弹，经济复苏也会受到影响。新冠肺炎疫情是一个全球性的问题，现在比以往任何时候都更需要进行国际合作。</w:t>
      </w:r>
    </w:p>
    <w:p>
      <w:pPr>
        <w:rPr>
          <w:rFonts w:hint="eastAsia"/>
        </w:rPr>
      </w:pPr>
    </w:p>
    <w:p>
      <w:pPr>
        <w:pStyle w:val="23"/>
        <w:numPr>
          <w:ilvl w:val="0"/>
          <w:numId w:val="2"/>
        </w:numPr>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后市预测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WTI原油原油价格在44.55-45.53美元/桶。布伦特原油价格在47.42-48.25美元/桶震荡。周内国际油价窄幅震荡。油价周三收高，因英国批准了一种新冠疫苗，这提振了人们对需求复苏的希望，且越来越多的人预期，产油国明年将维持产量限制措施。布兰特原油期货结算价上涨0.83美元，或1.75%，报每桶48.25美元。美国原油期货结算价上涨0.73美元，或1.64%，报每桶45.28美元。基本面利好因素：1.对美国推出新冠纾困措施的乐观预期支撑了油价。美国停滞不前的新冠援助谈判周二出现了新的转机，两党议员公布了一项妥协后的提案，民主党和白宫的谈判代表也将恢复谈判。众议院议长佩洛西和财政部长努钦将于当地时间周二下午进行讨论。与此同时，在经过一个月的讨论后，来自参众两院的一些议员周二上午公布了一项规模9080亿美元的援助提案，希望在民主党和共和党领导人的立场之间找到折衷。2.美国辉瑞制药公司和德国BioNTech制药公司周三表示，其合作研制的新冠疫苗已经获得英国政府的批准，在英国开始新冠病毒疫苗的紧急注射工作。英国媒体报道说，英国医院已经接到通知，从下周开始将优先为医疗工作人员注射新冠疫苗。3.随着沙特10月份减量出口的原油最终抵达美国港口，美国炼油厂接收的沙特原油量降至1985年以来最低水平。10月份，沙特发往美国的原油不到10万桶/日，而同期对华出口增长。来自沙特的油轮大约需要6周时间才能抵达美国墨西哥湾沿岸或太平洋沿岸。因此，正如美国能源信息管理局的初步数据显示，上周交付美国客户的原油量只有7.3万桶/日。这是2010年6月有每周数据以来的最低记录;若以月度数据计算，则是1985年以来最低——当时，有几个月进口沙特原油量为零。基本面利空因素：1.香港时间周三晚23:30，美国能源信息署(EIA)公布的数据显示，截至11月27日当周，原油库存减少67.9万桶，预期减少198万桶，前值减少75.4万桶;汽油库存增加349.1万桶，预期增加200万桶，前值增加218万桶;精炼油库存增加323.8万桶，为连续10周录得下滑后录得增长，且创9月18日当周以来新高，预期减少150万桶，前值减少144.1万桶;美国国内原油产量增加10万桶至1110万桶/日，为连续第3周录得增长。2.油市的部分交易员正在空前规模地做空原油。据洲际交易所欧洲期货交易所数据显示，被监管机构和交易所归类为“其他可报告”的交易员目前持有创纪录的近470,000张布伦特期货合约空头头寸。这个类别的交易员包括公开信息中查不到其业务活动的实体，或者不适合归入其他主要报告类别的交易商、投机者、生产者或消费者。高频交易员和自营交易行将被包括在内。他们的看跌押注相当于4.7亿桶石油，与传统投机者的仓位形成鲜明对比：上周，传统投机者的布伦特净多头仓位升至9个月高位。3.据Worldometers实时统计数据显示，截至香港时间12月3日03时42分，全球新冠肺炎确诊病例达6461万例，新增425921例至64612424例，死亡病例达149万例，新增9371例至1495307例。全球确诊病例超过10万例的国家有66个。美国新冠肺炎确诊病例达1419万例，新增86472例至14195078例，占全球确诊病例的约五分之一;死亡病例达27万例，新增1627例至278606例，占全球死亡人数的近五分之一。</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预测下周WTI油价将触及43-46美元/桶，布油在之后几个月触及46-49美元/桶。</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3"/>
        <w:spacing w:before="120" w:after="120" w:line="240" w:lineRule="auto"/>
        <w:rPr>
          <w:rFonts w:hint="eastAsia" w:ascii="宋体" w:hAnsi="宋体"/>
          <w:b/>
          <w:sz w:val="30"/>
          <w:szCs w:val="30"/>
          <w:highlight w:val="none"/>
        </w:rPr>
      </w:pPr>
      <w:bookmarkStart w:id="8" w:name="_Toc27106"/>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446.90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135.37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452.50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456.00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133.42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443.25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11月30日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456.50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136.27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11月27日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449.75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11月26日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460.50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446.00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bookmarkStart w:id="9" w:name="_Toc32722"/>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21465"/>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2020年7月中旬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北海炼化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青岛石化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云南石化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2021年1月底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9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522"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277"/>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2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2020年9月3日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齐成石化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0"/>
                <w:szCs w:val="20"/>
                <w:u w:val="none"/>
                <w:lang w:val="en-US" w:eastAsia="zh-CN" w:bidi="ar"/>
              </w:rPr>
              <w:t>计划2020年11月中旬</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2020年10月31日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计划2020年11月12日</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3502"/>
      <w:r>
        <w:rPr>
          <w:rFonts w:hint="eastAsia" w:ascii="宋体" w:hAnsi="宋体"/>
          <w:b/>
          <w:sz w:val="30"/>
          <w:szCs w:val="30"/>
          <w:highlight w:val="none"/>
        </w:rPr>
        <w:t>3.2本周成品油市场行情</w:t>
      </w:r>
      <w:bookmarkEnd w:id="11"/>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22" w:name="_GoBack"/>
      <w:r>
        <w:rPr>
          <w:rFonts w:hint="eastAsia" w:asciiTheme="minorEastAsia" w:hAnsiTheme="minorEastAsia" w:eastAsiaTheme="minorEastAsia" w:cstheme="minorEastAsia"/>
          <w:color w:val="333335"/>
          <w:kern w:val="2"/>
          <w:sz w:val="28"/>
          <w:szCs w:val="28"/>
          <w:shd w:val="clear" w:color="auto" w:fill="FFFFFF"/>
        </w:rPr>
        <w:t>本周，国际原油期货震荡上行，据测算第十个工作日参考原油变化率为9.63%。受此影响，国内成品油市场购销氛围持淡，各地主营单位汽柴油销售采取保利措施。与此同时，山东地炼成品油行情则涨势喜人，区内炼厂报价频频调涨，且成交优惠100元/吨以内。具体来看出货方面：随着主营单位外采计划增量，地炼方面陆续接到大量订单，故而在无库存压力下推价动力十足。另外行情拉涨亦刺激绝大多数下游用户入市跟涨，其中多以社会单位加油站为主，因此近期地炼整体出货量得到大幅提升，周期内汽油平均产销比在100-110%左右，柴油平均产销比在90-100%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本周(11月27日-12月3日)利好因素稍占上风 华中区内油价延续涨势 具体分析如下，周内国际原油期价趋弱回调，不过变化率始终维持正向发展，且零售价将于今日兑现上调，消息面整体指向偏好。加之本周地炼汽柴油价格涨幅较大，主营成本面亦有支撑。再者本周恰逢销售周期交接，主营销售压力暂缓，诸多因素支撑主营侧重挺价保利政策，汽柴油价格稳中上涨。不过因价格涨至高位，下游用户入市意向明显转淡，市场成交多为刚需小单，购销气氛十分清淡。后市来看，国际油价或偏强震荡整理，新一轮变化率仍有望正向开端，消息面或将维持利好指向。据悉，主营年度销售任务正在陆续完成，主营销售压力不大，且因前期主营利润亏损较为严重，后期或将维持挺价政策。预计下周区内汽柴油价格或高位持坚，各单位或根据自身情况灵活调整优惠政策。</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27日-12月3日)，华东地区成品油行情小幅下跌，消息面多空因素交织，市场整体购进意识不强。具体来看，周内国际油价震荡上行，但消息面利空因素居多，周初区内部分主营单位下调汽柴油价格，下调幅度在50-100元/吨。与此同时，山东地炼汽柴油均价大幅上涨，令主营外采成本不断上升。截止今日，区内大部分主营单位仍以挺价为主，而本轮零售价上调影响，江苏地区中石化和中化，以及浙江地区中油汽油价格，均小幅推涨50元/吨，市场忧虑情绪有所缓解，但汽柴油终端消耗一般，整体需求平淡，下游大型贸易商前期备货充足，仍消库观望为主，入市补货多散户，成交小单为主，故市场整体购进意识不强。后市而言，国际油价短期内或震荡上涨，故预计短期内华东地区成品油行情或窄幅波动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26日-12月3日)，华南地区汽柴油市场整体呈现震荡盘整走势，业者购进操作谨慎，交投气氛清淡。具体来看，广东地区汽柴油市场继续上涨承压，主营挂牌价格均维持平稳走势，受原油价格连续下滑拖累，部分市场价格零星下滑，实际成交价格明稳暗跌，下游补仓热情逐步降温，市场大单成交难现，月初市场多维持优惠出货。福建地区汽柴油市场受成品油上调预期提振，主营单位价格维持上涨走势，但终端市场购进操作谨慎，实际出货情况依旧清淡。近期国际原油市场维持震荡盘整走势，消息面对国内油价支撑作用并不明显，虽新一轮成品油调价窗口呈现小幅上涨预期，但业者操作积极性不高，市场成交有限，不排除油价有小幅回落的可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本周(11月27日-12月3日)，上调预期支撑 华北区内汽柴继续上涨 本周国际油价走势震荡上涨，国内调价预期维持上调，区内油价走势不断推涨。周初适逢月底，主营单位调价意向不高，区内主营报价持稳观望，仅个别单位小幅调整。但受上调预期支撑，山东地炼周内推涨热情较高，随调价窗口临近，主营单位进入新的销售周期，月初挺价保利心态较重，价格走势普遍上涨50-100元/吨，中下游用户在上周推涨过程中普遍备货，继续追涨气氛不高，成交气氛整体清淡。后市而言，新一轮调价预期正向开端，变化率短期内维持正值将继续支撑行情，但因区内市场多提前消化部分涨幅，预计后市上涨空间受限。目前主营销售进度完成情况表现不一，但年底主营销售政策多侧重保利，近期价格走势将继续坚挺，部分地区价格仍有推涨可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27日-12月3日)，西南地区汽柴行情维持上行趋势，市场成交气氛平平。分析来看：周内国际油价走势震荡，但变化率维持正向较大区间运行，本周四成品油上调窗口如期开启，消息面对市场仍有支撑。与此同时，适逢月度交替阶段，主营挺价意愿强烈，因此汽柴价格仍维持坚挺，部分单位价格仍有推涨。不过，下游需求波动不大，对市场支撑力度有限。加之，近期汽柴价格涨幅明显，业者抵触情绪增加，适量补货之后再度退市消库，市场成交逐步转淡。就后市而言，随着零售价上调兑现，区内主营价格或继续跟涨。后期国际油价或稳中有涨，新一轮变化率仍维持正向，消息面仍有一定利好。下游需求难有提升，业者消库之余按需补货为主，市场成交难有明显提升。预计下周西南地区汽柴行情仍有一定上行空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27日-12月3日)，西北地炼汽柴行情维持涨势，市场购销氛围平淡。分析来看：周内国际油价震荡上行，变化率正向区间运行，本周四成品油零售价上调将如期兑现，消息面利好对市场仍有提振。与此同时，山东地炼近期汽柴价格涨幅明显，对区内市场冲击减弱。另外，延长库存压力亦低，因此汽柴价格仍有推涨。柴油方面，随着天气转冷，户外工程基建等行业开工率逐步下降，柴油需求将转弱，业者补货心态趋于谨慎，市场成交氛围平淡;汽油方面，下游需求波动不大，业者刚需补货为主，市场成交提升亦有限。就后市而言，国际油价或稳中有涨，新一轮变化率或仍维持正向区间运行，消息面仍存利好。预计短线西北地炼汽柴行情维持坚挺，汽油存上涨空间。不过，需求面难有支撑，业者按需采购为主，市场成交波动不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国际原油期价将根据OPEC+第180次会议的结果而动，大概率事件是稳中有涨。以WTI为例，主流运行区间在43-48(均值45.5)美元/桶之间，环比上涨0.32美元/桶或0.71%。在消息面利好持续作用下，山东地区成品油行情有望保持坚挺，但时至需求淡季，中下游商家切忌盲目追涨，建议营销模式为快进快出为宜。综上所述，预计下周山东地炼汽柴油价格仍有上涨空间，幅度在100元/吨左右。</w:t>
      </w:r>
    </w:p>
    <w:bookmarkEnd w:id="22"/>
    <w:p>
      <w:pPr>
        <w:pStyle w:val="3"/>
        <w:spacing w:before="120" w:after="120" w:line="240" w:lineRule="auto"/>
        <w:rPr>
          <w:rFonts w:ascii="宋体" w:hAnsi="宋体"/>
          <w:b/>
          <w:sz w:val="30"/>
          <w:szCs w:val="30"/>
        </w:rPr>
      </w:pPr>
      <w:bookmarkStart w:id="12" w:name="_Toc6175"/>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tbl>
      <w:tblPr>
        <w:tblW w:w="9615" w:type="dxa"/>
        <w:tblInd w:w="0" w:type="dxa"/>
        <w:shd w:val="clear"/>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tblCellMar>
            <w:top w:w="0" w:type="dxa"/>
            <w:left w:w="0" w:type="dxa"/>
            <w:bottom w:w="0" w:type="dxa"/>
            <w:right w:w="0"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2020/11/26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5380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5990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bl>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1004"/>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W w:w="9675" w:type="dxa"/>
        <w:tblInd w:w="0" w:type="dxa"/>
        <w:shd w:val="clear"/>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2020/11/26</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4990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2020/11/26</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4990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8007"/>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W w:w="9705" w:type="dxa"/>
        <w:tblInd w:w="0" w:type="dxa"/>
        <w:shd w:val="clear"/>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2020/11/26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5245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5615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5395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5615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5474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5393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5714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14357"/>
      <w:r>
        <w:rPr>
          <w:rFonts w:hint="eastAsia" w:ascii="宋体" w:hAnsi="宋体"/>
          <w:b/>
          <w:sz w:val="30"/>
          <w:szCs w:val="30"/>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p>
      <w:pPr>
        <w:rPr>
          <w:rFonts w:hint="eastAsia"/>
          <w:lang w:val="en-US" w:eastAsia="zh-CN"/>
        </w:rPr>
      </w:pPr>
    </w:p>
    <w:tbl>
      <w:tblPr>
        <w:tblW w:w="9630" w:type="dxa"/>
        <w:tblInd w:w="0" w:type="dxa"/>
        <w:shd w:val="clear"/>
        <w:tblLayout w:type="autofit"/>
        <w:tblCellMar>
          <w:top w:w="0" w:type="dxa"/>
          <w:left w:w="0" w:type="dxa"/>
          <w:bottom w:w="0" w:type="dxa"/>
          <w:right w:w="0" w:type="dxa"/>
        </w:tblCellMar>
      </w:tblPr>
      <w:tblGrid>
        <w:gridCol w:w="675"/>
        <w:gridCol w:w="1875"/>
        <w:gridCol w:w="1080"/>
        <w:gridCol w:w="1080"/>
        <w:gridCol w:w="1080"/>
        <w:gridCol w:w="1080"/>
        <w:gridCol w:w="1380"/>
        <w:gridCol w:w="1380"/>
      </w:tblGrid>
      <w:tr>
        <w:tblPrEx>
          <w:shd w:val="clear"/>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16" w:name="_Toc6282"/>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2020/11/19</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四、2020年10月份进出口统计数据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9710"/>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tbl>
      <w:tblPr>
        <w:tblStyle w:val="24"/>
        <w:tblW w:w="9719" w:type="dxa"/>
        <w:tblInd w:w="0" w:type="dxa"/>
        <w:shd w:val="clear" w:color="auto" w:fill="auto"/>
        <w:tblLayout w:type="autofit"/>
        <w:tblCellMar>
          <w:top w:w="0" w:type="dxa"/>
          <w:left w:w="0" w:type="dxa"/>
          <w:bottom w:w="0" w:type="dxa"/>
          <w:right w:w="0" w:type="dxa"/>
        </w:tblCellMar>
      </w:tblPr>
      <w:tblGrid>
        <w:gridCol w:w="2163"/>
        <w:gridCol w:w="2100"/>
        <w:gridCol w:w="2006"/>
        <w:gridCol w:w="3450"/>
      </w:tblGrid>
      <w:tr>
        <w:tblPrEx>
          <w:shd w:val="clear" w:color="auto" w:fill="auto"/>
          <w:tblCellMar>
            <w:top w:w="0" w:type="dxa"/>
            <w:left w:w="0" w:type="dxa"/>
            <w:bottom w:w="0" w:type="dxa"/>
            <w:right w:w="0" w:type="dxa"/>
          </w:tblCellMar>
        </w:tblPrEx>
        <w:trPr>
          <w:trHeight w:val="765" w:hRule="atLeast"/>
        </w:trPr>
        <w:tc>
          <w:tcPr>
            <w:tcW w:w="2163"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出口目的地</w:t>
            </w:r>
          </w:p>
        </w:tc>
        <w:tc>
          <w:tcPr>
            <w:tcW w:w="210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数量</w:t>
            </w:r>
          </w:p>
        </w:tc>
        <w:tc>
          <w:tcPr>
            <w:tcW w:w="2006"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单位</w:t>
            </w:r>
          </w:p>
        </w:tc>
        <w:tc>
          <w:tcPr>
            <w:tcW w:w="345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巴基斯坦</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153145.4</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57062371</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菲律宾</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252346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94544052</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韩国</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29249.6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11747499</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马来西亚</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221023.3</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79680134</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蒙古</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5618.5</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2292804</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缅甸</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5275.8</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1898953</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墨西哥</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105808.2</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40117311</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尼日利亚</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73000</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16780000</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新加坡</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1032679.6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386511676</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越南</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23332</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11594580</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中国澳门</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4286.239</w:t>
            </w:r>
          </w:p>
        </w:tc>
        <w:tc>
          <w:tcPr>
            <w:tcW w:w="2006"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1200147</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p>
      <w:pPr>
        <w:pStyle w:val="3"/>
        <w:spacing w:before="120" w:after="120" w:line="240" w:lineRule="auto"/>
        <w:rPr>
          <w:rFonts w:hint="eastAsia" w:ascii="宋体" w:hAnsi="宋体"/>
          <w:b/>
          <w:sz w:val="30"/>
          <w:szCs w:val="30"/>
        </w:rPr>
      </w:pPr>
      <w:bookmarkStart w:id="18" w:name="_Toc20744"/>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B0F0"/>
                <w:szCs w:val="21"/>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9"/>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30972"/>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keepNext w:val="0"/>
        <w:keepLines w:val="0"/>
        <w:widowControl/>
        <w:suppressLineNumbers w:val="0"/>
        <w:jc w:val="center"/>
        <w:textAlignment w:val="center"/>
        <w:rPr>
          <w:rFonts w:hint="eastAsia"/>
          <w:bCs/>
          <w:szCs w:val="21"/>
        </w:rPr>
      </w:pPr>
    </w:p>
    <w:tbl>
      <w:tblPr>
        <w:tblStyle w:val="24"/>
        <w:tblW w:w="5026" w:type="pct"/>
        <w:tblInd w:w="0" w:type="dxa"/>
        <w:tblLayout w:type="autofit"/>
        <w:tblCellMar>
          <w:top w:w="0" w:type="dxa"/>
          <w:left w:w="108" w:type="dxa"/>
          <w:bottom w:w="0" w:type="dxa"/>
          <w:right w:w="108" w:type="dxa"/>
        </w:tblCellMar>
      </w:tblPr>
      <w:tblGrid>
        <w:gridCol w:w="836"/>
        <w:gridCol w:w="751"/>
        <w:gridCol w:w="749"/>
        <w:gridCol w:w="767"/>
        <w:gridCol w:w="1449"/>
        <w:gridCol w:w="1649"/>
        <w:gridCol w:w="1060"/>
        <w:gridCol w:w="2644"/>
      </w:tblGrid>
      <w:tr>
        <w:tblPrEx>
          <w:tblCellMar>
            <w:top w:w="0" w:type="dxa"/>
            <w:left w:w="108" w:type="dxa"/>
            <w:bottom w:w="0" w:type="dxa"/>
            <w:right w:w="108" w:type="dxa"/>
          </w:tblCellMar>
        </w:tblPrEx>
        <w:trPr>
          <w:trHeight w:val="1230" w:hRule="atLeast"/>
        </w:trPr>
        <w:tc>
          <w:tcPr>
            <w:tcW w:w="42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产品</w:t>
            </w:r>
          </w:p>
        </w:tc>
        <w:tc>
          <w:tcPr>
            <w:tcW w:w="379"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年度</w:t>
            </w:r>
          </w:p>
        </w:tc>
        <w:tc>
          <w:tcPr>
            <w:tcW w:w="378"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月份</w:t>
            </w:r>
          </w:p>
        </w:tc>
        <w:tc>
          <w:tcPr>
            <w:tcW w:w="386"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73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进口数量/吨</w:t>
            </w:r>
          </w:p>
        </w:tc>
        <w:tc>
          <w:tcPr>
            <w:tcW w:w="83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进口金额/美元</w:t>
            </w:r>
          </w:p>
        </w:tc>
        <w:tc>
          <w:tcPr>
            <w:tcW w:w="53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出口数量/吨</w:t>
            </w:r>
          </w:p>
        </w:tc>
        <w:tc>
          <w:tcPr>
            <w:tcW w:w="133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出口金额/美元</w:t>
            </w:r>
          </w:p>
        </w:tc>
      </w:tr>
      <w:tr>
        <w:tblPrEx>
          <w:tblCellMar>
            <w:top w:w="0" w:type="dxa"/>
            <w:left w:w="108" w:type="dxa"/>
            <w:bottom w:w="0" w:type="dxa"/>
            <w:right w:w="108" w:type="dxa"/>
          </w:tblCellMar>
        </w:tblPrEx>
        <w:trPr>
          <w:trHeight w:val="420" w:hRule="atLeast"/>
        </w:trPr>
        <w:tc>
          <w:tcPr>
            <w:tcW w:w="422" w:type="pct"/>
            <w:vMerge w:val="restart"/>
            <w:tcBorders>
              <w:top w:val="single" w:color="000000" w:sz="8" w:space="0"/>
              <w:left w:val="single" w:color="auto" w:sz="8" w:space="0"/>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石油原油(包括从沥青矿物提取的原油)</w:t>
            </w: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阿联酋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2823581.29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901379190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阿曼</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3115927.65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1020238282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阿塞拜疆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122612.78</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46824024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埃及</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138396.24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46550821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安哥拉</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3524036.51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1087675910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巴西</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3240274.44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997027252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赤道几内亚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90055.06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27550919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6640388.33</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1983668345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厄瓜多尔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875228.17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254264576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刚果(布)</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522890.67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157218555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刚果(金)</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124397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43538950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哥伦比亚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1119923.9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319176087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圭亚那</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263700.51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76900180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哈萨克斯坦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41547.37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10765494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加拿大</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81247.46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22864575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加纳</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377918.7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125993486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加蓬</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381020.02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120852989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喀麦隆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139118.95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43167339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卡塔尔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767483.6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249037018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科威特</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2382011.96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754816350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705046.27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204146068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美国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1625638.11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551498135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蒙古</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65333.74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13840822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墨西哥</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89446.99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23849497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南苏丹共和国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242796.32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76451413</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尼日利亚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209156.1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73086228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1380141.05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405398022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沙特阿拉伯</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5936830.97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1931475116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也门</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274826.96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84026586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伊拉克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4613361.09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1412833532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263387.66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82543749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25535.61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6944960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222354.22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73328445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乍得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132589.16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46304126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720" w:hRule="atLeast"/>
        </w:trPr>
        <w:tc>
          <w:tcPr>
            <w:tcW w:w="1566"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2020年10月合计</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42558204.9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13275237041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bl>
    <w:p>
      <w:pPr>
        <w:jc w:val="center"/>
        <w:rPr>
          <w:rFonts w:hint="eastAsia"/>
          <w:bCs/>
          <w:szCs w:val="21"/>
        </w:rPr>
      </w:pPr>
    </w:p>
    <w:p>
      <w:pPr>
        <w:pStyle w:val="3"/>
        <w:spacing w:before="120" w:after="120" w:line="240" w:lineRule="auto"/>
        <w:rPr>
          <w:rFonts w:hint="eastAsia" w:ascii="宋体" w:hAnsi="宋体"/>
          <w:b/>
          <w:sz w:val="30"/>
          <w:szCs w:val="30"/>
        </w:rPr>
      </w:pPr>
      <w:bookmarkStart w:id="21" w:name="_Toc23594"/>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月份全国航空煤油进出口统计数据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10054" w:type="dxa"/>
        <w:tblInd w:w="0" w:type="dxa"/>
        <w:shd w:val="clear" w:color="auto" w:fill="auto"/>
        <w:tblLayout w:type="autofit"/>
        <w:tblCellMar>
          <w:top w:w="0" w:type="dxa"/>
          <w:left w:w="0" w:type="dxa"/>
          <w:bottom w:w="0" w:type="dxa"/>
          <w:right w:w="0" w:type="dxa"/>
        </w:tblCellMar>
      </w:tblPr>
      <w:tblGrid>
        <w:gridCol w:w="1594"/>
        <w:gridCol w:w="1920"/>
        <w:gridCol w:w="1755"/>
        <w:gridCol w:w="2340"/>
        <w:gridCol w:w="2445"/>
      </w:tblGrid>
      <w:tr>
        <w:tblPrEx>
          <w:shd w:val="clear" w:color="auto" w:fill="auto"/>
          <w:tblCellMar>
            <w:top w:w="0" w:type="dxa"/>
            <w:left w:w="0" w:type="dxa"/>
            <w:bottom w:w="0" w:type="dxa"/>
            <w:right w:w="0" w:type="dxa"/>
          </w:tblCellMar>
        </w:tblPrEx>
        <w:trPr>
          <w:trHeight w:val="535" w:hRule="atLeast"/>
        </w:trPr>
        <w:tc>
          <w:tcPr>
            <w:tcW w:w="1594"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国家</w:t>
            </w:r>
          </w:p>
        </w:tc>
        <w:tc>
          <w:tcPr>
            <w:tcW w:w="192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进口数量/吨</w:t>
            </w:r>
          </w:p>
        </w:tc>
        <w:tc>
          <w:tcPr>
            <w:tcW w:w="175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进口金额/美元</w:t>
            </w:r>
          </w:p>
        </w:tc>
        <w:tc>
          <w:tcPr>
            <w:tcW w:w="234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出口数量/吨</w:t>
            </w:r>
          </w:p>
        </w:tc>
        <w:tc>
          <w:tcPr>
            <w:tcW w:w="244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出口金额/美元</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阿联酋</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2744.672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1234961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阿塞拜疆</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2717.443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1264127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埃及</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7172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埃塞俄比亚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3318.957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1538869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澳大利亚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79519.516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39356889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巴基斯坦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319.065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151825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比利时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4571.891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2144597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朝鲜</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7.363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丹麦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45.982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22071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德国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2700.689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1235522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俄罗斯联邦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9167.364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3891614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法国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231.726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93932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菲律宾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13797.583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4582306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芬兰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410.528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188931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哈萨克斯坦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231.837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96791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韩国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187565.403</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64580585</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11999.295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3518461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荷兰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4208.956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1919326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吉尔吉斯斯坦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353.326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108146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加拿大</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634.516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289609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柬埔寨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6.194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2973</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卡塔尔</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12161.421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4672017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拉脱维亚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86.498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卢森堡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15721.127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7644926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马来西亚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471.021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217515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美国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18905.84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7748597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孟加拉国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9663.311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2331757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秘鲁</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44.073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21155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缅甸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1429.284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501250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墨西哥</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108.233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日本</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3527.845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1569438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3497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瑞士</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721.8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326174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斯里兰卡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106.467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48782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塔吉克斯坦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81.509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24948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泰国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318.319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146544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土耳其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2557.88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1165454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文莱</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4.344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2042</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乌兹别克斯坦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692.444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292519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西班牙</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68.945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33094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新加坡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150.037</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53432</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6537.146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3132036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新西兰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1323.043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610836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伊朗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969.216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401760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意大利</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818.17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印度尼西亚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133.739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62990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英国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28870.184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12110264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越南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8586.323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1486437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中国澳门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103.405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47488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中国台湾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971.601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423659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中国香港</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6974.191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2726924</w:t>
            </w:r>
          </w:p>
        </w:tc>
      </w:tr>
      <w:tr>
        <w:tblPrEx>
          <w:tblCellMar>
            <w:top w:w="0" w:type="dxa"/>
            <w:left w:w="0" w:type="dxa"/>
            <w:bottom w:w="0" w:type="dxa"/>
            <w:right w:w="0" w:type="dxa"/>
          </w:tblCellMar>
        </w:tblPrEx>
        <w:trPr>
          <w:trHeight w:val="285" w:hRule="atLeast"/>
        </w:trPr>
        <w:tc>
          <w:tcPr>
            <w:tcW w:w="1594" w:type="dxa"/>
            <w:tcBorders>
              <w:top w:val="single" w:color="000000" w:sz="8" w:space="0"/>
              <w:left w:val="single" w:color="000000" w:sz="8" w:space="0"/>
              <w:bottom w:val="single" w:color="000000" w:sz="8" w:space="0"/>
              <w:right w:val="single" w:color="000000" w:sz="8"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合计</w:t>
            </w:r>
          </w:p>
        </w:tc>
        <w:tc>
          <w:tcPr>
            <w:tcW w:w="192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187715.44</w:t>
            </w:r>
          </w:p>
        </w:tc>
        <w:tc>
          <w:tcPr>
            <w:tcW w:w="175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64634017</w:t>
            </w:r>
          </w:p>
        </w:tc>
        <w:tc>
          <w:tcPr>
            <w:tcW w:w="234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258967.62</w:t>
            </w:r>
          </w:p>
        </w:tc>
        <w:tc>
          <w:tcPr>
            <w:tcW w:w="244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109791459</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4D211001"/>
    <w:multiLevelType w:val="singleLevel"/>
    <w:tmpl w:val="4D211001"/>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E2CFE"/>
    <w:rsid w:val="02353D60"/>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292B71"/>
    <w:rsid w:val="052C0D66"/>
    <w:rsid w:val="05314FD7"/>
    <w:rsid w:val="053B1A3D"/>
    <w:rsid w:val="05500555"/>
    <w:rsid w:val="0558720E"/>
    <w:rsid w:val="057F2A2A"/>
    <w:rsid w:val="05894C8A"/>
    <w:rsid w:val="05993019"/>
    <w:rsid w:val="05C01E8E"/>
    <w:rsid w:val="05D0127E"/>
    <w:rsid w:val="05D708A6"/>
    <w:rsid w:val="06002DF6"/>
    <w:rsid w:val="06153E6E"/>
    <w:rsid w:val="0618444D"/>
    <w:rsid w:val="062A6CB4"/>
    <w:rsid w:val="06300679"/>
    <w:rsid w:val="063E0E8C"/>
    <w:rsid w:val="06471306"/>
    <w:rsid w:val="06762765"/>
    <w:rsid w:val="067746D4"/>
    <w:rsid w:val="069C6A8D"/>
    <w:rsid w:val="06B9287B"/>
    <w:rsid w:val="06DA3028"/>
    <w:rsid w:val="06E3294D"/>
    <w:rsid w:val="06F31CB3"/>
    <w:rsid w:val="06F93008"/>
    <w:rsid w:val="0718687A"/>
    <w:rsid w:val="071A60E7"/>
    <w:rsid w:val="07252677"/>
    <w:rsid w:val="076C6634"/>
    <w:rsid w:val="07820AB4"/>
    <w:rsid w:val="07906BB7"/>
    <w:rsid w:val="079B346A"/>
    <w:rsid w:val="07CC2D78"/>
    <w:rsid w:val="07CC4016"/>
    <w:rsid w:val="07D15C8A"/>
    <w:rsid w:val="07E05AA3"/>
    <w:rsid w:val="07E76A1F"/>
    <w:rsid w:val="07F17792"/>
    <w:rsid w:val="080158C0"/>
    <w:rsid w:val="0809715C"/>
    <w:rsid w:val="080A4814"/>
    <w:rsid w:val="0820276D"/>
    <w:rsid w:val="082F1BCD"/>
    <w:rsid w:val="08573B5A"/>
    <w:rsid w:val="086F6B65"/>
    <w:rsid w:val="08A4401C"/>
    <w:rsid w:val="08A55AD2"/>
    <w:rsid w:val="08CD17C0"/>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E0028A"/>
    <w:rsid w:val="09E31010"/>
    <w:rsid w:val="09ED009F"/>
    <w:rsid w:val="09F11ACB"/>
    <w:rsid w:val="09FB6243"/>
    <w:rsid w:val="0A047BEC"/>
    <w:rsid w:val="0A06506B"/>
    <w:rsid w:val="0A0A6618"/>
    <w:rsid w:val="0A29795D"/>
    <w:rsid w:val="0A2A7E86"/>
    <w:rsid w:val="0A2D68BE"/>
    <w:rsid w:val="0A3C22BA"/>
    <w:rsid w:val="0A3D34F3"/>
    <w:rsid w:val="0A3F54A5"/>
    <w:rsid w:val="0A557C07"/>
    <w:rsid w:val="0A5B4AF5"/>
    <w:rsid w:val="0A75433E"/>
    <w:rsid w:val="0A796F7C"/>
    <w:rsid w:val="0A7B7455"/>
    <w:rsid w:val="0AA33DAF"/>
    <w:rsid w:val="0AB608CB"/>
    <w:rsid w:val="0AC60296"/>
    <w:rsid w:val="0AD32487"/>
    <w:rsid w:val="0AD50553"/>
    <w:rsid w:val="0AE31AD5"/>
    <w:rsid w:val="0B017D09"/>
    <w:rsid w:val="0B0715B1"/>
    <w:rsid w:val="0B0F0B26"/>
    <w:rsid w:val="0B400CB2"/>
    <w:rsid w:val="0B421176"/>
    <w:rsid w:val="0B4B49C1"/>
    <w:rsid w:val="0B721C38"/>
    <w:rsid w:val="0B860805"/>
    <w:rsid w:val="0B945C54"/>
    <w:rsid w:val="0BB16187"/>
    <w:rsid w:val="0BCE6861"/>
    <w:rsid w:val="0BDC4FBC"/>
    <w:rsid w:val="0BDF0A5F"/>
    <w:rsid w:val="0C08318F"/>
    <w:rsid w:val="0C1E7ABD"/>
    <w:rsid w:val="0C2444B3"/>
    <w:rsid w:val="0C270CC3"/>
    <w:rsid w:val="0C586B50"/>
    <w:rsid w:val="0C586E44"/>
    <w:rsid w:val="0C7F402D"/>
    <w:rsid w:val="0C822A19"/>
    <w:rsid w:val="0C930A24"/>
    <w:rsid w:val="0C9F5640"/>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EA06F6"/>
    <w:rsid w:val="0E01030B"/>
    <w:rsid w:val="0E04318C"/>
    <w:rsid w:val="0E274301"/>
    <w:rsid w:val="0E31785B"/>
    <w:rsid w:val="0E357D47"/>
    <w:rsid w:val="0E5C0982"/>
    <w:rsid w:val="0E730195"/>
    <w:rsid w:val="0E803657"/>
    <w:rsid w:val="0E8B35C9"/>
    <w:rsid w:val="0E9742FB"/>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D23F99"/>
    <w:rsid w:val="0FE34C1B"/>
    <w:rsid w:val="0FE35E2C"/>
    <w:rsid w:val="0FEF79AA"/>
    <w:rsid w:val="101C7D06"/>
    <w:rsid w:val="1024515A"/>
    <w:rsid w:val="1046198D"/>
    <w:rsid w:val="105F3A71"/>
    <w:rsid w:val="106D475B"/>
    <w:rsid w:val="108C4660"/>
    <w:rsid w:val="10BA0A0E"/>
    <w:rsid w:val="10CE39DE"/>
    <w:rsid w:val="10FA6B68"/>
    <w:rsid w:val="10FF5E5F"/>
    <w:rsid w:val="11190B98"/>
    <w:rsid w:val="11247901"/>
    <w:rsid w:val="11365062"/>
    <w:rsid w:val="11422692"/>
    <w:rsid w:val="11590029"/>
    <w:rsid w:val="117F7F48"/>
    <w:rsid w:val="11F843DE"/>
    <w:rsid w:val="1265739D"/>
    <w:rsid w:val="12662947"/>
    <w:rsid w:val="12BE2ADE"/>
    <w:rsid w:val="12D8263D"/>
    <w:rsid w:val="130B16E4"/>
    <w:rsid w:val="13267B35"/>
    <w:rsid w:val="134A6D86"/>
    <w:rsid w:val="13594CF7"/>
    <w:rsid w:val="135A728A"/>
    <w:rsid w:val="1367698A"/>
    <w:rsid w:val="13772D89"/>
    <w:rsid w:val="138744BB"/>
    <w:rsid w:val="13AA18EC"/>
    <w:rsid w:val="13B45FC3"/>
    <w:rsid w:val="13DB164D"/>
    <w:rsid w:val="13E7373B"/>
    <w:rsid w:val="13F712B9"/>
    <w:rsid w:val="13FE142E"/>
    <w:rsid w:val="14176463"/>
    <w:rsid w:val="144B6D3F"/>
    <w:rsid w:val="14546EAA"/>
    <w:rsid w:val="147759A4"/>
    <w:rsid w:val="147A75E5"/>
    <w:rsid w:val="149C7CF0"/>
    <w:rsid w:val="14BC21CE"/>
    <w:rsid w:val="14BE2339"/>
    <w:rsid w:val="14BF4DCE"/>
    <w:rsid w:val="14D14395"/>
    <w:rsid w:val="14D56BF6"/>
    <w:rsid w:val="14E36C24"/>
    <w:rsid w:val="14F32D76"/>
    <w:rsid w:val="14F5216B"/>
    <w:rsid w:val="14FE7778"/>
    <w:rsid w:val="15060A70"/>
    <w:rsid w:val="151B73F8"/>
    <w:rsid w:val="15211EFF"/>
    <w:rsid w:val="15353F74"/>
    <w:rsid w:val="154B5C10"/>
    <w:rsid w:val="154F205D"/>
    <w:rsid w:val="15615E0F"/>
    <w:rsid w:val="156D2843"/>
    <w:rsid w:val="15701AB8"/>
    <w:rsid w:val="15786279"/>
    <w:rsid w:val="15892652"/>
    <w:rsid w:val="159001BC"/>
    <w:rsid w:val="15B1437C"/>
    <w:rsid w:val="15B939D5"/>
    <w:rsid w:val="15D83B2E"/>
    <w:rsid w:val="15DD70EA"/>
    <w:rsid w:val="15E11AB3"/>
    <w:rsid w:val="15E25134"/>
    <w:rsid w:val="15E8785D"/>
    <w:rsid w:val="16113EF1"/>
    <w:rsid w:val="16116F4B"/>
    <w:rsid w:val="161D05B7"/>
    <w:rsid w:val="162E280E"/>
    <w:rsid w:val="164206BE"/>
    <w:rsid w:val="16446BD7"/>
    <w:rsid w:val="16600954"/>
    <w:rsid w:val="16734EEE"/>
    <w:rsid w:val="1691331C"/>
    <w:rsid w:val="16B0271F"/>
    <w:rsid w:val="16D82413"/>
    <w:rsid w:val="16E22B33"/>
    <w:rsid w:val="16EF1899"/>
    <w:rsid w:val="16F85570"/>
    <w:rsid w:val="16FA58EE"/>
    <w:rsid w:val="17116BE2"/>
    <w:rsid w:val="17194D7A"/>
    <w:rsid w:val="172078E9"/>
    <w:rsid w:val="172D12A6"/>
    <w:rsid w:val="173C1948"/>
    <w:rsid w:val="17464B66"/>
    <w:rsid w:val="175B5D81"/>
    <w:rsid w:val="17652D76"/>
    <w:rsid w:val="177742FF"/>
    <w:rsid w:val="177778D5"/>
    <w:rsid w:val="177C4324"/>
    <w:rsid w:val="179E41EC"/>
    <w:rsid w:val="17BD7A6D"/>
    <w:rsid w:val="182A5943"/>
    <w:rsid w:val="18704C74"/>
    <w:rsid w:val="187F1331"/>
    <w:rsid w:val="18AD026B"/>
    <w:rsid w:val="18CA2202"/>
    <w:rsid w:val="18CA4E8D"/>
    <w:rsid w:val="18FC46F8"/>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B162F9"/>
    <w:rsid w:val="1ABE2D20"/>
    <w:rsid w:val="1ACC4B7F"/>
    <w:rsid w:val="1AD34CD1"/>
    <w:rsid w:val="1AD417D6"/>
    <w:rsid w:val="1AE72378"/>
    <w:rsid w:val="1AE7665A"/>
    <w:rsid w:val="1AF74A59"/>
    <w:rsid w:val="1B111CB0"/>
    <w:rsid w:val="1B393D9E"/>
    <w:rsid w:val="1B3F0566"/>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6684D"/>
    <w:rsid w:val="1CEC4A0D"/>
    <w:rsid w:val="1D1712A0"/>
    <w:rsid w:val="1D2B7B9F"/>
    <w:rsid w:val="1D305274"/>
    <w:rsid w:val="1D3F5714"/>
    <w:rsid w:val="1D466011"/>
    <w:rsid w:val="1D487015"/>
    <w:rsid w:val="1D547E28"/>
    <w:rsid w:val="1D5B57EE"/>
    <w:rsid w:val="1D606070"/>
    <w:rsid w:val="1D655DB6"/>
    <w:rsid w:val="1D980258"/>
    <w:rsid w:val="1D9C1F14"/>
    <w:rsid w:val="1DB113DA"/>
    <w:rsid w:val="1DFB4E0B"/>
    <w:rsid w:val="1E196DA1"/>
    <w:rsid w:val="1E2278F4"/>
    <w:rsid w:val="1E4062B7"/>
    <w:rsid w:val="1E450B99"/>
    <w:rsid w:val="1E5542C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D7675"/>
    <w:rsid w:val="1FD377B1"/>
    <w:rsid w:val="1FDC18BC"/>
    <w:rsid w:val="1FEF77E1"/>
    <w:rsid w:val="1FFC155B"/>
    <w:rsid w:val="20010BD0"/>
    <w:rsid w:val="20137C9A"/>
    <w:rsid w:val="20261774"/>
    <w:rsid w:val="202A3AEF"/>
    <w:rsid w:val="203A4D2E"/>
    <w:rsid w:val="204030A0"/>
    <w:rsid w:val="205B78B2"/>
    <w:rsid w:val="205C4184"/>
    <w:rsid w:val="206558CE"/>
    <w:rsid w:val="206901B1"/>
    <w:rsid w:val="206B1575"/>
    <w:rsid w:val="2078018B"/>
    <w:rsid w:val="209323D8"/>
    <w:rsid w:val="20AD55FF"/>
    <w:rsid w:val="20C12FDC"/>
    <w:rsid w:val="20C55A62"/>
    <w:rsid w:val="20EA7590"/>
    <w:rsid w:val="211001E9"/>
    <w:rsid w:val="21147D43"/>
    <w:rsid w:val="2119067D"/>
    <w:rsid w:val="21216F1B"/>
    <w:rsid w:val="21320B64"/>
    <w:rsid w:val="214F55E4"/>
    <w:rsid w:val="215A4604"/>
    <w:rsid w:val="217C7ED4"/>
    <w:rsid w:val="21862B07"/>
    <w:rsid w:val="218A1EF5"/>
    <w:rsid w:val="21973788"/>
    <w:rsid w:val="219A3406"/>
    <w:rsid w:val="21A70D61"/>
    <w:rsid w:val="21B2244C"/>
    <w:rsid w:val="21C30EF9"/>
    <w:rsid w:val="21D956E3"/>
    <w:rsid w:val="21EF7C0A"/>
    <w:rsid w:val="221551D8"/>
    <w:rsid w:val="224441F7"/>
    <w:rsid w:val="224E7428"/>
    <w:rsid w:val="2261560B"/>
    <w:rsid w:val="227918A6"/>
    <w:rsid w:val="22944164"/>
    <w:rsid w:val="229674ED"/>
    <w:rsid w:val="22AC485D"/>
    <w:rsid w:val="22D174A6"/>
    <w:rsid w:val="22E67532"/>
    <w:rsid w:val="230F16FC"/>
    <w:rsid w:val="231C2E7E"/>
    <w:rsid w:val="232A4048"/>
    <w:rsid w:val="233344E4"/>
    <w:rsid w:val="2337735C"/>
    <w:rsid w:val="23384D61"/>
    <w:rsid w:val="23392A7A"/>
    <w:rsid w:val="235336A2"/>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50D3E66"/>
    <w:rsid w:val="252754C5"/>
    <w:rsid w:val="252D3F69"/>
    <w:rsid w:val="2547370A"/>
    <w:rsid w:val="25585795"/>
    <w:rsid w:val="25740BBD"/>
    <w:rsid w:val="25955E96"/>
    <w:rsid w:val="259B6E31"/>
    <w:rsid w:val="259E33E1"/>
    <w:rsid w:val="25A07C39"/>
    <w:rsid w:val="25B677AD"/>
    <w:rsid w:val="25B904A8"/>
    <w:rsid w:val="25E06259"/>
    <w:rsid w:val="25FD0304"/>
    <w:rsid w:val="261447E7"/>
    <w:rsid w:val="26162D47"/>
    <w:rsid w:val="26417898"/>
    <w:rsid w:val="26442276"/>
    <w:rsid w:val="26444B63"/>
    <w:rsid w:val="264D7096"/>
    <w:rsid w:val="26552532"/>
    <w:rsid w:val="26671EE8"/>
    <w:rsid w:val="269F6889"/>
    <w:rsid w:val="26AD0D8B"/>
    <w:rsid w:val="26C17431"/>
    <w:rsid w:val="26C545A4"/>
    <w:rsid w:val="26C94300"/>
    <w:rsid w:val="26DF7D7C"/>
    <w:rsid w:val="26EE1723"/>
    <w:rsid w:val="26F154C7"/>
    <w:rsid w:val="26FD7030"/>
    <w:rsid w:val="27080E2E"/>
    <w:rsid w:val="270D21C6"/>
    <w:rsid w:val="270D2595"/>
    <w:rsid w:val="277F5A23"/>
    <w:rsid w:val="279E36DD"/>
    <w:rsid w:val="27A7464B"/>
    <w:rsid w:val="27EA2797"/>
    <w:rsid w:val="28011EB5"/>
    <w:rsid w:val="28092464"/>
    <w:rsid w:val="282B47A7"/>
    <w:rsid w:val="282C5A3A"/>
    <w:rsid w:val="283F32F7"/>
    <w:rsid w:val="2855423F"/>
    <w:rsid w:val="285E5BE3"/>
    <w:rsid w:val="28611CC2"/>
    <w:rsid w:val="286D2B55"/>
    <w:rsid w:val="28721E59"/>
    <w:rsid w:val="28892109"/>
    <w:rsid w:val="289430A0"/>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84ABC"/>
    <w:rsid w:val="29F5410D"/>
    <w:rsid w:val="2A0D39C3"/>
    <w:rsid w:val="2A1503FE"/>
    <w:rsid w:val="2A194990"/>
    <w:rsid w:val="2A215E5E"/>
    <w:rsid w:val="2A252C4C"/>
    <w:rsid w:val="2A3E7B5A"/>
    <w:rsid w:val="2A6B55C6"/>
    <w:rsid w:val="2A8475EE"/>
    <w:rsid w:val="2A951C8C"/>
    <w:rsid w:val="2A953E86"/>
    <w:rsid w:val="2A9B26F1"/>
    <w:rsid w:val="2AB25451"/>
    <w:rsid w:val="2AC063B7"/>
    <w:rsid w:val="2ACB5B48"/>
    <w:rsid w:val="2ACD0874"/>
    <w:rsid w:val="2AD267B8"/>
    <w:rsid w:val="2AD8059C"/>
    <w:rsid w:val="2B0A5818"/>
    <w:rsid w:val="2B0D737C"/>
    <w:rsid w:val="2B0F004D"/>
    <w:rsid w:val="2B154A20"/>
    <w:rsid w:val="2B380E7B"/>
    <w:rsid w:val="2B574357"/>
    <w:rsid w:val="2B6638DE"/>
    <w:rsid w:val="2B84406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AD067B"/>
    <w:rsid w:val="2CFD0FC0"/>
    <w:rsid w:val="2D050EBF"/>
    <w:rsid w:val="2D2A25A1"/>
    <w:rsid w:val="2D3059BC"/>
    <w:rsid w:val="2D4D17E5"/>
    <w:rsid w:val="2D6F58D8"/>
    <w:rsid w:val="2D892B5C"/>
    <w:rsid w:val="2DB328B9"/>
    <w:rsid w:val="2DC6450C"/>
    <w:rsid w:val="2DD85082"/>
    <w:rsid w:val="2DE11692"/>
    <w:rsid w:val="2DF24F64"/>
    <w:rsid w:val="2DF5641D"/>
    <w:rsid w:val="2DF644E3"/>
    <w:rsid w:val="2E0D40F5"/>
    <w:rsid w:val="2E2F56E6"/>
    <w:rsid w:val="2E4A7323"/>
    <w:rsid w:val="2E98229F"/>
    <w:rsid w:val="2EA56E95"/>
    <w:rsid w:val="2EA673C9"/>
    <w:rsid w:val="2EAF1D1D"/>
    <w:rsid w:val="2ECA710C"/>
    <w:rsid w:val="2ED4404D"/>
    <w:rsid w:val="2ED50475"/>
    <w:rsid w:val="2EE365C8"/>
    <w:rsid w:val="2F090AB4"/>
    <w:rsid w:val="2F13732E"/>
    <w:rsid w:val="2F336BA3"/>
    <w:rsid w:val="2F5621A6"/>
    <w:rsid w:val="2F66411F"/>
    <w:rsid w:val="2F9E2267"/>
    <w:rsid w:val="2FA5716E"/>
    <w:rsid w:val="2FBE7D06"/>
    <w:rsid w:val="2FCD4219"/>
    <w:rsid w:val="2FD85581"/>
    <w:rsid w:val="2FE513F6"/>
    <w:rsid w:val="2FE91ED2"/>
    <w:rsid w:val="2FF22D62"/>
    <w:rsid w:val="30037E76"/>
    <w:rsid w:val="300B0CEC"/>
    <w:rsid w:val="301B31E2"/>
    <w:rsid w:val="302909D7"/>
    <w:rsid w:val="30320AA9"/>
    <w:rsid w:val="30427218"/>
    <w:rsid w:val="30664FDE"/>
    <w:rsid w:val="309E4811"/>
    <w:rsid w:val="30A00CB5"/>
    <w:rsid w:val="30AF5F22"/>
    <w:rsid w:val="30C14186"/>
    <w:rsid w:val="30D71496"/>
    <w:rsid w:val="30E73B0D"/>
    <w:rsid w:val="30FC61C2"/>
    <w:rsid w:val="30FD55E0"/>
    <w:rsid w:val="31030DD2"/>
    <w:rsid w:val="310F6F60"/>
    <w:rsid w:val="311333E6"/>
    <w:rsid w:val="311467EF"/>
    <w:rsid w:val="31162712"/>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FC35FB"/>
    <w:rsid w:val="32010D04"/>
    <w:rsid w:val="3202665F"/>
    <w:rsid w:val="320A7836"/>
    <w:rsid w:val="324163CA"/>
    <w:rsid w:val="32574FD8"/>
    <w:rsid w:val="325C547C"/>
    <w:rsid w:val="326C29F6"/>
    <w:rsid w:val="327C3888"/>
    <w:rsid w:val="32945DAC"/>
    <w:rsid w:val="329C631F"/>
    <w:rsid w:val="32AB0897"/>
    <w:rsid w:val="32CB3A84"/>
    <w:rsid w:val="32CE45BC"/>
    <w:rsid w:val="32D9201A"/>
    <w:rsid w:val="32E42D0F"/>
    <w:rsid w:val="32E779A4"/>
    <w:rsid w:val="330D4D94"/>
    <w:rsid w:val="33435E16"/>
    <w:rsid w:val="335F11B3"/>
    <w:rsid w:val="337B12FB"/>
    <w:rsid w:val="339C5454"/>
    <w:rsid w:val="33D354DF"/>
    <w:rsid w:val="33DD1D83"/>
    <w:rsid w:val="33FC5F9C"/>
    <w:rsid w:val="34005D95"/>
    <w:rsid w:val="340370F4"/>
    <w:rsid w:val="34173060"/>
    <w:rsid w:val="342451AA"/>
    <w:rsid w:val="3425323C"/>
    <w:rsid w:val="342E5EA7"/>
    <w:rsid w:val="343E0BAC"/>
    <w:rsid w:val="34474FF1"/>
    <w:rsid w:val="344B3651"/>
    <w:rsid w:val="34555269"/>
    <w:rsid w:val="34827541"/>
    <w:rsid w:val="34B63281"/>
    <w:rsid w:val="34C105B0"/>
    <w:rsid w:val="34CA39B2"/>
    <w:rsid w:val="34D564C3"/>
    <w:rsid w:val="34DC79C0"/>
    <w:rsid w:val="34EC4B86"/>
    <w:rsid w:val="351321CB"/>
    <w:rsid w:val="355171EC"/>
    <w:rsid w:val="355E299F"/>
    <w:rsid w:val="355E6D49"/>
    <w:rsid w:val="35671EE7"/>
    <w:rsid w:val="3572663B"/>
    <w:rsid w:val="357D4C50"/>
    <w:rsid w:val="35925B04"/>
    <w:rsid w:val="35963717"/>
    <w:rsid w:val="35AF3549"/>
    <w:rsid w:val="35CA49CB"/>
    <w:rsid w:val="35DA5213"/>
    <w:rsid w:val="35EE7B1B"/>
    <w:rsid w:val="35F65FAD"/>
    <w:rsid w:val="36202050"/>
    <w:rsid w:val="364A7C84"/>
    <w:rsid w:val="36605016"/>
    <w:rsid w:val="366B7A53"/>
    <w:rsid w:val="368259EE"/>
    <w:rsid w:val="3689301E"/>
    <w:rsid w:val="369C7E5C"/>
    <w:rsid w:val="36B523AB"/>
    <w:rsid w:val="36C76D40"/>
    <w:rsid w:val="36F44E23"/>
    <w:rsid w:val="371D2966"/>
    <w:rsid w:val="373062E8"/>
    <w:rsid w:val="375C1AC9"/>
    <w:rsid w:val="37785098"/>
    <w:rsid w:val="377E7331"/>
    <w:rsid w:val="379038C8"/>
    <w:rsid w:val="379D002A"/>
    <w:rsid w:val="37A6234C"/>
    <w:rsid w:val="37A907BA"/>
    <w:rsid w:val="37AF1535"/>
    <w:rsid w:val="37CA63F2"/>
    <w:rsid w:val="37CB57CA"/>
    <w:rsid w:val="37D337D1"/>
    <w:rsid w:val="37DD56C2"/>
    <w:rsid w:val="37F16302"/>
    <w:rsid w:val="38372548"/>
    <w:rsid w:val="38781C56"/>
    <w:rsid w:val="38C30240"/>
    <w:rsid w:val="38CF65F7"/>
    <w:rsid w:val="38D30895"/>
    <w:rsid w:val="38E95212"/>
    <w:rsid w:val="391C1C7A"/>
    <w:rsid w:val="39465968"/>
    <w:rsid w:val="394D1A3B"/>
    <w:rsid w:val="39600E80"/>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90237F"/>
    <w:rsid w:val="3B0A7991"/>
    <w:rsid w:val="3B100A85"/>
    <w:rsid w:val="3B18283A"/>
    <w:rsid w:val="3B336F2F"/>
    <w:rsid w:val="3B567019"/>
    <w:rsid w:val="3B5C777B"/>
    <w:rsid w:val="3B691338"/>
    <w:rsid w:val="3B6B36CF"/>
    <w:rsid w:val="3BA60160"/>
    <w:rsid w:val="3BB46CD1"/>
    <w:rsid w:val="3BB6128D"/>
    <w:rsid w:val="3BD11411"/>
    <w:rsid w:val="3BD837A5"/>
    <w:rsid w:val="3BED4242"/>
    <w:rsid w:val="3C173EBE"/>
    <w:rsid w:val="3C317DDD"/>
    <w:rsid w:val="3C336F35"/>
    <w:rsid w:val="3C3D3F09"/>
    <w:rsid w:val="3C457CDF"/>
    <w:rsid w:val="3C742BEB"/>
    <w:rsid w:val="3C857740"/>
    <w:rsid w:val="3C8E02B7"/>
    <w:rsid w:val="3CB004C5"/>
    <w:rsid w:val="3CB35047"/>
    <w:rsid w:val="3CB47F7E"/>
    <w:rsid w:val="3CB603EF"/>
    <w:rsid w:val="3CD82621"/>
    <w:rsid w:val="3CDD69B2"/>
    <w:rsid w:val="3CEA693F"/>
    <w:rsid w:val="3D0D0F5F"/>
    <w:rsid w:val="3D0D55A5"/>
    <w:rsid w:val="3D187CD8"/>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60DF6"/>
    <w:rsid w:val="3E3D25F5"/>
    <w:rsid w:val="3E4E6762"/>
    <w:rsid w:val="3E70166E"/>
    <w:rsid w:val="3E752011"/>
    <w:rsid w:val="3E8270FA"/>
    <w:rsid w:val="3E8E2505"/>
    <w:rsid w:val="3E8F0C9A"/>
    <w:rsid w:val="3E9953AC"/>
    <w:rsid w:val="3E9D3F84"/>
    <w:rsid w:val="3E9F3605"/>
    <w:rsid w:val="3EEC1C8D"/>
    <w:rsid w:val="3EF15A07"/>
    <w:rsid w:val="3F0C0C5D"/>
    <w:rsid w:val="3F310E2B"/>
    <w:rsid w:val="3F3E5B85"/>
    <w:rsid w:val="3F4D19AF"/>
    <w:rsid w:val="3F691A99"/>
    <w:rsid w:val="3F837DDF"/>
    <w:rsid w:val="3FA21405"/>
    <w:rsid w:val="3FA96E5D"/>
    <w:rsid w:val="3FC04528"/>
    <w:rsid w:val="3FCB012B"/>
    <w:rsid w:val="3FD27B2E"/>
    <w:rsid w:val="3FEE1DE8"/>
    <w:rsid w:val="3FFE5EFF"/>
    <w:rsid w:val="40171145"/>
    <w:rsid w:val="402104DC"/>
    <w:rsid w:val="40480E8F"/>
    <w:rsid w:val="40662C29"/>
    <w:rsid w:val="40742438"/>
    <w:rsid w:val="40791098"/>
    <w:rsid w:val="40932E75"/>
    <w:rsid w:val="40A70377"/>
    <w:rsid w:val="40BC5D67"/>
    <w:rsid w:val="40D775A2"/>
    <w:rsid w:val="40EE33BE"/>
    <w:rsid w:val="40F61783"/>
    <w:rsid w:val="4100601D"/>
    <w:rsid w:val="410D75D5"/>
    <w:rsid w:val="411E3000"/>
    <w:rsid w:val="41402C24"/>
    <w:rsid w:val="414E7345"/>
    <w:rsid w:val="41696F7F"/>
    <w:rsid w:val="417240B9"/>
    <w:rsid w:val="417C0D06"/>
    <w:rsid w:val="418B25AA"/>
    <w:rsid w:val="418E56CE"/>
    <w:rsid w:val="41925E9B"/>
    <w:rsid w:val="419B1BC4"/>
    <w:rsid w:val="419D7C05"/>
    <w:rsid w:val="41A739EA"/>
    <w:rsid w:val="41B3371C"/>
    <w:rsid w:val="41B4302C"/>
    <w:rsid w:val="41CC67E1"/>
    <w:rsid w:val="41DA3C01"/>
    <w:rsid w:val="41E3266D"/>
    <w:rsid w:val="41F604FA"/>
    <w:rsid w:val="41FE6085"/>
    <w:rsid w:val="42013C9E"/>
    <w:rsid w:val="420F24CA"/>
    <w:rsid w:val="421C0994"/>
    <w:rsid w:val="424F02B6"/>
    <w:rsid w:val="42683145"/>
    <w:rsid w:val="427133C0"/>
    <w:rsid w:val="42715180"/>
    <w:rsid w:val="4277762F"/>
    <w:rsid w:val="429D7D7D"/>
    <w:rsid w:val="42B06FDD"/>
    <w:rsid w:val="42B23DF0"/>
    <w:rsid w:val="42B45768"/>
    <w:rsid w:val="42DD7341"/>
    <w:rsid w:val="42E637C3"/>
    <w:rsid w:val="42FD1410"/>
    <w:rsid w:val="43184FA0"/>
    <w:rsid w:val="431F563A"/>
    <w:rsid w:val="432D0CD2"/>
    <w:rsid w:val="433E24EE"/>
    <w:rsid w:val="4348259E"/>
    <w:rsid w:val="434C0977"/>
    <w:rsid w:val="434D5EB2"/>
    <w:rsid w:val="43705840"/>
    <w:rsid w:val="437E6752"/>
    <w:rsid w:val="43803823"/>
    <w:rsid w:val="43AF6845"/>
    <w:rsid w:val="43D44FF8"/>
    <w:rsid w:val="441557E3"/>
    <w:rsid w:val="44286453"/>
    <w:rsid w:val="44371554"/>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BA079F"/>
    <w:rsid w:val="45CC0EF3"/>
    <w:rsid w:val="45CF5AD4"/>
    <w:rsid w:val="45DD06D9"/>
    <w:rsid w:val="460D21F2"/>
    <w:rsid w:val="460E0469"/>
    <w:rsid w:val="460E0A15"/>
    <w:rsid w:val="4635298E"/>
    <w:rsid w:val="46355D58"/>
    <w:rsid w:val="463C04FA"/>
    <w:rsid w:val="464050BB"/>
    <w:rsid w:val="466B6702"/>
    <w:rsid w:val="466F037A"/>
    <w:rsid w:val="467737E1"/>
    <w:rsid w:val="46A075FA"/>
    <w:rsid w:val="46A359DC"/>
    <w:rsid w:val="46A54FB3"/>
    <w:rsid w:val="46D7121E"/>
    <w:rsid w:val="46E07671"/>
    <w:rsid w:val="46FF57CE"/>
    <w:rsid w:val="47154F60"/>
    <w:rsid w:val="47476572"/>
    <w:rsid w:val="47700BCB"/>
    <w:rsid w:val="47732DB6"/>
    <w:rsid w:val="47C254B8"/>
    <w:rsid w:val="47DF082A"/>
    <w:rsid w:val="47EB5003"/>
    <w:rsid w:val="48081128"/>
    <w:rsid w:val="480D3EC3"/>
    <w:rsid w:val="48144FED"/>
    <w:rsid w:val="483A31DC"/>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20208E"/>
    <w:rsid w:val="492A1C6E"/>
    <w:rsid w:val="492C7D33"/>
    <w:rsid w:val="493A79B5"/>
    <w:rsid w:val="49575C03"/>
    <w:rsid w:val="4969605D"/>
    <w:rsid w:val="496D1F2A"/>
    <w:rsid w:val="497C7394"/>
    <w:rsid w:val="498A3B85"/>
    <w:rsid w:val="49AE3287"/>
    <w:rsid w:val="49C65C46"/>
    <w:rsid w:val="49D021B0"/>
    <w:rsid w:val="49D61F4B"/>
    <w:rsid w:val="49D7375C"/>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F17A9"/>
    <w:rsid w:val="4AE74F60"/>
    <w:rsid w:val="4AFF5CC6"/>
    <w:rsid w:val="4B1D3A51"/>
    <w:rsid w:val="4B280F1E"/>
    <w:rsid w:val="4B3D4E30"/>
    <w:rsid w:val="4B411E5A"/>
    <w:rsid w:val="4B413D26"/>
    <w:rsid w:val="4B6B6050"/>
    <w:rsid w:val="4B8B446D"/>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C299D"/>
    <w:rsid w:val="4D0A349B"/>
    <w:rsid w:val="4D0D2E78"/>
    <w:rsid w:val="4D0F04ED"/>
    <w:rsid w:val="4D384A7C"/>
    <w:rsid w:val="4D3A0411"/>
    <w:rsid w:val="4D427C91"/>
    <w:rsid w:val="4D7706F2"/>
    <w:rsid w:val="4D845711"/>
    <w:rsid w:val="4DBE12C2"/>
    <w:rsid w:val="4DCE6ED3"/>
    <w:rsid w:val="4E095444"/>
    <w:rsid w:val="4E0E40E2"/>
    <w:rsid w:val="4E333BBB"/>
    <w:rsid w:val="4E4E04E5"/>
    <w:rsid w:val="4E665F7B"/>
    <w:rsid w:val="4E6A06E9"/>
    <w:rsid w:val="4E715DB2"/>
    <w:rsid w:val="4E776B87"/>
    <w:rsid w:val="4E8E5857"/>
    <w:rsid w:val="4EC206BE"/>
    <w:rsid w:val="4EC46EFB"/>
    <w:rsid w:val="4EC951FF"/>
    <w:rsid w:val="4ED04B02"/>
    <w:rsid w:val="4EDD6EFA"/>
    <w:rsid w:val="4EE96853"/>
    <w:rsid w:val="4F105F02"/>
    <w:rsid w:val="4F121BEA"/>
    <w:rsid w:val="4F172396"/>
    <w:rsid w:val="4F3F03C1"/>
    <w:rsid w:val="4F4C2971"/>
    <w:rsid w:val="4F566ACF"/>
    <w:rsid w:val="4F704BBC"/>
    <w:rsid w:val="4F8028EE"/>
    <w:rsid w:val="4F8435B4"/>
    <w:rsid w:val="4FAD0DF7"/>
    <w:rsid w:val="4FBC1F04"/>
    <w:rsid w:val="4FBD361C"/>
    <w:rsid w:val="4FBE1CEA"/>
    <w:rsid w:val="4FC15F00"/>
    <w:rsid w:val="4FF17370"/>
    <w:rsid w:val="4FF77C61"/>
    <w:rsid w:val="50037C0C"/>
    <w:rsid w:val="500F51F9"/>
    <w:rsid w:val="50200CEA"/>
    <w:rsid w:val="502E1CFA"/>
    <w:rsid w:val="50371519"/>
    <w:rsid w:val="503D6ACE"/>
    <w:rsid w:val="505A0A75"/>
    <w:rsid w:val="50753DB9"/>
    <w:rsid w:val="509E2BD3"/>
    <w:rsid w:val="50C04426"/>
    <w:rsid w:val="50C7518D"/>
    <w:rsid w:val="50C95413"/>
    <w:rsid w:val="50CA58C9"/>
    <w:rsid w:val="50ED0D36"/>
    <w:rsid w:val="50F462DA"/>
    <w:rsid w:val="510B317F"/>
    <w:rsid w:val="51130AD6"/>
    <w:rsid w:val="51147068"/>
    <w:rsid w:val="511B4097"/>
    <w:rsid w:val="512452DA"/>
    <w:rsid w:val="514C3C7B"/>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C52078"/>
    <w:rsid w:val="52CB6EC0"/>
    <w:rsid w:val="52D061DA"/>
    <w:rsid w:val="52D211F8"/>
    <w:rsid w:val="52F26F28"/>
    <w:rsid w:val="53031E61"/>
    <w:rsid w:val="5315442E"/>
    <w:rsid w:val="533907AA"/>
    <w:rsid w:val="5341530E"/>
    <w:rsid w:val="534326DA"/>
    <w:rsid w:val="53434396"/>
    <w:rsid w:val="534D112E"/>
    <w:rsid w:val="53761C93"/>
    <w:rsid w:val="537B0A8C"/>
    <w:rsid w:val="5393301A"/>
    <w:rsid w:val="53971518"/>
    <w:rsid w:val="5399073D"/>
    <w:rsid w:val="539E3677"/>
    <w:rsid w:val="53A84C2D"/>
    <w:rsid w:val="53AB2CD5"/>
    <w:rsid w:val="53AF23D8"/>
    <w:rsid w:val="53B31343"/>
    <w:rsid w:val="53B91D8C"/>
    <w:rsid w:val="53CE2D5A"/>
    <w:rsid w:val="53D82514"/>
    <w:rsid w:val="53E56E6E"/>
    <w:rsid w:val="53EB2495"/>
    <w:rsid w:val="53F17662"/>
    <w:rsid w:val="54010C17"/>
    <w:rsid w:val="540366C1"/>
    <w:rsid w:val="542C2C82"/>
    <w:rsid w:val="543F012A"/>
    <w:rsid w:val="546136C7"/>
    <w:rsid w:val="54635F00"/>
    <w:rsid w:val="54661F54"/>
    <w:rsid w:val="546C3F2D"/>
    <w:rsid w:val="547F46DA"/>
    <w:rsid w:val="54944893"/>
    <w:rsid w:val="549F75FE"/>
    <w:rsid w:val="54A51CC5"/>
    <w:rsid w:val="54B52F94"/>
    <w:rsid w:val="54DD78BD"/>
    <w:rsid w:val="54E06144"/>
    <w:rsid w:val="54F52367"/>
    <w:rsid w:val="550A393D"/>
    <w:rsid w:val="555E54FB"/>
    <w:rsid w:val="556D2811"/>
    <w:rsid w:val="55767F46"/>
    <w:rsid w:val="55CE1AD5"/>
    <w:rsid w:val="55ED37B8"/>
    <w:rsid w:val="55F04C52"/>
    <w:rsid w:val="55F35D23"/>
    <w:rsid w:val="56281CBC"/>
    <w:rsid w:val="56333685"/>
    <w:rsid w:val="567B7B50"/>
    <w:rsid w:val="568F0DF7"/>
    <w:rsid w:val="56A332D5"/>
    <w:rsid w:val="56C325A5"/>
    <w:rsid w:val="56E709F8"/>
    <w:rsid w:val="56F10A56"/>
    <w:rsid w:val="56FB32FA"/>
    <w:rsid w:val="570703AF"/>
    <w:rsid w:val="572D602C"/>
    <w:rsid w:val="57364D30"/>
    <w:rsid w:val="573D71D1"/>
    <w:rsid w:val="57574216"/>
    <w:rsid w:val="57636B03"/>
    <w:rsid w:val="57A21363"/>
    <w:rsid w:val="57A54C20"/>
    <w:rsid w:val="57B06D46"/>
    <w:rsid w:val="57B937A9"/>
    <w:rsid w:val="57BB4E50"/>
    <w:rsid w:val="57C34B39"/>
    <w:rsid w:val="57DE1F69"/>
    <w:rsid w:val="57E116B4"/>
    <w:rsid w:val="580C0140"/>
    <w:rsid w:val="580F431F"/>
    <w:rsid w:val="587B6F7C"/>
    <w:rsid w:val="58A22BE9"/>
    <w:rsid w:val="58BD6FD7"/>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527BDD"/>
    <w:rsid w:val="5A905E59"/>
    <w:rsid w:val="5A9311E7"/>
    <w:rsid w:val="5AA72593"/>
    <w:rsid w:val="5AA9358C"/>
    <w:rsid w:val="5AD0373D"/>
    <w:rsid w:val="5AF81B7B"/>
    <w:rsid w:val="5AF86253"/>
    <w:rsid w:val="5B047A73"/>
    <w:rsid w:val="5B081862"/>
    <w:rsid w:val="5B1140FC"/>
    <w:rsid w:val="5B1C3DCA"/>
    <w:rsid w:val="5B24355B"/>
    <w:rsid w:val="5B340596"/>
    <w:rsid w:val="5B3F26B3"/>
    <w:rsid w:val="5B467F94"/>
    <w:rsid w:val="5B4B70AC"/>
    <w:rsid w:val="5B8A7522"/>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790A6A"/>
    <w:rsid w:val="5C81109C"/>
    <w:rsid w:val="5C9E10E9"/>
    <w:rsid w:val="5C9E40DE"/>
    <w:rsid w:val="5CA11D7F"/>
    <w:rsid w:val="5CAF4CE5"/>
    <w:rsid w:val="5CDA6371"/>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504051"/>
    <w:rsid w:val="607F2EF2"/>
    <w:rsid w:val="60842FF2"/>
    <w:rsid w:val="60AF5E00"/>
    <w:rsid w:val="60B54161"/>
    <w:rsid w:val="60D43BFA"/>
    <w:rsid w:val="60E16AB6"/>
    <w:rsid w:val="60E40C2C"/>
    <w:rsid w:val="60F32CD5"/>
    <w:rsid w:val="610D2A7D"/>
    <w:rsid w:val="61111BF1"/>
    <w:rsid w:val="61175A9A"/>
    <w:rsid w:val="612129FE"/>
    <w:rsid w:val="61375BEC"/>
    <w:rsid w:val="614A2305"/>
    <w:rsid w:val="614E4437"/>
    <w:rsid w:val="615F1F60"/>
    <w:rsid w:val="6182631E"/>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196725"/>
    <w:rsid w:val="631F3FB6"/>
    <w:rsid w:val="63307428"/>
    <w:rsid w:val="63356B20"/>
    <w:rsid w:val="633B4FC0"/>
    <w:rsid w:val="634B7547"/>
    <w:rsid w:val="63647D08"/>
    <w:rsid w:val="637E69F6"/>
    <w:rsid w:val="63B47AD6"/>
    <w:rsid w:val="63B55E70"/>
    <w:rsid w:val="63BD1F88"/>
    <w:rsid w:val="63D07482"/>
    <w:rsid w:val="63F34E27"/>
    <w:rsid w:val="63FD53D7"/>
    <w:rsid w:val="640D3774"/>
    <w:rsid w:val="642E2D6E"/>
    <w:rsid w:val="642F141D"/>
    <w:rsid w:val="6439179D"/>
    <w:rsid w:val="643A7D3D"/>
    <w:rsid w:val="644845EE"/>
    <w:rsid w:val="644C43F2"/>
    <w:rsid w:val="645E071A"/>
    <w:rsid w:val="64611864"/>
    <w:rsid w:val="6465357A"/>
    <w:rsid w:val="64704226"/>
    <w:rsid w:val="647E3F09"/>
    <w:rsid w:val="64870014"/>
    <w:rsid w:val="64B42AB0"/>
    <w:rsid w:val="64B76AA3"/>
    <w:rsid w:val="64C61C82"/>
    <w:rsid w:val="64D124DB"/>
    <w:rsid w:val="64EB099D"/>
    <w:rsid w:val="65233DA8"/>
    <w:rsid w:val="652A1A84"/>
    <w:rsid w:val="652A5D21"/>
    <w:rsid w:val="65480BBE"/>
    <w:rsid w:val="6554639C"/>
    <w:rsid w:val="65687D20"/>
    <w:rsid w:val="657B264C"/>
    <w:rsid w:val="65933B3C"/>
    <w:rsid w:val="65B955CA"/>
    <w:rsid w:val="65BE6C54"/>
    <w:rsid w:val="65CC3546"/>
    <w:rsid w:val="65CE71FF"/>
    <w:rsid w:val="65EE73B7"/>
    <w:rsid w:val="66087C36"/>
    <w:rsid w:val="660A413F"/>
    <w:rsid w:val="661A0E12"/>
    <w:rsid w:val="66214D7C"/>
    <w:rsid w:val="6624580B"/>
    <w:rsid w:val="662A15EB"/>
    <w:rsid w:val="66356B67"/>
    <w:rsid w:val="667B6C3F"/>
    <w:rsid w:val="66933BD2"/>
    <w:rsid w:val="66B40E42"/>
    <w:rsid w:val="66B56D61"/>
    <w:rsid w:val="66B56D68"/>
    <w:rsid w:val="66E9392A"/>
    <w:rsid w:val="66EA1480"/>
    <w:rsid w:val="67056631"/>
    <w:rsid w:val="6745249B"/>
    <w:rsid w:val="674672D3"/>
    <w:rsid w:val="676E6425"/>
    <w:rsid w:val="67770DB9"/>
    <w:rsid w:val="67776ADD"/>
    <w:rsid w:val="6779797F"/>
    <w:rsid w:val="6789047F"/>
    <w:rsid w:val="67A720F6"/>
    <w:rsid w:val="67AC1398"/>
    <w:rsid w:val="67E7540E"/>
    <w:rsid w:val="67EA1736"/>
    <w:rsid w:val="67FC02AC"/>
    <w:rsid w:val="68006207"/>
    <w:rsid w:val="68070E08"/>
    <w:rsid w:val="682D2C3F"/>
    <w:rsid w:val="682D432C"/>
    <w:rsid w:val="68382592"/>
    <w:rsid w:val="684A32DA"/>
    <w:rsid w:val="68524FFC"/>
    <w:rsid w:val="68784674"/>
    <w:rsid w:val="687C00C8"/>
    <w:rsid w:val="687C4042"/>
    <w:rsid w:val="68A742AD"/>
    <w:rsid w:val="68B87F12"/>
    <w:rsid w:val="68C25CFA"/>
    <w:rsid w:val="68C731B8"/>
    <w:rsid w:val="68D536DE"/>
    <w:rsid w:val="69044A5D"/>
    <w:rsid w:val="691052CA"/>
    <w:rsid w:val="69194464"/>
    <w:rsid w:val="691D05F7"/>
    <w:rsid w:val="69312B59"/>
    <w:rsid w:val="69446209"/>
    <w:rsid w:val="69534859"/>
    <w:rsid w:val="69726337"/>
    <w:rsid w:val="698B1B24"/>
    <w:rsid w:val="6994580C"/>
    <w:rsid w:val="69B75241"/>
    <w:rsid w:val="69BB0755"/>
    <w:rsid w:val="69CD6D6F"/>
    <w:rsid w:val="69FB0A5B"/>
    <w:rsid w:val="6A115C81"/>
    <w:rsid w:val="6A162FAD"/>
    <w:rsid w:val="6A22015C"/>
    <w:rsid w:val="6A7A60F7"/>
    <w:rsid w:val="6A7E417E"/>
    <w:rsid w:val="6AAC2E76"/>
    <w:rsid w:val="6AB90DA9"/>
    <w:rsid w:val="6AD73CE6"/>
    <w:rsid w:val="6AEE1969"/>
    <w:rsid w:val="6B0A125F"/>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714E6"/>
    <w:rsid w:val="6CEF6EBD"/>
    <w:rsid w:val="6CF01C95"/>
    <w:rsid w:val="6CF542B7"/>
    <w:rsid w:val="6CFA3A07"/>
    <w:rsid w:val="6D0071CD"/>
    <w:rsid w:val="6D18295E"/>
    <w:rsid w:val="6D1A13F6"/>
    <w:rsid w:val="6D1F12FA"/>
    <w:rsid w:val="6D206AE2"/>
    <w:rsid w:val="6D5941BB"/>
    <w:rsid w:val="6D5B0CBD"/>
    <w:rsid w:val="6D6D33F8"/>
    <w:rsid w:val="6D6F3AB1"/>
    <w:rsid w:val="6D73256C"/>
    <w:rsid w:val="6D8A08D8"/>
    <w:rsid w:val="6D961017"/>
    <w:rsid w:val="6DCE3EDB"/>
    <w:rsid w:val="6DD23F1E"/>
    <w:rsid w:val="6DDB4275"/>
    <w:rsid w:val="6DEE2081"/>
    <w:rsid w:val="6E0135EB"/>
    <w:rsid w:val="6E210E7D"/>
    <w:rsid w:val="6E336938"/>
    <w:rsid w:val="6E360304"/>
    <w:rsid w:val="6E4C0EF4"/>
    <w:rsid w:val="6E4E028C"/>
    <w:rsid w:val="6E565A56"/>
    <w:rsid w:val="6E5C1E9E"/>
    <w:rsid w:val="6E5D68D3"/>
    <w:rsid w:val="6E682450"/>
    <w:rsid w:val="6E7251F0"/>
    <w:rsid w:val="6E757524"/>
    <w:rsid w:val="6E7934F3"/>
    <w:rsid w:val="6E9C5623"/>
    <w:rsid w:val="6E9E05A5"/>
    <w:rsid w:val="6EAD6286"/>
    <w:rsid w:val="6EB24C59"/>
    <w:rsid w:val="6EBD3CCD"/>
    <w:rsid w:val="6EC9468F"/>
    <w:rsid w:val="6ECD60E1"/>
    <w:rsid w:val="6EDB6C60"/>
    <w:rsid w:val="6F2428C0"/>
    <w:rsid w:val="6F433285"/>
    <w:rsid w:val="6F591B5D"/>
    <w:rsid w:val="6F7E65DB"/>
    <w:rsid w:val="6F7F6D3A"/>
    <w:rsid w:val="6F981073"/>
    <w:rsid w:val="6FA172A4"/>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D6080"/>
    <w:rsid w:val="71C90ED8"/>
    <w:rsid w:val="71D72430"/>
    <w:rsid w:val="71E12038"/>
    <w:rsid w:val="720A6753"/>
    <w:rsid w:val="720F4AFB"/>
    <w:rsid w:val="72112B83"/>
    <w:rsid w:val="72143F3C"/>
    <w:rsid w:val="721F61D9"/>
    <w:rsid w:val="723D42BE"/>
    <w:rsid w:val="72412901"/>
    <w:rsid w:val="72553DBC"/>
    <w:rsid w:val="72887B37"/>
    <w:rsid w:val="72910320"/>
    <w:rsid w:val="72A53302"/>
    <w:rsid w:val="72B3410C"/>
    <w:rsid w:val="72BD6DA9"/>
    <w:rsid w:val="72CB01B8"/>
    <w:rsid w:val="72CB5E1F"/>
    <w:rsid w:val="72D95B00"/>
    <w:rsid w:val="72F66709"/>
    <w:rsid w:val="730554B3"/>
    <w:rsid w:val="73092FAA"/>
    <w:rsid w:val="732C3102"/>
    <w:rsid w:val="73413694"/>
    <w:rsid w:val="734608F5"/>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B6757"/>
    <w:rsid w:val="74780C44"/>
    <w:rsid w:val="7479294A"/>
    <w:rsid w:val="747B5C9D"/>
    <w:rsid w:val="747F1177"/>
    <w:rsid w:val="748028C0"/>
    <w:rsid w:val="74A471EE"/>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5F04A64"/>
    <w:rsid w:val="761D1573"/>
    <w:rsid w:val="761F64EF"/>
    <w:rsid w:val="763929C4"/>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A618BC"/>
    <w:rsid w:val="77B92312"/>
    <w:rsid w:val="77DE5CDB"/>
    <w:rsid w:val="7827423F"/>
    <w:rsid w:val="78386307"/>
    <w:rsid w:val="78493B6B"/>
    <w:rsid w:val="7850391E"/>
    <w:rsid w:val="78597E32"/>
    <w:rsid w:val="78703EBE"/>
    <w:rsid w:val="78805A36"/>
    <w:rsid w:val="78830880"/>
    <w:rsid w:val="78A51D8F"/>
    <w:rsid w:val="78AE0946"/>
    <w:rsid w:val="78D1727E"/>
    <w:rsid w:val="78D17516"/>
    <w:rsid w:val="78D96E40"/>
    <w:rsid w:val="78FE038B"/>
    <w:rsid w:val="7911644D"/>
    <w:rsid w:val="792078D7"/>
    <w:rsid w:val="79331EC1"/>
    <w:rsid w:val="79404911"/>
    <w:rsid w:val="794D0D3C"/>
    <w:rsid w:val="7986601A"/>
    <w:rsid w:val="7993616D"/>
    <w:rsid w:val="799D69BF"/>
    <w:rsid w:val="799F3A31"/>
    <w:rsid w:val="79AE14B2"/>
    <w:rsid w:val="79B1687C"/>
    <w:rsid w:val="79B22738"/>
    <w:rsid w:val="79CE4B72"/>
    <w:rsid w:val="79FE0269"/>
    <w:rsid w:val="7A055366"/>
    <w:rsid w:val="7A292C38"/>
    <w:rsid w:val="7A49541C"/>
    <w:rsid w:val="7A5F22B4"/>
    <w:rsid w:val="7A680094"/>
    <w:rsid w:val="7A7508D5"/>
    <w:rsid w:val="7A80455C"/>
    <w:rsid w:val="7A81102C"/>
    <w:rsid w:val="7AA37ECA"/>
    <w:rsid w:val="7AB16073"/>
    <w:rsid w:val="7ABB5514"/>
    <w:rsid w:val="7AC2458A"/>
    <w:rsid w:val="7ADE3222"/>
    <w:rsid w:val="7AF04DB0"/>
    <w:rsid w:val="7B0D28AD"/>
    <w:rsid w:val="7B133363"/>
    <w:rsid w:val="7B1C1737"/>
    <w:rsid w:val="7B2F5379"/>
    <w:rsid w:val="7B322761"/>
    <w:rsid w:val="7B3C2640"/>
    <w:rsid w:val="7B4443D1"/>
    <w:rsid w:val="7BB151FD"/>
    <w:rsid w:val="7BB43296"/>
    <w:rsid w:val="7BBE12F2"/>
    <w:rsid w:val="7BDE6C84"/>
    <w:rsid w:val="7BE07A81"/>
    <w:rsid w:val="7BE81B8B"/>
    <w:rsid w:val="7BE97D38"/>
    <w:rsid w:val="7BF01170"/>
    <w:rsid w:val="7C272B3E"/>
    <w:rsid w:val="7C471D4F"/>
    <w:rsid w:val="7C5A71C2"/>
    <w:rsid w:val="7C7A6596"/>
    <w:rsid w:val="7CA76A22"/>
    <w:rsid w:val="7CB167D6"/>
    <w:rsid w:val="7CCC4E54"/>
    <w:rsid w:val="7CEB2ACD"/>
    <w:rsid w:val="7CEF6F65"/>
    <w:rsid w:val="7CF41D8D"/>
    <w:rsid w:val="7D2745EF"/>
    <w:rsid w:val="7D2D2CA0"/>
    <w:rsid w:val="7D5C29E8"/>
    <w:rsid w:val="7D7A7BC6"/>
    <w:rsid w:val="7D995EB0"/>
    <w:rsid w:val="7DBB08B6"/>
    <w:rsid w:val="7DBC7173"/>
    <w:rsid w:val="7DD90B59"/>
    <w:rsid w:val="7DEF15A6"/>
    <w:rsid w:val="7DFC511B"/>
    <w:rsid w:val="7E0565F6"/>
    <w:rsid w:val="7E221AFC"/>
    <w:rsid w:val="7E2A514E"/>
    <w:rsid w:val="7E2C4E20"/>
    <w:rsid w:val="7E2D20BE"/>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3A0E31"/>
    <w:rsid w:val="7F442E56"/>
    <w:rsid w:val="7F457080"/>
    <w:rsid w:val="7F486BDC"/>
    <w:rsid w:val="7F4C71A0"/>
    <w:rsid w:val="7F5124CE"/>
    <w:rsid w:val="7F5653E5"/>
    <w:rsid w:val="7F6347A3"/>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29</TotalTime>
  <ScaleCrop>false</ScaleCrop>
  <LinksUpToDate>false</LinksUpToDate>
  <CharactersWithSpaces>26786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2020-12-03T07:58:44Z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2052-11.1.0.10132</vt:lpwstr>
  </property>
</Properties>
</file>