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cs="Times New Roman"/>
        </w:rPr>
      </w:pPr>
      <w:r>
        <w:drawing>
          <wp:anchor distT="0" distB="0" distL="114300" distR="114300" simplePos="0" relativeHeight="251658240" behindDoc="1" locked="0" layoutInCell="1" allowOverlap="1">
            <wp:simplePos x="0" y="0"/>
            <wp:positionH relativeFrom="column">
              <wp:posOffset>-902970</wp:posOffset>
            </wp:positionH>
            <wp:positionV relativeFrom="paragraph">
              <wp:posOffset>-781685</wp:posOffset>
            </wp:positionV>
            <wp:extent cx="7644765" cy="10696575"/>
            <wp:effectExtent l="19050" t="0" r="0" b="0"/>
            <wp:wrapNone/>
            <wp:docPr id="1" name="图片 1" descr="封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封面.jpg"/>
                    <pic:cNvPicPr>
                      <a:picLocks noChangeAspect="1"/>
                    </pic:cNvPicPr>
                  </pic:nvPicPr>
                  <pic:blipFill>
                    <a:blip r:embed="rId6"/>
                    <a:stretch>
                      <a:fillRect/>
                    </a:stretch>
                  </pic:blipFill>
                  <pic:spPr>
                    <a:xfrm>
                      <a:off x="0" y="0"/>
                      <a:ext cx="7644765" cy="10696575"/>
                    </a:xfrm>
                    <a:prstGeom prst="rect">
                      <a:avLst/>
                    </a:prstGeom>
                    <a:noFill/>
                    <a:ln>
                      <a:noFill/>
                    </a:ln>
                  </pic:spPr>
                </pic:pic>
              </a:graphicData>
            </a:graphic>
          </wp:anchor>
        </w:drawing>
      </w:r>
    </w:p>
    <w:p>
      <w:pPr>
        <w:pStyle w:val="40"/>
        <w:tabs>
          <w:tab w:val="center" w:pos="4153"/>
          <w:tab w:val="left" w:pos="5910"/>
          <w:tab w:val="left" w:pos="7501"/>
        </w:tabs>
        <w:spacing w:line="400" w:lineRule="exact"/>
        <w:rPr>
          <w:rFonts w:ascii="宋体" w:hAnsi="宋体" w:cs="宋体"/>
          <w:b/>
          <w:bCs/>
          <w:color w:val="000000"/>
          <w:sz w:val="28"/>
          <w:szCs w:val="28"/>
          <w:lang w:eastAsia="zh-CN"/>
        </w:rPr>
      </w:pPr>
      <w:r>
        <w:rPr>
          <w:lang w:eastAsia="zh-CN"/>
        </w:rPr>
        <mc:AlternateContent>
          <mc:Choice Requires="wps">
            <w:drawing>
              <wp:anchor distT="0" distB="0" distL="114300" distR="114300" simplePos="0" relativeHeight="251659264" behindDoc="0" locked="0" layoutInCell="1" allowOverlap="1">
                <wp:simplePos x="0" y="0"/>
                <wp:positionH relativeFrom="column">
                  <wp:posOffset>2228215</wp:posOffset>
                </wp:positionH>
                <wp:positionV relativeFrom="paragraph">
                  <wp:posOffset>6231890</wp:posOffset>
                </wp:positionV>
                <wp:extent cx="1705610" cy="68707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705610" cy="687070"/>
                        </a:xfrm>
                        <a:prstGeom prst="rect">
                          <a:avLst/>
                        </a:prstGeom>
                        <a:noFill/>
                        <a:ln>
                          <a:noFill/>
                        </a:ln>
                        <a:effectLst/>
                      </wps:spPr>
                      <wps:txbx>
                        <w:txbxContent>
                          <w:p>
                            <w:pPr>
                              <w:pStyle w:val="2"/>
                              <w:rPr>
                                <w:rFonts w:hint="default" w:eastAsia="黑体" w:cs="Times New Roman"/>
                                <w:lang w:val="en-US" w:eastAsia="zh-CN"/>
                              </w:rPr>
                            </w:pPr>
                            <w:bookmarkStart w:id="22" w:name="_Toc508960595"/>
                            <w:bookmarkStart w:id="23" w:name="_Toc509574325"/>
                            <w:bookmarkStart w:id="24" w:name="_Toc527035872"/>
                            <w:bookmarkStart w:id="25" w:name="_Toc530147840"/>
                            <w:bookmarkStart w:id="26" w:name="_Toc518051249"/>
                            <w:bookmarkStart w:id="27" w:name="_Toc533674480"/>
                            <w:bookmarkStart w:id="28" w:name="_Toc513816736"/>
                            <w:bookmarkStart w:id="29" w:name="_Toc523381108"/>
                            <w:bookmarkStart w:id="30" w:name="_Toc528332594"/>
                            <w:bookmarkStart w:id="31" w:name="_Toc521053860"/>
                            <w:bookmarkStart w:id="32" w:name="_Toc528222492"/>
                            <w:bookmarkStart w:id="33" w:name="_Toc514329181"/>
                            <w:bookmarkStart w:id="34" w:name="_Toc531854138"/>
                            <w:bookmarkStart w:id="35" w:name="_Toc516819989"/>
                            <w:bookmarkStart w:id="36" w:name="_Toc504057445"/>
                            <w:bookmarkStart w:id="37" w:name="_Toc504140101"/>
                            <w:bookmarkStart w:id="38" w:name="_Toc533083465"/>
                            <w:bookmarkStart w:id="39" w:name="_Toc518548545"/>
                            <w:bookmarkStart w:id="40" w:name="_Toc530149342"/>
                            <w:bookmarkStart w:id="41" w:name="_Toc521679472"/>
                            <w:bookmarkStart w:id="42" w:name="_Toc525309223"/>
                            <w:bookmarkStart w:id="43" w:name="_Toc511898980"/>
                            <w:bookmarkStart w:id="44" w:name="_Toc533777202"/>
                            <w:bookmarkStart w:id="45" w:name="_Toc522285450"/>
                            <w:bookmarkStart w:id="46" w:name="_Toc512606000"/>
                            <w:bookmarkStart w:id="47" w:name="_Toc514921969"/>
                            <w:bookmarkStart w:id="48" w:name="_Toc507665368"/>
                            <w:bookmarkStart w:id="49" w:name="_Toc504123327"/>
                            <w:bookmarkStart w:id="50" w:name="_Toc527123553"/>
                            <w:bookmarkStart w:id="51" w:name="_Toc531943255"/>
                            <w:bookmarkStart w:id="52" w:name="_Toc517965461"/>
                            <w:bookmarkStart w:id="53" w:name="_Toc518651973"/>
                            <w:bookmarkStart w:id="54" w:name="_Toc523991798"/>
                            <w:bookmarkStart w:id="55" w:name="_Toc504651767"/>
                            <w:bookmarkStart w:id="56" w:name="_Toc516841874"/>
                            <w:bookmarkStart w:id="57" w:name="_Toc514422624"/>
                            <w:bookmarkStart w:id="58" w:name="_Toc510190825"/>
                            <w:bookmarkStart w:id="59" w:name="_Toc515027608"/>
                            <w:bookmarkStart w:id="60" w:name="_Toc512521225"/>
                            <w:bookmarkStart w:id="61" w:name="_Toc508975637"/>
                            <w:bookmarkStart w:id="62" w:name="_Toc530751847"/>
                            <w:bookmarkStart w:id="63" w:name="_Toc521586415"/>
                            <w:bookmarkStart w:id="64" w:name="_Toc522179796"/>
                            <w:bookmarkStart w:id="65" w:name="_Toc507769000"/>
                            <w:bookmarkStart w:id="66" w:name="_Toc505947794"/>
                            <w:bookmarkStart w:id="67" w:name="_Toc519147013"/>
                            <w:bookmarkStart w:id="68" w:name="_Toc508267081"/>
                            <w:bookmarkStart w:id="69" w:name="_Toc510190043"/>
                            <w:bookmarkStart w:id="70" w:name="_Toc527728174"/>
                            <w:bookmarkStart w:id="71" w:name="_Toc524704217"/>
                            <w:bookmarkStart w:id="72" w:name="_Toc530728485"/>
                            <w:bookmarkStart w:id="73" w:name="_Toc517427833"/>
                            <w:bookmarkStart w:id="74" w:name="_Toc513118842"/>
                            <w:bookmarkStart w:id="75" w:name="_Toc528936986"/>
                            <w:bookmarkStart w:id="76" w:name="_Toc521051959"/>
                            <w:bookmarkStart w:id="77" w:name="_Toc511397199"/>
                            <w:bookmarkStart w:id="78" w:name="_Toc529455508"/>
                            <w:bookmarkStart w:id="79" w:name="_Toc522890290"/>
                            <w:bookmarkStart w:id="80" w:name="_Toc505347182"/>
                            <w:bookmarkStart w:id="81" w:name="_Toc534383436"/>
                            <w:bookmarkStart w:id="82" w:name="_Toc505261402"/>
                            <w:bookmarkStart w:id="83" w:name="_Toc527640818"/>
                            <w:bookmarkStart w:id="84" w:name="_Toc1132017"/>
                            <w:bookmarkStart w:id="85" w:name="_Toc529541800"/>
                            <w:bookmarkStart w:id="86" w:name="_Toc517448405"/>
                            <w:bookmarkStart w:id="87" w:name="_Toc485828984"/>
                            <w:bookmarkStart w:id="88" w:name="_Toc530057359"/>
                            <w:bookmarkStart w:id="89" w:name="_Toc520381693"/>
                            <w:bookmarkStart w:id="90" w:name="_Toc523494890"/>
                            <w:bookmarkStart w:id="91" w:name="_Toc531358358"/>
                            <w:bookmarkStart w:id="92" w:name="_Toc519865236"/>
                            <w:bookmarkStart w:id="93" w:name="_Toc528913994"/>
                            <w:bookmarkStart w:id="94" w:name="_Toc513728611"/>
                            <w:bookmarkStart w:id="95" w:name="_Toc521075423"/>
                            <w:bookmarkStart w:id="96" w:name="_Toc533167784"/>
                            <w:bookmarkStart w:id="97" w:name="_Toc508369676"/>
                            <w:bookmarkStart w:id="98" w:name="_Toc510166278"/>
                            <w:bookmarkStart w:id="99" w:name="_Toc516237036"/>
                            <w:bookmarkStart w:id="100" w:name="_Toc515633934"/>
                            <w:bookmarkStart w:id="101" w:name="_Toc518650435"/>
                            <w:bookmarkStart w:id="102" w:name="_Toc511375612"/>
                            <w:bookmarkStart w:id="103" w:name="_Toc532566849"/>
                            <w:bookmarkStart w:id="104" w:name="_Toc525913129"/>
                            <w:bookmarkStart w:id="105" w:name="_Toc527037029"/>
                            <w:bookmarkStart w:id="106" w:name="_Toc513123883"/>
                            <w:bookmarkStart w:id="107" w:name="_Toc519258206"/>
                            <w:bookmarkStart w:id="108" w:name="_Toc515612471"/>
                            <w:bookmarkStart w:id="109" w:name="_Toc511290048"/>
                            <w:bookmarkStart w:id="110" w:name="_Toc504744209"/>
                            <w:bookmarkStart w:id="111" w:name="_Toc512520694"/>
                            <w:bookmarkStart w:id="112" w:name="_Toc524334722"/>
                            <w:bookmarkStart w:id="113" w:name="_Toc531271720"/>
                            <w:bookmarkStart w:id="114" w:name="_Toc513211123"/>
                            <w:bookmarkStart w:id="115" w:name="_Toc513728505"/>
                            <w:bookmarkStart w:id="116" w:name="_Toc519842315"/>
                            <w:bookmarkStart w:id="117" w:name="_Toc515611913"/>
                            <w:bookmarkStart w:id="118" w:name="_Toc520366056"/>
                            <w:bookmarkStart w:id="119" w:name="_Toc512001762"/>
                            <w:bookmarkStart w:id="120" w:name="_Toc533168359"/>
                            <w:bookmarkStart w:id="121" w:name="_Toc520452528"/>
                            <w:bookmarkStart w:id="122" w:name="_Toc509582478"/>
                            <w:r>
                              <w:rPr>
                                <w:kern w:val="2"/>
                              </w:rPr>
                              <w:t>20</w:t>
                            </w:r>
                            <w:r>
                              <w:rPr>
                                <w:rFonts w:hint="eastAsia"/>
                                <w:kern w:val="2"/>
                                <w:lang w:val="en-US" w:eastAsia="zh-CN"/>
                              </w:rPr>
                              <w:t>20</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r>
                              <w:rPr>
                                <w:rFonts w:hint="eastAsia"/>
                                <w:kern w:val="2"/>
                                <w:lang w:val="en-US" w:eastAsia="zh-CN"/>
                              </w:rPr>
                              <w:t>.11.27</w:t>
                            </w:r>
                          </w:p>
                        </w:txbxContent>
                      </wps:txbx>
                      <wps:bodyPr upright="1"/>
                    </wps:wsp>
                  </a:graphicData>
                </a:graphic>
              </wp:anchor>
            </w:drawing>
          </mc:Choice>
          <mc:Fallback>
            <w:pict>
              <v:shape id="文本框 4" o:spid="_x0000_s1026" o:spt="202" type="#_x0000_t202" style="position:absolute;left:0pt;margin-left:175.45pt;margin-top:490.7pt;height:54.1pt;width:134.3pt;z-index:251659264;mso-width-relative:page;mso-height-relative:page;" filled="f" stroked="f" coordsize="21600,21600" o:gfxdata="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Gv&#10;x7vYAAAADAEAAA8AAAAAAAAAAQAgAAAAIgAAAGRycy9kb3ducmV2LnhtbFBLAQIUABQAAAAIAIdO&#10;4kC1GnSvsQEAAFwDAAAOAAAAAAAAAAEAIAAAACcBAABkcnMvZTJvRG9jLnhtbFBLBQYAAAAABgAG&#10;AFkBAABKBQAAAAA=&#10;">
                <v:fill on="f" focussize="0,0"/>
                <v:stroke on="f"/>
                <v:imagedata o:title=""/>
                <o:lock v:ext="edit" aspectratio="f"/>
                <v:textbox>
                  <w:txbxContent>
                    <w:p>
                      <w:pPr>
                        <w:pStyle w:val="2"/>
                        <w:rPr>
                          <w:rFonts w:hint="default" w:eastAsia="黑体" w:cs="Times New Roman"/>
                          <w:lang w:val="en-US" w:eastAsia="zh-CN"/>
                        </w:rPr>
                      </w:pPr>
                      <w:bookmarkStart w:id="22" w:name="_Toc508960595"/>
                      <w:bookmarkStart w:id="23" w:name="_Toc509574325"/>
                      <w:bookmarkStart w:id="24" w:name="_Toc527035872"/>
                      <w:bookmarkStart w:id="25" w:name="_Toc530147840"/>
                      <w:bookmarkStart w:id="26" w:name="_Toc518051249"/>
                      <w:bookmarkStart w:id="27" w:name="_Toc533674480"/>
                      <w:bookmarkStart w:id="28" w:name="_Toc513816736"/>
                      <w:bookmarkStart w:id="29" w:name="_Toc523381108"/>
                      <w:bookmarkStart w:id="30" w:name="_Toc528332594"/>
                      <w:bookmarkStart w:id="31" w:name="_Toc521053860"/>
                      <w:bookmarkStart w:id="32" w:name="_Toc528222492"/>
                      <w:bookmarkStart w:id="33" w:name="_Toc514329181"/>
                      <w:bookmarkStart w:id="34" w:name="_Toc531854138"/>
                      <w:bookmarkStart w:id="35" w:name="_Toc516819989"/>
                      <w:bookmarkStart w:id="36" w:name="_Toc504057445"/>
                      <w:bookmarkStart w:id="37" w:name="_Toc504140101"/>
                      <w:bookmarkStart w:id="38" w:name="_Toc533083465"/>
                      <w:bookmarkStart w:id="39" w:name="_Toc518548545"/>
                      <w:bookmarkStart w:id="40" w:name="_Toc530149342"/>
                      <w:bookmarkStart w:id="41" w:name="_Toc521679472"/>
                      <w:bookmarkStart w:id="42" w:name="_Toc525309223"/>
                      <w:bookmarkStart w:id="43" w:name="_Toc511898980"/>
                      <w:bookmarkStart w:id="44" w:name="_Toc533777202"/>
                      <w:bookmarkStart w:id="45" w:name="_Toc522285450"/>
                      <w:bookmarkStart w:id="46" w:name="_Toc512606000"/>
                      <w:bookmarkStart w:id="47" w:name="_Toc514921969"/>
                      <w:bookmarkStart w:id="48" w:name="_Toc507665368"/>
                      <w:bookmarkStart w:id="49" w:name="_Toc504123327"/>
                      <w:bookmarkStart w:id="50" w:name="_Toc527123553"/>
                      <w:bookmarkStart w:id="51" w:name="_Toc531943255"/>
                      <w:bookmarkStart w:id="52" w:name="_Toc517965461"/>
                      <w:bookmarkStart w:id="53" w:name="_Toc518651973"/>
                      <w:bookmarkStart w:id="54" w:name="_Toc523991798"/>
                      <w:bookmarkStart w:id="55" w:name="_Toc504651767"/>
                      <w:bookmarkStart w:id="56" w:name="_Toc516841874"/>
                      <w:bookmarkStart w:id="57" w:name="_Toc514422624"/>
                      <w:bookmarkStart w:id="58" w:name="_Toc510190825"/>
                      <w:bookmarkStart w:id="59" w:name="_Toc515027608"/>
                      <w:bookmarkStart w:id="60" w:name="_Toc512521225"/>
                      <w:bookmarkStart w:id="61" w:name="_Toc508975637"/>
                      <w:bookmarkStart w:id="62" w:name="_Toc530751847"/>
                      <w:bookmarkStart w:id="63" w:name="_Toc521586415"/>
                      <w:bookmarkStart w:id="64" w:name="_Toc522179796"/>
                      <w:bookmarkStart w:id="65" w:name="_Toc507769000"/>
                      <w:bookmarkStart w:id="66" w:name="_Toc505947794"/>
                      <w:bookmarkStart w:id="67" w:name="_Toc519147013"/>
                      <w:bookmarkStart w:id="68" w:name="_Toc508267081"/>
                      <w:bookmarkStart w:id="69" w:name="_Toc510190043"/>
                      <w:bookmarkStart w:id="70" w:name="_Toc527728174"/>
                      <w:bookmarkStart w:id="71" w:name="_Toc524704217"/>
                      <w:bookmarkStart w:id="72" w:name="_Toc530728485"/>
                      <w:bookmarkStart w:id="73" w:name="_Toc517427833"/>
                      <w:bookmarkStart w:id="74" w:name="_Toc513118842"/>
                      <w:bookmarkStart w:id="75" w:name="_Toc528936986"/>
                      <w:bookmarkStart w:id="76" w:name="_Toc521051959"/>
                      <w:bookmarkStart w:id="77" w:name="_Toc511397199"/>
                      <w:bookmarkStart w:id="78" w:name="_Toc529455508"/>
                      <w:bookmarkStart w:id="79" w:name="_Toc522890290"/>
                      <w:bookmarkStart w:id="80" w:name="_Toc505347182"/>
                      <w:bookmarkStart w:id="81" w:name="_Toc534383436"/>
                      <w:bookmarkStart w:id="82" w:name="_Toc505261402"/>
                      <w:bookmarkStart w:id="83" w:name="_Toc527640818"/>
                      <w:bookmarkStart w:id="84" w:name="_Toc1132017"/>
                      <w:bookmarkStart w:id="85" w:name="_Toc529541800"/>
                      <w:bookmarkStart w:id="86" w:name="_Toc517448405"/>
                      <w:bookmarkStart w:id="87" w:name="_Toc485828984"/>
                      <w:bookmarkStart w:id="88" w:name="_Toc530057359"/>
                      <w:bookmarkStart w:id="89" w:name="_Toc520381693"/>
                      <w:bookmarkStart w:id="90" w:name="_Toc523494890"/>
                      <w:bookmarkStart w:id="91" w:name="_Toc531358358"/>
                      <w:bookmarkStart w:id="92" w:name="_Toc519865236"/>
                      <w:bookmarkStart w:id="93" w:name="_Toc528913994"/>
                      <w:bookmarkStart w:id="94" w:name="_Toc513728611"/>
                      <w:bookmarkStart w:id="95" w:name="_Toc521075423"/>
                      <w:bookmarkStart w:id="96" w:name="_Toc533167784"/>
                      <w:bookmarkStart w:id="97" w:name="_Toc508369676"/>
                      <w:bookmarkStart w:id="98" w:name="_Toc510166278"/>
                      <w:bookmarkStart w:id="99" w:name="_Toc516237036"/>
                      <w:bookmarkStart w:id="100" w:name="_Toc515633934"/>
                      <w:bookmarkStart w:id="101" w:name="_Toc518650435"/>
                      <w:bookmarkStart w:id="102" w:name="_Toc511375612"/>
                      <w:bookmarkStart w:id="103" w:name="_Toc532566849"/>
                      <w:bookmarkStart w:id="104" w:name="_Toc525913129"/>
                      <w:bookmarkStart w:id="105" w:name="_Toc527037029"/>
                      <w:bookmarkStart w:id="106" w:name="_Toc513123883"/>
                      <w:bookmarkStart w:id="107" w:name="_Toc519258206"/>
                      <w:bookmarkStart w:id="108" w:name="_Toc515612471"/>
                      <w:bookmarkStart w:id="109" w:name="_Toc511290048"/>
                      <w:bookmarkStart w:id="110" w:name="_Toc504744209"/>
                      <w:bookmarkStart w:id="111" w:name="_Toc512520694"/>
                      <w:bookmarkStart w:id="112" w:name="_Toc524334722"/>
                      <w:bookmarkStart w:id="113" w:name="_Toc531271720"/>
                      <w:bookmarkStart w:id="114" w:name="_Toc513211123"/>
                      <w:bookmarkStart w:id="115" w:name="_Toc513728505"/>
                      <w:bookmarkStart w:id="116" w:name="_Toc519842315"/>
                      <w:bookmarkStart w:id="117" w:name="_Toc515611913"/>
                      <w:bookmarkStart w:id="118" w:name="_Toc520366056"/>
                      <w:bookmarkStart w:id="119" w:name="_Toc512001762"/>
                      <w:bookmarkStart w:id="120" w:name="_Toc533168359"/>
                      <w:bookmarkStart w:id="121" w:name="_Toc520452528"/>
                      <w:bookmarkStart w:id="122" w:name="_Toc509582478"/>
                      <w:r>
                        <w:rPr>
                          <w:kern w:val="2"/>
                        </w:rPr>
                        <w:t>20</w:t>
                      </w:r>
                      <w:r>
                        <w:rPr>
                          <w:rFonts w:hint="eastAsia"/>
                          <w:kern w:val="2"/>
                          <w:lang w:val="en-US" w:eastAsia="zh-CN"/>
                        </w:rPr>
                        <w:t>20</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r>
                        <w:rPr>
                          <w:rFonts w:hint="eastAsia"/>
                          <w:kern w:val="2"/>
                          <w:lang w:val="en-US" w:eastAsia="zh-CN"/>
                        </w:rPr>
                        <w:t>.11.27</w:t>
                      </w:r>
                    </w:p>
                  </w:txbxContent>
                </v:textbox>
              </v:shape>
            </w:pict>
          </mc:Fallback>
        </mc:AlternateContent>
      </w:r>
      <w:r>
        <w:rPr>
          <w:lang w:eastAsia="zh-CN"/>
        </w:rPr>
        <mc:AlternateContent>
          <mc:Choice Requires="wps">
            <w:drawing>
              <wp:anchor distT="0" distB="0" distL="114300" distR="114300" simplePos="0" relativeHeight="251660288" behindDoc="0" locked="0" layoutInCell="1" allowOverlap="1">
                <wp:simplePos x="0" y="0"/>
                <wp:positionH relativeFrom="column">
                  <wp:posOffset>466725</wp:posOffset>
                </wp:positionH>
                <wp:positionV relativeFrom="paragraph">
                  <wp:posOffset>7373620</wp:posOffset>
                </wp:positionV>
                <wp:extent cx="5257800" cy="1424305"/>
                <wp:effectExtent l="0" t="0" r="0" b="0"/>
                <wp:wrapNone/>
                <wp:docPr id="3" name="文本框 5"/>
                <wp:cNvGraphicFramePr/>
                <a:graphic xmlns:a="http://schemas.openxmlformats.org/drawingml/2006/main">
                  <a:graphicData uri="http://schemas.microsoft.com/office/word/2010/wordprocessingShape">
                    <wps:wsp>
                      <wps:cNvSpPr txBox="1"/>
                      <wps:spPr>
                        <a:xfrm>
                          <a:off x="0" y="0"/>
                          <a:ext cx="5257800" cy="1424305"/>
                        </a:xfrm>
                        <a:prstGeom prst="rect">
                          <a:avLst/>
                        </a:prstGeom>
                        <a:noFill/>
                        <a:ln>
                          <a:noFill/>
                        </a:ln>
                        <a:effectLst/>
                      </wps:spPr>
                      <wps:txbx>
                        <w:txbxContent>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责任编辑：朱海燕</w:t>
                            </w:r>
                            <w:r>
                              <w:rPr>
                                <w:rFonts w:ascii="黑体" w:hAnsi="宋体" w:eastAsia="黑体" w:cs="黑体"/>
                                <w:kern w:val="2"/>
                                <w:sz w:val="24"/>
                                <w:szCs w:val="24"/>
                                <w:lang w:eastAsia="zh-CN"/>
                              </w:rPr>
                              <w:t>/</w:t>
                            </w:r>
                            <w:r>
                              <w:rPr>
                                <w:rFonts w:hint="eastAsia" w:ascii="黑体" w:hAnsi="宋体" w:eastAsia="黑体" w:cs="黑体"/>
                                <w:kern w:val="2"/>
                                <w:sz w:val="24"/>
                                <w:szCs w:val="24"/>
                                <w:lang w:eastAsia="zh-CN"/>
                              </w:rPr>
                              <w:t>于亚楠</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电话：</w:t>
                            </w:r>
                            <w:r>
                              <w:rPr>
                                <w:rFonts w:ascii="黑体" w:hAnsi="宋体" w:eastAsia="黑体" w:cs="黑体"/>
                                <w:kern w:val="2"/>
                                <w:sz w:val="24"/>
                                <w:szCs w:val="24"/>
                                <w:lang w:eastAsia="zh-CN"/>
                              </w:rPr>
                              <w:t>86-10-18513790749</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传真：</w:t>
                            </w:r>
                            <w:r>
                              <w:rPr>
                                <w:rFonts w:ascii="黑体" w:hAnsi="宋体" w:eastAsia="黑体" w:cs="黑体"/>
                                <w:kern w:val="2"/>
                                <w:sz w:val="24"/>
                                <w:szCs w:val="24"/>
                                <w:lang w:eastAsia="zh-CN"/>
                              </w:rPr>
                              <w:t>86-010-</w:t>
                            </w:r>
                            <w:r>
                              <w:rPr>
                                <w:rFonts w:ascii="黑体" w:hAnsi="Arial" w:eastAsia="黑体" w:cs="黑体"/>
                                <w:color w:val="333333"/>
                                <w:sz w:val="24"/>
                                <w:szCs w:val="24"/>
                                <w:lang w:eastAsia="zh-CN"/>
                              </w:rPr>
                              <w:t>85725399</w:t>
                            </w:r>
                          </w:p>
                          <w:p>
                            <w:pPr>
                              <w:pStyle w:val="40"/>
                              <w:rPr>
                                <w:rFonts w:ascii="黑体" w:hAnsi="宋体" w:eastAsia="黑体" w:cs="黑体"/>
                                <w:kern w:val="2"/>
                                <w:sz w:val="24"/>
                                <w:szCs w:val="24"/>
                                <w:lang w:eastAsia="zh-CN"/>
                              </w:rPr>
                            </w:pPr>
                            <w:r>
                              <w:rPr>
                                <w:rFonts w:hint="eastAsia" w:ascii="黑体" w:hAnsi="宋体" w:eastAsia="黑体" w:cs="黑体"/>
                                <w:kern w:val="2"/>
                                <w:sz w:val="24"/>
                                <w:szCs w:val="24"/>
                                <w:lang w:eastAsia="zh-CN"/>
                              </w:rPr>
                              <w:t>编辑邮箱：</w:t>
                            </w:r>
                            <w:r>
                              <w:rPr>
                                <w:rFonts w:ascii="黑体" w:hAnsi="宋体" w:eastAsia="黑体" w:cs="黑体"/>
                                <w:kern w:val="2"/>
                                <w:sz w:val="24"/>
                                <w:szCs w:val="24"/>
                                <w:lang w:eastAsia="zh-CN"/>
                              </w:rPr>
                              <w:t>zhuhy@chinaccm.com</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地址：</w:t>
                            </w:r>
                            <w:r>
                              <w:rPr>
                                <w:rFonts w:hint="eastAsia" w:ascii="黑体" w:eastAsia="黑体" w:cs="黑体"/>
                                <w:sz w:val="24"/>
                                <w:szCs w:val="24"/>
                                <w:lang w:eastAsia="zh-CN"/>
                              </w:rPr>
                              <w:t>北京市朝阳区高碑店东区</w:t>
                            </w:r>
                            <w:r>
                              <w:rPr>
                                <w:rFonts w:ascii="黑体" w:eastAsia="黑体" w:cs="黑体"/>
                                <w:sz w:val="24"/>
                                <w:szCs w:val="24"/>
                                <w:lang w:eastAsia="zh-CN"/>
                              </w:rPr>
                              <w:t>B</w:t>
                            </w:r>
                            <w:r>
                              <w:rPr>
                                <w:rFonts w:hint="eastAsia" w:ascii="黑体" w:eastAsia="黑体" w:cs="黑体"/>
                                <w:sz w:val="24"/>
                                <w:szCs w:val="24"/>
                                <w:lang w:eastAsia="zh-CN"/>
                              </w:rPr>
                              <w:t>区</w:t>
                            </w:r>
                            <w:r>
                              <w:rPr>
                                <w:rFonts w:ascii="黑体" w:eastAsia="黑体" w:cs="黑体"/>
                                <w:sz w:val="24"/>
                                <w:szCs w:val="24"/>
                                <w:lang w:eastAsia="zh-CN"/>
                              </w:rPr>
                              <w:t>8-1</w:t>
                            </w:r>
                            <w:r>
                              <w:rPr>
                                <w:rFonts w:hint="eastAsia" w:ascii="黑体" w:hAnsi="宋体" w:eastAsia="黑体" w:cs="黑体"/>
                                <w:kern w:val="2"/>
                                <w:sz w:val="24"/>
                                <w:szCs w:val="24"/>
                                <w:lang w:eastAsia="zh-CN"/>
                              </w:rPr>
                              <w:t>（邮编：</w:t>
                            </w:r>
                            <w:r>
                              <w:rPr>
                                <w:rFonts w:ascii="黑体" w:hAnsi="宋体" w:eastAsia="黑体" w:cs="黑体"/>
                                <w:kern w:val="2"/>
                                <w:sz w:val="24"/>
                                <w:szCs w:val="24"/>
                                <w:lang w:eastAsia="zh-CN"/>
                              </w:rPr>
                              <w:t>100022</w:t>
                            </w:r>
                            <w:r>
                              <w:rPr>
                                <w:rFonts w:hint="eastAsia" w:ascii="黑体" w:hAnsi="宋体" w:eastAsia="黑体" w:cs="黑体"/>
                                <w:kern w:val="2"/>
                                <w:sz w:val="24"/>
                                <w:szCs w:val="24"/>
                                <w:lang w:eastAsia="zh-CN"/>
                              </w:rPr>
                              <w:t>）</w:t>
                            </w:r>
                          </w:p>
                          <w:p>
                            <w:pPr>
                              <w:jc w:val="left"/>
                              <w:rPr>
                                <w:rFonts w:cs="Times New Roman"/>
                              </w:rPr>
                            </w:pPr>
                          </w:p>
                        </w:txbxContent>
                      </wps:txbx>
                      <wps:bodyPr upright="1"/>
                    </wps:wsp>
                  </a:graphicData>
                </a:graphic>
              </wp:anchor>
            </w:drawing>
          </mc:Choice>
          <mc:Fallback>
            <w:pict>
              <v:shape id="文本框 5" o:spid="_x0000_s1026" o:spt="202" type="#_x0000_t202" style="position:absolute;left:0pt;margin-left:36.75pt;margin-top:580.6pt;height:112.15pt;width:414pt;z-index:251660288;mso-width-relative:page;mso-height-relative:page;" filled="f" stroked="f" coordsize="21600,21600" o:gfxdata="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0rn2cNgAAAAMAQAADwAAAAAAAAABACAAAAAiAAAAZHJzL2Rvd25yZXYueG1sUEsBAhQAFAAAAAgA&#10;h07iQDX7KmSzAQAAXQMAAA4AAAAAAAAAAQAgAAAAJwEAAGRycy9lMm9Eb2MueG1sUEsFBgAAAAAG&#10;AAYAWQEAAEwFAAAAAA==&#10;">
                <v:fill on="f" focussize="0,0"/>
                <v:stroke on="f"/>
                <v:imagedata o:title=""/>
                <o:lock v:ext="edit" aspectratio="f"/>
                <v:textbox>
                  <w:txbxContent>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责任编辑：朱海燕</w:t>
                      </w:r>
                      <w:r>
                        <w:rPr>
                          <w:rFonts w:ascii="黑体" w:hAnsi="宋体" w:eastAsia="黑体" w:cs="黑体"/>
                          <w:kern w:val="2"/>
                          <w:sz w:val="24"/>
                          <w:szCs w:val="24"/>
                          <w:lang w:eastAsia="zh-CN"/>
                        </w:rPr>
                        <w:t>/</w:t>
                      </w:r>
                      <w:r>
                        <w:rPr>
                          <w:rFonts w:hint="eastAsia" w:ascii="黑体" w:hAnsi="宋体" w:eastAsia="黑体" w:cs="黑体"/>
                          <w:kern w:val="2"/>
                          <w:sz w:val="24"/>
                          <w:szCs w:val="24"/>
                          <w:lang w:eastAsia="zh-CN"/>
                        </w:rPr>
                        <w:t>于亚楠</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电话：</w:t>
                      </w:r>
                      <w:r>
                        <w:rPr>
                          <w:rFonts w:ascii="黑体" w:hAnsi="宋体" w:eastAsia="黑体" w:cs="黑体"/>
                          <w:kern w:val="2"/>
                          <w:sz w:val="24"/>
                          <w:szCs w:val="24"/>
                          <w:lang w:eastAsia="zh-CN"/>
                        </w:rPr>
                        <w:t>86-10-18513790749</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传真：</w:t>
                      </w:r>
                      <w:r>
                        <w:rPr>
                          <w:rFonts w:ascii="黑体" w:hAnsi="宋体" w:eastAsia="黑体" w:cs="黑体"/>
                          <w:kern w:val="2"/>
                          <w:sz w:val="24"/>
                          <w:szCs w:val="24"/>
                          <w:lang w:eastAsia="zh-CN"/>
                        </w:rPr>
                        <w:t>86-010-</w:t>
                      </w:r>
                      <w:r>
                        <w:rPr>
                          <w:rFonts w:ascii="黑体" w:hAnsi="Arial" w:eastAsia="黑体" w:cs="黑体"/>
                          <w:color w:val="333333"/>
                          <w:sz w:val="24"/>
                          <w:szCs w:val="24"/>
                          <w:lang w:eastAsia="zh-CN"/>
                        </w:rPr>
                        <w:t>85725399</w:t>
                      </w:r>
                    </w:p>
                    <w:p>
                      <w:pPr>
                        <w:pStyle w:val="40"/>
                        <w:rPr>
                          <w:rFonts w:ascii="黑体" w:hAnsi="宋体" w:eastAsia="黑体" w:cs="黑体"/>
                          <w:kern w:val="2"/>
                          <w:sz w:val="24"/>
                          <w:szCs w:val="24"/>
                          <w:lang w:eastAsia="zh-CN"/>
                        </w:rPr>
                      </w:pPr>
                      <w:r>
                        <w:rPr>
                          <w:rFonts w:hint="eastAsia" w:ascii="黑体" w:hAnsi="宋体" w:eastAsia="黑体" w:cs="黑体"/>
                          <w:kern w:val="2"/>
                          <w:sz w:val="24"/>
                          <w:szCs w:val="24"/>
                          <w:lang w:eastAsia="zh-CN"/>
                        </w:rPr>
                        <w:t>编辑邮箱：</w:t>
                      </w:r>
                      <w:r>
                        <w:rPr>
                          <w:rFonts w:ascii="黑体" w:hAnsi="宋体" w:eastAsia="黑体" w:cs="黑体"/>
                          <w:kern w:val="2"/>
                          <w:sz w:val="24"/>
                          <w:szCs w:val="24"/>
                          <w:lang w:eastAsia="zh-CN"/>
                        </w:rPr>
                        <w:t>zhuhy@chinaccm.com</w:t>
                      </w:r>
                    </w:p>
                    <w:p>
                      <w:pPr>
                        <w:pStyle w:val="40"/>
                        <w:rPr>
                          <w:rFonts w:ascii="黑体" w:hAnsi="宋体" w:eastAsia="黑体" w:cs="Times New Roman"/>
                          <w:kern w:val="2"/>
                          <w:sz w:val="24"/>
                          <w:szCs w:val="24"/>
                          <w:lang w:eastAsia="zh-CN"/>
                        </w:rPr>
                      </w:pPr>
                      <w:r>
                        <w:rPr>
                          <w:rFonts w:hint="eastAsia" w:ascii="黑体" w:hAnsi="宋体" w:eastAsia="黑体" w:cs="黑体"/>
                          <w:kern w:val="2"/>
                          <w:sz w:val="24"/>
                          <w:szCs w:val="24"/>
                          <w:lang w:eastAsia="zh-CN"/>
                        </w:rPr>
                        <w:t>地址：</w:t>
                      </w:r>
                      <w:r>
                        <w:rPr>
                          <w:rFonts w:hint="eastAsia" w:ascii="黑体" w:eastAsia="黑体" w:cs="黑体"/>
                          <w:sz w:val="24"/>
                          <w:szCs w:val="24"/>
                          <w:lang w:eastAsia="zh-CN"/>
                        </w:rPr>
                        <w:t>北京市朝阳区高碑店东区</w:t>
                      </w:r>
                      <w:r>
                        <w:rPr>
                          <w:rFonts w:ascii="黑体" w:eastAsia="黑体" w:cs="黑体"/>
                          <w:sz w:val="24"/>
                          <w:szCs w:val="24"/>
                          <w:lang w:eastAsia="zh-CN"/>
                        </w:rPr>
                        <w:t>B</w:t>
                      </w:r>
                      <w:r>
                        <w:rPr>
                          <w:rFonts w:hint="eastAsia" w:ascii="黑体" w:eastAsia="黑体" w:cs="黑体"/>
                          <w:sz w:val="24"/>
                          <w:szCs w:val="24"/>
                          <w:lang w:eastAsia="zh-CN"/>
                        </w:rPr>
                        <w:t>区</w:t>
                      </w:r>
                      <w:r>
                        <w:rPr>
                          <w:rFonts w:ascii="黑体" w:eastAsia="黑体" w:cs="黑体"/>
                          <w:sz w:val="24"/>
                          <w:szCs w:val="24"/>
                          <w:lang w:eastAsia="zh-CN"/>
                        </w:rPr>
                        <w:t>8-1</w:t>
                      </w:r>
                      <w:r>
                        <w:rPr>
                          <w:rFonts w:hint="eastAsia" w:ascii="黑体" w:hAnsi="宋体" w:eastAsia="黑体" w:cs="黑体"/>
                          <w:kern w:val="2"/>
                          <w:sz w:val="24"/>
                          <w:szCs w:val="24"/>
                          <w:lang w:eastAsia="zh-CN"/>
                        </w:rPr>
                        <w:t>（邮编：</w:t>
                      </w:r>
                      <w:r>
                        <w:rPr>
                          <w:rFonts w:ascii="黑体" w:hAnsi="宋体" w:eastAsia="黑体" w:cs="黑体"/>
                          <w:kern w:val="2"/>
                          <w:sz w:val="24"/>
                          <w:szCs w:val="24"/>
                          <w:lang w:eastAsia="zh-CN"/>
                        </w:rPr>
                        <w:t>100022</w:t>
                      </w:r>
                      <w:r>
                        <w:rPr>
                          <w:rFonts w:hint="eastAsia" w:ascii="黑体" w:hAnsi="宋体" w:eastAsia="黑体" w:cs="黑体"/>
                          <w:kern w:val="2"/>
                          <w:sz w:val="24"/>
                          <w:szCs w:val="24"/>
                          <w:lang w:eastAsia="zh-CN"/>
                        </w:rPr>
                        <w:t>）</w:t>
                      </w:r>
                    </w:p>
                    <w:p>
                      <w:pPr>
                        <w:jc w:val="left"/>
                        <w:rPr>
                          <w:rFonts w:cs="Times New Roman"/>
                        </w:rPr>
                      </w:pPr>
                    </w:p>
                  </w:txbxContent>
                </v:textbox>
              </v:shape>
            </w:pict>
          </mc:Fallback>
        </mc:AlternateContent>
      </w:r>
      <w:r>
        <w:rPr>
          <w:rFonts w:cs="Times New Roman"/>
        </w:rPr>
        <w:br w:type="page"/>
      </w:r>
      <w:r>
        <w:rPr>
          <w:rFonts w:hint="eastAsia" w:ascii="宋体" w:hAnsi="宋体" w:cs="宋体"/>
          <w:b/>
          <w:bCs/>
          <w:color w:val="000000"/>
          <w:sz w:val="28"/>
          <w:szCs w:val="28"/>
          <w:lang w:eastAsia="zh-CN"/>
        </w:rPr>
        <w:t>小金属周报目录</w:t>
      </w:r>
      <w:bookmarkStart w:id="0" w:name="_Toc485828985"/>
      <w:bookmarkStart w:id="1" w:name="_Toc486002518"/>
    </w:p>
    <w:p>
      <w:pPr>
        <w:pStyle w:val="17"/>
        <w:tabs>
          <w:tab w:val="right" w:leader="dot" w:pos="9124"/>
          <w:tab w:val="clear" w:pos="9170"/>
        </w:tabs>
        <w:ind w:left="0" w:leftChars="0" w:firstLine="0" w:firstLineChars="0"/>
      </w:pPr>
      <w:bookmarkStart w:id="123" w:name="_GoBack"/>
      <w:bookmarkEnd w:id="123"/>
      <w:r>
        <w:rPr>
          <w:kern w:val="0"/>
          <w:sz w:val="30"/>
          <w:szCs w:val="30"/>
        </w:rPr>
        <w:fldChar w:fldCharType="begin"/>
      </w:r>
      <w:r>
        <w:instrText xml:space="preserve"> TOC \o "1-3" \h \z \u </w:instrText>
      </w:r>
      <w:r>
        <w:rPr>
          <w:kern w:val="0"/>
          <w:sz w:val="30"/>
          <w:szCs w:val="30"/>
        </w:rPr>
        <w:fldChar w:fldCharType="separate"/>
      </w: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HYPERLINK \l _Toc24681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一、小金属一周评述</w:t>
      </w:r>
      <w:r>
        <w:rPr>
          <w:rFonts w:hint="eastAsia" w:ascii="宋体" w:hAnsi="宋体" w:eastAsia="宋体" w:cs="宋体"/>
          <w:b/>
          <w:bCs/>
          <w:caps w:val="0"/>
          <w:smallCaps/>
          <w:color w:val="000000"/>
          <w:kern w:val="0"/>
          <w:sz w:val="30"/>
          <w:szCs w:val="30"/>
          <w:lang w:val="en-US" w:eastAsia="zh-CN" w:bidi="ar-SA"/>
        </w:rPr>
        <w:tab/>
      </w: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PAGEREF _Toc24681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3</w:t>
      </w:r>
      <w:r>
        <w:rPr>
          <w:rFonts w:hint="eastAsia" w:ascii="宋体" w:hAnsi="宋体" w:eastAsia="宋体" w:cs="宋体"/>
          <w:b/>
          <w:bCs/>
          <w:caps w:val="0"/>
          <w:smallCaps/>
          <w:color w:val="000000"/>
          <w:kern w:val="0"/>
          <w:sz w:val="30"/>
          <w:szCs w:val="30"/>
          <w:lang w:val="en-US" w:eastAsia="zh-CN" w:bidi="ar-SA"/>
        </w:rPr>
        <w:fldChar w:fldCharType="end"/>
      </w:r>
      <w:r>
        <w:rPr>
          <w:rFonts w:hint="eastAsia" w:ascii="宋体" w:hAnsi="宋体" w:eastAsia="宋体" w:cs="宋体"/>
          <w:b/>
          <w:bCs/>
          <w:caps w:val="0"/>
          <w:smallCaps/>
          <w:color w:val="000000"/>
          <w:kern w:val="0"/>
          <w:sz w:val="30"/>
          <w:szCs w:val="30"/>
          <w:lang w:val="en-US" w:eastAsia="zh-CN" w:bidi="ar-SA"/>
        </w:rPr>
        <w:fldChar w:fldCharType="end"/>
      </w:r>
    </w:p>
    <w:p>
      <w:pPr>
        <w:pStyle w:val="17"/>
        <w:tabs>
          <w:tab w:val="right" w:leader="dot" w:pos="9124"/>
          <w:tab w:val="clear" w:pos="9170"/>
        </w:tabs>
      </w:pPr>
      <w:r>
        <w:fldChar w:fldCharType="begin"/>
      </w:r>
      <w:r>
        <w:instrText xml:space="preserve"> HYPERLINK \l _Toc21812 </w:instrText>
      </w:r>
      <w:r>
        <w:fldChar w:fldCharType="separate"/>
      </w:r>
      <w:r>
        <w:rPr>
          <w:rFonts w:hint="eastAsia"/>
          <w:lang w:eastAsia="zh-CN"/>
        </w:rPr>
        <w:t xml:space="preserve">1、 </w:t>
      </w:r>
      <w:r>
        <w:rPr>
          <w:rFonts w:hint="eastAsia"/>
        </w:rPr>
        <w:t>硒评论</w:t>
      </w:r>
      <w:r>
        <w:rPr>
          <w:rFonts w:hint="eastAsia"/>
          <w:lang w:eastAsia="zh-CN"/>
        </w:rPr>
        <w:t>：</w:t>
      </w:r>
      <w:r>
        <w:rPr>
          <w:rFonts w:hint="eastAsia"/>
        </w:rPr>
        <w:t>电解锰市场需求有所增加 二硒市场依旧表现坚挺</w:t>
      </w:r>
      <w:r>
        <w:tab/>
      </w:r>
      <w:r>
        <w:fldChar w:fldCharType="begin"/>
      </w:r>
      <w:r>
        <w:instrText xml:space="preserve"> PAGEREF _Toc21812 </w:instrText>
      </w:r>
      <w:r>
        <w:fldChar w:fldCharType="separate"/>
      </w:r>
      <w:r>
        <w:t>3</w:t>
      </w:r>
      <w:r>
        <w:fldChar w:fldCharType="end"/>
      </w:r>
      <w:r>
        <w:fldChar w:fldCharType="end"/>
      </w:r>
    </w:p>
    <w:p>
      <w:pPr>
        <w:pStyle w:val="17"/>
        <w:tabs>
          <w:tab w:val="right" w:leader="dot" w:pos="9124"/>
          <w:tab w:val="clear" w:pos="9170"/>
        </w:tabs>
      </w:pPr>
      <w:r>
        <w:fldChar w:fldCharType="begin"/>
      </w:r>
      <w:r>
        <w:instrText xml:space="preserve"> HYPERLINK \l _Toc10242 </w:instrText>
      </w:r>
      <w:r>
        <w:fldChar w:fldCharType="separate"/>
      </w:r>
      <w:r>
        <w:rPr>
          <w:rFonts w:hint="eastAsia"/>
          <w:lang w:val="en-US" w:eastAsia="zh-CN"/>
        </w:rPr>
        <w:t xml:space="preserve">2、 </w:t>
      </w:r>
      <w:r>
        <w:rPr>
          <w:rFonts w:hint="eastAsia"/>
          <w:lang w:eastAsia="zh-CN"/>
        </w:rPr>
        <w:t>铋</w:t>
      </w:r>
      <w:r>
        <w:rPr>
          <w:rFonts w:hint="eastAsia"/>
        </w:rPr>
        <w:t>评论</w:t>
      </w:r>
      <w:r>
        <w:rPr>
          <w:rFonts w:hint="eastAsia"/>
          <w:lang w:eastAsia="zh-CN"/>
        </w:rPr>
        <w:t>：</w:t>
      </w:r>
      <w:r>
        <w:rPr>
          <w:rFonts w:hint="eastAsia"/>
          <w:lang w:val="en-US" w:eastAsia="zh-CN"/>
        </w:rPr>
        <w:t>铋锭市场行情延续低迷走势</w:t>
      </w:r>
      <w:r>
        <w:tab/>
      </w:r>
      <w:r>
        <w:fldChar w:fldCharType="begin"/>
      </w:r>
      <w:r>
        <w:instrText xml:space="preserve"> PAGEREF _Toc10242 </w:instrText>
      </w:r>
      <w:r>
        <w:fldChar w:fldCharType="separate"/>
      </w:r>
      <w:r>
        <w:t>4</w:t>
      </w:r>
      <w:r>
        <w:fldChar w:fldCharType="end"/>
      </w:r>
      <w:r>
        <w:fldChar w:fldCharType="end"/>
      </w:r>
    </w:p>
    <w:p>
      <w:pPr>
        <w:pStyle w:val="17"/>
        <w:tabs>
          <w:tab w:val="right" w:leader="dot" w:pos="9124"/>
          <w:tab w:val="clear" w:pos="9170"/>
        </w:tabs>
      </w:pPr>
      <w:r>
        <w:fldChar w:fldCharType="begin"/>
      </w:r>
      <w:r>
        <w:instrText xml:space="preserve"> HYPERLINK \l _Toc22202 </w:instrText>
      </w:r>
      <w:r>
        <w:fldChar w:fldCharType="separate"/>
      </w:r>
      <w:r>
        <w:rPr>
          <w:rFonts w:hint="eastAsia"/>
        </w:rPr>
        <w:t>3</w:t>
      </w:r>
      <w:r>
        <w:rPr>
          <w:rFonts w:hint="eastAsia"/>
          <w:lang w:eastAsia="zh-CN"/>
        </w:rPr>
        <w:t>、</w:t>
      </w:r>
      <w:r>
        <w:rPr>
          <w:rFonts w:hint="eastAsia"/>
        </w:rPr>
        <w:t>铟评论：铟锭市场活跃度逐渐减弱</w:t>
      </w:r>
      <w:r>
        <w:tab/>
      </w:r>
      <w:r>
        <w:fldChar w:fldCharType="begin"/>
      </w:r>
      <w:r>
        <w:instrText xml:space="preserve"> PAGEREF _Toc22202 </w:instrText>
      </w:r>
      <w:r>
        <w:fldChar w:fldCharType="separate"/>
      </w:r>
      <w:r>
        <w:t>5</w:t>
      </w:r>
      <w:r>
        <w:fldChar w:fldCharType="end"/>
      </w:r>
      <w:r>
        <w:fldChar w:fldCharType="end"/>
      </w:r>
    </w:p>
    <w:p>
      <w:pPr>
        <w:pStyle w:val="17"/>
        <w:tabs>
          <w:tab w:val="right" w:leader="dot" w:pos="9124"/>
          <w:tab w:val="clear" w:pos="9170"/>
        </w:tabs>
      </w:pPr>
      <w:r>
        <w:fldChar w:fldCharType="begin"/>
      </w:r>
      <w:r>
        <w:instrText xml:space="preserve"> HYPERLINK \l _Toc25882 </w:instrText>
      </w:r>
      <w:r>
        <w:fldChar w:fldCharType="separate"/>
      </w:r>
      <w:r>
        <w:t>4</w:t>
      </w:r>
      <w:r>
        <w:rPr>
          <w:rFonts w:hint="eastAsia"/>
        </w:rPr>
        <w:t>、碲评论：国内碲锭市场需求变化不大</w:t>
      </w:r>
      <w:r>
        <w:tab/>
      </w:r>
      <w:r>
        <w:fldChar w:fldCharType="begin"/>
      </w:r>
      <w:r>
        <w:instrText xml:space="preserve"> PAGEREF _Toc25882 </w:instrText>
      </w:r>
      <w:r>
        <w:fldChar w:fldCharType="separate"/>
      </w:r>
      <w:r>
        <w:t>5</w:t>
      </w:r>
      <w:r>
        <w:fldChar w:fldCharType="end"/>
      </w:r>
      <w:r>
        <w:fldChar w:fldCharType="end"/>
      </w:r>
    </w:p>
    <w:p>
      <w:pPr>
        <w:pStyle w:val="15"/>
        <w:tabs>
          <w:tab w:val="right" w:leader="dot" w:pos="9124"/>
          <w:tab w:val="clear" w:pos="9170"/>
        </w:tabs>
        <w:rPr>
          <w:rFonts w:hint="eastAsia" w:ascii="宋体" w:hAnsi="宋体" w:eastAsia="宋体" w:cs="宋体"/>
          <w:b/>
          <w:bCs/>
          <w:caps w:val="0"/>
          <w:smallCaps/>
          <w:color w:val="000000"/>
          <w:kern w:val="0"/>
          <w:sz w:val="30"/>
          <w:szCs w:val="30"/>
          <w:lang w:val="en-US" w:eastAsia="zh-CN" w:bidi="ar-SA"/>
        </w:rPr>
      </w:pP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HYPERLINK \l _Toc31383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二、价格行情</w:t>
      </w:r>
      <w:r>
        <w:rPr>
          <w:rFonts w:hint="eastAsia" w:ascii="宋体" w:hAnsi="宋体" w:eastAsia="宋体" w:cs="宋体"/>
          <w:b/>
          <w:bCs/>
          <w:caps w:val="0"/>
          <w:smallCaps/>
          <w:color w:val="000000"/>
          <w:kern w:val="0"/>
          <w:sz w:val="30"/>
          <w:szCs w:val="30"/>
          <w:lang w:val="en-US" w:eastAsia="zh-CN" w:bidi="ar-SA"/>
        </w:rPr>
        <w:tab/>
      </w: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PAGEREF _Toc31383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6</w:t>
      </w:r>
      <w:r>
        <w:rPr>
          <w:rFonts w:hint="eastAsia" w:ascii="宋体" w:hAnsi="宋体" w:eastAsia="宋体" w:cs="宋体"/>
          <w:b/>
          <w:bCs/>
          <w:caps w:val="0"/>
          <w:smallCaps/>
          <w:color w:val="000000"/>
          <w:kern w:val="0"/>
          <w:sz w:val="30"/>
          <w:szCs w:val="30"/>
          <w:lang w:val="en-US" w:eastAsia="zh-CN" w:bidi="ar-SA"/>
        </w:rPr>
        <w:fldChar w:fldCharType="end"/>
      </w:r>
      <w:r>
        <w:rPr>
          <w:rFonts w:hint="eastAsia" w:ascii="宋体" w:hAnsi="宋体" w:eastAsia="宋体" w:cs="宋体"/>
          <w:b/>
          <w:bCs/>
          <w:caps w:val="0"/>
          <w:smallCaps/>
          <w:color w:val="000000"/>
          <w:kern w:val="0"/>
          <w:sz w:val="30"/>
          <w:szCs w:val="30"/>
          <w:lang w:val="en-US" w:eastAsia="zh-CN" w:bidi="ar-SA"/>
        </w:rPr>
        <w:fldChar w:fldCharType="end"/>
      </w:r>
    </w:p>
    <w:p>
      <w:pPr>
        <w:pStyle w:val="17"/>
        <w:tabs>
          <w:tab w:val="right" w:leader="dot" w:pos="9124"/>
          <w:tab w:val="clear" w:pos="9170"/>
        </w:tabs>
      </w:pPr>
      <w:r>
        <w:fldChar w:fldCharType="begin"/>
      </w:r>
      <w:r>
        <w:instrText xml:space="preserve"> HYPERLINK \l _Toc1976 </w:instrText>
      </w:r>
      <w:r>
        <w:fldChar w:fldCharType="separate"/>
      </w:r>
      <w:r>
        <w:t>1</w:t>
      </w:r>
      <w:r>
        <w:rPr>
          <w:rFonts w:hint="eastAsia"/>
        </w:rPr>
        <w:t>、国际价格</w:t>
      </w:r>
      <w:r>
        <w:tab/>
      </w:r>
      <w:r>
        <w:fldChar w:fldCharType="begin"/>
      </w:r>
      <w:r>
        <w:instrText xml:space="preserve"> PAGEREF _Toc1976 </w:instrText>
      </w:r>
      <w:r>
        <w:fldChar w:fldCharType="separate"/>
      </w:r>
      <w:r>
        <w:t>6</w:t>
      </w:r>
      <w:r>
        <w:fldChar w:fldCharType="end"/>
      </w:r>
      <w:r>
        <w:fldChar w:fldCharType="end"/>
      </w:r>
    </w:p>
    <w:p>
      <w:pPr>
        <w:pStyle w:val="17"/>
        <w:tabs>
          <w:tab w:val="right" w:leader="dot" w:pos="9124"/>
          <w:tab w:val="clear" w:pos="9170"/>
        </w:tabs>
      </w:pPr>
      <w:r>
        <w:fldChar w:fldCharType="begin"/>
      </w:r>
      <w:r>
        <w:instrText xml:space="preserve"> HYPERLINK \l _Toc2364 </w:instrText>
      </w:r>
      <w:r>
        <w:fldChar w:fldCharType="separate"/>
      </w:r>
      <w:r>
        <w:t>2</w:t>
      </w:r>
      <w:r>
        <w:rPr>
          <w:rFonts w:hint="eastAsia"/>
        </w:rPr>
        <w:t>、欧洲鹿特丹小金属价格</w:t>
      </w:r>
      <w:r>
        <w:tab/>
      </w:r>
      <w:r>
        <w:fldChar w:fldCharType="begin"/>
      </w:r>
      <w:r>
        <w:instrText xml:space="preserve"> PAGEREF _Toc2364 </w:instrText>
      </w:r>
      <w:r>
        <w:fldChar w:fldCharType="separate"/>
      </w:r>
      <w:r>
        <w:t>6</w:t>
      </w:r>
      <w:r>
        <w:fldChar w:fldCharType="end"/>
      </w:r>
      <w:r>
        <w:fldChar w:fldCharType="end"/>
      </w:r>
    </w:p>
    <w:p>
      <w:pPr>
        <w:pStyle w:val="17"/>
        <w:tabs>
          <w:tab w:val="right" w:leader="dot" w:pos="9124"/>
          <w:tab w:val="clear" w:pos="9170"/>
        </w:tabs>
      </w:pPr>
      <w:r>
        <w:fldChar w:fldCharType="begin"/>
      </w:r>
      <w:r>
        <w:instrText xml:space="preserve"> HYPERLINK \l _Toc5358 </w:instrText>
      </w:r>
      <w:r>
        <w:fldChar w:fldCharType="separate"/>
      </w:r>
      <w:r>
        <w:t xml:space="preserve">3、 </w:t>
      </w:r>
      <w:r>
        <w:rPr>
          <w:rFonts w:hint="eastAsia"/>
        </w:rPr>
        <w:t>国内一周小金属价格汇总</w:t>
      </w:r>
      <w:r>
        <w:tab/>
      </w:r>
      <w:r>
        <w:fldChar w:fldCharType="begin"/>
      </w:r>
      <w:r>
        <w:instrText xml:space="preserve"> PAGEREF _Toc5358 </w:instrText>
      </w:r>
      <w:r>
        <w:fldChar w:fldCharType="separate"/>
      </w:r>
      <w:r>
        <w:t>7</w:t>
      </w:r>
      <w:r>
        <w:fldChar w:fldCharType="end"/>
      </w:r>
      <w:r>
        <w:fldChar w:fldCharType="end"/>
      </w:r>
    </w:p>
    <w:p>
      <w:pPr>
        <w:pStyle w:val="15"/>
        <w:tabs>
          <w:tab w:val="right" w:leader="dot" w:pos="9124"/>
          <w:tab w:val="clear" w:pos="9170"/>
        </w:tabs>
        <w:rPr>
          <w:rFonts w:hint="eastAsia" w:ascii="宋体" w:hAnsi="宋体" w:eastAsia="宋体" w:cs="宋体"/>
          <w:b/>
          <w:bCs/>
          <w:caps w:val="0"/>
          <w:smallCaps/>
          <w:color w:val="000000"/>
          <w:kern w:val="0"/>
          <w:sz w:val="30"/>
          <w:szCs w:val="30"/>
          <w:lang w:val="en-US" w:eastAsia="zh-CN" w:bidi="ar-SA"/>
        </w:rPr>
      </w:pP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HYPERLINK \l _Toc24653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三、 一周市场动态回顾</w:t>
      </w:r>
      <w:r>
        <w:rPr>
          <w:rFonts w:hint="eastAsia" w:ascii="宋体" w:hAnsi="宋体" w:eastAsia="宋体" w:cs="宋体"/>
          <w:b/>
          <w:bCs/>
          <w:caps w:val="0"/>
          <w:smallCaps/>
          <w:color w:val="000000"/>
          <w:kern w:val="0"/>
          <w:sz w:val="30"/>
          <w:szCs w:val="30"/>
          <w:lang w:val="en-US" w:eastAsia="zh-CN" w:bidi="ar-SA"/>
        </w:rPr>
        <w:tab/>
      </w:r>
      <w:r>
        <w:rPr>
          <w:rFonts w:hint="eastAsia" w:ascii="宋体" w:hAnsi="宋体" w:eastAsia="宋体" w:cs="宋体"/>
          <w:b/>
          <w:bCs/>
          <w:caps w:val="0"/>
          <w:smallCaps/>
          <w:color w:val="000000"/>
          <w:kern w:val="0"/>
          <w:sz w:val="30"/>
          <w:szCs w:val="30"/>
          <w:lang w:val="en-US" w:eastAsia="zh-CN" w:bidi="ar-SA"/>
        </w:rPr>
        <w:fldChar w:fldCharType="begin"/>
      </w:r>
      <w:r>
        <w:rPr>
          <w:rFonts w:hint="eastAsia" w:ascii="宋体" w:hAnsi="宋体" w:eastAsia="宋体" w:cs="宋体"/>
          <w:b/>
          <w:bCs/>
          <w:caps w:val="0"/>
          <w:smallCaps/>
          <w:color w:val="000000"/>
          <w:kern w:val="0"/>
          <w:sz w:val="30"/>
          <w:szCs w:val="30"/>
          <w:lang w:val="en-US" w:eastAsia="zh-CN" w:bidi="ar-SA"/>
        </w:rPr>
        <w:instrText xml:space="preserve"> PAGEREF _Toc24653 </w:instrText>
      </w:r>
      <w:r>
        <w:rPr>
          <w:rFonts w:hint="eastAsia" w:ascii="宋体" w:hAnsi="宋体" w:eastAsia="宋体" w:cs="宋体"/>
          <w:b/>
          <w:bCs/>
          <w:caps w:val="0"/>
          <w:smallCaps/>
          <w:color w:val="000000"/>
          <w:kern w:val="0"/>
          <w:sz w:val="30"/>
          <w:szCs w:val="30"/>
          <w:lang w:val="en-US" w:eastAsia="zh-CN" w:bidi="ar-SA"/>
        </w:rPr>
        <w:fldChar w:fldCharType="separate"/>
      </w:r>
      <w:r>
        <w:rPr>
          <w:rFonts w:hint="eastAsia" w:ascii="宋体" w:hAnsi="宋体" w:eastAsia="宋体" w:cs="宋体"/>
          <w:b/>
          <w:bCs/>
          <w:caps w:val="0"/>
          <w:smallCaps/>
          <w:color w:val="000000"/>
          <w:kern w:val="0"/>
          <w:sz w:val="30"/>
          <w:szCs w:val="30"/>
          <w:lang w:val="en-US" w:eastAsia="zh-CN" w:bidi="ar-SA"/>
        </w:rPr>
        <w:t>7</w:t>
      </w:r>
      <w:r>
        <w:rPr>
          <w:rFonts w:hint="eastAsia" w:ascii="宋体" w:hAnsi="宋体" w:eastAsia="宋体" w:cs="宋体"/>
          <w:b/>
          <w:bCs/>
          <w:caps w:val="0"/>
          <w:smallCaps/>
          <w:color w:val="000000"/>
          <w:kern w:val="0"/>
          <w:sz w:val="30"/>
          <w:szCs w:val="30"/>
          <w:lang w:val="en-US" w:eastAsia="zh-CN" w:bidi="ar-SA"/>
        </w:rPr>
        <w:fldChar w:fldCharType="end"/>
      </w:r>
      <w:r>
        <w:rPr>
          <w:rFonts w:hint="eastAsia" w:ascii="宋体" w:hAnsi="宋体" w:eastAsia="宋体" w:cs="宋体"/>
          <w:b/>
          <w:bCs/>
          <w:caps w:val="0"/>
          <w:smallCaps/>
          <w:color w:val="000000"/>
          <w:kern w:val="0"/>
          <w:sz w:val="30"/>
          <w:szCs w:val="30"/>
          <w:lang w:val="en-US" w:eastAsia="zh-CN" w:bidi="ar-SA"/>
        </w:rPr>
        <w:fldChar w:fldCharType="end"/>
      </w:r>
    </w:p>
    <w:p>
      <w:pPr>
        <w:pStyle w:val="17"/>
        <w:tabs>
          <w:tab w:val="right" w:leader="dot" w:pos="9124"/>
          <w:tab w:val="clear" w:pos="9170"/>
        </w:tabs>
      </w:pPr>
      <w:r>
        <w:fldChar w:fldCharType="begin"/>
      </w:r>
      <w:r>
        <w:instrText xml:space="preserve"> HYPERLINK \l _Toc5437 </w:instrText>
      </w:r>
      <w:r>
        <w:fldChar w:fldCharType="separate"/>
      </w:r>
      <w:r>
        <w:rPr>
          <w:rFonts w:hint="eastAsia" w:ascii="宋体" w:hAnsi="宋体" w:cs="宋体"/>
          <w:bCs/>
          <w:kern w:val="0"/>
          <w:szCs w:val="30"/>
        </w:rPr>
        <w:t>我国七大铜矿产地！我国70%以上的铜矿在这里产出</w:t>
      </w:r>
      <w:r>
        <w:tab/>
      </w:r>
      <w:r>
        <w:fldChar w:fldCharType="begin"/>
      </w:r>
      <w:r>
        <w:instrText xml:space="preserve"> PAGEREF _Toc5437 </w:instrText>
      </w:r>
      <w:r>
        <w:fldChar w:fldCharType="separate"/>
      </w:r>
      <w:r>
        <w:t>7</w:t>
      </w:r>
      <w:r>
        <w:fldChar w:fldCharType="end"/>
      </w:r>
      <w:r>
        <w:fldChar w:fldCharType="end"/>
      </w:r>
    </w:p>
    <w:p>
      <w:pPr>
        <w:pStyle w:val="17"/>
        <w:tabs>
          <w:tab w:val="right" w:leader="dot" w:pos="9124"/>
          <w:tab w:val="clear" w:pos="9170"/>
        </w:tabs>
      </w:pPr>
      <w:r>
        <w:fldChar w:fldCharType="begin"/>
      </w:r>
      <w:r>
        <w:instrText xml:space="preserve"> HYPERLINK \l _Toc18932 </w:instrText>
      </w:r>
      <w:r>
        <w:fldChar w:fldCharType="separate"/>
      </w:r>
      <w:r>
        <w:rPr>
          <w:rFonts w:hint="eastAsia" w:ascii="宋体" w:hAnsi="宋体" w:cs="宋体"/>
          <w:bCs/>
          <w:kern w:val="0"/>
          <w:szCs w:val="30"/>
        </w:rPr>
        <w:t>对标世界一流 在大战大考中做好高质量发展答卷——中色大冶40</w:t>
      </w:r>
      <w:r>
        <w:rPr>
          <w:rFonts w:hint="eastAsia" w:ascii="宋体" w:hAnsi="宋体" w:cs="宋体"/>
          <w:bCs/>
          <w:kern w:val="0"/>
          <w:szCs w:val="30"/>
        </w:rPr>
        <w:t>万吨高纯阴极铜项目建设侧记</w:t>
      </w:r>
      <w:r>
        <w:tab/>
      </w:r>
      <w:r>
        <w:fldChar w:fldCharType="begin"/>
      </w:r>
      <w:r>
        <w:instrText xml:space="preserve"> PAGEREF _Toc18932 </w:instrText>
      </w:r>
      <w:r>
        <w:fldChar w:fldCharType="separate"/>
      </w:r>
      <w:r>
        <w:t>11</w:t>
      </w:r>
      <w:r>
        <w:fldChar w:fldCharType="end"/>
      </w:r>
      <w:r>
        <w:fldChar w:fldCharType="end"/>
      </w:r>
    </w:p>
    <w:p>
      <w:pPr>
        <w:pStyle w:val="17"/>
        <w:tabs>
          <w:tab w:val="right" w:leader="dot" w:pos="9124"/>
          <w:tab w:val="clear" w:pos="9170"/>
        </w:tabs>
      </w:pPr>
      <w:r>
        <w:fldChar w:fldCharType="begin"/>
      </w:r>
      <w:r>
        <w:instrText xml:space="preserve"> HYPERLINK \l _Toc10032 </w:instrText>
      </w:r>
      <w:r>
        <w:fldChar w:fldCharType="separate"/>
      </w:r>
      <w:r>
        <w:rPr>
          <w:rFonts w:hint="eastAsia" w:ascii="宋体" w:hAnsi="宋体" w:cs="宋体"/>
          <w:bCs/>
          <w:kern w:val="0"/>
          <w:szCs w:val="30"/>
          <w:lang w:eastAsia="zh-CN"/>
        </w:rPr>
        <w:t>四川省委副书记、省长尹力会见江铜集团党委书记、董事长、总经理郑高清一行</w:t>
      </w:r>
      <w:r>
        <w:tab/>
      </w:r>
      <w:r>
        <w:fldChar w:fldCharType="begin"/>
      </w:r>
      <w:r>
        <w:instrText xml:space="preserve"> PAGEREF _Toc10032 </w:instrText>
      </w:r>
      <w:r>
        <w:fldChar w:fldCharType="separate"/>
      </w:r>
      <w:r>
        <w:t>18</w:t>
      </w:r>
      <w:r>
        <w:fldChar w:fldCharType="end"/>
      </w:r>
      <w:r>
        <w:fldChar w:fldCharType="end"/>
      </w:r>
    </w:p>
    <w:p>
      <w:pPr>
        <w:pStyle w:val="17"/>
        <w:tabs>
          <w:tab w:val="right" w:leader="dot" w:pos="9124"/>
          <w:tab w:val="clear" w:pos="9170"/>
        </w:tabs>
      </w:pPr>
      <w:r>
        <w:fldChar w:fldCharType="begin"/>
      </w:r>
      <w:r>
        <w:instrText xml:space="preserve"> HYPERLINK \l _Toc31620 </w:instrText>
      </w:r>
      <w:r>
        <w:fldChar w:fldCharType="separate"/>
      </w:r>
      <w:r>
        <w:rPr>
          <w:rFonts w:hint="default" w:ascii="宋体" w:hAnsi="宋体" w:cs="宋体"/>
          <w:bCs/>
          <w:kern w:val="0"/>
          <w:szCs w:val="30"/>
          <w:lang w:val="en-US" w:eastAsia="zh-CN"/>
        </w:rPr>
        <w:t>聚焦铝业“十四五”发展重点 2020第五届国际（三亚）铝产业链发展高峰论坛召开</w:t>
      </w:r>
      <w:r>
        <w:tab/>
      </w:r>
      <w:r>
        <w:fldChar w:fldCharType="begin"/>
      </w:r>
      <w:r>
        <w:instrText xml:space="preserve"> PAGEREF _Toc31620 </w:instrText>
      </w:r>
      <w:r>
        <w:fldChar w:fldCharType="separate"/>
      </w:r>
      <w:r>
        <w:t>19</w:t>
      </w:r>
      <w:r>
        <w:fldChar w:fldCharType="end"/>
      </w:r>
      <w:r>
        <w:fldChar w:fldCharType="end"/>
      </w:r>
    </w:p>
    <w:p>
      <w:pPr>
        <w:pStyle w:val="17"/>
        <w:tabs>
          <w:tab w:val="right" w:leader="dot" w:pos="9124"/>
          <w:tab w:val="clear" w:pos="9170"/>
        </w:tabs>
      </w:pPr>
      <w:r>
        <w:fldChar w:fldCharType="begin"/>
      </w:r>
      <w:r>
        <w:instrText xml:space="preserve"> HYPERLINK \l _Toc24537 </w:instrText>
      </w:r>
      <w:r>
        <w:fldChar w:fldCharType="separate"/>
      </w:r>
      <w:r>
        <w:rPr>
          <w:rFonts w:hint="eastAsia" w:ascii="宋体" w:hAnsi="宋体" w:cs="宋体"/>
          <w:bCs/>
          <w:kern w:val="0"/>
          <w:szCs w:val="30"/>
        </w:rPr>
        <w:t>“遥感＋固废”，精准判经纬 执法监管效率大幅提升</w:t>
      </w:r>
      <w:r>
        <w:tab/>
      </w:r>
      <w:r>
        <w:fldChar w:fldCharType="begin"/>
      </w:r>
      <w:r>
        <w:instrText xml:space="preserve"> PAGEREF _Toc24537 </w:instrText>
      </w:r>
      <w:r>
        <w:fldChar w:fldCharType="separate"/>
      </w:r>
      <w:r>
        <w:t>24</w:t>
      </w:r>
      <w:r>
        <w:fldChar w:fldCharType="end"/>
      </w:r>
      <w:r>
        <w:fldChar w:fldCharType="end"/>
      </w:r>
    </w:p>
    <w:p>
      <w:pPr>
        <w:pStyle w:val="17"/>
        <w:tabs>
          <w:tab w:val="right" w:leader="dot" w:pos="9124"/>
          <w:tab w:val="clear" w:pos="9170"/>
        </w:tabs>
      </w:pPr>
      <w:r>
        <w:fldChar w:fldCharType="begin"/>
      </w:r>
      <w:r>
        <w:instrText xml:space="preserve"> HYPERLINK \l _Toc24219 </w:instrText>
      </w:r>
      <w:r>
        <w:fldChar w:fldCharType="separate"/>
      </w:r>
      <w:r>
        <w:rPr>
          <w:rFonts w:hint="eastAsia" w:ascii="宋体" w:hAnsi="宋体" w:cs="宋体"/>
          <w:bCs/>
          <w:kern w:val="0"/>
          <w:szCs w:val="30"/>
        </w:rPr>
        <w:t>2020矿业前沿与信息化智能化科技年会在长沙召开</w:t>
      </w:r>
      <w:r>
        <w:tab/>
      </w:r>
      <w:r>
        <w:fldChar w:fldCharType="begin"/>
      </w:r>
      <w:r>
        <w:instrText xml:space="preserve"> PAGEREF _Toc24219 </w:instrText>
      </w:r>
      <w:r>
        <w:fldChar w:fldCharType="separate"/>
      </w:r>
      <w:r>
        <w:t>25</w:t>
      </w:r>
      <w:r>
        <w:fldChar w:fldCharType="end"/>
      </w:r>
      <w:r>
        <w:fldChar w:fldCharType="end"/>
      </w:r>
    </w:p>
    <w:p>
      <w:pPr>
        <w:pStyle w:val="17"/>
        <w:tabs>
          <w:tab w:val="right" w:leader="dot" w:pos="9124"/>
          <w:tab w:val="clear" w:pos="9170"/>
        </w:tabs>
      </w:pPr>
      <w:r>
        <w:fldChar w:fldCharType="begin"/>
      </w:r>
      <w:r>
        <w:instrText xml:space="preserve"> HYPERLINK \l _Toc12295 </w:instrText>
      </w:r>
      <w:r>
        <w:fldChar w:fldCharType="separate"/>
      </w:r>
      <w:r>
        <w:rPr>
          <w:rFonts w:hint="eastAsia" w:ascii="宋体" w:hAnsi="宋体" w:cs="宋体"/>
          <w:bCs/>
          <w:kern w:val="0"/>
          <w:szCs w:val="30"/>
        </w:rPr>
        <w:t>全球订单爆涨：冰箱冷柜出口已排到明年1季度</w:t>
      </w:r>
      <w:r>
        <w:tab/>
      </w:r>
      <w:r>
        <w:fldChar w:fldCharType="begin"/>
      </w:r>
      <w:r>
        <w:instrText xml:space="preserve"> PAGEREF _Toc12295 </w:instrText>
      </w:r>
      <w:r>
        <w:fldChar w:fldCharType="separate"/>
      </w:r>
      <w:r>
        <w:t>28</w:t>
      </w:r>
      <w:r>
        <w:fldChar w:fldCharType="end"/>
      </w:r>
      <w:r>
        <w:fldChar w:fldCharType="end"/>
      </w:r>
    </w:p>
    <w:p>
      <w:pPr>
        <w:pStyle w:val="17"/>
        <w:tabs>
          <w:tab w:val="right" w:leader="dot" w:pos="9124"/>
          <w:tab w:val="clear" w:pos="9170"/>
        </w:tabs>
      </w:pPr>
      <w:r>
        <w:fldChar w:fldCharType="begin"/>
      </w:r>
      <w:r>
        <w:instrText xml:space="preserve"> HYPERLINK \l _Toc8158 </w:instrText>
      </w:r>
      <w:r>
        <w:fldChar w:fldCharType="separate"/>
      </w:r>
      <w:r>
        <w:rPr>
          <w:rFonts w:hint="eastAsia" w:ascii="宋体" w:hAnsi="宋体" w:cs="宋体"/>
          <w:bCs/>
          <w:kern w:val="0"/>
          <w:szCs w:val="30"/>
        </w:rPr>
        <w:t>王勃华：中国光伏新增装机量保持全球领先</w:t>
      </w:r>
      <w:r>
        <w:tab/>
      </w:r>
      <w:r>
        <w:fldChar w:fldCharType="begin"/>
      </w:r>
      <w:r>
        <w:instrText xml:space="preserve"> PAGEREF _Toc8158 </w:instrText>
      </w:r>
      <w:r>
        <w:fldChar w:fldCharType="separate"/>
      </w:r>
      <w:r>
        <w:t>32</w:t>
      </w:r>
      <w:r>
        <w:fldChar w:fldCharType="end"/>
      </w:r>
      <w:r>
        <w:fldChar w:fldCharType="end"/>
      </w:r>
    </w:p>
    <w:p>
      <w:pPr>
        <w:pStyle w:val="17"/>
        <w:tabs>
          <w:tab w:val="right" w:leader="dot" w:pos="9124"/>
          <w:tab w:val="clear" w:pos="9170"/>
        </w:tabs>
      </w:pPr>
      <w:r>
        <w:fldChar w:fldCharType="begin"/>
      </w:r>
      <w:r>
        <w:instrText xml:space="preserve"> HYPERLINK \l _Toc31863 </w:instrText>
      </w:r>
      <w:r>
        <w:fldChar w:fldCharType="separate"/>
      </w:r>
      <w:r>
        <w:rPr>
          <w:rFonts w:hint="eastAsia" w:ascii="宋体" w:hAnsi="宋体" w:cs="宋体"/>
          <w:bCs/>
          <w:kern w:val="0"/>
          <w:szCs w:val="30"/>
        </w:rPr>
        <w:t>“面板+半导体+智能穿戴” 华兴源创迎重要发展机遇期</w:t>
      </w:r>
      <w:r>
        <w:tab/>
      </w:r>
      <w:r>
        <w:fldChar w:fldCharType="begin"/>
      </w:r>
      <w:r>
        <w:instrText xml:space="preserve"> PAGEREF _Toc31863 </w:instrText>
      </w:r>
      <w:r>
        <w:fldChar w:fldCharType="separate"/>
      </w:r>
      <w:r>
        <w:t>34</w:t>
      </w:r>
      <w:r>
        <w:fldChar w:fldCharType="end"/>
      </w:r>
      <w:r>
        <w:fldChar w:fldCharType="end"/>
      </w:r>
    </w:p>
    <w:p>
      <w:pPr>
        <w:pStyle w:val="17"/>
        <w:tabs>
          <w:tab w:val="right" w:leader="dot" w:pos="9124"/>
          <w:tab w:val="clear" w:pos="9170"/>
        </w:tabs>
      </w:pPr>
      <w:r>
        <w:fldChar w:fldCharType="begin"/>
      </w:r>
      <w:r>
        <w:instrText xml:space="preserve"> HYPERLINK \l _Toc6400 </w:instrText>
      </w:r>
      <w:r>
        <w:fldChar w:fldCharType="separate"/>
      </w:r>
      <w:r>
        <w:rPr>
          <w:rFonts w:hint="eastAsia" w:ascii="宋体" w:hAnsi="宋体" w:cs="宋体"/>
          <w:bCs/>
          <w:kern w:val="0"/>
          <w:szCs w:val="30"/>
        </w:rPr>
        <w:t>习近平主席：深入推进清洁能源转型 加快新能源产业发展</w:t>
      </w:r>
      <w:r>
        <w:tab/>
      </w:r>
      <w:r>
        <w:fldChar w:fldCharType="begin"/>
      </w:r>
      <w:r>
        <w:instrText xml:space="preserve"> PAGEREF _Toc6400 </w:instrText>
      </w:r>
      <w:r>
        <w:fldChar w:fldCharType="separate"/>
      </w:r>
      <w:r>
        <w:t>39</w:t>
      </w:r>
      <w:r>
        <w:fldChar w:fldCharType="end"/>
      </w:r>
      <w:r>
        <w:fldChar w:fldCharType="end"/>
      </w:r>
    </w:p>
    <w:p>
      <w:r>
        <w:fldChar w:fldCharType="end"/>
      </w:r>
      <w:bookmarkEnd w:id="0"/>
    </w:p>
    <w:p/>
    <w:p>
      <w:pPr>
        <w:pStyle w:val="4"/>
        <w:tabs>
          <w:tab w:val="center" w:pos="4252"/>
        </w:tabs>
        <w:spacing w:line="400" w:lineRule="exact"/>
        <w:rPr>
          <w:rFonts w:hint="eastAsia" w:cs="黑体"/>
          <w:lang w:eastAsia="zh-CN"/>
        </w:rPr>
      </w:pPr>
      <w:bookmarkStart w:id="2" w:name="_Toc24681"/>
      <w:r>
        <w:rPr>
          <w:rFonts w:hint="eastAsia" w:cs="黑体"/>
        </w:rPr>
        <w:t>一、小金属一周评述</w:t>
      </w:r>
      <w:bookmarkEnd w:id="1"/>
      <w:bookmarkEnd w:id="2"/>
      <w:r>
        <w:rPr>
          <w:rFonts w:hint="eastAsia" w:cs="黑体"/>
          <w:lang w:eastAsia="zh-CN"/>
        </w:rPr>
        <w:tab/>
      </w:r>
    </w:p>
    <w:p>
      <w:pPr>
        <w:pStyle w:val="4"/>
        <w:numPr>
          <w:ilvl w:val="0"/>
          <w:numId w:val="1"/>
        </w:numPr>
        <w:spacing w:line="400" w:lineRule="exact"/>
        <w:rPr>
          <w:rFonts w:hint="eastAsia"/>
          <w:kern w:val="0"/>
          <w:lang w:eastAsia="zh-CN"/>
        </w:rPr>
      </w:pPr>
      <w:bookmarkStart w:id="3" w:name="_Toc21812"/>
      <w:r>
        <w:rPr>
          <w:rFonts w:hint="eastAsia"/>
          <w:kern w:val="0"/>
        </w:rPr>
        <w:t>硒评论</w:t>
      </w:r>
      <w:r>
        <w:rPr>
          <w:rFonts w:hint="eastAsia"/>
          <w:kern w:val="0"/>
          <w:lang w:eastAsia="zh-CN"/>
        </w:rPr>
        <w:t>：</w:t>
      </w:r>
      <w:r>
        <w:rPr>
          <w:rFonts w:hint="eastAsia"/>
          <w:kern w:val="0"/>
        </w:rPr>
        <w:t>电解锰市场需求有所增加 二硒市场依旧表现坚挺</w:t>
      </w:r>
      <w:bookmarkEnd w:id="3"/>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截至到目前电解锰的报价在10400-10600元/吨，最低价较上周五保持不变，最高价较上周五上涨100元/吨。目前国内电解锰市场需求有所增加，市场成交量也随之增加。现阶段电解猛市场现货依旧有限，且现货价格较高，所以生产商们始终坚挺报价，无低价出货的打算。鉴于目前电解猛市场现货较少，预计未来一周国内电解锰市场价格将会小幅上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硒粉国际市场最新报价在5.55-7美元/磅，均价较上周五保持不变。欧洲鹿特丹市场硒粉报价为6.4美元/磅，均价较上周五保持不变。本周国内硒粉市场价格为90-110元/公斤，均价较上周五保持不变。本周粗硒市场价格为65-73元/公斤，均价较上周五保持不变。预计未来一周国内硒粉市场价格将会保持平稳。</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国内二氧化硒市场价格为59-62元/公斤，均价较上周五保持不变。目前国内二氧化硒市场依旧表现坚挺，现货市场需求变化不大，供应商出货价格始终坚挺。有消费商表示，目前他们常规供应商对二氧化硒的报价为61元/公斤，对单笔采购超过3吨以上的客户可优惠1元/公斤，和上周相同。他们目前库存充足，本周没有进行新的采购，以消耗库存为主，暂时打算先观望市场。鉴于供应商坚持挺价，他们预计未来一周国内二氧化硒市场价格仍将持稳。</w:t>
      </w:r>
    </w:p>
    <w:p>
      <w:pPr>
        <w:pStyle w:val="18"/>
        <w:keepNext w:val="0"/>
        <w:keepLines w:val="0"/>
        <w:widowControl/>
        <w:suppressLineNumbers w:val="0"/>
        <w:wordWrap w:val="0"/>
        <w:spacing w:line="288" w:lineRule="auto"/>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分析评述：本周硒市整体保持平稳运行，电解锰市场价格小幅上涨，粗硒市场价格平稳，二氧化硒市场价格平稳，鉴于目前国内二氧化硒终端市场需求变化不大，预计未来一周硒市整体仍将保持平稳运行。</w:t>
      </w:r>
    </w:p>
    <w:p>
      <w:pPr>
        <w:pStyle w:val="4"/>
        <w:numPr>
          <w:ilvl w:val="0"/>
          <w:numId w:val="2"/>
        </w:numPr>
        <w:spacing w:line="400" w:lineRule="exact"/>
        <w:rPr>
          <w:rFonts w:hint="eastAsia" w:ascii="Calibri" w:hAnsi="Calibri" w:eastAsia="宋体" w:cs="Calibri"/>
          <w:b/>
          <w:bCs/>
          <w:kern w:val="0"/>
          <w:sz w:val="32"/>
          <w:szCs w:val="32"/>
          <w:lang w:val="en-US" w:eastAsia="zh-CN" w:bidi="ar-SA"/>
        </w:rPr>
      </w:pPr>
      <w:bookmarkStart w:id="4" w:name="_Toc10242"/>
      <w:r>
        <w:rPr>
          <w:rFonts w:hint="eastAsia"/>
          <w:kern w:val="0"/>
          <w:lang w:eastAsia="zh-CN"/>
        </w:rPr>
        <w:t>铋</w:t>
      </w:r>
      <w:r>
        <w:rPr>
          <w:rFonts w:hint="eastAsia"/>
          <w:kern w:val="0"/>
        </w:rPr>
        <w:t>评论</w:t>
      </w:r>
      <w:r>
        <w:rPr>
          <w:rFonts w:hint="eastAsia"/>
          <w:kern w:val="0"/>
          <w:lang w:eastAsia="zh-CN"/>
        </w:rPr>
        <w:t>：</w:t>
      </w:r>
      <w:r>
        <w:rPr>
          <w:rFonts w:hint="eastAsia" w:ascii="Calibri" w:hAnsi="Calibri" w:eastAsia="宋体" w:cs="Calibri"/>
          <w:b/>
          <w:bCs/>
          <w:kern w:val="0"/>
          <w:sz w:val="32"/>
          <w:szCs w:val="32"/>
          <w:lang w:val="en-US" w:eastAsia="zh-CN" w:bidi="ar-SA"/>
        </w:rPr>
        <w:t>铋锭市场行情延续低迷走势</w:t>
      </w:r>
      <w:bookmarkEnd w:id="4"/>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目前国内铋锭市场行情延续低迷走势，受供应商主动下调价格以争取订单的影响，本周国内铋锭市场价格较上周五下跌500元/吨。目前国内铋锭市场供应量变化不大，实际需求有所增加。终端市场消费商们的采购积极性普遍有所提高，成交量也随之有小幅的增加。鉴于终端市场需求有所改善，预计未来一周国内铋锭市场价格将会保持坚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本周国际市场铋锭报价为2.85-3.1美元/磅，均价较上周五保持不变。欧洲鹿特丹市场最新报价在3美元/磅，价格较上周五保持不变。出口市场价格为2.6-2.7美元/磅，均价较上周五下跌0.05美元/磅。</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本周国内铋锭市场主流报价为36000-37000元/吨，均价较上周五下跌500元/吨。有消费商表示，当前他们一常规供应商目前下调铋锭价格至37000元/吨，即使是实盘也拒绝还盘。他们本周初以此价格采购了32吨。目前随着市场需求量的增加，现货市场交易量也在逐渐增加。现阶段他们的采购也相对比较积极，市场整体观望后市的情绪也在转淡。鉴于市场需求有所好转，但整体表现不足，他们预计未来一周国内铋锭市场价格将会保持坚挺。目前国内氧化铋的市场价格为41000-42000元/吨，均价较上周五下跌1000元/吨。鉴于目前氧化铋市场需求依旧低迷，市场整交投氛围冷清，预计氧化铋市场价格将会趋弱。</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分析评述：本周国内铋锭市场成交价格小幅下跌。目前国内铋锭市场需求有所好转，市场观望情绪转淡，鉴于市场整体表现不足，预计未来一周国内铋锭市场价格将会保持坚挺。</w:t>
      </w:r>
    </w:p>
    <w:p>
      <w:pPr>
        <w:pStyle w:val="4"/>
        <w:spacing w:line="400" w:lineRule="exact"/>
        <w:rPr>
          <w:rFonts w:hint="eastAsia" w:eastAsia="宋体"/>
          <w:kern w:val="0"/>
          <w:lang w:eastAsia="zh-CN"/>
        </w:rPr>
      </w:pPr>
      <w:bookmarkStart w:id="5" w:name="_Toc22202"/>
      <w:r>
        <w:rPr>
          <w:rFonts w:hint="eastAsia"/>
          <w:kern w:val="0"/>
        </w:rPr>
        <w:t>3</w:t>
      </w:r>
      <w:r>
        <w:rPr>
          <w:rFonts w:hint="eastAsia"/>
          <w:kern w:val="0"/>
          <w:lang w:eastAsia="zh-CN"/>
        </w:rPr>
        <w:t>、</w:t>
      </w:r>
      <w:r>
        <w:rPr>
          <w:rFonts w:hint="eastAsia"/>
          <w:kern w:val="0"/>
        </w:rPr>
        <w:t>铟评论：铟锭市场活跃度逐渐减弱</w:t>
      </w:r>
      <w:bookmarkEnd w:id="5"/>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今日国内铟锭的主流报价为1080-1110元/公斤，均价较上一交易日保持不变。目前国内铟锭市场需求清淡，市场活跃度逐渐减弱。目前下游终端消费商采购意愿并不强，基本都在消耗之前的库存。鉴于部分供应商有意降价来争取订单，预计未来一周国内铟锭市场价格将会趋弱。</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有生产商表示，他们目前国内铟锭的报价坚挺在1110元/公斤，因为受粗铟价格的影响，所以他们针对实盘也拒绝还盘。目前下游消费商采购的积极性并不高，保持按需采购为主，普遍选择观望后市。现阶段他们对后市的信心也在逐渐减弱，部分供应商为刺激成交有意降价，他们预计未来一周国内铟锭市场价格将会趋弱。</w:t>
      </w:r>
    </w:p>
    <w:p>
      <w:pPr>
        <w:pStyle w:val="4"/>
        <w:spacing w:line="400" w:lineRule="exact"/>
        <w:rPr>
          <w:rFonts w:hint="eastAsia" w:eastAsia="宋体" w:cs="宋体"/>
          <w:kern w:val="0"/>
          <w:lang w:eastAsia="zh-CN"/>
        </w:rPr>
      </w:pPr>
      <w:bookmarkStart w:id="6" w:name="_Toc25882"/>
      <w:r>
        <w:rPr>
          <w:kern w:val="0"/>
        </w:rPr>
        <w:t>4</w:t>
      </w:r>
      <w:r>
        <w:rPr>
          <w:rFonts w:hint="eastAsia" w:cs="宋体"/>
          <w:kern w:val="0"/>
        </w:rPr>
        <w:t>、碲评论：国内碲锭市场需求变化不大</w:t>
      </w:r>
      <w:bookmarkEnd w:id="6"/>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中商网讯：今日国内金属碲的主流报价为450-460元/公斤，均价较上一个交易日保持不变。目前国内金属碲市场保持平稳运行，市场成交量也比较平稳。目前终端市场需求变化不大，下游消费商们采购也较为谨慎，普遍以消耗库存为主，对市场保持观望的态度。鉴于多数生产商坚挺报价，预计未来一周国内金属碲市场价格将会保持坚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r>
        <w:rPr>
          <w:rFonts w:hint="default" w:asciiTheme="minorEastAsia" w:hAnsiTheme="minorEastAsia" w:eastAsiaTheme="minorEastAsia" w:cstheme="minorEastAsia"/>
          <w:kern w:val="0"/>
          <w:sz w:val="28"/>
          <w:szCs w:val="28"/>
          <w:lang w:val="en-US" w:eastAsia="zh-CN"/>
        </w:rPr>
        <w:t>有生产商表示，目前国内金属碲的原料依然相对紧张且价格趋高，他们的现货不够充足，出货意愿并不强，报价略高的同时还存在看涨的心态。目前下游终端市场需求较为清淡，消费商们普遍保持按需采购。鉴于供应商普遍坚挺报价，预计未来一周国内金属碲市场价格将会保持坚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0"/>
          <w:sz w:val="28"/>
          <w:szCs w:val="28"/>
          <w:lang w:val="en-US" w:eastAsia="zh-CN"/>
        </w:rPr>
      </w:pPr>
    </w:p>
    <w:p>
      <w:pPr>
        <w:pStyle w:val="2"/>
        <w:spacing w:line="400" w:lineRule="exact"/>
        <w:rPr>
          <w:rFonts w:hint="eastAsia" w:cs="黑体"/>
        </w:rPr>
      </w:pPr>
      <w:bookmarkStart w:id="7" w:name="_Toc31383"/>
      <w:r>
        <w:rPr>
          <w:rFonts w:hint="eastAsia" w:cs="黑体"/>
        </w:rPr>
        <w:t>二、价格行情</w:t>
      </w:r>
      <w:bookmarkEnd w:id="7"/>
    </w:p>
    <w:p>
      <w:pPr>
        <w:pStyle w:val="4"/>
        <w:spacing w:line="400" w:lineRule="exact"/>
        <w:rPr>
          <w:kern w:val="0"/>
        </w:rPr>
      </w:pPr>
      <w:bookmarkStart w:id="8" w:name="_Toc1976"/>
      <w:r>
        <w:rPr>
          <w:kern w:val="0"/>
        </w:rPr>
        <w:t>1</w:t>
      </w:r>
      <w:r>
        <w:rPr>
          <w:rFonts w:hint="eastAsia"/>
          <w:kern w:val="0"/>
        </w:rPr>
        <w:t>、国际价格</w:t>
      </w:r>
      <w:bookmarkEnd w:id="8"/>
    </w:p>
    <w:tbl>
      <w:tblPr>
        <w:tblStyle w:val="21"/>
        <w:tblW w:w="9080" w:type="dxa"/>
        <w:tblInd w:w="-147" w:type="dxa"/>
        <w:tblLayout w:type="fixed"/>
        <w:tblCellMar>
          <w:top w:w="0" w:type="dxa"/>
          <w:left w:w="108" w:type="dxa"/>
          <w:bottom w:w="0" w:type="dxa"/>
          <w:right w:w="108" w:type="dxa"/>
        </w:tblCellMar>
      </w:tblPr>
      <w:tblGrid>
        <w:gridCol w:w="746"/>
        <w:gridCol w:w="674"/>
        <w:gridCol w:w="574"/>
        <w:gridCol w:w="666"/>
        <w:gridCol w:w="629"/>
        <w:gridCol w:w="578"/>
        <w:gridCol w:w="564"/>
        <w:gridCol w:w="602"/>
        <w:gridCol w:w="555"/>
        <w:gridCol w:w="594"/>
        <w:gridCol w:w="609"/>
        <w:gridCol w:w="487"/>
        <w:gridCol w:w="488"/>
        <w:gridCol w:w="609"/>
        <w:gridCol w:w="705"/>
      </w:tblGrid>
      <w:tr>
        <w:tblPrEx>
          <w:tblCellMar>
            <w:top w:w="0" w:type="dxa"/>
            <w:left w:w="108" w:type="dxa"/>
            <w:bottom w:w="0" w:type="dxa"/>
            <w:right w:w="108" w:type="dxa"/>
          </w:tblCellMar>
        </w:tblPrEx>
        <w:trPr>
          <w:trHeight w:val="349" w:hRule="atLeast"/>
        </w:trPr>
        <w:tc>
          <w:tcPr>
            <w:tcW w:w="9080" w:type="dxa"/>
            <w:gridSpan w:val="15"/>
            <w:tcBorders>
              <w:top w:val="single" w:color="auto" w:sz="8" w:space="0"/>
              <w:left w:val="single" w:color="auto" w:sz="8" w:space="0"/>
              <w:bottom w:val="single" w:color="auto" w:sz="8" w:space="0"/>
              <w:right w:val="single" w:color="000000" w:sz="8" w:space="0"/>
            </w:tcBorders>
            <w:shd w:val="clear" w:color="auto" w:fill="auto"/>
            <w:noWrap/>
            <w:vAlign w:val="center"/>
          </w:tcPr>
          <w:p>
            <w:pPr>
              <w:widowControl/>
              <w:jc w:val="center"/>
              <w:rPr>
                <w:rFonts w:ascii="仿宋_GB2312" w:hAnsi="宋体" w:eastAsia="仿宋_GB2312" w:cs="宋体"/>
                <w:b/>
                <w:bCs/>
                <w:color w:val="000000"/>
                <w:kern w:val="0"/>
              </w:rPr>
            </w:pPr>
            <w:r>
              <w:rPr>
                <w:rFonts w:hint="eastAsia" w:ascii="仿宋_GB2312" w:hAnsi="宋体" w:eastAsia="仿宋_GB2312" w:cs="宋体"/>
                <w:b/>
                <w:bCs/>
                <w:color w:val="000000"/>
                <w:kern w:val="0"/>
              </w:rPr>
              <w:t>国际小金属价格</w:t>
            </w:r>
          </w:p>
        </w:tc>
      </w:tr>
      <w:tr>
        <w:tblPrEx>
          <w:tblCellMar>
            <w:top w:w="0" w:type="dxa"/>
            <w:left w:w="108" w:type="dxa"/>
            <w:bottom w:w="0" w:type="dxa"/>
            <w:right w:w="108" w:type="dxa"/>
          </w:tblCellMar>
        </w:tblPrEx>
        <w:trPr>
          <w:trHeight w:val="349" w:hRule="atLeast"/>
        </w:trPr>
        <w:tc>
          <w:tcPr>
            <w:tcW w:w="746"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日期</w:t>
            </w:r>
          </w:p>
        </w:tc>
        <w:tc>
          <w:tcPr>
            <w:tcW w:w="1248"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硒（美元）</w:t>
            </w:r>
          </w:p>
        </w:tc>
        <w:tc>
          <w:tcPr>
            <w:tcW w:w="1295"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铋（美元）</w:t>
            </w:r>
          </w:p>
        </w:tc>
        <w:tc>
          <w:tcPr>
            <w:tcW w:w="1142" w:type="dxa"/>
            <w:gridSpan w:val="2"/>
            <w:tcBorders>
              <w:top w:val="single" w:color="auto" w:sz="8" w:space="0"/>
              <w:left w:val="nil"/>
              <w:bottom w:val="nil"/>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镉</w:t>
            </w:r>
          </w:p>
        </w:tc>
        <w:tc>
          <w:tcPr>
            <w:tcW w:w="1157" w:type="dxa"/>
            <w:gridSpan w:val="2"/>
            <w:tcBorders>
              <w:top w:val="single" w:color="auto" w:sz="8" w:space="0"/>
              <w:left w:val="nil"/>
              <w:bottom w:val="nil"/>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镉</w:t>
            </w:r>
          </w:p>
        </w:tc>
        <w:tc>
          <w:tcPr>
            <w:tcW w:w="1203"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铟（美元）</w:t>
            </w:r>
          </w:p>
        </w:tc>
        <w:tc>
          <w:tcPr>
            <w:tcW w:w="975"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碲锭（美元）</w:t>
            </w:r>
          </w:p>
        </w:tc>
        <w:tc>
          <w:tcPr>
            <w:tcW w:w="1314" w:type="dxa"/>
            <w:gridSpan w:val="2"/>
            <w:vMerge w:val="restart"/>
            <w:tcBorders>
              <w:top w:val="single" w:color="auto" w:sz="8" w:space="0"/>
              <w:left w:val="single" w:color="auto" w:sz="8" w:space="0"/>
              <w:bottom w:val="single" w:color="000000"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二氧化锗（美元）</w:t>
            </w:r>
          </w:p>
        </w:tc>
      </w:tr>
      <w:tr>
        <w:tblPrEx>
          <w:tblCellMar>
            <w:top w:w="0" w:type="dxa"/>
            <w:left w:w="108" w:type="dxa"/>
            <w:bottom w:w="0" w:type="dxa"/>
            <w:right w:w="108" w:type="dxa"/>
          </w:tblCellMar>
        </w:tblPrEx>
        <w:trPr>
          <w:trHeight w:val="678" w:hRule="atLeast"/>
        </w:trPr>
        <w:tc>
          <w:tcPr>
            <w:tcW w:w="746" w:type="dxa"/>
            <w:vMerge w:val="continue"/>
            <w:tcBorders>
              <w:top w:val="nil"/>
              <w:left w:val="single" w:color="auto" w:sz="8" w:space="0"/>
              <w:bottom w:val="single" w:color="000000" w:sz="8" w:space="0"/>
              <w:right w:val="single" w:color="auto" w:sz="8" w:space="0"/>
            </w:tcBorders>
            <w:vAlign w:val="center"/>
          </w:tcPr>
          <w:p>
            <w:pPr>
              <w:widowControl/>
              <w:jc w:val="left"/>
              <w:rPr>
                <w:rFonts w:ascii="仿宋_GB2312" w:hAnsi="宋体" w:eastAsia="仿宋_GB2312" w:cs="宋体"/>
                <w:color w:val="000000"/>
                <w:kern w:val="0"/>
              </w:rPr>
            </w:pPr>
          </w:p>
        </w:tc>
        <w:tc>
          <w:tcPr>
            <w:tcW w:w="1248"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295"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142" w:type="dxa"/>
            <w:gridSpan w:val="2"/>
            <w:tcBorders>
              <w:top w:val="nil"/>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（99.95美分）</w:t>
            </w:r>
          </w:p>
        </w:tc>
        <w:tc>
          <w:tcPr>
            <w:tcW w:w="1157" w:type="dxa"/>
            <w:gridSpan w:val="2"/>
            <w:tcBorders>
              <w:top w:val="nil"/>
              <w:left w:val="nil"/>
              <w:bottom w:val="single" w:color="auto" w:sz="8" w:space="0"/>
              <w:right w:val="single" w:color="000000" w:sz="8" w:space="0"/>
            </w:tcBorders>
            <w:shd w:val="clear" w:color="auto" w:fill="auto"/>
            <w:vAlign w:val="center"/>
          </w:tcPr>
          <w:p>
            <w:pPr>
              <w:widowControl/>
              <w:jc w:val="center"/>
              <w:rPr>
                <w:rFonts w:ascii="仿宋_GB2312" w:hAnsi="宋体" w:eastAsia="仿宋_GB2312" w:cs="宋体"/>
                <w:color w:val="000000"/>
                <w:kern w:val="0"/>
              </w:rPr>
            </w:pPr>
            <w:r>
              <w:rPr>
                <w:rFonts w:hint="eastAsia" w:ascii="仿宋_GB2312" w:hAnsi="宋体" w:eastAsia="仿宋_GB2312" w:cs="宋体"/>
                <w:color w:val="000000"/>
                <w:kern w:val="0"/>
              </w:rPr>
              <w:t>（99.99美分）</w:t>
            </w:r>
          </w:p>
        </w:tc>
        <w:tc>
          <w:tcPr>
            <w:tcW w:w="1203"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975"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c>
          <w:tcPr>
            <w:tcW w:w="1314"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仿宋_GB2312" w:hAnsi="宋体" w:eastAsia="仿宋_GB2312" w:cs="宋体"/>
                <w:color w:val="000000"/>
                <w:kern w:val="0"/>
              </w:rPr>
            </w:pPr>
          </w:p>
        </w:tc>
      </w:tr>
      <w:tr>
        <w:tblPrEx>
          <w:tblCellMar>
            <w:top w:w="0" w:type="dxa"/>
            <w:left w:w="108" w:type="dxa"/>
            <w:bottom w:w="0" w:type="dxa"/>
            <w:right w:w="108" w:type="dxa"/>
          </w:tblCellMar>
        </w:tblPrEx>
        <w:trPr>
          <w:trHeight w:val="699" w:hRule="atLeast"/>
        </w:trPr>
        <w:tc>
          <w:tcPr>
            <w:tcW w:w="74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kern w:val="0"/>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25</w:t>
            </w:r>
            <w:r>
              <w:rPr>
                <w:rFonts w:hint="eastAsia" w:ascii="仿宋_GB2312" w:eastAsia="仿宋_GB2312" w:cs="仿宋_GB2312"/>
              </w:rPr>
              <w:t>日</w:t>
            </w:r>
          </w:p>
        </w:tc>
        <w:tc>
          <w:tcPr>
            <w:tcW w:w="674"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5.55</w:t>
            </w:r>
          </w:p>
        </w:tc>
        <w:tc>
          <w:tcPr>
            <w:tcW w:w="574"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7</w:t>
            </w:r>
          </w:p>
        </w:tc>
        <w:tc>
          <w:tcPr>
            <w:tcW w:w="666"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2.85</w:t>
            </w:r>
          </w:p>
        </w:tc>
        <w:tc>
          <w:tcPr>
            <w:tcW w:w="629"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3.1</w:t>
            </w:r>
          </w:p>
        </w:tc>
        <w:tc>
          <w:tcPr>
            <w:tcW w:w="578"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85</w:t>
            </w:r>
          </w:p>
        </w:tc>
        <w:tc>
          <w:tcPr>
            <w:tcW w:w="564"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95</w:t>
            </w:r>
          </w:p>
        </w:tc>
        <w:tc>
          <w:tcPr>
            <w:tcW w:w="602"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88</w:t>
            </w:r>
          </w:p>
        </w:tc>
        <w:tc>
          <w:tcPr>
            <w:tcW w:w="555"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98</w:t>
            </w:r>
          </w:p>
        </w:tc>
        <w:tc>
          <w:tcPr>
            <w:tcW w:w="594"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170</w:t>
            </w:r>
          </w:p>
        </w:tc>
        <w:tc>
          <w:tcPr>
            <w:tcW w:w="609"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190</w:t>
            </w:r>
          </w:p>
        </w:tc>
        <w:tc>
          <w:tcPr>
            <w:tcW w:w="487"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56</w:t>
            </w:r>
          </w:p>
        </w:tc>
        <w:tc>
          <w:tcPr>
            <w:tcW w:w="488" w:type="dxa"/>
            <w:tcBorders>
              <w:top w:val="nil"/>
              <w:left w:val="nil"/>
              <w:bottom w:val="single" w:color="auto" w:sz="8" w:space="0"/>
              <w:right w:val="single" w:color="auto" w:sz="8" w:space="0"/>
            </w:tcBorders>
            <w:shd w:val="clear" w:color="auto" w:fill="auto"/>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color w:val="auto"/>
                <w:lang w:val="en-US" w:eastAsia="zh-CN"/>
              </w:rPr>
              <w:t>70</w:t>
            </w:r>
          </w:p>
        </w:tc>
        <w:tc>
          <w:tcPr>
            <w:tcW w:w="609" w:type="dxa"/>
            <w:tcBorders>
              <w:top w:val="nil"/>
              <w:left w:val="nil"/>
              <w:bottom w:val="single" w:color="auto" w:sz="8" w:space="0"/>
              <w:right w:val="single" w:color="auto" w:sz="8" w:space="0"/>
            </w:tcBorders>
            <w:shd w:val="clear" w:color="auto" w:fill="auto"/>
            <w:vAlign w:val="center"/>
          </w:tcPr>
          <w:p>
            <w:pPr>
              <w:jc w:val="center"/>
              <w:rPr>
                <w:rFonts w:hint="eastAsia" w:ascii="仿宋_GB2312" w:eastAsia="仿宋_GB2312" w:cs="仿宋_GB2312"/>
                <w:color w:val="auto"/>
                <w:lang w:val="en-US" w:eastAsia="zh-CN"/>
              </w:rPr>
            </w:pPr>
            <w:r>
              <w:rPr>
                <w:rFonts w:hint="eastAsia" w:ascii="仿宋_GB2312" w:eastAsia="仿宋_GB2312" w:cs="仿宋_GB2312"/>
                <w:color w:val="auto"/>
                <w:lang w:val="en-US" w:eastAsia="zh-CN"/>
              </w:rPr>
              <w:t>900</w:t>
            </w:r>
          </w:p>
        </w:tc>
        <w:tc>
          <w:tcPr>
            <w:tcW w:w="705" w:type="dxa"/>
            <w:tcBorders>
              <w:top w:val="nil"/>
              <w:left w:val="nil"/>
              <w:bottom w:val="single" w:color="auto" w:sz="8" w:space="0"/>
              <w:right w:val="single" w:color="auto" w:sz="8" w:space="0"/>
            </w:tcBorders>
            <w:shd w:val="clear" w:color="auto" w:fill="auto"/>
            <w:vAlign w:val="center"/>
          </w:tcPr>
          <w:p>
            <w:pPr>
              <w:jc w:val="center"/>
              <w:rPr>
                <w:rFonts w:hint="eastAsia" w:ascii="仿宋_GB2312" w:eastAsia="仿宋_GB2312" w:cs="仿宋_GB2312"/>
                <w:color w:val="auto"/>
                <w:lang w:val="en-US" w:eastAsia="zh-CN"/>
              </w:rPr>
            </w:pPr>
            <w:r>
              <w:rPr>
                <w:rFonts w:hint="eastAsia" w:ascii="仿宋_GB2312" w:eastAsia="仿宋_GB2312" w:cs="仿宋_GB2312"/>
                <w:color w:val="auto"/>
                <w:lang w:val="en-US" w:eastAsia="zh-CN"/>
              </w:rPr>
              <w:t>1100</w:t>
            </w:r>
          </w:p>
        </w:tc>
      </w:tr>
    </w:tbl>
    <w:p/>
    <w:p/>
    <w:p/>
    <w:p>
      <w:pPr>
        <w:pStyle w:val="4"/>
        <w:spacing w:line="400" w:lineRule="exact"/>
        <w:rPr>
          <w:rFonts w:hint="eastAsia" w:cs="宋体"/>
          <w:kern w:val="0"/>
        </w:rPr>
      </w:pPr>
      <w:bookmarkStart w:id="9" w:name="_Toc2364"/>
      <w:r>
        <w:rPr>
          <w:kern w:val="0"/>
        </w:rPr>
        <w:t>2</w:t>
      </w:r>
      <w:r>
        <w:rPr>
          <w:rFonts w:hint="eastAsia" w:cs="宋体"/>
          <w:kern w:val="0"/>
        </w:rPr>
        <w:t>、欧洲鹿特丹小金属价格</w:t>
      </w:r>
      <w:bookmarkEnd w:id="9"/>
    </w:p>
    <w:p/>
    <w:tbl>
      <w:tblPr>
        <w:tblStyle w:val="21"/>
        <w:tblW w:w="8960" w:type="dxa"/>
        <w:tblInd w:w="-106" w:type="dxa"/>
        <w:tblLayout w:type="fixed"/>
        <w:tblCellMar>
          <w:top w:w="0" w:type="dxa"/>
          <w:left w:w="108" w:type="dxa"/>
          <w:bottom w:w="0" w:type="dxa"/>
          <w:right w:w="108" w:type="dxa"/>
        </w:tblCellMar>
      </w:tblPr>
      <w:tblGrid>
        <w:gridCol w:w="688"/>
        <w:gridCol w:w="887"/>
        <w:gridCol w:w="887"/>
        <w:gridCol w:w="1276"/>
        <w:gridCol w:w="1093"/>
        <w:gridCol w:w="1122"/>
        <w:gridCol w:w="887"/>
        <w:gridCol w:w="1095"/>
        <w:gridCol w:w="1025"/>
      </w:tblGrid>
      <w:tr>
        <w:tblPrEx>
          <w:tblCellMar>
            <w:top w:w="0" w:type="dxa"/>
            <w:left w:w="108" w:type="dxa"/>
            <w:bottom w:w="0" w:type="dxa"/>
            <w:right w:w="108" w:type="dxa"/>
          </w:tblCellMar>
        </w:tblPrEx>
        <w:trPr>
          <w:trHeight w:val="427" w:hRule="atLeast"/>
        </w:trPr>
        <w:tc>
          <w:tcPr>
            <w:tcW w:w="8960" w:type="dxa"/>
            <w:gridSpan w:val="9"/>
            <w:tcBorders>
              <w:top w:val="single" w:color="auto" w:sz="8" w:space="0"/>
              <w:left w:val="single" w:color="auto" w:sz="8" w:space="0"/>
              <w:bottom w:val="single" w:color="auto" w:sz="4" w:space="0"/>
              <w:right w:val="single" w:color="000000" w:sz="8" w:space="0"/>
            </w:tcBorders>
            <w:vAlign w:val="center"/>
          </w:tcPr>
          <w:p>
            <w:pPr>
              <w:spacing w:line="400" w:lineRule="exact"/>
              <w:jc w:val="center"/>
              <w:rPr>
                <w:rFonts w:ascii="仿宋_GB2312" w:eastAsia="仿宋_GB2312" w:cs="Times New Roman"/>
                <w:b/>
                <w:bCs/>
              </w:rPr>
            </w:pPr>
            <w:r>
              <w:rPr>
                <w:rFonts w:hint="eastAsia" w:ascii="仿宋_GB2312" w:eastAsia="仿宋_GB2312" w:cs="仿宋_GB2312"/>
                <w:b/>
                <w:bCs/>
              </w:rPr>
              <w:t>欧洲鹿特丹小金属价格一周汇总</w:t>
            </w:r>
          </w:p>
        </w:tc>
      </w:tr>
      <w:tr>
        <w:tblPrEx>
          <w:tblCellMar>
            <w:top w:w="0" w:type="dxa"/>
            <w:left w:w="108" w:type="dxa"/>
            <w:bottom w:w="0" w:type="dxa"/>
            <w:right w:w="108" w:type="dxa"/>
          </w:tblCellMar>
        </w:tblPrEx>
        <w:trPr>
          <w:trHeight w:val="1337" w:hRule="atLeast"/>
        </w:trPr>
        <w:tc>
          <w:tcPr>
            <w:tcW w:w="688" w:type="dxa"/>
            <w:tcBorders>
              <w:top w:val="nil"/>
              <w:left w:val="single" w:color="auto" w:sz="8"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rPr>
              <w:t>日期</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硒（美元</w:t>
            </w:r>
            <w:r>
              <w:rPr>
                <w:rFonts w:ascii="仿宋_GB2312" w:eastAsia="仿宋_GB2312" w:cs="仿宋_GB2312"/>
              </w:rPr>
              <w:t>/</w:t>
            </w:r>
            <w:r>
              <w:rPr>
                <w:rFonts w:hint="eastAsia" w:ascii="仿宋_GB2312" w:eastAsia="仿宋_GB2312" w:cs="仿宋_GB2312"/>
              </w:rPr>
              <w:t>磅）</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铋（美元</w:t>
            </w:r>
            <w:r>
              <w:rPr>
                <w:rFonts w:ascii="仿宋_GB2312" w:eastAsia="仿宋_GB2312" w:cs="仿宋_GB2312"/>
              </w:rPr>
              <w:t>/</w:t>
            </w:r>
            <w:r>
              <w:rPr>
                <w:rFonts w:hint="eastAsia" w:ascii="仿宋_GB2312" w:eastAsia="仿宋_GB2312" w:cs="仿宋_GB2312"/>
              </w:rPr>
              <w:t>磅）</w:t>
            </w:r>
          </w:p>
        </w:tc>
        <w:tc>
          <w:tcPr>
            <w:tcW w:w="1276"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镉（</w:t>
            </w:r>
            <w:r>
              <w:rPr>
                <w:rFonts w:ascii="仿宋_GB2312" w:eastAsia="仿宋_GB2312" w:cs="仿宋_GB2312"/>
              </w:rPr>
              <w:t>99.95</w:t>
            </w:r>
            <w:r>
              <w:rPr>
                <w:rFonts w:hint="eastAsia" w:ascii="仿宋_GB2312" w:eastAsia="仿宋_GB2312" w:cs="仿宋_GB2312"/>
              </w:rPr>
              <w:t>美元</w:t>
            </w:r>
            <w:r>
              <w:rPr>
                <w:rFonts w:ascii="仿宋_GB2312" w:eastAsia="仿宋_GB2312" w:cs="仿宋_GB2312"/>
              </w:rPr>
              <w:t>/</w:t>
            </w:r>
            <w:r>
              <w:rPr>
                <w:rFonts w:hint="eastAsia" w:ascii="仿宋_GB2312" w:eastAsia="仿宋_GB2312" w:cs="仿宋_GB2312"/>
              </w:rPr>
              <w:t>磅）</w:t>
            </w:r>
          </w:p>
        </w:tc>
        <w:tc>
          <w:tcPr>
            <w:tcW w:w="1093"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镉（</w:t>
            </w:r>
            <w:r>
              <w:rPr>
                <w:rFonts w:ascii="仿宋_GB2312" w:eastAsia="仿宋_GB2312" w:cs="仿宋_GB2312"/>
              </w:rPr>
              <w:t>99.99</w:t>
            </w:r>
            <w:r>
              <w:rPr>
                <w:rFonts w:hint="eastAsia" w:ascii="仿宋_GB2312" w:eastAsia="仿宋_GB2312" w:cs="仿宋_GB2312"/>
              </w:rPr>
              <w:t>美元</w:t>
            </w:r>
            <w:r>
              <w:rPr>
                <w:rFonts w:ascii="仿宋_GB2312" w:eastAsia="仿宋_GB2312" w:cs="仿宋_GB2312"/>
              </w:rPr>
              <w:t>/</w:t>
            </w:r>
            <w:r>
              <w:rPr>
                <w:rFonts w:hint="eastAsia" w:ascii="仿宋_GB2312" w:eastAsia="仿宋_GB2312" w:cs="仿宋_GB2312"/>
              </w:rPr>
              <w:t>磅）</w:t>
            </w:r>
          </w:p>
        </w:tc>
        <w:tc>
          <w:tcPr>
            <w:tcW w:w="1122"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铟（美元</w:t>
            </w:r>
            <w:r>
              <w:rPr>
                <w:rFonts w:ascii="仿宋_GB2312" w:eastAsia="仿宋_GB2312" w:cs="仿宋_GB2312"/>
              </w:rPr>
              <w:t>/</w:t>
            </w:r>
            <w:r>
              <w:rPr>
                <w:rFonts w:hint="eastAsia" w:ascii="仿宋_GB2312" w:eastAsia="仿宋_GB2312" w:cs="仿宋_GB2312"/>
              </w:rPr>
              <w:t>公斤）</w:t>
            </w:r>
          </w:p>
        </w:tc>
        <w:tc>
          <w:tcPr>
            <w:tcW w:w="887"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锗（元</w:t>
            </w:r>
            <w:r>
              <w:rPr>
                <w:rFonts w:ascii="仿宋_GB2312" w:eastAsia="仿宋_GB2312" w:cs="仿宋_GB2312"/>
              </w:rPr>
              <w:t>/</w:t>
            </w:r>
            <w:r>
              <w:rPr>
                <w:rFonts w:hint="eastAsia" w:ascii="仿宋_GB2312" w:eastAsia="仿宋_GB2312" w:cs="仿宋_GB2312"/>
              </w:rPr>
              <w:t>公斤）</w:t>
            </w:r>
          </w:p>
        </w:tc>
        <w:tc>
          <w:tcPr>
            <w:tcW w:w="1095" w:type="dxa"/>
            <w:tcBorders>
              <w:top w:val="single" w:color="auto" w:sz="4" w:space="0"/>
              <w:left w:val="nil"/>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二氧化锗（美元</w:t>
            </w:r>
            <w:r>
              <w:rPr>
                <w:rFonts w:ascii="仿宋_GB2312" w:eastAsia="仿宋_GB2312" w:cs="仿宋_GB2312"/>
              </w:rPr>
              <w:t>/</w:t>
            </w:r>
            <w:r>
              <w:rPr>
                <w:rFonts w:hint="eastAsia" w:ascii="仿宋_GB2312" w:eastAsia="仿宋_GB2312" w:cs="仿宋_GB2312"/>
              </w:rPr>
              <w:t>公斤）</w:t>
            </w:r>
          </w:p>
        </w:tc>
        <w:tc>
          <w:tcPr>
            <w:tcW w:w="1025" w:type="dxa"/>
            <w:tcBorders>
              <w:top w:val="single" w:color="auto" w:sz="4" w:space="0"/>
              <w:left w:val="nil"/>
              <w:bottom w:val="single" w:color="auto" w:sz="4" w:space="0"/>
              <w:right w:val="single" w:color="000000" w:sz="8" w:space="0"/>
            </w:tcBorders>
            <w:vAlign w:val="center"/>
          </w:tcPr>
          <w:p>
            <w:pPr>
              <w:spacing w:line="400" w:lineRule="exact"/>
              <w:jc w:val="center"/>
              <w:rPr>
                <w:rFonts w:ascii="仿宋_GB2312" w:eastAsia="仿宋_GB2312" w:cs="Times New Roman"/>
              </w:rPr>
            </w:pPr>
            <w:r>
              <w:rPr>
                <w:rFonts w:hint="eastAsia" w:ascii="仿宋_GB2312" w:eastAsia="仿宋_GB2312" w:cs="仿宋_GB2312"/>
              </w:rPr>
              <w:t>镓（美元</w:t>
            </w:r>
            <w:r>
              <w:rPr>
                <w:rFonts w:ascii="仿宋_GB2312" w:eastAsia="仿宋_GB2312" w:cs="仿宋_GB2312"/>
              </w:rPr>
              <w:t>/</w:t>
            </w:r>
            <w:r>
              <w:rPr>
                <w:rFonts w:hint="eastAsia" w:ascii="仿宋_GB2312" w:eastAsia="仿宋_GB2312" w:cs="仿宋_GB2312"/>
              </w:rPr>
              <w:t>公斤）</w:t>
            </w:r>
          </w:p>
        </w:tc>
      </w:tr>
      <w:tr>
        <w:tblPrEx>
          <w:tblCellMar>
            <w:top w:w="0" w:type="dxa"/>
            <w:left w:w="108" w:type="dxa"/>
            <w:bottom w:w="0" w:type="dxa"/>
            <w:right w:w="108" w:type="dxa"/>
          </w:tblCellMar>
        </w:tblPrEx>
        <w:trPr>
          <w:trHeight w:val="824" w:hRule="atLeast"/>
        </w:trPr>
        <w:tc>
          <w:tcPr>
            <w:tcW w:w="688" w:type="dxa"/>
            <w:tcBorders>
              <w:top w:val="nil"/>
              <w:left w:val="single" w:color="auto" w:sz="8" w:space="0"/>
              <w:bottom w:val="single" w:color="auto" w:sz="4" w:space="0"/>
              <w:right w:val="single" w:color="auto" w:sz="4" w:space="0"/>
            </w:tcBorders>
            <w:vAlign w:val="center"/>
          </w:tcPr>
          <w:p>
            <w:pPr>
              <w:spacing w:line="400" w:lineRule="exact"/>
              <w:jc w:val="center"/>
              <w:rPr>
                <w:rFonts w:ascii="仿宋_GB2312" w:eastAsia="仿宋_GB2312" w:cs="Times New Roman"/>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25</w:t>
            </w:r>
            <w:r>
              <w:rPr>
                <w:rFonts w:hint="eastAsia" w:ascii="仿宋_GB2312" w:eastAsia="仿宋_GB2312" w:cs="仿宋_GB2312"/>
              </w:rPr>
              <w:t>日</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6.4</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3</w:t>
            </w:r>
          </w:p>
        </w:tc>
        <w:tc>
          <w:tcPr>
            <w:tcW w:w="1276"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rPr>
            </w:pPr>
            <w:r>
              <w:rPr>
                <w:rFonts w:hint="eastAsia" w:ascii="仿宋_GB2312" w:eastAsia="仿宋_GB2312" w:cs="仿宋_GB2312"/>
                <w:lang w:val="en-US" w:eastAsia="zh-CN"/>
              </w:rPr>
              <w:t>0.9</w:t>
            </w:r>
          </w:p>
        </w:tc>
        <w:tc>
          <w:tcPr>
            <w:tcW w:w="1093"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0.95</w:t>
            </w:r>
          </w:p>
        </w:tc>
        <w:tc>
          <w:tcPr>
            <w:tcW w:w="1122"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180</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1112.5</w:t>
            </w:r>
          </w:p>
        </w:tc>
        <w:tc>
          <w:tcPr>
            <w:tcW w:w="1095"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color w:val="auto"/>
                <w:lang w:val="en-US" w:eastAsia="zh-CN"/>
              </w:rPr>
            </w:pPr>
            <w:r>
              <w:rPr>
                <w:rFonts w:hint="eastAsia" w:ascii="仿宋_GB2312" w:eastAsia="仿宋_GB2312" w:cs="仿宋_GB2312"/>
                <w:lang w:val="en-US" w:eastAsia="zh-CN"/>
              </w:rPr>
              <w:t>920</w:t>
            </w:r>
          </w:p>
        </w:tc>
        <w:tc>
          <w:tcPr>
            <w:tcW w:w="1025" w:type="dxa"/>
            <w:tcBorders>
              <w:top w:val="single" w:color="auto" w:sz="4" w:space="0"/>
              <w:left w:val="nil"/>
              <w:bottom w:val="single" w:color="auto" w:sz="4" w:space="0"/>
              <w:right w:val="single" w:color="000000" w:sz="8" w:space="0"/>
            </w:tcBorders>
            <w:noWrap/>
            <w:vAlign w:val="center"/>
          </w:tcPr>
          <w:p>
            <w:pPr>
              <w:jc w:val="center"/>
              <w:rPr>
                <w:rFonts w:hint="default" w:ascii="仿宋_GB2312" w:eastAsia="仿宋_GB2312" w:cs="仿宋_GB2312"/>
                <w:color w:val="auto"/>
                <w:lang w:val="en-US"/>
              </w:rPr>
            </w:pPr>
            <w:r>
              <w:rPr>
                <w:rFonts w:hint="eastAsia" w:ascii="仿宋_GB2312" w:eastAsia="仿宋_GB2312" w:cs="仿宋_GB2312"/>
                <w:lang w:val="en-US" w:eastAsia="zh-CN"/>
              </w:rPr>
              <w:t>180</w:t>
            </w:r>
          </w:p>
        </w:tc>
      </w:tr>
      <w:tr>
        <w:tblPrEx>
          <w:tblCellMar>
            <w:top w:w="0" w:type="dxa"/>
            <w:left w:w="108" w:type="dxa"/>
            <w:bottom w:w="0" w:type="dxa"/>
            <w:right w:w="108" w:type="dxa"/>
          </w:tblCellMar>
        </w:tblPrEx>
        <w:trPr>
          <w:trHeight w:val="834" w:hRule="atLeast"/>
        </w:trPr>
        <w:tc>
          <w:tcPr>
            <w:tcW w:w="688" w:type="dxa"/>
            <w:tcBorders>
              <w:top w:val="nil"/>
              <w:left w:val="single" w:color="auto" w:sz="8" w:space="0"/>
              <w:bottom w:val="single" w:color="auto" w:sz="4" w:space="0"/>
              <w:right w:val="single" w:color="auto" w:sz="4" w:space="0"/>
            </w:tcBorders>
            <w:vAlign w:val="top"/>
          </w:tcPr>
          <w:p>
            <w:pPr>
              <w:spacing w:line="400" w:lineRule="exact"/>
              <w:jc w:val="center"/>
              <w:rPr>
                <w:rFonts w:ascii="仿宋_GB2312" w:eastAsia="仿宋_GB2312" w:cs="Times New Roman"/>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26</w:t>
            </w:r>
            <w:r>
              <w:rPr>
                <w:rFonts w:hint="eastAsia" w:ascii="仿宋_GB2312" w:eastAsia="仿宋_GB2312" w:cs="仿宋_GB2312"/>
              </w:rPr>
              <w:t>日</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6.4</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3</w:t>
            </w:r>
          </w:p>
        </w:tc>
        <w:tc>
          <w:tcPr>
            <w:tcW w:w="1276"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0.9</w:t>
            </w:r>
          </w:p>
        </w:tc>
        <w:tc>
          <w:tcPr>
            <w:tcW w:w="1093"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0.95</w:t>
            </w:r>
          </w:p>
        </w:tc>
        <w:tc>
          <w:tcPr>
            <w:tcW w:w="1122"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180</w:t>
            </w:r>
          </w:p>
        </w:tc>
        <w:tc>
          <w:tcPr>
            <w:tcW w:w="887"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1112.5</w:t>
            </w:r>
          </w:p>
        </w:tc>
        <w:tc>
          <w:tcPr>
            <w:tcW w:w="1095" w:type="dxa"/>
            <w:tcBorders>
              <w:top w:val="single" w:color="auto" w:sz="4" w:space="0"/>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920</w:t>
            </w:r>
          </w:p>
        </w:tc>
        <w:tc>
          <w:tcPr>
            <w:tcW w:w="1025" w:type="dxa"/>
            <w:tcBorders>
              <w:top w:val="single" w:color="auto" w:sz="4" w:space="0"/>
              <w:left w:val="nil"/>
              <w:bottom w:val="single" w:color="auto" w:sz="4" w:space="0"/>
              <w:right w:val="single" w:color="000000" w:sz="8"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180</w:t>
            </w:r>
          </w:p>
        </w:tc>
      </w:tr>
    </w:tbl>
    <w:p>
      <w:pPr>
        <w:rPr>
          <w:rFonts w:cs="Times New Roman"/>
        </w:rPr>
      </w:pPr>
    </w:p>
    <w:p>
      <w:pPr>
        <w:rPr>
          <w:rFonts w:cs="Times New Roman"/>
        </w:rPr>
      </w:pPr>
    </w:p>
    <w:p>
      <w:pPr>
        <w:pStyle w:val="4"/>
        <w:numPr>
          <w:ilvl w:val="0"/>
          <w:numId w:val="3"/>
        </w:numPr>
        <w:spacing w:line="400" w:lineRule="exact"/>
        <w:rPr>
          <w:rFonts w:cs="宋体"/>
          <w:kern w:val="0"/>
        </w:rPr>
      </w:pPr>
      <w:bookmarkStart w:id="10" w:name="_Toc5358"/>
      <w:r>
        <w:rPr>
          <w:rFonts w:hint="eastAsia" w:cs="宋体"/>
          <w:kern w:val="0"/>
        </w:rPr>
        <w:t>国内一周小金属价格汇总</w:t>
      </w:r>
      <w:bookmarkEnd w:id="10"/>
    </w:p>
    <w:tbl>
      <w:tblPr>
        <w:tblStyle w:val="21"/>
        <w:tblW w:w="8960" w:type="dxa"/>
        <w:tblInd w:w="-106" w:type="dxa"/>
        <w:tblLayout w:type="fixed"/>
        <w:tblCellMar>
          <w:top w:w="0" w:type="dxa"/>
          <w:left w:w="108" w:type="dxa"/>
          <w:bottom w:w="0" w:type="dxa"/>
          <w:right w:w="108" w:type="dxa"/>
        </w:tblCellMar>
      </w:tblPr>
      <w:tblGrid>
        <w:gridCol w:w="1258"/>
        <w:gridCol w:w="721"/>
        <w:gridCol w:w="722"/>
        <w:gridCol w:w="722"/>
        <w:gridCol w:w="722"/>
        <w:gridCol w:w="722"/>
        <w:gridCol w:w="724"/>
        <w:gridCol w:w="842"/>
        <w:gridCol w:w="843"/>
        <w:gridCol w:w="842"/>
        <w:gridCol w:w="842"/>
      </w:tblGrid>
      <w:tr>
        <w:tblPrEx>
          <w:tblCellMar>
            <w:top w:w="0" w:type="dxa"/>
            <w:left w:w="108" w:type="dxa"/>
            <w:bottom w:w="0" w:type="dxa"/>
            <w:right w:w="108" w:type="dxa"/>
          </w:tblCellMar>
        </w:tblPrEx>
        <w:trPr>
          <w:trHeight w:val="415" w:hRule="atLeast"/>
        </w:trPr>
        <w:tc>
          <w:tcPr>
            <w:tcW w:w="8960" w:type="dxa"/>
            <w:gridSpan w:val="11"/>
            <w:tcBorders>
              <w:top w:val="single" w:color="auto" w:sz="4" w:space="0"/>
              <w:left w:val="single" w:color="auto" w:sz="4" w:space="0"/>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b/>
                <w:bCs/>
                <w:kern w:val="0"/>
              </w:rPr>
            </w:pPr>
            <w:r>
              <w:rPr>
                <w:rFonts w:hint="eastAsia" w:ascii="仿宋_GB2312" w:hAnsi="宋体" w:eastAsia="仿宋_GB2312" w:cs="仿宋_GB2312"/>
                <w:b/>
                <w:bCs/>
                <w:kern w:val="0"/>
              </w:rPr>
              <w:t>国内小金属价格一周汇总</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日期</w:t>
            </w:r>
          </w:p>
        </w:tc>
        <w:tc>
          <w:tcPr>
            <w:tcW w:w="1443"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仿宋_GB2312"/>
                <w:kern w:val="0"/>
              </w:rPr>
            </w:pPr>
            <w:r>
              <w:rPr>
                <w:rFonts w:hint="eastAsia" w:ascii="仿宋_GB2312" w:hAnsi="宋体" w:eastAsia="仿宋_GB2312" w:cs="仿宋_GB2312"/>
                <w:kern w:val="0"/>
              </w:rPr>
              <w:t>硒粉</w:t>
            </w:r>
            <w:r>
              <w:rPr>
                <w:rFonts w:ascii="仿宋_GB2312" w:hAnsi="宋体" w:eastAsia="仿宋_GB2312" w:cs="仿宋_GB2312"/>
                <w:kern w:val="0"/>
              </w:rPr>
              <w:t>99.9%</w:t>
            </w:r>
          </w:p>
        </w:tc>
        <w:tc>
          <w:tcPr>
            <w:tcW w:w="144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二氧化硒</w:t>
            </w:r>
          </w:p>
        </w:tc>
        <w:tc>
          <w:tcPr>
            <w:tcW w:w="1446"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精铟</w:t>
            </w:r>
          </w:p>
        </w:tc>
        <w:tc>
          <w:tcPr>
            <w:tcW w:w="1685"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粗铟</w:t>
            </w:r>
          </w:p>
        </w:tc>
        <w:tc>
          <w:tcPr>
            <w:tcW w:w="1684" w:type="dxa"/>
            <w:gridSpan w:val="2"/>
            <w:tcBorders>
              <w:top w:val="single" w:color="auto" w:sz="4" w:space="0"/>
              <w:left w:val="nil"/>
              <w:bottom w:val="single" w:color="auto" w:sz="4" w:space="0"/>
              <w:right w:val="single" w:color="auto" w:sz="4" w:space="0"/>
            </w:tcBorders>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锗锭</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25</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1080</w:t>
            </w:r>
          </w:p>
        </w:tc>
        <w:tc>
          <w:tcPr>
            <w:tcW w:w="724"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1110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1010</w:t>
            </w:r>
          </w:p>
        </w:tc>
        <w:tc>
          <w:tcPr>
            <w:tcW w:w="843"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1060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7400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top"/>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26</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1080</w:t>
            </w:r>
          </w:p>
        </w:tc>
        <w:tc>
          <w:tcPr>
            <w:tcW w:w="724"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1110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1010</w:t>
            </w:r>
          </w:p>
        </w:tc>
        <w:tc>
          <w:tcPr>
            <w:tcW w:w="843"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1040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7400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eastAsia="仿宋_GB2312" w:cs="仿宋_GB2312"/>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27</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90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59</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62</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1080</w:t>
            </w:r>
          </w:p>
        </w:tc>
        <w:tc>
          <w:tcPr>
            <w:tcW w:w="724"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1110</w:t>
            </w:r>
          </w:p>
        </w:tc>
        <w:tc>
          <w:tcPr>
            <w:tcW w:w="84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1010</w:t>
            </w:r>
          </w:p>
        </w:tc>
        <w:tc>
          <w:tcPr>
            <w:tcW w:w="843"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hint="eastAsia" w:ascii="仿宋_GB2312" w:eastAsia="仿宋_GB2312" w:cs="仿宋_GB2312"/>
                <w:lang w:val="en-US" w:eastAsia="zh-CN"/>
              </w:rPr>
              <w:t>1040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7000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7400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noWrap/>
            <w:vAlign w:val="bottom"/>
          </w:tcPr>
          <w:p>
            <w:pPr>
              <w:spacing w:line="400" w:lineRule="exact"/>
              <w:jc w:val="center"/>
              <w:rPr>
                <w:rFonts w:ascii="仿宋_GB2312" w:eastAsia="仿宋_GB2312" w:cs="仿宋_GB2312"/>
              </w:rPr>
            </w:pPr>
            <w:r>
              <w:rPr>
                <w:rFonts w:hint="eastAsia" w:ascii="仿宋_GB2312" w:eastAsia="仿宋_GB2312" w:cs="仿宋_GB2312"/>
              </w:rPr>
              <w:t>单位</w:t>
            </w:r>
          </w:p>
        </w:tc>
        <w:tc>
          <w:tcPr>
            <w:tcW w:w="7702" w:type="dxa"/>
            <w:gridSpan w:val="10"/>
            <w:tcBorders>
              <w:top w:val="single" w:color="auto" w:sz="4" w:space="0"/>
              <w:left w:val="nil"/>
              <w:bottom w:val="single" w:color="auto" w:sz="4" w:space="0"/>
              <w:right w:val="single" w:color="auto" w:sz="4" w:space="0"/>
            </w:tcBorders>
            <w:noWrap/>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元/公斤</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bottom"/>
          </w:tcPr>
          <w:p>
            <w:pPr>
              <w:spacing w:line="400" w:lineRule="exact"/>
              <w:jc w:val="center"/>
              <w:rPr>
                <w:rFonts w:ascii="仿宋_GB2312" w:eastAsia="仿宋_GB2312" w:cs="仿宋_GB2312"/>
              </w:rPr>
            </w:pPr>
            <w:r>
              <w:rPr>
                <w:rFonts w:hint="eastAsia" w:ascii="仿宋_GB2312" w:eastAsia="仿宋_GB2312" w:cs="仿宋_GB2312"/>
              </w:rPr>
              <w:t>日期</w:t>
            </w:r>
          </w:p>
        </w:tc>
        <w:tc>
          <w:tcPr>
            <w:tcW w:w="1443" w:type="dxa"/>
            <w:gridSpan w:val="2"/>
            <w:tcBorders>
              <w:top w:val="single" w:color="auto" w:sz="4" w:space="0"/>
              <w:left w:val="nil"/>
              <w:bottom w:val="single" w:color="auto" w:sz="4" w:space="0"/>
              <w:right w:val="single" w:color="auto" w:sz="4" w:space="0"/>
            </w:tcBorders>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二氧化锗</w:t>
            </w:r>
          </w:p>
        </w:tc>
        <w:tc>
          <w:tcPr>
            <w:tcW w:w="1444" w:type="dxa"/>
            <w:gridSpan w:val="2"/>
            <w:tcBorders>
              <w:top w:val="single" w:color="auto" w:sz="4" w:space="0"/>
              <w:left w:val="nil"/>
              <w:bottom w:val="single" w:color="auto" w:sz="4" w:space="0"/>
              <w:right w:val="single" w:color="auto" w:sz="4" w:space="0"/>
            </w:tcBorders>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镓锭</w:t>
            </w:r>
          </w:p>
        </w:tc>
        <w:tc>
          <w:tcPr>
            <w:tcW w:w="1446" w:type="dxa"/>
            <w:gridSpan w:val="2"/>
            <w:tcBorders>
              <w:top w:val="single" w:color="auto" w:sz="4" w:space="0"/>
              <w:left w:val="nil"/>
              <w:bottom w:val="single" w:color="auto" w:sz="4" w:space="0"/>
              <w:right w:val="single" w:color="auto" w:sz="4" w:space="0"/>
            </w:tcBorders>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碲锭</w:t>
            </w:r>
          </w:p>
        </w:tc>
        <w:tc>
          <w:tcPr>
            <w:tcW w:w="1685" w:type="dxa"/>
            <w:gridSpan w:val="2"/>
            <w:tcBorders>
              <w:top w:val="single" w:color="auto" w:sz="4" w:space="0"/>
              <w:left w:val="nil"/>
              <w:bottom w:val="single" w:color="auto" w:sz="4" w:space="0"/>
              <w:right w:val="single" w:color="auto" w:sz="4" w:space="0"/>
            </w:tcBorders>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铋锭</w:t>
            </w:r>
          </w:p>
        </w:tc>
        <w:tc>
          <w:tcPr>
            <w:tcW w:w="1684" w:type="dxa"/>
            <w:gridSpan w:val="2"/>
            <w:tcBorders>
              <w:top w:val="single" w:color="auto" w:sz="4" w:space="0"/>
              <w:left w:val="nil"/>
              <w:bottom w:val="single" w:color="auto" w:sz="4" w:space="0"/>
              <w:right w:val="single" w:color="auto" w:sz="4" w:space="0"/>
            </w:tcBorders>
            <w:vAlign w:val="bottom"/>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镉锭</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25</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4300</w:t>
            </w:r>
          </w:p>
        </w:tc>
        <w:tc>
          <w:tcPr>
            <w:tcW w:w="72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4600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1500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1550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450</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460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36000</w:t>
            </w:r>
          </w:p>
        </w:tc>
        <w:tc>
          <w:tcPr>
            <w:tcW w:w="843"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37000</w:t>
            </w:r>
          </w:p>
        </w:tc>
        <w:tc>
          <w:tcPr>
            <w:tcW w:w="842" w:type="dxa"/>
            <w:tcBorders>
              <w:top w:val="nil"/>
              <w:left w:val="nil"/>
              <w:bottom w:val="single" w:color="auto" w:sz="4" w:space="0"/>
              <w:right w:val="single" w:color="auto" w:sz="4" w:space="0"/>
            </w:tcBorders>
            <w:noWrap/>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15300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15800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top"/>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26</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4300</w:t>
            </w:r>
          </w:p>
        </w:tc>
        <w:tc>
          <w:tcPr>
            <w:tcW w:w="72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4600</w:t>
            </w:r>
          </w:p>
        </w:tc>
        <w:tc>
          <w:tcPr>
            <w:tcW w:w="72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1500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1550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450</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460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36000</w:t>
            </w:r>
          </w:p>
        </w:tc>
        <w:tc>
          <w:tcPr>
            <w:tcW w:w="843"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37000</w:t>
            </w:r>
          </w:p>
        </w:tc>
        <w:tc>
          <w:tcPr>
            <w:tcW w:w="842" w:type="dxa"/>
            <w:tcBorders>
              <w:top w:val="nil"/>
              <w:left w:val="nil"/>
              <w:bottom w:val="single" w:color="auto" w:sz="4" w:space="0"/>
              <w:right w:val="single" w:color="auto" w:sz="4" w:space="0"/>
            </w:tcBorders>
            <w:noWrap/>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15300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15800</w:t>
            </w:r>
          </w:p>
        </w:tc>
      </w:tr>
      <w:tr>
        <w:tblPrEx>
          <w:tblCellMar>
            <w:top w:w="0" w:type="dxa"/>
            <w:left w:w="108" w:type="dxa"/>
            <w:bottom w:w="0" w:type="dxa"/>
            <w:right w:w="108" w:type="dxa"/>
          </w:tblCellMar>
        </w:tblPrEx>
        <w:trPr>
          <w:trHeight w:val="415" w:hRule="atLeast"/>
        </w:trPr>
        <w:tc>
          <w:tcPr>
            <w:tcW w:w="1258" w:type="dxa"/>
            <w:tcBorders>
              <w:top w:val="nil"/>
              <w:left w:val="single" w:color="auto" w:sz="4" w:space="0"/>
              <w:bottom w:val="single" w:color="auto" w:sz="4" w:space="0"/>
              <w:right w:val="single" w:color="auto" w:sz="4" w:space="0"/>
            </w:tcBorders>
            <w:vAlign w:val="center"/>
          </w:tcPr>
          <w:p>
            <w:pPr>
              <w:spacing w:line="400" w:lineRule="exact"/>
              <w:jc w:val="center"/>
              <w:rPr>
                <w:rFonts w:ascii="仿宋_GB2312" w:hAnsi="Calibri" w:eastAsia="仿宋_GB2312" w:cs="仿宋_GB2312"/>
                <w:kern w:val="2"/>
                <w:sz w:val="21"/>
                <w:szCs w:val="21"/>
                <w:lang w:val="en-US" w:eastAsia="zh-CN" w:bidi="ar-SA"/>
              </w:rPr>
            </w:pPr>
            <w:r>
              <w:rPr>
                <w:rFonts w:hint="eastAsia" w:ascii="仿宋_GB2312" w:eastAsia="仿宋_GB2312" w:cs="仿宋_GB2312"/>
                <w:lang w:val="en-US" w:eastAsia="zh-CN"/>
              </w:rPr>
              <w:t>11</w:t>
            </w:r>
            <w:r>
              <w:rPr>
                <w:rFonts w:hint="eastAsia" w:ascii="仿宋_GB2312" w:eastAsia="仿宋_GB2312" w:cs="仿宋_GB2312"/>
              </w:rPr>
              <w:t>月</w:t>
            </w:r>
            <w:r>
              <w:rPr>
                <w:rFonts w:hint="eastAsia" w:ascii="仿宋_GB2312" w:eastAsia="仿宋_GB2312" w:cs="仿宋_GB2312"/>
                <w:lang w:val="en-US" w:eastAsia="zh-CN"/>
              </w:rPr>
              <w:t>27</w:t>
            </w:r>
            <w:r>
              <w:rPr>
                <w:rFonts w:hint="eastAsia" w:ascii="仿宋_GB2312" w:eastAsia="仿宋_GB2312" w:cs="仿宋_GB2312"/>
              </w:rPr>
              <w:t>日</w:t>
            </w:r>
          </w:p>
        </w:tc>
        <w:tc>
          <w:tcPr>
            <w:tcW w:w="721"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4300</w:t>
            </w:r>
          </w:p>
        </w:tc>
        <w:tc>
          <w:tcPr>
            <w:tcW w:w="72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4600</w:t>
            </w:r>
          </w:p>
        </w:tc>
        <w:tc>
          <w:tcPr>
            <w:tcW w:w="72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1500</w:t>
            </w:r>
          </w:p>
        </w:tc>
        <w:tc>
          <w:tcPr>
            <w:tcW w:w="722" w:type="dxa"/>
            <w:tcBorders>
              <w:top w:val="nil"/>
              <w:left w:val="nil"/>
              <w:bottom w:val="single" w:color="auto" w:sz="4" w:space="0"/>
              <w:right w:val="single" w:color="auto" w:sz="4" w:space="0"/>
            </w:tcBorders>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1550</w:t>
            </w:r>
          </w:p>
        </w:tc>
        <w:tc>
          <w:tcPr>
            <w:tcW w:w="722"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450</w:t>
            </w:r>
          </w:p>
        </w:tc>
        <w:tc>
          <w:tcPr>
            <w:tcW w:w="724" w:type="dxa"/>
            <w:tcBorders>
              <w:top w:val="nil"/>
              <w:left w:val="nil"/>
              <w:bottom w:val="single" w:color="auto" w:sz="4" w:space="0"/>
              <w:right w:val="single" w:color="auto" w:sz="4" w:space="0"/>
            </w:tcBorders>
            <w:noWrap/>
            <w:vAlign w:val="center"/>
          </w:tcPr>
          <w:p>
            <w:pPr>
              <w:jc w:val="center"/>
              <w:rPr>
                <w:rFonts w:hint="default" w:ascii="仿宋_GB2312" w:eastAsia="仿宋_GB2312" w:cs="仿宋_GB2312"/>
                <w:lang w:val="en-US" w:eastAsia="zh-CN"/>
              </w:rPr>
            </w:pPr>
            <w:r>
              <w:rPr>
                <w:rFonts w:ascii="微软雅黑" w:hAnsi="微软雅黑" w:eastAsia="微软雅黑" w:cs="微软雅黑"/>
                <w:i w:val="0"/>
                <w:caps w:val="0"/>
                <w:color w:val="333333"/>
                <w:spacing w:val="0"/>
                <w:sz w:val="18"/>
                <w:szCs w:val="18"/>
                <w:shd w:val="clear" w:fill="FFFFFF"/>
              </w:rPr>
              <w:t>460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36000</w:t>
            </w:r>
          </w:p>
        </w:tc>
        <w:tc>
          <w:tcPr>
            <w:tcW w:w="843"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37000</w:t>
            </w:r>
          </w:p>
        </w:tc>
        <w:tc>
          <w:tcPr>
            <w:tcW w:w="842" w:type="dxa"/>
            <w:tcBorders>
              <w:top w:val="nil"/>
              <w:left w:val="nil"/>
              <w:bottom w:val="single" w:color="auto" w:sz="4" w:space="0"/>
              <w:right w:val="single" w:color="auto" w:sz="4" w:space="0"/>
            </w:tcBorders>
            <w:noWrap/>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15300</w:t>
            </w:r>
          </w:p>
        </w:tc>
        <w:tc>
          <w:tcPr>
            <w:tcW w:w="842" w:type="dxa"/>
            <w:tcBorders>
              <w:top w:val="nil"/>
              <w:left w:val="nil"/>
              <w:bottom w:val="single" w:color="auto" w:sz="4" w:space="0"/>
              <w:right w:val="single" w:color="auto" w:sz="4" w:space="0"/>
            </w:tcBorders>
            <w:vAlign w:val="center"/>
          </w:tcPr>
          <w:p>
            <w:pPr>
              <w:jc w:val="center"/>
              <w:rPr>
                <w:rFonts w:hint="eastAsia" w:ascii="仿宋_GB2312" w:eastAsia="仿宋_GB2312" w:cs="仿宋_GB2312"/>
                <w:lang w:val="en-US" w:eastAsia="zh-CN"/>
              </w:rPr>
            </w:pPr>
            <w:r>
              <w:rPr>
                <w:rFonts w:hint="eastAsia" w:ascii="仿宋_GB2312" w:eastAsia="仿宋_GB2312" w:cs="仿宋_GB2312"/>
                <w:lang w:val="en-US" w:eastAsia="zh-CN"/>
              </w:rPr>
              <w:t>15800</w:t>
            </w:r>
          </w:p>
        </w:tc>
      </w:tr>
      <w:tr>
        <w:tblPrEx>
          <w:tblCellMar>
            <w:top w:w="0" w:type="dxa"/>
            <w:left w:w="108" w:type="dxa"/>
            <w:bottom w:w="0" w:type="dxa"/>
            <w:right w:w="108" w:type="dxa"/>
          </w:tblCellMar>
        </w:tblPrEx>
        <w:trPr>
          <w:trHeight w:val="425" w:hRule="atLeast"/>
        </w:trPr>
        <w:tc>
          <w:tcPr>
            <w:tcW w:w="1258" w:type="dxa"/>
            <w:tcBorders>
              <w:top w:val="nil"/>
              <w:left w:val="single" w:color="auto" w:sz="4" w:space="0"/>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单位</w:t>
            </w:r>
          </w:p>
        </w:tc>
        <w:tc>
          <w:tcPr>
            <w:tcW w:w="4333" w:type="dxa"/>
            <w:gridSpan w:val="6"/>
            <w:tcBorders>
              <w:top w:val="single" w:color="auto" w:sz="4" w:space="0"/>
              <w:left w:val="nil"/>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元</w:t>
            </w:r>
            <w:r>
              <w:rPr>
                <w:rFonts w:ascii="仿宋_GB2312" w:hAnsi="宋体" w:eastAsia="仿宋_GB2312" w:cs="仿宋_GB2312"/>
                <w:kern w:val="0"/>
              </w:rPr>
              <w:t>/</w:t>
            </w:r>
            <w:r>
              <w:rPr>
                <w:rFonts w:hint="eastAsia" w:ascii="仿宋_GB2312" w:hAnsi="宋体" w:eastAsia="仿宋_GB2312" w:cs="仿宋_GB2312"/>
                <w:kern w:val="0"/>
              </w:rPr>
              <w:t>公斤</w:t>
            </w:r>
          </w:p>
        </w:tc>
        <w:tc>
          <w:tcPr>
            <w:tcW w:w="3369" w:type="dxa"/>
            <w:gridSpan w:val="4"/>
            <w:tcBorders>
              <w:top w:val="single" w:color="auto" w:sz="4" w:space="0"/>
              <w:left w:val="nil"/>
              <w:bottom w:val="single" w:color="auto" w:sz="4" w:space="0"/>
              <w:right w:val="single" w:color="auto" w:sz="4" w:space="0"/>
            </w:tcBorders>
            <w:noWrap/>
            <w:vAlign w:val="bottom"/>
          </w:tcPr>
          <w:p>
            <w:pPr>
              <w:widowControl/>
              <w:spacing w:line="400" w:lineRule="exact"/>
              <w:jc w:val="center"/>
              <w:rPr>
                <w:rFonts w:ascii="仿宋_GB2312" w:hAnsi="宋体" w:eastAsia="仿宋_GB2312" w:cs="Times New Roman"/>
                <w:kern w:val="0"/>
              </w:rPr>
            </w:pPr>
            <w:r>
              <w:rPr>
                <w:rFonts w:hint="eastAsia" w:ascii="仿宋_GB2312" w:hAnsi="宋体" w:eastAsia="仿宋_GB2312" w:cs="仿宋_GB2312"/>
                <w:kern w:val="0"/>
              </w:rPr>
              <w:t>元</w:t>
            </w:r>
            <w:r>
              <w:rPr>
                <w:rFonts w:ascii="仿宋_GB2312" w:hAnsi="宋体" w:eastAsia="仿宋_GB2312" w:cs="仿宋_GB2312"/>
                <w:kern w:val="0"/>
              </w:rPr>
              <w:t>/</w:t>
            </w:r>
            <w:r>
              <w:rPr>
                <w:rFonts w:hint="eastAsia" w:ascii="仿宋_GB2312" w:hAnsi="宋体" w:eastAsia="仿宋_GB2312" w:cs="仿宋_GB2312"/>
                <w:kern w:val="0"/>
              </w:rPr>
              <w:t>吨</w:t>
            </w:r>
          </w:p>
        </w:tc>
      </w:tr>
    </w:tbl>
    <w:p/>
    <w:p>
      <w:pPr>
        <w:pStyle w:val="2"/>
        <w:numPr>
          <w:ilvl w:val="0"/>
          <w:numId w:val="4"/>
        </w:numPr>
        <w:spacing w:line="400" w:lineRule="exact"/>
      </w:pPr>
      <w:bookmarkStart w:id="11" w:name="_Toc24653"/>
      <w:r>
        <w:rPr>
          <w:rFonts w:hint="eastAsia" w:cs="黑体"/>
          <w:kern w:val="0"/>
        </w:rPr>
        <w:t>一周市场动态回顾</w:t>
      </w:r>
      <w:bookmarkEnd w:id="11"/>
    </w:p>
    <w:p>
      <w:pPr>
        <w:widowControl/>
        <w:jc w:val="left"/>
        <w:outlineLvl w:val="1"/>
        <w:rPr>
          <w:rFonts w:hint="eastAsia" w:ascii="宋体" w:hAnsi="宋体" w:cs="宋体"/>
          <w:b/>
          <w:bCs/>
          <w:kern w:val="0"/>
          <w:sz w:val="30"/>
          <w:szCs w:val="30"/>
        </w:rPr>
      </w:pPr>
      <w:bookmarkStart w:id="12" w:name="_Toc5437"/>
      <w:r>
        <w:rPr>
          <w:rFonts w:hint="eastAsia" w:ascii="宋体" w:hAnsi="宋体" w:cs="宋体"/>
          <w:b/>
          <w:bCs/>
          <w:kern w:val="0"/>
          <w:sz w:val="30"/>
          <w:szCs w:val="30"/>
        </w:rPr>
        <w:t>我国七大铜矿产地！我国70%以上的铜矿在这里产出</w:t>
      </w:r>
      <w:bookmarkEnd w:id="12"/>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中国探明铜矿产地918 处，富铜矿(品位&gt;1 %) 储量占所有储量的35.2 %。全国28 个省(区) 都有铜矿的分布，较为分散。中国铜矿目前来说主要有以下七大生产基地：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一、江西铜基地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江西铜矿资本丰富，居全国之首。探明的铜工业储量占全国铜工业储量的1/3，是中国铜业出产最大的基地。1978年国家把江西铜基地列入国家重点建造项目。1979年建立江西铜业公司，现具有“六矿两厂”，即德兴铜矿、永平铜矿、武山铜矿、东乡铜矿、城门山铜矿、银山铅锌铜矿和贵溪冶炼厂、上海冶炼厂。六个大中型矿山具有探明的铜储量合计1387万t，德兴铜矿是超大型铜(钼)矿田，德兴铜厂矿山1993年构成10万t/d采选规划，变成亚洲特大型矿山之一。现开采的五个矿山年产铜精矿10.2万t(1996)，占CNNC铜精矿产值的1/3，占全国铜精矿总产值的1/4。</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二、云南铜基地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云南铜矿资本丰富，探明的铜工业储量居全国第2位。该基地由“四矿一厂”构成，即东川、易门、大姚、牟定等四个大中型矿山和云南冶炼厂。当前构成的云南铜业(集团)有限公司，1996年年产电铜10万t，铜精矿5万t，是中国产铜第二大型铜业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三、白银铜基地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甘肃白银厂区域是中国铜矿富集区之一，由折腰山、火焰山、铜厂沟、小铁山、四个圈等矿床构成。为开发白银厂铜矿资本于1954年建立了白银有色金属公司，并将矿山采选冶建造列入国家第一个五年方案重点建造项目之一，揭开了中国50时代建造大型铜公司的前奏。通过1957至1959年三年大规划建造，折腰山、火焰山两个露天矿和选矿厂、冶炼厂等高速度、高质量地建成。原设计能力年产铜3万t，后经技术改造到达5万t，一度是全国产铜最多的大型采选冶联合公司。</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四、东北铜基地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该基地由一批中小型矿山所构成，起步早、建造快。1948～1950年将辽宁清原铜(金)矿、华铜铜矿、芙蓉铜矿、马鹿沟铜矿和吉林石咀子铜矿、天宝山铜铅锌矿等康复了出产，沈阳冶炼厂也于1949年1月康复了出产。从此，在东北区域出现了中国第一个铜采选冶出产基地，为中国铜工业开展奠定了根底，起到了先导效果。五六十时代曾为全国有色金属公司输送了大批管理人才和科技主干，有力地支撑了全国铜工业的开展。六十年代上述矿山资本连续采尽闭坑，由桓仁、红透山等矿山接替以及外购矿藏质料，使东北铜基地继续出产，并产铜精矿5万t，1996年年产电铜7万t。特别是黑龙江多宝山大型斑岩铜矿，可作为沈冶矿藏质料供应基地。东北铜基地出产仍有潜力。</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五、铜陵铜基地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安徽铜陵区域地处长江中下游，建造条件好，资本丰富。现已探明的铜官山、狮子山、大团山、冬瓜山、凤凰山、新桥、贵池、安庆、琅琊山、沙溪等一批大中型矿床合计铜储量300多万t。该基地也是建造早、起步快的基地，是“一五”方案期间第一个年产万吨铜的基地。现铜陵有色金属公司具有六个矿山、两个冶炼厂。1996年年产铜精矿4.2万t、电铜4.65万t，为大型采选冶加工联合公司。</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六、大冶铜基地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湖北大冶、黄石、阳新区域铜矿资本丰富，已探明铜储量合计360多万t。大冶有色金属公司现具有“六矿两厂”，即铜录山、丰山洞、铜山口、赤马山、大冶铜厂、新冶等大中型铜矿山和一个铜冶炼厂、一个铜材加工厂。1996年年产铜精矿近2万t、粗铜6.16万t、电铜4.56万t，为大型采选冶加工联合公司。</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七、中条山铜基地</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山西中条山区域从五十时代以来，勘探了铜矿峪、小西沟、胡家峪、篦子沟、落家河等大中型铜矿，累计探明铜储量330多万t。为开发这一区域的铜矿资本1956年建立了中条山有色金属公司。现具有“三矿两厂”，即铜矿峪、胡家峪、篦子沟等大中型铜矿山和一个冶炼厂、一个电解铜厂，构成以采选冶为主体的大型联合公司。1996年年产铜精矿2.72万t、粗铜2.6万t、电铜1.16万t。</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我国铜矿资源有如下特点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1、是中小型矿床多，大型、超大型矿床少。铜矿储量大于250 万吨以上的矿床仅有江西德兴铜矿、西藏玉龙铜矿、金川铜镍矿、东川铜矿等。在探明的矿产地中，大型、超大型仅占3 %，中型占9 %，小型占88 %。</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2、是贫矿多，富矿少。中国铜矿平均品位为0.87 %，品位&gt;1 % 的铜储量占全国铜矿总储量的35.2 %。在大型铜矿中，品位&gt;1 %的铜储量仅占13.2 %。</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3、是共伴生矿多， 单一矿少。在900 多个矿床中单一矿仅占27.1 %， 综合矿占72.9 %，具有较大综合利用价值。</w:t>
      </w:r>
    </w:p>
    <w:p>
      <w:pPr>
        <w:pStyle w:val="18"/>
        <w:keepNext w:val="0"/>
        <w:keepLines w:val="0"/>
        <w:widowControl/>
        <w:suppressLineNumbers w:val="0"/>
        <w:wordWrap w:val="0"/>
        <w:spacing w:line="288" w:lineRule="auto"/>
      </w:pPr>
      <w:r>
        <w:rPr>
          <w:rFonts w:hint="default" w:ascii="Arial" w:hAnsi="Arial" w:cs="Arial"/>
          <w:sz w:val="21"/>
          <w:szCs w:val="21"/>
        </w:rPr>
        <w:t> </w:t>
      </w:r>
    </w:p>
    <w:p>
      <w:pPr>
        <w:widowControl/>
        <w:jc w:val="left"/>
        <w:outlineLvl w:val="1"/>
        <w:rPr>
          <w:rFonts w:hint="eastAsia" w:ascii="宋体" w:hAnsi="宋体" w:cs="宋体"/>
          <w:b/>
          <w:bCs/>
          <w:kern w:val="0"/>
          <w:sz w:val="30"/>
          <w:szCs w:val="30"/>
        </w:rPr>
      </w:pPr>
      <w:bookmarkStart w:id="13" w:name="_Toc18932"/>
      <w:r>
        <w:rPr>
          <w:rFonts w:hint="eastAsia" w:ascii="宋体" w:hAnsi="宋体" w:cs="宋体"/>
          <w:b/>
          <w:bCs/>
          <w:kern w:val="0"/>
          <w:sz w:val="30"/>
          <w:szCs w:val="30"/>
        </w:rPr>
        <w:t>对标世界一流 在大战大考中做好高质量发展答卷——中色大冶40万吨高纯阴极铜项目建设侧记</w:t>
      </w:r>
      <w:bookmarkEnd w:id="13"/>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这是世界上单体建设规模最大的铜冶炼厂之一，这是我国铜行业投资规模最大的绿色智能工厂，这是正努力打造成为有色行业铜冶炼先进工艺的样板工厂，中国有色集团出资企业大冶有色金属集团控股有限公司(简称：中色大冶)40万吨高纯阴极铜项目的建造备受瞩目。它对于中色大冶加快高质量赶超发展、中国有色集团提升国际竞争力以及黄石市产业结构优化升级和湖北省有色金属产业绿色发展都具有重要意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17日，在湖北黄石新港(物流)工业园区，央企助力湖北疫后重振发展72个签约项目之一的中国有色矿业集团40万吨高纯阴极铜项目建设正开足马力，冲刺速度，施工现场大会战全面展开，熔炼主厂房正拔地而起，在建设这个对标世界一流的超级工程中，中色大冶在大战大考中做好央企高质量发展答卷。</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聚焦战略</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做好“建不建”的必答题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2019年8月24日，这一天，对于中色大冶极不平凡。“40万吨项目中国有色集团批准立项了!”消息从北京中国有色集团总部传来，远在湖北的中色大冶人欢欣鼓舞，历时一年项目可行性研究，心心念念的新冶炼厂项目终于落地了，中色大冶人“打造现代化铜企业”梦想，迈出了实质性的一步。始创于1953年的中色大冶， 60多年来，有过辉煌的成就，也经历过市场风雨洗礼。随着新一轮科技革命和产业变革，国内外铜产业分工格局正在重塑，对曾经是我国有色金属工业“功勋企业”“旗帜企业”的中色大冶提出了严峻的挑战。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新时代，中色大冶对自身的发展战略、产业规划、发展目标进行了认真审视和全面梳理。企业从哪里来、往哪里去?面对这道事关企业生存发展的必答题。中色大冶人深刻领会贯彻落实习近平总书记关于有色行业的一系列重要指示批示为指导，特别是总书记对中国有色集团的三次重要指示批示精神，以中国有色集团战略为引领,育新机，开新局，坚守“为中国铜工业高质量发展作贡献”的初心,担负起“代表‘国家队’参与全球竞争”的使命，这是中色大冶全体干部职工形成的共识和奋斗目标，彰显了中色大冶领导班子的战略定力和决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说干就干。2018年8月，中色大冶启动了40万吨铜冶炼项目的前期筹划工作。中国有色集团带领中色大冶，进行了深入的市场分析、选址考察、建设规模和多个工艺方案论证、项目风险分析，确定建设40万吨高纯阴极铜清洁生产项目，引进世界先进的“闪速熔炼+闪速吹炼”双闪火法冶炼工艺，项目报批投资57.1亿元。建成达产后实现年产值过200亿元，利税超10亿元。项目建成将使中色大冶产能达到100万吨级，进入国内铜行业第一梯队，为中国有色集团进入全球铜产业领先行列提供支撑。5月12日，40万吨项目破土动工，一座现代化铜冶炼工厂拉开了建设大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化危为机</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做好“怎么建”的闯关题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9月16日，中国有色集团党委书记、董事长奚正平冒雨在中色大冶40万吨项目现场实地考察时勉励中色大冶：“要有大作为、大追求和大带动，40万吨项目要坚持高起点，高标准，高要求，全力以赴将该项目建成“精品工程、放心工程、廉洁工程”，努力建设世界一流铜企业，推动企业进一步走向国际。”奚正平董事长的殷切希望，为40万吨项目建设、企业发展指明了前进的方向。</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着力打造精品工程、放心工程。“双闪”火法冶炼炉全世界只有6台。中国有色集团投资矿勘部、董秘办、财务部、法务部、企业发展部等部门对40万吨项目建设给予了大力支持和精心指导，多次来现场调研、察看、督导，倾注了大量心力。中色大冶迎接挑战，勇于创新，攻克难关，采取高起点规划+大兵团作战建设模式。创新EPC总承包模式，通过招标确定中国十五冶为总承包单位，中国瑞林工程公司为设计单位。在充分吸收消化世界领先的“双闪”工艺和借鉴国内“双闪”冶炼炉运行情况的基础上，在冶炼行业锤炼了67年的中色大冶人发挥聪明才智，因地制宜，以不断提升项目回报为原则狠抓设计管控、优化工艺选项。在今年疫情期间，中色大冶董事长翟保金和总经理王焱组织各专业小组，不断优化设计，累计组织了21场次专项设计优化、智能工厂建设、专项技术方案专题会，对初步设计进行优化完善。优化完善后的初步设计与1月份专家评审版本相比，在没有超原有概算的基础上，增加了江边码头到厂区的运输通廊、智能工厂以及智能精矿仓、阳极板智能转运与储存系统、电解智能铜库、智能供配电站系统等智能装备的投资，从源头上确保本项目高起点、高标准、高质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突出专业管理。成立了以中色大冶翟保金董事长为指挥长的项目建设指挥部，45名专家技术精英迅速集结， 其中：20多个相关专业人员，冶金、化工、机械、电仪、建筑工程、商务等;6位专业副总工程师，负责对冶金工程、化工及环保工程、建安工程、设备工程、材料工程和智能工厂项目进行管理;13个专业小组，作为副总师的技术支撑和执行组织，形成专业管理模式，实现建设期和运营期无缝对接;8个片区牵头负责人团队，全面参与工程建设管理和运营期准备工作;207名新引进的大学生作为工厂的技干团队正在进行系统培训。强大的技术团队为建设精品工程、放心工程提供了有力支撑，保障工程顺利实施。</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着力打造廉洁工程。中色大冶和中色十五冶成立了联合纪检组进驻项目建设指挥部，现场办公，加强项对目建设过程中的关键环节监督，强化廉洁风险防控。签订所有对外合同时都签订《廉洁协议书》;对参与项目建设的党员干部签订《廉洁自律承诺书》，做到了全覆盖;在项目建设指挥部及十五冶设立举报箱及举报邮箱，做到举报渠道畅通;在专题会和各类会议上，对党员干部党风廉政相关要求进行常态化教育提醒，绷紧廉洁从业的弦;对物资设备采购招标全流程进行监督，确保采购阳光、公开、透明，物资设备采购“应招尽招率”达到100%。</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高效协同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做好“快速建”的竞赛题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月份，正当中色大冶人信心满满准备开始大干时，突如其来的新冠肺炎疫情暴发，开工建设被迫推迟到5月份，工期更加吃紧，如何把疫情影响的时间抢回来，加快建设?是中色大冶面对的最大挑战。党是战胜一切困难的主心骨。中色大冶党委把党旗插在工地上，把支部建在项目上，中色大冶党委书记、董事长翟保金向指挥部全体人员发出动员令：“建设世界一流的铜冶炼厂，使命光荣，责任重大，全体人员进入战时状态，起跑即是冲刺，开战就是决战，经受大战大考，交出满意答卷!” 从2月11日起，党员带头，技术人员全部投入战斗，网络办公，线上研讨，优化方案，审定技术文本，疫情几个月时间，一位副总工程师就修改完善审定了技术方案文本达80万字，为项目建设争取了宝贵时间，彰显了央企在非常时期的非常使命、非常担当。</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面对2021年12月建成投产的紧迫任务，40万吨项目超级工程，展开了大兵团高效协同作战，着力打造精品工程、放心工程，以争创国优工程为核心，不断加强设计协调和施工监督，确保设计、施工质量。片区牵头负责人全面掌握辖区内设计、采购、施工全过程进度，并进行月、周、日工作进度分解和督促落实，全力推动项目按期建成。5月份工程开工后，中色大冶项目建设部分片区负责人和中色十五冶合署办公，紧密协调。双方今年到目前已累计召开了6次高层协调会，加速推进项目建设，倒排工期，制定出冶炼主厂房建筑结构施工完成、熔炼炉点火，吹炼炉点火，阳极炉点火，熔炼炉投料，电解出阳极铜等26项里程碑节点。从9月22日起，中色大冶指挥部全体人员离家奔赴到40万吨项目“安营扎寨”，驻扎工程现场，他们日夜连轴转，与时间赛跑。</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10月12日，中国有色集团在京举行重点项目军令状签字仪式。中国有色集团党委书记、董事长奚正平对40万吨等重点项目提出要求：“要按照军令状明确的目标任务，攻坚克难，分秒必争、真抓实干，把集团“向上走”与“向前走”结合起来，团结奋战，努力拼搏，为打造世界一流矿业企业做出新的贡献。”中色大冶迅速落实奚正平董事长的讲话要求，迅速分解落实“军令状”。10月30日，在40万吨项目熔炼主厂房施工现场，公司举行阳新弘盛40万吨高纯阴极铜清洁生产项目誓师大会暨“军令状”签字仪式。中色大冶将落实习近平总书记等党和国家领导人有关重要指示批示精神，转化为建设“精品工程、放心工程、廉洁工程”的实际行动。认真贯彻中国有色集团建设40万吨项目的科学决策，全力以赴拉开冲锋态势，与时间赛跑，与任务角力，跑出“快节奏”，赛出“加速度”。</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40万吨项目距离点火时间只有13个月，工期十分紧迫，无论是从建设工期还是规模，中色大冶面临史无前例的挑战。中色大冶40万吨项目部全体工程技术人员，每天工作十几个小时，每周六常态化加班，吃住在工程项目现场，行军床是标配，加班干是常态。他们以高昂的斗志，火热的激情，投入战斗。</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项目计划2021年底投产，我们争分夺秒赶工期完成工程节点。”中色大冶40万吨项目指挥部副指挥长万军介绍，目前现场地基处理基本完成，现浇混凝土桩基和预制方桩超过1000根，熔炼主厂房正在进行高层钢结构建筑框架吊装，其它子工程建设项目有序推进。</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世界眼光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做好“创标干”的思考题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40万吨项目建设始终贯穿绿色发展理念，中国有色集团对标世界一流冶炼技术，致力于打造国内“成本最低、技术最优、效率最高”的绿色工厂、效益工厂、智能工厂。项目建成后铜精矿年处理量约160万吨，年产阴极铜40万吨，硫酸150万吨。并以此为契机，统筹优化中色大冶现有冶炼系统，加大废旧金属回收利用，以黄石市为中心打造沿江涉及贵金属物料处理基地，保护好绿水青山，不断延伸、补齐、壮大优势产业链，以先进制造业挺起实体经济发展脊梁，为中国铜工业发展、地方经济社会发展，为长江大保护作出新贡献。</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冶炼行业实现环保特别是排放限值的超低排放标准，是中色大冶人践行绿色发展的永恒追求。据了解，40万吨项目生产过程硫化物捕集率达99%以上，水循环利用率达98%以上，每年减少燃煤约7万吨，减排二氧化碳超过18万吨，相当于植树近4万棵。同时，铜精矿生产中产生的金、银、硒、碲、铂、钯、镍等稀贵金属将得到有效提取，矿渣也“吃干榨尽”再利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未来，40万吨项目还将配套建设约4公里长的“皮带廊”，直通中色大冶长江化工码头，减少矿石货车运输尾气排放。此外，在智能设备加持下，该项目生产运行会更 “聪明”。将实现散料行车、极板转运、电铜仓储、智能配电等作业智能化无人化少人化。用工人数较传统生产工艺减少70%以上，熔炼炉检修次数也大幅降低。</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历经磨砺的中色大冶，为中国铜工业高质量发展作贡献的初心没有变，强大的发展韧性没有变，稳中有进长期向好的趋势没有变，正积聚起高质量发展所需的巨大能量和澎湃动力，迎来广阔的新发展格局。</w:t>
      </w:r>
    </w:p>
    <w:p>
      <w:pPr>
        <w:widowControl/>
        <w:jc w:val="left"/>
        <w:outlineLvl w:val="1"/>
        <w:rPr>
          <w:rFonts w:hint="eastAsia" w:ascii="宋体" w:hAnsi="宋体" w:cs="宋体"/>
          <w:b/>
          <w:bCs/>
          <w:kern w:val="0"/>
          <w:sz w:val="30"/>
          <w:szCs w:val="30"/>
          <w:lang w:eastAsia="zh-CN"/>
        </w:rPr>
      </w:pPr>
      <w:bookmarkStart w:id="14" w:name="_Toc10032"/>
      <w:r>
        <w:rPr>
          <w:rFonts w:hint="eastAsia" w:ascii="宋体" w:hAnsi="宋体" w:cs="宋体"/>
          <w:b/>
          <w:bCs/>
          <w:kern w:val="0"/>
          <w:sz w:val="30"/>
          <w:szCs w:val="30"/>
          <w:lang w:eastAsia="zh-CN"/>
        </w:rPr>
        <w:t>四川省委副书记、省长尹力会见江铜集团党委书记、董事长、总经理郑高清一行</w:t>
      </w:r>
      <w:bookmarkEnd w:id="14"/>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11月18日，四川省委副书记、省长尹力在成都会见了参加2020中外知名企业四川行活动的江铜集团党委书记、董事长、总经理郑高清一行。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尹力对郑高清一行参加2020中外知名企业四川行活动表示欢迎，对江铜在四川的投资发展给予了肯定。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尹力指出，多年来，江铜在四川深耕稀土资源开发和应用，尤其在稀土产业链建设上取得了卓有成效的业绩，在四川经济社会发展中发挥了重要作用。当前四川正面临“一带一路”建设、长江经济带发展、新时代西部大开发和成渝双城经济圈建设等重大战略机遇，希望在新发展理念的指引下，未来能够与江铜在稀土资源整合、稀土新材料研发、稀土终端应用和江铜其他重点发展的产业上进一步深化合作，助力四川工业的高质量发展，在保护和开发好长江源头地、推动四川经济社会发展中实现互惠双赢。四川省委省政府也将一如既往地支持江铜在川发展，相关厅局和地方政府会切实为江铜排忧解难，提供优质的政务服务保障。</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郑高清感谢尹力省长长期以来对江铜的关心，并向一直以来支持帮助江铜改革发展的四川省委省政府和相关政府部门表示感谢。</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郑高清说，四川素有“天府之国”的美誉，是中国的经济大省、人口大省、资源大省和科教大省，是支撑国内大循环的重要经济腹地，是畅通国内国际双循环的重要战略枢纽。稀土产业作为四川“5+1”现代产业体系的重要组成部分，四川省委省政府在稀土科技创新和产业化推进方面，制定了特色产业集群、产业链培育方案等各种政策予以强力支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郑高清表示，近年来，江铜加大了在四川的项目投资力度，已初步建成“采、选、冶、加、研”稀土产业链。稀土产业作为江铜未来发展的核心板块，将深入贯彻落实新发展理念，不断提升稀土功能材料研发、技术成果转化、相关产品制造，加速与大院大所深度合作，将稀土产业链向高附加值、高精尖领域延伸，打造集采选冶研加一体的稀土行业标杆企业。江铜也将持续深化在四川的发展，希望在四川省委省政府的关心下，在相关厅局和州县的大力支持下，牵头扛起四川稀土产业发展大旗，在助力四川加快整合、构建稀土产业新发展格局上贡献江铜力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公司副总经理廖新庚、财务总监余彤参加相关活动和会见。</w:t>
      </w:r>
    </w:p>
    <w:p>
      <w:pPr>
        <w:widowControl/>
        <w:jc w:val="left"/>
        <w:outlineLvl w:val="1"/>
        <w:rPr>
          <w:rFonts w:hint="default" w:ascii="宋体" w:hAnsi="宋体" w:cs="宋体"/>
          <w:b/>
          <w:bCs/>
          <w:kern w:val="0"/>
          <w:sz w:val="30"/>
          <w:szCs w:val="30"/>
          <w:lang w:val="en-US" w:eastAsia="zh-CN"/>
        </w:rPr>
      </w:pPr>
      <w:bookmarkStart w:id="15" w:name="_Toc31620"/>
      <w:r>
        <w:rPr>
          <w:rFonts w:hint="default" w:ascii="宋体" w:hAnsi="宋体" w:cs="宋体"/>
          <w:b/>
          <w:bCs/>
          <w:kern w:val="0"/>
          <w:sz w:val="30"/>
          <w:szCs w:val="30"/>
          <w:lang w:val="en-US" w:eastAsia="zh-CN"/>
        </w:rPr>
        <w:t>聚焦铝业“十四五”发展重点 2020第五届国际（三亚）铝产业链发展高峰论坛召开</w:t>
      </w:r>
      <w:bookmarkEnd w:id="15"/>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致敬来时路，筑梦新铝程。11月12日，2020第五届国际(三亚)铝产业链发展高峰论坛在美丽的鹿城海南三亚召开。本届论坛由中国宏桥集团有限公司和山东创新集团有限公司联合主办，来自全国各地及外企驻华机构的200余家企业参会，500余名行业精英齐聚一堂，共商合作共赢、高质量发展大计。</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有色金属工业协会会长陈全训，前驻德国大使、中德友好协会会长史明德，财政部原财政科学研究所所长、华夏新供给经济学研究院院长贾康，中国有色金属工业协会副会长文献军，协会党委副书记、中国有色金属加工工业协会理事长范顺科，山东省滨州市副市长曹玉斌，云南省文山州州长张秀兰，山东魏桥创业集团有限公司董事长张波，山东创新集团有限公司董事长崔立新，山东魏桥创业集团有限公司董事、副总经理张艳红出席论坛，出席论坛的还有来自山东省滨州市、云南省文山州有关部门和县区的相关负责人。山东魏桥创业集团有限公司海外事业部总经理王艳、山东省铝业协会秘书长赵前方分别主持了上午的主论坛和下午的分论坛。</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张波在致辞中对与会的代表嘉宾表示欢迎，对因疫情未能参会的海外同行表达问候。他分享了公司发展理念和一年来打造“智造魏桥、绿色魏桥、国际魏桥”的工作进展，并向行业发出邀请，共享新发展格局中带来的机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张波表示，魏桥这些年的发展，既有自身努力的因素，也是各位伙伴和客户们厚爱的结果，更与国家民族的发展同频共振紧密相连。魏桥对于产业链的理解是做大“蛋糕”、互利共赢，通过分享来创造更长久的价值。只有整个产业链健康兴旺，魏桥才会健康兴旺。“一花独放不是春，百花齐放春满园”，魏桥希望与大家一起探讨在百年未有之大变局下，如何通过双循环新发展格局的思路和方法共同推进产业链的转型升级，保持企业在当前不确定环境下的持续竞争力。</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张波指出，这次中央的“十四五”规划和2035年远景目标的建议中提到：关键核心技术实现重大突破，进入创新型国家前列;广泛形成绿色生产生活方式，碳排放达峰后稳中有降;形成对外开放新格局，参与国际经济合作和竞争新优势明显增强。之前提出的“新魏桥”愿景，以及“智造魏桥、绿色魏桥、国际魏桥”的内涵，都比较前瞻性地响应了党中央关于未来发展的提法。他从以创新驱动产业高质量发展、依靠绿色循环低碳推进生态文明建设、依靠开放合作推动“双循环”新发展格局三方面梳理了公司一年来的工作进展。</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他最后表示，在世界经济遭受疫情肆虐的情况下，我国经济展现了强大的韧性。在党中央的坚强领导下，在“十四五”规划和2035年远景目标的科学指导下，我们对铝产业的美好未来充满信心，对企业的蓬勃发展充满信心。相信通过这次与会各方的坦诚交流和积极探讨，一定会增进彼此信任，取得更多共识，在新发展格局中找到合作共赢的机会，在实现企业价值最大化的同时、为国家和民族的伟大复兴作出更大贡献。</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崔立新在致辞中感谢长期以来对创新集团发展给予关心、支持与厚爱的各级领导以及行业同仁，介绍了今年以来公司经营发展情况，回顾了论坛举办5年来取得的成就。他说，突如其来的新冠肺炎疫情对全球经济造成了全方位的冲击，铝工业在前期也受到较大影响。面对疫情，创新集团在各级党委政府的坚强领导下，在相关部门的鼎力协助下，在魏桥创业集团的积极引领下，取得了“零感染”“零输入”和生产经营平稳向好的良好成效。</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崔立新指出，连续举办了五届的国际铝产业链发展高峰论坛，伴随着我们走过了整个“十三五”。五年来，魏桥创业集团充分发挥滨州铝协的龙头带动作用和孵化器作用，围绕着铝资源布局，高水平扶持上下游企业发展，使滨州成为了全国乃至全球铝行业最具竞争力和影响力的地区。五年来，在中国有色金属协会的大力支持下，在各级党委政府的坚强领导和魏桥创业集团的积极引领下，创新集团通过大力推进新旧动能转换和高质量发展，在产业布局、结构调整、科技创新、品牌创建等方面取得了长足进步，发展成为国内规模最大的轻质高强铝合金材料生产基地之一，高端铝合金棒材产销量稳居全国第一。</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他表示，这几年，创新集团的规模和产品种类都在发生变化，但不变的是公司对品质的坚持和为客户创造价值的理念，也正是凭借着对卓越品质的追求与坚守，创新集团经受住了市场的考验与认可，收获到了广大客户的支持与信赖。未来，创新集团将继续坚持以客户为中心，与客户朋友相守相伴、风雨同舟，加强务实合作、深化协同创新，共同开启互利共赢、共同发展的崭新篇章。</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文献军在致辞中分析了今年铝市场向好的成因，阐述了正在制定中的“十四五”期间中国铝发展战略重点。他指出，今年对于行业来讲是非常不平凡的一年，中国铝行业在充满变数的经营环境中交出一份亮眼的答卷。我们不仅顶住了疫情影响，而且生产经营业绩良好。他分析指出，之所以取得这样的好成绩，首先得益于我国疫情防控的成功和党中央一系列正确经济政策支持引导，其次是行业“天花板”形成，为铝行业供给侧结构性改革奠定了基础。同时，随着电解铝产能向新能源富集地区转移，行业布局不断调整，成为行业持续盈利的利好因素。</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文献军指出，正在制定中的“十四五”期间中国铝发展战略，重点关注上游电解铝和氧化铝行业的结构布局，在电解铝行业布局基本完成的基础上，建议政府部门对国内氧化铝行业科学规划布局。</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对下游铝加工行业发展，文献军提出两点：一是对外要积极应对贸易摩擦;二是对内坚持不懈扩大铝应用。他指出，今年1~11月，铝行业遭遇国际贸易救济调查达到11次，超过过去10年的总和，必须引起全行业的高度重视。一旦出口问题不解决好，将会加大国内竞争。文献军说，近年来，铝应用在建筑模板，铝家具等领域发展迅速，这不仅是供给侧结构性改革的关键内容，同时也是我们应对国际贸易摩擦的有效手段。</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因疫情原因未能到会的俄罗斯、日本、澳大利亚、韩国、美国等国家的国际友人以视频形式送来祝福。</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在主旨报告环节，曹玉斌以《开启旅程 赢得未来》为题作主旨演讲;贾康作题为《中国宏观经济形势展望及对制造业的影响》专题报告，史明德作《美国大选之后的中美关系和中欧关系》专题报告。</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当天下午召开的创新铝应用发展论坛上，重点围绕铝加工产业发展、再生铝、轻量化、铝的内外循环等行业热点进行深度解读。并举行了魏桥轻量化公司和上海交大共同成立“新能源车高性能铝合金联合研发中心”等7个合作项目签约仪式。</w:t>
      </w:r>
    </w:p>
    <w:p>
      <w:pPr>
        <w:widowControl/>
        <w:jc w:val="left"/>
        <w:outlineLvl w:val="1"/>
        <w:rPr>
          <w:rFonts w:hint="eastAsia" w:ascii="宋体" w:hAnsi="宋体" w:cs="宋体"/>
          <w:b/>
          <w:bCs/>
          <w:kern w:val="0"/>
          <w:sz w:val="30"/>
          <w:szCs w:val="30"/>
        </w:rPr>
      </w:pPr>
      <w:bookmarkStart w:id="16" w:name="_Toc24537"/>
      <w:r>
        <w:rPr>
          <w:rFonts w:hint="eastAsia" w:ascii="宋体" w:hAnsi="宋体" w:cs="宋体"/>
          <w:b/>
          <w:bCs/>
          <w:kern w:val="0"/>
          <w:sz w:val="30"/>
          <w:szCs w:val="30"/>
        </w:rPr>
        <w:t>“遥感＋固废”，精准判经纬 执法监管效率大幅提升</w:t>
      </w:r>
      <w:bookmarkEnd w:id="16"/>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生态环境部称，在打击固体废物环境违法行为专项行动(“清废行动2019”)中，卫星环境应用中心综合运用无人机遥感、卫星遥感、地理信息、互联网、数据库等技术手段，充分发挥了技术优势。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目前，生态环境部已经构建了固废排查整治遥感核实技术方法，建立了固体废物遥感解译标准，“卫星遥感+无人机遥感+固体废物执法系统”的业务模式，保障了“清废行动2019”专项行动的高效、有序实施。</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行动中，卫星环境应用中心完成了长江经济带主要水系沿岸共103万平方公里的固体废物疑似点位解译，监测范围占整个长江经济带总面积的50%。通过对比发现，遥感技术开展固体废物解译与核实所耗费的成本仅为人工成本的1/5。</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也就是说，采用遥感技术能够获得生态效益和经济效益的双赢。准确核实固废点位经纬度、准确判断固废整治情况、准确下结论，很大程度上提高了执法监管效率。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实际上，各地在这方面的尝试和探索都传来了好消息。</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如包头市，采用卫星遥感技术对全市冶炼渣堆场、燃煤产物堆场、脱硫石膏堆场、尾矿库、其他固废堆场、煤炭料场、精铁粉料堆、被破坏场地等8类场地进行“回头看”监测，共筛查出场地1565块。</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如中山市，搭上了高分一号、二号卫星，通过智慧环境卫星平台，通过遥感卫星影像光谱筛选出裸地，运用AI技术对数据、光谱、图像图层变化进行比对分析，然后锁定倾倒固体废物和危险废物违法行为线索和地域风险点。</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如河北，应用卫星遥感技术对农村生活垃圾处理情况开展动态监测和分析。截至2020年4月，已经核实确认3386处垃圾乱堆乱放点，并且督促做好了清理和整治工作。</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说起来，生态环境部在2018年底还发布了《卫星遥感秸秆焚烧监测技术规范》，规定了秸秆焚烧卫星遥感监测的方法、产品制作、质量控制等内容。而对秸秆焚烧的遥感监测，自2009年起夏秋两季都会进行每日遥感监测。</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综上，在固废领域应用遥感技术，还是前途可期的。</w:t>
      </w:r>
    </w:p>
    <w:p>
      <w:pPr>
        <w:widowControl/>
        <w:jc w:val="left"/>
        <w:outlineLvl w:val="1"/>
        <w:rPr>
          <w:rFonts w:hint="eastAsia" w:ascii="宋体" w:hAnsi="宋体" w:cs="宋体"/>
          <w:b/>
          <w:bCs/>
          <w:kern w:val="0"/>
          <w:sz w:val="30"/>
          <w:szCs w:val="30"/>
        </w:rPr>
      </w:pPr>
      <w:bookmarkStart w:id="17" w:name="_Toc24219"/>
      <w:r>
        <w:rPr>
          <w:rFonts w:hint="eastAsia" w:ascii="宋体" w:hAnsi="宋体" w:cs="宋体"/>
          <w:b/>
          <w:bCs/>
          <w:kern w:val="0"/>
          <w:sz w:val="30"/>
          <w:szCs w:val="30"/>
        </w:rPr>
        <w:t>2020矿业前沿与信息化智能化科技年会在长沙召开</w:t>
      </w:r>
      <w:bookmarkEnd w:id="17"/>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11月19日， 2020 矿业前沿与信息化智能化科技年会在湖南省长沙市召开。大会积极贯彻“新基建推动智能矿山建设”这一主题，以全球化视野、智能前沿技术、开放性思维，系统总结近年来我国矿山智能化建设经验，为国内智能矿山建设领域提供了重要的交流平台。</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中国有色金属工业协会副会长兼秘书长贾明星，中国工程院院士古德生、谭建荣、桂卫华、王国法、陈晓红，国家金属采矿工程技术研究中心主任周爱民，中南大学副校长郭学益，北京科技大学副校长吴爱祥，昆明理工大学副校长易健宏等领导出席会议。中国有色金属学会矿山信息化智能化专业委员会主任委员、长沙迪迈数码科技股份有限公司董事长王李管主持开幕式。</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贾明星表示，2020年虽然受新冠肺炎疫情影响，但是中国有色金属工业协会、中国有色金属学会积极协助行业企业有序复工复产。据统计，今年上半年我国有色金属工业已经走出低谷呈现出恢复性向好的趋势。预计下半年，我国有色金属工业将继续保持向好的态势，全年有色金属产量总体将略高于2019年的水平。</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他指出，一是尽管我国有色金属工业将继续保持向好的态势，但是我国有色金属行业正处于由数量和规模扩张向质量和效益提升转变的关键期，持续向好的态势非常脆弱。二是以物联网、大数据、人工智能、边缘计算等为依托的矿山信息化、智能化技术，是推动有色金属、冶金、黄金、建材、化工、核工业、煤炭等传统支柱产业全面提升科学技术水平创新驱动源。</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郭学益表示，此次大会由众多的高等院校、企业单位汇聚到长沙共同探讨新基建在矿业发展中的应用，说明矿业的吸引力巨大，前景非常美好。多年来，中南大学一直致力于推进为我国矿山行业信息化、智能化的发展，也在努力为矿山信息化、智能化培养优秀人才。矿业发展前景非常美好，希望所有爱矿人士一起努力，共同为矿业发展做出应有的贡献。</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宏大爆破工程集团有限责任公司党委书记兼总经理谢守冬表示，在信息技术、新能源技术、智能制造技术等领域，新一轮科技革命和产业变革深入推进，这为我们矿业行业创造了重大机遇同时开辟了新的赛道，“智慧矿山”、“智能制造”将会成为矿业新的增长点，市场前景广阔。</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会议期间，中国工程院院士，大专院校、企事业单位的专家学者，企业家，围绕矿业前沿与信息化智能化的热点问题作报告。</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本次会议由中南大学、中国有色金属学会矿山信息化智能化专业委员会、中国有色金属学会采矿学术委员会、湖南省有色金属学会、长沙迪迈数码科技股份有限公司和宏大爆破工程集团有限责任公司共同主办，山河智能装备股份有限公司、湖南创远高新机械有限责任公司共同承办，洛阳栾川钼业集团股份有限公司、金川集团股份有限公司、首钢集团、中国煤炭科工集团、中国有色矿业集团有限公司、洛阳有色矿业集团有限公司、湖北三宁矿业有限公司、山东华联矿业股份有限公司、山东黄金集团有限公司、金诚信矿业管理股份有限公司、长沙矿山研究院有限责任公司、长沙有色冶金设计研究院有限公司、中国恩菲工程技术有限公司、云南黄金矿业集团股份有限公司等单位协办，共800多人参加大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p>
    <w:p>
      <w:pPr>
        <w:widowControl/>
        <w:jc w:val="left"/>
        <w:outlineLvl w:val="1"/>
        <w:rPr>
          <w:rFonts w:hint="eastAsia" w:ascii="宋体" w:hAnsi="宋体" w:cs="宋体"/>
          <w:b/>
          <w:bCs/>
          <w:kern w:val="0"/>
          <w:sz w:val="30"/>
          <w:szCs w:val="30"/>
        </w:rPr>
      </w:pPr>
      <w:bookmarkStart w:id="18" w:name="_Toc12295"/>
      <w:r>
        <w:rPr>
          <w:rFonts w:hint="eastAsia" w:ascii="宋体" w:hAnsi="宋体" w:cs="宋体"/>
          <w:b/>
          <w:bCs/>
          <w:kern w:val="0"/>
          <w:sz w:val="30"/>
          <w:szCs w:val="30"/>
        </w:rPr>
        <w:t>全球订单爆涨：冰箱冷柜出口已排到明年1季度</w:t>
      </w:r>
      <w:bookmarkEnd w:id="18"/>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担心订单太多、加班加点忙不过来、计划缩短春节假期……很难想象这是过去多年低速增长的冰箱冷柜出口市场目前的真实写照。事实上，如今的冰箱冷柜出口市场用异常火爆来形容一点都不为过。据监测数据显示，从2020年6月开始，冰箱冷柜出口呈现高速增长态势，同比增幅超过20%，而到8月、9月份增速已超过60%，迎来了一波久违的井喷行情。</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年初订单崩盘，现在订单爆满</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冰箱冷柜出口冰火两重天</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作为白色家电的主要代表，冰箱、冷柜是我国家用电器出口的拳头产品。但初期在疫情影响下，企业停工停产，并且出现了订单取消的情况，所以第一季度出口情况较差，呈现了负增长。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随着新冠疫情在全球范围内爆发，多数国家在3月中下旬开始实行严格的封锁措施以遏制疫情的蔓延，民众居家隔离，囤货意愿上升，导致冰箱冷柜的需求剧增。而中国的新冠疫情主要是在一季度爆发与防控，随着4月武汉的解封，产能恢复较好的中国企业迎来新的订单，各企业也加大生产力度，因此二季度冰箱冷柜出口实现正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三季度中国国内各企业已基本恢复生产，工厂生产大部分呈现满产状态，其中大部分以出口为主，交货期也在不断延长。受疫情反复影响，海外供应链依旧面临挑战，各国工厂恢复较以前略有提升，但依然不甚理想。</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据了解，印尼、土耳其等生产相对较好，美国8月以来才恢复了近九成产能，意大利波折不断，俄罗斯等其他欧洲地区生产也一直未能完全恢复，而印度整个三季度都表现惨淡。因此，全球订单不断向中国集中，冰箱冷柜出口高速增长，这也直接导致出口企业今年开足马力仍满足不了需求，订单要排到明年一季度。不过同时因为海外生产恢复较差，部分包括海尔在内的有以SDK或者CDK方式出口散件至海外组装工厂的企业受到不小影响。</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前三季箱冷柜出口欧美市场大幅增长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疫情下全球出现的“宅经济”，为中国家电产业带来了出口红利。从出口地域角度来看，订单爆满主要得益于欧美等地需求的快速回升。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欧洲：近两年，欧洲各国从危机中走出，成为我国出口全球的第一大冰箱冷柜市场。数据显示，三季度至欧洲的出口量超700万台，占中国冰箱冷柜整体出口量近四成，同比增长58.8%。</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从单月情况来看，从6月份开始同比由负转正，且8、9月份同比增长均超过65%。细分区域来看，英国、法国和德国是欧洲最大的冰箱冷柜市场，三季度三国总计市场规模达300万台，占欧洲市场的43%。</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欧洲新一轮防疫措施给经济复苏带来更多不确定性，欧洲多国二次封锁期限将至，但不少国家政府暗示可能延长封锁时长，“宅家生活”、“居家办公”带来了持续的储物需求。对于今年圣诞节的购物计划，以德国为例，85%德国人并没有计划要削减开支，52%的德国民众较上年增加了网上购物、65%的德国民众表示将在网上进行圣诞采购。因此，欧洲冰箱冷柜市场需求有望继续提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加之欧盟委员会公告COVID-19疫情下新的能源标签实施要求，法规(EU)2019/2016规定了制冷设备能效标签要求，并将在2021年3月1日起实施，能效标准的修订预计将淘汰市场上40%的型号，未来欧洲市场变频产品比重将会不断提高，对于中国的制造商也是一个新的机遇。</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美洲：美洲方面主要是靠美国市场的支撑，美国是中国冰箱冷柜出口全球第一大国，第三季度对美国的出口量为484万台，占全球出口量的24.6%，占美洲市场规模的72.6%。美洲市场第三季度同比增幅将近90%，一方面是由于去年中美贸易战的影响，加收关税，导致2019年出口规模较低;另一方面，疫情后政府发放补助金，美洲人民用于非日常消费可用资金增加，新房价格下降和贷款利率创新低导致购房需求增加，以及居民储存食物需求增长，拉动了冰箱冷柜需求的增长，再加上海外生产受阻的综合形势下，导致我国冰箱冷柜对美出口继续高速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疫情卷土重来之际，美国多州再度收紧防疫政策，在持续居家隔离，储物需求巨大的情形下，我国对美出口仅2月份受国内防疫影响同比有所下降，随后同比都连续攀升，从6月份开始出现了迅猛增长，单月增幅超过60%，9月份更是达到了146%的增幅。</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亚洲：亚洲区域是中国冰箱冷柜出口除欧洲、美洲以外的第三大市场，占出口全球规模的21%。随着经济的修复，需求的回暖，亚洲出口恢复速度在逐步加快，第三季度增幅实现了两位数的增长，9月份出口规模为126万台，同比增长为36.7%，总体表现较为理想。</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此外，2020年11月15日，东盟十国以及韩国、日本、澳大利亚、新西兰、中国“区域全面经济伙伴关系协定(RCEP)正式签署”。根据RCEP协议，要求15个成员国均承诺降低关税、开放市场、减少标准壁垒，如果协议得以实施，将大大降低各国间的流通和运营成本，成为区域内经贸规则的“整合器”，拉动区域内消费市场扩容升级，推动区域内产业链、供应链和价值链进一步发展。因此RCEP营造了更好的区域营商环境，为中国家电品牌出口创造了重大市场机会。</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2020年前三季中国出口RECP成员国家冰箱冷柜超730万台，占出口全球份额的近16%，协议实施后会带来一定的提升空间，此外，对于未来中国企业全球生产布局，转移部分低端制造产业链都有很大意义。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订单暴涨，企业加紧备战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随着国内疫情稳定，冰箱冷柜出口大幅攀升，各企业加紧生产，相对于上半年的担心订单不足、订单积压和毁单的情况，目前企业更多的是担心订单太多，加班加点也做不过来，出口增长迅速。12月份欧美地区将迎来圣诞节消费季，预计冰箱冷柜需求只增不减，欧美澳洲等地依然是出口增长的主要地区。日韩以及东南亚部分地区需求近期略有回升，但也有部分国家生产恢复到疫情前状态、叠加经济下滑严重和贸易壁垒等原因导致我国出口下滑较多，情况不容盲目乐观。</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虽然出口回暖，但成本上涨也为企业带来了压力，各制造商在订单暴涨与成本暴增之间，备受煎熬。不光原材料涨价，人民币升值，连房租、人工以及物流成本也在上涨，出口货柜、仓位也都十分紧张。在订单爆满的背后，中国企业需与国外客户共克时艰。不论如何，企业都已经做好了充足的准备来迎接挑战。各企业通过提升产能、革新技术、拓宽渠道，并积极推进智能制造，来重新缩短订单周期、增加利润。</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就目前数据显示，我国海外订单今年前三季逐季抬高，一季度同比下降0.9%，二季度上升12.5%，三季度上升49.2%，且各企业四季度订单保持充足的状态。从企业目前的在手订单来看，以美的为例，其冰箱的交货期已经排到了180天，而冷柜的交货期也排到了90天。受年底前行业依然会保持较高增长趋势影响，预计冰箱冷柜2020财年出口累计将达到30%的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据悉，订单暴增的情况将会持续到明年春节前，更有部分企业增长势头将会一直持续到2021年上半年，并且已经有不少企业计划缩短春节假期，以满足出口需求。在这种情况下，冰箱上游企业，包括压缩机、发泡料以及其他零部件等供应链企业也都反应迅速，为冰箱冷柜出口企业提供了极大的支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上半年形式乐观，下半年情况现在还有待观望，全球需求也可能随着疫苗、汇率、经济等形势变化而变化，中国冰箱冷柜制造企业在抓紧生产的同时，也需要随时关注，及时调整相关策略。</w:t>
      </w:r>
    </w:p>
    <w:p>
      <w:pPr>
        <w:widowControl/>
        <w:jc w:val="left"/>
        <w:outlineLvl w:val="1"/>
        <w:rPr>
          <w:rFonts w:hint="eastAsia" w:ascii="宋体" w:hAnsi="宋体" w:cs="宋体"/>
          <w:b/>
          <w:bCs/>
          <w:kern w:val="0"/>
          <w:sz w:val="30"/>
          <w:szCs w:val="30"/>
        </w:rPr>
      </w:pPr>
      <w:bookmarkStart w:id="19" w:name="_Toc8158"/>
      <w:r>
        <w:rPr>
          <w:rFonts w:hint="eastAsia" w:ascii="宋体" w:hAnsi="宋体" w:cs="宋体"/>
          <w:b/>
          <w:bCs/>
          <w:kern w:val="0"/>
          <w:sz w:val="30"/>
          <w:szCs w:val="30"/>
        </w:rPr>
        <w:t>王勃华：中国光伏新增装机量保持全球领先</w:t>
      </w:r>
      <w:bookmarkEnd w:id="19"/>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在日前举行的第五届中国光伏产业论坛上，中国光伏行业协会副理事长兼秘书长王勃华透露，截至2019年，中国光伏的新增装机量、累计装机量、多晶硅产量、组件产量已分别连续7年、5年、9年和13年位居全球第一，以上纪录今年将会继续保持。</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据介绍，今年前三季度，在疫情冲击以及全球贸易大幅下滑的背景下，中国光伏行业依然保持了稳中有进的发展态势。其中，多晶硅产量约29万吨、同比增长18.9%，组件产量超过80吉瓦、同比增长6.7%;应用市场方面，全国光伏新增装机18.7吉瓦、同比增长17%，光伏发电量2005亿千瓦时、同比增长16.9%;光伏产品出口方面，前三季度光伏组件出口量已经超过去年同期。</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国网能源研究院新能源与统计所所长李琼慧介绍，中国光伏产业已经形成了技术、规模和成本均领跑全球的完整产业链，发电效率屡次刷新世界纪录，光伏系统投资成本较2005年下降90%以上。“过去10年，中国企业引领全球光伏技术和成本取得重大突破。硅片价格从10年前每片100元左右降至3元左右，组件价格从10年前的每瓦30元降至1.7元左右。”隆基股份总裁李振国说，在一些光照条件好的区域，光伏发电技术成本已经能够低于每度电0.1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根据国际可再生能源署(IRENA)的统计，2010年至2019年，全球光伏发电、光热发电、陆上风电、海上风电的平准化度电成本分别下降了82%、47%、39%和29%。未来10年，新能源发电成本仍将继续下降。</w:t>
      </w:r>
    </w:p>
    <w:p>
      <w:pPr>
        <w:widowControl/>
        <w:jc w:val="left"/>
        <w:outlineLvl w:val="1"/>
        <w:rPr>
          <w:rFonts w:hint="eastAsia" w:ascii="宋体" w:hAnsi="宋体" w:cs="宋体"/>
          <w:b/>
          <w:bCs/>
          <w:kern w:val="0"/>
          <w:sz w:val="30"/>
          <w:szCs w:val="30"/>
        </w:rPr>
      </w:pPr>
      <w:bookmarkStart w:id="20" w:name="_Toc31863"/>
      <w:r>
        <w:rPr>
          <w:rFonts w:hint="eastAsia" w:ascii="宋体" w:hAnsi="宋体" w:cs="宋体"/>
          <w:b/>
          <w:bCs/>
          <w:kern w:val="0"/>
          <w:sz w:val="30"/>
          <w:szCs w:val="30"/>
        </w:rPr>
        <w:t>“面板+半导体+智能穿戴” 华兴源创迎重要发展机遇期</w:t>
      </w:r>
      <w:bookmarkEnd w:id="20"/>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经过数十年的发展，全球显示面板产业经历了从美国到日本再到韩国的中心转移，到如今中国面板厂商的不断崛起，2018年超过韩国成为了全球最大的LCD生产大国。面板产业高速发展的过程中，面板显示检测行业因与面板显示产业高度的联动性，也使得面板检测需求高涨。</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A股科创板上市公司华兴源创(688001)主要从事平板显示及集成电路的检测设备研发、生产和销售，公司主要产品应用于 LCD 与 OLED 平板显示、集成电路、汽车电子等行业，可谓是面板检测领域的“隐形冠军”，国内领先的检测设备与整线检测系统解决方案提供商。</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检测设备需求高涨 面板产业进入“中国时代”</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全球平板显示检测行业发展与全球平板显示产业具有较强的联动性，通常会受下游平板显示产业新增产线以及产线升级投资所驱动。近年来，受各</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我国消费电子产业持续增长的影响，全球面板显示检测产业保持稳定增长。随着平板显示产业升级的持续加快，OLED 被认为是下一代显示技术，近年面板出货量中，LCD 出货量稍有下降，但AMOLED 稳步增长。随着智能手机、平板电脑市场需求的持续扩大，对高分辨率、低功耗的新型显示产品的需求不断增长，OLED 从而成为合适选择，但受工艺成熟度较差、良品率较低、设备购置成本较高等因素影响，目前新建 OLED 生产线投资成本高于新建同世代TFT-LCD生产线，预计未来随着 OLED 面板良品率的逐步提升，OLED 的出货量占比将不断提高。</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而在面板产业高速发展，检测设备需求高涨的背景下，中国面板产业逐渐强势崛起，面板制造商数量增长最快。2018年已有18家，2019年1季度，中国大陆面板厂的面板出货面积首次超过全球市场份额的一半50.1%，面板产业向中国转移趋势凸显。并且由于产能充足，在以中国主导的价格战压力下，越来越多的面板企业处于亏损状态，不得不出售或停产来减少损失。近年随着液晶面板价格下滑，日韩部分大厂已陆续宣布退出面板行业，如三星、Panasonic、三菱电机、LG等等。</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除此之外，由于检测行业进入壁垒高，能够提供检测设备的企业较少，尤其是能够提供 Array 和 Cell 等前端制程检测设备的企业更少，因此前端检测设备主要被外资所占据。而Module的检测设备数量弹性很大，离线式可以脱离进口平台，绑定性不强，因而模组段检测设备国产化程度较高。基于此，据韩国半导体显示器学会的预测，到 2023 年，在全球面板市场上，中国企业的市场占有率将达 58%;随着面板行业国产化替代趋势加强，检测设备成为国产化突破口，组装和封装设备有望放量，LCD面板市场将进入“中国时代”。</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而实际上国内有上市企业早已对此做足了准备，比如华兴源创，其凭借在激光、检测设备和组装设备领域的技术优势，已逐步实现对进口设备的国产替代，牢牢站在行业风口。</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硬核技术创新巩固龙头地位 半导体检测获重大突破</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根据资料，华兴源创是国内面板测试领域的龙头企业，面板检测业务是公司营收的重要来源，主要为手机、智能穿戴设备等中小型屏幕提供检测设备，深耕精密测试装置设计，在精度上已实现微米级的对位与压接。公司自主研发的柔性OLED Mura补偿技术填补了国产空白，并且已经帮助国内某知名平板显示器生产商顺利量产，使其成为国内第一家柔性OLED面板量产厂商。目前公司OLED检测设备的终端客户主要为苹果、华为等手机厂商，并已与三星，苹果，LG，京东方等国内外知名公司建立良好合作关系。受益于iPhone 12等多款5G新品的推出，平板显示检测设备业务在手订单充足，支撑该业务板块业绩全年高增长。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半年报显示，作为一家专注于全球化专业检测领域的高科技企业，公司坚持在技术研发、产品质量、技术服务上为客户提供具有竞争力的产品以及快速优质的完整解决方案，在各类数字及模拟信号高速检测板卡、基于平板显示检测的机器视觉图像算法，以及配套各类高精度自动化与精密连接组件的设计制造能力等方面，具备较强的竞争优势和自主创新能力，在信号和图像算法领域具有多项自主研发的核心技术成果。尤其是在半导体检测技术上持续突破，初步形成了多项专利技术。2020 年上半年度公司新取得了 39 项专利(包括3项发明专利、34项实用新型专利、2项外观设计专利)及17项软件著作权。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值得一提的是，在半导体检测领域，公司打破了美国及日本等厂商对于用于超大规模SOC芯片及存储类芯片测试的测试机的垄断，在定制化半导体检测设备上实现突破，是国内为数不多的可以自主研发SOC芯片测试设备的企业，自主研发的E06系列测试系统在核心性能指标上具有较强的市场竞争力并具备较高的性价比优势。公司也因此实现了电池芯片检测设备产品(BMS芯片检测设备)超亿元的营业收入，丰富了公司的产品线，也使公司营业收入实现较大幅度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未来，随着产业升级和生产转移，国内半导体测试设备将有辉煌前景。华西证券曾在研报中表示，测试装备半导体在半导体装备中占比为8%，仅次于晶圆制造装备。国内半导体自给率和需求都逐步递增，未来市场广阔。随着技术水平的提高和国内大力新建及扩建产能，国内半导体设备投资将稳步增加，预计2020年将达到118亿美元，相应检测设备亦将随之增长，预计2020年将达到9.79亿美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公司也表示将继续加大对于定制化半导体测试设备产品需求的特殊客户的市场拓展力度和研发投入，强化公司在产品线的绝对优势，同时通过目前新设立的子公司，加强资源整合，在标准化SOC芯片测试设备和标准化平移式芯片分选机尽快实现突破，使公司半导体设备产品线更加的丰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布局智能穿戴打造新增长点 激励落地彰显发展信心</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华兴源创不仅持续推进原有业务板块的发展，对于新领域也一直深入布局。今年，公司完成了对欧立通100%股权的收购，这一次的收购不仅让公司快速介入到智能可穿戴领域，在消费电子领域的检测设备产品将进一步完善;而且形成了公司的第三大业务板块，通过拓展产品种类，打开新的市场空间，获得新的利润增长点，完善上市公司在检测领域的战略布局。</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根据资料，本次并购对象欧立通为消费电子行业智能组装测试设备制造企业，与上市公司的平板显示检测设备、集成电路测试设备产品线不同的是，欧立通主要为客户提供各类自动化智能组装、检测设备，其产品广泛适用于以可穿戴产品(如智能手表、无线耳机等)为代表的消费电子行业，用于智能手表等消费电子终端的组装和测试环节。凭借优异的研发能力、定制化的设计开发及快速响应能力，已成为业界独具特色和优势的消费电子智能组装检测设备供应商，成功进入苹果公司厂商供应链体系，取得了主要客户的合格供应商资格认证，并与客户形成了长期稳定的合作关系。目前，欧立通客户包括广达、仁宝、立讯精密等大型电子厂，供应商资格具有稳定性。在此前的机构调研中公司表示，即便是在疫情期间，欧立通的接单能力丝毫没有受到影响。天风国际预计2021年AirPods供货商出货量将强劲增长。</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通过本次收购，华兴源创借道欧立通进一步拓展产品种类、获得新的利润增长点，同时欧立通能够借助上市公司平台，提升市场认可度，通过集约采购、交叉营销等方式降低生产成本，提高运营效率，并借助华兴源创资本平台拓宽融资渠道，进入发展快车道。通过本次收购，上市公司可以进一步增加对于上游供应商的定价权，降低营业成本，加速产品的更新换代，打开市场空间，完善上市公司在检测领域的战略布局，上市公司距离检测领域的“隐形冠军”的目标也更近一步。</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券商预计，并表后2020-2022年欧立通每年将实现归母净利约1.1亿元左右，届时公司净利润将达到2.8/3.8/4.3亿元，对应PE分别为58/43/38X，将低于同行平均PE水平，或将对公司股价提升提供助力，从而更好的回馈广大投资者，吸引更多优质资金入驻。</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值得一提的是，华兴源创在通过大力发展各大业务板块，提升公司竞争力的同时，对员工的激励也是公司关注的重点之一。近期，公司发布了2020年限制性股票激励计划，将员工自身的利益和公司未来的发展进行了深度绑定。此举有利于公司吸引更多优质人才加入，极大的调动了员工工作的积极性，同时，此举也表明了公司对未来发展的长期看好，帮助公司行久致远，并稳定了市场投资者预期。</w:t>
      </w:r>
    </w:p>
    <w:p>
      <w:pPr>
        <w:widowControl/>
        <w:jc w:val="left"/>
        <w:outlineLvl w:val="1"/>
        <w:rPr>
          <w:rFonts w:hint="eastAsia" w:ascii="宋体" w:hAnsi="宋体" w:cs="宋体"/>
          <w:b/>
          <w:bCs/>
          <w:kern w:val="0"/>
          <w:sz w:val="30"/>
          <w:szCs w:val="30"/>
        </w:rPr>
      </w:pPr>
      <w:bookmarkStart w:id="21" w:name="_Toc6400"/>
      <w:r>
        <w:rPr>
          <w:rFonts w:hint="eastAsia" w:ascii="宋体" w:hAnsi="宋体" w:cs="宋体"/>
          <w:b/>
          <w:bCs/>
          <w:kern w:val="0"/>
          <w:sz w:val="30"/>
          <w:szCs w:val="30"/>
        </w:rPr>
        <w:t>习近平主席：深入推进清洁能源转型 加快新能源产业发展</w:t>
      </w:r>
      <w:bookmarkEnd w:id="21"/>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11月22日，国家主席习近平在二十国集团领导人利雅得峰会“守护地球”主题边会上致辞 。</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各位同事，</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朋友们：</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地球是我们的共同家园。我们要秉持人类命运共同体理念，携手应对气候环境领域挑战，守护好这颗蓝色星球。在此，我愿分享几点看法。</w:t>
      </w:r>
    </w:p>
    <w:p>
      <w:pPr>
        <w:pStyle w:val="18"/>
        <w:keepNext w:val="0"/>
        <w:keepLines w:val="0"/>
        <w:widowControl/>
        <w:suppressLineNumbers w:val="0"/>
        <w:wordWrap w:val="0"/>
        <w:spacing w:line="288" w:lineRule="auto"/>
        <w:ind w:firstLine="562"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b/>
          <w:bCs/>
          <w:kern w:val="2"/>
          <w:sz w:val="28"/>
          <w:szCs w:val="28"/>
          <w:lang w:val="en-US" w:eastAsia="zh-CN" w:bidi="ar-SA"/>
        </w:rPr>
        <w:t>第一，加大应对气候变化力度。</w:t>
      </w:r>
      <w:r>
        <w:rPr>
          <w:rFonts w:hint="default" w:asciiTheme="minorEastAsia" w:hAnsiTheme="minorEastAsia" w:eastAsiaTheme="minorEastAsia" w:cstheme="minorEastAsia"/>
          <w:kern w:val="2"/>
          <w:sz w:val="28"/>
          <w:szCs w:val="28"/>
          <w:lang w:val="en-US" w:eastAsia="zh-CN" w:bidi="ar-SA"/>
        </w:rPr>
        <w:t>二十国集团要继续发挥引领作用，在《联合国气候变化框架公约》指导下，推动应对气候变化《巴黎协定》全面有效实施。不久前，我宣布中国将提高国家自主贡献力度，力争二氧化碳排放2030年前达到峰值，2060年前实现碳中和。中国言出必行，将坚定不移加以落实。</w:t>
      </w:r>
    </w:p>
    <w:p>
      <w:pPr>
        <w:pStyle w:val="18"/>
        <w:keepNext w:val="0"/>
        <w:keepLines w:val="0"/>
        <w:widowControl/>
        <w:suppressLineNumbers w:val="0"/>
        <w:wordWrap w:val="0"/>
        <w:spacing w:line="288" w:lineRule="auto"/>
        <w:ind w:firstLine="562"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b/>
          <w:bCs/>
          <w:kern w:val="2"/>
          <w:sz w:val="28"/>
          <w:szCs w:val="28"/>
          <w:lang w:val="en-US" w:eastAsia="zh-CN" w:bidi="ar-SA"/>
        </w:rPr>
        <w:t>第二，深入推进清洁能源转型。</w:t>
      </w:r>
      <w:r>
        <w:rPr>
          <w:rFonts w:hint="default" w:asciiTheme="minorEastAsia" w:hAnsiTheme="minorEastAsia" w:eastAsiaTheme="minorEastAsia" w:cstheme="minorEastAsia"/>
          <w:kern w:val="2"/>
          <w:sz w:val="28"/>
          <w:szCs w:val="28"/>
          <w:lang w:val="en-US" w:eastAsia="zh-CN" w:bidi="ar-SA"/>
        </w:rPr>
        <w:t>中方赞赏沙特提出碳循环经济理念，支持后疫情时代能源低碳转型，实现人人享有可持续能源目标。中国建成了全球最大的清洁能源系统，新能源汽车产销量连续5年居世界首位。根据“十四五”规划和2035年远景目标建议，中国将推动能源清洁低碳安全高效利用，加快新能源、绿色环保等产业发展，促进经济社会发展全面绿色转型。</w:t>
      </w:r>
    </w:p>
    <w:p>
      <w:pPr>
        <w:pStyle w:val="18"/>
        <w:keepNext w:val="0"/>
        <w:keepLines w:val="0"/>
        <w:widowControl/>
        <w:suppressLineNumbers w:val="0"/>
        <w:wordWrap w:val="0"/>
        <w:spacing w:line="288" w:lineRule="auto"/>
        <w:ind w:firstLine="562"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b/>
          <w:bCs/>
          <w:kern w:val="2"/>
          <w:sz w:val="28"/>
          <w:szCs w:val="28"/>
          <w:lang w:val="en-US" w:eastAsia="zh-CN" w:bidi="ar-SA"/>
        </w:rPr>
        <w:t>第三，构筑尊重自然的生态系统。</w:t>
      </w:r>
      <w:r>
        <w:rPr>
          <w:rFonts w:hint="default" w:asciiTheme="minorEastAsia" w:hAnsiTheme="minorEastAsia" w:eastAsiaTheme="minorEastAsia" w:cstheme="minorEastAsia"/>
          <w:kern w:val="2"/>
          <w:sz w:val="28"/>
          <w:szCs w:val="28"/>
          <w:lang w:val="en-US" w:eastAsia="zh-CN" w:bidi="ar-SA"/>
        </w:rPr>
        <w:t>中方支持二十国集团在减少土地退化、保护珊瑚礁、应对海洋塑料垃圾等领域深化合作，打造更牢固的全球生态安全屏障。《生物多样性公约》第十五次缔约方大会将于明年5月在中国昆明举行，中方诚挚欢迎各方出席，期待大会为未来一个时期全球生物多样性保护设定目标，采取行动。让我们携起手来，共同建设清洁美丽的世界!</w:t>
      </w:r>
    </w:p>
    <w:p>
      <w:pPr>
        <w:pStyle w:val="18"/>
        <w:keepNext w:val="0"/>
        <w:keepLines w:val="0"/>
        <w:widowControl/>
        <w:suppressLineNumbers w:val="0"/>
        <w:wordWrap w:val="0"/>
        <w:spacing w:line="288" w:lineRule="auto"/>
        <w:ind w:firstLine="560" w:firstLineChars="200"/>
        <w:rPr>
          <w:rFonts w:hint="default"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谢谢大家。</w:t>
      </w:r>
    </w:p>
    <w:p>
      <w:pPr>
        <w:pStyle w:val="18"/>
        <w:keepNext w:val="0"/>
        <w:keepLines w:val="0"/>
        <w:widowControl/>
        <w:suppressLineNumbers w:val="0"/>
        <w:wordWrap w:val="0"/>
        <w:spacing w:line="288" w:lineRule="auto"/>
        <w:ind w:firstLine="560" w:firstLineChars="200"/>
        <w:rPr>
          <w:rFonts w:hint="eastAsia" w:asciiTheme="minorEastAsia" w:hAnsiTheme="minorEastAsia" w:eastAsiaTheme="minorEastAsia" w:cstheme="minorEastAsia"/>
          <w:kern w:val="2"/>
          <w:sz w:val="28"/>
          <w:szCs w:val="28"/>
          <w:lang w:val="en-US" w:eastAsia="zh-CN" w:bidi="ar-SA"/>
        </w:rPr>
      </w:pPr>
    </w:p>
    <w:sectPr>
      <w:headerReference r:id="rId3" w:type="default"/>
      <w:footerReference r:id="rId4" w:type="default"/>
      <w:pgSz w:w="11906" w:h="16838"/>
      <w:pgMar w:top="1418" w:right="1701" w:bottom="1418" w:left="1081"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cs="Times New Roman"/>
      </w:rPr>
    </w:pPr>
    <w:r>
      <w:rPr>
        <w:b/>
        <w:bCs/>
      </w:rPr>
      <w:fldChar w:fldCharType="begin"/>
    </w:r>
    <w:r>
      <w:rPr>
        <w:b/>
        <w:bCs/>
      </w:rPr>
      <w:instrText xml:space="preserve">PAGE</w:instrText>
    </w:r>
    <w:r>
      <w:rPr>
        <w:b/>
        <w:bCs/>
      </w:rPr>
      <w:fldChar w:fldCharType="separate"/>
    </w:r>
    <w:r>
      <w:rPr>
        <w:b/>
        <w:bCs/>
      </w:rPr>
      <w:t>3</w:t>
    </w:r>
    <w:r>
      <w:rPr>
        <w:b/>
        <w:bCs/>
      </w:rPr>
      <w:fldChar w:fldCharType="end"/>
    </w:r>
    <w:r>
      <w:rPr>
        <w:lang w:val="zh-CN"/>
      </w:rPr>
      <w:t xml:space="preserve"> / </w:t>
    </w:r>
    <w:r>
      <w:rPr>
        <w:b/>
        <w:bCs/>
      </w:rPr>
      <w:fldChar w:fldCharType="begin"/>
    </w:r>
    <w:r>
      <w:rPr>
        <w:b/>
        <w:bCs/>
      </w:rPr>
      <w:instrText xml:space="preserve">NUMPAGES</w:instrText>
    </w:r>
    <w:r>
      <w:rPr>
        <w:b/>
        <w:bCs/>
      </w:rPr>
      <w:fldChar w:fldCharType="separate"/>
    </w:r>
    <w:r>
      <w:rPr>
        <w:b/>
        <w:bCs/>
      </w:rPr>
      <w:t>30</w:t>
    </w:r>
    <w:r>
      <w:rPr>
        <w:b/>
        <w:bCs/>
      </w:rPr>
      <w:fldChar w:fldCharType="end"/>
    </w:r>
  </w:p>
  <w:p>
    <w:pPr>
      <w:pStyle w:val="13"/>
      <w:rPr>
        <w:rFonts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jc w:val="both"/>
      <w:rPr>
        <w:rFonts w:cs="Times New Roman"/>
      </w:rPr>
    </w:pPr>
    <w:r>
      <w:drawing>
        <wp:anchor distT="0" distB="0" distL="114300" distR="114300" simplePos="0" relativeHeight="251660288" behindDoc="1" locked="0" layoutInCell="1" allowOverlap="1">
          <wp:simplePos x="0" y="0"/>
          <wp:positionH relativeFrom="column">
            <wp:posOffset>-1073785</wp:posOffset>
          </wp:positionH>
          <wp:positionV relativeFrom="paragraph">
            <wp:posOffset>-549910</wp:posOffset>
          </wp:positionV>
          <wp:extent cx="7551420" cy="10696575"/>
          <wp:effectExtent l="0" t="0" r="11430" b="9525"/>
          <wp:wrapNone/>
          <wp:docPr id="4" name="图片 7" descr="内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内页.jpg"/>
                  <pic:cNvPicPr>
                    <a:picLocks noChangeAspect="1"/>
                  </pic:cNvPicPr>
                </pic:nvPicPr>
                <pic:blipFill>
                  <a:blip r:embed="rId1"/>
                  <a:stretch>
                    <a:fillRect/>
                  </a:stretch>
                </pic:blipFill>
                <pic:spPr>
                  <a:xfrm>
                    <a:off x="0" y="0"/>
                    <a:ext cx="7551420" cy="10696575"/>
                  </a:xfrm>
                  <a:prstGeom prst="rect">
                    <a:avLst/>
                  </a:prstGeom>
                  <a:noFill/>
                  <a:ln>
                    <a:noFill/>
                  </a:ln>
                </pic:spPr>
              </pic:pic>
            </a:graphicData>
          </a:graphic>
        </wp:anchor>
      </w:drawing>
    </w:r>
  </w:p>
  <w:p>
    <w:pPr>
      <w:pStyle w:val="14"/>
      <w:pBdr>
        <w:bottom w:val="none" w:color="auto" w:sz="0" w:space="0"/>
      </w:pBdr>
      <w:rPr>
        <w:rFonts w:cs="Times New Roman"/>
      </w:rPr>
    </w:pPr>
  </w:p>
  <w:p>
    <w:pPr>
      <w:pStyle w:val="14"/>
      <w:pBdr>
        <w:bottom w:val="none" w:color="auto" w:sz="0" w:space="0"/>
      </w:pBdr>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C91833"/>
    <w:multiLevelType w:val="singleLevel"/>
    <w:tmpl w:val="E2C91833"/>
    <w:lvl w:ilvl="0" w:tentative="0">
      <w:start w:val="3"/>
      <w:numFmt w:val="chineseCounting"/>
      <w:suff w:val="nothing"/>
      <w:lvlText w:val="%1、"/>
      <w:lvlJc w:val="left"/>
      <w:rPr>
        <w:rFonts w:hint="eastAsia"/>
      </w:rPr>
    </w:lvl>
  </w:abstractNum>
  <w:abstractNum w:abstractNumId="1">
    <w:nsid w:val="F4158E7E"/>
    <w:multiLevelType w:val="singleLevel"/>
    <w:tmpl w:val="F4158E7E"/>
    <w:lvl w:ilvl="0" w:tentative="0">
      <w:start w:val="3"/>
      <w:numFmt w:val="decimal"/>
      <w:suff w:val="nothing"/>
      <w:lvlText w:val="%1、"/>
      <w:lvlJc w:val="left"/>
    </w:lvl>
  </w:abstractNum>
  <w:abstractNum w:abstractNumId="2">
    <w:nsid w:val="53E44DFE"/>
    <w:multiLevelType w:val="singleLevel"/>
    <w:tmpl w:val="53E44DFE"/>
    <w:lvl w:ilvl="0" w:tentative="0">
      <w:start w:val="1"/>
      <w:numFmt w:val="decimal"/>
      <w:suff w:val="nothing"/>
      <w:lvlText w:val="%1、"/>
      <w:lvlJc w:val="left"/>
    </w:lvl>
  </w:abstractNum>
  <w:abstractNum w:abstractNumId="3">
    <w:nsid w:val="5A925894"/>
    <w:multiLevelType w:val="singleLevel"/>
    <w:tmpl w:val="5A925894"/>
    <w:lvl w:ilvl="0" w:tentative="0">
      <w:start w:val="2"/>
      <w:numFmt w:val="decimal"/>
      <w:suff w:val="nothing"/>
      <w:lvlText w:val="%1、"/>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3C8"/>
    <w:rsid w:val="0000164D"/>
    <w:rsid w:val="000023DE"/>
    <w:rsid w:val="00002929"/>
    <w:rsid w:val="00002C03"/>
    <w:rsid w:val="00005671"/>
    <w:rsid w:val="00006A3F"/>
    <w:rsid w:val="0000704F"/>
    <w:rsid w:val="000072C7"/>
    <w:rsid w:val="0000785A"/>
    <w:rsid w:val="0001002D"/>
    <w:rsid w:val="00010390"/>
    <w:rsid w:val="00010683"/>
    <w:rsid w:val="00011A1B"/>
    <w:rsid w:val="00012D4A"/>
    <w:rsid w:val="00012EC2"/>
    <w:rsid w:val="000145BC"/>
    <w:rsid w:val="00014742"/>
    <w:rsid w:val="00014B6A"/>
    <w:rsid w:val="00014D50"/>
    <w:rsid w:val="000150E9"/>
    <w:rsid w:val="00017663"/>
    <w:rsid w:val="000235A8"/>
    <w:rsid w:val="00030460"/>
    <w:rsid w:val="000310B6"/>
    <w:rsid w:val="00031306"/>
    <w:rsid w:val="0003248E"/>
    <w:rsid w:val="00032629"/>
    <w:rsid w:val="0003276C"/>
    <w:rsid w:val="0003297B"/>
    <w:rsid w:val="00033FBD"/>
    <w:rsid w:val="0003445A"/>
    <w:rsid w:val="00034F78"/>
    <w:rsid w:val="00036352"/>
    <w:rsid w:val="00037B9C"/>
    <w:rsid w:val="000410A2"/>
    <w:rsid w:val="00041B6C"/>
    <w:rsid w:val="00041DB8"/>
    <w:rsid w:val="000420B4"/>
    <w:rsid w:val="00042B27"/>
    <w:rsid w:val="00042FFB"/>
    <w:rsid w:val="00043595"/>
    <w:rsid w:val="00043D9B"/>
    <w:rsid w:val="0004411B"/>
    <w:rsid w:val="00044BF8"/>
    <w:rsid w:val="00045414"/>
    <w:rsid w:val="00046255"/>
    <w:rsid w:val="00047438"/>
    <w:rsid w:val="00047807"/>
    <w:rsid w:val="00050BD4"/>
    <w:rsid w:val="000532C5"/>
    <w:rsid w:val="00054E7E"/>
    <w:rsid w:val="00054EED"/>
    <w:rsid w:val="0005569C"/>
    <w:rsid w:val="000556F3"/>
    <w:rsid w:val="00057482"/>
    <w:rsid w:val="0005749A"/>
    <w:rsid w:val="00060FCE"/>
    <w:rsid w:val="000613DF"/>
    <w:rsid w:val="00062564"/>
    <w:rsid w:val="00063006"/>
    <w:rsid w:val="000639E0"/>
    <w:rsid w:val="00066AF7"/>
    <w:rsid w:val="00067072"/>
    <w:rsid w:val="00070B0E"/>
    <w:rsid w:val="0007291A"/>
    <w:rsid w:val="0007291D"/>
    <w:rsid w:val="0007623B"/>
    <w:rsid w:val="00080DC4"/>
    <w:rsid w:val="00081704"/>
    <w:rsid w:val="00082494"/>
    <w:rsid w:val="00082C31"/>
    <w:rsid w:val="0008358B"/>
    <w:rsid w:val="0008392C"/>
    <w:rsid w:val="00083F35"/>
    <w:rsid w:val="00084511"/>
    <w:rsid w:val="000855D6"/>
    <w:rsid w:val="00085917"/>
    <w:rsid w:val="00087161"/>
    <w:rsid w:val="00090CF0"/>
    <w:rsid w:val="00090D4A"/>
    <w:rsid w:val="000918D1"/>
    <w:rsid w:val="00092293"/>
    <w:rsid w:val="00094A4C"/>
    <w:rsid w:val="00096020"/>
    <w:rsid w:val="00096A95"/>
    <w:rsid w:val="00097F69"/>
    <w:rsid w:val="000A231F"/>
    <w:rsid w:val="000A2C7F"/>
    <w:rsid w:val="000A332A"/>
    <w:rsid w:val="000A3424"/>
    <w:rsid w:val="000A456A"/>
    <w:rsid w:val="000A4E2A"/>
    <w:rsid w:val="000B1AA8"/>
    <w:rsid w:val="000B38B5"/>
    <w:rsid w:val="000B4231"/>
    <w:rsid w:val="000B5856"/>
    <w:rsid w:val="000B6672"/>
    <w:rsid w:val="000B7055"/>
    <w:rsid w:val="000B72A8"/>
    <w:rsid w:val="000B7699"/>
    <w:rsid w:val="000B7F4B"/>
    <w:rsid w:val="000C10EA"/>
    <w:rsid w:val="000C1646"/>
    <w:rsid w:val="000C268D"/>
    <w:rsid w:val="000C3548"/>
    <w:rsid w:val="000C3B3F"/>
    <w:rsid w:val="000C3E03"/>
    <w:rsid w:val="000C419D"/>
    <w:rsid w:val="000C7CAB"/>
    <w:rsid w:val="000D0159"/>
    <w:rsid w:val="000D08F1"/>
    <w:rsid w:val="000D13E7"/>
    <w:rsid w:val="000D1522"/>
    <w:rsid w:val="000D1EAE"/>
    <w:rsid w:val="000D250F"/>
    <w:rsid w:val="000D476D"/>
    <w:rsid w:val="000D4F65"/>
    <w:rsid w:val="000D5396"/>
    <w:rsid w:val="000D68C1"/>
    <w:rsid w:val="000D6D53"/>
    <w:rsid w:val="000D7735"/>
    <w:rsid w:val="000E04F3"/>
    <w:rsid w:val="000E19A5"/>
    <w:rsid w:val="000E1A86"/>
    <w:rsid w:val="000E3115"/>
    <w:rsid w:val="000E5B3F"/>
    <w:rsid w:val="000E63DD"/>
    <w:rsid w:val="000E684D"/>
    <w:rsid w:val="000E6FDC"/>
    <w:rsid w:val="000F004C"/>
    <w:rsid w:val="000F1AAE"/>
    <w:rsid w:val="000F1D47"/>
    <w:rsid w:val="000F2134"/>
    <w:rsid w:val="000F2383"/>
    <w:rsid w:val="000F350C"/>
    <w:rsid w:val="000F39E9"/>
    <w:rsid w:val="000F4766"/>
    <w:rsid w:val="000F5073"/>
    <w:rsid w:val="000F6D3C"/>
    <w:rsid w:val="000F77DF"/>
    <w:rsid w:val="001002DC"/>
    <w:rsid w:val="00100CDC"/>
    <w:rsid w:val="00101AAD"/>
    <w:rsid w:val="0010286F"/>
    <w:rsid w:val="00102BD0"/>
    <w:rsid w:val="00103274"/>
    <w:rsid w:val="001033F1"/>
    <w:rsid w:val="00103654"/>
    <w:rsid w:val="00103BC8"/>
    <w:rsid w:val="00104F1E"/>
    <w:rsid w:val="001059FB"/>
    <w:rsid w:val="001065B6"/>
    <w:rsid w:val="0010737C"/>
    <w:rsid w:val="00107905"/>
    <w:rsid w:val="00110161"/>
    <w:rsid w:val="00110AB6"/>
    <w:rsid w:val="001126D4"/>
    <w:rsid w:val="00113534"/>
    <w:rsid w:val="0011357F"/>
    <w:rsid w:val="00114658"/>
    <w:rsid w:val="00115129"/>
    <w:rsid w:val="00115C98"/>
    <w:rsid w:val="001175FC"/>
    <w:rsid w:val="0012059B"/>
    <w:rsid w:val="00121020"/>
    <w:rsid w:val="00122098"/>
    <w:rsid w:val="00122983"/>
    <w:rsid w:val="00122E33"/>
    <w:rsid w:val="00124BF3"/>
    <w:rsid w:val="00125046"/>
    <w:rsid w:val="00125E71"/>
    <w:rsid w:val="00126A57"/>
    <w:rsid w:val="00126B61"/>
    <w:rsid w:val="00126EE1"/>
    <w:rsid w:val="00127433"/>
    <w:rsid w:val="00130300"/>
    <w:rsid w:val="00130EEF"/>
    <w:rsid w:val="00131120"/>
    <w:rsid w:val="00135E23"/>
    <w:rsid w:val="001379DC"/>
    <w:rsid w:val="001405D5"/>
    <w:rsid w:val="00140CB9"/>
    <w:rsid w:val="00141AAC"/>
    <w:rsid w:val="00142A3D"/>
    <w:rsid w:val="00143B25"/>
    <w:rsid w:val="00144657"/>
    <w:rsid w:val="00145BEC"/>
    <w:rsid w:val="00146750"/>
    <w:rsid w:val="0014733D"/>
    <w:rsid w:val="0014751E"/>
    <w:rsid w:val="00150242"/>
    <w:rsid w:val="00150FB0"/>
    <w:rsid w:val="0015125D"/>
    <w:rsid w:val="001554BA"/>
    <w:rsid w:val="001556C0"/>
    <w:rsid w:val="00161AB7"/>
    <w:rsid w:val="00164A96"/>
    <w:rsid w:val="00165D9C"/>
    <w:rsid w:val="00165FC3"/>
    <w:rsid w:val="00166319"/>
    <w:rsid w:val="00166B9E"/>
    <w:rsid w:val="00167A49"/>
    <w:rsid w:val="001716CE"/>
    <w:rsid w:val="00171E56"/>
    <w:rsid w:val="001721CD"/>
    <w:rsid w:val="00172511"/>
    <w:rsid w:val="00174241"/>
    <w:rsid w:val="00174588"/>
    <w:rsid w:val="0017642D"/>
    <w:rsid w:val="001802AB"/>
    <w:rsid w:val="0018060F"/>
    <w:rsid w:val="00180CCE"/>
    <w:rsid w:val="00182277"/>
    <w:rsid w:val="00182F87"/>
    <w:rsid w:val="001844DE"/>
    <w:rsid w:val="001846B4"/>
    <w:rsid w:val="001852F4"/>
    <w:rsid w:val="00185C94"/>
    <w:rsid w:val="00185F90"/>
    <w:rsid w:val="00186B3A"/>
    <w:rsid w:val="001903B4"/>
    <w:rsid w:val="00190682"/>
    <w:rsid w:val="0019346C"/>
    <w:rsid w:val="00193980"/>
    <w:rsid w:val="00196875"/>
    <w:rsid w:val="00197134"/>
    <w:rsid w:val="001A6042"/>
    <w:rsid w:val="001B028D"/>
    <w:rsid w:val="001B138B"/>
    <w:rsid w:val="001B14BE"/>
    <w:rsid w:val="001B1C5D"/>
    <w:rsid w:val="001B1D12"/>
    <w:rsid w:val="001B5168"/>
    <w:rsid w:val="001B59EE"/>
    <w:rsid w:val="001B6F3F"/>
    <w:rsid w:val="001B7D09"/>
    <w:rsid w:val="001C15D8"/>
    <w:rsid w:val="001C20CD"/>
    <w:rsid w:val="001C2862"/>
    <w:rsid w:val="001C5D2A"/>
    <w:rsid w:val="001C5DD3"/>
    <w:rsid w:val="001C747D"/>
    <w:rsid w:val="001C78D9"/>
    <w:rsid w:val="001D0F23"/>
    <w:rsid w:val="001D1728"/>
    <w:rsid w:val="001D3943"/>
    <w:rsid w:val="001D4D1D"/>
    <w:rsid w:val="001D60C6"/>
    <w:rsid w:val="001E06DC"/>
    <w:rsid w:val="001E1BFC"/>
    <w:rsid w:val="001E1C2E"/>
    <w:rsid w:val="001E2609"/>
    <w:rsid w:val="001E2D0E"/>
    <w:rsid w:val="001E3A10"/>
    <w:rsid w:val="001E512C"/>
    <w:rsid w:val="001E6668"/>
    <w:rsid w:val="001F12AB"/>
    <w:rsid w:val="001F58D4"/>
    <w:rsid w:val="001F61F9"/>
    <w:rsid w:val="001F6F0D"/>
    <w:rsid w:val="001F71C1"/>
    <w:rsid w:val="002006C0"/>
    <w:rsid w:val="00201E3A"/>
    <w:rsid w:val="00201F8A"/>
    <w:rsid w:val="0020242D"/>
    <w:rsid w:val="002038BB"/>
    <w:rsid w:val="00204E9F"/>
    <w:rsid w:val="00206C07"/>
    <w:rsid w:val="002151B0"/>
    <w:rsid w:val="00215BBF"/>
    <w:rsid w:val="00216F82"/>
    <w:rsid w:val="002177E6"/>
    <w:rsid w:val="0022151C"/>
    <w:rsid w:val="00221C2A"/>
    <w:rsid w:val="0022357C"/>
    <w:rsid w:val="00223800"/>
    <w:rsid w:val="00223BE2"/>
    <w:rsid w:val="00225A7B"/>
    <w:rsid w:val="00225EE0"/>
    <w:rsid w:val="00227A47"/>
    <w:rsid w:val="00227E52"/>
    <w:rsid w:val="00234285"/>
    <w:rsid w:val="00234AA3"/>
    <w:rsid w:val="00234E8B"/>
    <w:rsid w:val="00235A5E"/>
    <w:rsid w:val="00235EF1"/>
    <w:rsid w:val="00237572"/>
    <w:rsid w:val="002404AF"/>
    <w:rsid w:val="002421B0"/>
    <w:rsid w:val="002436EB"/>
    <w:rsid w:val="002441BB"/>
    <w:rsid w:val="0024492A"/>
    <w:rsid w:val="00246E47"/>
    <w:rsid w:val="0024750A"/>
    <w:rsid w:val="00250E9E"/>
    <w:rsid w:val="0025303B"/>
    <w:rsid w:val="00253DAC"/>
    <w:rsid w:val="00254DA9"/>
    <w:rsid w:val="002553C5"/>
    <w:rsid w:val="0025713E"/>
    <w:rsid w:val="00257554"/>
    <w:rsid w:val="0025799A"/>
    <w:rsid w:val="00257EB1"/>
    <w:rsid w:val="002601A7"/>
    <w:rsid w:val="002607F2"/>
    <w:rsid w:val="00261082"/>
    <w:rsid w:val="002618E1"/>
    <w:rsid w:val="002621B3"/>
    <w:rsid w:val="00262686"/>
    <w:rsid w:val="00262B33"/>
    <w:rsid w:val="00263BD6"/>
    <w:rsid w:val="00263C9F"/>
    <w:rsid w:val="002643DC"/>
    <w:rsid w:val="00264953"/>
    <w:rsid w:val="002670ED"/>
    <w:rsid w:val="00270F0C"/>
    <w:rsid w:val="00271C00"/>
    <w:rsid w:val="00271D34"/>
    <w:rsid w:val="00272695"/>
    <w:rsid w:val="00273751"/>
    <w:rsid w:val="00273AEE"/>
    <w:rsid w:val="002760C2"/>
    <w:rsid w:val="00277CC1"/>
    <w:rsid w:val="00277D2C"/>
    <w:rsid w:val="00277FA3"/>
    <w:rsid w:val="002814B6"/>
    <w:rsid w:val="002814F0"/>
    <w:rsid w:val="0028353D"/>
    <w:rsid w:val="002835B8"/>
    <w:rsid w:val="0028375E"/>
    <w:rsid w:val="00284079"/>
    <w:rsid w:val="002841C6"/>
    <w:rsid w:val="002843C1"/>
    <w:rsid w:val="00286308"/>
    <w:rsid w:val="0028637B"/>
    <w:rsid w:val="00286EFF"/>
    <w:rsid w:val="00287E96"/>
    <w:rsid w:val="0029150F"/>
    <w:rsid w:val="002916F1"/>
    <w:rsid w:val="00292E3F"/>
    <w:rsid w:val="00293587"/>
    <w:rsid w:val="00294288"/>
    <w:rsid w:val="002944A3"/>
    <w:rsid w:val="0029651F"/>
    <w:rsid w:val="0029679E"/>
    <w:rsid w:val="00296F3C"/>
    <w:rsid w:val="002972A2"/>
    <w:rsid w:val="002A062D"/>
    <w:rsid w:val="002A1A42"/>
    <w:rsid w:val="002A1F0A"/>
    <w:rsid w:val="002A23D9"/>
    <w:rsid w:val="002A24D4"/>
    <w:rsid w:val="002A316B"/>
    <w:rsid w:val="002A4CF5"/>
    <w:rsid w:val="002A4E33"/>
    <w:rsid w:val="002A5501"/>
    <w:rsid w:val="002A5C82"/>
    <w:rsid w:val="002A63E1"/>
    <w:rsid w:val="002A6995"/>
    <w:rsid w:val="002A6B16"/>
    <w:rsid w:val="002B08AD"/>
    <w:rsid w:val="002B0EB6"/>
    <w:rsid w:val="002B2681"/>
    <w:rsid w:val="002B2E78"/>
    <w:rsid w:val="002B4B92"/>
    <w:rsid w:val="002B4C15"/>
    <w:rsid w:val="002C04B7"/>
    <w:rsid w:val="002C1014"/>
    <w:rsid w:val="002C4AA0"/>
    <w:rsid w:val="002C4BD7"/>
    <w:rsid w:val="002C6CA2"/>
    <w:rsid w:val="002C7801"/>
    <w:rsid w:val="002C7D85"/>
    <w:rsid w:val="002D0532"/>
    <w:rsid w:val="002D1CDF"/>
    <w:rsid w:val="002D2F5B"/>
    <w:rsid w:val="002D3F5D"/>
    <w:rsid w:val="002D4903"/>
    <w:rsid w:val="002D4D7F"/>
    <w:rsid w:val="002D67FA"/>
    <w:rsid w:val="002D6C2D"/>
    <w:rsid w:val="002E00B3"/>
    <w:rsid w:val="002E2E08"/>
    <w:rsid w:val="002E3374"/>
    <w:rsid w:val="002E37F4"/>
    <w:rsid w:val="002E42E9"/>
    <w:rsid w:val="002E448A"/>
    <w:rsid w:val="002E50E5"/>
    <w:rsid w:val="002E6E8E"/>
    <w:rsid w:val="002E719A"/>
    <w:rsid w:val="002E7C02"/>
    <w:rsid w:val="002F0164"/>
    <w:rsid w:val="002F0B56"/>
    <w:rsid w:val="00301012"/>
    <w:rsid w:val="0030162D"/>
    <w:rsid w:val="00302630"/>
    <w:rsid w:val="003031DE"/>
    <w:rsid w:val="00303A60"/>
    <w:rsid w:val="00303DCB"/>
    <w:rsid w:val="0030617E"/>
    <w:rsid w:val="00306439"/>
    <w:rsid w:val="00306604"/>
    <w:rsid w:val="00307A43"/>
    <w:rsid w:val="0031156C"/>
    <w:rsid w:val="003121D0"/>
    <w:rsid w:val="00312710"/>
    <w:rsid w:val="003130A5"/>
    <w:rsid w:val="003152F5"/>
    <w:rsid w:val="00315946"/>
    <w:rsid w:val="003174DA"/>
    <w:rsid w:val="00321001"/>
    <w:rsid w:val="003213DC"/>
    <w:rsid w:val="003216AF"/>
    <w:rsid w:val="00322D80"/>
    <w:rsid w:val="0032365E"/>
    <w:rsid w:val="00324420"/>
    <w:rsid w:val="00325DD9"/>
    <w:rsid w:val="003273CA"/>
    <w:rsid w:val="00327763"/>
    <w:rsid w:val="00327786"/>
    <w:rsid w:val="003277BA"/>
    <w:rsid w:val="00330018"/>
    <w:rsid w:val="00332F02"/>
    <w:rsid w:val="00333794"/>
    <w:rsid w:val="00333909"/>
    <w:rsid w:val="0033583F"/>
    <w:rsid w:val="0034016C"/>
    <w:rsid w:val="003415DF"/>
    <w:rsid w:val="003417CB"/>
    <w:rsid w:val="00341D37"/>
    <w:rsid w:val="0034247C"/>
    <w:rsid w:val="0034319B"/>
    <w:rsid w:val="00343A50"/>
    <w:rsid w:val="003440C6"/>
    <w:rsid w:val="0034629C"/>
    <w:rsid w:val="00346721"/>
    <w:rsid w:val="003468A0"/>
    <w:rsid w:val="003477E7"/>
    <w:rsid w:val="00347AB7"/>
    <w:rsid w:val="00350264"/>
    <w:rsid w:val="003521D9"/>
    <w:rsid w:val="003522CF"/>
    <w:rsid w:val="003530CB"/>
    <w:rsid w:val="00353387"/>
    <w:rsid w:val="00353F81"/>
    <w:rsid w:val="0035481B"/>
    <w:rsid w:val="00355942"/>
    <w:rsid w:val="00355FE1"/>
    <w:rsid w:val="003568E2"/>
    <w:rsid w:val="00357904"/>
    <w:rsid w:val="003606FB"/>
    <w:rsid w:val="00361079"/>
    <w:rsid w:val="00361156"/>
    <w:rsid w:val="00361BB4"/>
    <w:rsid w:val="003646C3"/>
    <w:rsid w:val="00364C76"/>
    <w:rsid w:val="00364CFF"/>
    <w:rsid w:val="00365869"/>
    <w:rsid w:val="00365CE1"/>
    <w:rsid w:val="003701EA"/>
    <w:rsid w:val="003702ED"/>
    <w:rsid w:val="003717BF"/>
    <w:rsid w:val="0037320C"/>
    <w:rsid w:val="003777F9"/>
    <w:rsid w:val="00380612"/>
    <w:rsid w:val="00382B9E"/>
    <w:rsid w:val="00384CB1"/>
    <w:rsid w:val="00385A2E"/>
    <w:rsid w:val="003862C6"/>
    <w:rsid w:val="003862E3"/>
    <w:rsid w:val="00391184"/>
    <w:rsid w:val="00391485"/>
    <w:rsid w:val="00393F72"/>
    <w:rsid w:val="003950E7"/>
    <w:rsid w:val="00396977"/>
    <w:rsid w:val="003A0B5B"/>
    <w:rsid w:val="003A159D"/>
    <w:rsid w:val="003A316B"/>
    <w:rsid w:val="003A4580"/>
    <w:rsid w:val="003A4D39"/>
    <w:rsid w:val="003A641D"/>
    <w:rsid w:val="003A7094"/>
    <w:rsid w:val="003B02D4"/>
    <w:rsid w:val="003B45FC"/>
    <w:rsid w:val="003B68FE"/>
    <w:rsid w:val="003B6C61"/>
    <w:rsid w:val="003C206F"/>
    <w:rsid w:val="003C2C65"/>
    <w:rsid w:val="003C4602"/>
    <w:rsid w:val="003C5BF5"/>
    <w:rsid w:val="003C70E5"/>
    <w:rsid w:val="003C72F5"/>
    <w:rsid w:val="003D23C6"/>
    <w:rsid w:val="003D407E"/>
    <w:rsid w:val="003D53A8"/>
    <w:rsid w:val="003D5DBC"/>
    <w:rsid w:val="003D695D"/>
    <w:rsid w:val="003D758B"/>
    <w:rsid w:val="003E1D18"/>
    <w:rsid w:val="003E22EE"/>
    <w:rsid w:val="003E4889"/>
    <w:rsid w:val="003E69D2"/>
    <w:rsid w:val="003E7707"/>
    <w:rsid w:val="003F0B7F"/>
    <w:rsid w:val="003F1F4A"/>
    <w:rsid w:val="003F58E3"/>
    <w:rsid w:val="003F5C6F"/>
    <w:rsid w:val="003F619C"/>
    <w:rsid w:val="003F6D8E"/>
    <w:rsid w:val="003F7C59"/>
    <w:rsid w:val="00400E9F"/>
    <w:rsid w:val="004034A7"/>
    <w:rsid w:val="00404236"/>
    <w:rsid w:val="00404D87"/>
    <w:rsid w:val="00404EF3"/>
    <w:rsid w:val="00404FF8"/>
    <w:rsid w:val="00406C09"/>
    <w:rsid w:val="00410044"/>
    <w:rsid w:val="0041011B"/>
    <w:rsid w:val="00411C73"/>
    <w:rsid w:val="004126C9"/>
    <w:rsid w:val="00413EB7"/>
    <w:rsid w:val="00414230"/>
    <w:rsid w:val="00414BEC"/>
    <w:rsid w:val="004157DF"/>
    <w:rsid w:val="00416956"/>
    <w:rsid w:val="00416BC5"/>
    <w:rsid w:val="004170D8"/>
    <w:rsid w:val="00417F16"/>
    <w:rsid w:val="00420BBE"/>
    <w:rsid w:val="00422538"/>
    <w:rsid w:val="0042465D"/>
    <w:rsid w:val="00425E6D"/>
    <w:rsid w:val="0042613F"/>
    <w:rsid w:val="0042627F"/>
    <w:rsid w:val="0042684C"/>
    <w:rsid w:val="00431287"/>
    <w:rsid w:val="00431B97"/>
    <w:rsid w:val="00435025"/>
    <w:rsid w:val="004352B3"/>
    <w:rsid w:val="00435969"/>
    <w:rsid w:val="0043742D"/>
    <w:rsid w:val="00437E07"/>
    <w:rsid w:val="0044090E"/>
    <w:rsid w:val="004409DC"/>
    <w:rsid w:val="00440D13"/>
    <w:rsid w:val="00441AE9"/>
    <w:rsid w:val="00441F9E"/>
    <w:rsid w:val="004429BB"/>
    <w:rsid w:val="004438E7"/>
    <w:rsid w:val="00443E9E"/>
    <w:rsid w:val="00447E49"/>
    <w:rsid w:val="0045009B"/>
    <w:rsid w:val="00450796"/>
    <w:rsid w:val="00452C8A"/>
    <w:rsid w:val="00453B1C"/>
    <w:rsid w:val="00454F3C"/>
    <w:rsid w:val="00455321"/>
    <w:rsid w:val="00456724"/>
    <w:rsid w:val="00456C1E"/>
    <w:rsid w:val="00460BA4"/>
    <w:rsid w:val="00462C59"/>
    <w:rsid w:val="0046384A"/>
    <w:rsid w:val="00464EEF"/>
    <w:rsid w:val="004662B9"/>
    <w:rsid w:val="0046710F"/>
    <w:rsid w:val="004720A3"/>
    <w:rsid w:val="00473B9A"/>
    <w:rsid w:val="004741B2"/>
    <w:rsid w:val="004743F3"/>
    <w:rsid w:val="00476DD6"/>
    <w:rsid w:val="004773A5"/>
    <w:rsid w:val="0047760B"/>
    <w:rsid w:val="00477A72"/>
    <w:rsid w:val="0048065C"/>
    <w:rsid w:val="004809C3"/>
    <w:rsid w:val="00481314"/>
    <w:rsid w:val="004818BE"/>
    <w:rsid w:val="00484082"/>
    <w:rsid w:val="00484361"/>
    <w:rsid w:val="004843F7"/>
    <w:rsid w:val="00484679"/>
    <w:rsid w:val="00486E13"/>
    <w:rsid w:val="004879FC"/>
    <w:rsid w:val="00491182"/>
    <w:rsid w:val="00491A4E"/>
    <w:rsid w:val="0049461D"/>
    <w:rsid w:val="00494703"/>
    <w:rsid w:val="0049725F"/>
    <w:rsid w:val="00497708"/>
    <w:rsid w:val="004A1AD2"/>
    <w:rsid w:val="004A2427"/>
    <w:rsid w:val="004A2B33"/>
    <w:rsid w:val="004A3751"/>
    <w:rsid w:val="004A3FED"/>
    <w:rsid w:val="004A595A"/>
    <w:rsid w:val="004A70D5"/>
    <w:rsid w:val="004B1844"/>
    <w:rsid w:val="004B1EFC"/>
    <w:rsid w:val="004B2294"/>
    <w:rsid w:val="004B2332"/>
    <w:rsid w:val="004B32E5"/>
    <w:rsid w:val="004B4AA9"/>
    <w:rsid w:val="004C020A"/>
    <w:rsid w:val="004C23CB"/>
    <w:rsid w:val="004C39F6"/>
    <w:rsid w:val="004C4ABB"/>
    <w:rsid w:val="004C4C42"/>
    <w:rsid w:val="004C4E7B"/>
    <w:rsid w:val="004C527D"/>
    <w:rsid w:val="004C5AE4"/>
    <w:rsid w:val="004C5CF2"/>
    <w:rsid w:val="004C5F2C"/>
    <w:rsid w:val="004C6991"/>
    <w:rsid w:val="004D049A"/>
    <w:rsid w:val="004D095D"/>
    <w:rsid w:val="004D10CD"/>
    <w:rsid w:val="004D193A"/>
    <w:rsid w:val="004D1F90"/>
    <w:rsid w:val="004D4995"/>
    <w:rsid w:val="004D5897"/>
    <w:rsid w:val="004E0B28"/>
    <w:rsid w:val="004E1D63"/>
    <w:rsid w:val="004E407E"/>
    <w:rsid w:val="004E46C6"/>
    <w:rsid w:val="004E7D3B"/>
    <w:rsid w:val="004E7F95"/>
    <w:rsid w:val="004F0A3E"/>
    <w:rsid w:val="004F153D"/>
    <w:rsid w:val="004F16FA"/>
    <w:rsid w:val="004F19E8"/>
    <w:rsid w:val="004F1DE4"/>
    <w:rsid w:val="004F23E2"/>
    <w:rsid w:val="004F2A89"/>
    <w:rsid w:val="004F2D4D"/>
    <w:rsid w:val="004F31CC"/>
    <w:rsid w:val="004F3C42"/>
    <w:rsid w:val="004F46B3"/>
    <w:rsid w:val="004F5FEF"/>
    <w:rsid w:val="004F6856"/>
    <w:rsid w:val="00500BAA"/>
    <w:rsid w:val="00502224"/>
    <w:rsid w:val="00502628"/>
    <w:rsid w:val="00506114"/>
    <w:rsid w:val="00506C06"/>
    <w:rsid w:val="00512BEA"/>
    <w:rsid w:val="00513848"/>
    <w:rsid w:val="00514925"/>
    <w:rsid w:val="00514AB6"/>
    <w:rsid w:val="005165DB"/>
    <w:rsid w:val="00516B24"/>
    <w:rsid w:val="00521526"/>
    <w:rsid w:val="0052587F"/>
    <w:rsid w:val="005261AA"/>
    <w:rsid w:val="00526816"/>
    <w:rsid w:val="00527B84"/>
    <w:rsid w:val="0053039A"/>
    <w:rsid w:val="0053046E"/>
    <w:rsid w:val="005321A5"/>
    <w:rsid w:val="00532707"/>
    <w:rsid w:val="00535118"/>
    <w:rsid w:val="00535EB1"/>
    <w:rsid w:val="00537228"/>
    <w:rsid w:val="0054117E"/>
    <w:rsid w:val="00543C8B"/>
    <w:rsid w:val="005441D5"/>
    <w:rsid w:val="0054514E"/>
    <w:rsid w:val="005474BF"/>
    <w:rsid w:val="00547B4F"/>
    <w:rsid w:val="00551088"/>
    <w:rsid w:val="005525C3"/>
    <w:rsid w:val="0055316F"/>
    <w:rsid w:val="005534A2"/>
    <w:rsid w:val="00557F3F"/>
    <w:rsid w:val="0056042D"/>
    <w:rsid w:val="0056124C"/>
    <w:rsid w:val="00561CAA"/>
    <w:rsid w:val="00563AC5"/>
    <w:rsid w:val="005653FF"/>
    <w:rsid w:val="005670F4"/>
    <w:rsid w:val="00570509"/>
    <w:rsid w:val="00570689"/>
    <w:rsid w:val="0057205C"/>
    <w:rsid w:val="00573036"/>
    <w:rsid w:val="00573125"/>
    <w:rsid w:val="00575214"/>
    <w:rsid w:val="00576027"/>
    <w:rsid w:val="005764DE"/>
    <w:rsid w:val="00581E30"/>
    <w:rsid w:val="005820EB"/>
    <w:rsid w:val="0058214C"/>
    <w:rsid w:val="005829E5"/>
    <w:rsid w:val="00583B9F"/>
    <w:rsid w:val="00585014"/>
    <w:rsid w:val="005859F0"/>
    <w:rsid w:val="00585AC7"/>
    <w:rsid w:val="00587747"/>
    <w:rsid w:val="0059156F"/>
    <w:rsid w:val="00591AEE"/>
    <w:rsid w:val="00593FB7"/>
    <w:rsid w:val="00595101"/>
    <w:rsid w:val="00595EC0"/>
    <w:rsid w:val="00597146"/>
    <w:rsid w:val="005A05B9"/>
    <w:rsid w:val="005A1692"/>
    <w:rsid w:val="005A1CB1"/>
    <w:rsid w:val="005A300A"/>
    <w:rsid w:val="005A34C5"/>
    <w:rsid w:val="005A34E9"/>
    <w:rsid w:val="005B18EA"/>
    <w:rsid w:val="005B1CD6"/>
    <w:rsid w:val="005B2C61"/>
    <w:rsid w:val="005B4A21"/>
    <w:rsid w:val="005B4B32"/>
    <w:rsid w:val="005B69A1"/>
    <w:rsid w:val="005B7CDA"/>
    <w:rsid w:val="005C0F01"/>
    <w:rsid w:val="005C18CB"/>
    <w:rsid w:val="005C4050"/>
    <w:rsid w:val="005C51E3"/>
    <w:rsid w:val="005C7EAA"/>
    <w:rsid w:val="005D04F4"/>
    <w:rsid w:val="005D1B84"/>
    <w:rsid w:val="005D4422"/>
    <w:rsid w:val="005D4A0A"/>
    <w:rsid w:val="005D64FF"/>
    <w:rsid w:val="005D6CA2"/>
    <w:rsid w:val="005E0CCA"/>
    <w:rsid w:val="005E4262"/>
    <w:rsid w:val="005F0751"/>
    <w:rsid w:val="005F2508"/>
    <w:rsid w:val="005F2DC3"/>
    <w:rsid w:val="005F3CA0"/>
    <w:rsid w:val="005F4155"/>
    <w:rsid w:val="005F52E4"/>
    <w:rsid w:val="005F5891"/>
    <w:rsid w:val="005F5A63"/>
    <w:rsid w:val="005F61E3"/>
    <w:rsid w:val="005F6957"/>
    <w:rsid w:val="005F6A94"/>
    <w:rsid w:val="00604E89"/>
    <w:rsid w:val="00605C3A"/>
    <w:rsid w:val="0060712D"/>
    <w:rsid w:val="0060721F"/>
    <w:rsid w:val="006104D4"/>
    <w:rsid w:val="00610F0E"/>
    <w:rsid w:val="00612392"/>
    <w:rsid w:val="00612CD5"/>
    <w:rsid w:val="006149D9"/>
    <w:rsid w:val="00615670"/>
    <w:rsid w:val="00615C56"/>
    <w:rsid w:val="006160CC"/>
    <w:rsid w:val="0061624D"/>
    <w:rsid w:val="006162B1"/>
    <w:rsid w:val="00616BC1"/>
    <w:rsid w:val="00617D07"/>
    <w:rsid w:val="0062192C"/>
    <w:rsid w:val="00621EA6"/>
    <w:rsid w:val="00626496"/>
    <w:rsid w:val="00627C9F"/>
    <w:rsid w:val="00630DA5"/>
    <w:rsid w:val="00631138"/>
    <w:rsid w:val="00632E68"/>
    <w:rsid w:val="0063342E"/>
    <w:rsid w:val="006344AC"/>
    <w:rsid w:val="0063603D"/>
    <w:rsid w:val="0063690E"/>
    <w:rsid w:val="00637AE0"/>
    <w:rsid w:val="00640076"/>
    <w:rsid w:val="00640F3D"/>
    <w:rsid w:val="00641639"/>
    <w:rsid w:val="006443C4"/>
    <w:rsid w:val="00644751"/>
    <w:rsid w:val="00647953"/>
    <w:rsid w:val="00651CCE"/>
    <w:rsid w:val="006540F9"/>
    <w:rsid w:val="00654976"/>
    <w:rsid w:val="00655832"/>
    <w:rsid w:val="00656A82"/>
    <w:rsid w:val="006577CF"/>
    <w:rsid w:val="00657893"/>
    <w:rsid w:val="00657B7C"/>
    <w:rsid w:val="00657D8D"/>
    <w:rsid w:val="0066239D"/>
    <w:rsid w:val="0066360E"/>
    <w:rsid w:val="00663D56"/>
    <w:rsid w:val="00664926"/>
    <w:rsid w:val="006655CF"/>
    <w:rsid w:val="00666596"/>
    <w:rsid w:val="0067060B"/>
    <w:rsid w:val="00671B4E"/>
    <w:rsid w:val="00672353"/>
    <w:rsid w:val="00672945"/>
    <w:rsid w:val="006747DC"/>
    <w:rsid w:val="00674C98"/>
    <w:rsid w:val="006758C7"/>
    <w:rsid w:val="00675A4E"/>
    <w:rsid w:val="00675FCF"/>
    <w:rsid w:val="0067630D"/>
    <w:rsid w:val="006814AA"/>
    <w:rsid w:val="006819E6"/>
    <w:rsid w:val="00681CCC"/>
    <w:rsid w:val="00681F15"/>
    <w:rsid w:val="00682458"/>
    <w:rsid w:val="0068514D"/>
    <w:rsid w:val="00686B77"/>
    <w:rsid w:val="006874B2"/>
    <w:rsid w:val="00690601"/>
    <w:rsid w:val="00690940"/>
    <w:rsid w:val="00691858"/>
    <w:rsid w:val="00693AC8"/>
    <w:rsid w:val="00694239"/>
    <w:rsid w:val="006944EC"/>
    <w:rsid w:val="0069644B"/>
    <w:rsid w:val="006A00ED"/>
    <w:rsid w:val="006A01FB"/>
    <w:rsid w:val="006A0418"/>
    <w:rsid w:val="006A1156"/>
    <w:rsid w:val="006A1E96"/>
    <w:rsid w:val="006A21CE"/>
    <w:rsid w:val="006A3ACD"/>
    <w:rsid w:val="006A76C0"/>
    <w:rsid w:val="006B1D15"/>
    <w:rsid w:val="006B2E09"/>
    <w:rsid w:val="006B307C"/>
    <w:rsid w:val="006B3D9E"/>
    <w:rsid w:val="006B4BDB"/>
    <w:rsid w:val="006B4F62"/>
    <w:rsid w:val="006B617D"/>
    <w:rsid w:val="006B66FD"/>
    <w:rsid w:val="006B673C"/>
    <w:rsid w:val="006B7DFD"/>
    <w:rsid w:val="006C0172"/>
    <w:rsid w:val="006C02F7"/>
    <w:rsid w:val="006C15FF"/>
    <w:rsid w:val="006C1D58"/>
    <w:rsid w:val="006C20EA"/>
    <w:rsid w:val="006C5B7E"/>
    <w:rsid w:val="006D1C04"/>
    <w:rsid w:val="006D20E7"/>
    <w:rsid w:val="006D2388"/>
    <w:rsid w:val="006D2B68"/>
    <w:rsid w:val="006D31C4"/>
    <w:rsid w:val="006D3AD7"/>
    <w:rsid w:val="006D4AC9"/>
    <w:rsid w:val="006D55FA"/>
    <w:rsid w:val="006D5E9F"/>
    <w:rsid w:val="006E152B"/>
    <w:rsid w:val="006E2C5C"/>
    <w:rsid w:val="006E2ED0"/>
    <w:rsid w:val="006E2F6E"/>
    <w:rsid w:val="006E39EF"/>
    <w:rsid w:val="006E428D"/>
    <w:rsid w:val="006E52D5"/>
    <w:rsid w:val="006E5B88"/>
    <w:rsid w:val="006E69F2"/>
    <w:rsid w:val="006E7177"/>
    <w:rsid w:val="006E7D36"/>
    <w:rsid w:val="006F1CC3"/>
    <w:rsid w:val="006F2671"/>
    <w:rsid w:val="006F2E00"/>
    <w:rsid w:val="006F2EC1"/>
    <w:rsid w:val="006F5AB8"/>
    <w:rsid w:val="006F77DB"/>
    <w:rsid w:val="007005CF"/>
    <w:rsid w:val="00702106"/>
    <w:rsid w:val="00702A49"/>
    <w:rsid w:val="00705DF9"/>
    <w:rsid w:val="0070634A"/>
    <w:rsid w:val="007101CB"/>
    <w:rsid w:val="007109D6"/>
    <w:rsid w:val="007123CD"/>
    <w:rsid w:val="007123F3"/>
    <w:rsid w:val="00712B04"/>
    <w:rsid w:val="007130C2"/>
    <w:rsid w:val="007132E7"/>
    <w:rsid w:val="007133ED"/>
    <w:rsid w:val="00713BB8"/>
    <w:rsid w:val="00713EE3"/>
    <w:rsid w:val="0071461A"/>
    <w:rsid w:val="007155B2"/>
    <w:rsid w:val="00716FFD"/>
    <w:rsid w:val="00720E9B"/>
    <w:rsid w:val="007218DB"/>
    <w:rsid w:val="00726B2F"/>
    <w:rsid w:val="00726EAC"/>
    <w:rsid w:val="00726ED8"/>
    <w:rsid w:val="00727244"/>
    <w:rsid w:val="007276F1"/>
    <w:rsid w:val="007311D1"/>
    <w:rsid w:val="007329CE"/>
    <w:rsid w:val="00736D01"/>
    <w:rsid w:val="00737385"/>
    <w:rsid w:val="007376CD"/>
    <w:rsid w:val="007376E1"/>
    <w:rsid w:val="00741129"/>
    <w:rsid w:val="007419CA"/>
    <w:rsid w:val="00742169"/>
    <w:rsid w:val="00743092"/>
    <w:rsid w:val="0074389B"/>
    <w:rsid w:val="00743A24"/>
    <w:rsid w:val="00743C79"/>
    <w:rsid w:val="00744241"/>
    <w:rsid w:val="0074454C"/>
    <w:rsid w:val="007445B1"/>
    <w:rsid w:val="0074578F"/>
    <w:rsid w:val="0074740D"/>
    <w:rsid w:val="007479D1"/>
    <w:rsid w:val="0075063E"/>
    <w:rsid w:val="007515C2"/>
    <w:rsid w:val="00751A99"/>
    <w:rsid w:val="00753404"/>
    <w:rsid w:val="00753AE5"/>
    <w:rsid w:val="00754726"/>
    <w:rsid w:val="007556C7"/>
    <w:rsid w:val="00756501"/>
    <w:rsid w:val="00756A73"/>
    <w:rsid w:val="00760DCB"/>
    <w:rsid w:val="00760E7B"/>
    <w:rsid w:val="007610DB"/>
    <w:rsid w:val="00761194"/>
    <w:rsid w:val="0077176F"/>
    <w:rsid w:val="00771D94"/>
    <w:rsid w:val="00772518"/>
    <w:rsid w:val="00772750"/>
    <w:rsid w:val="007733E7"/>
    <w:rsid w:val="00773679"/>
    <w:rsid w:val="00774C7C"/>
    <w:rsid w:val="00775501"/>
    <w:rsid w:val="00775826"/>
    <w:rsid w:val="007761E7"/>
    <w:rsid w:val="00776872"/>
    <w:rsid w:val="007771AA"/>
    <w:rsid w:val="00783018"/>
    <w:rsid w:val="00784B7A"/>
    <w:rsid w:val="007858F0"/>
    <w:rsid w:val="007871F4"/>
    <w:rsid w:val="0079048B"/>
    <w:rsid w:val="00790D42"/>
    <w:rsid w:val="007916E8"/>
    <w:rsid w:val="00795498"/>
    <w:rsid w:val="00796029"/>
    <w:rsid w:val="00796101"/>
    <w:rsid w:val="00797A74"/>
    <w:rsid w:val="007A2D91"/>
    <w:rsid w:val="007A30D6"/>
    <w:rsid w:val="007A392A"/>
    <w:rsid w:val="007A435A"/>
    <w:rsid w:val="007A6FD2"/>
    <w:rsid w:val="007A748D"/>
    <w:rsid w:val="007A7D80"/>
    <w:rsid w:val="007B280B"/>
    <w:rsid w:val="007B4348"/>
    <w:rsid w:val="007C0A0A"/>
    <w:rsid w:val="007C19C2"/>
    <w:rsid w:val="007C1A4C"/>
    <w:rsid w:val="007C2667"/>
    <w:rsid w:val="007C279C"/>
    <w:rsid w:val="007C2890"/>
    <w:rsid w:val="007C32F6"/>
    <w:rsid w:val="007C3B5D"/>
    <w:rsid w:val="007C3D4B"/>
    <w:rsid w:val="007C4501"/>
    <w:rsid w:val="007C501A"/>
    <w:rsid w:val="007C57E0"/>
    <w:rsid w:val="007C63D5"/>
    <w:rsid w:val="007C6E52"/>
    <w:rsid w:val="007C6FC6"/>
    <w:rsid w:val="007C70CD"/>
    <w:rsid w:val="007C7BBA"/>
    <w:rsid w:val="007C7ECA"/>
    <w:rsid w:val="007D0EC7"/>
    <w:rsid w:val="007D0F4A"/>
    <w:rsid w:val="007D2BDC"/>
    <w:rsid w:val="007D2E8B"/>
    <w:rsid w:val="007D3FC2"/>
    <w:rsid w:val="007D4F0A"/>
    <w:rsid w:val="007D6813"/>
    <w:rsid w:val="007D6CD5"/>
    <w:rsid w:val="007E1E41"/>
    <w:rsid w:val="007E35E5"/>
    <w:rsid w:val="007E5826"/>
    <w:rsid w:val="007E58EA"/>
    <w:rsid w:val="007E6D59"/>
    <w:rsid w:val="007E723F"/>
    <w:rsid w:val="007E7924"/>
    <w:rsid w:val="007F1CCD"/>
    <w:rsid w:val="007F1EEB"/>
    <w:rsid w:val="007F2F2E"/>
    <w:rsid w:val="007F3BA3"/>
    <w:rsid w:val="007F557D"/>
    <w:rsid w:val="007F5EC7"/>
    <w:rsid w:val="008008BA"/>
    <w:rsid w:val="008015AF"/>
    <w:rsid w:val="00802FD5"/>
    <w:rsid w:val="00803AA2"/>
    <w:rsid w:val="008040FB"/>
    <w:rsid w:val="008045C7"/>
    <w:rsid w:val="00804B5E"/>
    <w:rsid w:val="00804D77"/>
    <w:rsid w:val="00804F20"/>
    <w:rsid w:val="00806018"/>
    <w:rsid w:val="00806678"/>
    <w:rsid w:val="00810F81"/>
    <w:rsid w:val="00811649"/>
    <w:rsid w:val="00811CCD"/>
    <w:rsid w:val="008126C5"/>
    <w:rsid w:val="0081434D"/>
    <w:rsid w:val="00814A74"/>
    <w:rsid w:val="00814F43"/>
    <w:rsid w:val="00816EC1"/>
    <w:rsid w:val="00817751"/>
    <w:rsid w:val="00821B01"/>
    <w:rsid w:val="00821C39"/>
    <w:rsid w:val="00823E81"/>
    <w:rsid w:val="008253C5"/>
    <w:rsid w:val="008300A7"/>
    <w:rsid w:val="0083114D"/>
    <w:rsid w:val="00831BFA"/>
    <w:rsid w:val="0083232B"/>
    <w:rsid w:val="00832939"/>
    <w:rsid w:val="00833501"/>
    <w:rsid w:val="00833831"/>
    <w:rsid w:val="008346B9"/>
    <w:rsid w:val="00836E0F"/>
    <w:rsid w:val="0083765B"/>
    <w:rsid w:val="00837B65"/>
    <w:rsid w:val="00840D5B"/>
    <w:rsid w:val="00841FF3"/>
    <w:rsid w:val="0084220F"/>
    <w:rsid w:val="00843318"/>
    <w:rsid w:val="00843476"/>
    <w:rsid w:val="008446D6"/>
    <w:rsid w:val="00844E69"/>
    <w:rsid w:val="0084540B"/>
    <w:rsid w:val="00846387"/>
    <w:rsid w:val="00847DA2"/>
    <w:rsid w:val="00850037"/>
    <w:rsid w:val="00850C77"/>
    <w:rsid w:val="00851423"/>
    <w:rsid w:val="0085394D"/>
    <w:rsid w:val="0085407C"/>
    <w:rsid w:val="00854C5D"/>
    <w:rsid w:val="0085622B"/>
    <w:rsid w:val="0085771B"/>
    <w:rsid w:val="00860E3A"/>
    <w:rsid w:val="00861CCD"/>
    <w:rsid w:val="00865DA4"/>
    <w:rsid w:val="00872EA3"/>
    <w:rsid w:val="008732ED"/>
    <w:rsid w:val="0087404C"/>
    <w:rsid w:val="00875534"/>
    <w:rsid w:val="00876F5C"/>
    <w:rsid w:val="00877560"/>
    <w:rsid w:val="00877C1E"/>
    <w:rsid w:val="00882193"/>
    <w:rsid w:val="008823AC"/>
    <w:rsid w:val="00883427"/>
    <w:rsid w:val="00884015"/>
    <w:rsid w:val="008843F8"/>
    <w:rsid w:val="008845E9"/>
    <w:rsid w:val="00886D6C"/>
    <w:rsid w:val="008901F7"/>
    <w:rsid w:val="00891FBF"/>
    <w:rsid w:val="00892CD8"/>
    <w:rsid w:val="00893621"/>
    <w:rsid w:val="0089690C"/>
    <w:rsid w:val="008976F9"/>
    <w:rsid w:val="008A0087"/>
    <w:rsid w:val="008A0D60"/>
    <w:rsid w:val="008A1638"/>
    <w:rsid w:val="008A1AC2"/>
    <w:rsid w:val="008A350A"/>
    <w:rsid w:val="008A49E1"/>
    <w:rsid w:val="008A652C"/>
    <w:rsid w:val="008B2404"/>
    <w:rsid w:val="008B346D"/>
    <w:rsid w:val="008B3C8E"/>
    <w:rsid w:val="008B42AC"/>
    <w:rsid w:val="008B507B"/>
    <w:rsid w:val="008B58D3"/>
    <w:rsid w:val="008B6E40"/>
    <w:rsid w:val="008B770B"/>
    <w:rsid w:val="008B7927"/>
    <w:rsid w:val="008C240D"/>
    <w:rsid w:val="008C48BF"/>
    <w:rsid w:val="008C54A7"/>
    <w:rsid w:val="008C5895"/>
    <w:rsid w:val="008C70D4"/>
    <w:rsid w:val="008C716A"/>
    <w:rsid w:val="008C7CAA"/>
    <w:rsid w:val="008C7F14"/>
    <w:rsid w:val="008D0411"/>
    <w:rsid w:val="008D163B"/>
    <w:rsid w:val="008D2584"/>
    <w:rsid w:val="008D301B"/>
    <w:rsid w:val="008D4896"/>
    <w:rsid w:val="008D49AB"/>
    <w:rsid w:val="008D5150"/>
    <w:rsid w:val="008D6103"/>
    <w:rsid w:val="008D6F81"/>
    <w:rsid w:val="008E1272"/>
    <w:rsid w:val="008E3581"/>
    <w:rsid w:val="008E4011"/>
    <w:rsid w:val="008E4C83"/>
    <w:rsid w:val="008F00F2"/>
    <w:rsid w:val="008F0CE5"/>
    <w:rsid w:val="008F132F"/>
    <w:rsid w:val="008F2A79"/>
    <w:rsid w:val="008F3930"/>
    <w:rsid w:val="008F3970"/>
    <w:rsid w:val="008F3ED7"/>
    <w:rsid w:val="008F457D"/>
    <w:rsid w:val="008F6F34"/>
    <w:rsid w:val="0090154F"/>
    <w:rsid w:val="00901CEE"/>
    <w:rsid w:val="00901FD6"/>
    <w:rsid w:val="009025E3"/>
    <w:rsid w:val="00903973"/>
    <w:rsid w:val="00903FFB"/>
    <w:rsid w:val="0090506B"/>
    <w:rsid w:val="00905AB4"/>
    <w:rsid w:val="0090606B"/>
    <w:rsid w:val="0090738D"/>
    <w:rsid w:val="00910C0F"/>
    <w:rsid w:val="009129B2"/>
    <w:rsid w:val="00912C4A"/>
    <w:rsid w:val="00913B40"/>
    <w:rsid w:val="009166B7"/>
    <w:rsid w:val="00916A85"/>
    <w:rsid w:val="00916F7E"/>
    <w:rsid w:val="0091750C"/>
    <w:rsid w:val="00917B43"/>
    <w:rsid w:val="00917D1A"/>
    <w:rsid w:val="009215B5"/>
    <w:rsid w:val="00922747"/>
    <w:rsid w:val="00922A53"/>
    <w:rsid w:val="00922FD5"/>
    <w:rsid w:val="00927114"/>
    <w:rsid w:val="0092753E"/>
    <w:rsid w:val="00932EA5"/>
    <w:rsid w:val="00932FDD"/>
    <w:rsid w:val="00934068"/>
    <w:rsid w:val="00942147"/>
    <w:rsid w:val="00942A8D"/>
    <w:rsid w:val="00944950"/>
    <w:rsid w:val="00944A3B"/>
    <w:rsid w:val="00950842"/>
    <w:rsid w:val="00950F72"/>
    <w:rsid w:val="00953007"/>
    <w:rsid w:val="00953735"/>
    <w:rsid w:val="009552E8"/>
    <w:rsid w:val="00955702"/>
    <w:rsid w:val="00955E8B"/>
    <w:rsid w:val="00957ABA"/>
    <w:rsid w:val="00957D21"/>
    <w:rsid w:val="00957F63"/>
    <w:rsid w:val="009623EB"/>
    <w:rsid w:val="009627D8"/>
    <w:rsid w:val="00964218"/>
    <w:rsid w:val="009661F0"/>
    <w:rsid w:val="00967566"/>
    <w:rsid w:val="00967891"/>
    <w:rsid w:val="009730B8"/>
    <w:rsid w:val="00973870"/>
    <w:rsid w:val="00975962"/>
    <w:rsid w:val="00975F78"/>
    <w:rsid w:val="00976601"/>
    <w:rsid w:val="0097690A"/>
    <w:rsid w:val="00976B58"/>
    <w:rsid w:val="009778B1"/>
    <w:rsid w:val="009812D7"/>
    <w:rsid w:val="00985AF4"/>
    <w:rsid w:val="0098652A"/>
    <w:rsid w:val="009903AC"/>
    <w:rsid w:val="009915B9"/>
    <w:rsid w:val="00991F20"/>
    <w:rsid w:val="00993180"/>
    <w:rsid w:val="009939DB"/>
    <w:rsid w:val="00993D68"/>
    <w:rsid w:val="00994A1B"/>
    <w:rsid w:val="00995DCC"/>
    <w:rsid w:val="009972C8"/>
    <w:rsid w:val="009A01F9"/>
    <w:rsid w:val="009A3CCF"/>
    <w:rsid w:val="009A4ADC"/>
    <w:rsid w:val="009A50A7"/>
    <w:rsid w:val="009A5559"/>
    <w:rsid w:val="009B0625"/>
    <w:rsid w:val="009B0640"/>
    <w:rsid w:val="009B0CC4"/>
    <w:rsid w:val="009B0F7C"/>
    <w:rsid w:val="009B105F"/>
    <w:rsid w:val="009B10CF"/>
    <w:rsid w:val="009B1DA0"/>
    <w:rsid w:val="009B41A2"/>
    <w:rsid w:val="009B496D"/>
    <w:rsid w:val="009B66A4"/>
    <w:rsid w:val="009B74DD"/>
    <w:rsid w:val="009B7652"/>
    <w:rsid w:val="009C10DF"/>
    <w:rsid w:val="009C1AFA"/>
    <w:rsid w:val="009C2915"/>
    <w:rsid w:val="009C31C6"/>
    <w:rsid w:val="009C4097"/>
    <w:rsid w:val="009C54C1"/>
    <w:rsid w:val="009C5857"/>
    <w:rsid w:val="009C5C05"/>
    <w:rsid w:val="009C62A7"/>
    <w:rsid w:val="009D0434"/>
    <w:rsid w:val="009D1786"/>
    <w:rsid w:val="009D2758"/>
    <w:rsid w:val="009D2B25"/>
    <w:rsid w:val="009D37F7"/>
    <w:rsid w:val="009D6530"/>
    <w:rsid w:val="009E0706"/>
    <w:rsid w:val="009E16FE"/>
    <w:rsid w:val="009E45F5"/>
    <w:rsid w:val="009E51EF"/>
    <w:rsid w:val="009E59AC"/>
    <w:rsid w:val="009E7308"/>
    <w:rsid w:val="009E74F7"/>
    <w:rsid w:val="009E76EE"/>
    <w:rsid w:val="009F0D7D"/>
    <w:rsid w:val="009F141C"/>
    <w:rsid w:val="009F1917"/>
    <w:rsid w:val="009F1AF9"/>
    <w:rsid w:val="009F4AD1"/>
    <w:rsid w:val="009F4CEC"/>
    <w:rsid w:val="009F4D8A"/>
    <w:rsid w:val="009F5095"/>
    <w:rsid w:val="009F5E6F"/>
    <w:rsid w:val="009F7541"/>
    <w:rsid w:val="009F7E88"/>
    <w:rsid w:val="00A01E2B"/>
    <w:rsid w:val="00A024BE"/>
    <w:rsid w:val="00A030D6"/>
    <w:rsid w:val="00A03943"/>
    <w:rsid w:val="00A05175"/>
    <w:rsid w:val="00A05B98"/>
    <w:rsid w:val="00A0658F"/>
    <w:rsid w:val="00A06FD2"/>
    <w:rsid w:val="00A0706B"/>
    <w:rsid w:val="00A07A72"/>
    <w:rsid w:val="00A10077"/>
    <w:rsid w:val="00A1311C"/>
    <w:rsid w:val="00A13359"/>
    <w:rsid w:val="00A13F55"/>
    <w:rsid w:val="00A14925"/>
    <w:rsid w:val="00A15ABD"/>
    <w:rsid w:val="00A21C07"/>
    <w:rsid w:val="00A21CEF"/>
    <w:rsid w:val="00A24702"/>
    <w:rsid w:val="00A24D4E"/>
    <w:rsid w:val="00A25CBE"/>
    <w:rsid w:val="00A25FB1"/>
    <w:rsid w:val="00A26150"/>
    <w:rsid w:val="00A27175"/>
    <w:rsid w:val="00A31F3B"/>
    <w:rsid w:val="00A337F7"/>
    <w:rsid w:val="00A33DCC"/>
    <w:rsid w:val="00A34074"/>
    <w:rsid w:val="00A35129"/>
    <w:rsid w:val="00A4058E"/>
    <w:rsid w:val="00A405C2"/>
    <w:rsid w:val="00A41126"/>
    <w:rsid w:val="00A415F3"/>
    <w:rsid w:val="00A42C1D"/>
    <w:rsid w:val="00A43ED1"/>
    <w:rsid w:val="00A43EE6"/>
    <w:rsid w:val="00A44409"/>
    <w:rsid w:val="00A47B61"/>
    <w:rsid w:val="00A513C5"/>
    <w:rsid w:val="00A5207B"/>
    <w:rsid w:val="00A5211A"/>
    <w:rsid w:val="00A52B34"/>
    <w:rsid w:val="00A52FC8"/>
    <w:rsid w:val="00A5346E"/>
    <w:rsid w:val="00A53C16"/>
    <w:rsid w:val="00A54248"/>
    <w:rsid w:val="00A54E91"/>
    <w:rsid w:val="00A562EC"/>
    <w:rsid w:val="00A57C22"/>
    <w:rsid w:val="00A60442"/>
    <w:rsid w:val="00A62E2E"/>
    <w:rsid w:val="00A63389"/>
    <w:rsid w:val="00A63962"/>
    <w:rsid w:val="00A63E61"/>
    <w:rsid w:val="00A6518B"/>
    <w:rsid w:val="00A65902"/>
    <w:rsid w:val="00A65F78"/>
    <w:rsid w:val="00A67273"/>
    <w:rsid w:val="00A70569"/>
    <w:rsid w:val="00A7061F"/>
    <w:rsid w:val="00A70C5F"/>
    <w:rsid w:val="00A724A2"/>
    <w:rsid w:val="00A73B39"/>
    <w:rsid w:val="00A742C7"/>
    <w:rsid w:val="00A74822"/>
    <w:rsid w:val="00A74E55"/>
    <w:rsid w:val="00A75954"/>
    <w:rsid w:val="00A77306"/>
    <w:rsid w:val="00A80FA6"/>
    <w:rsid w:val="00A82A8A"/>
    <w:rsid w:val="00A835FA"/>
    <w:rsid w:val="00A83D0E"/>
    <w:rsid w:val="00A8464B"/>
    <w:rsid w:val="00A85B66"/>
    <w:rsid w:val="00A86F45"/>
    <w:rsid w:val="00A9211A"/>
    <w:rsid w:val="00A9326D"/>
    <w:rsid w:val="00A953B0"/>
    <w:rsid w:val="00A957FD"/>
    <w:rsid w:val="00A95C6F"/>
    <w:rsid w:val="00A97684"/>
    <w:rsid w:val="00AA000E"/>
    <w:rsid w:val="00AA0853"/>
    <w:rsid w:val="00AA1950"/>
    <w:rsid w:val="00AA264B"/>
    <w:rsid w:val="00AA40EC"/>
    <w:rsid w:val="00AA623A"/>
    <w:rsid w:val="00AB2229"/>
    <w:rsid w:val="00AB3166"/>
    <w:rsid w:val="00AB3649"/>
    <w:rsid w:val="00AB4BF5"/>
    <w:rsid w:val="00AB5F5A"/>
    <w:rsid w:val="00AB77D4"/>
    <w:rsid w:val="00AC028F"/>
    <w:rsid w:val="00AC0BBE"/>
    <w:rsid w:val="00AC2702"/>
    <w:rsid w:val="00AC2964"/>
    <w:rsid w:val="00AC4518"/>
    <w:rsid w:val="00AC5505"/>
    <w:rsid w:val="00AC795B"/>
    <w:rsid w:val="00AC7EF2"/>
    <w:rsid w:val="00AD062B"/>
    <w:rsid w:val="00AD7637"/>
    <w:rsid w:val="00AD7DFF"/>
    <w:rsid w:val="00AE1C8B"/>
    <w:rsid w:val="00AE2118"/>
    <w:rsid w:val="00AE37C4"/>
    <w:rsid w:val="00AE6E69"/>
    <w:rsid w:val="00AE79D4"/>
    <w:rsid w:val="00AE7D82"/>
    <w:rsid w:val="00AF16BD"/>
    <w:rsid w:val="00AF24DA"/>
    <w:rsid w:val="00AF2DDB"/>
    <w:rsid w:val="00AF58A8"/>
    <w:rsid w:val="00AF59E0"/>
    <w:rsid w:val="00AF6624"/>
    <w:rsid w:val="00AF717A"/>
    <w:rsid w:val="00B004C4"/>
    <w:rsid w:val="00B00B16"/>
    <w:rsid w:val="00B01324"/>
    <w:rsid w:val="00B03EA0"/>
    <w:rsid w:val="00B050A6"/>
    <w:rsid w:val="00B06A33"/>
    <w:rsid w:val="00B103F3"/>
    <w:rsid w:val="00B11AF3"/>
    <w:rsid w:val="00B12C9E"/>
    <w:rsid w:val="00B12EDA"/>
    <w:rsid w:val="00B130A7"/>
    <w:rsid w:val="00B13493"/>
    <w:rsid w:val="00B17945"/>
    <w:rsid w:val="00B17E32"/>
    <w:rsid w:val="00B20774"/>
    <w:rsid w:val="00B20957"/>
    <w:rsid w:val="00B231AE"/>
    <w:rsid w:val="00B24E78"/>
    <w:rsid w:val="00B25E17"/>
    <w:rsid w:val="00B25FF4"/>
    <w:rsid w:val="00B26E44"/>
    <w:rsid w:val="00B27903"/>
    <w:rsid w:val="00B30154"/>
    <w:rsid w:val="00B332C2"/>
    <w:rsid w:val="00B33AE7"/>
    <w:rsid w:val="00B34277"/>
    <w:rsid w:val="00B342CF"/>
    <w:rsid w:val="00B376DB"/>
    <w:rsid w:val="00B37CFB"/>
    <w:rsid w:val="00B42EE8"/>
    <w:rsid w:val="00B44247"/>
    <w:rsid w:val="00B450FD"/>
    <w:rsid w:val="00B459CC"/>
    <w:rsid w:val="00B45F8D"/>
    <w:rsid w:val="00B46EDF"/>
    <w:rsid w:val="00B477AF"/>
    <w:rsid w:val="00B51EA0"/>
    <w:rsid w:val="00B5276B"/>
    <w:rsid w:val="00B53D48"/>
    <w:rsid w:val="00B5417E"/>
    <w:rsid w:val="00B55BE0"/>
    <w:rsid w:val="00B55F79"/>
    <w:rsid w:val="00B60167"/>
    <w:rsid w:val="00B60AD1"/>
    <w:rsid w:val="00B61D67"/>
    <w:rsid w:val="00B62B27"/>
    <w:rsid w:val="00B63577"/>
    <w:rsid w:val="00B65A7B"/>
    <w:rsid w:val="00B65F51"/>
    <w:rsid w:val="00B67838"/>
    <w:rsid w:val="00B67B48"/>
    <w:rsid w:val="00B740D6"/>
    <w:rsid w:val="00B74AE1"/>
    <w:rsid w:val="00B74CAC"/>
    <w:rsid w:val="00B76BCE"/>
    <w:rsid w:val="00B76C00"/>
    <w:rsid w:val="00B80E93"/>
    <w:rsid w:val="00B813CA"/>
    <w:rsid w:val="00B81DCA"/>
    <w:rsid w:val="00B82555"/>
    <w:rsid w:val="00B82C31"/>
    <w:rsid w:val="00B82E30"/>
    <w:rsid w:val="00B85347"/>
    <w:rsid w:val="00B873C9"/>
    <w:rsid w:val="00B90235"/>
    <w:rsid w:val="00B903E1"/>
    <w:rsid w:val="00B93843"/>
    <w:rsid w:val="00B94601"/>
    <w:rsid w:val="00B94A10"/>
    <w:rsid w:val="00B95561"/>
    <w:rsid w:val="00B9588A"/>
    <w:rsid w:val="00B9591C"/>
    <w:rsid w:val="00B95CB5"/>
    <w:rsid w:val="00B96A3E"/>
    <w:rsid w:val="00BA0B33"/>
    <w:rsid w:val="00BA0D69"/>
    <w:rsid w:val="00BA11F2"/>
    <w:rsid w:val="00BA1BFB"/>
    <w:rsid w:val="00BA1D3C"/>
    <w:rsid w:val="00BA2D1E"/>
    <w:rsid w:val="00BA3AC6"/>
    <w:rsid w:val="00BA5385"/>
    <w:rsid w:val="00BA5DC2"/>
    <w:rsid w:val="00BA6AD4"/>
    <w:rsid w:val="00BA7BA1"/>
    <w:rsid w:val="00BB15FF"/>
    <w:rsid w:val="00BB1735"/>
    <w:rsid w:val="00BB1C2D"/>
    <w:rsid w:val="00BB4AEC"/>
    <w:rsid w:val="00BB6FFD"/>
    <w:rsid w:val="00BB7F17"/>
    <w:rsid w:val="00BC023B"/>
    <w:rsid w:val="00BC25E5"/>
    <w:rsid w:val="00BC29C9"/>
    <w:rsid w:val="00BC3398"/>
    <w:rsid w:val="00BC36EC"/>
    <w:rsid w:val="00BC572A"/>
    <w:rsid w:val="00BC6013"/>
    <w:rsid w:val="00BC7E55"/>
    <w:rsid w:val="00BD707E"/>
    <w:rsid w:val="00BE0DCD"/>
    <w:rsid w:val="00BE1DB9"/>
    <w:rsid w:val="00BE3CBC"/>
    <w:rsid w:val="00BE4CC4"/>
    <w:rsid w:val="00BF0988"/>
    <w:rsid w:val="00BF0A36"/>
    <w:rsid w:val="00BF0C4C"/>
    <w:rsid w:val="00BF1E6C"/>
    <w:rsid w:val="00BF1F25"/>
    <w:rsid w:val="00BF265E"/>
    <w:rsid w:val="00BF5311"/>
    <w:rsid w:val="00BF71DD"/>
    <w:rsid w:val="00BF75C2"/>
    <w:rsid w:val="00C00895"/>
    <w:rsid w:val="00C01448"/>
    <w:rsid w:val="00C024F2"/>
    <w:rsid w:val="00C02B6B"/>
    <w:rsid w:val="00C03251"/>
    <w:rsid w:val="00C07892"/>
    <w:rsid w:val="00C104EA"/>
    <w:rsid w:val="00C10A64"/>
    <w:rsid w:val="00C116A8"/>
    <w:rsid w:val="00C13E02"/>
    <w:rsid w:val="00C16628"/>
    <w:rsid w:val="00C17260"/>
    <w:rsid w:val="00C20157"/>
    <w:rsid w:val="00C21A5A"/>
    <w:rsid w:val="00C21C22"/>
    <w:rsid w:val="00C239CF"/>
    <w:rsid w:val="00C24EEE"/>
    <w:rsid w:val="00C260CE"/>
    <w:rsid w:val="00C3065F"/>
    <w:rsid w:val="00C31766"/>
    <w:rsid w:val="00C3299F"/>
    <w:rsid w:val="00C33776"/>
    <w:rsid w:val="00C349F7"/>
    <w:rsid w:val="00C3543A"/>
    <w:rsid w:val="00C3567F"/>
    <w:rsid w:val="00C35DF0"/>
    <w:rsid w:val="00C36FBC"/>
    <w:rsid w:val="00C379E9"/>
    <w:rsid w:val="00C4050A"/>
    <w:rsid w:val="00C434E3"/>
    <w:rsid w:val="00C44778"/>
    <w:rsid w:val="00C44885"/>
    <w:rsid w:val="00C44984"/>
    <w:rsid w:val="00C5270F"/>
    <w:rsid w:val="00C527B1"/>
    <w:rsid w:val="00C5299A"/>
    <w:rsid w:val="00C5354C"/>
    <w:rsid w:val="00C537F0"/>
    <w:rsid w:val="00C53ED0"/>
    <w:rsid w:val="00C544EC"/>
    <w:rsid w:val="00C549BB"/>
    <w:rsid w:val="00C566F8"/>
    <w:rsid w:val="00C614D8"/>
    <w:rsid w:val="00C6248A"/>
    <w:rsid w:val="00C63E1C"/>
    <w:rsid w:val="00C65508"/>
    <w:rsid w:val="00C674B0"/>
    <w:rsid w:val="00C70183"/>
    <w:rsid w:val="00C713D5"/>
    <w:rsid w:val="00C71802"/>
    <w:rsid w:val="00C726E8"/>
    <w:rsid w:val="00C72ABB"/>
    <w:rsid w:val="00C7363D"/>
    <w:rsid w:val="00C75309"/>
    <w:rsid w:val="00C75C2A"/>
    <w:rsid w:val="00C7606A"/>
    <w:rsid w:val="00C764CD"/>
    <w:rsid w:val="00C77A62"/>
    <w:rsid w:val="00C81949"/>
    <w:rsid w:val="00C84B82"/>
    <w:rsid w:val="00C85528"/>
    <w:rsid w:val="00C85F08"/>
    <w:rsid w:val="00C872CF"/>
    <w:rsid w:val="00C901A5"/>
    <w:rsid w:val="00C90B30"/>
    <w:rsid w:val="00C9181D"/>
    <w:rsid w:val="00C91C4E"/>
    <w:rsid w:val="00C924D7"/>
    <w:rsid w:val="00C926B2"/>
    <w:rsid w:val="00C930F1"/>
    <w:rsid w:val="00C93294"/>
    <w:rsid w:val="00C9403C"/>
    <w:rsid w:val="00CA0BC9"/>
    <w:rsid w:val="00CA1530"/>
    <w:rsid w:val="00CA1F8C"/>
    <w:rsid w:val="00CA27FA"/>
    <w:rsid w:val="00CA3E63"/>
    <w:rsid w:val="00CA4352"/>
    <w:rsid w:val="00CA661A"/>
    <w:rsid w:val="00CA77C7"/>
    <w:rsid w:val="00CB1819"/>
    <w:rsid w:val="00CB2298"/>
    <w:rsid w:val="00CB28B0"/>
    <w:rsid w:val="00CB2FA9"/>
    <w:rsid w:val="00CB338A"/>
    <w:rsid w:val="00CB3498"/>
    <w:rsid w:val="00CB4262"/>
    <w:rsid w:val="00CB4273"/>
    <w:rsid w:val="00CB61A7"/>
    <w:rsid w:val="00CB6FCC"/>
    <w:rsid w:val="00CB70B0"/>
    <w:rsid w:val="00CC09FA"/>
    <w:rsid w:val="00CC0D2A"/>
    <w:rsid w:val="00CC4814"/>
    <w:rsid w:val="00CC48FD"/>
    <w:rsid w:val="00CC544B"/>
    <w:rsid w:val="00CC68CC"/>
    <w:rsid w:val="00CC70FB"/>
    <w:rsid w:val="00CC73E2"/>
    <w:rsid w:val="00CD06AF"/>
    <w:rsid w:val="00CD0B79"/>
    <w:rsid w:val="00CD1746"/>
    <w:rsid w:val="00CD1793"/>
    <w:rsid w:val="00CD1A57"/>
    <w:rsid w:val="00CD1A7B"/>
    <w:rsid w:val="00CD1C33"/>
    <w:rsid w:val="00CD2BF9"/>
    <w:rsid w:val="00CD35F2"/>
    <w:rsid w:val="00CD3B89"/>
    <w:rsid w:val="00CD3EEB"/>
    <w:rsid w:val="00CE4D81"/>
    <w:rsid w:val="00CE57E6"/>
    <w:rsid w:val="00CE580C"/>
    <w:rsid w:val="00CE5A62"/>
    <w:rsid w:val="00CE7BB6"/>
    <w:rsid w:val="00CF760B"/>
    <w:rsid w:val="00CF79A0"/>
    <w:rsid w:val="00D00B5C"/>
    <w:rsid w:val="00D013C8"/>
    <w:rsid w:val="00D022D2"/>
    <w:rsid w:val="00D03439"/>
    <w:rsid w:val="00D037FE"/>
    <w:rsid w:val="00D04127"/>
    <w:rsid w:val="00D0463F"/>
    <w:rsid w:val="00D0738F"/>
    <w:rsid w:val="00D10559"/>
    <w:rsid w:val="00D15114"/>
    <w:rsid w:val="00D164FC"/>
    <w:rsid w:val="00D16828"/>
    <w:rsid w:val="00D16C60"/>
    <w:rsid w:val="00D16E1E"/>
    <w:rsid w:val="00D17725"/>
    <w:rsid w:val="00D200E8"/>
    <w:rsid w:val="00D20A82"/>
    <w:rsid w:val="00D22228"/>
    <w:rsid w:val="00D230DA"/>
    <w:rsid w:val="00D232F0"/>
    <w:rsid w:val="00D2334B"/>
    <w:rsid w:val="00D23EF1"/>
    <w:rsid w:val="00D24345"/>
    <w:rsid w:val="00D24BC4"/>
    <w:rsid w:val="00D262A7"/>
    <w:rsid w:val="00D266AF"/>
    <w:rsid w:val="00D2736F"/>
    <w:rsid w:val="00D31000"/>
    <w:rsid w:val="00D3161A"/>
    <w:rsid w:val="00D31C00"/>
    <w:rsid w:val="00D31C91"/>
    <w:rsid w:val="00D3246B"/>
    <w:rsid w:val="00D332E0"/>
    <w:rsid w:val="00D33418"/>
    <w:rsid w:val="00D35129"/>
    <w:rsid w:val="00D35283"/>
    <w:rsid w:val="00D35981"/>
    <w:rsid w:val="00D365FC"/>
    <w:rsid w:val="00D405DC"/>
    <w:rsid w:val="00D40BED"/>
    <w:rsid w:val="00D42332"/>
    <w:rsid w:val="00D44E76"/>
    <w:rsid w:val="00D47A30"/>
    <w:rsid w:val="00D50791"/>
    <w:rsid w:val="00D508E5"/>
    <w:rsid w:val="00D52026"/>
    <w:rsid w:val="00D529D9"/>
    <w:rsid w:val="00D53E4C"/>
    <w:rsid w:val="00D54213"/>
    <w:rsid w:val="00D61273"/>
    <w:rsid w:val="00D631F9"/>
    <w:rsid w:val="00D640D6"/>
    <w:rsid w:val="00D65583"/>
    <w:rsid w:val="00D6667F"/>
    <w:rsid w:val="00D66923"/>
    <w:rsid w:val="00D66E7D"/>
    <w:rsid w:val="00D66FDC"/>
    <w:rsid w:val="00D67FB4"/>
    <w:rsid w:val="00D7019B"/>
    <w:rsid w:val="00D703E9"/>
    <w:rsid w:val="00D71F31"/>
    <w:rsid w:val="00D7221A"/>
    <w:rsid w:val="00D72257"/>
    <w:rsid w:val="00D7311D"/>
    <w:rsid w:val="00D73635"/>
    <w:rsid w:val="00D73B1A"/>
    <w:rsid w:val="00D75566"/>
    <w:rsid w:val="00D7557C"/>
    <w:rsid w:val="00D759FE"/>
    <w:rsid w:val="00D7638C"/>
    <w:rsid w:val="00D76B5B"/>
    <w:rsid w:val="00D76E49"/>
    <w:rsid w:val="00D77BEA"/>
    <w:rsid w:val="00D77ED9"/>
    <w:rsid w:val="00D802BC"/>
    <w:rsid w:val="00D80DED"/>
    <w:rsid w:val="00D82EC8"/>
    <w:rsid w:val="00D833BA"/>
    <w:rsid w:val="00D835B3"/>
    <w:rsid w:val="00D8412B"/>
    <w:rsid w:val="00D8701D"/>
    <w:rsid w:val="00D873DC"/>
    <w:rsid w:val="00D879D3"/>
    <w:rsid w:val="00D9002E"/>
    <w:rsid w:val="00D909BD"/>
    <w:rsid w:val="00D94552"/>
    <w:rsid w:val="00D9548D"/>
    <w:rsid w:val="00D955BE"/>
    <w:rsid w:val="00D95ABE"/>
    <w:rsid w:val="00D96657"/>
    <w:rsid w:val="00D96ADF"/>
    <w:rsid w:val="00D96C83"/>
    <w:rsid w:val="00DA04A6"/>
    <w:rsid w:val="00DA1213"/>
    <w:rsid w:val="00DA2E8A"/>
    <w:rsid w:val="00DA3D1E"/>
    <w:rsid w:val="00DA796D"/>
    <w:rsid w:val="00DB0740"/>
    <w:rsid w:val="00DB0A83"/>
    <w:rsid w:val="00DB0ECD"/>
    <w:rsid w:val="00DB13AF"/>
    <w:rsid w:val="00DB2C0C"/>
    <w:rsid w:val="00DB5DD3"/>
    <w:rsid w:val="00DC0B4A"/>
    <w:rsid w:val="00DC13F0"/>
    <w:rsid w:val="00DC3571"/>
    <w:rsid w:val="00DC3D13"/>
    <w:rsid w:val="00DC5863"/>
    <w:rsid w:val="00DC58A2"/>
    <w:rsid w:val="00DD133D"/>
    <w:rsid w:val="00DD36BB"/>
    <w:rsid w:val="00DD56BE"/>
    <w:rsid w:val="00DD68FF"/>
    <w:rsid w:val="00DD7914"/>
    <w:rsid w:val="00DE0041"/>
    <w:rsid w:val="00DE2130"/>
    <w:rsid w:val="00DE2872"/>
    <w:rsid w:val="00DE3FEF"/>
    <w:rsid w:val="00DE4F66"/>
    <w:rsid w:val="00DE504F"/>
    <w:rsid w:val="00DE6297"/>
    <w:rsid w:val="00DF2D16"/>
    <w:rsid w:val="00DF2F76"/>
    <w:rsid w:val="00DF4D67"/>
    <w:rsid w:val="00DF4EF8"/>
    <w:rsid w:val="00DF4F24"/>
    <w:rsid w:val="00DF5787"/>
    <w:rsid w:val="00DF5AB9"/>
    <w:rsid w:val="00DF6299"/>
    <w:rsid w:val="00DF64BE"/>
    <w:rsid w:val="00DF6718"/>
    <w:rsid w:val="00DF753A"/>
    <w:rsid w:val="00DF7DBB"/>
    <w:rsid w:val="00E00E1B"/>
    <w:rsid w:val="00E01628"/>
    <w:rsid w:val="00E01F4E"/>
    <w:rsid w:val="00E1312D"/>
    <w:rsid w:val="00E138C7"/>
    <w:rsid w:val="00E15856"/>
    <w:rsid w:val="00E15E23"/>
    <w:rsid w:val="00E17C0A"/>
    <w:rsid w:val="00E20441"/>
    <w:rsid w:val="00E2152D"/>
    <w:rsid w:val="00E219FC"/>
    <w:rsid w:val="00E21DE8"/>
    <w:rsid w:val="00E2223A"/>
    <w:rsid w:val="00E25E3B"/>
    <w:rsid w:val="00E25EF2"/>
    <w:rsid w:val="00E3223D"/>
    <w:rsid w:val="00E3230E"/>
    <w:rsid w:val="00E3251A"/>
    <w:rsid w:val="00E32AF4"/>
    <w:rsid w:val="00E34E0F"/>
    <w:rsid w:val="00E365D6"/>
    <w:rsid w:val="00E36FB7"/>
    <w:rsid w:val="00E37DDF"/>
    <w:rsid w:val="00E4459D"/>
    <w:rsid w:val="00E44CF8"/>
    <w:rsid w:val="00E4646D"/>
    <w:rsid w:val="00E5040D"/>
    <w:rsid w:val="00E5067C"/>
    <w:rsid w:val="00E50CEC"/>
    <w:rsid w:val="00E5106E"/>
    <w:rsid w:val="00E51081"/>
    <w:rsid w:val="00E5110C"/>
    <w:rsid w:val="00E533A8"/>
    <w:rsid w:val="00E53C8A"/>
    <w:rsid w:val="00E55984"/>
    <w:rsid w:val="00E56251"/>
    <w:rsid w:val="00E56825"/>
    <w:rsid w:val="00E60638"/>
    <w:rsid w:val="00E60837"/>
    <w:rsid w:val="00E61A00"/>
    <w:rsid w:val="00E63351"/>
    <w:rsid w:val="00E66BB5"/>
    <w:rsid w:val="00E6716A"/>
    <w:rsid w:val="00E70C66"/>
    <w:rsid w:val="00E70F83"/>
    <w:rsid w:val="00E71682"/>
    <w:rsid w:val="00E73852"/>
    <w:rsid w:val="00E74534"/>
    <w:rsid w:val="00E74C8B"/>
    <w:rsid w:val="00E75478"/>
    <w:rsid w:val="00E76019"/>
    <w:rsid w:val="00E762DB"/>
    <w:rsid w:val="00E76E94"/>
    <w:rsid w:val="00E778BA"/>
    <w:rsid w:val="00E812CF"/>
    <w:rsid w:val="00E83240"/>
    <w:rsid w:val="00E86211"/>
    <w:rsid w:val="00E87735"/>
    <w:rsid w:val="00E8799A"/>
    <w:rsid w:val="00E9002E"/>
    <w:rsid w:val="00E903E7"/>
    <w:rsid w:val="00E9224E"/>
    <w:rsid w:val="00E93828"/>
    <w:rsid w:val="00E94998"/>
    <w:rsid w:val="00E94C65"/>
    <w:rsid w:val="00E94F6F"/>
    <w:rsid w:val="00E96604"/>
    <w:rsid w:val="00EA018F"/>
    <w:rsid w:val="00EA0C33"/>
    <w:rsid w:val="00EA0F5B"/>
    <w:rsid w:val="00EA23C8"/>
    <w:rsid w:val="00EA390F"/>
    <w:rsid w:val="00EA6A3C"/>
    <w:rsid w:val="00EA7589"/>
    <w:rsid w:val="00EB0F97"/>
    <w:rsid w:val="00EB16E2"/>
    <w:rsid w:val="00EB1871"/>
    <w:rsid w:val="00EB2077"/>
    <w:rsid w:val="00EB43C9"/>
    <w:rsid w:val="00EB51D6"/>
    <w:rsid w:val="00EB52B8"/>
    <w:rsid w:val="00EB54EC"/>
    <w:rsid w:val="00EB5575"/>
    <w:rsid w:val="00EB59EF"/>
    <w:rsid w:val="00EB6734"/>
    <w:rsid w:val="00EB6DDC"/>
    <w:rsid w:val="00EC038C"/>
    <w:rsid w:val="00EC1D73"/>
    <w:rsid w:val="00EC2874"/>
    <w:rsid w:val="00EC2981"/>
    <w:rsid w:val="00EC2AD1"/>
    <w:rsid w:val="00EC2B17"/>
    <w:rsid w:val="00EC6409"/>
    <w:rsid w:val="00EC6F7D"/>
    <w:rsid w:val="00ED1167"/>
    <w:rsid w:val="00ED20C0"/>
    <w:rsid w:val="00ED22C9"/>
    <w:rsid w:val="00ED22FA"/>
    <w:rsid w:val="00ED3D86"/>
    <w:rsid w:val="00ED5C99"/>
    <w:rsid w:val="00ED77F6"/>
    <w:rsid w:val="00EE122A"/>
    <w:rsid w:val="00EE15AE"/>
    <w:rsid w:val="00EE29F8"/>
    <w:rsid w:val="00EE452F"/>
    <w:rsid w:val="00EE5200"/>
    <w:rsid w:val="00EE5E64"/>
    <w:rsid w:val="00EF0231"/>
    <w:rsid w:val="00EF1C72"/>
    <w:rsid w:val="00EF1D55"/>
    <w:rsid w:val="00EF211D"/>
    <w:rsid w:val="00EF28B0"/>
    <w:rsid w:val="00EF4DFE"/>
    <w:rsid w:val="00EF5596"/>
    <w:rsid w:val="00EF6211"/>
    <w:rsid w:val="00EF6947"/>
    <w:rsid w:val="00EF7755"/>
    <w:rsid w:val="00F01BF1"/>
    <w:rsid w:val="00F02076"/>
    <w:rsid w:val="00F034BE"/>
    <w:rsid w:val="00F0392D"/>
    <w:rsid w:val="00F0553B"/>
    <w:rsid w:val="00F075E6"/>
    <w:rsid w:val="00F07A0C"/>
    <w:rsid w:val="00F1284A"/>
    <w:rsid w:val="00F140D5"/>
    <w:rsid w:val="00F15BAE"/>
    <w:rsid w:val="00F172BE"/>
    <w:rsid w:val="00F17D5C"/>
    <w:rsid w:val="00F20820"/>
    <w:rsid w:val="00F22288"/>
    <w:rsid w:val="00F22DF7"/>
    <w:rsid w:val="00F238DB"/>
    <w:rsid w:val="00F30EC2"/>
    <w:rsid w:val="00F328CF"/>
    <w:rsid w:val="00F358BF"/>
    <w:rsid w:val="00F35C8C"/>
    <w:rsid w:val="00F37A25"/>
    <w:rsid w:val="00F40203"/>
    <w:rsid w:val="00F40F52"/>
    <w:rsid w:val="00F41EF7"/>
    <w:rsid w:val="00F42865"/>
    <w:rsid w:val="00F432C6"/>
    <w:rsid w:val="00F4421B"/>
    <w:rsid w:val="00F4585A"/>
    <w:rsid w:val="00F45C7F"/>
    <w:rsid w:val="00F5005D"/>
    <w:rsid w:val="00F50107"/>
    <w:rsid w:val="00F512F2"/>
    <w:rsid w:val="00F52C8E"/>
    <w:rsid w:val="00F538FD"/>
    <w:rsid w:val="00F54400"/>
    <w:rsid w:val="00F55EFC"/>
    <w:rsid w:val="00F57807"/>
    <w:rsid w:val="00F6073B"/>
    <w:rsid w:val="00F60CFA"/>
    <w:rsid w:val="00F60FC5"/>
    <w:rsid w:val="00F6353A"/>
    <w:rsid w:val="00F64672"/>
    <w:rsid w:val="00F6791D"/>
    <w:rsid w:val="00F6794B"/>
    <w:rsid w:val="00F7112D"/>
    <w:rsid w:val="00F715EF"/>
    <w:rsid w:val="00F71643"/>
    <w:rsid w:val="00F7259F"/>
    <w:rsid w:val="00F73914"/>
    <w:rsid w:val="00F7520A"/>
    <w:rsid w:val="00F7694B"/>
    <w:rsid w:val="00F76A10"/>
    <w:rsid w:val="00F77DFA"/>
    <w:rsid w:val="00F8196F"/>
    <w:rsid w:val="00F84D43"/>
    <w:rsid w:val="00F86A87"/>
    <w:rsid w:val="00F870DC"/>
    <w:rsid w:val="00F873D1"/>
    <w:rsid w:val="00F906CB"/>
    <w:rsid w:val="00F93ABE"/>
    <w:rsid w:val="00F967C7"/>
    <w:rsid w:val="00F972FE"/>
    <w:rsid w:val="00F97D48"/>
    <w:rsid w:val="00FA088A"/>
    <w:rsid w:val="00FA0B85"/>
    <w:rsid w:val="00FA1206"/>
    <w:rsid w:val="00FA3249"/>
    <w:rsid w:val="00FA4CD2"/>
    <w:rsid w:val="00FA54F4"/>
    <w:rsid w:val="00FA7B77"/>
    <w:rsid w:val="00FA7D48"/>
    <w:rsid w:val="00FB056F"/>
    <w:rsid w:val="00FB33A5"/>
    <w:rsid w:val="00FB362B"/>
    <w:rsid w:val="00FB3700"/>
    <w:rsid w:val="00FB3D41"/>
    <w:rsid w:val="00FB4311"/>
    <w:rsid w:val="00FB697E"/>
    <w:rsid w:val="00FB795E"/>
    <w:rsid w:val="00FC11BE"/>
    <w:rsid w:val="00FC23FB"/>
    <w:rsid w:val="00FC247A"/>
    <w:rsid w:val="00FC3BAA"/>
    <w:rsid w:val="00FC4189"/>
    <w:rsid w:val="00FC5237"/>
    <w:rsid w:val="00FC52B8"/>
    <w:rsid w:val="00FC5F90"/>
    <w:rsid w:val="00FD0B9C"/>
    <w:rsid w:val="00FD277B"/>
    <w:rsid w:val="00FD35FA"/>
    <w:rsid w:val="00FD4547"/>
    <w:rsid w:val="00FD4AFD"/>
    <w:rsid w:val="00FD51A3"/>
    <w:rsid w:val="00FD5EC4"/>
    <w:rsid w:val="00FD5F31"/>
    <w:rsid w:val="00FD600D"/>
    <w:rsid w:val="00FE1599"/>
    <w:rsid w:val="00FE273E"/>
    <w:rsid w:val="00FE2C9A"/>
    <w:rsid w:val="00FE322B"/>
    <w:rsid w:val="00FE3EEF"/>
    <w:rsid w:val="00FE3F12"/>
    <w:rsid w:val="00FE3F25"/>
    <w:rsid w:val="00FE4DBA"/>
    <w:rsid w:val="00FE75B5"/>
    <w:rsid w:val="00FF1362"/>
    <w:rsid w:val="00FF1686"/>
    <w:rsid w:val="00FF2828"/>
    <w:rsid w:val="00FF3509"/>
    <w:rsid w:val="00FF5CE6"/>
    <w:rsid w:val="00FF621D"/>
    <w:rsid w:val="00FF690A"/>
    <w:rsid w:val="00FF7EF7"/>
    <w:rsid w:val="0108647F"/>
    <w:rsid w:val="01242B97"/>
    <w:rsid w:val="012A0256"/>
    <w:rsid w:val="01417F28"/>
    <w:rsid w:val="01443004"/>
    <w:rsid w:val="0149071E"/>
    <w:rsid w:val="01545618"/>
    <w:rsid w:val="015E3A3B"/>
    <w:rsid w:val="017964A9"/>
    <w:rsid w:val="01851778"/>
    <w:rsid w:val="018C0CEB"/>
    <w:rsid w:val="019927F8"/>
    <w:rsid w:val="01996FC1"/>
    <w:rsid w:val="019B6843"/>
    <w:rsid w:val="019C4149"/>
    <w:rsid w:val="019C6895"/>
    <w:rsid w:val="01A24C7D"/>
    <w:rsid w:val="01B843D4"/>
    <w:rsid w:val="01BA3658"/>
    <w:rsid w:val="01BA5102"/>
    <w:rsid w:val="01BC4DAE"/>
    <w:rsid w:val="01CB47CC"/>
    <w:rsid w:val="02013B5B"/>
    <w:rsid w:val="020341D0"/>
    <w:rsid w:val="021D656C"/>
    <w:rsid w:val="0231243F"/>
    <w:rsid w:val="02485075"/>
    <w:rsid w:val="024D768C"/>
    <w:rsid w:val="025B102D"/>
    <w:rsid w:val="0261048B"/>
    <w:rsid w:val="0268131B"/>
    <w:rsid w:val="026815E4"/>
    <w:rsid w:val="02817194"/>
    <w:rsid w:val="02860313"/>
    <w:rsid w:val="029112D6"/>
    <w:rsid w:val="029268E0"/>
    <w:rsid w:val="02982787"/>
    <w:rsid w:val="02A365E6"/>
    <w:rsid w:val="02A64D34"/>
    <w:rsid w:val="02AB6784"/>
    <w:rsid w:val="02B51262"/>
    <w:rsid w:val="02BD19E7"/>
    <w:rsid w:val="02C1524B"/>
    <w:rsid w:val="02C910D6"/>
    <w:rsid w:val="02C91949"/>
    <w:rsid w:val="02D70712"/>
    <w:rsid w:val="02E00554"/>
    <w:rsid w:val="02E33A9D"/>
    <w:rsid w:val="02F04FE7"/>
    <w:rsid w:val="02F15691"/>
    <w:rsid w:val="02F472CF"/>
    <w:rsid w:val="02F80385"/>
    <w:rsid w:val="02FD5A42"/>
    <w:rsid w:val="02FF4EEA"/>
    <w:rsid w:val="030158B6"/>
    <w:rsid w:val="03197B3C"/>
    <w:rsid w:val="03262337"/>
    <w:rsid w:val="036B29A7"/>
    <w:rsid w:val="037F0BFE"/>
    <w:rsid w:val="038378BB"/>
    <w:rsid w:val="038B7B8E"/>
    <w:rsid w:val="038E3DE1"/>
    <w:rsid w:val="03917E92"/>
    <w:rsid w:val="0394153D"/>
    <w:rsid w:val="03A31238"/>
    <w:rsid w:val="03A83FB4"/>
    <w:rsid w:val="03B8109A"/>
    <w:rsid w:val="03B95609"/>
    <w:rsid w:val="03BD361F"/>
    <w:rsid w:val="03CB79A9"/>
    <w:rsid w:val="03CD7DD8"/>
    <w:rsid w:val="03D63A51"/>
    <w:rsid w:val="03DB0AA4"/>
    <w:rsid w:val="03E944AB"/>
    <w:rsid w:val="03F74844"/>
    <w:rsid w:val="041B675B"/>
    <w:rsid w:val="0436281A"/>
    <w:rsid w:val="04460152"/>
    <w:rsid w:val="044944E2"/>
    <w:rsid w:val="045734E9"/>
    <w:rsid w:val="048B3E14"/>
    <w:rsid w:val="048F0882"/>
    <w:rsid w:val="04964A50"/>
    <w:rsid w:val="04996AF4"/>
    <w:rsid w:val="049B65BC"/>
    <w:rsid w:val="04A17A33"/>
    <w:rsid w:val="04A35EBA"/>
    <w:rsid w:val="04A859D9"/>
    <w:rsid w:val="04CC765A"/>
    <w:rsid w:val="04D11DD0"/>
    <w:rsid w:val="04E04747"/>
    <w:rsid w:val="04E17836"/>
    <w:rsid w:val="04EC3A82"/>
    <w:rsid w:val="04ED12F3"/>
    <w:rsid w:val="04EE40EE"/>
    <w:rsid w:val="04F01ED9"/>
    <w:rsid w:val="05036B30"/>
    <w:rsid w:val="05044BB3"/>
    <w:rsid w:val="050C4F1E"/>
    <w:rsid w:val="051D27ED"/>
    <w:rsid w:val="051E0EED"/>
    <w:rsid w:val="052C7985"/>
    <w:rsid w:val="05397005"/>
    <w:rsid w:val="053B03B1"/>
    <w:rsid w:val="054114DF"/>
    <w:rsid w:val="05541983"/>
    <w:rsid w:val="05581755"/>
    <w:rsid w:val="055E5928"/>
    <w:rsid w:val="056A01C4"/>
    <w:rsid w:val="058F5787"/>
    <w:rsid w:val="05924B19"/>
    <w:rsid w:val="05B11F63"/>
    <w:rsid w:val="05B203ED"/>
    <w:rsid w:val="05B744C1"/>
    <w:rsid w:val="05BD07EA"/>
    <w:rsid w:val="05C65AF1"/>
    <w:rsid w:val="05F51BD4"/>
    <w:rsid w:val="05F84F04"/>
    <w:rsid w:val="05FC3ECD"/>
    <w:rsid w:val="06022A2D"/>
    <w:rsid w:val="060E0D3B"/>
    <w:rsid w:val="060F333B"/>
    <w:rsid w:val="06182D3C"/>
    <w:rsid w:val="0627678C"/>
    <w:rsid w:val="06364DF6"/>
    <w:rsid w:val="06525A6F"/>
    <w:rsid w:val="065C25C0"/>
    <w:rsid w:val="06624310"/>
    <w:rsid w:val="066820CF"/>
    <w:rsid w:val="06A35EB8"/>
    <w:rsid w:val="06A3745D"/>
    <w:rsid w:val="06A85C49"/>
    <w:rsid w:val="06B94B23"/>
    <w:rsid w:val="06BD64BD"/>
    <w:rsid w:val="06CB11A6"/>
    <w:rsid w:val="06DB4EFA"/>
    <w:rsid w:val="06DE1ED6"/>
    <w:rsid w:val="06EC1374"/>
    <w:rsid w:val="07005A9A"/>
    <w:rsid w:val="071B239F"/>
    <w:rsid w:val="072561E2"/>
    <w:rsid w:val="0727457C"/>
    <w:rsid w:val="07772215"/>
    <w:rsid w:val="07831197"/>
    <w:rsid w:val="079314E2"/>
    <w:rsid w:val="0797412C"/>
    <w:rsid w:val="079B0250"/>
    <w:rsid w:val="07A53EA2"/>
    <w:rsid w:val="07C541BE"/>
    <w:rsid w:val="07CA7C2E"/>
    <w:rsid w:val="07F23B5B"/>
    <w:rsid w:val="07F53984"/>
    <w:rsid w:val="08006EF8"/>
    <w:rsid w:val="081B1CFB"/>
    <w:rsid w:val="081C4F49"/>
    <w:rsid w:val="08201859"/>
    <w:rsid w:val="082E3338"/>
    <w:rsid w:val="085417EE"/>
    <w:rsid w:val="086F5437"/>
    <w:rsid w:val="08892842"/>
    <w:rsid w:val="08971593"/>
    <w:rsid w:val="08971C56"/>
    <w:rsid w:val="0898116B"/>
    <w:rsid w:val="08986B18"/>
    <w:rsid w:val="089D188E"/>
    <w:rsid w:val="089E1975"/>
    <w:rsid w:val="08AF1457"/>
    <w:rsid w:val="08D62603"/>
    <w:rsid w:val="08E36401"/>
    <w:rsid w:val="08E960D2"/>
    <w:rsid w:val="08FB0A6A"/>
    <w:rsid w:val="09033637"/>
    <w:rsid w:val="09097F4E"/>
    <w:rsid w:val="090C68E1"/>
    <w:rsid w:val="091E42C0"/>
    <w:rsid w:val="09200547"/>
    <w:rsid w:val="09240971"/>
    <w:rsid w:val="09296AB4"/>
    <w:rsid w:val="0930437B"/>
    <w:rsid w:val="09314DB3"/>
    <w:rsid w:val="09341DC4"/>
    <w:rsid w:val="0936071C"/>
    <w:rsid w:val="09366598"/>
    <w:rsid w:val="093C72B1"/>
    <w:rsid w:val="09404F53"/>
    <w:rsid w:val="09425BB3"/>
    <w:rsid w:val="094947ED"/>
    <w:rsid w:val="094A4C9B"/>
    <w:rsid w:val="094C5FAC"/>
    <w:rsid w:val="097C0921"/>
    <w:rsid w:val="09832117"/>
    <w:rsid w:val="09A14DA5"/>
    <w:rsid w:val="09C54723"/>
    <w:rsid w:val="09CF221D"/>
    <w:rsid w:val="09F3797E"/>
    <w:rsid w:val="09F4732C"/>
    <w:rsid w:val="09FE71CA"/>
    <w:rsid w:val="0A013A04"/>
    <w:rsid w:val="0A047790"/>
    <w:rsid w:val="0A0E6785"/>
    <w:rsid w:val="0A134ED9"/>
    <w:rsid w:val="0A1E0336"/>
    <w:rsid w:val="0A3E3491"/>
    <w:rsid w:val="0A596F6B"/>
    <w:rsid w:val="0A5B7993"/>
    <w:rsid w:val="0A5C75DB"/>
    <w:rsid w:val="0A6510C2"/>
    <w:rsid w:val="0A6B43FA"/>
    <w:rsid w:val="0A752525"/>
    <w:rsid w:val="0A7D73CF"/>
    <w:rsid w:val="0A841766"/>
    <w:rsid w:val="0AA50CBC"/>
    <w:rsid w:val="0AC6783F"/>
    <w:rsid w:val="0AE015E2"/>
    <w:rsid w:val="0AE02339"/>
    <w:rsid w:val="0B002F30"/>
    <w:rsid w:val="0B0C0E63"/>
    <w:rsid w:val="0B0F2CFE"/>
    <w:rsid w:val="0B2C49CE"/>
    <w:rsid w:val="0B43373E"/>
    <w:rsid w:val="0B58489E"/>
    <w:rsid w:val="0B5A2860"/>
    <w:rsid w:val="0B7C1DFC"/>
    <w:rsid w:val="0B80619A"/>
    <w:rsid w:val="0B91235B"/>
    <w:rsid w:val="0B9E6170"/>
    <w:rsid w:val="0BA472B3"/>
    <w:rsid w:val="0BA66A88"/>
    <w:rsid w:val="0BB7467A"/>
    <w:rsid w:val="0BC30206"/>
    <w:rsid w:val="0BC5722B"/>
    <w:rsid w:val="0BCA3809"/>
    <w:rsid w:val="0BD811DC"/>
    <w:rsid w:val="0BDE2C73"/>
    <w:rsid w:val="0BE47F61"/>
    <w:rsid w:val="0C0153FE"/>
    <w:rsid w:val="0C0E4327"/>
    <w:rsid w:val="0C1736AF"/>
    <w:rsid w:val="0C210DBD"/>
    <w:rsid w:val="0C286DF9"/>
    <w:rsid w:val="0C3C2191"/>
    <w:rsid w:val="0C442023"/>
    <w:rsid w:val="0C4439C8"/>
    <w:rsid w:val="0C764F66"/>
    <w:rsid w:val="0C78584F"/>
    <w:rsid w:val="0C90518E"/>
    <w:rsid w:val="0C9743E1"/>
    <w:rsid w:val="0CB10D14"/>
    <w:rsid w:val="0CBB296A"/>
    <w:rsid w:val="0CBD6A35"/>
    <w:rsid w:val="0CC2631A"/>
    <w:rsid w:val="0CCE2E12"/>
    <w:rsid w:val="0CD64C58"/>
    <w:rsid w:val="0CDB28F9"/>
    <w:rsid w:val="0CE265FE"/>
    <w:rsid w:val="0CE64E73"/>
    <w:rsid w:val="0CE752C4"/>
    <w:rsid w:val="0CEB7EB2"/>
    <w:rsid w:val="0CEF4FFA"/>
    <w:rsid w:val="0CF51BF3"/>
    <w:rsid w:val="0D1F2AC7"/>
    <w:rsid w:val="0D23201B"/>
    <w:rsid w:val="0D4161D6"/>
    <w:rsid w:val="0D4D084E"/>
    <w:rsid w:val="0D5C3DD8"/>
    <w:rsid w:val="0D5F0C35"/>
    <w:rsid w:val="0D651073"/>
    <w:rsid w:val="0D683FF2"/>
    <w:rsid w:val="0D7B528E"/>
    <w:rsid w:val="0D8D5550"/>
    <w:rsid w:val="0D98113F"/>
    <w:rsid w:val="0DA73B86"/>
    <w:rsid w:val="0DD84583"/>
    <w:rsid w:val="0DEC1246"/>
    <w:rsid w:val="0E036F7D"/>
    <w:rsid w:val="0E095CB3"/>
    <w:rsid w:val="0E0E2616"/>
    <w:rsid w:val="0E152345"/>
    <w:rsid w:val="0E1D2431"/>
    <w:rsid w:val="0E3C03C0"/>
    <w:rsid w:val="0E433C11"/>
    <w:rsid w:val="0E6E1577"/>
    <w:rsid w:val="0E757792"/>
    <w:rsid w:val="0E7C5D7D"/>
    <w:rsid w:val="0E8E115B"/>
    <w:rsid w:val="0E9577A4"/>
    <w:rsid w:val="0EB01CFD"/>
    <w:rsid w:val="0EBD3E9D"/>
    <w:rsid w:val="0ECD290C"/>
    <w:rsid w:val="0ED055FB"/>
    <w:rsid w:val="0ED5398D"/>
    <w:rsid w:val="0EDC4477"/>
    <w:rsid w:val="0EDD5F2B"/>
    <w:rsid w:val="0EED3B46"/>
    <w:rsid w:val="0F0F7B37"/>
    <w:rsid w:val="0F1259A0"/>
    <w:rsid w:val="0F1F371E"/>
    <w:rsid w:val="0F1F63BF"/>
    <w:rsid w:val="0F2065EB"/>
    <w:rsid w:val="0F296838"/>
    <w:rsid w:val="0F313473"/>
    <w:rsid w:val="0F390336"/>
    <w:rsid w:val="0F391DAD"/>
    <w:rsid w:val="0F425E16"/>
    <w:rsid w:val="0F520A09"/>
    <w:rsid w:val="0F59008A"/>
    <w:rsid w:val="0F616109"/>
    <w:rsid w:val="0F6316A0"/>
    <w:rsid w:val="0F637711"/>
    <w:rsid w:val="0F85491C"/>
    <w:rsid w:val="0F946AAC"/>
    <w:rsid w:val="0F9A087F"/>
    <w:rsid w:val="0FA20DA6"/>
    <w:rsid w:val="0FA751D8"/>
    <w:rsid w:val="0FB159D8"/>
    <w:rsid w:val="0FC936E2"/>
    <w:rsid w:val="0FD359B9"/>
    <w:rsid w:val="0FDA0251"/>
    <w:rsid w:val="0FDD0A3F"/>
    <w:rsid w:val="0FDD2FCD"/>
    <w:rsid w:val="0FE00240"/>
    <w:rsid w:val="0FF01693"/>
    <w:rsid w:val="0FF061F2"/>
    <w:rsid w:val="0FF4582F"/>
    <w:rsid w:val="100750C9"/>
    <w:rsid w:val="100A14E3"/>
    <w:rsid w:val="102449F6"/>
    <w:rsid w:val="102711A2"/>
    <w:rsid w:val="102A0764"/>
    <w:rsid w:val="102F2633"/>
    <w:rsid w:val="103E273A"/>
    <w:rsid w:val="10436635"/>
    <w:rsid w:val="10497E94"/>
    <w:rsid w:val="105F3BD0"/>
    <w:rsid w:val="10826FCE"/>
    <w:rsid w:val="10871E49"/>
    <w:rsid w:val="108C58FC"/>
    <w:rsid w:val="10DB1532"/>
    <w:rsid w:val="10EB59A7"/>
    <w:rsid w:val="10F96BC6"/>
    <w:rsid w:val="11015A1F"/>
    <w:rsid w:val="11031393"/>
    <w:rsid w:val="110D0B25"/>
    <w:rsid w:val="11162729"/>
    <w:rsid w:val="11171289"/>
    <w:rsid w:val="112137E7"/>
    <w:rsid w:val="112B64AC"/>
    <w:rsid w:val="11437B53"/>
    <w:rsid w:val="11443064"/>
    <w:rsid w:val="1154496C"/>
    <w:rsid w:val="11561DE1"/>
    <w:rsid w:val="11667AAD"/>
    <w:rsid w:val="11726B17"/>
    <w:rsid w:val="117E6A7D"/>
    <w:rsid w:val="11A6040F"/>
    <w:rsid w:val="11B159CB"/>
    <w:rsid w:val="11B73F42"/>
    <w:rsid w:val="11B84B36"/>
    <w:rsid w:val="11CE0A81"/>
    <w:rsid w:val="11DC0E58"/>
    <w:rsid w:val="11EF7A94"/>
    <w:rsid w:val="11F2404A"/>
    <w:rsid w:val="11FA23A8"/>
    <w:rsid w:val="11FA52C9"/>
    <w:rsid w:val="1202616C"/>
    <w:rsid w:val="12191200"/>
    <w:rsid w:val="122F0942"/>
    <w:rsid w:val="124222F8"/>
    <w:rsid w:val="12457F15"/>
    <w:rsid w:val="124608DE"/>
    <w:rsid w:val="124779E4"/>
    <w:rsid w:val="12477A61"/>
    <w:rsid w:val="124D28E3"/>
    <w:rsid w:val="125B433E"/>
    <w:rsid w:val="126169E1"/>
    <w:rsid w:val="12662687"/>
    <w:rsid w:val="126C2CAD"/>
    <w:rsid w:val="129D4DE6"/>
    <w:rsid w:val="12B45379"/>
    <w:rsid w:val="12BC4EBB"/>
    <w:rsid w:val="12C9780A"/>
    <w:rsid w:val="12DC62C0"/>
    <w:rsid w:val="12DF1793"/>
    <w:rsid w:val="12E80F52"/>
    <w:rsid w:val="12E90E57"/>
    <w:rsid w:val="12FC5163"/>
    <w:rsid w:val="130F304C"/>
    <w:rsid w:val="13146AEB"/>
    <w:rsid w:val="13200581"/>
    <w:rsid w:val="134E626A"/>
    <w:rsid w:val="13675076"/>
    <w:rsid w:val="139871D0"/>
    <w:rsid w:val="13AD5213"/>
    <w:rsid w:val="13AF4099"/>
    <w:rsid w:val="13B17070"/>
    <w:rsid w:val="13C222F2"/>
    <w:rsid w:val="13D600B4"/>
    <w:rsid w:val="13D653E9"/>
    <w:rsid w:val="13DB38A7"/>
    <w:rsid w:val="13DB55AF"/>
    <w:rsid w:val="13E06F65"/>
    <w:rsid w:val="13EE087E"/>
    <w:rsid w:val="13F43368"/>
    <w:rsid w:val="13F827F3"/>
    <w:rsid w:val="13FA141C"/>
    <w:rsid w:val="13FC09DD"/>
    <w:rsid w:val="140E5F99"/>
    <w:rsid w:val="141A2D35"/>
    <w:rsid w:val="141C6064"/>
    <w:rsid w:val="142A2C0E"/>
    <w:rsid w:val="14325239"/>
    <w:rsid w:val="143E6954"/>
    <w:rsid w:val="14432EB8"/>
    <w:rsid w:val="144333DD"/>
    <w:rsid w:val="14473A35"/>
    <w:rsid w:val="146549BC"/>
    <w:rsid w:val="14742ECD"/>
    <w:rsid w:val="14856A8B"/>
    <w:rsid w:val="1491280A"/>
    <w:rsid w:val="149639D9"/>
    <w:rsid w:val="149916E5"/>
    <w:rsid w:val="14AC56E1"/>
    <w:rsid w:val="14CC08AA"/>
    <w:rsid w:val="14EE35A5"/>
    <w:rsid w:val="15134B73"/>
    <w:rsid w:val="151F2E24"/>
    <w:rsid w:val="15303292"/>
    <w:rsid w:val="15460BDD"/>
    <w:rsid w:val="15663557"/>
    <w:rsid w:val="156A01D3"/>
    <w:rsid w:val="157A6087"/>
    <w:rsid w:val="158B35E9"/>
    <w:rsid w:val="15A63561"/>
    <w:rsid w:val="15B20AD3"/>
    <w:rsid w:val="15B53B9F"/>
    <w:rsid w:val="15BE7CAB"/>
    <w:rsid w:val="15C06257"/>
    <w:rsid w:val="15D23282"/>
    <w:rsid w:val="15D5355B"/>
    <w:rsid w:val="15DA6E9E"/>
    <w:rsid w:val="15DC32D9"/>
    <w:rsid w:val="15E04E5A"/>
    <w:rsid w:val="15EB4BE7"/>
    <w:rsid w:val="15EC4CC4"/>
    <w:rsid w:val="15F905BA"/>
    <w:rsid w:val="160A5CEF"/>
    <w:rsid w:val="161D7A9A"/>
    <w:rsid w:val="162115DE"/>
    <w:rsid w:val="16212955"/>
    <w:rsid w:val="163026FD"/>
    <w:rsid w:val="163E3747"/>
    <w:rsid w:val="16456CC4"/>
    <w:rsid w:val="164813C6"/>
    <w:rsid w:val="1650706E"/>
    <w:rsid w:val="16531805"/>
    <w:rsid w:val="16710B48"/>
    <w:rsid w:val="16770956"/>
    <w:rsid w:val="16774C37"/>
    <w:rsid w:val="169460F8"/>
    <w:rsid w:val="16984A05"/>
    <w:rsid w:val="16AB3ED9"/>
    <w:rsid w:val="16AC1DD6"/>
    <w:rsid w:val="16BC62B8"/>
    <w:rsid w:val="16E8527E"/>
    <w:rsid w:val="16F80E67"/>
    <w:rsid w:val="17106D13"/>
    <w:rsid w:val="17125301"/>
    <w:rsid w:val="171C34BA"/>
    <w:rsid w:val="171D1F4E"/>
    <w:rsid w:val="17286204"/>
    <w:rsid w:val="17583913"/>
    <w:rsid w:val="175C2D88"/>
    <w:rsid w:val="17632756"/>
    <w:rsid w:val="17662980"/>
    <w:rsid w:val="17684D51"/>
    <w:rsid w:val="1771724D"/>
    <w:rsid w:val="17935A31"/>
    <w:rsid w:val="17993FD1"/>
    <w:rsid w:val="17997876"/>
    <w:rsid w:val="17A25569"/>
    <w:rsid w:val="17AA57C4"/>
    <w:rsid w:val="17B8211C"/>
    <w:rsid w:val="17BE42E9"/>
    <w:rsid w:val="17C37954"/>
    <w:rsid w:val="17C64A09"/>
    <w:rsid w:val="17DB2EE0"/>
    <w:rsid w:val="17DD4E0B"/>
    <w:rsid w:val="17E2473E"/>
    <w:rsid w:val="17F47BED"/>
    <w:rsid w:val="17F67C40"/>
    <w:rsid w:val="17F779DA"/>
    <w:rsid w:val="18117495"/>
    <w:rsid w:val="181548D3"/>
    <w:rsid w:val="181C4222"/>
    <w:rsid w:val="18435EB9"/>
    <w:rsid w:val="184E2578"/>
    <w:rsid w:val="18514210"/>
    <w:rsid w:val="18520AC3"/>
    <w:rsid w:val="18630A2D"/>
    <w:rsid w:val="1869633E"/>
    <w:rsid w:val="186D39B7"/>
    <w:rsid w:val="18724607"/>
    <w:rsid w:val="18826DA1"/>
    <w:rsid w:val="18891CD8"/>
    <w:rsid w:val="18995E47"/>
    <w:rsid w:val="18A53C62"/>
    <w:rsid w:val="18A85616"/>
    <w:rsid w:val="18B01BFD"/>
    <w:rsid w:val="18B054FD"/>
    <w:rsid w:val="18B175CE"/>
    <w:rsid w:val="18F615BD"/>
    <w:rsid w:val="18FF234A"/>
    <w:rsid w:val="19135BCB"/>
    <w:rsid w:val="19251DDD"/>
    <w:rsid w:val="19270435"/>
    <w:rsid w:val="192B0F35"/>
    <w:rsid w:val="19302A18"/>
    <w:rsid w:val="194A56E2"/>
    <w:rsid w:val="195053E2"/>
    <w:rsid w:val="19717A60"/>
    <w:rsid w:val="197B3D12"/>
    <w:rsid w:val="1982122A"/>
    <w:rsid w:val="198928A5"/>
    <w:rsid w:val="19D91D07"/>
    <w:rsid w:val="19D96C72"/>
    <w:rsid w:val="19EA74E1"/>
    <w:rsid w:val="1A260FC1"/>
    <w:rsid w:val="1A323497"/>
    <w:rsid w:val="1A343C07"/>
    <w:rsid w:val="1A3C0102"/>
    <w:rsid w:val="1A407A93"/>
    <w:rsid w:val="1A4407D8"/>
    <w:rsid w:val="1A462421"/>
    <w:rsid w:val="1A5E10C1"/>
    <w:rsid w:val="1A5F22FE"/>
    <w:rsid w:val="1A66238D"/>
    <w:rsid w:val="1A7018B1"/>
    <w:rsid w:val="1A733E3A"/>
    <w:rsid w:val="1A7C5346"/>
    <w:rsid w:val="1A836B32"/>
    <w:rsid w:val="1A893033"/>
    <w:rsid w:val="1A9504BD"/>
    <w:rsid w:val="1AB77DC3"/>
    <w:rsid w:val="1AC7392A"/>
    <w:rsid w:val="1AD96637"/>
    <w:rsid w:val="1AF444A6"/>
    <w:rsid w:val="1B0812F5"/>
    <w:rsid w:val="1B1A019C"/>
    <w:rsid w:val="1B475DF2"/>
    <w:rsid w:val="1B526DB5"/>
    <w:rsid w:val="1B642879"/>
    <w:rsid w:val="1B660F6F"/>
    <w:rsid w:val="1B760630"/>
    <w:rsid w:val="1B86008C"/>
    <w:rsid w:val="1B880AAE"/>
    <w:rsid w:val="1B9A0095"/>
    <w:rsid w:val="1B9D5AAC"/>
    <w:rsid w:val="1BA66F4F"/>
    <w:rsid w:val="1BAE1032"/>
    <w:rsid w:val="1BC2309E"/>
    <w:rsid w:val="1BC40DFA"/>
    <w:rsid w:val="1BC67F80"/>
    <w:rsid w:val="1BC964B7"/>
    <w:rsid w:val="1BD52663"/>
    <w:rsid w:val="1BED0619"/>
    <w:rsid w:val="1C05313C"/>
    <w:rsid w:val="1C2166EA"/>
    <w:rsid w:val="1C3173A3"/>
    <w:rsid w:val="1C36543C"/>
    <w:rsid w:val="1C435338"/>
    <w:rsid w:val="1C6D189F"/>
    <w:rsid w:val="1C7604A2"/>
    <w:rsid w:val="1C864142"/>
    <w:rsid w:val="1C9112ED"/>
    <w:rsid w:val="1C9A5BC2"/>
    <w:rsid w:val="1CA01CB6"/>
    <w:rsid w:val="1CA45B08"/>
    <w:rsid w:val="1CDD743E"/>
    <w:rsid w:val="1CEF1489"/>
    <w:rsid w:val="1CFA2BC1"/>
    <w:rsid w:val="1D010E4D"/>
    <w:rsid w:val="1D056CD6"/>
    <w:rsid w:val="1D1046FD"/>
    <w:rsid w:val="1D155885"/>
    <w:rsid w:val="1D2E0287"/>
    <w:rsid w:val="1D5948A7"/>
    <w:rsid w:val="1D604A38"/>
    <w:rsid w:val="1D671E57"/>
    <w:rsid w:val="1D6C768D"/>
    <w:rsid w:val="1D6F1461"/>
    <w:rsid w:val="1D710F76"/>
    <w:rsid w:val="1D730B79"/>
    <w:rsid w:val="1D735C80"/>
    <w:rsid w:val="1D846F1C"/>
    <w:rsid w:val="1D9502FC"/>
    <w:rsid w:val="1D950793"/>
    <w:rsid w:val="1DB24D34"/>
    <w:rsid w:val="1DB42F60"/>
    <w:rsid w:val="1DB77537"/>
    <w:rsid w:val="1DD25EBA"/>
    <w:rsid w:val="1DEA25B4"/>
    <w:rsid w:val="1DF203AA"/>
    <w:rsid w:val="1E0123E7"/>
    <w:rsid w:val="1E234579"/>
    <w:rsid w:val="1E350312"/>
    <w:rsid w:val="1E48470A"/>
    <w:rsid w:val="1E494AB5"/>
    <w:rsid w:val="1E764FE4"/>
    <w:rsid w:val="1E8E117C"/>
    <w:rsid w:val="1E993BBB"/>
    <w:rsid w:val="1E9F10B7"/>
    <w:rsid w:val="1E9F6ABA"/>
    <w:rsid w:val="1EA828EE"/>
    <w:rsid w:val="1EB548EA"/>
    <w:rsid w:val="1EB72B83"/>
    <w:rsid w:val="1EBB6992"/>
    <w:rsid w:val="1EC401B0"/>
    <w:rsid w:val="1ECA1BDC"/>
    <w:rsid w:val="1ED26BBC"/>
    <w:rsid w:val="1EDA4D0D"/>
    <w:rsid w:val="1EDB3B74"/>
    <w:rsid w:val="1EE258C2"/>
    <w:rsid w:val="1EF04B90"/>
    <w:rsid w:val="1EF30AA1"/>
    <w:rsid w:val="1F095979"/>
    <w:rsid w:val="1F0C0B3D"/>
    <w:rsid w:val="1F1B78D6"/>
    <w:rsid w:val="1F1C5A02"/>
    <w:rsid w:val="1F29051A"/>
    <w:rsid w:val="1F2B5A74"/>
    <w:rsid w:val="1F3B7BA0"/>
    <w:rsid w:val="1F54115B"/>
    <w:rsid w:val="1F574879"/>
    <w:rsid w:val="1F5D725B"/>
    <w:rsid w:val="1F63167A"/>
    <w:rsid w:val="1F6D3C9A"/>
    <w:rsid w:val="1F867115"/>
    <w:rsid w:val="1F8D4C71"/>
    <w:rsid w:val="1FC134AF"/>
    <w:rsid w:val="1FCD69F4"/>
    <w:rsid w:val="1FD032CE"/>
    <w:rsid w:val="1FD22E33"/>
    <w:rsid w:val="1FD4007F"/>
    <w:rsid w:val="1FF27D84"/>
    <w:rsid w:val="1FF4292B"/>
    <w:rsid w:val="1FF90C1E"/>
    <w:rsid w:val="2003785A"/>
    <w:rsid w:val="200A11A8"/>
    <w:rsid w:val="200F1565"/>
    <w:rsid w:val="202368F6"/>
    <w:rsid w:val="203B20DE"/>
    <w:rsid w:val="203D6C88"/>
    <w:rsid w:val="20530D3C"/>
    <w:rsid w:val="2064519B"/>
    <w:rsid w:val="20652A60"/>
    <w:rsid w:val="207362D6"/>
    <w:rsid w:val="20781440"/>
    <w:rsid w:val="207C1201"/>
    <w:rsid w:val="207D14EC"/>
    <w:rsid w:val="20891E72"/>
    <w:rsid w:val="208B772A"/>
    <w:rsid w:val="20AF3D0F"/>
    <w:rsid w:val="20B131D7"/>
    <w:rsid w:val="20B8725A"/>
    <w:rsid w:val="20CE3120"/>
    <w:rsid w:val="20D00272"/>
    <w:rsid w:val="20D46A76"/>
    <w:rsid w:val="20D81A37"/>
    <w:rsid w:val="20D91233"/>
    <w:rsid w:val="20F77642"/>
    <w:rsid w:val="20F8466E"/>
    <w:rsid w:val="20FA1161"/>
    <w:rsid w:val="211C4C2C"/>
    <w:rsid w:val="21480631"/>
    <w:rsid w:val="214A3887"/>
    <w:rsid w:val="214E21E3"/>
    <w:rsid w:val="215C4E51"/>
    <w:rsid w:val="216451EB"/>
    <w:rsid w:val="2172148D"/>
    <w:rsid w:val="21736C7D"/>
    <w:rsid w:val="217A1804"/>
    <w:rsid w:val="21820AA0"/>
    <w:rsid w:val="21A60B14"/>
    <w:rsid w:val="21C46DBD"/>
    <w:rsid w:val="21D90E21"/>
    <w:rsid w:val="21DB1567"/>
    <w:rsid w:val="21E34985"/>
    <w:rsid w:val="21F31F7D"/>
    <w:rsid w:val="22055232"/>
    <w:rsid w:val="22076518"/>
    <w:rsid w:val="220F7598"/>
    <w:rsid w:val="2213595A"/>
    <w:rsid w:val="22145220"/>
    <w:rsid w:val="221A73D8"/>
    <w:rsid w:val="2222557F"/>
    <w:rsid w:val="22234CE7"/>
    <w:rsid w:val="223C1CB7"/>
    <w:rsid w:val="223E7B56"/>
    <w:rsid w:val="22674B89"/>
    <w:rsid w:val="2276215C"/>
    <w:rsid w:val="2278728D"/>
    <w:rsid w:val="227F3860"/>
    <w:rsid w:val="22880AD5"/>
    <w:rsid w:val="22A4321D"/>
    <w:rsid w:val="22AA766E"/>
    <w:rsid w:val="22B731A6"/>
    <w:rsid w:val="22BB44AB"/>
    <w:rsid w:val="22BC62E5"/>
    <w:rsid w:val="22BD2D50"/>
    <w:rsid w:val="22C6189D"/>
    <w:rsid w:val="22E10FAA"/>
    <w:rsid w:val="22E22992"/>
    <w:rsid w:val="22F24B2A"/>
    <w:rsid w:val="2308481C"/>
    <w:rsid w:val="23085487"/>
    <w:rsid w:val="230D060F"/>
    <w:rsid w:val="231922C3"/>
    <w:rsid w:val="232744FF"/>
    <w:rsid w:val="233157E3"/>
    <w:rsid w:val="23442125"/>
    <w:rsid w:val="234B086B"/>
    <w:rsid w:val="234B5C81"/>
    <w:rsid w:val="236E1D10"/>
    <w:rsid w:val="237836E4"/>
    <w:rsid w:val="237C49CD"/>
    <w:rsid w:val="237D1BED"/>
    <w:rsid w:val="238E7C7B"/>
    <w:rsid w:val="23AF2A51"/>
    <w:rsid w:val="23C36F25"/>
    <w:rsid w:val="23C848BE"/>
    <w:rsid w:val="23E43FFD"/>
    <w:rsid w:val="23EA1982"/>
    <w:rsid w:val="23EE429C"/>
    <w:rsid w:val="23F671C2"/>
    <w:rsid w:val="2409769C"/>
    <w:rsid w:val="240C33A2"/>
    <w:rsid w:val="2425528C"/>
    <w:rsid w:val="24373B1E"/>
    <w:rsid w:val="24814B82"/>
    <w:rsid w:val="24867876"/>
    <w:rsid w:val="248D1F4B"/>
    <w:rsid w:val="249069DD"/>
    <w:rsid w:val="24934C99"/>
    <w:rsid w:val="24A32827"/>
    <w:rsid w:val="24A3388B"/>
    <w:rsid w:val="24A77048"/>
    <w:rsid w:val="24AC5A62"/>
    <w:rsid w:val="24B35CEB"/>
    <w:rsid w:val="24CA2140"/>
    <w:rsid w:val="24CA4967"/>
    <w:rsid w:val="24D651B8"/>
    <w:rsid w:val="24DA0BED"/>
    <w:rsid w:val="24EB5053"/>
    <w:rsid w:val="24F52E5D"/>
    <w:rsid w:val="24FB3C7B"/>
    <w:rsid w:val="25177996"/>
    <w:rsid w:val="252639FD"/>
    <w:rsid w:val="252D5DCA"/>
    <w:rsid w:val="25324209"/>
    <w:rsid w:val="2533439A"/>
    <w:rsid w:val="25395A39"/>
    <w:rsid w:val="254476F1"/>
    <w:rsid w:val="255A6863"/>
    <w:rsid w:val="255F2922"/>
    <w:rsid w:val="2572391E"/>
    <w:rsid w:val="257815FF"/>
    <w:rsid w:val="25782608"/>
    <w:rsid w:val="2588079D"/>
    <w:rsid w:val="25897072"/>
    <w:rsid w:val="259F3C60"/>
    <w:rsid w:val="25A80FC7"/>
    <w:rsid w:val="25AE1D99"/>
    <w:rsid w:val="25BD376F"/>
    <w:rsid w:val="25D20840"/>
    <w:rsid w:val="25F41480"/>
    <w:rsid w:val="25F86939"/>
    <w:rsid w:val="25FA004D"/>
    <w:rsid w:val="26046CAA"/>
    <w:rsid w:val="264D66B1"/>
    <w:rsid w:val="2654468B"/>
    <w:rsid w:val="265E1847"/>
    <w:rsid w:val="266E5C88"/>
    <w:rsid w:val="26791843"/>
    <w:rsid w:val="267B1F77"/>
    <w:rsid w:val="267B4C3D"/>
    <w:rsid w:val="26945F27"/>
    <w:rsid w:val="269C2BCB"/>
    <w:rsid w:val="269E0014"/>
    <w:rsid w:val="26A65B40"/>
    <w:rsid w:val="26B25E5A"/>
    <w:rsid w:val="26C27167"/>
    <w:rsid w:val="26C467A8"/>
    <w:rsid w:val="26C84387"/>
    <w:rsid w:val="26E520F6"/>
    <w:rsid w:val="26E85FB9"/>
    <w:rsid w:val="27006CA7"/>
    <w:rsid w:val="27110EDF"/>
    <w:rsid w:val="271D7D92"/>
    <w:rsid w:val="273079EF"/>
    <w:rsid w:val="27384EB5"/>
    <w:rsid w:val="27591990"/>
    <w:rsid w:val="275D65F5"/>
    <w:rsid w:val="2777263E"/>
    <w:rsid w:val="2788244C"/>
    <w:rsid w:val="2792434F"/>
    <w:rsid w:val="27973E78"/>
    <w:rsid w:val="27A157F2"/>
    <w:rsid w:val="27A7768E"/>
    <w:rsid w:val="27AC7671"/>
    <w:rsid w:val="27B2328B"/>
    <w:rsid w:val="27C402A1"/>
    <w:rsid w:val="27CB550A"/>
    <w:rsid w:val="27D822B7"/>
    <w:rsid w:val="27DB2338"/>
    <w:rsid w:val="27DD735E"/>
    <w:rsid w:val="27F17EA2"/>
    <w:rsid w:val="27FC34A8"/>
    <w:rsid w:val="28052F25"/>
    <w:rsid w:val="28233194"/>
    <w:rsid w:val="2839061D"/>
    <w:rsid w:val="283A05DC"/>
    <w:rsid w:val="283B37A3"/>
    <w:rsid w:val="28474EA4"/>
    <w:rsid w:val="28563C77"/>
    <w:rsid w:val="28636BC2"/>
    <w:rsid w:val="287761B8"/>
    <w:rsid w:val="2880001A"/>
    <w:rsid w:val="28866E4D"/>
    <w:rsid w:val="28893CD3"/>
    <w:rsid w:val="28911BFF"/>
    <w:rsid w:val="289312FE"/>
    <w:rsid w:val="28A43C82"/>
    <w:rsid w:val="28A626AF"/>
    <w:rsid w:val="28BD13AF"/>
    <w:rsid w:val="28D863A4"/>
    <w:rsid w:val="28DF2D3D"/>
    <w:rsid w:val="28E42E0B"/>
    <w:rsid w:val="28F95975"/>
    <w:rsid w:val="29013E32"/>
    <w:rsid w:val="29101103"/>
    <w:rsid w:val="291503A3"/>
    <w:rsid w:val="292915B2"/>
    <w:rsid w:val="292F7E41"/>
    <w:rsid w:val="2935068F"/>
    <w:rsid w:val="29491CBA"/>
    <w:rsid w:val="295D10F0"/>
    <w:rsid w:val="29601B52"/>
    <w:rsid w:val="296D732A"/>
    <w:rsid w:val="296F0D2D"/>
    <w:rsid w:val="296F7B40"/>
    <w:rsid w:val="297C5227"/>
    <w:rsid w:val="29827584"/>
    <w:rsid w:val="299623F1"/>
    <w:rsid w:val="299E44D6"/>
    <w:rsid w:val="29A872FB"/>
    <w:rsid w:val="29B04909"/>
    <w:rsid w:val="29BF4824"/>
    <w:rsid w:val="29C0676D"/>
    <w:rsid w:val="29D63757"/>
    <w:rsid w:val="29D67C37"/>
    <w:rsid w:val="29DC525C"/>
    <w:rsid w:val="29DD582A"/>
    <w:rsid w:val="29E008AE"/>
    <w:rsid w:val="29FD79C7"/>
    <w:rsid w:val="2A0F6CDF"/>
    <w:rsid w:val="2A101D4A"/>
    <w:rsid w:val="2A122555"/>
    <w:rsid w:val="2A1F69C8"/>
    <w:rsid w:val="2A265EBF"/>
    <w:rsid w:val="2A524BDB"/>
    <w:rsid w:val="2A5912F4"/>
    <w:rsid w:val="2A5B618F"/>
    <w:rsid w:val="2A7077EE"/>
    <w:rsid w:val="2A74736B"/>
    <w:rsid w:val="2A7C4F9A"/>
    <w:rsid w:val="2A7D1B82"/>
    <w:rsid w:val="2A8750C2"/>
    <w:rsid w:val="2A963093"/>
    <w:rsid w:val="2AA62D58"/>
    <w:rsid w:val="2AA92A21"/>
    <w:rsid w:val="2ACD3663"/>
    <w:rsid w:val="2ADE2C6B"/>
    <w:rsid w:val="2AF00CED"/>
    <w:rsid w:val="2B0166AA"/>
    <w:rsid w:val="2B062E16"/>
    <w:rsid w:val="2B1356E2"/>
    <w:rsid w:val="2B1C4340"/>
    <w:rsid w:val="2B1F1308"/>
    <w:rsid w:val="2B2731C6"/>
    <w:rsid w:val="2B36148A"/>
    <w:rsid w:val="2B513F18"/>
    <w:rsid w:val="2B5D62B7"/>
    <w:rsid w:val="2B605A31"/>
    <w:rsid w:val="2B650E1B"/>
    <w:rsid w:val="2B68461C"/>
    <w:rsid w:val="2B8942BD"/>
    <w:rsid w:val="2B905FB7"/>
    <w:rsid w:val="2BA30D4A"/>
    <w:rsid w:val="2BAD423A"/>
    <w:rsid w:val="2BC96365"/>
    <w:rsid w:val="2BCD03D2"/>
    <w:rsid w:val="2BCD2278"/>
    <w:rsid w:val="2BDB6D0B"/>
    <w:rsid w:val="2BE34810"/>
    <w:rsid w:val="2BEC15D5"/>
    <w:rsid w:val="2BF42C52"/>
    <w:rsid w:val="2BFE5197"/>
    <w:rsid w:val="2C376C86"/>
    <w:rsid w:val="2C4B08C7"/>
    <w:rsid w:val="2C5F0EC7"/>
    <w:rsid w:val="2C611C67"/>
    <w:rsid w:val="2C652437"/>
    <w:rsid w:val="2C6D00A1"/>
    <w:rsid w:val="2C6F2844"/>
    <w:rsid w:val="2C7910D6"/>
    <w:rsid w:val="2C8B79F5"/>
    <w:rsid w:val="2C8C5DDC"/>
    <w:rsid w:val="2C8E00B2"/>
    <w:rsid w:val="2C9D2E10"/>
    <w:rsid w:val="2C9D4247"/>
    <w:rsid w:val="2CA1037B"/>
    <w:rsid w:val="2CB164D9"/>
    <w:rsid w:val="2CC34986"/>
    <w:rsid w:val="2CD0152F"/>
    <w:rsid w:val="2CD40E14"/>
    <w:rsid w:val="2CF32354"/>
    <w:rsid w:val="2D167838"/>
    <w:rsid w:val="2D2A5546"/>
    <w:rsid w:val="2D2E2133"/>
    <w:rsid w:val="2D544D9D"/>
    <w:rsid w:val="2D5700A0"/>
    <w:rsid w:val="2D6A7C5B"/>
    <w:rsid w:val="2D760F47"/>
    <w:rsid w:val="2D7E2D12"/>
    <w:rsid w:val="2D8D4E9E"/>
    <w:rsid w:val="2DCB5D17"/>
    <w:rsid w:val="2DE63084"/>
    <w:rsid w:val="2DE75242"/>
    <w:rsid w:val="2DFE05FD"/>
    <w:rsid w:val="2E293828"/>
    <w:rsid w:val="2E2E4769"/>
    <w:rsid w:val="2E2F21C5"/>
    <w:rsid w:val="2E2F5EBB"/>
    <w:rsid w:val="2E3C6328"/>
    <w:rsid w:val="2E3F5109"/>
    <w:rsid w:val="2E566088"/>
    <w:rsid w:val="2E570260"/>
    <w:rsid w:val="2E644886"/>
    <w:rsid w:val="2E746E03"/>
    <w:rsid w:val="2EA902D2"/>
    <w:rsid w:val="2EB20C71"/>
    <w:rsid w:val="2EC753F9"/>
    <w:rsid w:val="2ECD0A59"/>
    <w:rsid w:val="2ECD0F2D"/>
    <w:rsid w:val="2ED05631"/>
    <w:rsid w:val="2ED505C7"/>
    <w:rsid w:val="2EDC5322"/>
    <w:rsid w:val="2EE00CD2"/>
    <w:rsid w:val="2EF72ABA"/>
    <w:rsid w:val="2EFB192A"/>
    <w:rsid w:val="2F044FB5"/>
    <w:rsid w:val="2F0B239A"/>
    <w:rsid w:val="2F1A7CA8"/>
    <w:rsid w:val="2F216FA9"/>
    <w:rsid w:val="2F2D6512"/>
    <w:rsid w:val="2F39427A"/>
    <w:rsid w:val="2F55409B"/>
    <w:rsid w:val="2F5E1470"/>
    <w:rsid w:val="2F685B6D"/>
    <w:rsid w:val="2F77649C"/>
    <w:rsid w:val="2F9B3E80"/>
    <w:rsid w:val="2FB456E1"/>
    <w:rsid w:val="2FB62E3E"/>
    <w:rsid w:val="2FB703CF"/>
    <w:rsid w:val="2FB910A8"/>
    <w:rsid w:val="2FBE30D4"/>
    <w:rsid w:val="2FC75150"/>
    <w:rsid w:val="2FD53D74"/>
    <w:rsid w:val="2FE40AA5"/>
    <w:rsid w:val="2FF03F85"/>
    <w:rsid w:val="2FF74E4F"/>
    <w:rsid w:val="2FFB6B44"/>
    <w:rsid w:val="302E4FA6"/>
    <w:rsid w:val="303A1144"/>
    <w:rsid w:val="30460629"/>
    <w:rsid w:val="30535A4F"/>
    <w:rsid w:val="30573F46"/>
    <w:rsid w:val="30613682"/>
    <w:rsid w:val="30645027"/>
    <w:rsid w:val="30873541"/>
    <w:rsid w:val="30881FEA"/>
    <w:rsid w:val="309504AE"/>
    <w:rsid w:val="30A771A5"/>
    <w:rsid w:val="30BE7437"/>
    <w:rsid w:val="30C2575D"/>
    <w:rsid w:val="30C3689F"/>
    <w:rsid w:val="30C73D33"/>
    <w:rsid w:val="30CF2C52"/>
    <w:rsid w:val="30DA6383"/>
    <w:rsid w:val="30EF072F"/>
    <w:rsid w:val="30F129C8"/>
    <w:rsid w:val="30F51292"/>
    <w:rsid w:val="30FB2EDD"/>
    <w:rsid w:val="30FF2476"/>
    <w:rsid w:val="31090F6E"/>
    <w:rsid w:val="310D65A8"/>
    <w:rsid w:val="311A538B"/>
    <w:rsid w:val="3124116F"/>
    <w:rsid w:val="312507CD"/>
    <w:rsid w:val="31464598"/>
    <w:rsid w:val="31480B6E"/>
    <w:rsid w:val="31631C14"/>
    <w:rsid w:val="317C238C"/>
    <w:rsid w:val="317E455E"/>
    <w:rsid w:val="31812D26"/>
    <w:rsid w:val="318C4D09"/>
    <w:rsid w:val="319240D6"/>
    <w:rsid w:val="31AD17FA"/>
    <w:rsid w:val="31B2735B"/>
    <w:rsid w:val="31C279AF"/>
    <w:rsid w:val="31C34E26"/>
    <w:rsid w:val="31DB5B96"/>
    <w:rsid w:val="31E367AE"/>
    <w:rsid w:val="31EB22ED"/>
    <w:rsid w:val="31ED43E4"/>
    <w:rsid w:val="31F5587C"/>
    <w:rsid w:val="31FA2DA0"/>
    <w:rsid w:val="320C3C60"/>
    <w:rsid w:val="32182BCD"/>
    <w:rsid w:val="321B42B4"/>
    <w:rsid w:val="32232C98"/>
    <w:rsid w:val="322546A8"/>
    <w:rsid w:val="322C16CD"/>
    <w:rsid w:val="322F2C68"/>
    <w:rsid w:val="32326D27"/>
    <w:rsid w:val="3235149E"/>
    <w:rsid w:val="323A37A9"/>
    <w:rsid w:val="32671087"/>
    <w:rsid w:val="32684B25"/>
    <w:rsid w:val="326C6F87"/>
    <w:rsid w:val="32926BB9"/>
    <w:rsid w:val="329471E9"/>
    <w:rsid w:val="3299520A"/>
    <w:rsid w:val="329E2208"/>
    <w:rsid w:val="32A65EC0"/>
    <w:rsid w:val="32A80F1E"/>
    <w:rsid w:val="32C02977"/>
    <w:rsid w:val="32C51287"/>
    <w:rsid w:val="32D824A0"/>
    <w:rsid w:val="32E2757F"/>
    <w:rsid w:val="32E57252"/>
    <w:rsid w:val="33091E1F"/>
    <w:rsid w:val="331E099F"/>
    <w:rsid w:val="3328336B"/>
    <w:rsid w:val="333663FF"/>
    <w:rsid w:val="333C7FDD"/>
    <w:rsid w:val="3342213D"/>
    <w:rsid w:val="334C1DC5"/>
    <w:rsid w:val="33522F6A"/>
    <w:rsid w:val="336F2358"/>
    <w:rsid w:val="33727633"/>
    <w:rsid w:val="338F7249"/>
    <w:rsid w:val="339077F6"/>
    <w:rsid w:val="33B2461C"/>
    <w:rsid w:val="33C67C3F"/>
    <w:rsid w:val="33CD2311"/>
    <w:rsid w:val="33D10BAC"/>
    <w:rsid w:val="33DA4207"/>
    <w:rsid w:val="33F10FBA"/>
    <w:rsid w:val="33F47F2B"/>
    <w:rsid w:val="33F97298"/>
    <w:rsid w:val="33FF3035"/>
    <w:rsid w:val="340163F7"/>
    <w:rsid w:val="34086603"/>
    <w:rsid w:val="342C4726"/>
    <w:rsid w:val="343A2409"/>
    <w:rsid w:val="34544B80"/>
    <w:rsid w:val="345A3805"/>
    <w:rsid w:val="346269C2"/>
    <w:rsid w:val="34656F77"/>
    <w:rsid w:val="34683A41"/>
    <w:rsid w:val="346C6EA1"/>
    <w:rsid w:val="347910EA"/>
    <w:rsid w:val="347F690C"/>
    <w:rsid w:val="348147E7"/>
    <w:rsid w:val="349162E4"/>
    <w:rsid w:val="34996D25"/>
    <w:rsid w:val="34B60E57"/>
    <w:rsid w:val="34B951CB"/>
    <w:rsid w:val="34BC4D7C"/>
    <w:rsid w:val="34BD7F3F"/>
    <w:rsid w:val="34CC202E"/>
    <w:rsid w:val="34E078A9"/>
    <w:rsid w:val="34E55ACF"/>
    <w:rsid w:val="34E85DEA"/>
    <w:rsid w:val="34F00DF2"/>
    <w:rsid w:val="34F81B04"/>
    <w:rsid w:val="350B4466"/>
    <w:rsid w:val="350C7565"/>
    <w:rsid w:val="353321A9"/>
    <w:rsid w:val="3537276F"/>
    <w:rsid w:val="3544634A"/>
    <w:rsid w:val="35465A59"/>
    <w:rsid w:val="35486087"/>
    <w:rsid w:val="354B08E8"/>
    <w:rsid w:val="355307CF"/>
    <w:rsid w:val="35600185"/>
    <w:rsid w:val="35620EF0"/>
    <w:rsid w:val="357D6614"/>
    <w:rsid w:val="35821149"/>
    <w:rsid w:val="358A72E3"/>
    <w:rsid w:val="35970A54"/>
    <w:rsid w:val="359875F2"/>
    <w:rsid w:val="35A112FC"/>
    <w:rsid w:val="35A11DFC"/>
    <w:rsid w:val="35B37939"/>
    <w:rsid w:val="35BA79A5"/>
    <w:rsid w:val="35BD3CA0"/>
    <w:rsid w:val="35C05B93"/>
    <w:rsid w:val="35C30497"/>
    <w:rsid w:val="35E171AE"/>
    <w:rsid w:val="35E50252"/>
    <w:rsid w:val="360A4192"/>
    <w:rsid w:val="361356F4"/>
    <w:rsid w:val="362B1E1E"/>
    <w:rsid w:val="362E2A50"/>
    <w:rsid w:val="364E1A98"/>
    <w:rsid w:val="3650709A"/>
    <w:rsid w:val="36513B29"/>
    <w:rsid w:val="3655701B"/>
    <w:rsid w:val="366B4C8F"/>
    <w:rsid w:val="366D4FFF"/>
    <w:rsid w:val="366D78DF"/>
    <w:rsid w:val="36781966"/>
    <w:rsid w:val="368C6C52"/>
    <w:rsid w:val="369170DE"/>
    <w:rsid w:val="36A25EC2"/>
    <w:rsid w:val="36B93617"/>
    <w:rsid w:val="36C34072"/>
    <w:rsid w:val="36C85C75"/>
    <w:rsid w:val="36DB10FE"/>
    <w:rsid w:val="36E91683"/>
    <w:rsid w:val="36EA3D4F"/>
    <w:rsid w:val="36F2259C"/>
    <w:rsid w:val="371C24A9"/>
    <w:rsid w:val="37255810"/>
    <w:rsid w:val="373C3878"/>
    <w:rsid w:val="373F62BD"/>
    <w:rsid w:val="374C0007"/>
    <w:rsid w:val="375B6B0F"/>
    <w:rsid w:val="37722D2E"/>
    <w:rsid w:val="37734F87"/>
    <w:rsid w:val="37746BED"/>
    <w:rsid w:val="37751AC9"/>
    <w:rsid w:val="377B64D6"/>
    <w:rsid w:val="378657D6"/>
    <w:rsid w:val="37934DB9"/>
    <w:rsid w:val="3793622A"/>
    <w:rsid w:val="37995ED9"/>
    <w:rsid w:val="379A3596"/>
    <w:rsid w:val="379A59B1"/>
    <w:rsid w:val="379D3D73"/>
    <w:rsid w:val="379E413F"/>
    <w:rsid w:val="379F5E8C"/>
    <w:rsid w:val="37A479A0"/>
    <w:rsid w:val="37B4685D"/>
    <w:rsid w:val="37B72C58"/>
    <w:rsid w:val="37D66A1A"/>
    <w:rsid w:val="37DB5A5E"/>
    <w:rsid w:val="37F040A2"/>
    <w:rsid w:val="37F54D8E"/>
    <w:rsid w:val="37FA4D9A"/>
    <w:rsid w:val="3814721C"/>
    <w:rsid w:val="383226D8"/>
    <w:rsid w:val="38446316"/>
    <w:rsid w:val="385648F0"/>
    <w:rsid w:val="385C5F9D"/>
    <w:rsid w:val="386C1027"/>
    <w:rsid w:val="386D4E39"/>
    <w:rsid w:val="387463BA"/>
    <w:rsid w:val="38876362"/>
    <w:rsid w:val="388B319D"/>
    <w:rsid w:val="38A35A2F"/>
    <w:rsid w:val="38A56BEC"/>
    <w:rsid w:val="38A772CB"/>
    <w:rsid w:val="38AB10AC"/>
    <w:rsid w:val="38B07447"/>
    <w:rsid w:val="38D059AD"/>
    <w:rsid w:val="38D724CF"/>
    <w:rsid w:val="38DE17A7"/>
    <w:rsid w:val="38E01952"/>
    <w:rsid w:val="38E300DE"/>
    <w:rsid w:val="38E95637"/>
    <w:rsid w:val="38F02BCD"/>
    <w:rsid w:val="38F51A80"/>
    <w:rsid w:val="38F85971"/>
    <w:rsid w:val="38F86B35"/>
    <w:rsid w:val="39100DF2"/>
    <w:rsid w:val="39115E2E"/>
    <w:rsid w:val="391221EA"/>
    <w:rsid w:val="39221761"/>
    <w:rsid w:val="39263607"/>
    <w:rsid w:val="393A4DDE"/>
    <w:rsid w:val="396C3880"/>
    <w:rsid w:val="396D7809"/>
    <w:rsid w:val="39774085"/>
    <w:rsid w:val="39795A1C"/>
    <w:rsid w:val="39972387"/>
    <w:rsid w:val="39985C46"/>
    <w:rsid w:val="39C77392"/>
    <w:rsid w:val="39C77F2D"/>
    <w:rsid w:val="39CC6B14"/>
    <w:rsid w:val="39E5396F"/>
    <w:rsid w:val="3A394365"/>
    <w:rsid w:val="3A4654B4"/>
    <w:rsid w:val="3A515D38"/>
    <w:rsid w:val="3A5B61BD"/>
    <w:rsid w:val="3A6E5E84"/>
    <w:rsid w:val="3A7955AF"/>
    <w:rsid w:val="3A7A2779"/>
    <w:rsid w:val="3A7B0D81"/>
    <w:rsid w:val="3A7D61BB"/>
    <w:rsid w:val="3A890429"/>
    <w:rsid w:val="3A8D0FD9"/>
    <w:rsid w:val="3AB143B7"/>
    <w:rsid w:val="3AB84C3E"/>
    <w:rsid w:val="3AB92080"/>
    <w:rsid w:val="3AC825C3"/>
    <w:rsid w:val="3ACB21A9"/>
    <w:rsid w:val="3AD122A6"/>
    <w:rsid w:val="3AD43239"/>
    <w:rsid w:val="3AD63BB7"/>
    <w:rsid w:val="3ADE374C"/>
    <w:rsid w:val="3AE01FA0"/>
    <w:rsid w:val="3AE561D7"/>
    <w:rsid w:val="3AFC0BC3"/>
    <w:rsid w:val="3B022B6D"/>
    <w:rsid w:val="3B183708"/>
    <w:rsid w:val="3B1F0229"/>
    <w:rsid w:val="3B246E2E"/>
    <w:rsid w:val="3B290B8E"/>
    <w:rsid w:val="3B3014F8"/>
    <w:rsid w:val="3B453479"/>
    <w:rsid w:val="3B5164A6"/>
    <w:rsid w:val="3B5A2CE0"/>
    <w:rsid w:val="3B661DC9"/>
    <w:rsid w:val="3B796936"/>
    <w:rsid w:val="3B7B0C90"/>
    <w:rsid w:val="3B8F13C5"/>
    <w:rsid w:val="3BA13B63"/>
    <w:rsid w:val="3BA44C35"/>
    <w:rsid w:val="3BC27FB5"/>
    <w:rsid w:val="3BD425FD"/>
    <w:rsid w:val="3BD929F9"/>
    <w:rsid w:val="3BD956D9"/>
    <w:rsid w:val="3BE77EEA"/>
    <w:rsid w:val="3BEF57B0"/>
    <w:rsid w:val="3BF954BD"/>
    <w:rsid w:val="3C044707"/>
    <w:rsid w:val="3C2F7719"/>
    <w:rsid w:val="3C416727"/>
    <w:rsid w:val="3C4A6363"/>
    <w:rsid w:val="3C5F4B2F"/>
    <w:rsid w:val="3C6F7B5F"/>
    <w:rsid w:val="3C727162"/>
    <w:rsid w:val="3C74006B"/>
    <w:rsid w:val="3C7F7DFB"/>
    <w:rsid w:val="3C986C47"/>
    <w:rsid w:val="3C9E041C"/>
    <w:rsid w:val="3CA00029"/>
    <w:rsid w:val="3CA94DEC"/>
    <w:rsid w:val="3CB02AAB"/>
    <w:rsid w:val="3CB93CB8"/>
    <w:rsid w:val="3CC61B79"/>
    <w:rsid w:val="3CD474D4"/>
    <w:rsid w:val="3CE02FD0"/>
    <w:rsid w:val="3CEE3501"/>
    <w:rsid w:val="3D3E3674"/>
    <w:rsid w:val="3D461A5A"/>
    <w:rsid w:val="3D650222"/>
    <w:rsid w:val="3D6C17FC"/>
    <w:rsid w:val="3D6D23C3"/>
    <w:rsid w:val="3D701C3D"/>
    <w:rsid w:val="3D9504BC"/>
    <w:rsid w:val="3DB7580E"/>
    <w:rsid w:val="3DB940D6"/>
    <w:rsid w:val="3DBE2FCD"/>
    <w:rsid w:val="3DC570FC"/>
    <w:rsid w:val="3DE51836"/>
    <w:rsid w:val="3DED1B45"/>
    <w:rsid w:val="3DF54F6F"/>
    <w:rsid w:val="3DF60777"/>
    <w:rsid w:val="3DF71D8D"/>
    <w:rsid w:val="3E053E45"/>
    <w:rsid w:val="3E0F5BA0"/>
    <w:rsid w:val="3E165F5C"/>
    <w:rsid w:val="3E193B69"/>
    <w:rsid w:val="3E2B57AD"/>
    <w:rsid w:val="3E325315"/>
    <w:rsid w:val="3E3D1D75"/>
    <w:rsid w:val="3E4640A4"/>
    <w:rsid w:val="3E6D2C01"/>
    <w:rsid w:val="3E8E5530"/>
    <w:rsid w:val="3E9032CC"/>
    <w:rsid w:val="3E9763F1"/>
    <w:rsid w:val="3EA7382D"/>
    <w:rsid w:val="3EAB48D0"/>
    <w:rsid w:val="3EAE56C8"/>
    <w:rsid w:val="3ED32005"/>
    <w:rsid w:val="3EEC7EAE"/>
    <w:rsid w:val="3EED6ED0"/>
    <w:rsid w:val="3F0630DE"/>
    <w:rsid w:val="3F120BFC"/>
    <w:rsid w:val="3F4A37A4"/>
    <w:rsid w:val="3F4E66DA"/>
    <w:rsid w:val="3F6461EB"/>
    <w:rsid w:val="3F6552D8"/>
    <w:rsid w:val="3F764CB6"/>
    <w:rsid w:val="3F8846CA"/>
    <w:rsid w:val="3F8C4A01"/>
    <w:rsid w:val="3FA80697"/>
    <w:rsid w:val="3FB84DAC"/>
    <w:rsid w:val="3FBA3BBE"/>
    <w:rsid w:val="3FBD1474"/>
    <w:rsid w:val="3FCE4237"/>
    <w:rsid w:val="3FD31FB0"/>
    <w:rsid w:val="3FDE4C6F"/>
    <w:rsid w:val="3FF14625"/>
    <w:rsid w:val="3FFA2385"/>
    <w:rsid w:val="3FFA72BE"/>
    <w:rsid w:val="3FFD720F"/>
    <w:rsid w:val="40114AE3"/>
    <w:rsid w:val="40120871"/>
    <w:rsid w:val="401210FD"/>
    <w:rsid w:val="40194819"/>
    <w:rsid w:val="401A42AF"/>
    <w:rsid w:val="402F4730"/>
    <w:rsid w:val="40352A8F"/>
    <w:rsid w:val="404A5684"/>
    <w:rsid w:val="404B6889"/>
    <w:rsid w:val="404D0F0F"/>
    <w:rsid w:val="405412EF"/>
    <w:rsid w:val="405564D7"/>
    <w:rsid w:val="40564435"/>
    <w:rsid w:val="405A1195"/>
    <w:rsid w:val="405A511F"/>
    <w:rsid w:val="4089292E"/>
    <w:rsid w:val="408A73A2"/>
    <w:rsid w:val="4095082D"/>
    <w:rsid w:val="40C5104B"/>
    <w:rsid w:val="40E512A7"/>
    <w:rsid w:val="40E86470"/>
    <w:rsid w:val="40E902B3"/>
    <w:rsid w:val="40EB287B"/>
    <w:rsid w:val="410900F8"/>
    <w:rsid w:val="410A31FA"/>
    <w:rsid w:val="410E127E"/>
    <w:rsid w:val="411207D9"/>
    <w:rsid w:val="413718B3"/>
    <w:rsid w:val="413E27B5"/>
    <w:rsid w:val="41484EBE"/>
    <w:rsid w:val="414B75DE"/>
    <w:rsid w:val="415873A9"/>
    <w:rsid w:val="416C026F"/>
    <w:rsid w:val="417018D6"/>
    <w:rsid w:val="41763726"/>
    <w:rsid w:val="417737AE"/>
    <w:rsid w:val="417B59BD"/>
    <w:rsid w:val="417C4337"/>
    <w:rsid w:val="417D2D8B"/>
    <w:rsid w:val="418B2A50"/>
    <w:rsid w:val="4197477D"/>
    <w:rsid w:val="41A0300C"/>
    <w:rsid w:val="41A11517"/>
    <w:rsid w:val="41B64AE9"/>
    <w:rsid w:val="41D00168"/>
    <w:rsid w:val="41E06063"/>
    <w:rsid w:val="41E72FF8"/>
    <w:rsid w:val="42074113"/>
    <w:rsid w:val="420A6CA2"/>
    <w:rsid w:val="42116B8E"/>
    <w:rsid w:val="421F3146"/>
    <w:rsid w:val="423D69C9"/>
    <w:rsid w:val="424726FF"/>
    <w:rsid w:val="424A51FE"/>
    <w:rsid w:val="424D0797"/>
    <w:rsid w:val="42567125"/>
    <w:rsid w:val="42695B1C"/>
    <w:rsid w:val="426D7E7B"/>
    <w:rsid w:val="427A2083"/>
    <w:rsid w:val="428F5036"/>
    <w:rsid w:val="4290297E"/>
    <w:rsid w:val="429E1094"/>
    <w:rsid w:val="429F256E"/>
    <w:rsid w:val="42A843E5"/>
    <w:rsid w:val="42AD00EA"/>
    <w:rsid w:val="42B15F4C"/>
    <w:rsid w:val="42BF6859"/>
    <w:rsid w:val="42C54707"/>
    <w:rsid w:val="42DD51E4"/>
    <w:rsid w:val="42DF3827"/>
    <w:rsid w:val="42E03D8E"/>
    <w:rsid w:val="42E3585D"/>
    <w:rsid w:val="42F33AA7"/>
    <w:rsid w:val="43097C0A"/>
    <w:rsid w:val="430E2245"/>
    <w:rsid w:val="430E6064"/>
    <w:rsid w:val="4321748E"/>
    <w:rsid w:val="433F1CA5"/>
    <w:rsid w:val="434502BA"/>
    <w:rsid w:val="43450646"/>
    <w:rsid w:val="435430F2"/>
    <w:rsid w:val="436E5EB2"/>
    <w:rsid w:val="4381703E"/>
    <w:rsid w:val="438C5FDD"/>
    <w:rsid w:val="43905F10"/>
    <w:rsid w:val="43BB37E0"/>
    <w:rsid w:val="43D703E1"/>
    <w:rsid w:val="43DD3DFF"/>
    <w:rsid w:val="43DF3FA1"/>
    <w:rsid w:val="43E20803"/>
    <w:rsid w:val="43E22E35"/>
    <w:rsid w:val="43FD0E9C"/>
    <w:rsid w:val="43FD170E"/>
    <w:rsid w:val="44005F72"/>
    <w:rsid w:val="440310C7"/>
    <w:rsid w:val="44080C0B"/>
    <w:rsid w:val="44234B30"/>
    <w:rsid w:val="44331E41"/>
    <w:rsid w:val="44461484"/>
    <w:rsid w:val="44475323"/>
    <w:rsid w:val="444B2089"/>
    <w:rsid w:val="444D5F18"/>
    <w:rsid w:val="444E5999"/>
    <w:rsid w:val="444E63DD"/>
    <w:rsid w:val="44520AFD"/>
    <w:rsid w:val="44665DA5"/>
    <w:rsid w:val="44687584"/>
    <w:rsid w:val="4469726B"/>
    <w:rsid w:val="446F65EF"/>
    <w:rsid w:val="447C4D4B"/>
    <w:rsid w:val="447D40E6"/>
    <w:rsid w:val="449644A1"/>
    <w:rsid w:val="449D0C1F"/>
    <w:rsid w:val="44A20477"/>
    <w:rsid w:val="44A26746"/>
    <w:rsid w:val="44AE13D1"/>
    <w:rsid w:val="44B02729"/>
    <w:rsid w:val="44C01334"/>
    <w:rsid w:val="44EC7EDE"/>
    <w:rsid w:val="45105F55"/>
    <w:rsid w:val="45133FDB"/>
    <w:rsid w:val="451E40FE"/>
    <w:rsid w:val="45460F7F"/>
    <w:rsid w:val="454C350F"/>
    <w:rsid w:val="454E5DE4"/>
    <w:rsid w:val="45506683"/>
    <w:rsid w:val="45601473"/>
    <w:rsid w:val="456B68A5"/>
    <w:rsid w:val="456E0AEF"/>
    <w:rsid w:val="4573790E"/>
    <w:rsid w:val="457B50FE"/>
    <w:rsid w:val="457F0733"/>
    <w:rsid w:val="4583452C"/>
    <w:rsid w:val="458F75FE"/>
    <w:rsid w:val="45900604"/>
    <w:rsid w:val="45933A3C"/>
    <w:rsid w:val="45A57AEF"/>
    <w:rsid w:val="45A81CAF"/>
    <w:rsid w:val="45BC59F4"/>
    <w:rsid w:val="45C75579"/>
    <w:rsid w:val="45DE22BB"/>
    <w:rsid w:val="45E30817"/>
    <w:rsid w:val="45E76D0F"/>
    <w:rsid w:val="45F136BB"/>
    <w:rsid w:val="45F77FD2"/>
    <w:rsid w:val="460A4AAB"/>
    <w:rsid w:val="46150FC7"/>
    <w:rsid w:val="4623003D"/>
    <w:rsid w:val="46237144"/>
    <w:rsid w:val="46261F0D"/>
    <w:rsid w:val="4630529E"/>
    <w:rsid w:val="46387F31"/>
    <w:rsid w:val="464C08C1"/>
    <w:rsid w:val="465476A3"/>
    <w:rsid w:val="46557527"/>
    <w:rsid w:val="465A66EF"/>
    <w:rsid w:val="46664938"/>
    <w:rsid w:val="466E742C"/>
    <w:rsid w:val="4673124E"/>
    <w:rsid w:val="46892F02"/>
    <w:rsid w:val="468A0358"/>
    <w:rsid w:val="46916EEF"/>
    <w:rsid w:val="46A6276B"/>
    <w:rsid w:val="46AA04EA"/>
    <w:rsid w:val="46B73D2A"/>
    <w:rsid w:val="46B80FC5"/>
    <w:rsid w:val="46C86A0C"/>
    <w:rsid w:val="46D24C4B"/>
    <w:rsid w:val="46D55B53"/>
    <w:rsid w:val="46D57AEC"/>
    <w:rsid w:val="46ED3840"/>
    <w:rsid w:val="46F647EB"/>
    <w:rsid w:val="46FF3FAD"/>
    <w:rsid w:val="471127B2"/>
    <w:rsid w:val="472056B7"/>
    <w:rsid w:val="47454DE8"/>
    <w:rsid w:val="47544795"/>
    <w:rsid w:val="47616E4B"/>
    <w:rsid w:val="47672FDB"/>
    <w:rsid w:val="476971AA"/>
    <w:rsid w:val="476B64CB"/>
    <w:rsid w:val="479C3F79"/>
    <w:rsid w:val="479E6BC6"/>
    <w:rsid w:val="47B01B8B"/>
    <w:rsid w:val="47C5237F"/>
    <w:rsid w:val="47CA346E"/>
    <w:rsid w:val="47EB78E1"/>
    <w:rsid w:val="47F0252D"/>
    <w:rsid w:val="47FA7CCE"/>
    <w:rsid w:val="47FB2D0F"/>
    <w:rsid w:val="47FB7786"/>
    <w:rsid w:val="48011587"/>
    <w:rsid w:val="481B0557"/>
    <w:rsid w:val="48284003"/>
    <w:rsid w:val="482B79CE"/>
    <w:rsid w:val="484720BC"/>
    <w:rsid w:val="484E51E0"/>
    <w:rsid w:val="48542476"/>
    <w:rsid w:val="485955DD"/>
    <w:rsid w:val="4875142A"/>
    <w:rsid w:val="487F0024"/>
    <w:rsid w:val="4887505E"/>
    <w:rsid w:val="48A76DE5"/>
    <w:rsid w:val="48AC6EE1"/>
    <w:rsid w:val="48D3456D"/>
    <w:rsid w:val="48D879FA"/>
    <w:rsid w:val="48DA5553"/>
    <w:rsid w:val="48DF3A7B"/>
    <w:rsid w:val="48FF01A8"/>
    <w:rsid w:val="49016E12"/>
    <w:rsid w:val="49056F88"/>
    <w:rsid w:val="49060ABF"/>
    <w:rsid w:val="4906123E"/>
    <w:rsid w:val="4910246D"/>
    <w:rsid w:val="49336CD8"/>
    <w:rsid w:val="49355605"/>
    <w:rsid w:val="494503EF"/>
    <w:rsid w:val="496E444D"/>
    <w:rsid w:val="49757E15"/>
    <w:rsid w:val="49895CE7"/>
    <w:rsid w:val="49964232"/>
    <w:rsid w:val="4999724F"/>
    <w:rsid w:val="49AE1417"/>
    <w:rsid w:val="49B4639F"/>
    <w:rsid w:val="49C94085"/>
    <w:rsid w:val="49D455A4"/>
    <w:rsid w:val="49DB0327"/>
    <w:rsid w:val="49F46F67"/>
    <w:rsid w:val="49F52088"/>
    <w:rsid w:val="4A1E1F41"/>
    <w:rsid w:val="4A217D5E"/>
    <w:rsid w:val="4A296E9E"/>
    <w:rsid w:val="4A2C0AF2"/>
    <w:rsid w:val="4A59338B"/>
    <w:rsid w:val="4A7C4CE6"/>
    <w:rsid w:val="4A967911"/>
    <w:rsid w:val="4AB22154"/>
    <w:rsid w:val="4AC9217A"/>
    <w:rsid w:val="4AD82D66"/>
    <w:rsid w:val="4ADE37CC"/>
    <w:rsid w:val="4AE80607"/>
    <w:rsid w:val="4AE97AEC"/>
    <w:rsid w:val="4AF7280C"/>
    <w:rsid w:val="4B0F7FE7"/>
    <w:rsid w:val="4B174817"/>
    <w:rsid w:val="4B2748B2"/>
    <w:rsid w:val="4B2F5C92"/>
    <w:rsid w:val="4B401565"/>
    <w:rsid w:val="4B502687"/>
    <w:rsid w:val="4B577DBD"/>
    <w:rsid w:val="4B581065"/>
    <w:rsid w:val="4B6A3BDA"/>
    <w:rsid w:val="4B6F7292"/>
    <w:rsid w:val="4B796029"/>
    <w:rsid w:val="4B7D71A1"/>
    <w:rsid w:val="4B9C5A05"/>
    <w:rsid w:val="4BAE2158"/>
    <w:rsid w:val="4BAF506E"/>
    <w:rsid w:val="4BC279D1"/>
    <w:rsid w:val="4BD407DF"/>
    <w:rsid w:val="4BE227C4"/>
    <w:rsid w:val="4BE61DCA"/>
    <w:rsid w:val="4BE64D5E"/>
    <w:rsid w:val="4BE7585B"/>
    <w:rsid w:val="4BED75B3"/>
    <w:rsid w:val="4C1F1F04"/>
    <w:rsid w:val="4C21225A"/>
    <w:rsid w:val="4C232482"/>
    <w:rsid w:val="4C2E4749"/>
    <w:rsid w:val="4C3E5050"/>
    <w:rsid w:val="4C5B33F5"/>
    <w:rsid w:val="4C720BCA"/>
    <w:rsid w:val="4C8014E7"/>
    <w:rsid w:val="4C8244E4"/>
    <w:rsid w:val="4C8F1BFA"/>
    <w:rsid w:val="4C9E1769"/>
    <w:rsid w:val="4CBB634B"/>
    <w:rsid w:val="4CC94FD4"/>
    <w:rsid w:val="4CDA0CD0"/>
    <w:rsid w:val="4CE03EB0"/>
    <w:rsid w:val="4CE72B7B"/>
    <w:rsid w:val="4CFA5510"/>
    <w:rsid w:val="4CFF4AA3"/>
    <w:rsid w:val="4D165CE6"/>
    <w:rsid w:val="4D177A2A"/>
    <w:rsid w:val="4D190C0C"/>
    <w:rsid w:val="4D233B24"/>
    <w:rsid w:val="4D2F0077"/>
    <w:rsid w:val="4D3B5336"/>
    <w:rsid w:val="4D434BB1"/>
    <w:rsid w:val="4D48368A"/>
    <w:rsid w:val="4D4C5BF9"/>
    <w:rsid w:val="4D586626"/>
    <w:rsid w:val="4D5A5563"/>
    <w:rsid w:val="4D64646D"/>
    <w:rsid w:val="4D7031F0"/>
    <w:rsid w:val="4D705BB9"/>
    <w:rsid w:val="4D77762A"/>
    <w:rsid w:val="4D843254"/>
    <w:rsid w:val="4D973B20"/>
    <w:rsid w:val="4DA442DB"/>
    <w:rsid w:val="4DC958A0"/>
    <w:rsid w:val="4DE04ADB"/>
    <w:rsid w:val="4DE7622F"/>
    <w:rsid w:val="4DFD4A7B"/>
    <w:rsid w:val="4E08577E"/>
    <w:rsid w:val="4E125963"/>
    <w:rsid w:val="4E176D04"/>
    <w:rsid w:val="4E3A3DC2"/>
    <w:rsid w:val="4E482991"/>
    <w:rsid w:val="4E6F77EF"/>
    <w:rsid w:val="4E780638"/>
    <w:rsid w:val="4EA84E68"/>
    <w:rsid w:val="4EAF09B4"/>
    <w:rsid w:val="4EB73374"/>
    <w:rsid w:val="4EBC092C"/>
    <w:rsid w:val="4ED36A97"/>
    <w:rsid w:val="4ED409F0"/>
    <w:rsid w:val="4EE60914"/>
    <w:rsid w:val="4EFA5B0B"/>
    <w:rsid w:val="4F240380"/>
    <w:rsid w:val="4F331C3F"/>
    <w:rsid w:val="4F36090C"/>
    <w:rsid w:val="4F387A7A"/>
    <w:rsid w:val="4F4D3A36"/>
    <w:rsid w:val="4F4F6AEF"/>
    <w:rsid w:val="4F693AE1"/>
    <w:rsid w:val="4F6E28F0"/>
    <w:rsid w:val="4F727D38"/>
    <w:rsid w:val="4F740049"/>
    <w:rsid w:val="4F7B6984"/>
    <w:rsid w:val="4F80518F"/>
    <w:rsid w:val="4F8B78AD"/>
    <w:rsid w:val="4F8E3A2B"/>
    <w:rsid w:val="4F8F0460"/>
    <w:rsid w:val="4F9808E5"/>
    <w:rsid w:val="4F9A5A6F"/>
    <w:rsid w:val="4FAC5A65"/>
    <w:rsid w:val="4FAE3B43"/>
    <w:rsid w:val="4FBA6DAF"/>
    <w:rsid w:val="4FC46069"/>
    <w:rsid w:val="4FD005AE"/>
    <w:rsid w:val="4FD00ED4"/>
    <w:rsid w:val="4FD44291"/>
    <w:rsid w:val="4FD8161E"/>
    <w:rsid w:val="4FDD68B1"/>
    <w:rsid w:val="500B06DB"/>
    <w:rsid w:val="500F7736"/>
    <w:rsid w:val="50171F3E"/>
    <w:rsid w:val="5022591F"/>
    <w:rsid w:val="50323347"/>
    <w:rsid w:val="50412F93"/>
    <w:rsid w:val="50555D7D"/>
    <w:rsid w:val="50561B9F"/>
    <w:rsid w:val="50602F3A"/>
    <w:rsid w:val="50837E02"/>
    <w:rsid w:val="5088525D"/>
    <w:rsid w:val="508B7E3B"/>
    <w:rsid w:val="508C68CF"/>
    <w:rsid w:val="509C7642"/>
    <w:rsid w:val="50A070F7"/>
    <w:rsid w:val="50A127F0"/>
    <w:rsid w:val="50AC659C"/>
    <w:rsid w:val="50B8243D"/>
    <w:rsid w:val="50BE5D38"/>
    <w:rsid w:val="50E15C8A"/>
    <w:rsid w:val="50F62B3A"/>
    <w:rsid w:val="510151B0"/>
    <w:rsid w:val="510225F7"/>
    <w:rsid w:val="510F3E01"/>
    <w:rsid w:val="511B2786"/>
    <w:rsid w:val="512D76A1"/>
    <w:rsid w:val="51331E0F"/>
    <w:rsid w:val="51332677"/>
    <w:rsid w:val="513B73E6"/>
    <w:rsid w:val="51543E0F"/>
    <w:rsid w:val="51703CF0"/>
    <w:rsid w:val="51704DEF"/>
    <w:rsid w:val="51705999"/>
    <w:rsid w:val="517717FB"/>
    <w:rsid w:val="51786C7A"/>
    <w:rsid w:val="518B2498"/>
    <w:rsid w:val="51AC3B5E"/>
    <w:rsid w:val="51B0761D"/>
    <w:rsid w:val="51B80466"/>
    <w:rsid w:val="51D91B75"/>
    <w:rsid w:val="51DC42F5"/>
    <w:rsid w:val="51E2122F"/>
    <w:rsid w:val="51EE03ED"/>
    <w:rsid w:val="51F11C10"/>
    <w:rsid w:val="51F156AC"/>
    <w:rsid w:val="51F652BF"/>
    <w:rsid w:val="521F7979"/>
    <w:rsid w:val="52213D07"/>
    <w:rsid w:val="52253AF4"/>
    <w:rsid w:val="5225429E"/>
    <w:rsid w:val="52256C51"/>
    <w:rsid w:val="5226051E"/>
    <w:rsid w:val="52260F3C"/>
    <w:rsid w:val="5238649A"/>
    <w:rsid w:val="523A43B3"/>
    <w:rsid w:val="525B4336"/>
    <w:rsid w:val="525D71E5"/>
    <w:rsid w:val="52820E07"/>
    <w:rsid w:val="528237C8"/>
    <w:rsid w:val="528536D3"/>
    <w:rsid w:val="529564DA"/>
    <w:rsid w:val="529C695A"/>
    <w:rsid w:val="52A77DA4"/>
    <w:rsid w:val="52AD549D"/>
    <w:rsid w:val="52AE6B5D"/>
    <w:rsid w:val="52C2691E"/>
    <w:rsid w:val="52C42F8A"/>
    <w:rsid w:val="52E26079"/>
    <w:rsid w:val="52EA4A58"/>
    <w:rsid w:val="52F258D0"/>
    <w:rsid w:val="52FD63F3"/>
    <w:rsid w:val="530267BC"/>
    <w:rsid w:val="53312E2B"/>
    <w:rsid w:val="53482CFE"/>
    <w:rsid w:val="534C2BF2"/>
    <w:rsid w:val="53522854"/>
    <w:rsid w:val="53662852"/>
    <w:rsid w:val="536C0FFE"/>
    <w:rsid w:val="53701411"/>
    <w:rsid w:val="538F661B"/>
    <w:rsid w:val="539F4368"/>
    <w:rsid w:val="53A056AF"/>
    <w:rsid w:val="53B04CEA"/>
    <w:rsid w:val="53B41457"/>
    <w:rsid w:val="53C66C7D"/>
    <w:rsid w:val="53C670D6"/>
    <w:rsid w:val="53D4424E"/>
    <w:rsid w:val="53D56DDB"/>
    <w:rsid w:val="53EC2E08"/>
    <w:rsid w:val="53EC4903"/>
    <w:rsid w:val="53F36F42"/>
    <w:rsid w:val="53FE3D83"/>
    <w:rsid w:val="54117610"/>
    <w:rsid w:val="54136C0F"/>
    <w:rsid w:val="54146CD1"/>
    <w:rsid w:val="54177F1E"/>
    <w:rsid w:val="541A6B7B"/>
    <w:rsid w:val="54240990"/>
    <w:rsid w:val="54296180"/>
    <w:rsid w:val="543633AA"/>
    <w:rsid w:val="54413CAD"/>
    <w:rsid w:val="54477234"/>
    <w:rsid w:val="544F12C8"/>
    <w:rsid w:val="545F6399"/>
    <w:rsid w:val="54671F32"/>
    <w:rsid w:val="54814372"/>
    <w:rsid w:val="5488547E"/>
    <w:rsid w:val="54A32CBC"/>
    <w:rsid w:val="54C03918"/>
    <w:rsid w:val="54C74059"/>
    <w:rsid w:val="54CC1E57"/>
    <w:rsid w:val="54E3627C"/>
    <w:rsid w:val="54E92B4F"/>
    <w:rsid w:val="54F129E6"/>
    <w:rsid w:val="54F626A4"/>
    <w:rsid w:val="54F97996"/>
    <w:rsid w:val="5503350D"/>
    <w:rsid w:val="550B460A"/>
    <w:rsid w:val="55176A2B"/>
    <w:rsid w:val="551E374A"/>
    <w:rsid w:val="551F0799"/>
    <w:rsid w:val="553532AC"/>
    <w:rsid w:val="553E6F15"/>
    <w:rsid w:val="556F03E8"/>
    <w:rsid w:val="558B4E93"/>
    <w:rsid w:val="55944FA1"/>
    <w:rsid w:val="559D1A44"/>
    <w:rsid w:val="559F7186"/>
    <w:rsid w:val="55B801FF"/>
    <w:rsid w:val="55BD09E1"/>
    <w:rsid w:val="55CD74C5"/>
    <w:rsid w:val="55CE55CB"/>
    <w:rsid w:val="55EE1803"/>
    <w:rsid w:val="55F86272"/>
    <w:rsid w:val="55FB03CD"/>
    <w:rsid w:val="560450B4"/>
    <w:rsid w:val="56052CB9"/>
    <w:rsid w:val="5611078F"/>
    <w:rsid w:val="56145C30"/>
    <w:rsid w:val="561925D2"/>
    <w:rsid w:val="561B311C"/>
    <w:rsid w:val="563929C4"/>
    <w:rsid w:val="5645084B"/>
    <w:rsid w:val="56497232"/>
    <w:rsid w:val="56551F12"/>
    <w:rsid w:val="565F4BDD"/>
    <w:rsid w:val="56651503"/>
    <w:rsid w:val="567A01B4"/>
    <w:rsid w:val="56942292"/>
    <w:rsid w:val="569B722C"/>
    <w:rsid w:val="56B10B48"/>
    <w:rsid w:val="56B623BF"/>
    <w:rsid w:val="56CD05E7"/>
    <w:rsid w:val="56DD1DDA"/>
    <w:rsid w:val="57095B1E"/>
    <w:rsid w:val="57145535"/>
    <w:rsid w:val="57246A24"/>
    <w:rsid w:val="572C0E04"/>
    <w:rsid w:val="57301D4B"/>
    <w:rsid w:val="573F1740"/>
    <w:rsid w:val="57427B7C"/>
    <w:rsid w:val="57471345"/>
    <w:rsid w:val="576B20F1"/>
    <w:rsid w:val="57785918"/>
    <w:rsid w:val="578F5EE6"/>
    <w:rsid w:val="57A059B3"/>
    <w:rsid w:val="57B371CD"/>
    <w:rsid w:val="57C322BB"/>
    <w:rsid w:val="57C85AB0"/>
    <w:rsid w:val="57D2341F"/>
    <w:rsid w:val="57E17BD4"/>
    <w:rsid w:val="57EF25AF"/>
    <w:rsid w:val="57F75A67"/>
    <w:rsid w:val="580C7187"/>
    <w:rsid w:val="58105F17"/>
    <w:rsid w:val="58124BB0"/>
    <w:rsid w:val="581D09E9"/>
    <w:rsid w:val="58445A1C"/>
    <w:rsid w:val="584E4E9D"/>
    <w:rsid w:val="58597722"/>
    <w:rsid w:val="586F6E5B"/>
    <w:rsid w:val="58815460"/>
    <w:rsid w:val="588358E0"/>
    <w:rsid w:val="588F74D8"/>
    <w:rsid w:val="589E7F77"/>
    <w:rsid w:val="58BF26CD"/>
    <w:rsid w:val="58C07187"/>
    <w:rsid w:val="58C567CC"/>
    <w:rsid w:val="58E67D87"/>
    <w:rsid w:val="58ED46B0"/>
    <w:rsid w:val="58F84723"/>
    <w:rsid w:val="58FD2305"/>
    <w:rsid w:val="58FE056E"/>
    <w:rsid w:val="592A6B20"/>
    <w:rsid w:val="59393C4A"/>
    <w:rsid w:val="594F4E65"/>
    <w:rsid w:val="59570B0F"/>
    <w:rsid w:val="595B1147"/>
    <w:rsid w:val="596B5674"/>
    <w:rsid w:val="597C1452"/>
    <w:rsid w:val="599638FE"/>
    <w:rsid w:val="59BA3069"/>
    <w:rsid w:val="59BA5683"/>
    <w:rsid w:val="59BB3967"/>
    <w:rsid w:val="59D27A0C"/>
    <w:rsid w:val="59DA0E7E"/>
    <w:rsid w:val="59E40202"/>
    <w:rsid w:val="59F04EF4"/>
    <w:rsid w:val="59F44F54"/>
    <w:rsid w:val="5A0435C3"/>
    <w:rsid w:val="5A1E73AC"/>
    <w:rsid w:val="5A236FD7"/>
    <w:rsid w:val="5A394FC1"/>
    <w:rsid w:val="5A3A1659"/>
    <w:rsid w:val="5A516620"/>
    <w:rsid w:val="5A613ED0"/>
    <w:rsid w:val="5A6205BF"/>
    <w:rsid w:val="5A6A7E8E"/>
    <w:rsid w:val="5A747F80"/>
    <w:rsid w:val="5A7711FB"/>
    <w:rsid w:val="5A8159FC"/>
    <w:rsid w:val="5A850B38"/>
    <w:rsid w:val="5A921AF9"/>
    <w:rsid w:val="5AAA25E0"/>
    <w:rsid w:val="5AB53231"/>
    <w:rsid w:val="5AB86419"/>
    <w:rsid w:val="5AB952E0"/>
    <w:rsid w:val="5ABF418F"/>
    <w:rsid w:val="5AC33E4A"/>
    <w:rsid w:val="5AC3786F"/>
    <w:rsid w:val="5AD46F7D"/>
    <w:rsid w:val="5ADB511C"/>
    <w:rsid w:val="5AE56AC1"/>
    <w:rsid w:val="5AE8587B"/>
    <w:rsid w:val="5AEA51AD"/>
    <w:rsid w:val="5AF94149"/>
    <w:rsid w:val="5B005798"/>
    <w:rsid w:val="5B021E37"/>
    <w:rsid w:val="5B0D434A"/>
    <w:rsid w:val="5B1B4538"/>
    <w:rsid w:val="5B27242C"/>
    <w:rsid w:val="5B401695"/>
    <w:rsid w:val="5B4D1416"/>
    <w:rsid w:val="5B5A0F59"/>
    <w:rsid w:val="5B6B292A"/>
    <w:rsid w:val="5B762626"/>
    <w:rsid w:val="5B7F5251"/>
    <w:rsid w:val="5B84119B"/>
    <w:rsid w:val="5BA64DD8"/>
    <w:rsid w:val="5BB73DD6"/>
    <w:rsid w:val="5BBA0393"/>
    <w:rsid w:val="5BBB7739"/>
    <w:rsid w:val="5BBD4EF8"/>
    <w:rsid w:val="5BC03CD5"/>
    <w:rsid w:val="5BC2428B"/>
    <w:rsid w:val="5BC62D16"/>
    <w:rsid w:val="5BC73F5C"/>
    <w:rsid w:val="5BD510D5"/>
    <w:rsid w:val="5BDD6627"/>
    <w:rsid w:val="5BE81573"/>
    <w:rsid w:val="5C062F01"/>
    <w:rsid w:val="5C1A342F"/>
    <w:rsid w:val="5C1C5B61"/>
    <w:rsid w:val="5C1D21E6"/>
    <w:rsid w:val="5C346D0B"/>
    <w:rsid w:val="5C63317F"/>
    <w:rsid w:val="5C637FA9"/>
    <w:rsid w:val="5C684F53"/>
    <w:rsid w:val="5C7130A4"/>
    <w:rsid w:val="5C727F12"/>
    <w:rsid w:val="5C734B0D"/>
    <w:rsid w:val="5C774EB1"/>
    <w:rsid w:val="5C7C6F1B"/>
    <w:rsid w:val="5C844AAD"/>
    <w:rsid w:val="5C925AD2"/>
    <w:rsid w:val="5CBB052F"/>
    <w:rsid w:val="5CC35654"/>
    <w:rsid w:val="5CDE76B5"/>
    <w:rsid w:val="5CE76D57"/>
    <w:rsid w:val="5CE81E5F"/>
    <w:rsid w:val="5CEA5721"/>
    <w:rsid w:val="5CF114E9"/>
    <w:rsid w:val="5D085C4B"/>
    <w:rsid w:val="5D093637"/>
    <w:rsid w:val="5D1B1B06"/>
    <w:rsid w:val="5D3155A0"/>
    <w:rsid w:val="5D3775F3"/>
    <w:rsid w:val="5D480F76"/>
    <w:rsid w:val="5D5177F4"/>
    <w:rsid w:val="5D6806FF"/>
    <w:rsid w:val="5D7515CD"/>
    <w:rsid w:val="5D7C6A1B"/>
    <w:rsid w:val="5D89574C"/>
    <w:rsid w:val="5DA1110C"/>
    <w:rsid w:val="5DA225D3"/>
    <w:rsid w:val="5DA67C4D"/>
    <w:rsid w:val="5DAB0707"/>
    <w:rsid w:val="5DBF55DF"/>
    <w:rsid w:val="5DCB3ADC"/>
    <w:rsid w:val="5DD27ECB"/>
    <w:rsid w:val="5DE12CF4"/>
    <w:rsid w:val="5DE316B6"/>
    <w:rsid w:val="5DED103D"/>
    <w:rsid w:val="5DF30D93"/>
    <w:rsid w:val="5DF3643E"/>
    <w:rsid w:val="5E6D54CE"/>
    <w:rsid w:val="5E6E470D"/>
    <w:rsid w:val="5E712529"/>
    <w:rsid w:val="5E7D03CD"/>
    <w:rsid w:val="5E8A5468"/>
    <w:rsid w:val="5E9268DE"/>
    <w:rsid w:val="5E963D1F"/>
    <w:rsid w:val="5EBD09D6"/>
    <w:rsid w:val="5EC87508"/>
    <w:rsid w:val="5EFE2228"/>
    <w:rsid w:val="5F017CE8"/>
    <w:rsid w:val="5F1A20DE"/>
    <w:rsid w:val="5F1B37BA"/>
    <w:rsid w:val="5F227D9A"/>
    <w:rsid w:val="5F2D56C2"/>
    <w:rsid w:val="5F3F2C3C"/>
    <w:rsid w:val="5F5D637E"/>
    <w:rsid w:val="5F5E47C0"/>
    <w:rsid w:val="5F6C3B8B"/>
    <w:rsid w:val="5F8C496E"/>
    <w:rsid w:val="5F952CB4"/>
    <w:rsid w:val="5FAA133D"/>
    <w:rsid w:val="5FB70A21"/>
    <w:rsid w:val="5FC43259"/>
    <w:rsid w:val="5FC86C19"/>
    <w:rsid w:val="5FCB3B6B"/>
    <w:rsid w:val="5FD92561"/>
    <w:rsid w:val="5FEA6F0C"/>
    <w:rsid w:val="60056893"/>
    <w:rsid w:val="602118F9"/>
    <w:rsid w:val="602A0E6D"/>
    <w:rsid w:val="602B75EC"/>
    <w:rsid w:val="602E3449"/>
    <w:rsid w:val="603270C2"/>
    <w:rsid w:val="603C5EF7"/>
    <w:rsid w:val="60570D1F"/>
    <w:rsid w:val="605B4253"/>
    <w:rsid w:val="605F0547"/>
    <w:rsid w:val="60624606"/>
    <w:rsid w:val="606B29C3"/>
    <w:rsid w:val="606D3842"/>
    <w:rsid w:val="607D2D0B"/>
    <w:rsid w:val="60817B02"/>
    <w:rsid w:val="608A20DB"/>
    <w:rsid w:val="60927C86"/>
    <w:rsid w:val="609F35F2"/>
    <w:rsid w:val="60B562FF"/>
    <w:rsid w:val="60E1162B"/>
    <w:rsid w:val="60E179EA"/>
    <w:rsid w:val="60E65BFD"/>
    <w:rsid w:val="60E8083C"/>
    <w:rsid w:val="60F07DF5"/>
    <w:rsid w:val="60F97FAF"/>
    <w:rsid w:val="60FB588D"/>
    <w:rsid w:val="61046033"/>
    <w:rsid w:val="610927E6"/>
    <w:rsid w:val="6113267F"/>
    <w:rsid w:val="61132A3F"/>
    <w:rsid w:val="61494D95"/>
    <w:rsid w:val="6155111F"/>
    <w:rsid w:val="615A6953"/>
    <w:rsid w:val="61617739"/>
    <w:rsid w:val="61721DB6"/>
    <w:rsid w:val="61797972"/>
    <w:rsid w:val="617A5EF2"/>
    <w:rsid w:val="618121E7"/>
    <w:rsid w:val="619257F0"/>
    <w:rsid w:val="61991B06"/>
    <w:rsid w:val="61B14C85"/>
    <w:rsid w:val="61B432B0"/>
    <w:rsid w:val="61D45FF6"/>
    <w:rsid w:val="61E96EB6"/>
    <w:rsid w:val="61EF1F5F"/>
    <w:rsid w:val="62043CD1"/>
    <w:rsid w:val="62272837"/>
    <w:rsid w:val="625006EB"/>
    <w:rsid w:val="6256049A"/>
    <w:rsid w:val="62571012"/>
    <w:rsid w:val="625E0706"/>
    <w:rsid w:val="62624386"/>
    <w:rsid w:val="62B050EB"/>
    <w:rsid w:val="62B868C8"/>
    <w:rsid w:val="62C2420B"/>
    <w:rsid w:val="62D30A82"/>
    <w:rsid w:val="62ED47EA"/>
    <w:rsid w:val="62F608A7"/>
    <w:rsid w:val="62F8392E"/>
    <w:rsid w:val="62F95DBF"/>
    <w:rsid w:val="62F967CA"/>
    <w:rsid w:val="63071D09"/>
    <w:rsid w:val="63125D14"/>
    <w:rsid w:val="6325360B"/>
    <w:rsid w:val="633C318C"/>
    <w:rsid w:val="6342316F"/>
    <w:rsid w:val="63430E1A"/>
    <w:rsid w:val="6344140D"/>
    <w:rsid w:val="634A6B57"/>
    <w:rsid w:val="63545F49"/>
    <w:rsid w:val="635A14F9"/>
    <w:rsid w:val="636039A5"/>
    <w:rsid w:val="63606F30"/>
    <w:rsid w:val="63952DA7"/>
    <w:rsid w:val="639A51AE"/>
    <w:rsid w:val="639E2987"/>
    <w:rsid w:val="63A61AB6"/>
    <w:rsid w:val="63B54BF5"/>
    <w:rsid w:val="63BA0005"/>
    <w:rsid w:val="63BD3303"/>
    <w:rsid w:val="63BF1C02"/>
    <w:rsid w:val="63C206B6"/>
    <w:rsid w:val="63C45EFD"/>
    <w:rsid w:val="63DD6EDF"/>
    <w:rsid w:val="63EE6AA5"/>
    <w:rsid w:val="63F819E2"/>
    <w:rsid w:val="63F91DD1"/>
    <w:rsid w:val="63F944E9"/>
    <w:rsid w:val="64121B55"/>
    <w:rsid w:val="641B2CDA"/>
    <w:rsid w:val="642076A7"/>
    <w:rsid w:val="64227D00"/>
    <w:rsid w:val="642C68D5"/>
    <w:rsid w:val="64315EF0"/>
    <w:rsid w:val="643B303F"/>
    <w:rsid w:val="643D666B"/>
    <w:rsid w:val="644F181B"/>
    <w:rsid w:val="6467200B"/>
    <w:rsid w:val="646A7721"/>
    <w:rsid w:val="646E4E4A"/>
    <w:rsid w:val="648009D3"/>
    <w:rsid w:val="64900424"/>
    <w:rsid w:val="649D693D"/>
    <w:rsid w:val="64A21F14"/>
    <w:rsid w:val="64A23235"/>
    <w:rsid w:val="64A46C03"/>
    <w:rsid w:val="64B21CC3"/>
    <w:rsid w:val="64B53A3B"/>
    <w:rsid w:val="64BD6BD6"/>
    <w:rsid w:val="64C024B5"/>
    <w:rsid w:val="64DD7183"/>
    <w:rsid w:val="64DF6428"/>
    <w:rsid w:val="64F2701E"/>
    <w:rsid w:val="64F85497"/>
    <w:rsid w:val="65081438"/>
    <w:rsid w:val="650C3F9A"/>
    <w:rsid w:val="65133997"/>
    <w:rsid w:val="651A194B"/>
    <w:rsid w:val="651E0433"/>
    <w:rsid w:val="65220A66"/>
    <w:rsid w:val="6535349A"/>
    <w:rsid w:val="655E6055"/>
    <w:rsid w:val="656216CE"/>
    <w:rsid w:val="65630AB4"/>
    <w:rsid w:val="656503AA"/>
    <w:rsid w:val="65776363"/>
    <w:rsid w:val="657E2A91"/>
    <w:rsid w:val="659E5553"/>
    <w:rsid w:val="65BA2F3E"/>
    <w:rsid w:val="65BC6B82"/>
    <w:rsid w:val="65CC36C6"/>
    <w:rsid w:val="65D57BC5"/>
    <w:rsid w:val="65EA1E47"/>
    <w:rsid w:val="661246D3"/>
    <w:rsid w:val="66461635"/>
    <w:rsid w:val="66492BA9"/>
    <w:rsid w:val="664C25E3"/>
    <w:rsid w:val="665C7028"/>
    <w:rsid w:val="666843F9"/>
    <w:rsid w:val="66712FBC"/>
    <w:rsid w:val="66856946"/>
    <w:rsid w:val="66870FC6"/>
    <w:rsid w:val="669127E3"/>
    <w:rsid w:val="66917BDF"/>
    <w:rsid w:val="66950B92"/>
    <w:rsid w:val="6698611D"/>
    <w:rsid w:val="669F584F"/>
    <w:rsid w:val="66A020CF"/>
    <w:rsid w:val="66AD3E3A"/>
    <w:rsid w:val="66C76396"/>
    <w:rsid w:val="66E922DE"/>
    <w:rsid w:val="66F42122"/>
    <w:rsid w:val="66F67869"/>
    <w:rsid w:val="66FA201E"/>
    <w:rsid w:val="67027AB0"/>
    <w:rsid w:val="67151DB5"/>
    <w:rsid w:val="67292E8F"/>
    <w:rsid w:val="672B5BF5"/>
    <w:rsid w:val="67436582"/>
    <w:rsid w:val="674960D8"/>
    <w:rsid w:val="674B1014"/>
    <w:rsid w:val="674D579C"/>
    <w:rsid w:val="675073AC"/>
    <w:rsid w:val="6758166F"/>
    <w:rsid w:val="676101A1"/>
    <w:rsid w:val="67696216"/>
    <w:rsid w:val="676E234A"/>
    <w:rsid w:val="677203F4"/>
    <w:rsid w:val="67727547"/>
    <w:rsid w:val="677B7D02"/>
    <w:rsid w:val="678619E7"/>
    <w:rsid w:val="6793150D"/>
    <w:rsid w:val="679354F9"/>
    <w:rsid w:val="67A03992"/>
    <w:rsid w:val="67A877DE"/>
    <w:rsid w:val="67A92F96"/>
    <w:rsid w:val="67AF0A0D"/>
    <w:rsid w:val="67C659C5"/>
    <w:rsid w:val="67DC74F1"/>
    <w:rsid w:val="67DD542C"/>
    <w:rsid w:val="67E53218"/>
    <w:rsid w:val="67E61EEE"/>
    <w:rsid w:val="67EB6A18"/>
    <w:rsid w:val="680E6A4F"/>
    <w:rsid w:val="68122BF4"/>
    <w:rsid w:val="681249FA"/>
    <w:rsid w:val="68240787"/>
    <w:rsid w:val="682675C7"/>
    <w:rsid w:val="6828292B"/>
    <w:rsid w:val="68457F57"/>
    <w:rsid w:val="684A7DCA"/>
    <w:rsid w:val="68562D9F"/>
    <w:rsid w:val="686B3D2A"/>
    <w:rsid w:val="686C2748"/>
    <w:rsid w:val="687C0256"/>
    <w:rsid w:val="687E2CC0"/>
    <w:rsid w:val="688426FD"/>
    <w:rsid w:val="688A0DDC"/>
    <w:rsid w:val="688B032C"/>
    <w:rsid w:val="68D4092C"/>
    <w:rsid w:val="68D76254"/>
    <w:rsid w:val="68DC2551"/>
    <w:rsid w:val="68E23561"/>
    <w:rsid w:val="68E37F97"/>
    <w:rsid w:val="68EC13C4"/>
    <w:rsid w:val="690C626D"/>
    <w:rsid w:val="692D38DE"/>
    <w:rsid w:val="69540761"/>
    <w:rsid w:val="6957719D"/>
    <w:rsid w:val="695A7016"/>
    <w:rsid w:val="6965287E"/>
    <w:rsid w:val="6967409A"/>
    <w:rsid w:val="696F202C"/>
    <w:rsid w:val="698D4719"/>
    <w:rsid w:val="698E291F"/>
    <w:rsid w:val="699B2EE1"/>
    <w:rsid w:val="699C1BF8"/>
    <w:rsid w:val="69AA3D5A"/>
    <w:rsid w:val="69CA6535"/>
    <w:rsid w:val="69D216DC"/>
    <w:rsid w:val="69DD6730"/>
    <w:rsid w:val="69EC595A"/>
    <w:rsid w:val="69F42341"/>
    <w:rsid w:val="69F70497"/>
    <w:rsid w:val="69F82084"/>
    <w:rsid w:val="69FC137F"/>
    <w:rsid w:val="6A0173D8"/>
    <w:rsid w:val="6A193589"/>
    <w:rsid w:val="6A1D4B86"/>
    <w:rsid w:val="6A1F1916"/>
    <w:rsid w:val="6A3A44DB"/>
    <w:rsid w:val="6A3F2459"/>
    <w:rsid w:val="6A57083F"/>
    <w:rsid w:val="6A595409"/>
    <w:rsid w:val="6A5E55D2"/>
    <w:rsid w:val="6A600ED2"/>
    <w:rsid w:val="6A7369A7"/>
    <w:rsid w:val="6A801E2D"/>
    <w:rsid w:val="6A8279E8"/>
    <w:rsid w:val="6A93449F"/>
    <w:rsid w:val="6A985B25"/>
    <w:rsid w:val="6AA7523C"/>
    <w:rsid w:val="6AD54CC1"/>
    <w:rsid w:val="6AD57C2F"/>
    <w:rsid w:val="6AD7438A"/>
    <w:rsid w:val="6ADE270F"/>
    <w:rsid w:val="6AE763E7"/>
    <w:rsid w:val="6AF23BA6"/>
    <w:rsid w:val="6AFC42BE"/>
    <w:rsid w:val="6B141F0F"/>
    <w:rsid w:val="6B2675D6"/>
    <w:rsid w:val="6B2E23D2"/>
    <w:rsid w:val="6B310FB4"/>
    <w:rsid w:val="6B396BAF"/>
    <w:rsid w:val="6B4A760B"/>
    <w:rsid w:val="6B575D76"/>
    <w:rsid w:val="6B615997"/>
    <w:rsid w:val="6B636AD0"/>
    <w:rsid w:val="6B640E28"/>
    <w:rsid w:val="6B653230"/>
    <w:rsid w:val="6B806A43"/>
    <w:rsid w:val="6B81117A"/>
    <w:rsid w:val="6B900202"/>
    <w:rsid w:val="6BA0601F"/>
    <w:rsid w:val="6BA52C19"/>
    <w:rsid w:val="6BB64455"/>
    <w:rsid w:val="6BBA1F7E"/>
    <w:rsid w:val="6BBE33C1"/>
    <w:rsid w:val="6BCF1502"/>
    <w:rsid w:val="6BD22770"/>
    <w:rsid w:val="6BDB5572"/>
    <w:rsid w:val="6BE432D1"/>
    <w:rsid w:val="6BF86920"/>
    <w:rsid w:val="6C0D6051"/>
    <w:rsid w:val="6C175221"/>
    <w:rsid w:val="6C1820FA"/>
    <w:rsid w:val="6C421228"/>
    <w:rsid w:val="6C5A6EC6"/>
    <w:rsid w:val="6C5C511D"/>
    <w:rsid w:val="6C7232E2"/>
    <w:rsid w:val="6C815485"/>
    <w:rsid w:val="6C8B32E6"/>
    <w:rsid w:val="6CA8782A"/>
    <w:rsid w:val="6CC24049"/>
    <w:rsid w:val="6CCC213B"/>
    <w:rsid w:val="6CD71CBC"/>
    <w:rsid w:val="6CD83C46"/>
    <w:rsid w:val="6CE60FF2"/>
    <w:rsid w:val="6CE834AF"/>
    <w:rsid w:val="6CEA401C"/>
    <w:rsid w:val="6CED13A1"/>
    <w:rsid w:val="6CF4589B"/>
    <w:rsid w:val="6CF904D5"/>
    <w:rsid w:val="6CFE2E77"/>
    <w:rsid w:val="6D002660"/>
    <w:rsid w:val="6D032A2B"/>
    <w:rsid w:val="6D136F98"/>
    <w:rsid w:val="6D1F5BED"/>
    <w:rsid w:val="6D204343"/>
    <w:rsid w:val="6D2937AB"/>
    <w:rsid w:val="6D3E6170"/>
    <w:rsid w:val="6D404D0D"/>
    <w:rsid w:val="6D417174"/>
    <w:rsid w:val="6D484EE3"/>
    <w:rsid w:val="6D6032F4"/>
    <w:rsid w:val="6D65363B"/>
    <w:rsid w:val="6D6A7564"/>
    <w:rsid w:val="6D82542C"/>
    <w:rsid w:val="6D9A6675"/>
    <w:rsid w:val="6DA9438E"/>
    <w:rsid w:val="6DAC2609"/>
    <w:rsid w:val="6DB71141"/>
    <w:rsid w:val="6DBF5D3D"/>
    <w:rsid w:val="6DC37FB5"/>
    <w:rsid w:val="6DCB49BA"/>
    <w:rsid w:val="6DD80F27"/>
    <w:rsid w:val="6DDA45DC"/>
    <w:rsid w:val="6DE558B2"/>
    <w:rsid w:val="6DEF3975"/>
    <w:rsid w:val="6DF45C04"/>
    <w:rsid w:val="6DF95413"/>
    <w:rsid w:val="6DFA2822"/>
    <w:rsid w:val="6E157DCE"/>
    <w:rsid w:val="6E2067D8"/>
    <w:rsid w:val="6E2A1BF7"/>
    <w:rsid w:val="6E307386"/>
    <w:rsid w:val="6E31618C"/>
    <w:rsid w:val="6E360766"/>
    <w:rsid w:val="6E391CF9"/>
    <w:rsid w:val="6E5422C7"/>
    <w:rsid w:val="6E7A13A6"/>
    <w:rsid w:val="6E95174B"/>
    <w:rsid w:val="6EC205DA"/>
    <w:rsid w:val="6ECA12D3"/>
    <w:rsid w:val="6ED709A0"/>
    <w:rsid w:val="6ED754F5"/>
    <w:rsid w:val="6ED96738"/>
    <w:rsid w:val="6EDB6D73"/>
    <w:rsid w:val="6EDD4BFC"/>
    <w:rsid w:val="6EE25A4E"/>
    <w:rsid w:val="6EEF5E09"/>
    <w:rsid w:val="6EFC63FB"/>
    <w:rsid w:val="6F126E38"/>
    <w:rsid w:val="6F22197D"/>
    <w:rsid w:val="6F291037"/>
    <w:rsid w:val="6F2A41B1"/>
    <w:rsid w:val="6F3A31C7"/>
    <w:rsid w:val="6F3E0B66"/>
    <w:rsid w:val="6F522D33"/>
    <w:rsid w:val="6F6C6375"/>
    <w:rsid w:val="6F85742F"/>
    <w:rsid w:val="6FAC2527"/>
    <w:rsid w:val="6FCA0F99"/>
    <w:rsid w:val="6FD11917"/>
    <w:rsid w:val="6FD26DE3"/>
    <w:rsid w:val="6FD528AE"/>
    <w:rsid w:val="6FE74E1B"/>
    <w:rsid w:val="6FF01A2A"/>
    <w:rsid w:val="6FFB0406"/>
    <w:rsid w:val="70074091"/>
    <w:rsid w:val="70124813"/>
    <w:rsid w:val="7016359D"/>
    <w:rsid w:val="702748FD"/>
    <w:rsid w:val="702B3724"/>
    <w:rsid w:val="704B62D2"/>
    <w:rsid w:val="705C606B"/>
    <w:rsid w:val="706708A1"/>
    <w:rsid w:val="707F7309"/>
    <w:rsid w:val="70872C41"/>
    <w:rsid w:val="709426F4"/>
    <w:rsid w:val="709F1057"/>
    <w:rsid w:val="70A9168B"/>
    <w:rsid w:val="70AA0BCC"/>
    <w:rsid w:val="70AB4EE8"/>
    <w:rsid w:val="70BF6AD0"/>
    <w:rsid w:val="70E0708A"/>
    <w:rsid w:val="70EF636C"/>
    <w:rsid w:val="71123738"/>
    <w:rsid w:val="712A749B"/>
    <w:rsid w:val="713E263B"/>
    <w:rsid w:val="71407F91"/>
    <w:rsid w:val="716006DB"/>
    <w:rsid w:val="717202BF"/>
    <w:rsid w:val="717331B6"/>
    <w:rsid w:val="71782312"/>
    <w:rsid w:val="71845216"/>
    <w:rsid w:val="71874FB0"/>
    <w:rsid w:val="71A02F71"/>
    <w:rsid w:val="71C91228"/>
    <w:rsid w:val="71CC1CFA"/>
    <w:rsid w:val="71D14840"/>
    <w:rsid w:val="71D711C3"/>
    <w:rsid w:val="71FB1A9C"/>
    <w:rsid w:val="72016658"/>
    <w:rsid w:val="720D0148"/>
    <w:rsid w:val="72194B2E"/>
    <w:rsid w:val="72272CE6"/>
    <w:rsid w:val="72283B36"/>
    <w:rsid w:val="723C689E"/>
    <w:rsid w:val="724975C0"/>
    <w:rsid w:val="7254376E"/>
    <w:rsid w:val="72645445"/>
    <w:rsid w:val="72747071"/>
    <w:rsid w:val="72780975"/>
    <w:rsid w:val="72832AB8"/>
    <w:rsid w:val="728A4468"/>
    <w:rsid w:val="728B4B4E"/>
    <w:rsid w:val="7290490C"/>
    <w:rsid w:val="72924C27"/>
    <w:rsid w:val="729E415B"/>
    <w:rsid w:val="72A024AA"/>
    <w:rsid w:val="72B102DA"/>
    <w:rsid w:val="72B15C6E"/>
    <w:rsid w:val="72B4351B"/>
    <w:rsid w:val="72B901BD"/>
    <w:rsid w:val="72C558F0"/>
    <w:rsid w:val="72CA074B"/>
    <w:rsid w:val="72D22768"/>
    <w:rsid w:val="72D45F66"/>
    <w:rsid w:val="72DF2591"/>
    <w:rsid w:val="72F25CAF"/>
    <w:rsid w:val="72F5198C"/>
    <w:rsid w:val="730F1037"/>
    <w:rsid w:val="731B1D78"/>
    <w:rsid w:val="732A3862"/>
    <w:rsid w:val="733340B1"/>
    <w:rsid w:val="73517931"/>
    <w:rsid w:val="73617C79"/>
    <w:rsid w:val="73650E8C"/>
    <w:rsid w:val="73804EDA"/>
    <w:rsid w:val="738A706E"/>
    <w:rsid w:val="73B551B4"/>
    <w:rsid w:val="73B72C3D"/>
    <w:rsid w:val="73D22A68"/>
    <w:rsid w:val="73D9513D"/>
    <w:rsid w:val="73DE0E8B"/>
    <w:rsid w:val="73E25F6B"/>
    <w:rsid w:val="73F25289"/>
    <w:rsid w:val="74112642"/>
    <w:rsid w:val="74137741"/>
    <w:rsid w:val="741527F4"/>
    <w:rsid w:val="741B24B6"/>
    <w:rsid w:val="74261AA0"/>
    <w:rsid w:val="74367F9A"/>
    <w:rsid w:val="74377E02"/>
    <w:rsid w:val="746C4805"/>
    <w:rsid w:val="7485580D"/>
    <w:rsid w:val="748D32C7"/>
    <w:rsid w:val="749470B9"/>
    <w:rsid w:val="749D0945"/>
    <w:rsid w:val="74A716F7"/>
    <w:rsid w:val="74B30711"/>
    <w:rsid w:val="74C21D7A"/>
    <w:rsid w:val="74DA2F09"/>
    <w:rsid w:val="74E7666D"/>
    <w:rsid w:val="74FF3F52"/>
    <w:rsid w:val="75034532"/>
    <w:rsid w:val="75091547"/>
    <w:rsid w:val="751C0CC1"/>
    <w:rsid w:val="752E4E36"/>
    <w:rsid w:val="753C2335"/>
    <w:rsid w:val="753D327B"/>
    <w:rsid w:val="755C214B"/>
    <w:rsid w:val="75701FC6"/>
    <w:rsid w:val="75757AE8"/>
    <w:rsid w:val="757C086D"/>
    <w:rsid w:val="757F1702"/>
    <w:rsid w:val="75804A36"/>
    <w:rsid w:val="75850A11"/>
    <w:rsid w:val="758551DD"/>
    <w:rsid w:val="758C0209"/>
    <w:rsid w:val="75930F2A"/>
    <w:rsid w:val="759512AD"/>
    <w:rsid w:val="759D22B8"/>
    <w:rsid w:val="75A5486A"/>
    <w:rsid w:val="75B02134"/>
    <w:rsid w:val="75B87975"/>
    <w:rsid w:val="75D76591"/>
    <w:rsid w:val="75E20E46"/>
    <w:rsid w:val="75E5622F"/>
    <w:rsid w:val="75EF20B3"/>
    <w:rsid w:val="75F102AA"/>
    <w:rsid w:val="75F43634"/>
    <w:rsid w:val="75FC147B"/>
    <w:rsid w:val="76007719"/>
    <w:rsid w:val="76132823"/>
    <w:rsid w:val="761D3CE2"/>
    <w:rsid w:val="76206FD8"/>
    <w:rsid w:val="76217D3F"/>
    <w:rsid w:val="76224E2B"/>
    <w:rsid w:val="76235875"/>
    <w:rsid w:val="762D6C3F"/>
    <w:rsid w:val="76361A99"/>
    <w:rsid w:val="76405339"/>
    <w:rsid w:val="76434758"/>
    <w:rsid w:val="76565341"/>
    <w:rsid w:val="765834FB"/>
    <w:rsid w:val="765B1240"/>
    <w:rsid w:val="765C05F9"/>
    <w:rsid w:val="765C4CA7"/>
    <w:rsid w:val="7662420C"/>
    <w:rsid w:val="76633BD0"/>
    <w:rsid w:val="76773EA4"/>
    <w:rsid w:val="767D0282"/>
    <w:rsid w:val="76956BE2"/>
    <w:rsid w:val="76B86C49"/>
    <w:rsid w:val="76BE461C"/>
    <w:rsid w:val="76CB0952"/>
    <w:rsid w:val="76CE1B13"/>
    <w:rsid w:val="76D1082B"/>
    <w:rsid w:val="76F9774F"/>
    <w:rsid w:val="770C542B"/>
    <w:rsid w:val="77162BA0"/>
    <w:rsid w:val="772813B5"/>
    <w:rsid w:val="77292BEF"/>
    <w:rsid w:val="772B10B5"/>
    <w:rsid w:val="773012B8"/>
    <w:rsid w:val="77437EDD"/>
    <w:rsid w:val="775201FE"/>
    <w:rsid w:val="775E317E"/>
    <w:rsid w:val="7760310B"/>
    <w:rsid w:val="77805A01"/>
    <w:rsid w:val="77914195"/>
    <w:rsid w:val="77A30DFD"/>
    <w:rsid w:val="77AB046C"/>
    <w:rsid w:val="77AD185B"/>
    <w:rsid w:val="77B023B6"/>
    <w:rsid w:val="77BA0140"/>
    <w:rsid w:val="77C223A2"/>
    <w:rsid w:val="77C521AE"/>
    <w:rsid w:val="77C970F3"/>
    <w:rsid w:val="77CA4372"/>
    <w:rsid w:val="77CB1E7A"/>
    <w:rsid w:val="77D73095"/>
    <w:rsid w:val="78041330"/>
    <w:rsid w:val="781F2121"/>
    <w:rsid w:val="781F67B1"/>
    <w:rsid w:val="782417B2"/>
    <w:rsid w:val="782908E8"/>
    <w:rsid w:val="78360102"/>
    <w:rsid w:val="783B110F"/>
    <w:rsid w:val="783C54C1"/>
    <w:rsid w:val="783F0F53"/>
    <w:rsid w:val="784139CE"/>
    <w:rsid w:val="78475CA8"/>
    <w:rsid w:val="784C58FE"/>
    <w:rsid w:val="78501E6F"/>
    <w:rsid w:val="785638C1"/>
    <w:rsid w:val="786A1CB9"/>
    <w:rsid w:val="787A3A58"/>
    <w:rsid w:val="787D268B"/>
    <w:rsid w:val="787F1F88"/>
    <w:rsid w:val="7896056D"/>
    <w:rsid w:val="789C500B"/>
    <w:rsid w:val="78A44AF9"/>
    <w:rsid w:val="78AE0EB0"/>
    <w:rsid w:val="78BC4FA4"/>
    <w:rsid w:val="78C24E38"/>
    <w:rsid w:val="78D20C3C"/>
    <w:rsid w:val="78D625B2"/>
    <w:rsid w:val="78DE07EB"/>
    <w:rsid w:val="78F1608B"/>
    <w:rsid w:val="78FC7AE8"/>
    <w:rsid w:val="78FD5E38"/>
    <w:rsid w:val="79032E47"/>
    <w:rsid w:val="7917402D"/>
    <w:rsid w:val="792B2646"/>
    <w:rsid w:val="79303C90"/>
    <w:rsid w:val="79335632"/>
    <w:rsid w:val="793E54ED"/>
    <w:rsid w:val="793F1F59"/>
    <w:rsid w:val="793F4EB7"/>
    <w:rsid w:val="794400BD"/>
    <w:rsid w:val="79532DAB"/>
    <w:rsid w:val="79601281"/>
    <w:rsid w:val="796C00E0"/>
    <w:rsid w:val="796D6F33"/>
    <w:rsid w:val="797314BE"/>
    <w:rsid w:val="79737A36"/>
    <w:rsid w:val="79761A69"/>
    <w:rsid w:val="797862DB"/>
    <w:rsid w:val="79864455"/>
    <w:rsid w:val="7999084D"/>
    <w:rsid w:val="79B478E8"/>
    <w:rsid w:val="79B80E37"/>
    <w:rsid w:val="79BB3FD7"/>
    <w:rsid w:val="79D74407"/>
    <w:rsid w:val="79F558D2"/>
    <w:rsid w:val="79F86DF8"/>
    <w:rsid w:val="7A05268C"/>
    <w:rsid w:val="7A0A28A9"/>
    <w:rsid w:val="7A0C139B"/>
    <w:rsid w:val="7A0D4339"/>
    <w:rsid w:val="7A227EB8"/>
    <w:rsid w:val="7A2A404F"/>
    <w:rsid w:val="7A321AF4"/>
    <w:rsid w:val="7A5E5467"/>
    <w:rsid w:val="7A6B6119"/>
    <w:rsid w:val="7A7E0950"/>
    <w:rsid w:val="7A7F48DD"/>
    <w:rsid w:val="7A811B0F"/>
    <w:rsid w:val="7A814276"/>
    <w:rsid w:val="7A815268"/>
    <w:rsid w:val="7A9022D3"/>
    <w:rsid w:val="7AAE5D90"/>
    <w:rsid w:val="7AC27D82"/>
    <w:rsid w:val="7ACE005E"/>
    <w:rsid w:val="7AE869CD"/>
    <w:rsid w:val="7AFF1C73"/>
    <w:rsid w:val="7B022882"/>
    <w:rsid w:val="7B061534"/>
    <w:rsid w:val="7B0737B3"/>
    <w:rsid w:val="7B2A631E"/>
    <w:rsid w:val="7B2B7D4E"/>
    <w:rsid w:val="7B2C6C04"/>
    <w:rsid w:val="7B3602D6"/>
    <w:rsid w:val="7B413193"/>
    <w:rsid w:val="7B472316"/>
    <w:rsid w:val="7B4F5B04"/>
    <w:rsid w:val="7B591F8E"/>
    <w:rsid w:val="7B625C70"/>
    <w:rsid w:val="7B7A444D"/>
    <w:rsid w:val="7B8A16F8"/>
    <w:rsid w:val="7B95314A"/>
    <w:rsid w:val="7BA16B18"/>
    <w:rsid w:val="7BC00C98"/>
    <w:rsid w:val="7BC075EC"/>
    <w:rsid w:val="7BC11A9E"/>
    <w:rsid w:val="7BD25C6B"/>
    <w:rsid w:val="7BD37DCF"/>
    <w:rsid w:val="7BD42C02"/>
    <w:rsid w:val="7BE10C07"/>
    <w:rsid w:val="7BF77374"/>
    <w:rsid w:val="7BFA399F"/>
    <w:rsid w:val="7BFD6082"/>
    <w:rsid w:val="7C01688A"/>
    <w:rsid w:val="7C092860"/>
    <w:rsid w:val="7C0F319A"/>
    <w:rsid w:val="7C282E72"/>
    <w:rsid w:val="7C2869ED"/>
    <w:rsid w:val="7C293142"/>
    <w:rsid w:val="7C444C34"/>
    <w:rsid w:val="7C5E23BD"/>
    <w:rsid w:val="7C6D1911"/>
    <w:rsid w:val="7C732264"/>
    <w:rsid w:val="7C745B76"/>
    <w:rsid w:val="7C8A2209"/>
    <w:rsid w:val="7C992514"/>
    <w:rsid w:val="7C9D0F17"/>
    <w:rsid w:val="7C9D7850"/>
    <w:rsid w:val="7CA949A1"/>
    <w:rsid w:val="7CB26FCE"/>
    <w:rsid w:val="7CB566D5"/>
    <w:rsid w:val="7CCC72D8"/>
    <w:rsid w:val="7CCF2D25"/>
    <w:rsid w:val="7CCF55B1"/>
    <w:rsid w:val="7CD4291E"/>
    <w:rsid w:val="7CE028C5"/>
    <w:rsid w:val="7CE858AB"/>
    <w:rsid w:val="7D2438A6"/>
    <w:rsid w:val="7D283684"/>
    <w:rsid w:val="7D2D048D"/>
    <w:rsid w:val="7D2E4372"/>
    <w:rsid w:val="7D3517CC"/>
    <w:rsid w:val="7D4904F0"/>
    <w:rsid w:val="7D650914"/>
    <w:rsid w:val="7D673EBC"/>
    <w:rsid w:val="7D705D10"/>
    <w:rsid w:val="7D781A73"/>
    <w:rsid w:val="7D7B605B"/>
    <w:rsid w:val="7D7C7421"/>
    <w:rsid w:val="7D931792"/>
    <w:rsid w:val="7DA51012"/>
    <w:rsid w:val="7DAC4042"/>
    <w:rsid w:val="7DCE3A9F"/>
    <w:rsid w:val="7DF50700"/>
    <w:rsid w:val="7E0E0B22"/>
    <w:rsid w:val="7E0F4EE6"/>
    <w:rsid w:val="7E1172EE"/>
    <w:rsid w:val="7E1D690D"/>
    <w:rsid w:val="7E335DA5"/>
    <w:rsid w:val="7E3B226C"/>
    <w:rsid w:val="7E3C19F6"/>
    <w:rsid w:val="7E5B72F5"/>
    <w:rsid w:val="7E637AC3"/>
    <w:rsid w:val="7E712358"/>
    <w:rsid w:val="7E805DB3"/>
    <w:rsid w:val="7E920903"/>
    <w:rsid w:val="7E932601"/>
    <w:rsid w:val="7E9A13E9"/>
    <w:rsid w:val="7EC959CC"/>
    <w:rsid w:val="7ED03FDC"/>
    <w:rsid w:val="7EDC06F6"/>
    <w:rsid w:val="7EEC11CE"/>
    <w:rsid w:val="7EF56519"/>
    <w:rsid w:val="7F00651A"/>
    <w:rsid w:val="7F0A064A"/>
    <w:rsid w:val="7F253F6A"/>
    <w:rsid w:val="7F274BEC"/>
    <w:rsid w:val="7F446EA8"/>
    <w:rsid w:val="7F465986"/>
    <w:rsid w:val="7F4A758B"/>
    <w:rsid w:val="7F772B83"/>
    <w:rsid w:val="7F86656B"/>
    <w:rsid w:val="7F8726F5"/>
    <w:rsid w:val="7FB07741"/>
    <w:rsid w:val="7FB16C6E"/>
    <w:rsid w:val="7FFA4466"/>
    <w:rsid w:val="7FFB0EA2"/>
    <w:rsid w:val="7FFE001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qFormat="1" w:unhideWhenUsed="0" w:uiPriority="99" w:semiHidden="0" w:name="Body Text First Indent"/>
    <w:lsdException w:qFormat="1" w:unhideWhenUsed="0" w:uiPriority="99" w:semiHidden="0" w:name="Body Text First Indent 2"/>
    <w:lsdException w:uiPriority="99" w:name="Note Heading" w:locked="1"/>
    <w:lsdException w:uiPriority="99" w:name="Body Text 2" w:locked="1"/>
    <w:lsdException w:uiPriority="99" w:name="Body Text 3" w:locked="1"/>
    <w:lsdException w:qFormat="1" w:unhideWhenUsed="0" w:uiPriority="99" w:semiHidden="0" w:name="Body Text Indent 2"/>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25"/>
    <w:qFormat/>
    <w:uiPriority w:val="99"/>
    <w:pPr>
      <w:keepNext/>
      <w:keepLines/>
      <w:spacing w:before="340" w:after="330" w:line="578" w:lineRule="auto"/>
      <w:outlineLvl w:val="0"/>
    </w:pPr>
    <w:rPr>
      <w:rFonts w:eastAsia="黑体"/>
      <w:b/>
      <w:bCs/>
      <w:kern w:val="44"/>
      <w:sz w:val="32"/>
      <w:szCs w:val="32"/>
    </w:rPr>
  </w:style>
  <w:style w:type="paragraph" w:styleId="3">
    <w:name w:val="heading 2"/>
    <w:basedOn w:val="1"/>
    <w:next w:val="1"/>
    <w:link w:val="26"/>
    <w:qFormat/>
    <w:uiPriority w:val="99"/>
    <w:pPr>
      <w:keepNext/>
      <w:keepLines/>
      <w:spacing w:before="260" w:after="260" w:line="416" w:lineRule="auto"/>
      <w:outlineLvl w:val="1"/>
    </w:pPr>
    <w:rPr>
      <w:rFonts w:ascii="Cambria" w:hAnsi="Cambria" w:cs="Cambria"/>
      <w:b/>
      <w:bCs/>
      <w:sz w:val="28"/>
      <w:szCs w:val="28"/>
    </w:rPr>
  </w:style>
  <w:style w:type="paragraph" w:styleId="4">
    <w:name w:val="heading 3"/>
    <w:basedOn w:val="1"/>
    <w:next w:val="1"/>
    <w:link w:val="27"/>
    <w:qFormat/>
    <w:uiPriority w:val="99"/>
    <w:pPr>
      <w:keepNext/>
      <w:keepLines/>
      <w:spacing w:before="260" w:after="260" w:line="416" w:lineRule="auto"/>
      <w:outlineLvl w:val="2"/>
    </w:pPr>
    <w:rPr>
      <w:b/>
      <w:bCs/>
      <w:sz w:val="32"/>
      <w:szCs w:val="32"/>
    </w:rPr>
  </w:style>
  <w:style w:type="paragraph" w:styleId="5">
    <w:name w:val="heading 4"/>
    <w:basedOn w:val="1"/>
    <w:next w:val="1"/>
    <w:link w:val="28"/>
    <w:qFormat/>
    <w:locked/>
    <w:uiPriority w:val="99"/>
    <w:pPr>
      <w:keepNext/>
      <w:keepLines/>
      <w:spacing w:before="280" w:after="290" w:line="376" w:lineRule="auto"/>
      <w:outlineLvl w:val="3"/>
    </w:pPr>
    <w:rPr>
      <w:rFonts w:ascii="Arial" w:hAnsi="Arial" w:eastAsia="黑体" w:cs="Arial"/>
      <w:b/>
      <w:bCs/>
      <w:sz w:val="28"/>
      <w:szCs w:val="28"/>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Document Map"/>
    <w:basedOn w:val="1"/>
    <w:link w:val="31"/>
    <w:semiHidden/>
    <w:qFormat/>
    <w:uiPriority w:val="99"/>
    <w:pPr>
      <w:shd w:val="clear" w:color="auto" w:fill="000080"/>
    </w:pPr>
  </w:style>
  <w:style w:type="paragraph" w:styleId="7">
    <w:name w:val="Body Text"/>
    <w:basedOn w:val="1"/>
    <w:link w:val="29"/>
    <w:qFormat/>
    <w:uiPriority w:val="99"/>
    <w:pPr>
      <w:spacing w:after="120"/>
    </w:pPr>
  </w:style>
  <w:style w:type="paragraph" w:styleId="8">
    <w:name w:val="Body Text Indent"/>
    <w:basedOn w:val="1"/>
    <w:link w:val="32"/>
    <w:qFormat/>
    <w:uiPriority w:val="99"/>
    <w:pPr>
      <w:spacing w:after="120"/>
      <w:ind w:left="420" w:leftChars="200"/>
    </w:pPr>
  </w:style>
  <w:style w:type="paragraph" w:styleId="9">
    <w:name w:val="toc 3"/>
    <w:basedOn w:val="1"/>
    <w:next w:val="1"/>
    <w:qFormat/>
    <w:uiPriority w:val="39"/>
    <w:pPr>
      <w:tabs>
        <w:tab w:val="right" w:leader="dot" w:pos="8494"/>
      </w:tabs>
      <w:ind w:left="840" w:leftChars="400"/>
    </w:pPr>
    <w:rPr>
      <w:b/>
      <w:bCs/>
      <w:kern w:val="0"/>
      <w:sz w:val="30"/>
      <w:szCs w:val="30"/>
    </w:rPr>
  </w:style>
  <w:style w:type="paragraph" w:styleId="10">
    <w:name w:val="Plain Text"/>
    <w:basedOn w:val="1"/>
    <w:link w:val="33"/>
    <w:qFormat/>
    <w:uiPriority w:val="99"/>
    <w:rPr>
      <w:rFonts w:ascii="宋体" w:hAnsi="Courier New" w:cs="宋体"/>
    </w:rPr>
  </w:style>
  <w:style w:type="paragraph" w:styleId="11">
    <w:name w:val="Body Text Indent 2"/>
    <w:basedOn w:val="1"/>
    <w:link w:val="34"/>
    <w:qFormat/>
    <w:uiPriority w:val="99"/>
    <w:pPr>
      <w:spacing w:after="120" w:line="480" w:lineRule="auto"/>
      <w:ind w:left="420" w:leftChars="200"/>
    </w:pPr>
  </w:style>
  <w:style w:type="paragraph" w:styleId="12">
    <w:name w:val="Balloon Text"/>
    <w:basedOn w:val="1"/>
    <w:link w:val="35"/>
    <w:semiHidden/>
    <w:qFormat/>
    <w:uiPriority w:val="99"/>
    <w:rPr>
      <w:kern w:val="0"/>
      <w:sz w:val="18"/>
      <w:szCs w:val="18"/>
    </w:rPr>
  </w:style>
  <w:style w:type="paragraph" w:styleId="13">
    <w:name w:val="footer"/>
    <w:basedOn w:val="1"/>
    <w:link w:val="36"/>
    <w:qFormat/>
    <w:uiPriority w:val="99"/>
    <w:pPr>
      <w:tabs>
        <w:tab w:val="center" w:pos="4153"/>
        <w:tab w:val="right" w:pos="8306"/>
      </w:tabs>
      <w:snapToGrid w:val="0"/>
      <w:jc w:val="left"/>
    </w:pPr>
    <w:rPr>
      <w:kern w:val="0"/>
      <w:sz w:val="18"/>
      <w:szCs w:val="18"/>
    </w:rPr>
  </w:style>
  <w:style w:type="paragraph" w:styleId="14">
    <w:name w:val="header"/>
    <w:basedOn w:val="1"/>
    <w:link w:val="38"/>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toc 1"/>
    <w:basedOn w:val="1"/>
    <w:next w:val="1"/>
    <w:qFormat/>
    <w:uiPriority w:val="39"/>
    <w:pPr>
      <w:tabs>
        <w:tab w:val="right" w:leader="dot" w:pos="9170"/>
      </w:tabs>
      <w:spacing w:before="120" w:after="120"/>
      <w:jc w:val="left"/>
    </w:pPr>
    <w:rPr>
      <w:rFonts w:ascii="宋体" w:hAnsi="宋体" w:cs="宋体"/>
      <w:b/>
      <w:bCs/>
      <w:caps/>
      <w:sz w:val="24"/>
      <w:szCs w:val="24"/>
    </w:rPr>
  </w:style>
  <w:style w:type="paragraph" w:styleId="16">
    <w:name w:val="Subtitle"/>
    <w:basedOn w:val="1"/>
    <w:next w:val="1"/>
    <w:link w:val="39"/>
    <w:qFormat/>
    <w:uiPriority w:val="99"/>
    <w:pPr>
      <w:spacing w:before="240" w:after="60" w:line="312" w:lineRule="auto"/>
      <w:jc w:val="center"/>
      <w:outlineLvl w:val="1"/>
    </w:pPr>
    <w:rPr>
      <w:rFonts w:ascii="Cambria" w:hAnsi="Cambria" w:cs="Cambria"/>
      <w:b/>
      <w:bCs/>
      <w:kern w:val="28"/>
      <w:sz w:val="32"/>
      <w:szCs w:val="32"/>
    </w:rPr>
  </w:style>
  <w:style w:type="paragraph" w:styleId="17">
    <w:name w:val="toc 2"/>
    <w:basedOn w:val="1"/>
    <w:next w:val="1"/>
    <w:qFormat/>
    <w:uiPriority w:val="39"/>
    <w:pPr>
      <w:tabs>
        <w:tab w:val="right" w:leader="dot" w:pos="9170"/>
      </w:tabs>
      <w:spacing w:line="360" w:lineRule="auto"/>
      <w:ind w:left="210"/>
      <w:jc w:val="left"/>
    </w:pPr>
    <w:rPr>
      <w:rFonts w:ascii="宋体" w:hAnsi="宋体" w:cs="宋体"/>
      <w:b/>
      <w:bCs/>
      <w:smallCaps/>
      <w:color w:val="000000"/>
      <w:kern w:val="0"/>
      <w:sz w:val="30"/>
      <w:szCs w:val="30"/>
    </w:rPr>
  </w:style>
  <w:style w:type="paragraph" w:styleId="18">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19">
    <w:name w:val="Body Text First Indent"/>
    <w:basedOn w:val="7"/>
    <w:link w:val="30"/>
    <w:qFormat/>
    <w:uiPriority w:val="99"/>
    <w:pPr>
      <w:ind w:firstLine="420" w:firstLineChars="100"/>
    </w:pPr>
  </w:style>
  <w:style w:type="paragraph" w:styleId="20">
    <w:name w:val="Body Text First Indent 2"/>
    <w:basedOn w:val="8"/>
    <w:link w:val="37"/>
    <w:qFormat/>
    <w:uiPriority w:val="99"/>
    <w:pPr>
      <w:ind w:firstLine="420" w:firstLineChars="200"/>
    </w:pPr>
  </w:style>
  <w:style w:type="character" w:styleId="23">
    <w:name w:val="Strong"/>
    <w:basedOn w:val="22"/>
    <w:qFormat/>
    <w:uiPriority w:val="99"/>
    <w:rPr>
      <w:b/>
      <w:bCs/>
    </w:rPr>
  </w:style>
  <w:style w:type="character" w:styleId="24">
    <w:name w:val="Hyperlink"/>
    <w:basedOn w:val="22"/>
    <w:qFormat/>
    <w:uiPriority w:val="99"/>
    <w:rPr>
      <w:color w:val="0000FF"/>
      <w:u w:val="single"/>
    </w:rPr>
  </w:style>
  <w:style w:type="character" w:customStyle="1" w:styleId="25">
    <w:name w:val="标题 1 Char"/>
    <w:basedOn w:val="22"/>
    <w:link w:val="2"/>
    <w:qFormat/>
    <w:locked/>
    <w:uiPriority w:val="99"/>
    <w:rPr>
      <w:rFonts w:eastAsia="黑体"/>
      <w:b/>
      <w:bCs/>
      <w:kern w:val="44"/>
      <w:sz w:val="44"/>
      <w:szCs w:val="44"/>
    </w:rPr>
  </w:style>
  <w:style w:type="character" w:customStyle="1" w:styleId="26">
    <w:name w:val="标题 2 Char"/>
    <w:basedOn w:val="22"/>
    <w:link w:val="3"/>
    <w:qFormat/>
    <w:locked/>
    <w:uiPriority w:val="99"/>
    <w:rPr>
      <w:rFonts w:ascii="Cambria" w:hAnsi="Cambria" w:cs="Cambria"/>
      <w:b/>
      <w:bCs/>
      <w:kern w:val="2"/>
      <w:sz w:val="32"/>
      <w:szCs w:val="32"/>
    </w:rPr>
  </w:style>
  <w:style w:type="character" w:customStyle="1" w:styleId="27">
    <w:name w:val="标题 3 Char"/>
    <w:basedOn w:val="22"/>
    <w:link w:val="4"/>
    <w:semiHidden/>
    <w:qFormat/>
    <w:locked/>
    <w:uiPriority w:val="99"/>
    <w:rPr>
      <w:b/>
      <w:bCs/>
      <w:sz w:val="32"/>
      <w:szCs w:val="32"/>
    </w:rPr>
  </w:style>
  <w:style w:type="character" w:customStyle="1" w:styleId="28">
    <w:name w:val="标题 4 Char"/>
    <w:basedOn w:val="22"/>
    <w:link w:val="5"/>
    <w:semiHidden/>
    <w:qFormat/>
    <w:locked/>
    <w:uiPriority w:val="99"/>
    <w:rPr>
      <w:rFonts w:ascii="Cambria" w:hAnsi="Cambria" w:eastAsia="宋体" w:cs="Cambria"/>
      <w:b/>
      <w:bCs/>
      <w:sz w:val="28"/>
      <w:szCs w:val="28"/>
    </w:rPr>
  </w:style>
  <w:style w:type="character" w:customStyle="1" w:styleId="29">
    <w:name w:val="正文文本 Char"/>
    <w:basedOn w:val="22"/>
    <w:link w:val="7"/>
    <w:semiHidden/>
    <w:qFormat/>
    <w:locked/>
    <w:uiPriority w:val="99"/>
    <w:rPr>
      <w:sz w:val="21"/>
      <w:szCs w:val="21"/>
    </w:rPr>
  </w:style>
  <w:style w:type="character" w:customStyle="1" w:styleId="30">
    <w:name w:val="正文首行缩进 Char"/>
    <w:basedOn w:val="29"/>
    <w:link w:val="19"/>
    <w:semiHidden/>
    <w:qFormat/>
    <w:locked/>
    <w:uiPriority w:val="99"/>
  </w:style>
  <w:style w:type="character" w:customStyle="1" w:styleId="31">
    <w:name w:val="文档结构图 Char"/>
    <w:basedOn w:val="22"/>
    <w:link w:val="6"/>
    <w:semiHidden/>
    <w:qFormat/>
    <w:locked/>
    <w:uiPriority w:val="99"/>
    <w:rPr>
      <w:rFonts w:ascii="Times New Roman" w:hAnsi="Times New Roman" w:cs="Times New Roman"/>
      <w:sz w:val="2"/>
      <w:szCs w:val="2"/>
    </w:rPr>
  </w:style>
  <w:style w:type="character" w:customStyle="1" w:styleId="32">
    <w:name w:val="正文文本缩进 Char"/>
    <w:basedOn w:val="22"/>
    <w:link w:val="8"/>
    <w:semiHidden/>
    <w:qFormat/>
    <w:locked/>
    <w:uiPriority w:val="99"/>
    <w:rPr>
      <w:sz w:val="21"/>
      <w:szCs w:val="21"/>
    </w:rPr>
  </w:style>
  <w:style w:type="character" w:customStyle="1" w:styleId="33">
    <w:name w:val="纯文本 Char"/>
    <w:basedOn w:val="22"/>
    <w:link w:val="10"/>
    <w:semiHidden/>
    <w:qFormat/>
    <w:locked/>
    <w:uiPriority w:val="99"/>
    <w:rPr>
      <w:rFonts w:ascii="宋体" w:hAnsi="Courier New" w:cs="宋体"/>
      <w:sz w:val="21"/>
      <w:szCs w:val="21"/>
    </w:rPr>
  </w:style>
  <w:style w:type="character" w:customStyle="1" w:styleId="34">
    <w:name w:val="正文文本缩进 2 Char"/>
    <w:basedOn w:val="22"/>
    <w:link w:val="11"/>
    <w:semiHidden/>
    <w:qFormat/>
    <w:locked/>
    <w:uiPriority w:val="99"/>
    <w:rPr>
      <w:sz w:val="21"/>
      <w:szCs w:val="21"/>
    </w:rPr>
  </w:style>
  <w:style w:type="character" w:customStyle="1" w:styleId="35">
    <w:name w:val="批注框文本 Char"/>
    <w:basedOn w:val="22"/>
    <w:link w:val="12"/>
    <w:semiHidden/>
    <w:qFormat/>
    <w:locked/>
    <w:uiPriority w:val="99"/>
    <w:rPr>
      <w:sz w:val="18"/>
      <w:szCs w:val="18"/>
    </w:rPr>
  </w:style>
  <w:style w:type="character" w:customStyle="1" w:styleId="36">
    <w:name w:val="页脚 Char"/>
    <w:basedOn w:val="22"/>
    <w:link w:val="13"/>
    <w:qFormat/>
    <w:locked/>
    <w:uiPriority w:val="99"/>
    <w:rPr>
      <w:sz w:val="18"/>
      <w:szCs w:val="18"/>
    </w:rPr>
  </w:style>
  <w:style w:type="character" w:customStyle="1" w:styleId="37">
    <w:name w:val="正文首行缩进 2 Char"/>
    <w:basedOn w:val="32"/>
    <w:link w:val="20"/>
    <w:semiHidden/>
    <w:qFormat/>
    <w:locked/>
    <w:uiPriority w:val="99"/>
  </w:style>
  <w:style w:type="character" w:customStyle="1" w:styleId="38">
    <w:name w:val="页眉 Char"/>
    <w:basedOn w:val="22"/>
    <w:link w:val="14"/>
    <w:qFormat/>
    <w:locked/>
    <w:uiPriority w:val="99"/>
    <w:rPr>
      <w:sz w:val="18"/>
      <w:szCs w:val="18"/>
    </w:rPr>
  </w:style>
  <w:style w:type="character" w:customStyle="1" w:styleId="39">
    <w:name w:val="副标题 Char"/>
    <w:basedOn w:val="22"/>
    <w:link w:val="16"/>
    <w:qFormat/>
    <w:locked/>
    <w:uiPriority w:val="99"/>
    <w:rPr>
      <w:rFonts w:ascii="Cambria" w:hAnsi="Cambria" w:cs="Cambria"/>
      <w:b/>
      <w:bCs/>
      <w:kern w:val="28"/>
      <w:sz w:val="32"/>
      <w:szCs w:val="32"/>
    </w:rPr>
  </w:style>
  <w:style w:type="paragraph" w:customStyle="1" w:styleId="40">
    <w:name w:val="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styleId="4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008A6E3-3086-4711-8D43-27BA221D671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30</Pages>
  <Words>2747</Words>
  <Characters>15658</Characters>
  <Lines>130</Lines>
  <Paragraphs>36</Paragraphs>
  <TotalTime>2</TotalTime>
  <ScaleCrop>false</ScaleCrop>
  <LinksUpToDate>false</LinksUpToDate>
  <CharactersWithSpaces>18369</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2019-09-11T05:50:00Z</dcterms:created>
  <dc:creator>AutoBVT</dc:creator>
  <cp:lastModifiedBy>Administrator</cp:lastModifiedBy>
  <dcterms:modified xsi:type="dcterms:W3CDTF">2020-11-27T05:34:39Z</dcterms:modified>
  <cp:revision>283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