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sz w:val="72"/>
          <w:szCs w:val="72"/>
        </w:rPr>
        <w:drawing>
          <wp:anchor distT="0" distB="0" distL="114300" distR="114300" simplePos="0" relativeHeight="251657216" behindDoc="1" locked="0" layoutInCell="1" allowOverlap="1">
            <wp:simplePos x="0" y="0"/>
            <wp:positionH relativeFrom="column">
              <wp:posOffset>-902335</wp:posOffset>
            </wp:positionH>
            <wp:positionV relativeFrom="paragraph">
              <wp:posOffset>-952500</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xaJUtgA&#10;AAAKAQAADwAAAAAAAAABACAAAAAiAAAAZHJzL2Rvd25yZXYueG1sUEsBAhQAFAAAAAgAh07iQBmd&#10;hPqtAQAATwMAAA4AAAAAAAAAAQAgAAAAJwEAAGRycy9lMm9Eb2MueG1sUEsFBgAAAAAGAAYAWQEA&#10;AEYFA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lang w:val="en-US"/>
        </w:rPr>
      </w:pPr>
      <w:r>
        <w:rPr>
          <w:rFonts w:hint="eastAsia" w:ascii="宋体" w:hAnsi="宋体"/>
          <w:b/>
          <w:sz w:val="30"/>
          <w:szCs w:val="30"/>
        </w:rPr>
        <w:t>20</w:t>
      </w:r>
      <w:r>
        <w:rPr>
          <w:rFonts w:hint="eastAsia" w:ascii="宋体" w:hAnsi="宋体"/>
          <w:b/>
          <w:sz w:val="30"/>
          <w:szCs w:val="30"/>
          <w:lang w:val="en-US" w:eastAsia="zh-CN"/>
        </w:rPr>
        <w:t>20</w:t>
      </w:r>
      <w:r>
        <w:rPr>
          <w:rFonts w:hint="eastAsia" w:ascii="宋体" w:hAnsi="宋体"/>
          <w:b/>
          <w:sz w:val="30"/>
          <w:szCs w:val="30"/>
        </w:rPr>
        <w:t>.</w:t>
      </w:r>
      <w:r>
        <w:rPr>
          <w:rFonts w:hint="eastAsia" w:ascii="宋体" w:hAnsi="宋体"/>
          <w:b/>
          <w:sz w:val="30"/>
          <w:szCs w:val="30"/>
          <w:lang w:val="en-US" w:eastAsia="zh-CN"/>
        </w:rPr>
        <w:t>11.19</w:t>
      </w: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CbeaHX&#10;AAAACgEAAA8AAAAAAAAAAQAgAAAAIgAAAGRycy9kb3ducmV2LnhtbFBLAQIUABQAAAAIAIdO4kDH&#10;CofIrwEAAFADAAAOAAAAAAAAAAEAIAAAACYBAABkcnMvZTJvRG9jLnhtbFBLBQYAAAAABgAGAFkB&#10;AABH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目 录</w:t>
      </w:r>
    </w:p>
    <w:p>
      <w:pPr>
        <w:pStyle w:val="16"/>
        <w:tabs>
          <w:tab w:val="right" w:leader="dot" w:pos="9638"/>
          <w:tab w:val="clear" w:pos="9170"/>
        </w:tabs>
        <w:rPr>
          <w:color w:val="auto"/>
          <w:highlight w:val="none"/>
        </w:rPr>
      </w:pPr>
      <w:r>
        <w:rPr>
          <w:b w:val="0"/>
          <w:color w:val="auto"/>
          <w:sz w:val="24"/>
          <w:szCs w:val="24"/>
          <w:highlight w:val="none"/>
        </w:rPr>
        <w:fldChar w:fldCharType="begin"/>
      </w:r>
      <w:r>
        <w:rPr>
          <w:b w:val="0"/>
          <w:color w:val="auto"/>
          <w:sz w:val="24"/>
          <w:szCs w:val="24"/>
          <w:highlight w:val="none"/>
        </w:rPr>
        <w:instrText xml:space="preserve"> TOC \o "1-3" \h \z </w:instrText>
      </w:r>
      <w:r>
        <w:rPr>
          <w:b w:val="0"/>
          <w:color w:val="auto"/>
          <w:sz w:val="24"/>
          <w:szCs w:val="24"/>
          <w:highlight w:val="none"/>
        </w:rPr>
        <w:fldChar w:fldCharType="separate"/>
      </w:r>
      <w:r>
        <w:rPr>
          <w:color w:val="auto"/>
          <w:szCs w:val="24"/>
          <w:highlight w:val="none"/>
        </w:rPr>
        <w:fldChar w:fldCharType="begin"/>
      </w:r>
      <w:r>
        <w:rPr>
          <w:color w:val="auto"/>
          <w:szCs w:val="24"/>
          <w:highlight w:val="none"/>
        </w:rPr>
        <w:instrText xml:space="preserve"> HYPERLINK \l _Toc28204 </w:instrText>
      </w:r>
      <w:r>
        <w:rPr>
          <w:color w:val="auto"/>
          <w:szCs w:val="24"/>
          <w:highlight w:val="none"/>
        </w:rPr>
        <w:fldChar w:fldCharType="separate"/>
      </w:r>
      <w:r>
        <w:rPr>
          <w:rFonts w:hint="eastAsia"/>
          <w:color w:val="auto"/>
          <w:highlight w:val="none"/>
        </w:rPr>
        <w:t>一、国际原油市场回顾 </w:t>
      </w:r>
      <w:r>
        <w:rPr>
          <w:color w:val="auto"/>
          <w:highlight w:val="none"/>
        </w:rPr>
        <w:tab/>
      </w:r>
      <w:r>
        <w:rPr>
          <w:color w:val="auto"/>
          <w:highlight w:val="none"/>
        </w:rPr>
        <w:fldChar w:fldCharType="begin"/>
      </w:r>
      <w:r>
        <w:rPr>
          <w:color w:val="auto"/>
          <w:highlight w:val="none"/>
        </w:rPr>
        <w:instrText xml:space="preserve"> PAGEREF _Toc28204 </w:instrText>
      </w:r>
      <w:r>
        <w:rPr>
          <w:color w:val="auto"/>
          <w:highlight w:val="none"/>
        </w:rPr>
        <w:fldChar w:fldCharType="separate"/>
      </w:r>
      <w:r>
        <w:rPr>
          <w:color w:val="auto"/>
          <w:highlight w:val="none"/>
        </w:rPr>
        <w:t>3</w:t>
      </w:r>
      <w:r>
        <w:rPr>
          <w:color w:val="auto"/>
          <w:highlight w:val="none"/>
        </w:rPr>
        <w:fldChar w:fldCharType="end"/>
      </w:r>
      <w:r>
        <w:rPr>
          <w:color w:val="auto"/>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_Toc31041 </w:instrText>
      </w:r>
      <w:r>
        <w:rPr>
          <w:rFonts w:ascii="宋体" w:hAnsi="宋体"/>
          <w:color w:val="auto"/>
          <w:kern w:val="2"/>
          <w:szCs w:val="24"/>
          <w:highlight w:val="none"/>
        </w:rPr>
        <w:fldChar w:fldCharType="separate"/>
      </w:r>
      <w:r>
        <w:rPr>
          <w:rFonts w:hint="eastAsia" w:ascii="宋体" w:hAnsi="宋体"/>
          <w:color w:val="auto"/>
          <w:szCs w:val="30"/>
          <w:highlight w:val="none"/>
        </w:rPr>
        <w:t>1.1国际原油收盘价涨跌情况（单位：美元/桶）</w:t>
      </w:r>
      <w:r>
        <w:rPr>
          <w:color w:val="auto"/>
          <w:highlight w:val="none"/>
        </w:rPr>
        <w:tab/>
      </w:r>
      <w:r>
        <w:rPr>
          <w:color w:val="auto"/>
          <w:highlight w:val="none"/>
        </w:rPr>
        <w:fldChar w:fldCharType="begin"/>
      </w:r>
      <w:r>
        <w:rPr>
          <w:color w:val="auto"/>
          <w:highlight w:val="none"/>
        </w:rPr>
        <w:instrText xml:space="preserve"> PAGEREF _Toc31041 </w:instrText>
      </w:r>
      <w:r>
        <w:rPr>
          <w:color w:val="auto"/>
          <w:highlight w:val="none"/>
        </w:rPr>
        <w:fldChar w:fldCharType="separate"/>
      </w:r>
      <w:r>
        <w:rPr>
          <w:color w:val="auto"/>
          <w:highlight w:val="none"/>
        </w:rPr>
        <w:t>3</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_Toc13265 </w:instrText>
      </w:r>
      <w:r>
        <w:rPr>
          <w:rFonts w:ascii="宋体" w:hAnsi="宋体"/>
          <w:color w:val="auto"/>
          <w:kern w:val="2"/>
          <w:szCs w:val="24"/>
          <w:highlight w:val="none"/>
        </w:rPr>
        <w:fldChar w:fldCharType="separate"/>
      </w:r>
      <w:r>
        <w:rPr>
          <w:rFonts w:hint="eastAsia" w:ascii="宋体" w:hAnsi="宋体"/>
          <w:color w:val="auto"/>
          <w:szCs w:val="30"/>
          <w:highlight w:val="none"/>
        </w:rPr>
        <w:t>1.</w:t>
      </w:r>
      <w:r>
        <w:rPr>
          <w:rFonts w:ascii="宋体" w:hAnsi="宋体"/>
          <w:color w:val="auto"/>
          <w:szCs w:val="30"/>
          <w:highlight w:val="none"/>
        </w:rPr>
        <w:t>2</w:t>
      </w:r>
      <w:r>
        <w:rPr>
          <w:rFonts w:hint="eastAsia" w:ascii="宋体" w:hAnsi="宋体"/>
          <w:color w:val="auto"/>
          <w:szCs w:val="30"/>
          <w:highlight w:val="none"/>
        </w:rPr>
        <w:t xml:space="preserve"> </w:t>
      </w:r>
      <w:r>
        <w:rPr>
          <w:rFonts w:ascii="宋体" w:hAnsi="宋体"/>
          <w:color w:val="auto"/>
          <w:szCs w:val="30"/>
          <w:highlight w:val="none"/>
        </w:rPr>
        <w:t>20</w:t>
      </w:r>
      <w:r>
        <w:rPr>
          <w:rFonts w:hint="eastAsia" w:ascii="宋体" w:hAnsi="宋体"/>
          <w:color w:val="auto"/>
          <w:szCs w:val="30"/>
          <w:highlight w:val="none"/>
          <w:lang w:val="en-US" w:eastAsia="zh-CN"/>
        </w:rPr>
        <w:t>20</w:t>
      </w:r>
      <w:r>
        <w:rPr>
          <w:rFonts w:ascii="宋体" w:hAnsi="宋体"/>
          <w:color w:val="auto"/>
          <w:szCs w:val="30"/>
          <w:highlight w:val="none"/>
        </w:rPr>
        <w:t>年</w:t>
      </w:r>
      <w:r>
        <w:rPr>
          <w:rFonts w:hint="eastAsia" w:ascii="宋体" w:hAnsi="宋体"/>
          <w:color w:val="auto"/>
          <w:szCs w:val="30"/>
          <w:highlight w:val="none"/>
        </w:rPr>
        <w:t>国际</w:t>
      </w:r>
      <w:r>
        <w:rPr>
          <w:rFonts w:ascii="宋体" w:hAnsi="宋体"/>
          <w:color w:val="auto"/>
          <w:szCs w:val="30"/>
          <w:highlight w:val="none"/>
        </w:rPr>
        <w:t>原油价格走势图</w:t>
      </w:r>
      <w:r>
        <w:rPr>
          <w:color w:val="auto"/>
          <w:highlight w:val="none"/>
        </w:rPr>
        <w:tab/>
      </w:r>
      <w:r>
        <w:rPr>
          <w:color w:val="auto"/>
          <w:highlight w:val="none"/>
        </w:rPr>
        <w:fldChar w:fldCharType="begin"/>
      </w:r>
      <w:r>
        <w:rPr>
          <w:color w:val="auto"/>
          <w:highlight w:val="none"/>
        </w:rPr>
        <w:instrText xml:space="preserve"> PAGEREF _Toc13265 </w:instrText>
      </w:r>
      <w:r>
        <w:rPr>
          <w:color w:val="auto"/>
          <w:highlight w:val="none"/>
        </w:rPr>
        <w:fldChar w:fldCharType="separate"/>
      </w:r>
      <w:r>
        <w:rPr>
          <w:color w:val="auto"/>
          <w:highlight w:val="none"/>
        </w:rPr>
        <w:t>3</w:t>
      </w:r>
      <w:r>
        <w:rPr>
          <w:color w:val="auto"/>
          <w:highlight w:val="none"/>
        </w:rPr>
        <w:fldChar w:fldCharType="end"/>
      </w:r>
      <w:r>
        <w:rPr>
          <w:rFonts w:ascii="宋体" w:hAnsi="宋体"/>
          <w:color w:val="auto"/>
          <w:kern w:val="2"/>
          <w:szCs w:val="24"/>
          <w:highlight w:val="none"/>
        </w:rPr>
        <w:fldChar w:fldCharType="end"/>
      </w:r>
    </w:p>
    <w:p>
      <w:pPr>
        <w:pStyle w:val="16"/>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_Toc11108 </w:instrText>
      </w:r>
      <w:r>
        <w:rPr>
          <w:rFonts w:ascii="宋体" w:hAnsi="宋体"/>
          <w:color w:val="auto"/>
          <w:kern w:val="2"/>
          <w:szCs w:val="24"/>
          <w:highlight w:val="none"/>
        </w:rPr>
        <w:fldChar w:fldCharType="separate"/>
      </w:r>
      <w:r>
        <w:rPr>
          <w:rFonts w:hint="eastAsia"/>
          <w:color w:val="auto"/>
          <w:highlight w:val="none"/>
        </w:rPr>
        <w:t>二、 近期影响国际原油市场的主要因素</w:t>
      </w:r>
      <w:r>
        <w:rPr>
          <w:color w:val="auto"/>
          <w:highlight w:val="none"/>
        </w:rPr>
        <w:tab/>
      </w:r>
      <w:r>
        <w:rPr>
          <w:color w:val="auto"/>
          <w:highlight w:val="none"/>
        </w:rPr>
        <w:fldChar w:fldCharType="begin"/>
      </w:r>
      <w:r>
        <w:rPr>
          <w:color w:val="auto"/>
          <w:highlight w:val="none"/>
        </w:rPr>
        <w:instrText xml:space="preserve"> PAGEREF _Toc11108 </w:instrText>
      </w:r>
      <w:r>
        <w:rPr>
          <w:color w:val="auto"/>
          <w:highlight w:val="none"/>
        </w:rPr>
        <w:fldChar w:fldCharType="separate"/>
      </w:r>
      <w:r>
        <w:rPr>
          <w:color w:val="auto"/>
          <w:highlight w:val="none"/>
        </w:rPr>
        <w:t>4</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_Toc24274 </w:instrText>
      </w:r>
      <w:r>
        <w:rPr>
          <w:rFonts w:ascii="宋体" w:hAnsi="宋体"/>
          <w:color w:val="auto"/>
          <w:kern w:val="2"/>
          <w:szCs w:val="24"/>
          <w:highlight w:val="none"/>
        </w:rPr>
        <w:fldChar w:fldCharType="separate"/>
      </w:r>
      <w:r>
        <w:rPr>
          <w:rFonts w:hint="eastAsia" w:ascii="宋体" w:hAnsi="宋体"/>
          <w:color w:val="auto"/>
          <w:szCs w:val="30"/>
          <w:highlight w:val="none"/>
        </w:rPr>
        <w:t>2.1影响国际原油市场的主要因素</w:t>
      </w:r>
      <w:r>
        <w:rPr>
          <w:color w:val="auto"/>
          <w:highlight w:val="none"/>
        </w:rPr>
        <w:tab/>
      </w:r>
      <w:r>
        <w:rPr>
          <w:color w:val="auto"/>
          <w:highlight w:val="none"/>
        </w:rPr>
        <w:fldChar w:fldCharType="begin"/>
      </w:r>
      <w:r>
        <w:rPr>
          <w:color w:val="auto"/>
          <w:highlight w:val="none"/>
        </w:rPr>
        <w:instrText xml:space="preserve"> PAGEREF _Toc24274 </w:instrText>
      </w:r>
      <w:r>
        <w:rPr>
          <w:color w:val="auto"/>
          <w:highlight w:val="none"/>
        </w:rPr>
        <w:fldChar w:fldCharType="separate"/>
      </w:r>
      <w:r>
        <w:rPr>
          <w:color w:val="auto"/>
          <w:highlight w:val="none"/>
        </w:rPr>
        <w:t>4</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_Toc1606 </w:instrText>
      </w:r>
      <w:r>
        <w:rPr>
          <w:rFonts w:ascii="宋体" w:hAnsi="宋体"/>
          <w:color w:val="auto"/>
          <w:kern w:val="2"/>
          <w:szCs w:val="24"/>
          <w:highlight w:val="none"/>
        </w:rPr>
        <w:fldChar w:fldCharType="separate"/>
      </w:r>
      <w:r>
        <w:rPr>
          <w:rFonts w:hint="eastAsia" w:ascii="宋体" w:hAnsi="宋体"/>
          <w:color w:val="auto"/>
          <w:szCs w:val="30"/>
          <w:highlight w:val="none"/>
        </w:rPr>
        <w:t>2.2国际市场MTBE价格</w:t>
      </w:r>
      <w:r>
        <w:rPr>
          <w:color w:val="auto"/>
          <w:highlight w:val="none"/>
        </w:rPr>
        <w:tab/>
      </w:r>
      <w:r>
        <w:rPr>
          <w:color w:val="auto"/>
          <w:highlight w:val="none"/>
        </w:rPr>
        <w:fldChar w:fldCharType="begin"/>
      </w:r>
      <w:r>
        <w:rPr>
          <w:color w:val="auto"/>
          <w:highlight w:val="none"/>
        </w:rPr>
        <w:instrText xml:space="preserve"> PAGEREF _Toc1606 </w:instrText>
      </w:r>
      <w:r>
        <w:rPr>
          <w:color w:val="auto"/>
          <w:highlight w:val="none"/>
        </w:rPr>
        <w:fldChar w:fldCharType="separate"/>
      </w:r>
      <w:r>
        <w:rPr>
          <w:color w:val="auto"/>
          <w:highlight w:val="none"/>
        </w:rPr>
        <w:t>15</w:t>
      </w:r>
      <w:r>
        <w:rPr>
          <w:color w:val="auto"/>
          <w:highlight w:val="none"/>
        </w:rPr>
        <w:fldChar w:fldCharType="end"/>
      </w:r>
      <w:r>
        <w:rPr>
          <w:rFonts w:ascii="宋体" w:hAnsi="宋体"/>
          <w:color w:val="auto"/>
          <w:kern w:val="2"/>
          <w:szCs w:val="24"/>
          <w:highlight w:val="none"/>
        </w:rPr>
        <w:fldChar w:fldCharType="end"/>
      </w:r>
    </w:p>
    <w:p>
      <w:pPr>
        <w:pStyle w:val="16"/>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_Toc23075 </w:instrText>
      </w:r>
      <w:r>
        <w:rPr>
          <w:rFonts w:ascii="宋体" w:hAnsi="宋体"/>
          <w:color w:val="auto"/>
          <w:kern w:val="2"/>
          <w:szCs w:val="24"/>
          <w:highlight w:val="none"/>
        </w:rPr>
        <w:fldChar w:fldCharType="separate"/>
      </w:r>
      <w:r>
        <w:rPr>
          <w:rFonts w:hint="eastAsia"/>
          <w:color w:val="auto"/>
          <w:highlight w:val="none"/>
        </w:rPr>
        <w:t>三、 本周国内市场</w:t>
      </w:r>
      <w:r>
        <w:rPr>
          <w:color w:val="auto"/>
          <w:highlight w:val="none"/>
        </w:rPr>
        <w:tab/>
      </w:r>
      <w:r>
        <w:rPr>
          <w:color w:val="auto"/>
          <w:highlight w:val="none"/>
        </w:rPr>
        <w:fldChar w:fldCharType="begin"/>
      </w:r>
      <w:r>
        <w:rPr>
          <w:color w:val="auto"/>
          <w:highlight w:val="none"/>
        </w:rPr>
        <w:instrText xml:space="preserve"> PAGEREF _Toc23075 </w:instrText>
      </w:r>
      <w:r>
        <w:rPr>
          <w:color w:val="auto"/>
          <w:highlight w:val="none"/>
        </w:rPr>
        <w:fldChar w:fldCharType="separate"/>
      </w:r>
      <w:r>
        <w:rPr>
          <w:color w:val="auto"/>
          <w:highlight w:val="none"/>
        </w:rPr>
        <w:t>16</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_Toc4499 </w:instrText>
      </w:r>
      <w:r>
        <w:rPr>
          <w:rFonts w:ascii="宋体" w:hAnsi="宋体"/>
          <w:color w:val="auto"/>
          <w:kern w:val="2"/>
          <w:szCs w:val="24"/>
          <w:highlight w:val="none"/>
        </w:rPr>
        <w:fldChar w:fldCharType="separate"/>
      </w:r>
      <w:r>
        <w:rPr>
          <w:rFonts w:hint="eastAsia" w:ascii="宋体" w:hAnsi="宋体"/>
          <w:color w:val="auto"/>
          <w:szCs w:val="30"/>
          <w:highlight w:val="none"/>
        </w:rPr>
        <w:t>3.1 国内炼厂装置运行情况</w:t>
      </w:r>
      <w:r>
        <w:rPr>
          <w:color w:val="auto"/>
          <w:highlight w:val="none"/>
        </w:rPr>
        <w:tab/>
      </w:r>
      <w:r>
        <w:rPr>
          <w:color w:val="auto"/>
          <w:highlight w:val="none"/>
        </w:rPr>
        <w:fldChar w:fldCharType="begin"/>
      </w:r>
      <w:r>
        <w:rPr>
          <w:color w:val="auto"/>
          <w:highlight w:val="none"/>
        </w:rPr>
        <w:instrText xml:space="preserve"> PAGEREF _Toc4499 </w:instrText>
      </w:r>
      <w:r>
        <w:rPr>
          <w:color w:val="auto"/>
          <w:highlight w:val="none"/>
        </w:rPr>
        <w:fldChar w:fldCharType="separate"/>
      </w:r>
      <w:r>
        <w:rPr>
          <w:color w:val="auto"/>
          <w:highlight w:val="none"/>
        </w:rPr>
        <w:t>16</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_Toc23841 </w:instrText>
      </w:r>
      <w:r>
        <w:rPr>
          <w:rFonts w:ascii="宋体" w:hAnsi="宋体"/>
          <w:color w:val="auto"/>
          <w:kern w:val="2"/>
          <w:szCs w:val="24"/>
          <w:highlight w:val="none"/>
        </w:rPr>
        <w:fldChar w:fldCharType="separate"/>
      </w:r>
      <w:r>
        <w:rPr>
          <w:rFonts w:hint="eastAsia" w:ascii="宋体" w:hAnsi="宋体"/>
          <w:color w:val="auto"/>
          <w:szCs w:val="30"/>
          <w:highlight w:val="none"/>
        </w:rPr>
        <w:t>3.2本周成品油市场行情</w:t>
      </w:r>
      <w:r>
        <w:rPr>
          <w:color w:val="auto"/>
          <w:highlight w:val="none"/>
        </w:rPr>
        <w:tab/>
      </w:r>
      <w:r>
        <w:rPr>
          <w:color w:val="auto"/>
          <w:highlight w:val="none"/>
        </w:rPr>
        <w:fldChar w:fldCharType="begin"/>
      </w:r>
      <w:r>
        <w:rPr>
          <w:color w:val="auto"/>
          <w:highlight w:val="none"/>
        </w:rPr>
        <w:instrText xml:space="preserve"> PAGEREF _Toc23841 </w:instrText>
      </w:r>
      <w:r>
        <w:rPr>
          <w:color w:val="auto"/>
          <w:highlight w:val="none"/>
        </w:rPr>
        <w:fldChar w:fldCharType="separate"/>
      </w:r>
      <w:r>
        <w:rPr>
          <w:color w:val="auto"/>
          <w:highlight w:val="none"/>
        </w:rPr>
        <w:t>18</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_Toc17420 </w:instrText>
      </w:r>
      <w:r>
        <w:rPr>
          <w:rFonts w:ascii="宋体" w:hAnsi="宋体"/>
          <w:color w:val="auto"/>
          <w:kern w:val="2"/>
          <w:szCs w:val="24"/>
          <w:highlight w:val="none"/>
        </w:rPr>
        <w:fldChar w:fldCharType="separate"/>
      </w:r>
      <w:r>
        <w:rPr>
          <w:rFonts w:hint="eastAsia" w:ascii="宋体" w:hAnsi="宋体"/>
          <w:color w:val="auto"/>
          <w:szCs w:val="30"/>
          <w:highlight w:val="none"/>
        </w:rPr>
        <w:t>3.3 国内汽油价格周报</w:t>
      </w:r>
      <w:r>
        <w:rPr>
          <w:color w:val="auto"/>
          <w:highlight w:val="none"/>
        </w:rPr>
        <w:tab/>
      </w:r>
      <w:r>
        <w:rPr>
          <w:color w:val="auto"/>
          <w:highlight w:val="none"/>
        </w:rPr>
        <w:fldChar w:fldCharType="begin"/>
      </w:r>
      <w:r>
        <w:rPr>
          <w:color w:val="auto"/>
          <w:highlight w:val="none"/>
        </w:rPr>
        <w:instrText xml:space="preserve"> PAGEREF _Toc17420 </w:instrText>
      </w:r>
      <w:r>
        <w:rPr>
          <w:color w:val="auto"/>
          <w:highlight w:val="none"/>
        </w:rPr>
        <w:fldChar w:fldCharType="separate"/>
      </w:r>
      <w:r>
        <w:rPr>
          <w:color w:val="auto"/>
          <w:highlight w:val="none"/>
        </w:rPr>
        <w:t>21</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_Toc5370 </w:instrText>
      </w:r>
      <w:r>
        <w:rPr>
          <w:rFonts w:ascii="宋体" w:hAnsi="宋体"/>
          <w:color w:val="auto"/>
          <w:kern w:val="2"/>
          <w:szCs w:val="24"/>
          <w:highlight w:val="none"/>
        </w:rPr>
        <w:fldChar w:fldCharType="separate"/>
      </w:r>
      <w:r>
        <w:rPr>
          <w:rFonts w:hint="eastAsia" w:ascii="宋体" w:hAnsi="宋体"/>
          <w:color w:val="auto"/>
          <w:szCs w:val="30"/>
          <w:highlight w:val="none"/>
          <w:lang w:val="en-US" w:eastAsia="zh-CN"/>
        </w:rPr>
        <w:t>3.4国内柴油价格周报</w:t>
      </w:r>
      <w:r>
        <w:rPr>
          <w:color w:val="auto"/>
          <w:highlight w:val="none"/>
        </w:rPr>
        <w:tab/>
      </w:r>
      <w:r>
        <w:rPr>
          <w:color w:val="auto"/>
          <w:highlight w:val="none"/>
        </w:rPr>
        <w:fldChar w:fldCharType="begin"/>
      </w:r>
      <w:r>
        <w:rPr>
          <w:color w:val="auto"/>
          <w:highlight w:val="none"/>
        </w:rPr>
        <w:instrText xml:space="preserve"> PAGEREF _Toc5370 </w:instrText>
      </w:r>
      <w:r>
        <w:rPr>
          <w:color w:val="auto"/>
          <w:highlight w:val="none"/>
        </w:rPr>
        <w:fldChar w:fldCharType="separate"/>
      </w:r>
      <w:r>
        <w:rPr>
          <w:color w:val="auto"/>
          <w:highlight w:val="none"/>
        </w:rPr>
        <w:t>24</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_Toc10709 </w:instrText>
      </w:r>
      <w:r>
        <w:rPr>
          <w:rFonts w:ascii="宋体" w:hAnsi="宋体"/>
          <w:color w:val="auto"/>
          <w:kern w:val="2"/>
          <w:szCs w:val="24"/>
          <w:highlight w:val="none"/>
        </w:rPr>
        <w:fldChar w:fldCharType="separate"/>
      </w:r>
      <w:r>
        <w:rPr>
          <w:rFonts w:hint="eastAsia" w:ascii="宋体" w:hAnsi="宋体"/>
          <w:color w:val="auto"/>
          <w:szCs w:val="30"/>
          <w:highlight w:val="none"/>
          <w:lang w:val="en-US" w:eastAsia="zh-CN"/>
        </w:rPr>
        <w:t>3.5 山东地炼汽油出厂价格周报</w:t>
      </w:r>
      <w:r>
        <w:rPr>
          <w:color w:val="auto"/>
          <w:highlight w:val="none"/>
        </w:rPr>
        <w:tab/>
      </w:r>
      <w:r>
        <w:rPr>
          <w:color w:val="auto"/>
          <w:highlight w:val="none"/>
        </w:rPr>
        <w:fldChar w:fldCharType="begin"/>
      </w:r>
      <w:r>
        <w:rPr>
          <w:color w:val="auto"/>
          <w:highlight w:val="none"/>
        </w:rPr>
        <w:instrText xml:space="preserve"> PAGEREF _Toc10709 </w:instrText>
      </w:r>
      <w:r>
        <w:rPr>
          <w:color w:val="auto"/>
          <w:highlight w:val="none"/>
        </w:rPr>
        <w:fldChar w:fldCharType="separate"/>
      </w:r>
      <w:r>
        <w:rPr>
          <w:color w:val="auto"/>
          <w:highlight w:val="none"/>
        </w:rPr>
        <w:t>27</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_Toc19013 </w:instrText>
      </w:r>
      <w:r>
        <w:rPr>
          <w:rFonts w:ascii="宋体" w:hAnsi="宋体"/>
          <w:color w:val="auto"/>
          <w:kern w:val="2"/>
          <w:szCs w:val="24"/>
          <w:highlight w:val="none"/>
        </w:rPr>
        <w:fldChar w:fldCharType="separate"/>
      </w:r>
      <w:r>
        <w:rPr>
          <w:rFonts w:hint="eastAsia" w:ascii="宋体" w:hAnsi="宋体"/>
          <w:color w:val="auto"/>
          <w:szCs w:val="30"/>
          <w:highlight w:val="none"/>
          <w:lang w:val="en-US" w:eastAsia="zh-CN"/>
        </w:rPr>
        <w:t>3.6 山东地炼柴油出厂价格周报</w:t>
      </w:r>
      <w:r>
        <w:rPr>
          <w:color w:val="auto"/>
          <w:highlight w:val="none"/>
        </w:rPr>
        <w:tab/>
      </w:r>
      <w:r>
        <w:rPr>
          <w:color w:val="auto"/>
          <w:highlight w:val="none"/>
        </w:rPr>
        <w:fldChar w:fldCharType="begin"/>
      </w:r>
      <w:r>
        <w:rPr>
          <w:color w:val="auto"/>
          <w:highlight w:val="none"/>
        </w:rPr>
        <w:instrText xml:space="preserve"> PAGEREF _Toc19013 </w:instrText>
      </w:r>
      <w:r>
        <w:rPr>
          <w:color w:val="auto"/>
          <w:highlight w:val="none"/>
        </w:rPr>
        <w:fldChar w:fldCharType="separate"/>
      </w:r>
      <w:r>
        <w:rPr>
          <w:color w:val="auto"/>
          <w:highlight w:val="none"/>
        </w:rPr>
        <w:t>29</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_Toc10784 </w:instrText>
      </w:r>
      <w:r>
        <w:rPr>
          <w:rFonts w:ascii="宋体" w:hAnsi="宋体"/>
          <w:color w:val="auto"/>
          <w:kern w:val="2"/>
          <w:szCs w:val="24"/>
          <w:highlight w:val="none"/>
        </w:rPr>
        <w:fldChar w:fldCharType="separate"/>
      </w:r>
      <w:r>
        <w:rPr>
          <w:rFonts w:hint="eastAsia" w:ascii="宋体" w:hAnsi="宋体"/>
          <w:color w:val="auto"/>
          <w:szCs w:val="30"/>
          <w:highlight w:val="none"/>
          <w:lang w:val="en-US" w:eastAsia="zh-CN"/>
        </w:rPr>
        <w:t>四、2020年9月份进出口统计数据</w:t>
      </w:r>
      <w:r>
        <w:rPr>
          <w:color w:val="auto"/>
          <w:highlight w:val="none"/>
        </w:rPr>
        <w:tab/>
      </w:r>
      <w:r>
        <w:rPr>
          <w:color w:val="auto"/>
          <w:highlight w:val="none"/>
        </w:rPr>
        <w:fldChar w:fldCharType="begin"/>
      </w:r>
      <w:r>
        <w:rPr>
          <w:color w:val="auto"/>
          <w:highlight w:val="none"/>
        </w:rPr>
        <w:instrText xml:space="preserve"> PAGEREF _Toc10784 </w:instrText>
      </w:r>
      <w:r>
        <w:rPr>
          <w:color w:val="auto"/>
          <w:highlight w:val="none"/>
        </w:rPr>
        <w:fldChar w:fldCharType="separate"/>
      </w:r>
      <w:r>
        <w:rPr>
          <w:color w:val="auto"/>
          <w:highlight w:val="none"/>
        </w:rPr>
        <w:t>31</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_Toc27774 </w:instrText>
      </w:r>
      <w:r>
        <w:rPr>
          <w:rFonts w:ascii="宋体" w:hAnsi="宋体"/>
          <w:color w:val="auto"/>
          <w:kern w:val="2"/>
          <w:szCs w:val="24"/>
          <w:highlight w:val="none"/>
        </w:rPr>
        <w:fldChar w:fldCharType="separate"/>
      </w:r>
      <w:r>
        <w:rPr>
          <w:rFonts w:hint="eastAsia" w:ascii="宋体" w:hAnsi="宋体"/>
          <w:color w:val="auto"/>
          <w:szCs w:val="30"/>
          <w:highlight w:val="none"/>
        </w:rPr>
        <w:t>4.1 20</w:t>
      </w:r>
      <w:r>
        <w:rPr>
          <w:rFonts w:hint="eastAsia" w:ascii="宋体" w:hAnsi="宋体"/>
          <w:color w:val="auto"/>
          <w:szCs w:val="30"/>
          <w:highlight w:val="none"/>
          <w:lang w:val="en-US" w:eastAsia="zh-CN"/>
        </w:rPr>
        <w:t>20</w:t>
      </w:r>
      <w:r>
        <w:rPr>
          <w:rFonts w:hint="eastAsia" w:ascii="宋体" w:hAnsi="宋体"/>
          <w:color w:val="auto"/>
          <w:szCs w:val="30"/>
          <w:highlight w:val="none"/>
        </w:rPr>
        <w:t>年</w:t>
      </w:r>
      <w:r>
        <w:rPr>
          <w:rFonts w:hint="eastAsia" w:ascii="宋体" w:hAnsi="宋体"/>
          <w:color w:val="auto"/>
          <w:szCs w:val="30"/>
          <w:highlight w:val="none"/>
          <w:lang w:val="en-US" w:eastAsia="zh-CN"/>
        </w:rPr>
        <w:t>9</w:t>
      </w:r>
      <w:r>
        <w:rPr>
          <w:rFonts w:hint="eastAsia" w:ascii="宋体" w:hAnsi="宋体"/>
          <w:color w:val="auto"/>
          <w:szCs w:val="30"/>
          <w:highlight w:val="none"/>
        </w:rPr>
        <w:t>份全国车用汽油和航空汽油进出口统计数据</w:t>
      </w:r>
      <w:r>
        <w:rPr>
          <w:color w:val="auto"/>
          <w:highlight w:val="none"/>
        </w:rPr>
        <w:tab/>
      </w:r>
      <w:r>
        <w:rPr>
          <w:color w:val="auto"/>
          <w:highlight w:val="none"/>
        </w:rPr>
        <w:fldChar w:fldCharType="begin"/>
      </w:r>
      <w:r>
        <w:rPr>
          <w:color w:val="auto"/>
          <w:highlight w:val="none"/>
        </w:rPr>
        <w:instrText xml:space="preserve"> PAGEREF _Toc27774 </w:instrText>
      </w:r>
      <w:r>
        <w:rPr>
          <w:color w:val="auto"/>
          <w:highlight w:val="none"/>
        </w:rPr>
        <w:fldChar w:fldCharType="separate"/>
      </w:r>
      <w:r>
        <w:rPr>
          <w:color w:val="auto"/>
          <w:highlight w:val="none"/>
        </w:rPr>
        <w:t>31</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_Toc20292 </w:instrText>
      </w:r>
      <w:r>
        <w:rPr>
          <w:rFonts w:ascii="宋体" w:hAnsi="宋体"/>
          <w:color w:val="auto"/>
          <w:kern w:val="2"/>
          <w:szCs w:val="24"/>
          <w:highlight w:val="none"/>
        </w:rPr>
        <w:fldChar w:fldCharType="separate"/>
      </w:r>
      <w:r>
        <w:rPr>
          <w:rFonts w:hint="eastAsia" w:ascii="宋体" w:hAnsi="宋体"/>
          <w:color w:val="auto"/>
          <w:szCs w:val="30"/>
          <w:highlight w:val="none"/>
        </w:rPr>
        <w:t>4.2 201</w:t>
      </w:r>
      <w:r>
        <w:rPr>
          <w:rFonts w:hint="eastAsia" w:ascii="宋体" w:hAnsi="宋体"/>
          <w:color w:val="auto"/>
          <w:szCs w:val="30"/>
          <w:highlight w:val="none"/>
          <w:lang w:val="en-US" w:eastAsia="zh-CN"/>
        </w:rPr>
        <w:t>8</w:t>
      </w:r>
      <w:r>
        <w:rPr>
          <w:rFonts w:hint="eastAsia" w:ascii="宋体" w:hAnsi="宋体"/>
          <w:color w:val="auto"/>
          <w:szCs w:val="30"/>
          <w:highlight w:val="none"/>
        </w:rPr>
        <w:t>年1</w:t>
      </w:r>
      <w:r>
        <w:rPr>
          <w:rFonts w:hint="eastAsia" w:ascii="宋体" w:hAnsi="宋体"/>
          <w:color w:val="auto"/>
          <w:szCs w:val="30"/>
          <w:highlight w:val="none"/>
          <w:lang w:val="en-US" w:eastAsia="zh-CN"/>
        </w:rPr>
        <w:t>1</w:t>
      </w:r>
      <w:r>
        <w:rPr>
          <w:rFonts w:hint="eastAsia" w:ascii="宋体" w:hAnsi="宋体"/>
          <w:color w:val="auto"/>
          <w:szCs w:val="30"/>
          <w:highlight w:val="none"/>
        </w:rPr>
        <w:t>月份全国轻柴油进出口统计数据</w:t>
      </w:r>
      <w:r>
        <w:rPr>
          <w:color w:val="auto"/>
          <w:highlight w:val="none"/>
        </w:rPr>
        <w:tab/>
      </w:r>
      <w:r>
        <w:rPr>
          <w:color w:val="auto"/>
          <w:highlight w:val="none"/>
        </w:rPr>
        <w:fldChar w:fldCharType="begin"/>
      </w:r>
      <w:r>
        <w:rPr>
          <w:color w:val="auto"/>
          <w:highlight w:val="none"/>
        </w:rPr>
        <w:instrText xml:space="preserve"> PAGEREF _Toc20292 </w:instrText>
      </w:r>
      <w:r>
        <w:rPr>
          <w:color w:val="auto"/>
          <w:highlight w:val="none"/>
        </w:rPr>
        <w:fldChar w:fldCharType="separate"/>
      </w:r>
      <w:r>
        <w:rPr>
          <w:color w:val="auto"/>
          <w:highlight w:val="none"/>
        </w:rPr>
        <w:t>32</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_Toc31298 </w:instrText>
      </w:r>
      <w:r>
        <w:rPr>
          <w:rFonts w:ascii="宋体" w:hAnsi="宋体"/>
          <w:color w:val="auto"/>
          <w:kern w:val="2"/>
          <w:szCs w:val="24"/>
          <w:highlight w:val="none"/>
        </w:rPr>
        <w:fldChar w:fldCharType="separate"/>
      </w:r>
      <w:r>
        <w:rPr>
          <w:rFonts w:hint="eastAsia" w:ascii="宋体" w:hAnsi="宋体"/>
          <w:color w:val="auto"/>
          <w:szCs w:val="30"/>
          <w:highlight w:val="none"/>
        </w:rPr>
        <w:t>4.3 20</w:t>
      </w:r>
      <w:r>
        <w:rPr>
          <w:rFonts w:hint="eastAsia" w:ascii="宋体" w:hAnsi="宋体"/>
          <w:color w:val="auto"/>
          <w:szCs w:val="30"/>
          <w:highlight w:val="none"/>
          <w:lang w:val="en-US" w:eastAsia="zh-CN"/>
        </w:rPr>
        <w:t>20</w:t>
      </w:r>
      <w:r>
        <w:rPr>
          <w:rFonts w:hint="eastAsia" w:ascii="宋体" w:hAnsi="宋体"/>
          <w:color w:val="auto"/>
          <w:szCs w:val="30"/>
          <w:highlight w:val="none"/>
        </w:rPr>
        <w:t>年</w:t>
      </w:r>
      <w:r>
        <w:rPr>
          <w:rFonts w:hint="eastAsia" w:ascii="宋体" w:hAnsi="宋体"/>
          <w:color w:val="auto"/>
          <w:szCs w:val="30"/>
          <w:highlight w:val="none"/>
          <w:lang w:val="en-US" w:eastAsia="zh-CN"/>
        </w:rPr>
        <w:t>8</w:t>
      </w:r>
      <w:r>
        <w:rPr>
          <w:rFonts w:hint="eastAsia" w:ascii="宋体" w:hAnsi="宋体"/>
          <w:color w:val="auto"/>
          <w:szCs w:val="30"/>
          <w:highlight w:val="none"/>
        </w:rPr>
        <w:t>月份全国原油进出口统计数据</w:t>
      </w:r>
      <w:r>
        <w:rPr>
          <w:color w:val="auto"/>
          <w:highlight w:val="none"/>
        </w:rPr>
        <w:tab/>
      </w:r>
      <w:r>
        <w:rPr>
          <w:color w:val="auto"/>
          <w:highlight w:val="none"/>
        </w:rPr>
        <w:fldChar w:fldCharType="begin"/>
      </w:r>
      <w:r>
        <w:rPr>
          <w:color w:val="auto"/>
          <w:highlight w:val="none"/>
        </w:rPr>
        <w:instrText xml:space="preserve"> PAGEREF _Toc31298 </w:instrText>
      </w:r>
      <w:r>
        <w:rPr>
          <w:color w:val="auto"/>
          <w:highlight w:val="none"/>
        </w:rPr>
        <w:fldChar w:fldCharType="separate"/>
      </w:r>
      <w:r>
        <w:rPr>
          <w:color w:val="auto"/>
          <w:highlight w:val="none"/>
        </w:rPr>
        <w:t>33</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_Toc19589 </w:instrText>
      </w:r>
      <w:r>
        <w:rPr>
          <w:rFonts w:ascii="宋体" w:hAnsi="宋体"/>
          <w:color w:val="auto"/>
          <w:kern w:val="2"/>
          <w:szCs w:val="24"/>
          <w:highlight w:val="none"/>
        </w:rPr>
        <w:fldChar w:fldCharType="separate"/>
      </w:r>
      <w:r>
        <w:rPr>
          <w:rFonts w:hint="eastAsia" w:ascii="宋体" w:hAnsi="宋体"/>
          <w:color w:val="auto"/>
          <w:szCs w:val="30"/>
          <w:highlight w:val="none"/>
        </w:rPr>
        <w:t>4.4 20</w:t>
      </w:r>
      <w:r>
        <w:rPr>
          <w:rFonts w:hint="eastAsia" w:ascii="宋体" w:hAnsi="宋体"/>
          <w:color w:val="auto"/>
          <w:szCs w:val="30"/>
          <w:highlight w:val="none"/>
          <w:lang w:val="en-US" w:eastAsia="zh-CN"/>
        </w:rPr>
        <w:t>20</w:t>
      </w:r>
      <w:r>
        <w:rPr>
          <w:rFonts w:hint="eastAsia" w:ascii="宋体" w:hAnsi="宋体"/>
          <w:color w:val="auto"/>
          <w:szCs w:val="30"/>
          <w:highlight w:val="none"/>
        </w:rPr>
        <w:t>年</w:t>
      </w:r>
      <w:r>
        <w:rPr>
          <w:rFonts w:hint="eastAsia" w:ascii="宋体" w:hAnsi="宋体"/>
          <w:color w:val="auto"/>
          <w:szCs w:val="30"/>
          <w:highlight w:val="none"/>
          <w:lang w:val="en-US" w:eastAsia="zh-CN"/>
        </w:rPr>
        <w:t>9</w:t>
      </w:r>
      <w:r>
        <w:rPr>
          <w:rFonts w:hint="eastAsia" w:ascii="宋体" w:hAnsi="宋体"/>
          <w:color w:val="auto"/>
          <w:szCs w:val="30"/>
          <w:highlight w:val="none"/>
        </w:rPr>
        <w:t>月份全国航空煤油进出口统计数据</w:t>
      </w:r>
      <w:r>
        <w:rPr>
          <w:color w:val="auto"/>
          <w:highlight w:val="none"/>
        </w:rPr>
        <w:tab/>
      </w:r>
      <w:r>
        <w:rPr>
          <w:color w:val="auto"/>
          <w:highlight w:val="none"/>
        </w:rPr>
        <w:fldChar w:fldCharType="begin"/>
      </w:r>
      <w:r>
        <w:rPr>
          <w:color w:val="auto"/>
          <w:highlight w:val="none"/>
        </w:rPr>
        <w:instrText xml:space="preserve"> PAGEREF _Toc19589 </w:instrText>
      </w:r>
      <w:r>
        <w:rPr>
          <w:color w:val="auto"/>
          <w:highlight w:val="none"/>
        </w:rPr>
        <w:fldChar w:fldCharType="separate"/>
      </w:r>
      <w:r>
        <w:rPr>
          <w:color w:val="auto"/>
          <w:highlight w:val="none"/>
        </w:rPr>
        <w:t>34</w:t>
      </w:r>
      <w:r>
        <w:rPr>
          <w:color w:val="auto"/>
          <w:highlight w:val="none"/>
        </w:rPr>
        <w:fldChar w:fldCharType="end"/>
      </w:r>
      <w:r>
        <w:rPr>
          <w:rFonts w:ascii="宋体" w:hAnsi="宋体"/>
          <w:color w:val="auto"/>
          <w:kern w:val="2"/>
          <w:szCs w:val="24"/>
          <w:highlight w:val="none"/>
        </w:rPr>
        <w:fldChar w:fldCharType="end"/>
      </w:r>
    </w:p>
    <w:p>
      <w:pPr>
        <w:pStyle w:val="2"/>
        <w:spacing w:before="120" w:after="0" w:line="240" w:lineRule="auto"/>
        <w:rPr>
          <w:rFonts w:ascii="宋体" w:hAnsi="宋体"/>
          <w:b/>
          <w:color w:val="auto"/>
          <w:sz w:val="24"/>
          <w:szCs w:val="24"/>
          <w:highlight w:val="none"/>
        </w:rPr>
      </w:pPr>
      <w:r>
        <w:rPr>
          <w:rFonts w:ascii="宋体" w:hAnsi="宋体"/>
          <w:color w:val="auto"/>
          <w:kern w:val="2"/>
          <w:szCs w:val="24"/>
          <w:highlight w:val="none"/>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28204"/>
      <w:r>
        <w:rPr>
          <w:rFonts w:hint="eastAsia"/>
        </w:rPr>
        <w:t>一、国际原油市场回顾 </w:t>
      </w:r>
      <w:bookmarkEnd w:id="0"/>
    </w:p>
    <w:p>
      <w:pPr>
        <w:pStyle w:val="3"/>
        <w:spacing w:before="120" w:after="120" w:line="240" w:lineRule="auto"/>
        <w:rPr>
          <w:rFonts w:hint="eastAsia" w:ascii="宋体" w:hAnsi="宋体"/>
          <w:b/>
          <w:sz w:val="30"/>
          <w:szCs w:val="30"/>
        </w:rPr>
      </w:pPr>
      <w:bookmarkStart w:id="1" w:name="_Toc31041"/>
      <w:r>
        <w:rPr>
          <w:rFonts w:hint="eastAsia" w:ascii="宋体" w:hAnsi="宋体"/>
          <w:b/>
          <w:sz w:val="30"/>
          <w:szCs w:val="30"/>
        </w:rPr>
        <w:t>1.1国际原油收盘价涨跌情况（单位：美元/桶）</w:t>
      </w:r>
      <w:bookmarkEnd w:id="1"/>
    </w:p>
    <w:tbl>
      <w:tblPr>
        <w:tblStyle w:val="24"/>
        <w:tblW w:w="8662" w:type="dxa"/>
        <w:tblInd w:w="0" w:type="dxa"/>
        <w:tblLayout w:type="fixed"/>
        <w:tblCellMar>
          <w:top w:w="15" w:type="dxa"/>
          <w:left w:w="15" w:type="dxa"/>
          <w:bottom w:w="15" w:type="dxa"/>
          <w:right w:w="15" w:type="dxa"/>
        </w:tblCellMar>
      </w:tblPr>
      <w:tblGrid>
        <w:gridCol w:w="1291"/>
        <w:gridCol w:w="709"/>
        <w:gridCol w:w="709"/>
        <w:gridCol w:w="5953"/>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日期</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纽交所</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伦交所</w:t>
            </w:r>
          </w:p>
        </w:tc>
        <w:tc>
          <w:tcPr>
            <w:tcW w:w="5953"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2020/11/12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41.12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43.53</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原油收盘小幅下跌，市场此前围绕新冠疫苗的积极情绪开始消退，加之EIA原油库存意外大涨也导致油价承压。此外，IEA再次下调其原油需求预期也利空油价。</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2020/11/13</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40.13</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42.78</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原油收盘下跌，美国石油钻井数连续九周增加，加之EIA原油库存数据大幅增加，油价承压下滑。此外，欧美对于疫情再次爆发实施的封锁措施也令油价下行压力加大。</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2020/11/16</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41.34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43.82</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原油收盘上涨，OPEC+联合技术委员会提议延长当前减产规模三至六个月的消息提振油价。此外，新冠疫苗取得积极进展也缓解了市场对于原油需求前景的担忧。</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2020/11/17</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41.43</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43.75</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原油收盘涨跌不一，市场期待更多关于减产方面的利好提振，但周二举行的OPEC+联合部长级监督委员会(JMMC)最终未提出减产建议，油价涨势受挫。</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2020/11/18</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41.82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44.34</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原油收盘上涨，虽然EIA原油库存持续增加，但是辉瑞公司新冠疫苗取得积极进展的消息提振油价上涨，此外，市场对OPEC延长减产时间的期待也对油价起到支撑。</w:t>
            </w:r>
          </w:p>
        </w:tc>
      </w:tr>
    </w:tbl>
    <w:p>
      <w:pPr>
        <w:jc w:val="center"/>
        <w:rPr>
          <w:rFonts w:hint="eastAsia"/>
        </w:rPr>
      </w:pPr>
    </w:p>
    <w:p>
      <w:pPr>
        <w:pStyle w:val="3"/>
        <w:spacing w:before="120" w:after="120" w:line="240" w:lineRule="auto"/>
        <w:rPr>
          <w:rFonts w:hint="eastAsia" w:ascii="宋体" w:hAnsi="宋体"/>
          <w:b/>
          <w:sz w:val="30"/>
          <w:szCs w:val="30"/>
        </w:rPr>
      </w:pPr>
      <w:bookmarkStart w:id="2" w:name="_Toc13265"/>
      <w:r>
        <w:rPr>
          <w:rFonts w:hint="eastAsia" w:ascii="宋体" w:hAnsi="宋体"/>
          <w:b/>
          <w:sz w:val="30"/>
          <w:szCs w:val="30"/>
        </w:rPr>
        <w:t>1.2 20</w:t>
      </w:r>
      <w:r>
        <w:rPr>
          <w:rFonts w:hint="eastAsia" w:ascii="宋体" w:hAnsi="宋体"/>
          <w:b/>
          <w:sz w:val="30"/>
          <w:szCs w:val="30"/>
          <w:lang w:val="en-US" w:eastAsia="zh-CN"/>
        </w:rPr>
        <w:t>20</w:t>
      </w:r>
      <w:r>
        <w:rPr>
          <w:rFonts w:hint="eastAsia" w:ascii="宋体" w:hAnsi="宋体"/>
          <w:b/>
          <w:sz w:val="30"/>
          <w:szCs w:val="30"/>
        </w:rPr>
        <w:t>年国际原油价格走势图</w:t>
      </w:r>
      <w:bookmarkEnd w:id="2"/>
    </w:p>
    <w:p>
      <w:pPr>
        <w:widowControl/>
        <w:wordWrap w:val="0"/>
        <w:spacing w:after="90" w:line="288" w:lineRule="auto"/>
        <w:jc w:val="left"/>
        <w:rPr>
          <w:rFonts w:hint="eastAsia" w:ascii="宋体" w:hAnsi="宋体" w:cs="Arial"/>
          <w:b/>
          <w:kern w:val="0"/>
          <w:sz w:val="30"/>
          <w:szCs w:val="30"/>
        </w:rPr>
      </w:pPr>
      <w:r>
        <w:rPr>
          <w:rFonts w:hint="eastAsia" w:ascii="宋体" w:hAnsi="宋体" w:cs="Arial"/>
          <w:b/>
          <w:kern w:val="0"/>
          <w:sz w:val="30"/>
          <w:szCs w:val="30"/>
        </w:rPr>
        <w:drawing>
          <wp:inline distT="0" distB="0" distL="114300" distR="114300">
            <wp:extent cx="5475605" cy="3856355"/>
            <wp:effectExtent l="0" t="0" r="1079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475605" cy="3856355"/>
                    </a:xfrm>
                    <a:prstGeom prst="rect">
                      <a:avLst/>
                    </a:prstGeom>
                    <a:noFill/>
                    <a:ln>
                      <a:noFill/>
                    </a:ln>
                  </pic:spPr>
                </pic:pic>
              </a:graphicData>
            </a:graphic>
          </wp:inline>
        </w:drawing>
      </w:r>
    </w:p>
    <w:p>
      <w:pPr>
        <w:widowControl/>
        <w:wordWrap w:val="0"/>
        <w:spacing w:after="90" w:line="288" w:lineRule="auto"/>
        <w:jc w:val="left"/>
        <w:rPr>
          <w:rFonts w:hint="eastAsia" w:ascii="宋体" w:hAnsi="宋体" w:cs="Arial"/>
          <w:b/>
          <w:kern w:val="0"/>
          <w:sz w:val="30"/>
          <w:szCs w:val="30"/>
        </w:rPr>
      </w:pPr>
    </w:p>
    <w:p>
      <w:pPr>
        <w:rPr>
          <w:rFonts w:hint="eastAsia" w:ascii="宋体" w:hAnsi="宋体" w:cs="Arial"/>
          <w:b/>
          <w:kern w:val="0"/>
          <w:sz w:val="30"/>
          <w:szCs w:val="30"/>
        </w:rPr>
      </w:pPr>
    </w:p>
    <w:p>
      <w:pPr>
        <w:pStyle w:val="2"/>
        <w:numPr>
          <w:ilvl w:val="0"/>
          <w:numId w:val="1"/>
        </w:numPr>
        <w:spacing w:before="120" w:after="0" w:line="240" w:lineRule="auto"/>
      </w:pPr>
      <w:bookmarkStart w:id="3" w:name="_Toc11108"/>
      <w:r>
        <w:rPr>
          <w:rFonts w:hint="eastAsia"/>
        </w:rPr>
        <w:t>近期影响国际原油市场的主要因素</w:t>
      </w:r>
      <w:bookmarkEnd w:id="3"/>
    </w:p>
    <w:p>
      <w:pPr>
        <w:pStyle w:val="3"/>
        <w:spacing w:before="120" w:after="120" w:line="240" w:lineRule="auto"/>
        <w:rPr>
          <w:rFonts w:hint="eastAsia" w:ascii="宋体" w:hAnsi="宋体"/>
          <w:b/>
          <w:sz w:val="30"/>
          <w:szCs w:val="30"/>
        </w:rPr>
      </w:pPr>
      <w:bookmarkStart w:id="4" w:name="_Toc24274"/>
      <w:r>
        <w:rPr>
          <w:rFonts w:hint="eastAsia" w:ascii="宋体" w:hAnsi="宋体"/>
          <w:b/>
          <w:sz w:val="30"/>
          <w:szCs w:val="30"/>
        </w:rPr>
        <w:t>2.1影响国际原油市场的主要因素</w:t>
      </w:r>
      <w:bookmarkEnd w:id="4"/>
    </w:p>
    <w:p>
      <w:pPr>
        <w:ind w:firstLine="551" w:firstLineChars="196"/>
        <w:outlineLvl w:val="1"/>
        <w:rPr>
          <w:rFonts w:hint="eastAsia" w:asciiTheme="minorEastAsia" w:hAnsiTheme="minorEastAsia" w:eastAsiaTheme="minorEastAsia" w:cstheme="minorEastAsia"/>
          <w:b/>
          <w:color w:val="000000"/>
          <w:sz w:val="28"/>
          <w:szCs w:val="28"/>
        </w:rPr>
      </w:pPr>
      <w:bookmarkStart w:id="5" w:name="_Toc55461786"/>
      <w:r>
        <w:rPr>
          <w:rFonts w:hint="eastAsia" w:asciiTheme="minorEastAsia" w:hAnsiTheme="minorEastAsia" w:eastAsiaTheme="minorEastAsia" w:cstheme="minorEastAsia"/>
          <w:b/>
          <w:color w:val="000000"/>
          <w:sz w:val="28"/>
          <w:szCs w:val="28"/>
        </w:rPr>
        <w:t>1.美国原油库存情况</w:t>
      </w:r>
      <w:bookmarkEnd w:id="5"/>
      <w:r>
        <w:rPr>
          <w:rFonts w:hint="eastAsia" w:asciiTheme="minorEastAsia" w:hAnsiTheme="minorEastAsia" w:eastAsiaTheme="minorEastAsia" w:cstheme="minorEastAsia"/>
          <w:b/>
          <w:color w:val="000000"/>
          <w:sz w:val="28"/>
          <w:szCs w:val="28"/>
        </w:rPr>
        <w:t xml:space="preserve"> </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本周美国能源信息署(EIA)公布的数据显示，截至11月6日当周美国除却战略储备的商业原油库存增加427.8万桶至4.887亿桶，增加0.9% ，此前预期减少190万桶，前值减少799.8万桶。国际能源署(EIA)公布了月度短期能源展望报告。EIA将2020年全球原油需求增速预期调整至-861万桶/日，此前为-862万桶/日;将2021年全球原油需求增速预期调整至589万桶/日，此前为625万桶/日。预计2020年布油价格为40.61美元/桶，此前预期为41.19美元/桶。预计2021年美油价格为44.24美元/桶，此前预期为44.72美元/桶。预计2020年美油价格为38.24美元/桶，此前预期为38.76美元/桶。美国石油协会(API)公布的数据显示，美国截至11月6日当周API原油库存减少514.7万桶，预期减少91.3万桶;汽油库存减少329.7万桶;精炼油库存减少561.9万桶。</w:t>
      </w:r>
    </w:p>
    <w:p>
      <w:pPr>
        <w:pStyle w:val="23"/>
        <w:spacing w:line="360" w:lineRule="auto"/>
        <w:ind w:firstLine="560" w:firstLineChars="200"/>
        <w:rPr>
          <w:rFonts w:hint="eastAsia" w:asciiTheme="minorEastAsia" w:hAnsiTheme="minorEastAsia" w:eastAsiaTheme="minorEastAsia" w:cstheme="minorEastAsia"/>
          <w:sz w:val="28"/>
          <w:szCs w:val="28"/>
        </w:rPr>
      </w:pPr>
    </w:p>
    <w:p>
      <w:pPr>
        <w:pStyle w:val="23"/>
        <w:spacing w:line="360" w:lineRule="auto"/>
        <w:ind w:firstLine="562" w:firstLineChars="200"/>
        <w:outlineLvl w:val="1"/>
        <w:rPr>
          <w:rFonts w:hint="eastAsia" w:asciiTheme="minorEastAsia" w:hAnsiTheme="minorEastAsia" w:eastAsiaTheme="minorEastAsia" w:cstheme="minorEastAsia"/>
          <w:b/>
          <w:sz w:val="28"/>
          <w:szCs w:val="28"/>
        </w:rPr>
      </w:pPr>
      <w:bookmarkStart w:id="6" w:name="_Toc55461787"/>
      <w:r>
        <w:rPr>
          <w:rFonts w:hint="eastAsia" w:asciiTheme="minorEastAsia" w:hAnsiTheme="minorEastAsia" w:eastAsiaTheme="minorEastAsia" w:cstheme="minorEastAsia"/>
          <w:b/>
          <w:sz w:val="28"/>
          <w:szCs w:val="28"/>
        </w:rPr>
        <w:t>2.美国经济形势</w:t>
      </w:r>
      <w:bookmarkEnd w:id="6"/>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北京时间19日凌晨，美股周三收跌，道指与标普500指数创新高后连续第二个交易日下滑。尽管疫苗研发频传利好，但美国疫情形势恶化仍导致新的抗疫限制措施出台。美银称疫苗消息使美股进入“极端牛市”，做空美股时机已到。</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道指收盘下跌344.93点，或1.16%，报29438.42点;纳指跌97.74点，或0.82%，报11801.60点;标普500指数跌41.74点，或1.16%，报3567.79点。</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道指成分股波音收跌3.2%。美国联邦航空管理局(FAA)解除了对波音737 Max的禁飞令。这款飞机发生两次致命坠机事件后，迄今已经停飞20个月。</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零售商Target宣布，由于电子销售业务蓬勃发展，第三财季盈利超预期。</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家居装饰用品零售商劳氏(LOW)收盘重挫8.2%，该公司公布了第三季度财报，并发布了略低于预期盈利指引。</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多家零售商在周三发布季度财报。芯片制造商英伟达及Copa Holdings和L Brands等将在周三盘后发布财报。</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得益于两家美国制药商相继宣布冠状病毒疫苗成功的利好消息，近日美股表现强劲，周一道指与标普500指数均创收盘历史新高。投资者倾向于抛弃高成长型科技股，转入周期性和价值型股票。</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安联投资管理(Allianz Investment Management)高级投资策略师Charlie Ripley在一份报告中表示：“整体经济的大多数部分复苏的速度超过了许多人的预期，因为消费者支出在整个疫情危机期间保持良好。这在消费者的消费习惯中得到了很大的体现，这场疫情使消费者将支出从服务导向型产品转移到商品导向型产品。”</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他补充说：“虽然这对整体经济有利，但由于某些经济部门继续极度萧条，因此它造成了不平衡的经济复苏。”</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疫情形势仍牵动人心。据约翰斯-霍普金斯大学的最新数据，美国过去7天的每天平均新增确诊冠状病毒感染病例数超过15万。周二当天，美国的新增确诊病例数达到15.7万。在感染病例数激增的同时，美国10月零售销售额低于预期，原因是数以百万计的美国人失去了失业救济。</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疫情恶化使美国多地出台新的限制措施。纽约市周三宣布该市所有学校将停课，以应对当地新冠肺炎病例激增。</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美银称股市因疫苗利好接近“极端牛市” 做空美股时机已到</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在几家公司的疫苗研发取得进展的消息传出后，基金经理对市场的乐观程度达到今年以来之最。美银集团策略师因此呼吁，应当开始卖出风险资产了。</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美银调查显示，冠状病毒疫苗研发进展消息激起了对于全球股市的浓厚兴趣，市场氛围非常乐观。但在标普500指数触及纪录高点之际，基金经理们现在需要考虑，是应该见好就收，还是继续投资等待更多回报。</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美银首席投资策略师Michael Hartnett周二在一份报告中指出：“第四季度会继续向经济重启的板块轮动，但是我们认为已经接近‘充分牛市’，未来几周或几个月，我们主张‘卖出疫苗主题’”。他补充道，随着投资者对股市的乐观情绪急剧膨胀，“触顶的过程就会启动”。</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美银表示，股市因疫苗利好接近“极端牛市”，做空美股的时机到了。</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与此同时，瑞银全球财富管理公司首席投资官Mark Haefele表示，寻求收益率的投资者明年应该关注亚洲和新兴国家的债务，而在股票方面，美国股市明年的表现将落后于全球股市。</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辉瑞最新临床数称疫苗有效率达95% 将寻求紧急使用授权</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辉瑞公司周三发表的最新数据显示，该公司与德国生物技术公司BioNTech联合研发的冠状病毒临床试验最终数据分析表明，即使针对老年受试者，该疫苗预防冠状病毒感染的有效率也高达95%，且无严重安全隐患。</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辉瑞与BioNTech两家公司还在声明中称：“迄今为止，该项研究的数据监控委员会尚未报告与疫苗有关的任何严重安全隐患。研究发现，老年接种者发生的不良反应事件较少、且症状较轻。”</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辉瑞将在几天之内美国FDA对该疫苗的紧急使用授权(EUA)。此外，这些数据还将提交给全球其他监管机构，并计划将数据发布在经过同行评审的科学期刊上。</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欧盟药监局(EMA)周三表示，他们已经收到辉瑞与BioNTech递交的冠状病毒疫苗大规模临床试验数据，但其尚未申请授权批准。</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本周一，美国疫苗生产商Moderna也发布了疫苗三期临床研究数据，显示其信使RNA冠状病毒疫苗有效性为94.5%。</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美联储主席鲍威尔强调短期不确定性</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联储主席鲍威尔周二表示，关于疫苗试验的进展当然是好消息，尤其是对于中期而言，不过从短期来看，依然存在重大挑战和不确定性。他还表示，即便是从最好的情形来看，大范围疫苗接种要成为现实还需要几个月。</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这也是鲍威尔首次对最近的美国疫苗试验进展发表评论。他认为，在美国疫情依然快速蔓延的情况下，接下来几个月可能会充满挑战，“我们还要面临很久的艰难时刻。”</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冠状病毒疫情的扩散依然是美联储最为关注的短期风险。鲍威尔在周二举行的视频活动上表示：“美联储将留在这里，坚决致力于使用我们所有工具”来支持经济，“接下来几个月可能极具挑战性。”</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经济学家警告说，疫苗接种和复苏之间存在时滞，美国经济可能还需要几个月的时间才能从冠状病毒疫苗中受益，在美国面临前所未有的冠状病毒病例激增之际，人们将重新关注冬季的疫情情况。</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FAA取消波音737 Max飞行禁令</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美国联邦航空管理局(FAA)周三裁定，波音737 Max经广泛的修复方案后可以安全地复飞，此前两次致命空难导致该机型被停飞20个月。</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FAA周三在其网站上宣布了这一决定，标志着美国历史上持续期最长的客机停飞结束，并为世界各地的航空公司和其他监管机构复飞该机型奠定了基础。</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FAA要求修复在两次空难中失控的安全系统以及在数月的审查中发现的数个其它缺陷，并要求对波音737 Max机型进行新的飞行员培训，侧重于事故中出现的问题。</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其他市场</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原油期货价格周三收高。最新疫苗研究方面的乐观消息，提振了投资者对经济和能源需求改善的信心，使原油价格得到支撑</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美国能源信息署(EIA)的数据显示美国原油供应连续第二周上涨，使油价涨幅受到一定的限制。</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纽约商业交易所12月份交割的西德克萨斯中质原油(WTI)期货价格上涨39美分，涨幅为0.9%，报收于每桶41.82美元。根据FactSet的数据，这是自9月1日以来近月合约的最高收盘价。</w:t>
      </w:r>
    </w:p>
    <w:p>
      <w:pPr>
        <w:pStyle w:val="23"/>
        <w:rPr>
          <w:rFonts w:hint="eastAsia" w:asciiTheme="minorEastAsia" w:hAnsiTheme="minorEastAsia" w:eastAsiaTheme="minorEastAsia" w:cstheme="minorEastAsia"/>
          <w:color w:val="333335"/>
          <w:kern w:val="2"/>
          <w:sz w:val="28"/>
          <w:szCs w:val="28"/>
          <w:shd w:val="clear" w:color="auto" w:fill="FFFFFF"/>
        </w:rPr>
      </w:pPr>
    </w:p>
    <w:p>
      <w:pPr>
        <w:pStyle w:val="23"/>
        <w:numPr>
          <w:ilvl w:val="0"/>
          <w:numId w:val="2"/>
        </w:numPr>
        <w:ind w:firstLine="643" w:firstLineChars="200"/>
        <w:outlineLvl w:val="1"/>
        <w:rPr>
          <w:rFonts w:hint="eastAsia" w:asciiTheme="minorEastAsia" w:hAnsiTheme="minorEastAsia" w:eastAsiaTheme="minorEastAsia" w:cstheme="minorEastAsia"/>
          <w:b/>
          <w:bCs/>
          <w:sz w:val="32"/>
          <w:szCs w:val="32"/>
        </w:rPr>
      </w:pPr>
      <w:bookmarkStart w:id="7" w:name="_Toc55461788"/>
      <w:r>
        <w:rPr>
          <w:rFonts w:hint="eastAsia" w:asciiTheme="minorEastAsia" w:hAnsiTheme="minorEastAsia" w:eastAsiaTheme="minorEastAsia" w:cstheme="minorEastAsia"/>
          <w:b/>
          <w:bCs/>
          <w:sz w:val="32"/>
          <w:szCs w:val="32"/>
        </w:rPr>
        <w:t>世界经济形势</w:t>
      </w:r>
      <w:bookmarkEnd w:id="7"/>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近日，东盟十国以及中国、日本、韩国、澳大利亚、新西兰15个国家正式签署区域全面经济伙伴关系协定(RCEP)，这标志着当前世界上人口最多、经贸规模最大、最具发展潜力的自由贸易区正式启航。</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总体来看，RCEP包括20个章节，涵盖货物、服务、投资等全面的市场准入承诺，是一份全面、现代、高质量、互惠的自贸协定。商务部副部长王受文表示，RCEP协定签署是东亚区域经济一体化新的里程碑。RCEP现有15个成员国总人口、经济体量、贸易总额均占全球总量约30%，意味着全球约三分之一的经济体量形成一体化大市场。这将有力提振区域贸易投资信心，加强产业链供应链，提升各方合作抗疫的能力，助推各国经济复苏，并促进本地区长期繁荣发展。</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释放维护多边贸易体制强烈信号</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年“磨一剑”，RCEP“修成正果”实属不易。RCEP由东盟于2012年发起，历经8年、31轮正式谈判，特别是今年以来，RCEP各成员克服新冠肺炎疫情带来的巨大困难，全面完成市场准入谈判，并完成了1.4万多页文本法律审核工作，最终如期签署协定。“这是东亚经济一体化建设近20年来最重要的成果。”商务部国际司负责人表示。</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值得注意的是，RCEP不仅整合了东盟与中国、日本、韩国、澳大利亚、新西兰多个“10+1”自贸协定以及中、日、韩、澳、新西兰5国之间已有的多对自贸伙伴关系，还在中日和日韩间建立了新的自贸伙伴关系。</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据上述负责人介绍，RCEP通过采用区域累积的原产地规则，深化了域内产业链价值链;利用新技术推动海关便利化，促进了新型跨境物流发展;采用负面清单推进投资自由化，提升了投资政策透明度，将促进区域内经贸规则的优化和整合。</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可以说RCEP最大限度兼顾了各方诉求，将促进本地区的包容均衡发展，使各方都能充分共享RCEP成果。”上述负责人表示，RCEP实现了高质量和包容性的统一。货物贸易最终零关税产品数整体上将超过90%，服务贸易和投资总体开放水平显著高于原有“10+1”自贸协定，还纳入了高水平的知识产权、电子商务、竞争政策、政府采购等现代化议题。</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业内专家普遍认为，RCEP将有力提振各方对经济增长的信心。“RCEP协定的签署降低了全球贸易的不确定性，将成为后疫情时代促进地区发展和重振全球经济的重要力量。”中国银行研究院博士后王若兰在接受《金融时报》记者采访时表示，RCEP的签署不仅为域内贸易提供了可信赖的合作框架和保证，更将成为全球经贸合作和规则重塑的典范，在推动本区域经济发展的同时，为全球经济复苏增添新活力、新动能。</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RCEP自贸区的建成发出了反对单边主义和贸易保护主义、支持自由贸易和维护多边贸易体制的强烈信号，必将有力提振各方对经济增长的信心。”上述负责人表示，据国际知名智库测算，到2025年，RCEP有望带动成员国出口、对外投资存量、GDP分别比基线多增长10.4%、2.6%、1.8%。</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提升我国自由贸易区网络“含金量”</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RCEP签署不仅能推动东亚区域经济增长，也有助于中国经济发展。上述负责人表示，RCEP将成为新时期我国扩大对外开放的重要平台。RCEP一体化大市场的形成将释放巨大的市场潜力，进一步促进区域内贸易和投资往来，这将有助于我国通过更全面、更深入、更多元的对外开放，进一步优化对外贸易和投资布局，不断与国际高标准贸易投资规则接轨，构建更高水平的开放型经济新体制。</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与此同时，RCEP的签署有助于推动我国产业经济结构转型升级。光大银行金融市场部分析师周茂华表示，从过往自贸区实践看，自贸区通过推动要素自由流动，促进产业行业间合作与竞争，使贸易投资活跃度提升，经济潜力释放，带动产业与经济结构升级。15个成员国中既有发达经济体也有发展中国家，经济结构多元，各成员国在不同产业存在比较优势，各方竞合将推动产业创新。</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此外，RCEP将显著提升我国自由贸易区网络“含金量”。RCEP签署后，我国对外签署的自贸协定将达到19个，自贸伙伴将达到26个。上述负责人说，通过RCEP，我国与日本建立了自贸关系，这是我国首次与世界前十的经济体签署自贸协定，是实施自由贸易区战略取得的重大突破，使我国与自贸伙伴贸易覆盖率增加至35%左右，大大提升了我国自贸区网络的“含金量”。</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中小企业合作迎广阔平台</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RCEP签署将为中小企业发展和经济技术合作带来哪些机遇备受市场关注。上述负责人表示，为促进区域内各成员实现均衡发展，RCEP专门设置了中小企业和经济技术合作两章，以期促进各国利用自贸协定平台，加强对中小企业和经济技术合作的支持与投入，使中小企业、发展中经济体更好地共享RCEP成果。</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王若兰表示，此次RCEP签署，进一步削减了区域内关税及非关税壁垒，15国将进一步依靠自身的技术优势、劳动力优势和自然资源优势形成更为明确的区域生产分工体系。</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与此同时，区域内统一市场的形成也将进一步发挥其“贸易创造”效应。王若兰进一步表示，对于中小企业来说，原先由于市场效率不够高而不能进入国际市场的中小企业，现在拥有了进入国际市场的可能性;同时，依赖区域内国家原材料进口和零部件进口的企业的进口成本将大幅降低，外向型、出口型企业如加工贸易企业等的出口价格也会进一步下降，从而在区域内统一市场中更具竞争力。</w:t>
      </w:r>
    </w:p>
    <w:p>
      <w:pPr>
        <w:pStyle w:val="23"/>
        <w:spacing w:line="360" w:lineRule="auto"/>
        <w:ind w:firstLine="560"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sz w:val="28"/>
          <w:szCs w:val="28"/>
        </w:rPr>
        <w:t>此外，对于消费者来说，RCEP的签署意味着将有机会买到更多质美价优的商品。“根据RCEP协议，成员国货物贸易零关税产品数整体超过90%，将直接降低进口商品价格;区域内商品竞争加剧也利好消费者，整体上将提升消费者福利。”周茂华表示，中国消费者将购买到品种繁多、价格更优、品质更高的商品。</w:t>
      </w:r>
    </w:p>
    <w:p>
      <w:pPr>
        <w:pStyle w:val="23"/>
        <w:numPr>
          <w:ilvl w:val="0"/>
          <w:numId w:val="2"/>
        </w:numPr>
        <w:ind w:firstLine="643" w:firstLineChars="200"/>
        <w:outlineLvl w:val="1"/>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t>4</w:t>
      </w:r>
      <w:r>
        <w:rPr>
          <w:rFonts w:hint="eastAsia" w:asciiTheme="minorEastAsia" w:hAnsiTheme="minorEastAsia" w:eastAsiaTheme="minorEastAsia" w:cstheme="minorEastAsia"/>
          <w:b/>
          <w:bCs/>
          <w:sz w:val="32"/>
          <w:szCs w:val="32"/>
        </w:rPr>
        <w:t>.后市预测</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bookmarkStart w:id="8" w:name="_Toc1606"/>
      <w:r>
        <w:rPr>
          <w:rFonts w:hint="eastAsia" w:ascii="宋体" w:hAnsi="宋体" w:eastAsia="宋体" w:cs="宋体"/>
          <w:color w:val="333335"/>
          <w:kern w:val="2"/>
          <w:sz w:val="28"/>
          <w:szCs w:val="28"/>
          <w:shd w:val="clear" w:color="auto" w:fill="FFFFFF"/>
        </w:rPr>
        <w:t>本周美国WTI原油原油价格在40.13-41.82美元/桶。布伦特原油价格在42.78-44.34美元/桶震荡。周内国际油价稳定整理。美国制药公司辉瑞和德国生物技术公司BioNTech公布的疫苗研发进展消息持续鼓动市场，而美国能源信息署公布的数据显示，美国上周商业原油库存增幅不及预期，两大原油期货当日收盘上涨。截至发稿，美国WTI原油12月期货收涨39美分，涨幅0.94%，报41.82美元/桶，其盘中一度触及42.68美元/桶的高点;布伦特原油1月期货收涨59美分，涨幅1.35%，报44.34美元/桶。此前交易日，美油收涨9美分，涨幅0.22%，报41.43美元/桶;布油收跌7美分，跌幅0.16%，报43.75美元/桶。基本面利好因素：1.香港时间周二晚21:00，欧佩克+举行了联合部长级监督委员会(JMMC)会议。欧佩克表示，自5月以来，全球石油产量减少了16亿桶，10月减产执行率为101%;亚洲石油需求复苏，疫苗消息对石油市场的影响不及新冠疫情卷土重来的影响大;所有参与国都需要保持警惕，积极主动，准备根据市场需求采取行动。欧佩克文件显示，阿联酋10月份石油产量将减少15.3万桶/日。欧佩克+联合部长级监督委员会会议将在没有建议的情况下结束，并于11月30日-12月1日的会议上对石油供应作出最终决定。2.周三，美国药企辉瑞和德国生物技术公司BioNTech宣布，临床试验的最终数据显示，其共同研发的新冠疫苗在预防新冠病毒感染的有效率达95%，并且没有造成严重的副作用。该疫苗在接种的28天后对抗感染高度有效，且有效性在不同年龄、种族都相同。此外，疫苗对老年人的有效率超过94%。美国制药公司Moderna周一公布的初步数据显示，其最新研制的新冠疫苗可以达到将近95%的有效率。试验的分析是基于前95位有新冠症状人士而进行的。结果显示，该疫苗的有效性为94.5%。该公司总裁史蒂芬·何齐(Stephen Hoge)表示，在试验开展前，无人料到疫苗竟然如此有效。基本面利空因素：1.香港时间周三晚23:30，美国能源信息署(EIA)公布的数据显示，截至11月13日当周，美国除却战略储备的商业原油库存增加76.90万桶至4.895亿桶，增加0.2%，预期增加160万桶，前值增加427.7万桶;美国汽油库存实际公布增加261.10万桶，预期增加80万桶，前值减少230.9万桶，汽油库存变化值创6月5日当周(24周)以来新高;上周美国国内原油产量增加40万桶至1090万桶/日;美国上周原油出口减少1.7万桶/日至274.8万桶/日。2.周一，参议院民主党领袖舒默表示，他和众议院议长佩洛西已有两周未收到参议院共和党领袖麦康奈尔的消息。民主党人一直在推动规模至少2.2万亿美元的一揽子刺激计划，而共和党则希望推出约5000亿美元的法案。舒默称，如果麦康奈尔和共和党同僚们希望坐下来通过两党程序讨论解决方案，那么民主党人已经准备好、并且愿意且能够这样做。麦康奈尔最近几日坚持认为，经济复苏的步伐意味着国会只需通过一项有针对性的小规模刺激计划。周二，他表示共和党希望通过更多抗疫刺激措施，但谴责民主党人阻止了共和党在最近几周试图通过的法案。3.据Worldometers实时统计数据显示，截至香港时间11月19日01时20分，全球新冠病毒确诊病例达5623万例，新增293175例至56231894例，死亡病例达134万例，新增6030例至1349057例。全球确诊病例超过10万例的国家增至58个。此外，塞尔维亚、摩尔多瓦、克罗地亚和委内瑞拉的确诊病例已经超过9万。美国新冠病毒确诊病例达1172万例，新增27630例至11723341例，占全球确诊病例的近五分之一;死亡病例达25万例，新增428例至254683例，占全球死亡人数的近五分之一。</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预测下周WTI油价将触及39-42美元/桶，布油在之后几个月触及41-45美元/桶。</w:t>
      </w:r>
    </w:p>
    <w:p>
      <w:pPr>
        <w:pStyle w:val="23"/>
        <w:keepNext w:val="0"/>
        <w:keepLines w:val="0"/>
        <w:widowControl/>
        <w:suppressLineNumbers w:val="0"/>
      </w:pPr>
    </w:p>
    <w:p>
      <w:pPr>
        <w:pStyle w:val="3"/>
        <w:spacing w:before="120" w:after="120" w:line="240" w:lineRule="auto"/>
        <w:rPr>
          <w:rFonts w:hint="eastAsia" w:ascii="宋体" w:hAnsi="宋体"/>
          <w:b/>
          <w:sz w:val="30"/>
          <w:szCs w:val="30"/>
          <w:highlight w:val="none"/>
        </w:rPr>
      </w:pPr>
      <w:r>
        <w:rPr>
          <w:rFonts w:hint="eastAsia" w:ascii="宋体" w:hAnsi="宋体"/>
          <w:b/>
          <w:sz w:val="30"/>
          <w:szCs w:val="30"/>
          <w:highlight w:val="none"/>
        </w:rPr>
        <w:t>2.2国际市场MTBE价格</w:t>
      </w:r>
      <w:bookmarkEnd w:id="8"/>
    </w:p>
    <w:tbl>
      <w:tblPr>
        <w:tblStyle w:val="24"/>
        <w:tblW w:w="7230" w:type="dxa"/>
        <w:tblInd w:w="0" w:type="dxa"/>
        <w:shd w:val="clear" w:color="auto" w:fill="auto"/>
        <w:tblLayout w:type="autofit"/>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trPr>
        <w:tc>
          <w:tcPr>
            <w:tcW w:w="1365" w:type="dxa"/>
            <w:tcBorders>
              <w:top w:val="single" w:color="auto" w:sz="4" w:space="0"/>
              <w:left w:val="single" w:color="auto" w:sz="4" w:space="0"/>
              <w:bottom w:val="single" w:color="auto" w:sz="4" w:space="0"/>
              <w:right w:val="single" w:color="auto"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9" w:name="_Toc23075"/>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auto" w:sz="4" w:space="0"/>
              <w:left w:val="single" w:color="auto" w:sz="4" w:space="0"/>
              <w:bottom w:val="single" w:color="auto" w:sz="4" w:space="0"/>
              <w:right w:val="single" w:color="auto"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auto" w:sz="4" w:space="0"/>
              <w:left w:val="single" w:color="auto" w:sz="4" w:space="0"/>
              <w:bottom w:val="single" w:color="auto" w:sz="4" w:space="0"/>
              <w:right w:val="single" w:color="auto"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auto" w:sz="4" w:space="0"/>
              <w:left w:val="single" w:color="auto" w:sz="4" w:space="0"/>
              <w:bottom w:val="single" w:color="auto" w:sz="4" w:space="0"/>
              <w:right w:val="single" w:color="auto"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1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11月18日</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420.20 </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123.54 </w:t>
            </w:r>
          </w:p>
        </w:tc>
        <w:tc>
          <w:tcPr>
            <w:tcW w:w="1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417.00 </w:t>
            </w:r>
          </w:p>
        </w:tc>
      </w:tr>
      <w:tr>
        <w:tblPrEx>
          <w:tblCellMar>
            <w:top w:w="0" w:type="dxa"/>
            <w:left w:w="0" w:type="dxa"/>
            <w:bottom w:w="0" w:type="dxa"/>
            <w:right w:w="0" w:type="dxa"/>
          </w:tblCellMar>
        </w:tblPrEx>
        <w:trPr>
          <w:trHeight w:val="360" w:hRule="atLeast"/>
        </w:trPr>
        <w:tc>
          <w:tcPr>
            <w:tcW w:w="1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11月17日</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418.00 </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122.57 </w:t>
            </w:r>
          </w:p>
        </w:tc>
        <w:tc>
          <w:tcPr>
            <w:tcW w:w="1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405.25 </w:t>
            </w:r>
          </w:p>
        </w:tc>
      </w:tr>
      <w:tr>
        <w:tblPrEx>
          <w:tblCellMar>
            <w:top w:w="0" w:type="dxa"/>
            <w:left w:w="0" w:type="dxa"/>
            <w:bottom w:w="0" w:type="dxa"/>
            <w:right w:w="0" w:type="dxa"/>
          </w:tblCellMar>
        </w:tblPrEx>
        <w:trPr>
          <w:trHeight w:val="360" w:hRule="atLeast"/>
        </w:trPr>
        <w:tc>
          <w:tcPr>
            <w:tcW w:w="1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11月16日</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419.50 </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121.93 </w:t>
            </w:r>
          </w:p>
        </w:tc>
        <w:tc>
          <w:tcPr>
            <w:tcW w:w="1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411.25 </w:t>
            </w:r>
          </w:p>
        </w:tc>
      </w:tr>
      <w:tr>
        <w:tblPrEx>
          <w:tblCellMar>
            <w:top w:w="0" w:type="dxa"/>
            <w:left w:w="0" w:type="dxa"/>
            <w:bottom w:w="0" w:type="dxa"/>
            <w:right w:w="0" w:type="dxa"/>
          </w:tblCellMar>
        </w:tblPrEx>
        <w:trPr>
          <w:trHeight w:val="360" w:hRule="atLeast"/>
        </w:trPr>
        <w:tc>
          <w:tcPr>
            <w:tcW w:w="1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11月13日</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419.80 </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119.79 </w:t>
            </w:r>
          </w:p>
        </w:tc>
        <w:tc>
          <w:tcPr>
            <w:tcW w:w="1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402.50 </w:t>
            </w:r>
          </w:p>
        </w:tc>
      </w:tr>
      <w:tr>
        <w:tblPrEx>
          <w:tblCellMar>
            <w:top w:w="0" w:type="dxa"/>
            <w:left w:w="0" w:type="dxa"/>
            <w:bottom w:w="0" w:type="dxa"/>
            <w:right w:w="0" w:type="dxa"/>
          </w:tblCellMar>
        </w:tblPrEx>
        <w:trPr>
          <w:trHeight w:val="360" w:hRule="atLeast"/>
        </w:trPr>
        <w:tc>
          <w:tcPr>
            <w:tcW w:w="1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11月12日</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431.00 </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122.96 </w:t>
            </w:r>
          </w:p>
        </w:tc>
        <w:tc>
          <w:tcPr>
            <w:tcW w:w="1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412.75 </w:t>
            </w:r>
          </w:p>
        </w:tc>
      </w:tr>
    </w:tbl>
    <w:p>
      <w:pPr>
        <w:pStyle w:val="2"/>
        <w:numPr>
          <w:ilvl w:val="0"/>
          <w:numId w:val="0"/>
        </w:numPr>
        <w:spacing w:before="120" w:after="0" w:line="240" w:lineRule="auto"/>
        <w:rPr>
          <w:rFonts w:hint="eastAsia"/>
          <w:b/>
          <w:lang w:eastAsia="zh-CN"/>
        </w:rPr>
      </w:pPr>
    </w:p>
    <w:p>
      <w:pPr>
        <w:pStyle w:val="2"/>
        <w:numPr>
          <w:ilvl w:val="0"/>
          <w:numId w:val="0"/>
        </w:numPr>
        <w:spacing w:before="120" w:after="0" w:line="240" w:lineRule="auto"/>
        <w:rPr>
          <w:rFonts w:hint="eastAsia"/>
          <w:b/>
        </w:rPr>
      </w:pPr>
      <w:r>
        <w:rPr>
          <w:rFonts w:hint="eastAsia"/>
          <w:b/>
          <w:lang w:eastAsia="zh-CN"/>
        </w:rPr>
        <w:t>三、</w:t>
      </w:r>
      <w:r>
        <w:rPr>
          <w:rFonts w:hint="eastAsia"/>
          <w:b/>
        </w:rPr>
        <w:t>本周国内市场</w:t>
      </w:r>
      <w:bookmarkEnd w:id="9"/>
    </w:p>
    <w:p>
      <w:pPr>
        <w:numPr>
          <w:ilvl w:val="0"/>
          <w:numId w:val="0"/>
        </w:numPr>
      </w:pPr>
    </w:p>
    <w:p>
      <w:pPr>
        <w:pStyle w:val="3"/>
        <w:spacing w:before="120" w:after="120" w:line="240" w:lineRule="auto"/>
      </w:pPr>
      <w:bookmarkStart w:id="10" w:name="_Toc4499"/>
      <w:r>
        <w:rPr>
          <w:rFonts w:hint="eastAsia" w:ascii="宋体" w:hAnsi="宋体"/>
          <w:b/>
          <w:sz w:val="30"/>
          <w:szCs w:val="30"/>
          <w:highlight w:val="none"/>
        </w:rPr>
        <w:t>3.1 国内炼厂装置运行情况</w:t>
      </w:r>
      <w:bookmarkEnd w:id="10"/>
    </w:p>
    <w:p>
      <w:pPr>
        <w:rPr>
          <w:rFonts w:hint="eastAsia" w:ascii="宋体" w:hAnsi="宋体"/>
          <w:sz w:val="28"/>
          <w:szCs w:val="28"/>
          <w:highlight w:val="none"/>
        </w:rPr>
      </w:pPr>
      <w:r>
        <w:rPr>
          <w:rFonts w:hint="eastAsia" w:ascii="宋体" w:hAnsi="宋体"/>
          <w:sz w:val="28"/>
          <w:szCs w:val="28"/>
          <w:highlight w:val="none"/>
        </w:rPr>
        <w:t>（1）国内主营炼厂装置检修情况</w:t>
      </w:r>
    </w:p>
    <w:tbl>
      <w:tblPr>
        <w:tblStyle w:val="24"/>
        <w:tblW w:w="940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69"/>
        <w:gridCol w:w="1627"/>
        <w:gridCol w:w="1841"/>
        <w:gridCol w:w="2220"/>
        <w:gridCol w:w="214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1569"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炼厂名称</w:t>
            </w:r>
          </w:p>
        </w:tc>
        <w:tc>
          <w:tcPr>
            <w:tcW w:w="1627"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检修装置</w:t>
            </w:r>
          </w:p>
        </w:tc>
        <w:tc>
          <w:tcPr>
            <w:tcW w:w="1841"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装置能力（万吨）</w:t>
            </w:r>
          </w:p>
        </w:tc>
        <w:tc>
          <w:tcPr>
            <w:tcW w:w="2220"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开始时间</w:t>
            </w:r>
          </w:p>
        </w:tc>
        <w:tc>
          <w:tcPr>
            <w:tcW w:w="2145"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结束时间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燕山石化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燕山石化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3#催化裂化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塔河石化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塔河石化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延迟焦化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120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上海石化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上海石化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3#柴油加氢</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330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镇海炼化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800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镇海炼化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茂名石化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茂名石化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2020年7月中旬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2020年8月中旬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北海炼化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650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天津石化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1250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齐鲁石化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2020年9中上旬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2020年10月底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武汉石化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2020年10中上旬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2020年12月中旬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青岛石化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2020年10中旬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2020年12月初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大连石化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2020年4月上旬陆续停</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广西石化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2020/2/9</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宁夏石化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2020年8月中旬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云南石化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2020年12月中上旬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2021年1月底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锦西石化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700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2020年9月底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惠州炼厂</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二期</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436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检修延至2021年2月-4月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中海油气(泰州)</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2020年4月下旬</w:t>
            </w:r>
          </w:p>
        </w:tc>
      </w:tr>
    </w:tbl>
    <w:p>
      <w:pPr>
        <w:numPr>
          <w:ilvl w:val="0"/>
          <w:numId w:val="0"/>
        </w:numPr>
        <w:rPr>
          <w:rFonts w:hint="eastAsia" w:ascii="宋体" w:hAnsi="宋体"/>
          <w:sz w:val="28"/>
          <w:szCs w:val="28"/>
          <w:highlight w:val="none"/>
        </w:rPr>
      </w:pPr>
    </w:p>
    <w:p>
      <w:pPr>
        <w:numPr>
          <w:ilvl w:val="0"/>
          <w:numId w:val="3"/>
        </w:numPr>
        <w:rPr>
          <w:rFonts w:hint="eastAsia" w:ascii="宋体" w:hAnsi="宋体"/>
          <w:sz w:val="28"/>
          <w:szCs w:val="28"/>
          <w:highlight w:val="none"/>
        </w:rPr>
      </w:pPr>
      <w:r>
        <w:rPr>
          <w:rFonts w:hint="eastAsia" w:ascii="宋体" w:hAnsi="宋体"/>
          <w:sz w:val="28"/>
          <w:szCs w:val="28"/>
          <w:highlight w:val="none"/>
        </w:rPr>
        <w:t>国内地方炼厂装置检修情况</w:t>
      </w:r>
    </w:p>
    <w:tbl>
      <w:tblPr>
        <w:tblStyle w:val="24"/>
        <w:tblW w:w="9522" w:type="dxa"/>
        <w:tblInd w:w="0" w:type="dxa"/>
        <w:shd w:val="clear" w:color="auto" w:fill="auto"/>
        <w:tblLayout w:type="autofit"/>
        <w:tblCellMar>
          <w:top w:w="0" w:type="dxa"/>
          <w:left w:w="0" w:type="dxa"/>
          <w:bottom w:w="0" w:type="dxa"/>
          <w:right w:w="0" w:type="dxa"/>
        </w:tblCellMar>
      </w:tblPr>
      <w:tblGrid>
        <w:gridCol w:w="1782"/>
        <w:gridCol w:w="1188"/>
        <w:gridCol w:w="1890"/>
        <w:gridCol w:w="2385"/>
        <w:gridCol w:w="2277"/>
      </w:tblGrid>
      <w:tr>
        <w:tblPrEx>
          <w:shd w:val="clear" w:color="auto" w:fill="auto"/>
          <w:tblCellMar>
            <w:top w:w="0" w:type="dxa"/>
            <w:left w:w="0" w:type="dxa"/>
            <w:bottom w:w="0" w:type="dxa"/>
            <w:right w:w="0" w:type="dxa"/>
          </w:tblCellMar>
        </w:tblPrEx>
        <w:trPr>
          <w:trHeight w:val="240" w:hRule="atLeast"/>
        </w:trPr>
        <w:tc>
          <w:tcPr>
            <w:tcW w:w="178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炼厂名称</w:t>
            </w:r>
          </w:p>
        </w:tc>
        <w:tc>
          <w:tcPr>
            <w:tcW w:w="1188"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检修装置</w:t>
            </w:r>
          </w:p>
        </w:tc>
        <w:tc>
          <w:tcPr>
            <w:tcW w:w="18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检修产能（万吨）</w:t>
            </w:r>
          </w:p>
        </w:tc>
        <w:tc>
          <w:tcPr>
            <w:tcW w:w="23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停工时间</w:t>
            </w:r>
          </w:p>
        </w:tc>
        <w:tc>
          <w:tcPr>
            <w:tcW w:w="227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开工时间</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2019年9月1</w:t>
            </w:r>
            <w:r>
              <w:rPr>
                <w:rFonts w:hint="eastAsia" w:ascii="宋体" w:hAnsi="宋体" w:cs="宋体"/>
                <w:i w:val="0"/>
                <w:color w:val="000000"/>
                <w:kern w:val="0"/>
                <w:sz w:val="21"/>
                <w:szCs w:val="21"/>
                <w:u w:val="none"/>
                <w:lang w:val="en-US" w:eastAsia="zh-CN" w:bidi="ar"/>
              </w:rPr>
              <w:t>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r>
              <w:rPr>
                <w:rFonts w:hint="eastAsia" w:ascii="宋体" w:hAnsi="宋体" w:cs="宋体"/>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年</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月1</w:t>
            </w:r>
            <w:r>
              <w:rPr>
                <w:rFonts w:hint="eastAsia" w:ascii="宋体" w:hAnsi="宋体" w:cs="宋体"/>
                <w:i w:val="0"/>
                <w:color w:val="000000"/>
                <w:kern w:val="0"/>
                <w:sz w:val="21"/>
                <w:szCs w:val="21"/>
                <w:u w:val="none"/>
                <w:lang w:val="en-US" w:eastAsia="zh-CN" w:bidi="ar"/>
              </w:rPr>
              <w:t>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2019年9月1</w:t>
            </w:r>
            <w:r>
              <w:rPr>
                <w:rFonts w:hint="eastAsia" w:ascii="宋体" w:hAnsi="宋体" w:cs="宋体"/>
                <w:i w:val="0"/>
                <w:color w:val="000000"/>
                <w:kern w:val="0"/>
                <w:sz w:val="21"/>
                <w:szCs w:val="21"/>
                <w:u w:val="none"/>
                <w:lang w:val="en-US" w:eastAsia="zh-CN" w:bidi="ar"/>
              </w:rPr>
              <w:t>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r>
              <w:rPr>
                <w:rFonts w:hint="eastAsia" w:ascii="宋体" w:hAnsi="宋体" w:cs="宋体"/>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年</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月1</w:t>
            </w:r>
            <w:r>
              <w:rPr>
                <w:rFonts w:hint="eastAsia" w:ascii="宋体" w:hAnsi="宋体" w:cs="宋体"/>
                <w:i w:val="0"/>
                <w:color w:val="000000"/>
                <w:kern w:val="0"/>
                <w:sz w:val="21"/>
                <w:szCs w:val="21"/>
                <w:u w:val="none"/>
                <w:lang w:val="en-US" w:eastAsia="zh-CN" w:bidi="ar"/>
              </w:rPr>
              <w:t>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2018年5月1日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2020年7月25日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650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2019年9月14日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岚桥石化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2020年5月10日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2019年11月18日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2020年3月30日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奥星(亨润德)石化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2019年12月23日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海化石化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2019年12月26日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2020年7月26日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中海精细化工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2020年1月12日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万达天弘</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富宇化工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2020年4月2</w:t>
            </w: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亚通石化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2020年1月27日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汽油加氢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尚能石化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神驰化工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2020年2月4日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玉皇盛世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2020年2月3日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2020年3月4日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寿光联盟</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胜星化工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科力达石化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华星石化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正和石化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昌邑石化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2020年2月14日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2020年2月16日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2020年2月19日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华联石化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2020年4月</w:t>
            </w:r>
            <w:r>
              <w:rPr>
                <w:rFonts w:hint="eastAsia" w:ascii="宋体" w:hAnsi="宋体" w:cs="宋体"/>
                <w:i w:val="0"/>
                <w:color w:val="000000"/>
                <w:kern w:val="0"/>
                <w:sz w:val="21"/>
                <w:szCs w:val="21"/>
                <w:u w:val="none"/>
                <w:lang w:val="en-US" w:eastAsia="zh-CN" w:bidi="ar"/>
              </w:rPr>
              <w:t>29</w:t>
            </w:r>
            <w:r>
              <w:rPr>
                <w:rFonts w:hint="eastAsia" w:ascii="宋体" w:hAnsi="宋体" w:eastAsia="宋体" w:cs="宋体"/>
                <w:i w:val="0"/>
                <w:color w:val="000000"/>
                <w:kern w:val="0"/>
                <w:sz w:val="21"/>
                <w:szCs w:val="21"/>
                <w:u w:val="none"/>
                <w:lang w:val="en-US" w:eastAsia="zh-CN" w:bidi="ar"/>
              </w:rPr>
              <w:t>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永鑫化工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5月初</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永鑫化工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2020年3月15日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2020年5月1日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2020年5月18日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2020年7月20日左右</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柴油加氢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2020年7月20日左右</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奥星石化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2020年6月23日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2020年7月初</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2020年7月30日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计划2020年9月份</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科力达石化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富宇化工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2020年8月4日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中海精细化工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2020年8月6日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后期装置拆除</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玉皇盛世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2020年8月17日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后期装置拆除</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2020年8月12日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2020年9月13日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中海东营石化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2020年9月3日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2020年10月14日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神驰化工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昌邑石化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2020年10月5日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齐成石化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2020年10月7日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2020年10月23日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2020年10月26日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0"/>
                <w:szCs w:val="20"/>
                <w:u w:val="none"/>
                <w:lang w:val="en-US" w:eastAsia="zh-CN" w:bidi="ar"/>
              </w:rPr>
              <w:t>计划2020年11月中旬</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岚桥石化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2020年10月31日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hint="default"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计划2020年11月12日</w:t>
            </w:r>
          </w:p>
        </w:tc>
      </w:tr>
    </w:tbl>
    <w:p>
      <w:pPr>
        <w:numPr>
          <w:ilvl w:val="0"/>
          <w:numId w:val="0"/>
        </w:numPr>
        <w:jc w:val="center"/>
        <w:rPr>
          <w:rFonts w:hint="eastAsia" w:ascii="宋体" w:hAnsi="宋体"/>
          <w:sz w:val="28"/>
          <w:szCs w:val="28"/>
          <w:highlight w:val="none"/>
        </w:rPr>
      </w:pPr>
    </w:p>
    <w:p>
      <w:pPr>
        <w:rPr>
          <w:rFonts w:hint="eastAsia"/>
        </w:rPr>
      </w:pPr>
    </w:p>
    <w:p>
      <w:pPr>
        <w:pStyle w:val="3"/>
        <w:spacing w:before="120" w:after="120" w:line="240" w:lineRule="auto"/>
        <w:rPr>
          <w:rFonts w:hint="eastAsia" w:ascii="宋体" w:hAnsi="宋体"/>
          <w:b/>
          <w:sz w:val="30"/>
          <w:szCs w:val="30"/>
          <w:highlight w:val="none"/>
        </w:rPr>
      </w:pPr>
      <w:bookmarkStart w:id="11" w:name="_Toc23841"/>
      <w:r>
        <w:rPr>
          <w:rFonts w:hint="eastAsia" w:ascii="宋体" w:hAnsi="宋体"/>
          <w:b/>
          <w:sz w:val="30"/>
          <w:szCs w:val="30"/>
          <w:highlight w:val="none"/>
        </w:rPr>
        <w:t>3.2本周成品油市场行情</w:t>
      </w:r>
      <w:bookmarkEnd w:id="11"/>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bookmarkStart w:id="12" w:name="_Toc17420"/>
      <w:r>
        <w:rPr>
          <w:rFonts w:hint="eastAsia" w:asciiTheme="minorEastAsia" w:hAnsiTheme="minorEastAsia" w:eastAsiaTheme="minorEastAsia" w:cstheme="minorEastAsia"/>
          <w:color w:val="333335"/>
          <w:kern w:val="2"/>
          <w:sz w:val="28"/>
          <w:szCs w:val="28"/>
          <w:shd w:val="clear" w:color="auto" w:fill="FFFFFF"/>
        </w:rPr>
        <w:t>本周，国际原油期货震荡上行，据测算第十个工作日参考原油变化率为5.57%。受此影响，国内成品油市场购销氛围清淡，各地主营单位汽柴油销售执行优惠政策。与此同时，山东地炼成品油行情弱势下行，部分炼厂报价承压走低，其成交保持100元/吨左右优惠。具体来看出货方面：周初，受原油反弹利好提振，区内油市看涨气氛渐起，中下游商家入市采购步伐加快，市场交投气氛活跃。临近周末，随着省内大面积降雨，多地高速封闭导致道路运输不畅，中间商多消化前期库存，仅少数周边用户按需采购，场内鲜有大单成交。因此近期地炼整体出货表现一般，周期内平均产销比在85%左右。</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本周(11月13日-11月19日)利好消息进一步加深 华中区内油价坚挺运行 具体分析如下，前期原油走势偏弱，加之地炼价格回调，成本面及消息面均缺乏有力支撑，部分单位积极赶量促销，价格适度回落。不过随着原油期价走势反弹，零售价上调预期提振市场，支撑主营报价逐步走高，尤其柴油因双十一电商活动余温尚存，物流景气度较高，加之基建行业积极赶工，柴油需求端表现稳好。故主营多以推涨柴油为主，汽油涨势相对偏弱。部分业者前期受买涨支撑，入市心态稍有好转，不过随着价格涨至高位，下游抵触心态滋生，市场购销再度转淡。后市来看，国际油价或保持震荡节奏，新一轮变化率仍有望正向开端，消息面或指引有限。预计下周随着主营月底任务逐渐完成，区内主营成品油挂牌或挺价意向较高，各单位或根据自身出货情况灵活调整销售政策，亦不乏偶有个别单位暗中加大优惠促销的可能。</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(11月13日-11月19日)，华东地区成品油价格均上涨，市场观望情绪有所缓解，整体成交略有改善。具体来看，周内国际油价震荡上行，消息面利好因素主导，原油变化率正向延伸。与此同时，山东地炼汽柴油均价呈现下跌走势，主营外采成本降低。受冬季降温以及本轮零售价上调影响，区内部分主营单位上调汽柴油价格，且优惠政策略微收窄，而汽柴油需求方面较为分化，受冬季影响，区内工矿、基建等大型项目多处于赶工期，柴油需求旺盛，反之，冬季民众出行半径缩短，汽油消耗一般，汽油需求平淡。目前下游商家多消库观望为主，入市补货按需，整体成交略有改善，但仍以清淡为主。后期来看，国际原油或保持震荡，消息面或利好因素支撑，故预计短期内华东地区成品油价格或守稳为主。</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本周(11月13日-11月19日)，上调预期作用市场， 华北区内汽柴稳中小推 本周国际油价走势震荡上涨，国内调价预期小幅拉宽，在上调预期支撑下区内主营推价心态渐起，其中河南主营推涨20-50元/吨，山东中石化柴油上涨50元/吨，其余主营报价持稳，下游追涨气氛不高，成交气氛淡稳。临近周末上调预期基本落实，部分主营单位报价继续推涨，其中河北石化推涨幅度较大重点出库为主，其余主营优惠幅度略有收窄，下游适度接货，但因库存普遍维持中高位大单实际操作稀少，另外山东地炼低价资源继续压制区内市场，终端成交气氛提升有限。后市而言，新一轮调价周期初始显示小涨趋势，本轮调价上调落实后，预计区内油价仍有一定的推涨空间，但下周进入月度下旬，主营单位追量任务依旧较重，不排除市场明稳暗跌现象的发生，主营销售政策将更加灵活。</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(11月12日-11月19日)，华南地区汽柴油市场整体延续上涨走势，成交面有所好转。具体来看，周内国际原油价格连续上涨，成品油上调预期不断拉宽，国内油市看涨心态升温，广东地区各主营销售公司纷纷推涨，目前中石化柴油价格已推涨至最高批发限价，汽油依旧处于稳步上涨趋势，受买涨心态影响，贸易商及终端企业购进操作增加，交投气氛好转，实际成交价格同步上涨，不过由于正处需求淡季，终端需求量有限，市场观望气氛仍存。福建地区汽柴油市场呈现震荡走高趋势，但主营销售公司反映，其出货情况依旧欠佳，购销气氛清淡。国际原油市场延续推涨，成品油上调窗口即将开启，而新一轮延续上涨预期，消息面继续利好市场，短期内市场价格将维持震荡上行走势。</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(11月13日-11月19日)，西南地区汽柴行情维持上行趋势，市场成交难有提升。分析来看：周内国际油价维持偏强震荡，变化率正向区间延伸，本周四成品油调价窗口如期开启，消息面利好对市场较有支撑，主营单位汽柴价格多有推涨，且优惠幅度亦收窄，整体行情上移。其中，柴油受赶工及“双十一”提振，下游需求较为旺盛，主营推价幅度较为明显;汽油需求一般，主营推价谨慎。下游补货陆续到位，且随着汽柴价格走高，业者操作心态趋于谨慎，消库之余零星补货为主，市场成交逐步转淡。就后市而言，零售价上调即将兑现，且新一轮计价周期，变化率或仍呈正向区间运行，消息面利好仍存，预计短线西南地区汽柴行情维持坚挺，部分单位价格或继续推涨。不过，业者前期多已备货到位，后期消库存为主，市场成交难有明显提升。</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(11月13日-11月19日)，西北地炼汽油行情走高，柴油行情趋于平稳，市场成交提升有限。分析来看：周内国际油价震荡走高，变化率正向区间延伸，本周四成品油零售价上调窗口如期开启，消息面对市场呈现利好指引。此外，延长集团汽油价格较长时间内保持稳定，随着原油走势转强，成交价格随之上推;不过，业者补货心态维持谨慎，入市补货有限，市场成交气氛平平;柴油方面，目前正值消费旺季，需求面较有支撑，不过，业者前期多已补货到位，市场成交亦无明显提升。就后市而言，零售价上调即将兑现，且后期国际原油期货或维持震荡小涨，新一轮变化率仍将维持正向区间运行，消息面利好仍有支撑，预计短线西北地炼汽柴行情维持坚挺。业者按需补货为主，市场成交波动不大。</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后市前瞻：国际原油期价保持震荡节奏，以WTI为例，主流运行区间在40-43(均值41.5)美元/桶之间，环比上涨0.33美元/桶或0.8%。在无明显利好因素出现刺激前，山东地区成品油行情大涨不易，建议中下游商家多采取快进快出营销策略，切记盲目大量囤货。综上所述，预计山东地炼汽柴油价格稳中小涨，幅度在50元/吨。</w:t>
      </w:r>
    </w:p>
    <w:p>
      <w:pPr>
        <w:pStyle w:val="3"/>
        <w:spacing w:before="120" w:after="120" w:line="240" w:lineRule="auto"/>
        <w:rPr>
          <w:rFonts w:ascii="宋体" w:hAnsi="宋体"/>
          <w:b/>
          <w:sz w:val="30"/>
          <w:szCs w:val="30"/>
        </w:rPr>
      </w:pPr>
      <w:bookmarkStart w:id="21" w:name="_GoBack"/>
      <w:bookmarkEnd w:id="21"/>
      <w:r>
        <w:rPr>
          <w:rFonts w:hint="eastAsia" w:ascii="宋体" w:hAnsi="宋体"/>
          <w:b/>
          <w:sz w:val="30"/>
          <w:szCs w:val="30"/>
        </w:rPr>
        <w:t>3.3 国内汽油价格周报</w:t>
      </w:r>
      <w:bookmarkEnd w:id="12"/>
    </w:p>
    <w:p>
      <w:pPr>
        <w:rPr>
          <w:rFonts w:hint="eastAsia"/>
        </w:rPr>
      </w:pPr>
      <w:r>
        <w:rPr>
          <w:rFonts w:hint="eastAsia"/>
        </w:rPr>
        <w:t>单位：元/吨</w:t>
      </w:r>
    </w:p>
    <w:p>
      <w:pPr>
        <w:rPr>
          <w:rFonts w:hint="eastAsia"/>
        </w:rPr>
      </w:pPr>
    </w:p>
    <w:tbl>
      <w:tblPr>
        <w:tblW w:w="9615" w:type="dxa"/>
        <w:tblInd w:w="0" w:type="dxa"/>
        <w:shd w:val="clear"/>
        <w:tblLayout w:type="autofit"/>
        <w:tblCellMar>
          <w:top w:w="0" w:type="dxa"/>
          <w:left w:w="0" w:type="dxa"/>
          <w:bottom w:w="0" w:type="dxa"/>
          <w:right w:w="0" w:type="dxa"/>
        </w:tblCellMar>
      </w:tblPr>
      <w:tblGrid>
        <w:gridCol w:w="825"/>
        <w:gridCol w:w="1080"/>
        <w:gridCol w:w="1005"/>
        <w:gridCol w:w="945"/>
        <w:gridCol w:w="1080"/>
        <w:gridCol w:w="1080"/>
        <w:gridCol w:w="1080"/>
        <w:gridCol w:w="1260"/>
        <w:gridCol w:w="1260"/>
      </w:tblGrid>
      <w:tr>
        <w:tblPrEx>
          <w:shd w:val="clear"/>
          <w:tblCellMar>
            <w:top w:w="0" w:type="dxa"/>
            <w:left w:w="0" w:type="dxa"/>
            <w:bottom w:w="0" w:type="dxa"/>
            <w:right w:w="0"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2020/11/19</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2020/11/12</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连云港市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枣庄市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任丘市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6190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6190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5580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5680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5880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吉林中油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吉林中油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5990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bl>
    <w:p>
      <w:pPr>
        <w:rPr>
          <w:rFonts w:hint="eastAsia"/>
        </w:rPr>
      </w:pPr>
    </w:p>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5370"/>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tbl>
      <w:tblPr>
        <w:tblW w:w="9675" w:type="dxa"/>
        <w:tblInd w:w="0" w:type="dxa"/>
        <w:shd w:val="clear"/>
        <w:tblLayout w:type="autofit"/>
        <w:tblCellMar>
          <w:top w:w="0" w:type="dxa"/>
          <w:left w:w="0" w:type="dxa"/>
          <w:bottom w:w="0" w:type="dxa"/>
          <w:right w:w="0" w:type="dxa"/>
        </w:tblCellMar>
      </w:tblPr>
      <w:tblGrid>
        <w:gridCol w:w="780"/>
        <w:gridCol w:w="1080"/>
        <w:gridCol w:w="1080"/>
        <w:gridCol w:w="945"/>
        <w:gridCol w:w="795"/>
        <w:gridCol w:w="1080"/>
        <w:gridCol w:w="885"/>
        <w:gridCol w:w="1515"/>
        <w:gridCol w:w="1515"/>
      </w:tblGrid>
      <w:tr>
        <w:tblPrEx>
          <w:shd w:val="clear"/>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2020/11/19</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2020/11/12</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连云港市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舟山市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5675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5575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5575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5575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5575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5575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4640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4940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吉林中油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bl>
    <w:p>
      <w:pPr>
        <w:rPr>
          <w:rFonts w:hint="eastAsia"/>
          <w:lang w:val="en-US" w:eastAsia="zh-CN"/>
        </w:rPr>
      </w:pPr>
    </w:p>
    <w:p>
      <w:pPr>
        <w:pStyle w:val="3"/>
        <w:spacing w:before="120" w:after="120" w:line="240" w:lineRule="auto"/>
        <w:rPr>
          <w:rFonts w:hint="eastAsia" w:ascii="宋体" w:hAnsi="宋体"/>
          <w:b/>
          <w:sz w:val="30"/>
          <w:szCs w:val="30"/>
          <w:lang w:val="en-US" w:eastAsia="zh-CN"/>
        </w:rPr>
      </w:pPr>
      <w:bookmarkStart w:id="14" w:name="_Toc10709"/>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p>
      <w:pPr>
        <w:rPr>
          <w:rFonts w:hint="eastAsia"/>
          <w:lang w:val="en-US" w:eastAsia="zh-CN"/>
        </w:rPr>
      </w:pPr>
    </w:p>
    <w:tbl>
      <w:tblPr>
        <w:tblW w:w="9705" w:type="dxa"/>
        <w:tblInd w:w="0" w:type="dxa"/>
        <w:shd w:val="clear"/>
        <w:tblLayout w:type="autofit"/>
        <w:tblCellMar>
          <w:top w:w="0" w:type="dxa"/>
          <w:left w:w="0" w:type="dxa"/>
          <w:bottom w:w="0" w:type="dxa"/>
          <w:right w:w="0" w:type="dxa"/>
        </w:tblCellMar>
      </w:tblPr>
      <w:tblGrid>
        <w:gridCol w:w="945"/>
        <w:gridCol w:w="1470"/>
        <w:gridCol w:w="1170"/>
        <w:gridCol w:w="1155"/>
        <w:gridCol w:w="1065"/>
        <w:gridCol w:w="1080"/>
        <w:gridCol w:w="1410"/>
        <w:gridCol w:w="1410"/>
      </w:tblGrid>
      <w:tr>
        <w:tblPrEx>
          <w:shd w:val="clear"/>
          <w:tblCellMar>
            <w:top w:w="0" w:type="dxa"/>
            <w:left w:w="0" w:type="dxa"/>
            <w:bottom w:w="0" w:type="dxa"/>
            <w:right w:w="0"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1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2020/11/19</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2020/11/12</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垦利石化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5195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5345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海科瑞林</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5266</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5322</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5349</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5458</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5517</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国四90#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国四93#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3.6 山东地炼柴油出厂价格周报</w:t>
      </w:r>
    </w:p>
    <w:p>
      <w:pPr>
        <w:rPr>
          <w:rFonts w:hint="eastAsia" w:ascii="宋体" w:hAnsi="宋体"/>
          <w:b/>
          <w:sz w:val="10"/>
          <w:szCs w:val="10"/>
          <w:lang w:val="en-US" w:eastAsia="zh-CN"/>
        </w:rPr>
      </w:pPr>
      <w:r>
        <w:rPr>
          <w:rFonts w:hint="eastAsia"/>
          <w:bCs/>
          <w:szCs w:val="21"/>
          <w:lang w:val="en-US" w:eastAsia="zh-CN"/>
        </w:rPr>
        <w:t>单位：元/吨</w:t>
      </w:r>
    </w:p>
    <w:tbl>
      <w:tblPr>
        <w:tblW w:w="9630" w:type="dxa"/>
        <w:tblInd w:w="0" w:type="dxa"/>
        <w:shd w:val="clear"/>
        <w:tblLayout w:type="autofit"/>
        <w:tblCellMar>
          <w:top w:w="0" w:type="dxa"/>
          <w:left w:w="0" w:type="dxa"/>
          <w:bottom w:w="0" w:type="dxa"/>
          <w:right w:w="0" w:type="dxa"/>
        </w:tblCellMar>
      </w:tblPr>
      <w:tblGrid>
        <w:gridCol w:w="675"/>
        <w:gridCol w:w="1875"/>
        <w:gridCol w:w="1080"/>
        <w:gridCol w:w="1080"/>
        <w:gridCol w:w="1080"/>
        <w:gridCol w:w="1080"/>
        <w:gridCol w:w="1380"/>
        <w:gridCol w:w="1380"/>
      </w:tblGrid>
      <w:tr>
        <w:tblPrEx>
          <w:shd w:val="clear"/>
          <w:tblCellMar>
            <w:top w:w="0" w:type="dxa"/>
            <w:left w:w="0" w:type="dxa"/>
            <w:bottom w:w="0" w:type="dxa"/>
            <w:right w:w="0"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2020/11/19</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2020/11/12</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4510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神驰化工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4560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4570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垦利石化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海科瑞林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4470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4530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永鑫化工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玉皇盛世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汇丰石化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4670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4720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常压</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4530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4560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胜华化工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亚通石化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化二炼厂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长城炼厂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鑫泰石化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晨曦化工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岚桥港口石化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4970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bl>
    <w:p>
      <w:pPr>
        <w:rPr>
          <w:rFonts w:hint="eastAsia"/>
          <w:lang w:val="en-US" w:eastAsia="zh-CN"/>
        </w:rPr>
      </w:pPr>
    </w:p>
    <w:p>
      <w:pPr>
        <w:pStyle w:val="3"/>
        <w:spacing w:before="120" w:after="120" w:line="240" w:lineRule="auto"/>
        <w:rPr>
          <w:rFonts w:hint="eastAsia" w:ascii="宋体" w:hAnsi="宋体"/>
          <w:b/>
          <w:sz w:val="30"/>
          <w:szCs w:val="30"/>
          <w:lang w:val="en-US" w:eastAsia="zh-CN"/>
        </w:rPr>
      </w:pPr>
      <w:bookmarkStart w:id="15" w:name="_Toc10784"/>
      <w:r>
        <w:rPr>
          <w:rFonts w:hint="eastAsia" w:ascii="宋体" w:hAnsi="宋体"/>
          <w:b/>
          <w:sz w:val="30"/>
          <w:szCs w:val="30"/>
          <w:lang w:val="en-US" w:eastAsia="zh-CN"/>
        </w:rPr>
        <w:t>四、2020年9月份进出口统计数据</w:t>
      </w:r>
      <w:bookmarkEnd w:id="15"/>
    </w:p>
    <w:p>
      <w:pPr>
        <w:rPr>
          <w:rFonts w:hint="eastAsia"/>
        </w:rPr>
      </w:pPr>
    </w:p>
    <w:p>
      <w:pPr>
        <w:pStyle w:val="3"/>
        <w:spacing w:before="120" w:after="120" w:line="240" w:lineRule="auto"/>
        <w:rPr>
          <w:rFonts w:hint="eastAsia" w:ascii="宋体" w:hAnsi="宋体"/>
          <w:b/>
          <w:sz w:val="30"/>
          <w:szCs w:val="30"/>
        </w:rPr>
      </w:pPr>
      <w:bookmarkStart w:id="16" w:name="_Toc27774"/>
      <w:r>
        <w:rPr>
          <w:rFonts w:hint="eastAsia" w:ascii="宋体" w:hAnsi="宋体"/>
          <w:b/>
          <w:sz w:val="30"/>
          <w:szCs w:val="30"/>
        </w:rPr>
        <w:t>4.1 20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9</w:t>
      </w:r>
      <w:r>
        <w:rPr>
          <w:rFonts w:hint="eastAsia" w:ascii="宋体" w:hAnsi="宋体"/>
          <w:b/>
          <w:sz w:val="30"/>
          <w:szCs w:val="30"/>
        </w:rPr>
        <w:t>份全国车用汽油和航空汽油进出口统计数据</w:t>
      </w:r>
      <w:bookmarkEnd w:id="16"/>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555" w:type="dxa"/>
        <w:tblInd w:w="0" w:type="dxa"/>
        <w:shd w:val="clear" w:color="auto" w:fill="auto"/>
        <w:tblLayout w:type="autofit"/>
        <w:tblCellMar>
          <w:top w:w="0" w:type="dxa"/>
          <w:left w:w="0" w:type="dxa"/>
          <w:bottom w:w="0" w:type="dxa"/>
          <w:right w:w="0" w:type="dxa"/>
        </w:tblCellMar>
      </w:tblPr>
      <w:tblGrid>
        <w:gridCol w:w="1965"/>
        <w:gridCol w:w="2070"/>
        <w:gridCol w:w="2760"/>
        <w:gridCol w:w="2760"/>
      </w:tblGrid>
      <w:tr>
        <w:tblPrEx>
          <w:shd w:val="clear" w:color="auto" w:fill="auto"/>
          <w:tblCellMar>
            <w:top w:w="0" w:type="dxa"/>
            <w:left w:w="0" w:type="dxa"/>
            <w:bottom w:w="0" w:type="dxa"/>
            <w:right w:w="0" w:type="dxa"/>
          </w:tblCellMar>
        </w:tblPrEx>
        <w:trPr>
          <w:trHeight w:val="540" w:hRule="atLeast"/>
        </w:trPr>
        <w:tc>
          <w:tcPr>
            <w:tcW w:w="1965"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ascii="Segoe UI" w:hAnsi="Segoe UI" w:eastAsia="Segoe UI" w:cs="Segoe UI"/>
                <w:b/>
                <w:bCs/>
                <w:i w:val="0"/>
                <w:color w:val="000000"/>
                <w:sz w:val="22"/>
                <w:szCs w:val="22"/>
                <w:u w:val="none"/>
              </w:rPr>
            </w:pPr>
            <w:r>
              <w:rPr>
                <w:rFonts w:hint="default" w:ascii="Segoe UI" w:hAnsi="Segoe UI" w:eastAsia="Segoe UI" w:cs="Segoe UI"/>
                <w:b/>
                <w:bCs/>
                <w:i w:val="0"/>
                <w:color w:val="000000"/>
                <w:kern w:val="0"/>
                <w:sz w:val="22"/>
                <w:szCs w:val="22"/>
                <w:u w:val="none"/>
                <w:lang w:val="en-US" w:eastAsia="zh-CN" w:bidi="ar"/>
              </w:rPr>
              <w:t>出口目的地</w:t>
            </w:r>
          </w:p>
        </w:tc>
        <w:tc>
          <w:tcPr>
            <w:tcW w:w="207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b/>
                <w:bCs/>
                <w:i w:val="0"/>
                <w:color w:val="000000"/>
                <w:sz w:val="22"/>
                <w:szCs w:val="22"/>
                <w:u w:val="none"/>
              </w:rPr>
            </w:pPr>
            <w:r>
              <w:rPr>
                <w:rFonts w:hint="default" w:ascii="Segoe UI" w:hAnsi="Segoe UI" w:eastAsia="Segoe UI" w:cs="Segoe UI"/>
                <w:b/>
                <w:bCs/>
                <w:i w:val="0"/>
                <w:color w:val="000000"/>
                <w:kern w:val="0"/>
                <w:sz w:val="22"/>
                <w:szCs w:val="22"/>
                <w:u w:val="none"/>
                <w:lang w:val="en-US" w:eastAsia="zh-CN" w:bidi="ar"/>
              </w:rPr>
              <w:t>数量（吨）</w:t>
            </w:r>
          </w:p>
        </w:tc>
        <w:tc>
          <w:tcPr>
            <w:tcW w:w="276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b/>
                <w:bCs/>
                <w:i w:val="0"/>
                <w:color w:val="000000"/>
                <w:sz w:val="22"/>
                <w:szCs w:val="22"/>
                <w:u w:val="none"/>
              </w:rPr>
            </w:pPr>
            <w:r>
              <w:rPr>
                <w:rFonts w:hint="default" w:ascii="Segoe UI" w:hAnsi="Segoe UI" w:eastAsia="Segoe UI" w:cs="Segoe UI"/>
                <w:b/>
                <w:bCs/>
                <w:i w:val="0"/>
                <w:color w:val="000000"/>
                <w:kern w:val="0"/>
                <w:sz w:val="22"/>
                <w:szCs w:val="22"/>
                <w:u w:val="none"/>
                <w:lang w:val="en-US" w:eastAsia="zh-CN" w:bidi="ar"/>
              </w:rPr>
              <w:t>出口金额（美元）</w:t>
            </w:r>
          </w:p>
        </w:tc>
        <w:tc>
          <w:tcPr>
            <w:tcW w:w="276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b/>
                <w:bCs/>
                <w:i w:val="0"/>
                <w:color w:val="000000"/>
                <w:sz w:val="22"/>
                <w:szCs w:val="22"/>
                <w:u w:val="none"/>
              </w:rPr>
            </w:pPr>
            <w:r>
              <w:rPr>
                <w:rFonts w:hint="default" w:ascii="Segoe UI" w:hAnsi="Segoe UI" w:eastAsia="Segoe UI" w:cs="Segoe UI"/>
                <w:b/>
                <w:bCs/>
                <w:i w:val="0"/>
                <w:color w:val="000000"/>
                <w:kern w:val="0"/>
                <w:sz w:val="22"/>
                <w:szCs w:val="22"/>
                <w:u w:val="none"/>
                <w:lang w:val="en-US" w:eastAsia="zh-CN" w:bidi="ar"/>
              </w:rPr>
              <w:t>出口均价（美元/吨）</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巴基斯坦</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107000</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38326450</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358.19</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菲律宾</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205480.8</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79011236</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384.52</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马来西亚</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100056.6</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38793849</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387.72</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蒙古</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4924.38</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2049005</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416.09</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缅甸</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6183.15</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2371622</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383.56</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墨西哥</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71100.49</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27201080</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382.57</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尼日利亚</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37000</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12417200</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335.6</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日本</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29487.86</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4279507</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145.13</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新加坡</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530001</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191074668</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360.52</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印度尼西亚</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68690.13</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25883116</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376.81</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中国澳门</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5619.836</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2048146</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364.45</w:t>
            </w:r>
          </w:p>
        </w:tc>
      </w:tr>
    </w:tbl>
    <w:p>
      <w:pPr>
        <w:rPr>
          <w:rFonts w:hint="eastAsia"/>
        </w:rPr>
      </w:pPr>
    </w:p>
    <w:p>
      <w:pPr>
        <w:rPr>
          <w:rFonts w:hint="eastAsia"/>
        </w:rPr>
      </w:pPr>
    </w:p>
    <w:p>
      <w:pPr>
        <w:rPr>
          <w:rFonts w:hint="eastAsia"/>
        </w:rPr>
      </w:pPr>
    </w:p>
    <w:p>
      <w:pPr>
        <w:pStyle w:val="3"/>
        <w:spacing w:before="120" w:after="120" w:line="240" w:lineRule="auto"/>
        <w:rPr>
          <w:rFonts w:hint="eastAsia" w:ascii="宋体" w:hAnsi="宋体"/>
          <w:b/>
          <w:sz w:val="30"/>
          <w:szCs w:val="30"/>
        </w:rPr>
      </w:pPr>
      <w:bookmarkStart w:id="17" w:name="_Toc20292"/>
      <w:r>
        <w:rPr>
          <w:rFonts w:hint="eastAsia" w:ascii="宋体" w:hAnsi="宋体"/>
          <w:b/>
          <w:sz w:val="30"/>
          <w:szCs w:val="30"/>
        </w:rPr>
        <w:t>4.2 201</w:t>
      </w:r>
      <w:r>
        <w:rPr>
          <w:rFonts w:hint="eastAsia" w:ascii="宋体" w:hAnsi="宋体"/>
          <w:b/>
          <w:sz w:val="30"/>
          <w:szCs w:val="30"/>
          <w:lang w:val="en-US" w:eastAsia="zh-CN"/>
        </w:rPr>
        <w:t>8</w:t>
      </w:r>
      <w:r>
        <w:rPr>
          <w:rFonts w:hint="eastAsia" w:ascii="宋体" w:hAnsi="宋体"/>
          <w:b/>
          <w:sz w:val="30"/>
          <w:szCs w:val="30"/>
        </w:rPr>
        <w:t>年1</w:t>
      </w:r>
      <w:r>
        <w:rPr>
          <w:rFonts w:hint="eastAsia" w:ascii="宋体" w:hAnsi="宋体"/>
          <w:b/>
          <w:sz w:val="30"/>
          <w:szCs w:val="30"/>
          <w:lang w:val="en-US" w:eastAsia="zh-CN"/>
        </w:rPr>
        <w:t>1</w:t>
      </w:r>
      <w:r>
        <w:rPr>
          <w:rFonts w:hint="eastAsia" w:ascii="宋体" w:hAnsi="宋体"/>
          <w:b/>
          <w:sz w:val="30"/>
          <w:szCs w:val="30"/>
        </w:rPr>
        <w:t>月份全国轻柴油进出口统计数据</w:t>
      </w:r>
      <w:bookmarkEnd w:id="17"/>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0"/>
        <w:gridCol w:w="1726"/>
        <w:gridCol w:w="1726"/>
        <w:gridCol w:w="188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shd w:val="clear" w:color="auto" w:fill="00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B0F0"/>
                <w:szCs w:val="21"/>
              </w:rPr>
            </w:pPr>
            <w:r>
              <w:rPr>
                <w:rFonts w:hint="eastAsia" w:asciiTheme="minorEastAsia" w:hAnsiTheme="minorEastAsia" w:eastAsiaTheme="minorEastAsia" w:cstheme="minorEastAsia"/>
                <w:b/>
                <w:i w:val="0"/>
                <w:color w:val="191919"/>
                <w:kern w:val="0"/>
                <w:sz w:val="21"/>
                <w:szCs w:val="21"/>
                <w:u w:val="none"/>
                <w:lang w:val="en-US" w:eastAsia="zh-CN" w:bidi="ar"/>
              </w:rPr>
              <w:t>产销国</w:t>
            </w:r>
          </w:p>
        </w:tc>
        <w:tc>
          <w:tcPr>
            <w:tcW w:w="1726" w:type="dxa"/>
            <w:shd w:val="clear" w:color="auto" w:fill="00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i w:val="0"/>
                <w:color w:val="191919"/>
                <w:kern w:val="0"/>
                <w:sz w:val="21"/>
                <w:szCs w:val="21"/>
                <w:u w:val="none"/>
                <w:lang w:val="en-US" w:eastAsia="zh-CN" w:bidi="ar"/>
              </w:rPr>
              <w:t>进口数量</w:t>
            </w:r>
          </w:p>
        </w:tc>
        <w:tc>
          <w:tcPr>
            <w:tcW w:w="1726" w:type="dxa"/>
            <w:shd w:val="clear" w:color="auto" w:fill="00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i w:val="0"/>
                <w:color w:val="191919"/>
                <w:kern w:val="0"/>
                <w:sz w:val="21"/>
                <w:szCs w:val="21"/>
                <w:u w:val="none"/>
                <w:lang w:val="en-US" w:eastAsia="zh-CN" w:bidi="ar"/>
              </w:rPr>
              <w:t>进口美元</w:t>
            </w:r>
          </w:p>
        </w:tc>
        <w:tc>
          <w:tcPr>
            <w:tcW w:w="1882" w:type="dxa"/>
            <w:shd w:val="clear" w:color="auto" w:fill="00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i w:val="0"/>
                <w:color w:val="191919"/>
                <w:kern w:val="0"/>
                <w:sz w:val="21"/>
                <w:szCs w:val="21"/>
                <w:u w:val="none"/>
                <w:lang w:val="en-US" w:eastAsia="zh-CN" w:bidi="ar"/>
              </w:rPr>
              <w:t>出口数量</w:t>
            </w:r>
          </w:p>
        </w:tc>
        <w:tc>
          <w:tcPr>
            <w:tcW w:w="1688" w:type="dxa"/>
            <w:shd w:val="clear" w:color="auto" w:fill="00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i w:val="0"/>
                <w:color w:val="191919"/>
                <w:kern w:val="0"/>
                <w:sz w:val="21"/>
                <w:szCs w:val="21"/>
                <w:u w:val="none"/>
                <w:lang w:val="en-US" w:eastAsia="zh-CN" w:bidi="ar"/>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孟加拉国</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105125.293</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69892814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缅甸</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18170.052</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12976857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塞浦路斯</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966.84</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759340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香港</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262963.309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179445201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印度尼西亚</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99.5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64576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日本</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397.4</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327750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老挝</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63.913</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47224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澳门</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6847.894</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4588089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马来西亚</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3995.198</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2556927</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94.515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77748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巴基斯坦</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74.2</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61438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菲律宾</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175973.373</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119332061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新加坡</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499.536</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399629</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270770.818</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188315354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韩国</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49882.569</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34382246</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173054.409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117620635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泰国</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82.765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72922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土耳其</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32.8</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27060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越南</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41937</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28282001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台澎金马关税区</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188.9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156577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利比里亚</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4541.022</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3624752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多哥</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比利时</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139.8</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125261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丹麦</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509.5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423410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英国</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981.955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787173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意大利</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180</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130290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荷兰</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40755.789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26653192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希腊</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384.8</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313417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葡萄牙</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224.073</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156493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直布罗陀</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114.5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82350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马耳他</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1318.39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1072844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挪威</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216.847</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165273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摩尔多瓦</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367.5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294000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俄罗斯联邦</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90</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72475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克罗地亚</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20</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安提瓜和巴布达</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263.103</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206211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巴哈马</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506.059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397552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伯利兹</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20</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多米尼克</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170</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136400</w:t>
            </w:r>
          </w:p>
        </w:tc>
      </w:tr>
    </w:tbl>
    <w:p>
      <w:pPr>
        <w:pStyle w:val="3"/>
        <w:spacing w:before="120" w:after="120" w:line="240" w:lineRule="auto"/>
        <w:rPr>
          <w:rFonts w:hint="eastAsia" w:ascii="宋体" w:hAnsi="宋体"/>
          <w:b/>
          <w:sz w:val="30"/>
          <w:szCs w:val="30"/>
        </w:rPr>
      </w:pPr>
      <w:bookmarkStart w:id="18" w:name="_Toc533771879"/>
    </w:p>
    <w:p>
      <w:pPr>
        <w:pStyle w:val="3"/>
        <w:spacing w:before="120" w:after="120" w:line="240" w:lineRule="auto"/>
        <w:rPr>
          <w:rFonts w:hint="eastAsia" w:ascii="宋体" w:hAnsi="宋体"/>
          <w:b/>
          <w:sz w:val="30"/>
          <w:szCs w:val="30"/>
        </w:rPr>
      </w:pPr>
    </w:p>
    <w:p>
      <w:pPr>
        <w:pStyle w:val="3"/>
        <w:spacing w:before="120" w:after="120" w:line="240" w:lineRule="auto"/>
        <w:rPr>
          <w:rFonts w:hint="eastAsia" w:ascii="宋体" w:hAnsi="宋体"/>
          <w:b/>
          <w:sz w:val="30"/>
          <w:szCs w:val="30"/>
        </w:rPr>
      </w:pPr>
      <w:bookmarkStart w:id="19" w:name="_Toc31298"/>
      <w:bookmarkStart w:id="20" w:name="_Toc19589"/>
      <w:r>
        <w:rPr>
          <w:rFonts w:hint="eastAsia" w:ascii="宋体" w:hAnsi="宋体"/>
          <w:b/>
          <w:sz w:val="30"/>
          <w:szCs w:val="30"/>
        </w:rPr>
        <w:t>4.3 20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9</w:t>
      </w:r>
      <w:r>
        <w:rPr>
          <w:rFonts w:hint="eastAsia" w:ascii="宋体" w:hAnsi="宋体"/>
          <w:b/>
          <w:sz w:val="30"/>
          <w:szCs w:val="30"/>
        </w:rPr>
        <w:t>月份全国原油进出口统计数据</w:t>
      </w:r>
      <w:bookmarkEnd w:id="19"/>
    </w:p>
    <w:p>
      <w:pPr>
        <w:rPr>
          <w:rFonts w:hint="eastAsia"/>
          <w:bCs/>
          <w:szCs w:val="21"/>
        </w:rPr>
      </w:pP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bCs/>
          <w:szCs w:val="21"/>
        </w:rPr>
      </w:pPr>
    </w:p>
    <w:tbl>
      <w:tblPr>
        <w:tblStyle w:val="24"/>
        <w:tblW w:w="5298" w:type="pct"/>
        <w:tblInd w:w="0" w:type="dxa"/>
        <w:tblLayout w:type="fixed"/>
        <w:tblCellMar>
          <w:top w:w="0" w:type="dxa"/>
          <w:left w:w="108" w:type="dxa"/>
          <w:bottom w:w="0" w:type="dxa"/>
          <w:right w:w="108" w:type="dxa"/>
        </w:tblCellMar>
      </w:tblPr>
      <w:tblGrid>
        <w:gridCol w:w="452"/>
        <w:gridCol w:w="989"/>
        <w:gridCol w:w="780"/>
        <w:gridCol w:w="1491"/>
        <w:gridCol w:w="1530"/>
        <w:gridCol w:w="2025"/>
        <w:gridCol w:w="1485"/>
        <w:gridCol w:w="1690"/>
      </w:tblGrid>
      <w:tr>
        <w:tblPrEx>
          <w:tblCellMar>
            <w:top w:w="0" w:type="dxa"/>
            <w:left w:w="108" w:type="dxa"/>
            <w:bottom w:w="0" w:type="dxa"/>
            <w:right w:w="108" w:type="dxa"/>
          </w:tblCellMar>
        </w:tblPrEx>
        <w:trPr>
          <w:trHeight w:val="1230" w:hRule="atLeast"/>
        </w:trPr>
        <w:tc>
          <w:tcPr>
            <w:tcW w:w="216" w:type="pct"/>
            <w:tcBorders>
              <w:top w:val="single" w:color="333333" w:sz="8" w:space="0"/>
              <w:left w:val="nil"/>
              <w:bottom w:val="single" w:color="333333" w:sz="8" w:space="0"/>
              <w:right w:val="single" w:color="333333" w:sz="8" w:space="0"/>
            </w:tcBorders>
            <w:shd w:val="clear" w:color="000000" w:fill="00B0F0"/>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1"/>
                <w:szCs w:val="21"/>
              </w:rPr>
              <w:t>产品</w:t>
            </w:r>
          </w:p>
        </w:tc>
        <w:tc>
          <w:tcPr>
            <w:tcW w:w="473" w:type="pct"/>
            <w:tcBorders>
              <w:top w:val="single" w:color="333333" w:sz="8" w:space="0"/>
              <w:left w:val="nil"/>
              <w:bottom w:val="single" w:color="333333" w:sz="8" w:space="0"/>
              <w:right w:val="single" w:color="333333" w:sz="8" w:space="0"/>
            </w:tcBorders>
            <w:shd w:val="clear" w:color="000000" w:fill="00B0F0"/>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1"/>
                <w:szCs w:val="21"/>
              </w:rPr>
              <w:t>年度</w:t>
            </w:r>
          </w:p>
        </w:tc>
        <w:tc>
          <w:tcPr>
            <w:tcW w:w="373" w:type="pct"/>
            <w:tcBorders>
              <w:top w:val="single" w:color="333333" w:sz="8" w:space="0"/>
              <w:left w:val="nil"/>
              <w:bottom w:val="single" w:color="333333" w:sz="8" w:space="0"/>
              <w:right w:val="single" w:color="333333" w:sz="8" w:space="0"/>
            </w:tcBorders>
            <w:shd w:val="clear" w:color="000000" w:fill="00B0F0"/>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1"/>
                <w:szCs w:val="21"/>
              </w:rPr>
              <w:t>月份</w:t>
            </w:r>
          </w:p>
        </w:tc>
        <w:tc>
          <w:tcPr>
            <w:tcW w:w="713" w:type="pct"/>
            <w:tcBorders>
              <w:top w:val="single" w:color="333333" w:sz="8" w:space="0"/>
              <w:left w:val="nil"/>
              <w:bottom w:val="single" w:color="333333" w:sz="8" w:space="0"/>
              <w:right w:val="single" w:color="333333" w:sz="8" w:space="0"/>
            </w:tcBorders>
            <w:shd w:val="clear" w:color="000000" w:fill="00B0F0"/>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4"/>
                <w:szCs w:val="24"/>
              </w:rPr>
              <w:t>产销国</w:t>
            </w:r>
          </w:p>
        </w:tc>
        <w:tc>
          <w:tcPr>
            <w:tcW w:w="732" w:type="pct"/>
            <w:tcBorders>
              <w:top w:val="single" w:color="333333" w:sz="8" w:space="0"/>
              <w:left w:val="nil"/>
              <w:bottom w:val="single" w:color="333333" w:sz="8" w:space="0"/>
              <w:right w:val="single" w:color="333333" w:sz="8" w:space="0"/>
            </w:tcBorders>
            <w:shd w:val="clear" w:color="000000" w:fill="00B0F0"/>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1"/>
                <w:szCs w:val="21"/>
              </w:rPr>
              <w:t>进口数量/吨</w:t>
            </w:r>
          </w:p>
        </w:tc>
        <w:tc>
          <w:tcPr>
            <w:tcW w:w="969" w:type="pct"/>
            <w:tcBorders>
              <w:top w:val="single" w:color="333333" w:sz="8" w:space="0"/>
              <w:left w:val="nil"/>
              <w:bottom w:val="single" w:color="333333" w:sz="8" w:space="0"/>
              <w:right w:val="single" w:color="333333" w:sz="8" w:space="0"/>
            </w:tcBorders>
            <w:shd w:val="clear" w:color="000000" w:fill="00B0F0"/>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1"/>
                <w:szCs w:val="21"/>
              </w:rPr>
              <w:t>进口金额/美元</w:t>
            </w:r>
          </w:p>
        </w:tc>
        <w:tc>
          <w:tcPr>
            <w:tcW w:w="711" w:type="pct"/>
            <w:tcBorders>
              <w:top w:val="single" w:color="333333" w:sz="8" w:space="0"/>
              <w:left w:val="nil"/>
              <w:bottom w:val="single" w:color="333333" w:sz="8" w:space="0"/>
              <w:right w:val="single" w:color="333333" w:sz="8" w:space="0"/>
            </w:tcBorders>
            <w:shd w:val="clear" w:color="000000" w:fill="00B0F0"/>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1"/>
                <w:szCs w:val="21"/>
              </w:rPr>
              <w:t>出口数量/吨</w:t>
            </w:r>
          </w:p>
        </w:tc>
        <w:tc>
          <w:tcPr>
            <w:tcW w:w="809" w:type="pct"/>
            <w:tcBorders>
              <w:top w:val="single" w:color="333333" w:sz="8" w:space="0"/>
              <w:left w:val="nil"/>
              <w:bottom w:val="single" w:color="333333" w:sz="8" w:space="0"/>
              <w:right w:val="single" w:color="333333" w:sz="8" w:space="0"/>
            </w:tcBorders>
            <w:shd w:val="clear" w:color="000000" w:fill="00B0F0"/>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1"/>
                <w:szCs w:val="21"/>
              </w:rPr>
              <w:t>出口金额/美元</w:t>
            </w:r>
          </w:p>
        </w:tc>
      </w:tr>
      <w:tr>
        <w:tblPrEx>
          <w:tblCellMar>
            <w:top w:w="0" w:type="dxa"/>
            <w:left w:w="108" w:type="dxa"/>
            <w:bottom w:w="0" w:type="dxa"/>
            <w:right w:w="108" w:type="dxa"/>
          </w:tblCellMar>
        </w:tblPrEx>
        <w:trPr>
          <w:trHeight w:val="485" w:hRule="atLeast"/>
        </w:trPr>
        <w:tc>
          <w:tcPr>
            <w:tcW w:w="216" w:type="pct"/>
            <w:vMerge w:val="restart"/>
            <w:tcBorders>
              <w:top w:val="nil"/>
              <w:left w:val="single" w:color="333333" w:sz="8" w:space="0"/>
              <w:bottom w:val="nil"/>
              <w:right w:val="single" w:color="333333" w:sz="8" w:space="0"/>
            </w:tcBorders>
            <w:shd w:val="clear" w:color="auto" w:fill="auto"/>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1"/>
                <w:szCs w:val="21"/>
              </w:rPr>
              <w:t>石油原油(包括从沥青矿物提取的原油)</w:t>
            </w:r>
          </w:p>
        </w:tc>
        <w:tc>
          <w:tcPr>
            <w:tcW w:w="4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阿联酋</w:t>
            </w:r>
          </w:p>
        </w:tc>
        <w:tc>
          <w:tcPr>
            <w:tcW w:w="7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3490125.04</w:t>
            </w:r>
          </w:p>
        </w:tc>
        <w:tc>
          <w:tcPr>
            <w:tcW w:w="96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1101288882.00</w:t>
            </w:r>
          </w:p>
        </w:tc>
        <w:tc>
          <w:tcPr>
            <w:tcW w:w="7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0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1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阿曼</w:t>
            </w:r>
          </w:p>
        </w:tc>
        <w:tc>
          <w:tcPr>
            <w:tcW w:w="7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3645857.68</w:t>
            </w:r>
          </w:p>
        </w:tc>
        <w:tc>
          <w:tcPr>
            <w:tcW w:w="96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1215753839.00</w:t>
            </w:r>
          </w:p>
        </w:tc>
        <w:tc>
          <w:tcPr>
            <w:tcW w:w="7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0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38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阿塞拜疆</w:t>
            </w:r>
          </w:p>
        </w:tc>
        <w:tc>
          <w:tcPr>
            <w:tcW w:w="7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275539.32</w:t>
            </w:r>
          </w:p>
        </w:tc>
        <w:tc>
          <w:tcPr>
            <w:tcW w:w="96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103384138.00</w:t>
            </w:r>
          </w:p>
        </w:tc>
        <w:tc>
          <w:tcPr>
            <w:tcW w:w="7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0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33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安哥拉</w:t>
            </w:r>
          </w:p>
        </w:tc>
        <w:tc>
          <w:tcPr>
            <w:tcW w:w="7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3347155.38</w:t>
            </w:r>
          </w:p>
        </w:tc>
        <w:tc>
          <w:tcPr>
            <w:tcW w:w="96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1096450734.00</w:t>
            </w:r>
          </w:p>
        </w:tc>
        <w:tc>
          <w:tcPr>
            <w:tcW w:w="7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0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33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巴西</w:t>
            </w:r>
          </w:p>
        </w:tc>
        <w:tc>
          <w:tcPr>
            <w:tcW w:w="7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4494925.54</w:t>
            </w:r>
          </w:p>
        </w:tc>
        <w:tc>
          <w:tcPr>
            <w:tcW w:w="96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1437832292.00</w:t>
            </w:r>
          </w:p>
        </w:tc>
        <w:tc>
          <w:tcPr>
            <w:tcW w:w="7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0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329"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赤道几内亚</w:t>
            </w:r>
          </w:p>
        </w:tc>
        <w:tc>
          <w:tcPr>
            <w:tcW w:w="7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137928.67</w:t>
            </w:r>
          </w:p>
        </w:tc>
        <w:tc>
          <w:tcPr>
            <w:tcW w:w="96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53229022.00</w:t>
            </w:r>
          </w:p>
        </w:tc>
        <w:tc>
          <w:tcPr>
            <w:tcW w:w="7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0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30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俄罗斯联邦</w:t>
            </w:r>
          </w:p>
        </w:tc>
        <w:tc>
          <w:tcPr>
            <w:tcW w:w="7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7478331.11</w:t>
            </w:r>
          </w:p>
        </w:tc>
        <w:tc>
          <w:tcPr>
            <w:tcW w:w="96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2414208600.00</w:t>
            </w:r>
          </w:p>
        </w:tc>
        <w:tc>
          <w:tcPr>
            <w:tcW w:w="7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0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38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厄瓜多尔</w:t>
            </w:r>
          </w:p>
        </w:tc>
        <w:tc>
          <w:tcPr>
            <w:tcW w:w="7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401131.98</w:t>
            </w:r>
          </w:p>
        </w:tc>
        <w:tc>
          <w:tcPr>
            <w:tcW w:w="96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123972980.00</w:t>
            </w:r>
          </w:p>
        </w:tc>
        <w:tc>
          <w:tcPr>
            <w:tcW w:w="7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0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36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刚果(布)</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643117.92</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220792245.00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6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哥伦比亚</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983959.23</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289918815.00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4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圭亚那</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131475.87</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44051884.00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6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哈萨克斯坦</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16286.69</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4727484.00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29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韩国</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129956.08</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46063866.00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96389.44</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26004847.00</w:t>
            </w:r>
          </w:p>
        </w:tc>
      </w:tr>
      <w:tr>
        <w:tblPrEx>
          <w:tblCellMar>
            <w:top w:w="0" w:type="dxa"/>
            <w:left w:w="108" w:type="dxa"/>
            <w:bottom w:w="0" w:type="dxa"/>
            <w:right w:w="108" w:type="dxa"/>
          </w:tblCellMar>
        </w:tblPrEx>
        <w:trPr>
          <w:trHeight w:val="33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加拿大</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297250.52</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61055948.00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8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加纳</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258219.50</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89304513.00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8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加蓬</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608468.49</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202319027.00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5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喀麦隆</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267269.83</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86174262.00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5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卡塔尔</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1305815.77</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454206428.00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0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科威特</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1807302.00</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595666871.00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3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马来西亚</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441526.81</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150735546.00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26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美国</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3897357.30</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1349931395.00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95485.18</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17743024.00</w:t>
            </w:r>
          </w:p>
        </w:tc>
      </w:tr>
      <w:tr>
        <w:tblPrEx>
          <w:tblCellMar>
            <w:top w:w="0" w:type="dxa"/>
            <w:left w:w="108" w:type="dxa"/>
            <w:bottom w:w="0" w:type="dxa"/>
            <w:right w:w="108" w:type="dxa"/>
          </w:tblCellMar>
        </w:tblPrEx>
        <w:trPr>
          <w:trHeight w:val="29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蒙古</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75492.62</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17382864.00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5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南苏丹共和国</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333948.20</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115786264.00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5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尼日利亚</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316481.14</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95093821.00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8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挪威</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806188.04</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230623480.00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8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沙特阿拉伯</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7784322.93</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2633840412.00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5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伊拉克</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3653974.55</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1202928668.00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404"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伊朗</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678132.75</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224625079.00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45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印度尼西亚</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142819.39</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48657022.00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42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越南</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361242.82</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137363915.00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8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乍得</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270039.30</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85753769.00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29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缅甸</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130095.74</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38664142.00</w:t>
            </w:r>
          </w:p>
        </w:tc>
      </w:tr>
      <w:tr>
        <w:tblPrEx>
          <w:tblCellMar>
            <w:top w:w="0" w:type="dxa"/>
            <w:left w:w="108" w:type="dxa"/>
            <w:bottom w:w="0" w:type="dxa"/>
            <w:right w:w="108" w:type="dxa"/>
          </w:tblCellMar>
        </w:tblPrEx>
        <w:trPr>
          <w:trHeight w:val="405" w:hRule="atLeast"/>
        </w:trPr>
        <w:tc>
          <w:tcPr>
            <w:tcW w:w="1777" w:type="pct"/>
            <w:gridSpan w:val="4"/>
            <w:tcBorders>
              <w:top w:val="single" w:color="333333" w:sz="8" w:space="0"/>
              <w:left w:val="nil"/>
              <w:bottom w:val="single" w:color="333333" w:sz="8" w:space="0"/>
              <w:right w:val="single" w:color="333333" w:sz="8" w:space="0"/>
            </w:tcBorders>
            <w:shd w:val="clear" w:color="auto" w:fill="00B0F0"/>
            <w:noWrap w:val="0"/>
            <w:vAlign w:val="bottom"/>
          </w:tcPr>
          <w:p>
            <w:pPr>
              <w:widowControl/>
              <w:jc w:val="center"/>
              <w:rPr>
                <w:rFonts w:hint="eastAsia" w:asciiTheme="minorEastAsia" w:hAnsiTheme="minorEastAsia" w:eastAsiaTheme="minorEastAsia" w:cstheme="minorEastAsia"/>
                <w:b/>
                <w:bCs/>
                <w:color w:val="333333"/>
                <w:kern w:val="0"/>
                <w:sz w:val="21"/>
                <w:szCs w:val="21"/>
              </w:rPr>
            </w:pPr>
            <w:r>
              <w:rPr>
                <w:rFonts w:hint="eastAsia" w:asciiTheme="minorEastAsia" w:hAnsiTheme="minorEastAsia" w:eastAsiaTheme="minorEastAsia" w:cstheme="minorEastAsia"/>
                <w:b/>
                <w:bCs/>
                <w:color w:val="333333"/>
                <w:kern w:val="0"/>
                <w:sz w:val="21"/>
                <w:szCs w:val="21"/>
              </w:rPr>
              <w:t>2020年9月合计</w:t>
            </w:r>
          </w:p>
        </w:tc>
        <w:tc>
          <w:tcPr>
            <w:tcW w:w="732" w:type="pct"/>
            <w:tcBorders>
              <w:top w:val="nil"/>
              <w:left w:val="nil"/>
              <w:bottom w:val="single" w:color="333333" w:sz="8" w:space="0"/>
              <w:right w:val="single" w:color="333333" w:sz="8" w:space="0"/>
            </w:tcBorders>
            <w:shd w:val="clear" w:color="auto" w:fill="00B0F0"/>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48481642.44</w:t>
            </w:r>
          </w:p>
        </w:tc>
        <w:tc>
          <w:tcPr>
            <w:tcW w:w="969" w:type="pct"/>
            <w:tcBorders>
              <w:top w:val="nil"/>
              <w:left w:val="nil"/>
              <w:bottom w:val="single" w:color="333333" w:sz="8" w:space="0"/>
              <w:right w:val="single" w:color="333333" w:sz="8" w:space="0"/>
            </w:tcBorders>
            <w:shd w:val="clear" w:color="auto" w:fill="00B0F0"/>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15933124065.00</w:t>
            </w:r>
          </w:p>
        </w:tc>
        <w:tc>
          <w:tcPr>
            <w:tcW w:w="711" w:type="pct"/>
            <w:tcBorders>
              <w:top w:val="nil"/>
              <w:left w:val="nil"/>
              <w:bottom w:val="single" w:color="333333" w:sz="8" w:space="0"/>
              <w:right w:val="single" w:color="333333" w:sz="8" w:space="0"/>
            </w:tcBorders>
            <w:shd w:val="clear" w:color="auto" w:fill="00B0F0"/>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321970.35</w:t>
            </w:r>
          </w:p>
        </w:tc>
        <w:tc>
          <w:tcPr>
            <w:tcW w:w="809" w:type="pct"/>
            <w:tcBorders>
              <w:top w:val="nil"/>
              <w:left w:val="nil"/>
              <w:bottom w:val="single" w:color="333333" w:sz="8" w:space="0"/>
              <w:right w:val="single" w:color="333333" w:sz="8" w:space="0"/>
            </w:tcBorders>
            <w:shd w:val="clear" w:color="auto" w:fill="00B0F0"/>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82412013.00</w:t>
            </w:r>
          </w:p>
        </w:tc>
      </w:tr>
    </w:tbl>
    <w:p>
      <w:pPr>
        <w:jc w:val="center"/>
        <w:rPr>
          <w:rFonts w:hint="eastAsia"/>
          <w:bCs/>
          <w:szCs w:val="21"/>
        </w:rPr>
      </w:pPr>
    </w:p>
    <w:p>
      <w:pPr>
        <w:pStyle w:val="3"/>
        <w:spacing w:before="120" w:after="120" w:line="240" w:lineRule="auto"/>
        <w:rPr>
          <w:rFonts w:hint="eastAsia" w:ascii="宋体" w:hAnsi="宋体"/>
          <w:b/>
          <w:sz w:val="30"/>
          <w:szCs w:val="30"/>
        </w:rPr>
      </w:pPr>
      <w:r>
        <w:rPr>
          <w:rFonts w:hint="eastAsia" w:ascii="宋体" w:hAnsi="宋体"/>
          <w:b/>
          <w:sz w:val="30"/>
          <w:szCs w:val="30"/>
        </w:rPr>
        <w:t>4.4 20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9</w:t>
      </w:r>
      <w:r>
        <w:rPr>
          <w:rFonts w:hint="eastAsia" w:ascii="宋体" w:hAnsi="宋体"/>
          <w:b/>
          <w:sz w:val="30"/>
          <w:szCs w:val="30"/>
        </w:rPr>
        <w:t>月份全国航空煤油进出口统计数据</w:t>
      </w:r>
      <w:bookmarkEnd w:id="20"/>
    </w:p>
    <w:p>
      <w:pPr>
        <w:ind w:firstLine="420" w:firstLineChars="200"/>
        <w:jc w:val="left"/>
        <w:rPr>
          <w:rFonts w:hint="eastAsia" w:ascii="宋体" w:hAnsi="宋体"/>
          <w:b/>
          <w:sz w:val="30"/>
          <w:szCs w:val="30"/>
        </w:rPr>
      </w:pPr>
      <w:r>
        <w:rPr>
          <w:rFonts w:hint="eastAsia" w:ascii="宋体" w:hAnsi="宋体"/>
        </w:rPr>
        <w:t>单位：</w:t>
      </w:r>
      <w:r>
        <w:rPr>
          <w:rFonts w:hint="eastAsia" w:ascii="宋体" w:hAnsi="宋体"/>
          <w:lang w:eastAsia="zh-CN"/>
        </w:rPr>
        <w:t>吨</w:t>
      </w:r>
      <w:r>
        <w:rPr>
          <w:rFonts w:hint="eastAsia" w:ascii="宋体" w:hAnsi="宋体"/>
        </w:rPr>
        <w:t>，美元</w:t>
      </w:r>
    </w:p>
    <w:bookmarkEnd w:id="18"/>
    <w:tbl>
      <w:tblPr>
        <w:tblStyle w:val="24"/>
        <w:tblW w:w="10054" w:type="dxa"/>
        <w:tblInd w:w="0" w:type="dxa"/>
        <w:shd w:val="clear" w:color="auto" w:fill="auto"/>
        <w:tblLayout w:type="autofit"/>
        <w:tblCellMar>
          <w:top w:w="0" w:type="dxa"/>
          <w:left w:w="0" w:type="dxa"/>
          <w:bottom w:w="0" w:type="dxa"/>
          <w:right w:w="0" w:type="dxa"/>
        </w:tblCellMar>
      </w:tblPr>
      <w:tblGrid>
        <w:gridCol w:w="1594"/>
        <w:gridCol w:w="1920"/>
        <w:gridCol w:w="1755"/>
        <w:gridCol w:w="2340"/>
        <w:gridCol w:w="2445"/>
      </w:tblGrid>
      <w:tr>
        <w:tblPrEx>
          <w:shd w:val="clear" w:color="auto" w:fill="auto"/>
          <w:tblCellMar>
            <w:top w:w="0" w:type="dxa"/>
            <w:left w:w="0" w:type="dxa"/>
            <w:bottom w:w="0" w:type="dxa"/>
            <w:right w:w="0" w:type="dxa"/>
          </w:tblCellMar>
        </w:tblPrEx>
        <w:trPr>
          <w:trHeight w:val="535" w:hRule="atLeast"/>
        </w:trPr>
        <w:tc>
          <w:tcPr>
            <w:tcW w:w="1594"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sz w:val="20"/>
                <w:szCs w:val="20"/>
                <w:u w:val="none"/>
              </w:rPr>
            </w:pPr>
            <w:r>
              <w:rPr>
                <w:rFonts w:hint="eastAsia" w:asciiTheme="minorEastAsia" w:hAnsiTheme="minorEastAsia" w:eastAsiaTheme="minorEastAsia" w:cstheme="minorEastAsia"/>
                <w:b/>
                <w:i w:val="0"/>
                <w:color w:val="191919"/>
                <w:kern w:val="0"/>
                <w:sz w:val="20"/>
                <w:szCs w:val="20"/>
                <w:u w:val="none"/>
                <w:lang w:val="en-US" w:eastAsia="zh-CN" w:bidi="ar"/>
              </w:rPr>
              <w:t>国家</w:t>
            </w:r>
          </w:p>
        </w:tc>
        <w:tc>
          <w:tcPr>
            <w:tcW w:w="1920"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sz w:val="20"/>
                <w:szCs w:val="20"/>
                <w:u w:val="none"/>
              </w:rPr>
            </w:pPr>
            <w:r>
              <w:rPr>
                <w:rFonts w:hint="eastAsia" w:asciiTheme="minorEastAsia" w:hAnsiTheme="minorEastAsia" w:eastAsiaTheme="minorEastAsia" w:cstheme="minorEastAsia"/>
                <w:b/>
                <w:i w:val="0"/>
                <w:color w:val="191919"/>
                <w:kern w:val="0"/>
                <w:sz w:val="20"/>
                <w:szCs w:val="20"/>
                <w:u w:val="none"/>
                <w:lang w:val="en-US" w:eastAsia="zh-CN" w:bidi="ar"/>
              </w:rPr>
              <w:t>进口数量/吨</w:t>
            </w:r>
          </w:p>
        </w:tc>
        <w:tc>
          <w:tcPr>
            <w:tcW w:w="1755"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sz w:val="20"/>
                <w:szCs w:val="20"/>
                <w:u w:val="none"/>
              </w:rPr>
            </w:pPr>
            <w:r>
              <w:rPr>
                <w:rFonts w:hint="eastAsia" w:asciiTheme="minorEastAsia" w:hAnsiTheme="minorEastAsia" w:eastAsiaTheme="minorEastAsia" w:cstheme="minorEastAsia"/>
                <w:b/>
                <w:i w:val="0"/>
                <w:color w:val="191919"/>
                <w:kern w:val="0"/>
                <w:sz w:val="20"/>
                <w:szCs w:val="20"/>
                <w:u w:val="none"/>
                <w:lang w:val="en-US" w:eastAsia="zh-CN" w:bidi="ar"/>
              </w:rPr>
              <w:t>进口金额/美元</w:t>
            </w:r>
          </w:p>
        </w:tc>
        <w:tc>
          <w:tcPr>
            <w:tcW w:w="2340"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sz w:val="20"/>
                <w:szCs w:val="20"/>
                <w:u w:val="none"/>
              </w:rPr>
            </w:pPr>
            <w:r>
              <w:rPr>
                <w:rFonts w:hint="eastAsia" w:asciiTheme="minorEastAsia" w:hAnsiTheme="minorEastAsia" w:eastAsiaTheme="minorEastAsia" w:cstheme="minorEastAsia"/>
                <w:b/>
                <w:i w:val="0"/>
                <w:color w:val="191919"/>
                <w:kern w:val="0"/>
                <w:sz w:val="20"/>
                <w:szCs w:val="20"/>
                <w:u w:val="none"/>
                <w:lang w:val="en-US" w:eastAsia="zh-CN" w:bidi="ar"/>
              </w:rPr>
              <w:t>出口数量/吨</w:t>
            </w:r>
          </w:p>
        </w:tc>
        <w:tc>
          <w:tcPr>
            <w:tcW w:w="2445"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sz w:val="20"/>
                <w:szCs w:val="20"/>
                <w:u w:val="none"/>
              </w:rPr>
            </w:pPr>
            <w:r>
              <w:rPr>
                <w:rFonts w:hint="eastAsia" w:asciiTheme="minorEastAsia" w:hAnsiTheme="minorEastAsia" w:eastAsiaTheme="minorEastAsia" w:cstheme="minorEastAsia"/>
                <w:b/>
                <w:i w:val="0"/>
                <w:color w:val="191919"/>
                <w:kern w:val="0"/>
                <w:sz w:val="20"/>
                <w:szCs w:val="20"/>
                <w:u w:val="none"/>
                <w:lang w:val="en-US" w:eastAsia="zh-CN" w:bidi="ar"/>
              </w:rPr>
              <w:t>出口金额/美元</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阿联酋</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2744.672</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1234961</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阿塞拜疆</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2717.443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1264127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埃及</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15.722</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7172</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埃塞俄比亚</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3318.957</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1538869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澳大利亚</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79519.516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39356889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巴基斯坦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319.065</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151825</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比利时</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4571.891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2144597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朝鲜</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7.363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3359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丹麦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45.982</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22071</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德国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2700.689</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1235522</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俄罗斯联邦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9167.364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3891614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法国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231.726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93932</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菲律宾</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13797.583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4582306</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芬兰</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410.528</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188931</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哈萨克斯坦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231.837</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96791</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韩国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187565.403</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64580585</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11999.295</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3518461</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荷兰</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4208.956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1919326</w:t>
            </w:r>
          </w:p>
        </w:tc>
      </w:tr>
      <w:tr>
        <w:tblPrEx>
          <w:tblCellMar>
            <w:top w:w="0" w:type="dxa"/>
            <w:left w:w="0" w:type="dxa"/>
            <w:bottom w:w="0" w:type="dxa"/>
            <w:right w:w="0" w:type="dxa"/>
          </w:tblCellMar>
        </w:tblPrEx>
        <w:trPr>
          <w:trHeight w:val="49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吉尔吉斯斯坦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353.326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108146</w:t>
            </w:r>
          </w:p>
        </w:tc>
      </w:tr>
      <w:tr>
        <w:tblPrEx>
          <w:tblCellMar>
            <w:top w:w="0" w:type="dxa"/>
            <w:left w:w="0" w:type="dxa"/>
            <w:bottom w:w="0" w:type="dxa"/>
            <w:right w:w="0" w:type="dxa"/>
          </w:tblCellMar>
        </w:tblPrEx>
        <w:trPr>
          <w:trHeight w:val="49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加拿大</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634.516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289609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柬埔寨</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6.194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2973</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卡塔尔</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12161.421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4672017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拉脱维亚</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86.498</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41519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卢森堡</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15721.127</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7644926</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马来西亚</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471.021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217515</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美国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18905.84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7748597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孟加拉国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9663.311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2331757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秘鲁</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44.073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21155</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缅甸</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1429.284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501250</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墨西哥</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108.233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33128</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日本</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3527.845</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1569438</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瑞典</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7.616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3497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瑞士</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721.8</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326174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斯里兰卡</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106.467</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48782</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塔吉克斯坦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81.509</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24948</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泰国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318.319</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146544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土耳其</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2557.88</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1165454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文莱</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4.344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2042</w:t>
            </w:r>
          </w:p>
        </w:tc>
      </w:tr>
      <w:tr>
        <w:tblPrEx>
          <w:tblCellMar>
            <w:top w:w="0" w:type="dxa"/>
            <w:left w:w="0" w:type="dxa"/>
            <w:bottom w:w="0" w:type="dxa"/>
            <w:right w:w="0" w:type="dxa"/>
          </w:tblCellMar>
        </w:tblPrEx>
        <w:trPr>
          <w:trHeight w:val="49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乌兹别克斯坦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692.444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292519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西班牙</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68.945</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33094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新加坡</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150.037</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53432</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6537.146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3132036</w:t>
            </w:r>
          </w:p>
        </w:tc>
      </w:tr>
      <w:tr>
        <w:tblPrEx>
          <w:tblCellMar>
            <w:top w:w="0" w:type="dxa"/>
            <w:left w:w="0" w:type="dxa"/>
            <w:bottom w:w="0" w:type="dxa"/>
            <w:right w:w="0" w:type="dxa"/>
          </w:tblCellMar>
        </w:tblPrEx>
        <w:trPr>
          <w:trHeight w:val="49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新西兰</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1323.043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610836</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伊朗</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969.216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401760</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意大利</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818.17</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313228</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印度尼西亚</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133.739</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62990</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英国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28870.184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12110264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越南</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8586.323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1486437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中国澳门</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103.405</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47488</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中国台湾</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971.601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423659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中国香港</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6974.191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2726924</w:t>
            </w:r>
          </w:p>
        </w:tc>
      </w:tr>
      <w:tr>
        <w:tblPrEx>
          <w:tblCellMar>
            <w:top w:w="0" w:type="dxa"/>
            <w:left w:w="0" w:type="dxa"/>
            <w:bottom w:w="0" w:type="dxa"/>
            <w:right w:w="0" w:type="dxa"/>
          </w:tblCellMar>
        </w:tblPrEx>
        <w:trPr>
          <w:trHeight w:val="285" w:hRule="atLeast"/>
        </w:trPr>
        <w:tc>
          <w:tcPr>
            <w:tcW w:w="1594" w:type="dxa"/>
            <w:tcBorders>
              <w:top w:val="single" w:color="000000" w:sz="8" w:space="0"/>
              <w:left w:val="single" w:color="000000" w:sz="8" w:space="0"/>
              <w:bottom w:val="single" w:color="000000" w:sz="8" w:space="0"/>
              <w:right w:val="single" w:color="000000" w:sz="8" w:space="0"/>
            </w:tcBorders>
            <w:shd w:val="clear" w:color="auto" w:fill="00B0F0"/>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合计</w:t>
            </w:r>
          </w:p>
        </w:tc>
        <w:tc>
          <w:tcPr>
            <w:tcW w:w="1920" w:type="dxa"/>
            <w:tcBorders>
              <w:top w:val="nil"/>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187715.44</w:t>
            </w:r>
          </w:p>
        </w:tc>
        <w:tc>
          <w:tcPr>
            <w:tcW w:w="1755" w:type="dxa"/>
            <w:tcBorders>
              <w:top w:val="nil"/>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64634017</w:t>
            </w:r>
          </w:p>
        </w:tc>
        <w:tc>
          <w:tcPr>
            <w:tcW w:w="2340" w:type="dxa"/>
            <w:tcBorders>
              <w:top w:val="nil"/>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258967.62</w:t>
            </w:r>
          </w:p>
        </w:tc>
        <w:tc>
          <w:tcPr>
            <w:tcW w:w="2445" w:type="dxa"/>
            <w:tcBorders>
              <w:top w:val="nil"/>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109791459</w:t>
            </w:r>
          </w:p>
        </w:tc>
      </w:tr>
    </w:tbl>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C2E1A6"/>
    <w:multiLevelType w:val="singleLevel"/>
    <w:tmpl w:val="B6C2E1A6"/>
    <w:lvl w:ilvl="0" w:tentative="0">
      <w:start w:val="3"/>
      <w:numFmt w:val="decimal"/>
      <w:lvlText w:val="%1."/>
      <w:lvlJc w:val="left"/>
      <w:pPr>
        <w:tabs>
          <w:tab w:val="left" w:pos="312"/>
        </w:tabs>
      </w:pPr>
    </w:lvl>
  </w:abstractNum>
  <w:abstractNum w:abstractNumId="1">
    <w:nsid w:val="C05F4C3B"/>
    <w:multiLevelType w:val="singleLevel"/>
    <w:tmpl w:val="C05F4C3B"/>
    <w:lvl w:ilvl="0" w:tentative="0">
      <w:start w:val="2"/>
      <w:numFmt w:val="decimal"/>
      <w:suff w:val="nothing"/>
      <w:lvlText w:val="（%1）"/>
      <w:lvlJc w:val="left"/>
    </w:lvl>
  </w:abstractNum>
  <w:abstractNum w:abstractNumId="2">
    <w:nsid w:val="DD852283"/>
    <w:multiLevelType w:val="singleLevel"/>
    <w:tmpl w:val="DD852283"/>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533173"/>
    <w:rsid w:val="0174199B"/>
    <w:rsid w:val="018C042F"/>
    <w:rsid w:val="019139BB"/>
    <w:rsid w:val="01A95B6A"/>
    <w:rsid w:val="01BD1D63"/>
    <w:rsid w:val="01ED4894"/>
    <w:rsid w:val="01FE2CFE"/>
    <w:rsid w:val="02526173"/>
    <w:rsid w:val="029A6633"/>
    <w:rsid w:val="029F2908"/>
    <w:rsid w:val="02AC60AA"/>
    <w:rsid w:val="02B87E06"/>
    <w:rsid w:val="02D71373"/>
    <w:rsid w:val="02D85611"/>
    <w:rsid w:val="02FE589D"/>
    <w:rsid w:val="031B1C80"/>
    <w:rsid w:val="03211A1D"/>
    <w:rsid w:val="0324523D"/>
    <w:rsid w:val="03331E75"/>
    <w:rsid w:val="034407FB"/>
    <w:rsid w:val="034F6246"/>
    <w:rsid w:val="03562125"/>
    <w:rsid w:val="035F2635"/>
    <w:rsid w:val="036D5E24"/>
    <w:rsid w:val="037413B6"/>
    <w:rsid w:val="03A57F11"/>
    <w:rsid w:val="03C968EE"/>
    <w:rsid w:val="040707FC"/>
    <w:rsid w:val="042972F1"/>
    <w:rsid w:val="044E5434"/>
    <w:rsid w:val="045E1E00"/>
    <w:rsid w:val="04684ED7"/>
    <w:rsid w:val="048101D3"/>
    <w:rsid w:val="048C7CAA"/>
    <w:rsid w:val="04987F00"/>
    <w:rsid w:val="04A45D71"/>
    <w:rsid w:val="04B04E89"/>
    <w:rsid w:val="04BF7371"/>
    <w:rsid w:val="04C829A7"/>
    <w:rsid w:val="04E22C17"/>
    <w:rsid w:val="04F36106"/>
    <w:rsid w:val="04F4133B"/>
    <w:rsid w:val="05021B01"/>
    <w:rsid w:val="05292B71"/>
    <w:rsid w:val="052C0D66"/>
    <w:rsid w:val="05314FD7"/>
    <w:rsid w:val="053B1A3D"/>
    <w:rsid w:val="05500555"/>
    <w:rsid w:val="0558720E"/>
    <w:rsid w:val="057F2A2A"/>
    <w:rsid w:val="05894C8A"/>
    <w:rsid w:val="05993019"/>
    <w:rsid w:val="05C01E8E"/>
    <w:rsid w:val="05D708A6"/>
    <w:rsid w:val="06002DF6"/>
    <w:rsid w:val="06153E6E"/>
    <w:rsid w:val="0618444D"/>
    <w:rsid w:val="062A6CB4"/>
    <w:rsid w:val="06300679"/>
    <w:rsid w:val="063E0E8C"/>
    <w:rsid w:val="06471306"/>
    <w:rsid w:val="06762765"/>
    <w:rsid w:val="067746D4"/>
    <w:rsid w:val="069C6A8D"/>
    <w:rsid w:val="06B9287B"/>
    <w:rsid w:val="06DA3028"/>
    <w:rsid w:val="06E3294D"/>
    <w:rsid w:val="06F31CB3"/>
    <w:rsid w:val="06F93008"/>
    <w:rsid w:val="0718687A"/>
    <w:rsid w:val="071A60E7"/>
    <w:rsid w:val="07252677"/>
    <w:rsid w:val="076C6634"/>
    <w:rsid w:val="07820AB4"/>
    <w:rsid w:val="079B346A"/>
    <w:rsid w:val="07CC2D78"/>
    <w:rsid w:val="07CC4016"/>
    <w:rsid w:val="07D15C8A"/>
    <w:rsid w:val="07E76A1F"/>
    <w:rsid w:val="07F17792"/>
    <w:rsid w:val="080158C0"/>
    <w:rsid w:val="0809715C"/>
    <w:rsid w:val="080A4814"/>
    <w:rsid w:val="0820276D"/>
    <w:rsid w:val="082F1BCD"/>
    <w:rsid w:val="08573B5A"/>
    <w:rsid w:val="086F6B65"/>
    <w:rsid w:val="08A4401C"/>
    <w:rsid w:val="08A55AD2"/>
    <w:rsid w:val="08CD17C0"/>
    <w:rsid w:val="0918731F"/>
    <w:rsid w:val="091D1431"/>
    <w:rsid w:val="09223CDC"/>
    <w:rsid w:val="09371EEF"/>
    <w:rsid w:val="093F6B95"/>
    <w:rsid w:val="09524755"/>
    <w:rsid w:val="095B63CA"/>
    <w:rsid w:val="09701692"/>
    <w:rsid w:val="09717916"/>
    <w:rsid w:val="098251C0"/>
    <w:rsid w:val="0984738F"/>
    <w:rsid w:val="09853CE2"/>
    <w:rsid w:val="098C4592"/>
    <w:rsid w:val="098C467A"/>
    <w:rsid w:val="09915D75"/>
    <w:rsid w:val="0996332C"/>
    <w:rsid w:val="09BE1AF4"/>
    <w:rsid w:val="09E0028A"/>
    <w:rsid w:val="09E31010"/>
    <w:rsid w:val="09F11ACB"/>
    <w:rsid w:val="09FB6243"/>
    <w:rsid w:val="0A047BEC"/>
    <w:rsid w:val="0A06506B"/>
    <w:rsid w:val="0A0A6618"/>
    <w:rsid w:val="0A29795D"/>
    <w:rsid w:val="0A2A7E86"/>
    <w:rsid w:val="0A2D68BE"/>
    <w:rsid w:val="0A3C22BA"/>
    <w:rsid w:val="0A3D34F3"/>
    <w:rsid w:val="0A557C07"/>
    <w:rsid w:val="0A5B4AF5"/>
    <w:rsid w:val="0A75433E"/>
    <w:rsid w:val="0A796F7C"/>
    <w:rsid w:val="0A7B7455"/>
    <w:rsid w:val="0AA33DAF"/>
    <w:rsid w:val="0AB608CB"/>
    <w:rsid w:val="0AC60296"/>
    <w:rsid w:val="0AD32487"/>
    <w:rsid w:val="0AD50553"/>
    <w:rsid w:val="0AE31AD5"/>
    <w:rsid w:val="0B017D09"/>
    <w:rsid w:val="0B0715B1"/>
    <w:rsid w:val="0B0F0B26"/>
    <w:rsid w:val="0B400CB2"/>
    <w:rsid w:val="0B421176"/>
    <w:rsid w:val="0B4B49C1"/>
    <w:rsid w:val="0B721C38"/>
    <w:rsid w:val="0B860805"/>
    <w:rsid w:val="0B945C54"/>
    <w:rsid w:val="0BB16187"/>
    <w:rsid w:val="0BCE6861"/>
    <w:rsid w:val="0BDC4FBC"/>
    <w:rsid w:val="0BDF0A5F"/>
    <w:rsid w:val="0C08318F"/>
    <w:rsid w:val="0C1E7ABD"/>
    <w:rsid w:val="0C270CC3"/>
    <w:rsid w:val="0C586B50"/>
    <w:rsid w:val="0C586E44"/>
    <w:rsid w:val="0C7F402D"/>
    <w:rsid w:val="0C822A19"/>
    <w:rsid w:val="0C930A24"/>
    <w:rsid w:val="0C9F5640"/>
    <w:rsid w:val="0CB81916"/>
    <w:rsid w:val="0CD123E3"/>
    <w:rsid w:val="0CE32FB8"/>
    <w:rsid w:val="0CE44838"/>
    <w:rsid w:val="0D206C21"/>
    <w:rsid w:val="0D731CA1"/>
    <w:rsid w:val="0D775B07"/>
    <w:rsid w:val="0D8323A4"/>
    <w:rsid w:val="0D893BAC"/>
    <w:rsid w:val="0D952410"/>
    <w:rsid w:val="0D9F3354"/>
    <w:rsid w:val="0DA370DA"/>
    <w:rsid w:val="0DA7099A"/>
    <w:rsid w:val="0DB01CE1"/>
    <w:rsid w:val="0DBA1705"/>
    <w:rsid w:val="0DC46B30"/>
    <w:rsid w:val="0DC9706D"/>
    <w:rsid w:val="0DD115AA"/>
    <w:rsid w:val="0DEA06F6"/>
    <w:rsid w:val="0E01030B"/>
    <w:rsid w:val="0E04318C"/>
    <w:rsid w:val="0E274301"/>
    <w:rsid w:val="0E31785B"/>
    <w:rsid w:val="0E357D47"/>
    <w:rsid w:val="0E5C0982"/>
    <w:rsid w:val="0E730195"/>
    <w:rsid w:val="0E803657"/>
    <w:rsid w:val="0E8B35C9"/>
    <w:rsid w:val="0E9742FB"/>
    <w:rsid w:val="0EAF107B"/>
    <w:rsid w:val="0EB4347F"/>
    <w:rsid w:val="0EBE27AA"/>
    <w:rsid w:val="0EC1627E"/>
    <w:rsid w:val="0ED36950"/>
    <w:rsid w:val="0EED0FC5"/>
    <w:rsid w:val="0EF07619"/>
    <w:rsid w:val="0EF248CA"/>
    <w:rsid w:val="0EFB4176"/>
    <w:rsid w:val="0F034AA6"/>
    <w:rsid w:val="0F08360E"/>
    <w:rsid w:val="0F125E7D"/>
    <w:rsid w:val="0F1F0D30"/>
    <w:rsid w:val="0F26373F"/>
    <w:rsid w:val="0F446A41"/>
    <w:rsid w:val="0F4A18F4"/>
    <w:rsid w:val="0F5808CC"/>
    <w:rsid w:val="0F666559"/>
    <w:rsid w:val="0F6B3E79"/>
    <w:rsid w:val="0F790BDF"/>
    <w:rsid w:val="0F7D42FE"/>
    <w:rsid w:val="0F820E85"/>
    <w:rsid w:val="0F8A41FA"/>
    <w:rsid w:val="0F9B4E2A"/>
    <w:rsid w:val="0FB045CC"/>
    <w:rsid w:val="0FC910AB"/>
    <w:rsid w:val="0FD23F99"/>
    <w:rsid w:val="0FE34C1B"/>
    <w:rsid w:val="0FEF79AA"/>
    <w:rsid w:val="101C7D06"/>
    <w:rsid w:val="1024515A"/>
    <w:rsid w:val="1046198D"/>
    <w:rsid w:val="105F3A71"/>
    <w:rsid w:val="106D475B"/>
    <w:rsid w:val="10BA0A0E"/>
    <w:rsid w:val="10CE39DE"/>
    <w:rsid w:val="10FA6B68"/>
    <w:rsid w:val="10FF5E5F"/>
    <w:rsid w:val="11190B98"/>
    <w:rsid w:val="11365062"/>
    <w:rsid w:val="11422692"/>
    <w:rsid w:val="11590029"/>
    <w:rsid w:val="117F7F48"/>
    <w:rsid w:val="1265739D"/>
    <w:rsid w:val="12662947"/>
    <w:rsid w:val="12BE2ADE"/>
    <w:rsid w:val="12D8263D"/>
    <w:rsid w:val="130B16E4"/>
    <w:rsid w:val="13267B35"/>
    <w:rsid w:val="134A6D86"/>
    <w:rsid w:val="13594CF7"/>
    <w:rsid w:val="135A728A"/>
    <w:rsid w:val="1367698A"/>
    <w:rsid w:val="13772D89"/>
    <w:rsid w:val="138744BB"/>
    <w:rsid w:val="13AA18EC"/>
    <w:rsid w:val="13B45FC3"/>
    <w:rsid w:val="13DB164D"/>
    <w:rsid w:val="13E7373B"/>
    <w:rsid w:val="13FE142E"/>
    <w:rsid w:val="14176463"/>
    <w:rsid w:val="144B6D3F"/>
    <w:rsid w:val="14546EAA"/>
    <w:rsid w:val="147759A4"/>
    <w:rsid w:val="147A75E5"/>
    <w:rsid w:val="149C7CF0"/>
    <w:rsid w:val="14BC21CE"/>
    <w:rsid w:val="14BE2339"/>
    <w:rsid w:val="14BF4DCE"/>
    <w:rsid w:val="14D14395"/>
    <w:rsid w:val="14D56BF6"/>
    <w:rsid w:val="14E36C24"/>
    <w:rsid w:val="14F32D76"/>
    <w:rsid w:val="14F5216B"/>
    <w:rsid w:val="14FE7778"/>
    <w:rsid w:val="15060A70"/>
    <w:rsid w:val="151B73F8"/>
    <w:rsid w:val="15211EFF"/>
    <w:rsid w:val="15353F74"/>
    <w:rsid w:val="154F205D"/>
    <w:rsid w:val="15615E0F"/>
    <w:rsid w:val="156D2843"/>
    <w:rsid w:val="15701AB8"/>
    <w:rsid w:val="15892652"/>
    <w:rsid w:val="159001BC"/>
    <w:rsid w:val="15B939D5"/>
    <w:rsid w:val="15D83B2E"/>
    <w:rsid w:val="15DD70EA"/>
    <w:rsid w:val="15E11AB3"/>
    <w:rsid w:val="15E25134"/>
    <w:rsid w:val="15E8785D"/>
    <w:rsid w:val="16113EF1"/>
    <w:rsid w:val="16116F4B"/>
    <w:rsid w:val="162E280E"/>
    <w:rsid w:val="164206BE"/>
    <w:rsid w:val="16446BD7"/>
    <w:rsid w:val="16600954"/>
    <w:rsid w:val="16734EEE"/>
    <w:rsid w:val="1691331C"/>
    <w:rsid w:val="16D82413"/>
    <w:rsid w:val="16E22B33"/>
    <w:rsid w:val="16F85570"/>
    <w:rsid w:val="16FA58EE"/>
    <w:rsid w:val="17116BE2"/>
    <w:rsid w:val="17194D7A"/>
    <w:rsid w:val="172078E9"/>
    <w:rsid w:val="172D12A6"/>
    <w:rsid w:val="173C1948"/>
    <w:rsid w:val="17464B66"/>
    <w:rsid w:val="175B5D81"/>
    <w:rsid w:val="17652D76"/>
    <w:rsid w:val="177742FF"/>
    <w:rsid w:val="177778D5"/>
    <w:rsid w:val="177C4324"/>
    <w:rsid w:val="179E41EC"/>
    <w:rsid w:val="17BD7A6D"/>
    <w:rsid w:val="182A5943"/>
    <w:rsid w:val="18704C74"/>
    <w:rsid w:val="18AD026B"/>
    <w:rsid w:val="18CA4E8D"/>
    <w:rsid w:val="18FC46F8"/>
    <w:rsid w:val="191B1724"/>
    <w:rsid w:val="19254E9B"/>
    <w:rsid w:val="19383C89"/>
    <w:rsid w:val="194573ED"/>
    <w:rsid w:val="195D29F2"/>
    <w:rsid w:val="196465FF"/>
    <w:rsid w:val="196B6E10"/>
    <w:rsid w:val="198154A5"/>
    <w:rsid w:val="19850C75"/>
    <w:rsid w:val="198A3D94"/>
    <w:rsid w:val="198F27F8"/>
    <w:rsid w:val="199C5ECD"/>
    <w:rsid w:val="19B1121F"/>
    <w:rsid w:val="19E14ABD"/>
    <w:rsid w:val="19F07148"/>
    <w:rsid w:val="1A031971"/>
    <w:rsid w:val="1A051BC1"/>
    <w:rsid w:val="1A110D84"/>
    <w:rsid w:val="1A2B0F11"/>
    <w:rsid w:val="1A2C43DF"/>
    <w:rsid w:val="1A372CD4"/>
    <w:rsid w:val="1A555BDB"/>
    <w:rsid w:val="1A660755"/>
    <w:rsid w:val="1A703BC4"/>
    <w:rsid w:val="1A7262E8"/>
    <w:rsid w:val="1A882B3D"/>
    <w:rsid w:val="1ABE2D20"/>
    <w:rsid w:val="1ACC4B7F"/>
    <w:rsid w:val="1AD34CD1"/>
    <w:rsid w:val="1AD417D6"/>
    <w:rsid w:val="1AE72378"/>
    <w:rsid w:val="1AE7665A"/>
    <w:rsid w:val="1AF74A59"/>
    <w:rsid w:val="1B111CB0"/>
    <w:rsid w:val="1B393D9E"/>
    <w:rsid w:val="1B743284"/>
    <w:rsid w:val="1B816F9A"/>
    <w:rsid w:val="1B8175D6"/>
    <w:rsid w:val="1B9C1B61"/>
    <w:rsid w:val="1BB46A20"/>
    <w:rsid w:val="1BBD6973"/>
    <w:rsid w:val="1BE24098"/>
    <w:rsid w:val="1BE81B85"/>
    <w:rsid w:val="1BFE2971"/>
    <w:rsid w:val="1C01336C"/>
    <w:rsid w:val="1C021382"/>
    <w:rsid w:val="1C081DD0"/>
    <w:rsid w:val="1C1669BA"/>
    <w:rsid w:val="1C1C3102"/>
    <w:rsid w:val="1C2230E8"/>
    <w:rsid w:val="1C2E2C8D"/>
    <w:rsid w:val="1C6C7614"/>
    <w:rsid w:val="1CB31F52"/>
    <w:rsid w:val="1CC609D9"/>
    <w:rsid w:val="1CDC7753"/>
    <w:rsid w:val="1CEC4A0D"/>
    <w:rsid w:val="1D1712A0"/>
    <w:rsid w:val="1D2B7B9F"/>
    <w:rsid w:val="1D305274"/>
    <w:rsid w:val="1D3F5714"/>
    <w:rsid w:val="1D466011"/>
    <w:rsid w:val="1D487015"/>
    <w:rsid w:val="1D547E28"/>
    <w:rsid w:val="1D5B57EE"/>
    <w:rsid w:val="1D606070"/>
    <w:rsid w:val="1D655DB6"/>
    <w:rsid w:val="1D980258"/>
    <w:rsid w:val="1D9C1F14"/>
    <w:rsid w:val="1DB113DA"/>
    <w:rsid w:val="1DFB4E0B"/>
    <w:rsid w:val="1E196DA1"/>
    <w:rsid w:val="1E2278F4"/>
    <w:rsid w:val="1E4062B7"/>
    <w:rsid w:val="1E5542CC"/>
    <w:rsid w:val="1E6D6ABE"/>
    <w:rsid w:val="1E755624"/>
    <w:rsid w:val="1E8C73FA"/>
    <w:rsid w:val="1E9E3D33"/>
    <w:rsid w:val="1EAA616E"/>
    <w:rsid w:val="1EB15364"/>
    <w:rsid w:val="1EB20356"/>
    <w:rsid w:val="1EBE2AB5"/>
    <w:rsid w:val="1EC81089"/>
    <w:rsid w:val="1EDD703F"/>
    <w:rsid w:val="1F092A2D"/>
    <w:rsid w:val="1F1162FE"/>
    <w:rsid w:val="1F1C0B32"/>
    <w:rsid w:val="1F352B32"/>
    <w:rsid w:val="1F4A096C"/>
    <w:rsid w:val="1F6B3A34"/>
    <w:rsid w:val="1F751CBE"/>
    <w:rsid w:val="1F7D6B10"/>
    <w:rsid w:val="1F963D6D"/>
    <w:rsid w:val="1F98363F"/>
    <w:rsid w:val="1FA70F8C"/>
    <w:rsid w:val="1FBF488C"/>
    <w:rsid w:val="1FCD7675"/>
    <w:rsid w:val="1FD377B1"/>
    <w:rsid w:val="1FDC18BC"/>
    <w:rsid w:val="1FEF77E1"/>
    <w:rsid w:val="1FFC155B"/>
    <w:rsid w:val="20010BD0"/>
    <w:rsid w:val="20137C9A"/>
    <w:rsid w:val="20261774"/>
    <w:rsid w:val="202A3AEF"/>
    <w:rsid w:val="203A4D2E"/>
    <w:rsid w:val="204030A0"/>
    <w:rsid w:val="205B78B2"/>
    <w:rsid w:val="205C4184"/>
    <w:rsid w:val="206558CE"/>
    <w:rsid w:val="206901B1"/>
    <w:rsid w:val="2078018B"/>
    <w:rsid w:val="209323D8"/>
    <w:rsid w:val="20AD55FF"/>
    <w:rsid w:val="20C12FDC"/>
    <w:rsid w:val="20C55A62"/>
    <w:rsid w:val="211001E9"/>
    <w:rsid w:val="21147D43"/>
    <w:rsid w:val="2119067D"/>
    <w:rsid w:val="21216F1B"/>
    <w:rsid w:val="214F55E4"/>
    <w:rsid w:val="215A4604"/>
    <w:rsid w:val="217C7ED4"/>
    <w:rsid w:val="21862B07"/>
    <w:rsid w:val="21973788"/>
    <w:rsid w:val="219A3406"/>
    <w:rsid w:val="21A70D61"/>
    <w:rsid w:val="21B2244C"/>
    <w:rsid w:val="21C30EF9"/>
    <w:rsid w:val="21D956E3"/>
    <w:rsid w:val="21EF7C0A"/>
    <w:rsid w:val="221551D8"/>
    <w:rsid w:val="224441F7"/>
    <w:rsid w:val="224E7428"/>
    <w:rsid w:val="2261560B"/>
    <w:rsid w:val="227918A6"/>
    <w:rsid w:val="22944164"/>
    <w:rsid w:val="229674ED"/>
    <w:rsid w:val="22AC485D"/>
    <w:rsid w:val="22D174A6"/>
    <w:rsid w:val="22E67532"/>
    <w:rsid w:val="230F16FC"/>
    <w:rsid w:val="231C2E7E"/>
    <w:rsid w:val="232A4048"/>
    <w:rsid w:val="233344E4"/>
    <w:rsid w:val="23392A7A"/>
    <w:rsid w:val="23850BE5"/>
    <w:rsid w:val="238E2690"/>
    <w:rsid w:val="239015CD"/>
    <w:rsid w:val="23B946BE"/>
    <w:rsid w:val="23C01773"/>
    <w:rsid w:val="23EF13A7"/>
    <w:rsid w:val="23F7720B"/>
    <w:rsid w:val="24086432"/>
    <w:rsid w:val="240F1052"/>
    <w:rsid w:val="242A187D"/>
    <w:rsid w:val="24310987"/>
    <w:rsid w:val="24322A62"/>
    <w:rsid w:val="24554136"/>
    <w:rsid w:val="245C2B3F"/>
    <w:rsid w:val="24836E94"/>
    <w:rsid w:val="24867974"/>
    <w:rsid w:val="248945E2"/>
    <w:rsid w:val="24974A9D"/>
    <w:rsid w:val="24990AB6"/>
    <w:rsid w:val="24A21A55"/>
    <w:rsid w:val="24BC74B9"/>
    <w:rsid w:val="24BE33B8"/>
    <w:rsid w:val="250D3E66"/>
    <w:rsid w:val="252754C5"/>
    <w:rsid w:val="252D3F69"/>
    <w:rsid w:val="2547370A"/>
    <w:rsid w:val="25585795"/>
    <w:rsid w:val="25740BBD"/>
    <w:rsid w:val="25955E96"/>
    <w:rsid w:val="259B6E31"/>
    <w:rsid w:val="259E33E1"/>
    <w:rsid w:val="25B677AD"/>
    <w:rsid w:val="25B904A8"/>
    <w:rsid w:val="25E06259"/>
    <w:rsid w:val="25FD0304"/>
    <w:rsid w:val="261447E7"/>
    <w:rsid w:val="26162D47"/>
    <w:rsid w:val="26417898"/>
    <w:rsid w:val="26442276"/>
    <w:rsid w:val="26444B63"/>
    <w:rsid w:val="264D7096"/>
    <w:rsid w:val="26552532"/>
    <w:rsid w:val="269F6889"/>
    <w:rsid w:val="26AD0D8B"/>
    <w:rsid w:val="26C17431"/>
    <w:rsid w:val="26C545A4"/>
    <w:rsid w:val="26C94300"/>
    <w:rsid w:val="26DF7D7C"/>
    <w:rsid w:val="26EE1723"/>
    <w:rsid w:val="26F154C7"/>
    <w:rsid w:val="26FD7030"/>
    <w:rsid w:val="27080E2E"/>
    <w:rsid w:val="270D21C6"/>
    <w:rsid w:val="277F5A23"/>
    <w:rsid w:val="27A7464B"/>
    <w:rsid w:val="28011EB5"/>
    <w:rsid w:val="28092464"/>
    <w:rsid w:val="282C5A3A"/>
    <w:rsid w:val="283F32F7"/>
    <w:rsid w:val="2855423F"/>
    <w:rsid w:val="285E5BE3"/>
    <w:rsid w:val="28611CC2"/>
    <w:rsid w:val="286D2B55"/>
    <w:rsid w:val="28721E59"/>
    <w:rsid w:val="28892109"/>
    <w:rsid w:val="28A325B7"/>
    <w:rsid w:val="28AB052C"/>
    <w:rsid w:val="28B71571"/>
    <w:rsid w:val="28BA104F"/>
    <w:rsid w:val="28C132F2"/>
    <w:rsid w:val="28D133DE"/>
    <w:rsid w:val="28D37B64"/>
    <w:rsid w:val="28EF11D1"/>
    <w:rsid w:val="290566C3"/>
    <w:rsid w:val="295C2D51"/>
    <w:rsid w:val="29A81CD2"/>
    <w:rsid w:val="29A90232"/>
    <w:rsid w:val="29A92B3A"/>
    <w:rsid w:val="29C804D1"/>
    <w:rsid w:val="29CB1410"/>
    <w:rsid w:val="29D84ABC"/>
    <w:rsid w:val="29F5410D"/>
    <w:rsid w:val="2A1503FE"/>
    <w:rsid w:val="2A194990"/>
    <w:rsid w:val="2A215E5E"/>
    <w:rsid w:val="2A252C4C"/>
    <w:rsid w:val="2A3E7B5A"/>
    <w:rsid w:val="2A6B55C6"/>
    <w:rsid w:val="2A8475EE"/>
    <w:rsid w:val="2A951C8C"/>
    <w:rsid w:val="2A953E86"/>
    <w:rsid w:val="2A9B26F1"/>
    <w:rsid w:val="2AB25451"/>
    <w:rsid w:val="2AC063B7"/>
    <w:rsid w:val="2ACB5B48"/>
    <w:rsid w:val="2ACD0874"/>
    <w:rsid w:val="2AD267B8"/>
    <w:rsid w:val="2AD8059C"/>
    <w:rsid w:val="2B0A5818"/>
    <w:rsid w:val="2B0D737C"/>
    <w:rsid w:val="2B0F004D"/>
    <w:rsid w:val="2B154A20"/>
    <w:rsid w:val="2B380E7B"/>
    <w:rsid w:val="2B574357"/>
    <w:rsid w:val="2B6638DE"/>
    <w:rsid w:val="2B84406F"/>
    <w:rsid w:val="2B8F58E2"/>
    <w:rsid w:val="2BA07FAD"/>
    <w:rsid w:val="2BBF0DDA"/>
    <w:rsid w:val="2BE5055C"/>
    <w:rsid w:val="2BED5A7C"/>
    <w:rsid w:val="2BF858F4"/>
    <w:rsid w:val="2BFC6315"/>
    <w:rsid w:val="2BFD5564"/>
    <w:rsid w:val="2C4C1107"/>
    <w:rsid w:val="2C7C5CC5"/>
    <w:rsid w:val="2C811341"/>
    <w:rsid w:val="2C823F4E"/>
    <w:rsid w:val="2CAD067B"/>
    <w:rsid w:val="2CFD0FC0"/>
    <w:rsid w:val="2D050EBF"/>
    <w:rsid w:val="2D2A25A1"/>
    <w:rsid w:val="2D4D17E5"/>
    <w:rsid w:val="2D6F58D8"/>
    <w:rsid w:val="2D892B5C"/>
    <w:rsid w:val="2DB328B9"/>
    <w:rsid w:val="2DC6450C"/>
    <w:rsid w:val="2DD85082"/>
    <w:rsid w:val="2DE11692"/>
    <w:rsid w:val="2DF24F64"/>
    <w:rsid w:val="2DF5641D"/>
    <w:rsid w:val="2DF644E3"/>
    <w:rsid w:val="2E0D40F5"/>
    <w:rsid w:val="2E2F56E6"/>
    <w:rsid w:val="2E4A7323"/>
    <w:rsid w:val="2E98229F"/>
    <w:rsid w:val="2EA56E95"/>
    <w:rsid w:val="2EA673C9"/>
    <w:rsid w:val="2EAF1D1D"/>
    <w:rsid w:val="2ECA710C"/>
    <w:rsid w:val="2ED4404D"/>
    <w:rsid w:val="2ED50475"/>
    <w:rsid w:val="2EE365C8"/>
    <w:rsid w:val="2F090AB4"/>
    <w:rsid w:val="2F13732E"/>
    <w:rsid w:val="2F336BA3"/>
    <w:rsid w:val="2F5621A6"/>
    <w:rsid w:val="2F66411F"/>
    <w:rsid w:val="2F9E2267"/>
    <w:rsid w:val="2FA5716E"/>
    <w:rsid w:val="2FBE7D06"/>
    <w:rsid w:val="2FD85581"/>
    <w:rsid w:val="2FE513F6"/>
    <w:rsid w:val="2FE91ED2"/>
    <w:rsid w:val="2FF22D62"/>
    <w:rsid w:val="30037E76"/>
    <w:rsid w:val="300B0CEC"/>
    <w:rsid w:val="301B31E2"/>
    <w:rsid w:val="302909D7"/>
    <w:rsid w:val="30320AA9"/>
    <w:rsid w:val="30427218"/>
    <w:rsid w:val="30664FDE"/>
    <w:rsid w:val="309E4811"/>
    <w:rsid w:val="30A00CB5"/>
    <w:rsid w:val="30AF5F22"/>
    <w:rsid w:val="30C14186"/>
    <w:rsid w:val="30D71496"/>
    <w:rsid w:val="30E73B0D"/>
    <w:rsid w:val="30FC61C2"/>
    <w:rsid w:val="30FD55E0"/>
    <w:rsid w:val="31030DD2"/>
    <w:rsid w:val="310F6F60"/>
    <w:rsid w:val="311333E6"/>
    <w:rsid w:val="311467EF"/>
    <w:rsid w:val="31162712"/>
    <w:rsid w:val="31363ABC"/>
    <w:rsid w:val="314614BA"/>
    <w:rsid w:val="31490B7D"/>
    <w:rsid w:val="3153679E"/>
    <w:rsid w:val="315F2471"/>
    <w:rsid w:val="3177458F"/>
    <w:rsid w:val="3189708E"/>
    <w:rsid w:val="318B1F3D"/>
    <w:rsid w:val="319434F7"/>
    <w:rsid w:val="31994D00"/>
    <w:rsid w:val="31A65E57"/>
    <w:rsid w:val="31AD16EF"/>
    <w:rsid w:val="31AE660C"/>
    <w:rsid w:val="31B05A1F"/>
    <w:rsid w:val="31B17EF2"/>
    <w:rsid w:val="31E155AC"/>
    <w:rsid w:val="31FC35FB"/>
    <w:rsid w:val="32010D04"/>
    <w:rsid w:val="320A7836"/>
    <w:rsid w:val="324163CA"/>
    <w:rsid w:val="32574FD8"/>
    <w:rsid w:val="325C547C"/>
    <w:rsid w:val="326C29F6"/>
    <w:rsid w:val="327C3888"/>
    <w:rsid w:val="32945DAC"/>
    <w:rsid w:val="329C631F"/>
    <w:rsid w:val="32AB0897"/>
    <w:rsid w:val="32CB3A84"/>
    <w:rsid w:val="32CE45BC"/>
    <w:rsid w:val="32D9201A"/>
    <w:rsid w:val="32E42D0F"/>
    <w:rsid w:val="32E779A4"/>
    <w:rsid w:val="330D4D94"/>
    <w:rsid w:val="33435E16"/>
    <w:rsid w:val="335F11B3"/>
    <w:rsid w:val="337B12FB"/>
    <w:rsid w:val="339C5454"/>
    <w:rsid w:val="33DD1D83"/>
    <w:rsid w:val="33FC5F9C"/>
    <w:rsid w:val="34005D95"/>
    <w:rsid w:val="34173060"/>
    <w:rsid w:val="342451AA"/>
    <w:rsid w:val="3425323C"/>
    <w:rsid w:val="342E5EA7"/>
    <w:rsid w:val="343E0BAC"/>
    <w:rsid w:val="34474FF1"/>
    <w:rsid w:val="344B3651"/>
    <w:rsid w:val="34555269"/>
    <w:rsid w:val="34B63281"/>
    <w:rsid w:val="34C105B0"/>
    <w:rsid w:val="34CA39B2"/>
    <w:rsid w:val="34D564C3"/>
    <w:rsid w:val="34DC79C0"/>
    <w:rsid w:val="34EC4B86"/>
    <w:rsid w:val="351321CB"/>
    <w:rsid w:val="355E299F"/>
    <w:rsid w:val="355E6D49"/>
    <w:rsid w:val="35671EE7"/>
    <w:rsid w:val="3572663B"/>
    <w:rsid w:val="357D4C50"/>
    <w:rsid w:val="35925B04"/>
    <w:rsid w:val="35963717"/>
    <w:rsid w:val="35AF3549"/>
    <w:rsid w:val="35CA49CB"/>
    <w:rsid w:val="35DA5213"/>
    <w:rsid w:val="35EE7B1B"/>
    <w:rsid w:val="35F65FAD"/>
    <w:rsid w:val="36202050"/>
    <w:rsid w:val="364A7C84"/>
    <w:rsid w:val="36605016"/>
    <w:rsid w:val="366B7A53"/>
    <w:rsid w:val="368259EE"/>
    <w:rsid w:val="3689301E"/>
    <w:rsid w:val="369C7E5C"/>
    <w:rsid w:val="36B523AB"/>
    <w:rsid w:val="36C76D40"/>
    <w:rsid w:val="36F44E23"/>
    <w:rsid w:val="371D2966"/>
    <w:rsid w:val="373062E8"/>
    <w:rsid w:val="375C1AC9"/>
    <w:rsid w:val="37785098"/>
    <w:rsid w:val="377E7331"/>
    <w:rsid w:val="37A6234C"/>
    <w:rsid w:val="37A907BA"/>
    <w:rsid w:val="37AF1535"/>
    <w:rsid w:val="37CA63F2"/>
    <w:rsid w:val="37CB57CA"/>
    <w:rsid w:val="37D337D1"/>
    <w:rsid w:val="37DD56C2"/>
    <w:rsid w:val="37F16302"/>
    <w:rsid w:val="38372548"/>
    <w:rsid w:val="38781C56"/>
    <w:rsid w:val="38C30240"/>
    <w:rsid w:val="38CF65F7"/>
    <w:rsid w:val="38D30895"/>
    <w:rsid w:val="38E95212"/>
    <w:rsid w:val="391C1C7A"/>
    <w:rsid w:val="39465968"/>
    <w:rsid w:val="394D1A3B"/>
    <w:rsid w:val="39600E80"/>
    <w:rsid w:val="399B72BC"/>
    <w:rsid w:val="39A95A0D"/>
    <w:rsid w:val="39E779C9"/>
    <w:rsid w:val="3A01261A"/>
    <w:rsid w:val="3A1A4CEB"/>
    <w:rsid w:val="3A204DEA"/>
    <w:rsid w:val="3A247020"/>
    <w:rsid w:val="3A34341C"/>
    <w:rsid w:val="3A366570"/>
    <w:rsid w:val="3A41027E"/>
    <w:rsid w:val="3A446ABC"/>
    <w:rsid w:val="3A481E25"/>
    <w:rsid w:val="3A562007"/>
    <w:rsid w:val="3A632ED3"/>
    <w:rsid w:val="3A693A23"/>
    <w:rsid w:val="3A6F255F"/>
    <w:rsid w:val="3A6F6832"/>
    <w:rsid w:val="3A90237F"/>
    <w:rsid w:val="3B0A7991"/>
    <w:rsid w:val="3B100A85"/>
    <w:rsid w:val="3B18283A"/>
    <w:rsid w:val="3B336F2F"/>
    <w:rsid w:val="3B567019"/>
    <w:rsid w:val="3B691338"/>
    <w:rsid w:val="3B6B36CF"/>
    <w:rsid w:val="3BA60160"/>
    <w:rsid w:val="3BB46CD1"/>
    <w:rsid w:val="3BB6128D"/>
    <w:rsid w:val="3BD11411"/>
    <w:rsid w:val="3BD837A5"/>
    <w:rsid w:val="3BED4242"/>
    <w:rsid w:val="3C317DDD"/>
    <w:rsid w:val="3C336F35"/>
    <w:rsid w:val="3C3D3F09"/>
    <w:rsid w:val="3C457CDF"/>
    <w:rsid w:val="3C742BEB"/>
    <w:rsid w:val="3C857740"/>
    <w:rsid w:val="3C8E02B7"/>
    <w:rsid w:val="3CB004C5"/>
    <w:rsid w:val="3CB35047"/>
    <w:rsid w:val="3CB47F7E"/>
    <w:rsid w:val="3CB603EF"/>
    <w:rsid w:val="3CD82621"/>
    <w:rsid w:val="3CDD69B2"/>
    <w:rsid w:val="3CEA693F"/>
    <w:rsid w:val="3D0D55A5"/>
    <w:rsid w:val="3D354C10"/>
    <w:rsid w:val="3D475AFB"/>
    <w:rsid w:val="3D4C43AF"/>
    <w:rsid w:val="3D502422"/>
    <w:rsid w:val="3D5275CE"/>
    <w:rsid w:val="3D5404DD"/>
    <w:rsid w:val="3D6341E4"/>
    <w:rsid w:val="3D6A48AA"/>
    <w:rsid w:val="3D6D23E3"/>
    <w:rsid w:val="3D7C1281"/>
    <w:rsid w:val="3D8D1DDC"/>
    <w:rsid w:val="3D995C7E"/>
    <w:rsid w:val="3DD2333F"/>
    <w:rsid w:val="3DEC316F"/>
    <w:rsid w:val="3E000E38"/>
    <w:rsid w:val="3E037731"/>
    <w:rsid w:val="3E0F09D9"/>
    <w:rsid w:val="3E1646C1"/>
    <w:rsid w:val="3E247488"/>
    <w:rsid w:val="3E305EE4"/>
    <w:rsid w:val="3E3D25F5"/>
    <w:rsid w:val="3E4E6762"/>
    <w:rsid w:val="3E70166E"/>
    <w:rsid w:val="3E752011"/>
    <w:rsid w:val="3E8270FA"/>
    <w:rsid w:val="3E8E2505"/>
    <w:rsid w:val="3E8F0C9A"/>
    <w:rsid w:val="3E9953AC"/>
    <w:rsid w:val="3E9D3F84"/>
    <w:rsid w:val="3E9F3605"/>
    <w:rsid w:val="3EEC1C8D"/>
    <w:rsid w:val="3EF15A07"/>
    <w:rsid w:val="3F0C0C5D"/>
    <w:rsid w:val="3F310E2B"/>
    <w:rsid w:val="3F3E5B85"/>
    <w:rsid w:val="3F4D19AF"/>
    <w:rsid w:val="3F691A99"/>
    <w:rsid w:val="3F837DDF"/>
    <w:rsid w:val="3FA21405"/>
    <w:rsid w:val="3FA96E5D"/>
    <w:rsid w:val="3FC04528"/>
    <w:rsid w:val="3FCB012B"/>
    <w:rsid w:val="3FD27B2E"/>
    <w:rsid w:val="3FEE1DE8"/>
    <w:rsid w:val="3FFE5EFF"/>
    <w:rsid w:val="40171145"/>
    <w:rsid w:val="402104DC"/>
    <w:rsid w:val="40480E8F"/>
    <w:rsid w:val="40662C29"/>
    <w:rsid w:val="40742438"/>
    <w:rsid w:val="40791098"/>
    <w:rsid w:val="40932E75"/>
    <w:rsid w:val="40A70377"/>
    <w:rsid w:val="40BC5D67"/>
    <w:rsid w:val="40D775A2"/>
    <w:rsid w:val="40EE33BE"/>
    <w:rsid w:val="40F61783"/>
    <w:rsid w:val="4100601D"/>
    <w:rsid w:val="410D75D5"/>
    <w:rsid w:val="411E3000"/>
    <w:rsid w:val="41402C24"/>
    <w:rsid w:val="414E7345"/>
    <w:rsid w:val="41696F7F"/>
    <w:rsid w:val="417240B9"/>
    <w:rsid w:val="417C0D06"/>
    <w:rsid w:val="418B25AA"/>
    <w:rsid w:val="418E56CE"/>
    <w:rsid w:val="41925E9B"/>
    <w:rsid w:val="419B1BC4"/>
    <w:rsid w:val="419D7C05"/>
    <w:rsid w:val="41A739EA"/>
    <w:rsid w:val="41B3371C"/>
    <w:rsid w:val="41B4302C"/>
    <w:rsid w:val="41DA3C01"/>
    <w:rsid w:val="41E3266D"/>
    <w:rsid w:val="41F604FA"/>
    <w:rsid w:val="41FE6085"/>
    <w:rsid w:val="42013C9E"/>
    <w:rsid w:val="420F24CA"/>
    <w:rsid w:val="421C0994"/>
    <w:rsid w:val="424F02B6"/>
    <w:rsid w:val="42683145"/>
    <w:rsid w:val="427133C0"/>
    <w:rsid w:val="42715180"/>
    <w:rsid w:val="4277762F"/>
    <w:rsid w:val="429D7D7D"/>
    <w:rsid w:val="42B23DF0"/>
    <w:rsid w:val="42B45768"/>
    <w:rsid w:val="42DD7341"/>
    <w:rsid w:val="42E637C3"/>
    <w:rsid w:val="42FD1410"/>
    <w:rsid w:val="43184FA0"/>
    <w:rsid w:val="431F563A"/>
    <w:rsid w:val="432D0CD2"/>
    <w:rsid w:val="4348259E"/>
    <w:rsid w:val="434C0977"/>
    <w:rsid w:val="434D5EB2"/>
    <w:rsid w:val="43705840"/>
    <w:rsid w:val="437E6752"/>
    <w:rsid w:val="43AF6845"/>
    <w:rsid w:val="43D44FF8"/>
    <w:rsid w:val="441557E3"/>
    <w:rsid w:val="44286453"/>
    <w:rsid w:val="44371554"/>
    <w:rsid w:val="444B4817"/>
    <w:rsid w:val="444C54FC"/>
    <w:rsid w:val="44615639"/>
    <w:rsid w:val="44762FC6"/>
    <w:rsid w:val="4488431A"/>
    <w:rsid w:val="448F5706"/>
    <w:rsid w:val="44944331"/>
    <w:rsid w:val="449A539D"/>
    <w:rsid w:val="44A538D4"/>
    <w:rsid w:val="44B05905"/>
    <w:rsid w:val="44B67F0B"/>
    <w:rsid w:val="451317C4"/>
    <w:rsid w:val="45252A65"/>
    <w:rsid w:val="45575AD5"/>
    <w:rsid w:val="457E0115"/>
    <w:rsid w:val="459B774E"/>
    <w:rsid w:val="45B72AB1"/>
    <w:rsid w:val="45CC0EF3"/>
    <w:rsid w:val="45CF5AD4"/>
    <w:rsid w:val="45DD06D9"/>
    <w:rsid w:val="460D21F2"/>
    <w:rsid w:val="460E0469"/>
    <w:rsid w:val="460E0A15"/>
    <w:rsid w:val="4635298E"/>
    <w:rsid w:val="46355D58"/>
    <w:rsid w:val="464050BB"/>
    <w:rsid w:val="466B6702"/>
    <w:rsid w:val="466F037A"/>
    <w:rsid w:val="467737E1"/>
    <w:rsid w:val="46A075FA"/>
    <w:rsid w:val="46A359DC"/>
    <w:rsid w:val="46A54FB3"/>
    <w:rsid w:val="46D7121E"/>
    <w:rsid w:val="46E07671"/>
    <w:rsid w:val="46FF57CE"/>
    <w:rsid w:val="47154F60"/>
    <w:rsid w:val="47700BCB"/>
    <w:rsid w:val="47732DB6"/>
    <w:rsid w:val="47C254B8"/>
    <w:rsid w:val="47DF082A"/>
    <w:rsid w:val="47EB5003"/>
    <w:rsid w:val="48081128"/>
    <w:rsid w:val="480D3EC3"/>
    <w:rsid w:val="48144FED"/>
    <w:rsid w:val="483A31DC"/>
    <w:rsid w:val="484715CC"/>
    <w:rsid w:val="485D616F"/>
    <w:rsid w:val="4873370F"/>
    <w:rsid w:val="48942C25"/>
    <w:rsid w:val="4898666C"/>
    <w:rsid w:val="489B75DE"/>
    <w:rsid w:val="489F44D2"/>
    <w:rsid w:val="48B5305A"/>
    <w:rsid w:val="48B63FE7"/>
    <w:rsid w:val="48C71061"/>
    <w:rsid w:val="48CC7D6E"/>
    <w:rsid w:val="48DD5408"/>
    <w:rsid w:val="48EB5A5C"/>
    <w:rsid w:val="490B579F"/>
    <w:rsid w:val="4920208E"/>
    <w:rsid w:val="492A1C6E"/>
    <w:rsid w:val="492C7D33"/>
    <w:rsid w:val="493A79B5"/>
    <w:rsid w:val="4969605D"/>
    <w:rsid w:val="496D1F2A"/>
    <w:rsid w:val="497C7394"/>
    <w:rsid w:val="498A3B85"/>
    <w:rsid w:val="49AE3287"/>
    <w:rsid w:val="49C65C46"/>
    <w:rsid w:val="49D021B0"/>
    <w:rsid w:val="49D61F4B"/>
    <w:rsid w:val="49D7375C"/>
    <w:rsid w:val="49EC64E1"/>
    <w:rsid w:val="4A11668C"/>
    <w:rsid w:val="4A3546EB"/>
    <w:rsid w:val="4A443774"/>
    <w:rsid w:val="4A4A48A6"/>
    <w:rsid w:val="4A524812"/>
    <w:rsid w:val="4A526073"/>
    <w:rsid w:val="4A56215E"/>
    <w:rsid w:val="4A5D4A40"/>
    <w:rsid w:val="4A63534F"/>
    <w:rsid w:val="4A6C1B50"/>
    <w:rsid w:val="4A7E40F2"/>
    <w:rsid w:val="4A8561F1"/>
    <w:rsid w:val="4A943BC6"/>
    <w:rsid w:val="4AAF17A9"/>
    <w:rsid w:val="4AE74F60"/>
    <w:rsid w:val="4AFF5CC6"/>
    <w:rsid w:val="4B1D3A51"/>
    <w:rsid w:val="4B280F1E"/>
    <w:rsid w:val="4B3D4E30"/>
    <w:rsid w:val="4B413D26"/>
    <w:rsid w:val="4B6B6050"/>
    <w:rsid w:val="4B8B446D"/>
    <w:rsid w:val="4BB317A2"/>
    <w:rsid w:val="4BC27F8D"/>
    <w:rsid w:val="4BC97047"/>
    <w:rsid w:val="4BCC6CCE"/>
    <w:rsid w:val="4BE44E6C"/>
    <w:rsid w:val="4BF446B8"/>
    <w:rsid w:val="4C061338"/>
    <w:rsid w:val="4C497215"/>
    <w:rsid w:val="4C4F5F99"/>
    <w:rsid w:val="4C5474C5"/>
    <w:rsid w:val="4C5D0817"/>
    <w:rsid w:val="4C5E08E0"/>
    <w:rsid w:val="4C7C64A4"/>
    <w:rsid w:val="4CBF4AE9"/>
    <w:rsid w:val="4D0A349B"/>
    <w:rsid w:val="4D0D2E78"/>
    <w:rsid w:val="4D0F04ED"/>
    <w:rsid w:val="4D384A7C"/>
    <w:rsid w:val="4D3A0411"/>
    <w:rsid w:val="4D427C91"/>
    <w:rsid w:val="4D7706F2"/>
    <w:rsid w:val="4DBE12C2"/>
    <w:rsid w:val="4DCE6ED3"/>
    <w:rsid w:val="4E095444"/>
    <w:rsid w:val="4E0E40E2"/>
    <w:rsid w:val="4E333BBB"/>
    <w:rsid w:val="4E4E04E5"/>
    <w:rsid w:val="4E665F7B"/>
    <w:rsid w:val="4E6A06E9"/>
    <w:rsid w:val="4E715DB2"/>
    <w:rsid w:val="4E776B87"/>
    <w:rsid w:val="4E8E5857"/>
    <w:rsid w:val="4EC206BE"/>
    <w:rsid w:val="4EC46EFB"/>
    <w:rsid w:val="4EC951FF"/>
    <w:rsid w:val="4ED04B02"/>
    <w:rsid w:val="4EDD6EFA"/>
    <w:rsid w:val="4EE96853"/>
    <w:rsid w:val="4F105F02"/>
    <w:rsid w:val="4F121BEA"/>
    <w:rsid w:val="4F172396"/>
    <w:rsid w:val="4F3F03C1"/>
    <w:rsid w:val="4F4C2971"/>
    <w:rsid w:val="4F566ACF"/>
    <w:rsid w:val="4F704BBC"/>
    <w:rsid w:val="4F8028EE"/>
    <w:rsid w:val="4F8435B4"/>
    <w:rsid w:val="4FAD0DF7"/>
    <w:rsid w:val="4FBC1F04"/>
    <w:rsid w:val="4FBD361C"/>
    <w:rsid w:val="4FBE1CEA"/>
    <w:rsid w:val="4FC15F00"/>
    <w:rsid w:val="4FF17370"/>
    <w:rsid w:val="50200CEA"/>
    <w:rsid w:val="502E1CFA"/>
    <w:rsid w:val="50371519"/>
    <w:rsid w:val="503D6ACE"/>
    <w:rsid w:val="505A0A75"/>
    <w:rsid w:val="509E2BD3"/>
    <w:rsid w:val="50C04426"/>
    <w:rsid w:val="50C95413"/>
    <w:rsid w:val="50CA58C9"/>
    <w:rsid w:val="50ED0D36"/>
    <w:rsid w:val="50F462DA"/>
    <w:rsid w:val="510B317F"/>
    <w:rsid w:val="51130AD6"/>
    <w:rsid w:val="51147068"/>
    <w:rsid w:val="511B4097"/>
    <w:rsid w:val="512452DA"/>
    <w:rsid w:val="515029F4"/>
    <w:rsid w:val="51777BA1"/>
    <w:rsid w:val="517A1ADB"/>
    <w:rsid w:val="517C1302"/>
    <w:rsid w:val="51901189"/>
    <w:rsid w:val="51952A88"/>
    <w:rsid w:val="51B661F2"/>
    <w:rsid w:val="51BB2EED"/>
    <w:rsid w:val="51E51BA8"/>
    <w:rsid w:val="51EE27E3"/>
    <w:rsid w:val="52101F45"/>
    <w:rsid w:val="52125E5B"/>
    <w:rsid w:val="5213342A"/>
    <w:rsid w:val="52163344"/>
    <w:rsid w:val="52217FFE"/>
    <w:rsid w:val="5234477C"/>
    <w:rsid w:val="52515077"/>
    <w:rsid w:val="52806E8B"/>
    <w:rsid w:val="52B118DE"/>
    <w:rsid w:val="52C52078"/>
    <w:rsid w:val="52CB6EC0"/>
    <w:rsid w:val="52D061DA"/>
    <w:rsid w:val="52D211F8"/>
    <w:rsid w:val="52F26F28"/>
    <w:rsid w:val="53031E61"/>
    <w:rsid w:val="5315442E"/>
    <w:rsid w:val="533907AA"/>
    <w:rsid w:val="5341530E"/>
    <w:rsid w:val="534326DA"/>
    <w:rsid w:val="53434396"/>
    <w:rsid w:val="534D112E"/>
    <w:rsid w:val="53761C93"/>
    <w:rsid w:val="537B0A8C"/>
    <w:rsid w:val="5393301A"/>
    <w:rsid w:val="53971518"/>
    <w:rsid w:val="5399073D"/>
    <w:rsid w:val="539E3677"/>
    <w:rsid w:val="53A84C2D"/>
    <w:rsid w:val="53AB2CD5"/>
    <w:rsid w:val="53AF23D8"/>
    <w:rsid w:val="53B31343"/>
    <w:rsid w:val="53B91D8C"/>
    <w:rsid w:val="53CE2D5A"/>
    <w:rsid w:val="53D82514"/>
    <w:rsid w:val="53E56E6E"/>
    <w:rsid w:val="53EB2495"/>
    <w:rsid w:val="53F17662"/>
    <w:rsid w:val="54010C17"/>
    <w:rsid w:val="540366C1"/>
    <w:rsid w:val="542C2C82"/>
    <w:rsid w:val="543F012A"/>
    <w:rsid w:val="54635F00"/>
    <w:rsid w:val="54661F54"/>
    <w:rsid w:val="546C3F2D"/>
    <w:rsid w:val="547F46DA"/>
    <w:rsid w:val="54944893"/>
    <w:rsid w:val="549F75FE"/>
    <w:rsid w:val="54A51CC5"/>
    <w:rsid w:val="54DD78BD"/>
    <w:rsid w:val="54E06144"/>
    <w:rsid w:val="54F52367"/>
    <w:rsid w:val="550A393D"/>
    <w:rsid w:val="555E54FB"/>
    <w:rsid w:val="556D2811"/>
    <w:rsid w:val="55767F46"/>
    <w:rsid w:val="55CE1AD5"/>
    <w:rsid w:val="55ED37B8"/>
    <w:rsid w:val="55F04C52"/>
    <w:rsid w:val="55F35D23"/>
    <w:rsid w:val="56281CBC"/>
    <w:rsid w:val="56333685"/>
    <w:rsid w:val="567B7B50"/>
    <w:rsid w:val="568F0DF7"/>
    <w:rsid w:val="56A332D5"/>
    <w:rsid w:val="56C325A5"/>
    <w:rsid w:val="56E709F8"/>
    <w:rsid w:val="56F10A56"/>
    <w:rsid w:val="56FB32FA"/>
    <w:rsid w:val="570703AF"/>
    <w:rsid w:val="572D602C"/>
    <w:rsid w:val="57364D30"/>
    <w:rsid w:val="573D71D1"/>
    <w:rsid w:val="57574216"/>
    <w:rsid w:val="57A21363"/>
    <w:rsid w:val="57A54C20"/>
    <w:rsid w:val="57B06D46"/>
    <w:rsid w:val="57B937A9"/>
    <w:rsid w:val="57BB4E50"/>
    <w:rsid w:val="57C34B39"/>
    <w:rsid w:val="57DE1F69"/>
    <w:rsid w:val="57E116B4"/>
    <w:rsid w:val="580C0140"/>
    <w:rsid w:val="580F431F"/>
    <w:rsid w:val="587B6F7C"/>
    <w:rsid w:val="58A22BE9"/>
    <w:rsid w:val="58BD6FD7"/>
    <w:rsid w:val="58DB6137"/>
    <w:rsid w:val="58E44026"/>
    <w:rsid w:val="58E67C57"/>
    <w:rsid w:val="58E94F10"/>
    <w:rsid w:val="58F965E6"/>
    <w:rsid w:val="58FA15B8"/>
    <w:rsid w:val="58FF06B6"/>
    <w:rsid w:val="59046596"/>
    <w:rsid w:val="591C3F4A"/>
    <w:rsid w:val="591F1CBF"/>
    <w:rsid w:val="593E6CC6"/>
    <w:rsid w:val="59404EE0"/>
    <w:rsid w:val="594B0A62"/>
    <w:rsid w:val="594E1B0E"/>
    <w:rsid w:val="594F32F2"/>
    <w:rsid w:val="595461B1"/>
    <w:rsid w:val="59591BB8"/>
    <w:rsid w:val="595C743E"/>
    <w:rsid w:val="59760077"/>
    <w:rsid w:val="59820786"/>
    <w:rsid w:val="59A774F2"/>
    <w:rsid w:val="59AD15AB"/>
    <w:rsid w:val="59CE313C"/>
    <w:rsid w:val="59E474BD"/>
    <w:rsid w:val="59E869EC"/>
    <w:rsid w:val="59FC6B89"/>
    <w:rsid w:val="5A143012"/>
    <w:rsid w:val="5A261D0E"/>
    <w:rsid w:val="5A2E6A84"/>
    <w:rsid w:val="5A412A61"/>
    <w:rsid w:val="5A527BDD"/>
    <w:rsid w:val="5A905E59"/>
    <w:rsid w:val="5A9311E7"/>
    <w:rsid w:val="5AA72593"/>
    <w:rsid w:val="5AD0373D"/>
    <w:rsid w:val="5AF81B7B"/>
    <w:rsid w:val="5AF86253"/>
    <w:rsid w:val="5B047A73"/>
    <w:rsid w:val="5B081862"/>
    <w:rsid w:val="5B1C3DCA"/>
    <w:rsid w:val="5B24355B"/>
    <w:rsid w:val="5B340596"/>
    <w:rsid w:val="5B3F26B3"/>
    <w:rsid w:val="5B467F94"/>
    <w:rsid w:val="5B4B70AC"/>
    <w:rsid w:val="5B8A7522"/>
    <w:rsid w:val="5BA53E1C"/>
    <w:rsid w:val="5BA92AAB"/>
    <w:rsid w:val="5BB41290"/>
    <w:rsid w:val="5BC50503"/>
    <w:rsid w:val="5BCC4827"/>
    <w:rsid w:val="5BF50EB6"/>
    <w:rsid w:val="5BF92128"/>
    <w:rsid w:val="5BFA7DB5"/>
    <w:rsid w:val="5BFB1F01"/>
    <w:rsid w:val="5C075DA6"/>
    <w:rsid w:val="5C1D7D30"/>
    <w:rsid w:val="5C275BD4"/>
    <w:rsid w:val="5C491EC9"/>
    <w:rsid w:val="5C5028D7"/>
    <w:rsid w:val="5C790A6A"/>
    <w:rsid w:val="5C81109C"/>
    <w:rsid w:val="5C9E10E9"/>
    <w:rsid w:val="5C9E40DE"/>
    <w:rsid w:val="5CA11D7F"/>
    <w:rsid w:val="5CAF4CE5"/>
    <w:rsid w:val="5CDA6371"/>
    <w:rsid w:val="5CFC64A7"/>
    <w:rsid w:val="5D1516BF"/>
    <w:rsid w:val="5D1569ED"/>
    <w:rsid w:val="5D1B2A4F"/>
    <w:rsid w:val="5D2E6665"/>
    <w:rsid w:val="5D4F34F7"/>
    <w:rsid w:val="5D623C65"/>
    <w:rsid w:val="5D810CA8"/>
    <w:rsid w:val="5D8C1819"/>
    <w:rsid w:val="5DC477E0"/>
    <w:rsid w:val="5DD05318"/>
    <w:rsid w:val="5DE97207"/>
    <w:rsid w:val="5DEF6C2B"/>
    <w:rsid w:val="5DF22741"/>
    <w:rsid w:val="5DFE50F6"/>
    <w:rsid w:val="5E026A9A"/>
    <w:rsid w:val="5E186B89"/>
    <w:rsid w:val="5E2D7C7A"/>
    <w:rsid w:val="5E4E3F80"/>
    <w:rsid w:val="5E5F4BD4"/>
    <w:rsid w:val="5E852B0D"/>
    <w:rsid w:val="5E8A7777"/>
    <w:rsid w:val="5E932264"/>
    <w:rsid w:val="5EA1268E"/>
    <w:rsid w:val="5ED20F44"/>
    <w:rsid w:val="5EE7073E"/>
    <w:rsid w:val="5EF67A22"/>
    <w:rsid w:val="5EFB4ED5"/>
    <w:rsid w:val="5F123BC6"/>
    <w:rsid w:val="5F184877"/>
    <w:rsid w:val="5F1A7A37"/>
    <w:rsid w:val="5F2E3F46"/>
    <w:rsid w:val="5F406402"/>
    <w:rsid w:val="5F474C09"/>
    <w:rsid w:val="5F475D4B"/>
    <w:rsid w:val="5F63419E"/>
    <w:rsid w:val="5F736746"/>
    <w:rsid w:val="5F880842"/>
    <w:rsid w:val="5FD95A66"/>
    <w:rsid w:val="5FDF7A00"/>
    <w:rsid w:val="5FE12AC5"/>
    <w:rsid w:val="5FF309C7"/>
    <w:rsid w:val="5FFC4765"/>
    <w:rsid w:val="60046C0F"/>
    <w:rsid w:val="600E4F7F"/>
    <w:rsid w:val="60131685"/>
    <w:rsid w:val="601327BB"/>
    <w:rsid w:val="60245068"/>
    <w:rsid w:val="60255BE3"/>
    <w:rsid w:val="602717FC"/>
    <w:rsid w:val="602A62F8"/>
    <w:rsid w:val="602C01A9"/>
    <w:rsid w:val="603B1B21"/>
    <w:rsid w:val="60504051"/>
    <w:rsid w:val="607F2EF2"/>
    <w:rsid w:val="60842FF2"/>
    <w:rsid w:val="60AF5E00"/>
    <w:rsid w:val="60B54161"/>
    <w:rsid w:val="60D43BFA"/>
    <w:rsid w:val="60E16AB6"/>
    <w:rsid w:val="60E40C2C"/>
    <w:rsid w:val="610D2A7D"/>
    <w:rsid w:val="61111BF1"/>
    <w:rsid w:val="61175A9A"/>
    <w:rsid w:val="612129FE"/>
    <w:rsid w:val="61375BEC"/>
    <w:rsid w:val="614A2305"/>
    <w:rsid w:val="614E4437"/>
    <w:rsid w:val="615F1F60"/>
    <w:rsid w:val="6182631E"/>
    <w:rsid w:val="61BC217C"/>
    <w:rsid w:val="61D9772A"/>
    <w:rsid w:val="61DA1B5D"/>
    <w:rsid w:val="61DB33CF"/>
    <w:rsid w:val="61EF0933"/>
    <w:rsid w:val="61F2327B"/>
    <w:rsid w:val="61F64176"/>
    <w:rsid w:val="61F6471A"/>
    <w:rsid w:val="62413765"/>
    <w:rsid w:val="625A4915"/>
    <w:rsid w:val="625E2011"/>
    <w:rsid w:val="626E5BD1"/>
    <w:rsid w:val="627803DA"/>
    <w:rsid w:val="62921FA4"/>
    <w:rsid w:val="62A06349"/>
    <w:rsid w:val="62BF1D8B"/>
    <w:rsid w:val="62C83DFB"/>
    <w:rsid w:val="62DC2379"/>
    <w:rsid w:val="62EF16C5"/>
    <w:rsid w:val="62FA52C3"/>
    <w:rsid w:val="63077DCD"/>
    <w:rsid w:val="63196725"/>
    <w:rsid w:val="631F3FB6"/>
    <w:rsid w:val="63307428"/>
    <w:rsid w:val="63356B20"/>
    <w:rsid w:val="633B4FC0"/>
    <w:rsid w:val="634B7547"/>
    <w:rsid w:val="63647D08"/>
    <w:rsid w:val="63B47AD6"/>
    <w:rsid w:val="63BD1F88"/>
    <w:rsid w:val="63F34E27"/>
    <w:rsid w:val="63FD53D7"/>
    <w:rsid w:val="642E2D6E"/>
    <w:rsid w:val="642F141D"/>
    <w:rsid w:val="6439179D"/>
    <w:rsid w:val="643A7D3D"/>
    <w:rsid w:val="644845EE"/>
    <w:rsid w:val="644C43F2"/>
    <w:rsid w:val="645E071A"/>
    <w:rsid w:val="64611864"/>
    <w:rsid w:val="6465357A"/>
    <w:rsid w:val="64704226"/>
    <w:rsid w:val="647E3F09"/>
    <w:rsid w:val="64870014"/>
    <w:rsid w:val="64B76AA3"/>
    <w:rsid w:val="64C61C82"/>
    <w:rsid w:val="64D124DB"/>
    <w:rsid w:val="65233DA8"/>
    <w:rsid w:val="652A1A84"/>
    <w:rsid w:val="652A5D21"/>
    <w:rsid w:val="65480BBE"/>
    <w:rsid w:val="6554639C"/>
    <w:rsid w:val="65687D20"/>
    <w:rsid w:val="657B264C"/>
    <w:rsid w:val="65933B3C"/>
    <w:rsid w:val="65B955CA"/>
    <w:rsid w:val="65BE6C54"/>
    <w:rsid w:val="65CC3546"/>
    <w:rsid w:val="65CE71FF"/>
    <w:rsid w:val="65EE73B7"/>
    <w:rsid w:val="661A0E12"/>
    <w:rsid w:val="66214D7C"/>
    <w:rsid w:val="6624580B"/>
    <w:rsid w:val="66356B67"/>
    <w:rsid w:val="667B6C3F"/>
    <w:rsid w:val="66933BD2"/>
    <w:rsid w:val="66B40E42"/>
    <w:rsid w:val="66B56D61"/>
    <w:rsid w:val="66B56D68"/>
    <w:rsid w:val="66E9392A"/>
    <w:rsid w:val="66EA1480"/>
    <w:rsid w:val="67056631"/>
    <w:rsid w:val="6745249B"/>
    <w:rsid w:val="674672D3"/>
    <w:rsid w:val="676E6425"/>
    <w:rsid w:val="67770DB9"/>
    <w:rsid w:val="67776ADD"/>
    <w:rsid w:val="6779797F"/>
    <w:rsid w:val="6789047F"/>
    <w:rsid w:val="67A720F6"/>
    <w:rsid w:val="67AC1398"/>
    <w:rsid w:val="67E7540E"/>
    <w:rsid w:val="67EA1736"/>
    <w:rsid w:val="67FC02AC"/>
    <w:rsid w:val="68006207"/>
    <w:rsid w:val="68070E08"/>
    <w:rsid w:val="682D2C3F"/>
    <w:rsid w:val="682D432C"/>
    <w:rsid w:val="68382592"/>
    <w:rsid w:val="684A32DA"/>
    <w:rsid w:val="68524FFC"/>
    <w:rsid w:val="68784674"/>
    <w:rsid w:val="687C00C8"/>
    <w:rsid w:val="687C4042"/>
    <w:rsid w:val="68A742AD"/>
    <w:rsid w:val="68B87F12"/>
    <w:rsid w:val="68C25CFA"/>
    <w:rsid w:val="68C731B8"/>
    <w:rsid w:val="68D536DE"/>
    <w:rsid w:val="69044A5D"/>
    <w:rsid w:val="691052CA"/>
    <w:rsid w:val="69194464"/>
    <w:rsid w:val="691D05F7"/>
    <w:rsid w:val="69312B59"/>
    <w:rsid w:val="69446209"/>
    <w:rsid w:val="69534859"/>
    <w:rsid w:val="69726337"/>
    <w:rsid w:val="698B1B24"/>
    <w:rsid w:val="6994580C"/>
    <w:rsid w:val="69B75241"/>
    <w:rsid w:val="69BB0755"/>
    <w:rsid w:val="69FB0A5B"/>
    <w:rsid w:val="6A115C81"/>
    <w:rsid w:val="6A22015C"/>
    <w:rsid w:val="6A7A60F7"/>
    <w:rsid w:val="6A7E417E"/>
    <w:rsid w:val="6AAC2E76"/>
    <w:rsid w:val="6AD73CE6"/>
    <w:rsid w:val="6AEE1969"/>
    <w:rsid w:val="6B0A125F"/>
    <w:rsid w:val="6B23484A"/>
    <w:rsid w:val="6B30457A"/>
    <w:rsid w:val="6B3B1CB3"/>
    <w:rsid w:val="6B43702A"/>
    <w:rsid w:val="6B524C27"/>
    <w:rsid w:val="6B5A1EC9"/>
    <w:rsid w:val="6B7308B4"/>
    <w:rsid w:val="6B744505"/>
    <w:rsid w:val="6B7B26EC"/>
    <w:rsid w:val="6B990784"/>
    <w:rsid w:val="6BA2498F"/>
    <w:rsid w:val="6BB93C93"/>
    <w:rsid w:val="6BBC51E6"/>
    <w:rsid w:val="6BBF609A"/>
    <w:rsid w:val="6BCA0F7D"/>
    <w:rsid w:val="6BDE4DDD"/>
    <w:rsid w:val="6BE07242"/>
    <w:rsid w:val="6BE82C3E"/>
    <w:rsid w:val="6BE972DB"/>
    <w:rsid w:val="6BFE0452"/>
    <w:rsid w:val="6C0F2440"/>
    <w:rsid w:val="6C176418"/>
    <w:rsid w:val="6C392A9F"/>
    <w:rsid w:val="6C452784"/>
    <w:rsid w:val="6C4D097B"/>
    <w:rsid w:val="6C531367"/>
    <w:rsid w:val="6C5973BD"/>
    <w:rsid w:val="6C5F452A"/>
    <w:rsid w:val="6C762792"/>
    <w:rsid w:val="6C7D1213"/>
    <w:rsid w:val="6C801375"/>
    <w:rsid w:val="6C822E35"/>
    <w:rsid w:val="6CA714E6"/>
    <w:rsid w:val="6CEF6EBD"/>
    <w:rsid w:val="6CF01C95"/>
    <w:rsid w:val="6CF542B7"/>
    <w:rsid w:val="6CFA3A07"/>
    <w:rsid w:val="6D0071CD"/>
    <w:rsid w:val="6D18295E"/>
    <w:rsid w:val="6D1A13F6"/>
    <w:rsid w:val="6D1F12FA"/>
    <w:rsid w:val="6D206AE2"/>
    <w:rsid w:val="6D5941BB"/>
    <w:rsid w:val="6D5B0CBD"/>
    <w:rsid w:val="6D6F3AB1"/>
    <w:rsid w:val="6D73256C"/>
    <w:rsid w:val="6D8A08D8"/>
    <w:rsid w:val="6D961017"/>
    <w:rsid w:val="6DCE3EDB"/>
    <w:rsid w:val="6DD23F1E"/>
    <w:rsid w:val="6DDB4275"/>
    <w:rsid w:val="6DEE2081"/>
    <w:rsid w:val="6E0135EB"/>
    <w:rsid w:val="6E210E7D"/>
    <w:rsid w:val="6E336938"/>
    <w:rsid w:val="6E360304"/>
    <w:rsid w:val="6E4C0EF4"/>
    <w:rsid w:val="6E565A56"/>
    <w:rsid w:val="6E5C1E9E"/>
    <w:rsid w:val="6E5D68D3"/>
    <w:rsid w:val="6E682450"/>
    <w:rsid w:val="6E7251F0"/>
    <w:rsid w:val="6E757524"/>
    <w:rsid w:val="6E7934F3"/>
    <w:rsid w:val="6E9C5623"/>
    <w:rsid w:val="6E9E05A5"/>
    <w:rsid w:val="6EAD6286"/>
    <w:rsid w:val="6EB24C59"/>
    <w:rsid w:val="6EBD3CCD"/>
    <w:rsid w:val="6EC9468F"/>
    <w:rsid w:val="6ECD60E1"/>
    <w:rsid w:val="6EDB6C60"/>
    <w:rsid w:val="6F2428C0"/>
    <w:rsid w:val="6F433285"/>
    <w:rsid w:val="6F591B5D"/>
    <w:rsid w:val="6F7E65DB"/>
    <w:rsid w:val="6F7F6D3A"/>
    <w:rsid w:val="6F981073"/>
    <w:rsid w:val="6FA172A4"/>
    <w:rsid w:val="6FF72D78"/>
    <w:rsid w:val="6FFF65EB"/>
    <w:rsid w:val="702D3A00"/>
    <w:rsid w:val="70341230"/>
    <w:rsid w:val="70342FAD"/>
    <w:rsid w:val="7034472B"/>
    <w:rsid w:val="705A14E5"/>
    <w:rsid w:val="705A4D1B"/>
    <w:rsid w:val="705F37D3"/>
    <w:rsid w:val="708B108A"/>
    <w:rsid w:val="709143C4"/>
    <w:rsid w:val="70930271"/>
    <w:rsid w:val="70DB5146"/>
    <w:rsid w:val="70E51B6F"/>
    <w:rsid w:val="70E561EA"/>
    <w:rsid w:val="70FA4092"/>
    <w:rsid w:val="70FC3C7A"/>
    <w:rsid w:val="71075B1A"/>
    <w:rsid w:val="710E7F44"/>
    <w:rsid w:val="71193089"/>
    <w:rsid w:val="71211292"/>
    <w:rsid w:val="71243B68"/>
    <w:rsid w:val="712776C4"/>
    <w:rsid w:val="714344B4"/>
    <w:rsid w:val="71654226"/>
    <w:rsid w:val="7181738B"/>
    <w:rsid w:val="71820038"/>
    <w:rsid w:val="718B1478"/>
    <w:rsid w:val="71990145"/>
    <w:rsid w:val="719E164B"/>
    <w:rsid w:val="71C90ED8"/>
    <w:rsid w:val="71D72430"/>
    <w:rsid w:val="71E12038"/>
    <w:rsid w:val="720A6753"/>
    <w:rsid w:val="720F4AFB"/>
    <w:rsid w:val="72112B83"/>
    <w:rsid w:val="72143F3C"/>
    <w:rsid w:val="721F61D9"/>
    <w:rsid w:val="723D42BE"/>
    <w:rsid w:val="72412901"/>
    <w:rsid w:val="72553DBC"/>
    <w:rsid w:val="72887B37"/>
    <w:rsid w:val="72910320"/>
    <w:rsid w:val="72A53302"/>
    <w:rsid w:val="72B3410C"/>
    <w:rsid w:val="72BD6DA9"/>
    <w:rsid w:val="72CB01B8"/>
    <w:rsid w:val="72D95B00"/>
    <w:rsid w:val="72F66709"/>
    <w:rsid w:val="730554B3"/>
    <w:rsid w:val="73092FAA"/>
    <w:rsid w:val="732C3102"/>
    <w:rsid w:val="73413694"/>
    <w:rsid w:val="734608F5"/>
    <w:rsid w:val="736D4BAC"/>
    <w:rsid w:val="736F1AFC"/>
    <w:rsid w:val="739B5B15"/>
    <w:rsid w:val="73B36872"/>
    <w:rsid w:val="73BA58B5"/>
    <w:rsid w:val="73CA3FB8"/>
    <w:rsid w:val="73E63732"/>
    <w:rsid w:val="73EC345F"/>
    <w:rsid w:val="73FD1118"/>
    <w:rsid w:val="74090510"/>
    <w:rsid w:val="740E2D2D"/>
    <w:rsid w:val="7410282D"/>
    <w:rsid w:val="741752A2"/>
    <w:rsid w:val="74223A5C"/>
    <w:rsid w:val="746B6757"/>
    <w:rsid w:val="74780C44"/>
    <w:rsid w:val="7479294A"/>
    <w:rsid w:val="747B5C9D"/>
    <w:rsid w:val="747F1177"/>
    <w:rsid w:val="748028C0"/>
    <w:rsid w:val="74A471EE"/>
    <w:rsid w:val="74C111AB"/>
    <w:rsid w:val="74C768EE"/>
    <w:rsid w:val="74CA493F"/>
    <w:rsid w:val="74E97F38"/>
    <w:rsid w:val="74F13E40"/>
    <w:rsid w:val="750B1697"/>
    <w:rsid w:val="752A3F7B"/>
    <w:rsid w:val="7533655A"/>
    <w:rsid w:val="75444F15"/>
    <w:rsid w:val="75485488"/>
    <w:rsid w:val="75733C39"/>
    <w:rsid w:val="758516A2"/>
    <w:rsid w:val="759A2104"/>
    <w:rsid w:val="75B35E00"/>
    <w:rsid w:val="75CD1343"/>
    <w:rsid w:val="75EB2F64"/>
    <w:rsid w:val="761D1573"/>
    <w:rsid w:val="765B6CE9"/>
    <w:rsid w:val="765D3DA8"/>
    <w:rsid w:val="766740C2"/>
    <w:rsid w:val="766852F0"/>
    <w:rsid w:val="766A6521"/>
    <w:rsid w:val="766C7968"/>
    <w:rsid w:val="766E7DAC"/>
    <w:rsid w:val="76936F16"/>
    <w:rsid w:val="76993FC0"/>
    <w:rsid w:val="76A64EB2"/>
    <w:rsid w:val="76BC1014"/>
    <w:rsid w:val="77025DC3"/>
    <w:rsid w:val="772354E1"/>
    <w:rsid w:val="77276E30"/>
    <w:rsid w:val="772C68C6"/>
    <w:rsid w:val="776C53FF"/>
    <w:rsid w:val="776E3681"/>
    <w:rsid w:val="777E5705"/>
    <w:rsid w:val="7781654E"/>
    <w:rsid w:val="779231D8"/>
    <w:rsid w:val="77A618BC"/>
    <w:rsid w:val="77B92312"/>
    <w:rsid w:val="7827423F"/>
    <w:rsid w:val="78386307"/>
    <w:rsid w:val="78493B6B"/>
    <w:rsid w:val="7850391E"/>
    <w:rsid w:val="78597E32"/>
    <w:rsid w:val="78703EBE"/>
    <w:rsid w:val="78805A36"/>
    <w:rsid w:val="78830880"/>
    <w:rsid w:val="78A51D8F"/>
    <w:rsid w:val="78AE0946"/>
    <w:rsid w:val="78D1727E"/>
    <w:rsid w:val="78D17516"/>
    <w:rsid w:val="78D96E40"/>
    <w:rsid w:val="7911644D"/>
    <w:rsid w:val="792078D7"/>
    <w:rsid w:val="79331EC1"/>
    <w:rsid w:val="79404911"/>
    <w:rsid w:val="794D0D3C"/>
    <w:rsid w:val="7986601A"/>
    <w:rsid w:val="7993616D"/>
    <w:rsid w:val="799D69BF"/>
    <w:rsid w:val="79AE14B2"/>
    <w:rsid w:val="79B1687C"/>
    <w:rsid w:val="79B22738"/>
    <w:rsid w:val="79CE4B72"/>
    <w:rsid w:val="79FE0269"/>
    <w:rsid w:val="7A055366"/>
    <w:rsid w:val="7A292C38"/>
    <w:rsid w:val="7A49541C"/>
    <w:rsid w:val="7A5F22B4"/>
    <w:rsid w:val="7A680094"/>
    <w:rsid w:val="7A7508D5"/>
    <w:rsid w:val="7A80455C"/>
    <w:rsid w:val="7A81102C"/>
    <w:rsid w:val="7AA37ECA"/>
    <w:rsid w:val="7AB16073"/>
    <w:rsid w:val="7ABB5514"/>
    <w:rsid w:val="7AC2458A"/>
    <w:rsid w:val="7ADE3222"/>
    <w:rsid w:val="7AF04DB0"/>
    <w:rsid w:val="7B0D28AD"/>
    <w:rsid w:val="7B133363"/>
    <w:rsid w:val="7B1C1737"/>
    <w:rsid w:val="7B2F5379"/>
    <w:rsid w:val="7B322761"/>
    <w:rsid w:val="7B3C2640"/>
    <w:rsid w:val="7B4443D1"/>
    <w:rsid w:val="7BB151FD"/>
    <w:rsid w:val="7BB43296"/>
    <w:rsid w:val="7BDE6C84"/>
    <w:rsid w:val="7BE07A81"/>
    <w:rsid w:val="7BE81B8B"/>
    <w:rsid w:val="7BE97D38"/>
    <w:rsid w:val="7BF01170"/>
    <w:rsid w:val="7C272B3E"/>
    <w:rsid w:val="7C471D4F"/>
    <w:rsid w:val="7C5A71C2"/>
    <w:rsid w:val="7C7A6596"/>
    <w:rsid w:val="7CA76A22"/>
    <w:rsid w:val="7CB167D6"/>
    <w:rsid w:val="7CCC4E54"/>
    <w:rsid w:val="7CEB2ACD"/>
    <w:rsid w:val="7CEF6F65"/>
    <w:rsid w:val="7CF41D8D"/>
    <w:rsid w:val="7D2745EF"/>
    <w:rsid w:val="7D2D2CA0"/>
    <w:rsid w:val="7D5C29E8"/>
    <w:rsid w:val="7D7A7BC6"/>
    <w:rsid w:val="7D995EB0"/>
    <w:rsid w:val="7DBB08B6"/>
    <w:rsid w:val="7DBC7173"/>
    <w:rsid w:val="7DD90B59"/>
    <w:rsid w:val="7DEF15A6"/>
    <w:rsid w:val="7DFC511B"/>
    <w:rsid w:val="7E0565F6"/>
    <w:rsid w:val="7E221AFC"/>
    <w:rsid w:val="7E2A514E"/>
    <w:rsid w:val="7E2C4E20"/>
    <w:rsid w:val="7E2D20BE"/>
    <w:rsid w:val="7E4306A6"/>
    <w:rsid w:val="7E5733E1"/>
    <w:rsid w:val="7E660C33"/>
    <w:rsid w:val="7E6637F7"/>
    <w:rsid w:val="7E707801"/>
    <w:rsid w:val="7E733B66"/>
    <w:rsid w:val="7E8A121F"/>
    <w:rsid w:val="7EA36680"/>
    <w:rsid w:val="7EC12AAE"/>
    <w:rsid w:val="7EC52141"/>
    <w:rsid w:val="7EC73D34"/>
    <w:rsid w:val="7ED12FEE"/>
    <w:rsid w:val="7EFD03F7"/>
    <w:rsid w:val="7F1648D6"/>
    <w:rsid w:val="7F21639D"/>
    <w:rsid w:val="7F23784E"/>
    <w:rsid w:val="7F442E56"/>
    <w:rsid w:val="7F457080"/>
    <w:rsid w:val="7F486BDC"/>
    <w:rsid w:val="7F4C71A0"/>
    <w:rsid w:val="7F5124CE"/>
    <w:rsid w:val="7F5653E5"/>
    <w:rsid w:val="7F6347A3"/>
    <w:rsid w:val="7F7B4335"/>
    <w:rsid w:val="7F8805ED"/>
    <w:rsid w:val="7FB745D2"/>
    <w:rsid w:val="7FC4182D"/>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42</TotalTime>
  <ScaleCrop>false</ScaleCrop>
  <LinksUpToDate>false</LinksUpToDate>
  <CharactersWithSpaces>26786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2020-11-19T08:04:31Z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2052-11.1.0.10132</vt:lpwstr>
  </property>
</Properties>
</file>