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rPr>
          <w:rFonts w:cs="Times New Roman"/>
        </w:rPr>
      </w:pPr>
      <w:r>
        <w:drawing>
          <wp:anchor distT="0" distB="0" distL="114300" distR="114300" simplePos="0" relativeHeight="251658240" behindDoc="1" locked="0" layoutInCell="1" allowOverlap="1">
            <wp:simplePos x="0" y="0"/>
            <wp:positionH relativeFrom="column">
              <wp:posOffset>-1078230</wp:posOffset>
            </wp:positionH>
            <wp:positionV relativeFrom="paragraph">
              <wp:posOffset>-919480</wp:posOffset>
            </wp:positionV>
            <wp:extent cx="7644765" cy="10696575"/>
            <wp:effectExtent l="19050" t="0" r="0" b="0"/>
            <wp:wrapNone/>
            <wp:docPr id="1" name="图片 1" descr="封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封面.jpg"/>
                    <pic:cNvPicPr>
                      <a:picLocks noChangeAspect="1"/>
                    </pic:cNvPicPr>
                  </pic:nvPicPr>
                  <pic:blipFill>
                    <a:blip r:embed="rId6"/>
                    <a:stretch>
                      <a:fillRect/>
                    </a:stretch>
                  </pic:blipFill>
                  <pic:spPr>
                    <a:xfrm>
                      <a:off x="0" y="0"/>
                      <a:ext cx="7644765" cy="10696575"/>
                    </a:xfrm>
                    <a:prstGeom prst="rect">
                      <a:avLst/>
                    </a:prstGeom>
                    <a:noFill/>
                    <a:ln>
                      <a:noFill/>
                    </a:ln>
                  </pic:spPr>
                </pic:pic>
              </a:graphicData>
            </a:graphic>
          </wp:anchor>
        </w:drawing>
      </w:r>
    </w:p>
    <w:p>
      <w:pPr>
        <w:pStyle w:val="40"/>
        <w:tabs>
          <w:tab w:val="center" w:pos="4153"/>
          <w:tab w:val="left" w:pos="5910"/>
          <w:tab w:val="left" w:pos="7501"/>
        </w:tabs>
        <w:spacing w:line="400" w:lineRule="exact"/>
        <w:rPr>
          <w:rFonts w:ascii="宋体" w:hAnsi="宋体" w:cs="宋体"/>
          <w:b/>
          <w:bCs/>
          <w:color w:val="000000"/>
          <w:sz w:val="28"/>
          <w:szCs w:val="28"/>
          <w:lang w:eastAsia="zh-CN"/>
        </w:rPr>
      </w:pPr>
      <w:r>
        <w:rPr>
          <w:lang w:eastAsia="zh-CN"/>
        </w:rPr>
        <mc:AlternateContent>
          <mc:Choice Requires="wps">
            <w:drawing>
              <wp:anchor distT="0" distB="0" distL="114300" distR="114300" simplePos="0" relativeHeight="251659264" behindDoc="0" locked="0" layoutInCell="1" allowOverlap="1">
                <wp:simplePos x="0" y="0"/>
                <wp:positionH relativeFrom="column">
                  <wp:posOffset>2228215</wp:posOffset>
                </wp:positionH>
                <wp:positionV relativeFrom="paragraph">
                  <wp:posOffset>6231890</wp:posOffset>
                </wp:positionV>
                <wp:extent cx="1705610" cy="687070"/>
                <wp:effectExtent l="0" t="0" r="0" b="0"/>
                <wp:wrapNone/>
                <wp:docPr id="2" name="文本框 4"/>
                <wp:cNvGraphicFramePr/>
                <a:graphic xmlns:a="http://schemas.openxmlformats.org/drawingml/2006/main">
                  <a:graphicData uri="http://schemas.microsoft.com/office/word/2010/wordprocessingShape">
                    <wps:wsp>
                      <wps:cNvSpPr txBox="1"/>
                      <wps:spPr>
                        <a:xfrm>
                          <a:off x="0" y="0"/>
                          <a:ext cx="1705610" cy="687070"/>
                        </a:xfrm>
                        <a:prstGeom prst="rect">
                          <a:avLst/>
                        </a:prstGeom>
                        <a:noFill/>
                        <a:ln>
                          <a:noFill/>
                        </a:ln>
                        <a:effectLst/>
                      </wps:spPr>
                      <wps:txbx>
                        <w:txbxContent>
                          <w:p>
                            <w:pPr>
                              <w:pStyle w:val="2"/>
                              <w:rPr>
                                <w:rFonts w:hint="default" w:eastAsia="黑体" w:cs="Times New Roman"/>
                                <w:lang w:val="en-US" w:eastAsia="zh-CN"/>
                              </w:rPr>
                            </w:pPr>
                            <w:bookmarkStart w:id="22" w:name="_Toc519147013"/>
                            <w:bookmarkStart w:id="23" w:name="_Toc508267081"/>
                            <w:bookmarkStart w:id="24" w:name="_Toc505947794"/>
                            <w:bookmarkStart w:id="25" w:name="_Toc510190043"/>
                            <w:bookmarkStart w:id="26" w:name="_Toc524704217"/>
                            <w:bookmarkStart w:id="27" w:name="_Toc510190825"/>
                            <w:bookmarkStart w:id="28" w:name="_Toc521051959"/>
                            <w:bookmarkStart w:id="29" w:name="_Toc514422624"/>
                            <w:bookmarkStart w:id="30" w:name="_Toc528936986"/>
                            <w:bookmarkStart w:id="31" w:name="_Toc530728485"/>
                            <w:bookmarkStart w:id="32" w:name="_Toc513118842"/>
                            <w:bookmarkStart w:id="33" w:name="_Toc511397199"/>
                            <w:bookmarkStart w:id="34" w:name="_Toc522890290"/>
                            <w:bookmarkStart w:id="35" w:name="_Toc527728174"/>
                            <w:bookmarkStart w:id="36" w:name="_Toc517427833"/>
                            <w:bookmarkStart w:id="37" w:name="_Toc505347182"/>
                            <w:bookmarkStart w:id="38" w:name="_Toc527640818"/>
                            <w:bookmarkStart w:id="39" w:name="_Toc529455508"/>
                            <w:bookmarkStart w:id="40" w:name="_Toc1132017"/>
                            <w:bookmarkStart w:id="41" w:name="_Toc505261402"/>
                            <w:bookmarkStart w:id="42" w:name="_Toc534383436"/>
                            <w:bookmarkStart w:id="43" w:name="_Toc507769000"/>
                            <w:bookmarkStart w:id="44" w:name="_Toc528913994"/>
                            <w:bookmarkStart w:id="45" w:name="_Toc523381108"/>
                            <w:bookmarkStart w:id="46" w:name="_Toc519865236"/>
                            <w:bookmarkStart w:id="47" w:name="_Toc485828984"/>
                            <w:bookmarkStart w:id="48" w:name="_Toc531358358"/>
                            <w:bookmarkStart w:id="49" w:name="_Toc513728611"/>
                            <w:bookmarkStart w:id="50" w:name="_Toc533167784"/>
                            <w:bookmarkStart w:id="51" w:name="_Toc529541800"/>
                            <w:bookmarkStart w:id="52" w:name="_Toc523494890"/>
                            <w:bookmarkStart w:id="53" w:name="_Toc508369676"/>
                            <w:bookmarkStart w:id="54" w:name="_Toc515633934"/>
                            <w:bookmarkStart w:id="55" w:name="_Toc521075423"/>
                            <w:bookmarkStart w:id="56" w:name="_Toc518650435"/>
                            <w:bookmarkStart w:id="57" w:name="_Toc516237036"/>
                            <w:bookmarkStart w:id="58" w:name="_Toc510166278"/>
                            <w:bookmarkStart w:id="59" w:name="_Toc517448405"/>
                            <w:bookmarkStart w:id="60" w:name="_Toc520381693"/>
                            <w:bookmarkStart w:id="61" w:name="_Toc525913129"/>
                            <w:bookmarkStart w:id="62" w:name="_Toc515612471"/>
                            <w:bookmarkStart w:id="63" w:name="_Toc511375612"/>
                            <w:bookmarkStart w:id="64" w:name="_Toc511290048"/>
                            <w:bookmarkStart w:id="65" w:name="_Toc519258206"/>
                            <w:bookmarkStart w:id="66" w:name="_Toc513123883"/>
                            <w:bookmarkStart w:id="67" w:name="_Toc532566849"/>
                            <w:bookmarkStart w:id="68" w:name="_Toc524334722"/>
                            <w:bookmarkStart w:id="69" w:name="_Toc504744209"/>
                            <w:bookmarkStart w:id="70" w:name="_Toc527037029"/>
                            <w:bookmarkStart w:id="71" w:name="_Toc512520694"/>
                            <w:bookmarkStart w:id="72" w:name="_Toc513211123"/>
                            <w:bookmarkStart w:id="73" w:name="_Toc513728505"/>
                            <w:bookmarkStart w:id="74" w:name="_Toc519842315"/>
                            <w:bookmarkStart w:id="75" w:name="_Toc521586415"/>
                            <w:bookmarkStart w:id="76" w:name="_Toc509582478"/>
                            <w:bookmarkStart w:id="77" w:name="_Toc530057359"/>
                            <w:bookmarkStart w:id="78" w:name="_Toc520452528"/>
                            <w:bookmarkStart w:id="79" w:name="_Toc512001762"/>
                            <w:bookmarkStart w:id="80" w:name="_Toc513816736"/>
                            <w:bookmarkStart w:id="81" w:name="_Toc533168359"/>
                            <w:bookmarkStart w:id="82" w:name="_Toc533674480"/>
                            <w:bookmarkStart w:id="83" w:name="_Toc515611913"/>
                            <w:bookmarkStart w:id="84" w:name="_Toc508960595"/>
                            <w:bookmarkStart w:id="85" w:name="_Toc530147840"/>
                            <w:bookmarkStart w:id="86" w:name="_Toc509574325"/>
                            <w:bookmarkStart w:id="87" w:name="_Toc518051249"/>
                            <w:bookmarkStart w:id="88" w:name="_Toc527035872"/>
                            <w:bookmarkStart w:id="89" w:name="_Toc520366056"/>
                            <w:bookmarkStart w:id="90" w:name="_Toc531271720"/>
                            <w:bookmarkStart w:id="91" w:name="_Toc522179796"/>
                            <w:bookmarkStart w:id="92" w:name="_Toc515027608"/>
                            <w:bookmarkStart w:id="93" w:name="_Toc530751847"/>
                            <w:bookmarkStart w:id="94" w:name="_Toc512521225"/>
                            <w:bookmarkStart w:id="95" w:name="_Toc514329181"/>
                            <w:bookmarkStart w:id="96" w:name="_Toc531854138"/>
                            <w:bookmarkStart w:id="97" w:name="_Toc504057445"/>
                            <w:bookmarkStart w:id="98" w:name="_Toc504140101"/>
                            <w:bookmarkStart w:id="99" w:name="_Toc530149342"/>
                            <w:bookmarkStart w:id="100" w:name="_Toc528222492"/>
                            <w:bookmarkStart w:id="101" w:name="_Toc516819989"/>
                            <w:bookmarkStart w:id="102" w:name="_Toc533083465"/>
                            <w:bookmarkStart w:id="103" w:name="_Toc518548545"/>
                            <w:bookmarkStart w:id="104" w:name="_Toc512606000"/>
                            <w:bookmarkStart w:id="105" w:name="_Toc533777202"/>
                            <w:bookmarkStart w:id="106" w:name="_Toc511898980"/>
                            <w:bookmarkStart w:id="107" w:name="_Toc522285450"/>
                            <w:bookmarkStart w:id="108" w:name="_Toc514921969"/>
                            <w:bookmarkStart w:id="109" w:name="_Toc507665368"/>
                            <w:bookmarkStart w:id="110" w:name="_Toc504123327"/>
                            <w:bookmarkStart w:id="111" w:name="_Toc521053860"/>
                            <w:bookmarkStart w:id="112" w:name="_Toc531943255"/>
                            <w:bookmarkStart w:id="113" w:name="_Toc517965461"/>
                            <w:bookmarkStart w:id="114" w:name="_Toc518651973"/>
                            <w:bookmarkStart w:id="115" w:name="_Toc525309223"/>
                            <w:bookmarkStart w:id="116" w:name="_Toc504651767"/>
                            <w:bookmarkStart w:id="117" w:name="_Toc527123553"/>
                            <w:bookmarkStart w:id="118" w:name="_Toc523991798"/>
                            <w:bookmarkStart w:id="119" w:name="_Toc521679472"/>
                            <w:bookmarkStart w:id="120" w:name="_Toc528332594"/>
                            <w:bookmarkStart w:id="121" w:name="_Toc516841874"/>
                            <w:bookmarkStart w:id="122" w:name="_Toc508975637"/>
                            <w:r>
                              <w:rPr>
                                <w:kern w:val="2"/>
                              </w:rPr>
                              <w:t>20</w:t>
                            </w:r>
                            <w:r>
                              <w:rPr>
                                <w:rFonts w:hint="eastAsia"/>
                                <w:kern w:val="2"/>
                                <w:lang w:val="en-US" w:eastAsia="zh-CN"/>
                              </w:rPr>
                              <w:t>20</w:t>
                            </w:r>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r>
                              <w:rPr>
                                <w:rFonts w:hint="eastAsia"/>
                                <w:kern w:val="2"/>
                                <w:lang w:val="en-US" w:eastAsia="zh-CN"/>
                              </w:rPr>
                              <w:t>.11.13</w:t>
                            </w:r>
                          </w:p>
                        </w:txbxContent>
                      </wps:txbx>
                      <wps:bodyPr upright="1"/>
                    </wps:wsp>
                  </a:graphicData>
                </a:graphic>
              </wp:anchor>
            </w:drawing>
          </mc:Choice>
          <mc:Fallback>
            <w:pict>
              <v:shape id="文本框 4" o:spid="_x0000_s1026" o:spt="202" type="#_x0000_t202" style="position:absolute;left:0pt;margin-left:175.45pt;margin-top:490.7pt;height:54.1pt;width:134.3pt;z-index:251659264;mso-width-relative:page;mso-height-relative:page;" filled="f" stroked="f" coordsize="21600,21600" o:gfxdata="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Gvx7vYAAAADAEAAA8AAAAAAAAAAQAgAAAAIgAAAGRycy9k&#10;b3ducmV2LnhtbFBLAQIUABQAAAAIAIdO4kBg14lokAEAAA4DAAAOAAAAAAAAAAEAIAAAACcBAABk&#10;cnMvZTJvRG9jLnhtbFBLBQYAAAAABgAGAFkBAAApBQAAAAA=&#10;">
                <v:fill on="f" focussize="0,0"/>
                <v:stroke on="f"/>
                <v:imagedata o:title=""/>
                <o:lock v:ext="edit" aspectratio="f"/>
                <v:textbox>
                  <w:txbxContent>
                    <w:p>
                      <w:pPr>
                        <w:pStyle w:val="2"/>
                        <w:rPr>
                          <w:rFonts w:hint="default" w:eastAsia="黑体" w:cs="Times New Roman"/>
                          <w:lang w:val="en-US" w:eastAsia="zh-CN"/>
                        </w:rPr>
                      </w:pPr>
                      <w:bookmarkStart w:id="22" w:name="_Toc519147013"/>
                      <w:bookmarkStart w:id="23" w:name="_Toc508267081"/>
                      <w:bookmarkStart w:id="24" w:name="_Toc505947794"/>
                      <w:bookmarkStart w:id="25" w:name="_Toc510190043"/>
                      <w:bookmarkStart w:id="26" w:name="_Toc524704217"/>
                      <w:bookmarkStart w:id="27" w:name="_Toc510190825"/>
                      <w:bookmarkStart w:id="28" w:name="_Toc521051959"/>
                      <w:bookmarkStart w:id="29" w:name="_Toc514422624"/>
                      <w:bookmarkStart w:id="30" w:name="_Toc528936986"/>
                      <w:bookmarkStart w:id="31" w:name="_Toc530728485"/>
                      <w:bookmarkStart w:id="32" w:name="_Toc513118842"/>
                      <w:bookmarkStart w:id="33" w:name="_Toc511397199"/>
                      <w:bookmarkStart w:id="34" w:name="_Toc522890290"/>
                      <w:bookmarkStart w:id="35" w:name="_Toc527728174"/>
                      <w:bookmarkStart w:id="36" w:name="_Toc517427833"/>
                      <w:bookmarkStart w:id="37" w:name="_Toc505347182"/>
                      <w:bookmarkStart w:id="38" w:name="_Toc527640818"/>
                      <w:bookmarkStart w:id="39" w:name="_Toc529455508"/>
                      <w:bookmarkStart w:id="40" w:name="_Toc1132017"/>
                      <w:bookmarkStart w:id="41" w:name="_Toc505261402"/>
                      <w:bookmarkStart w:id="42" w:name="_Toc534383436"/>
                      <w:bookmarkStart w:id="43" w:name="_Toc507769000"/>
                      <w:bookmarkStart w:id="44" w:name="_Toc528913994"/>
                      <w:bookmarkStart w:id="45" w:name="_Toc523381108"/>
                      <w:bookmarkStart w:id="46" w:name="_Toc519865236"/>
                      <w:bookmarkStart w:id="47" w:name="_Toc485828984"/>
                      <w:bookmarkStart w:id="48" w:name="_Toc531358358"/>
                      <w:bookmarkStart w:id="49" w:name="_Toc513728611"/>
                      <w:bookmarkStart w:id="50" w:name="_Toc533167784"/>
                      <w:bookmarkStart w:id="51" w:name="_Toc529541800"/>
                      <w:bookmarkStart w:id="52" w:name="_Toc523494890"/>
                      <w:bookmarkStart w:id="53" w:name="_Toc508369676"/>
                      <w:bookmarkStart w:id="54" w:name="_Toc515633934"/>
                      <w:bookmarkStart w:id="55" w:name="_Toc521075423"/>
                      <w:bookmarkStart w:id="56" w:name="_Toc518650435"/>
                      <w:bookmarkStart w:id="57" w:name="_Toc516237036"/>
                      <w:bookmarkStart w:id="58" w:name="_Toc510166278"/>
                      <w:bookmarkStart w:id="59" w:name="_Toc517448405"/>
                      <w:bookmarkStart w:id="60" w:name="_Toc520381693"/>
                      <w:bookmarkStart w:id="61" w:name="_Toc525913129"/>
                      <w:bookmarkStart w:id="62" w:name="_Toc515612471"/>
                      <w:bookmarkStart w:id="63" w:name="_Toc511375612"/>
                      <w:bookmarkStart w:id="64" w:name="_Toc511290048"/>
                      <w:bookmarkStart w:id="65" w:name="_Toc519258206"/>
                      <w:bookmarkStart w:id="66" w:name="_Toc513123883"/>
                      <w:bookmarkStart w:id="67" w:name="_Toc532566849"/>
                      <w:bookmarkStart w:id="68" w:name="_Toc524334722"/>
                      <w:bookmarkStart w:id="69" w:name="_Toc504744209"/>
                      <w:bookmarkStart w:id="70" w:name="_Toc527037029"/>
                      <w:bookmarkStart w:id="71" w:name="_Toc512520694"/>
                      <w:bookmarkStart w:id="72" w:name="_Toc513211123"/>
                      <w:bookmarkStart w:id="73" w:name="_Toc513728505"/>
                      <w:bookmarkStart w:id="74" w:name="_Toc519842315"/>
                      <w:bookmarkStart w:id="75" w:name="_Toc521586415"/>
                      <w:bookmarkStart w:id="76" w:name="_Toc509582478"/>
                      <w:bookmarkStart w:id="77" w:name="_Toc530057359"/>
                      <w:bookmarkStart w:id="78" w:name="_Toc520452528"/>
                      <w:bookmarkStart w:id="79" w:name="_Toc512001762"/>
                      <w:bookmarkStart w:id="80" w:name="_Toc513816736"/>
                      <w:bookmarkStart w:id="81" w:name="_Toc533168359"/>
                      <w:bookmarkStart w:id="82" w:name="_Toc533674480"/>
                      <w:bookmarkStart w:id="83" w:name="_Toc515611913"/>
                      <w:bookmarkStart w:id="84" w:name="_Toc508960595"/>
                      <w:bookmarkStart w:id="85" w:name="_Toc530147840"/>
                      <w:bookmarkStart w:id="86" w:name="_Toc509574325"/>
                      <w:bookmarkStart w:id="87" w:name="_Toc518051249"/>
                      <w:bookmarkStart w:id="88" w:name="_Toc527035872"/>
                      <w:bookmarkStart w:id="89" w:name="_Toc520366056"/>
                      <w:bookmarkStart w:id="90" w:name="_Toc531271720"/>
                      <w:bookmarkStart w:id="91" w:name="_Toc522179796"/>
                      <w:bookmarkStart w:id="92" w:name="_Toc515027608"/>
                      <w:bookmarkStart w:id="93" w:name="_Toc530751847"/>
                      <w:bookmarkStart w:id="94" w:name="_Toc512521225"/>
                      <w:bookmarkStart w:id="95" w:name="_Toc514329181"/>
                      <w:bookmarkStart w:id="96" w:name="_Toc531854138"/>
                      <w:bookmarkStart w:id="97" w:name="_Toc504057445"/>
                      <w:bookmarkStart w:id="98" w:name="_Toc504140101"/>
                      <w:bookmarkStart w:id="99" w:name="_Toc530149342"/>
                      <w:bookmarkStart w:id="100" w:name="_Toc528222492"/>
                      <w:bookmarkStart w:id="101" w:name="_Toc516819989"/>
                      <w:bookmarkStart w:id="102" w:name="_Toc533083465"/>
                      <w:bookmarkStart w:id="103" w:name="_Toc518548545"/>
                      <w:bookmarkStart w:id="104" w:name="_Toc512606000"/>
                      <w:bookmarkStart w:id="105" w:name="_Toc533777202"/>
                      <w:bookmarkStart w:id="106" w:name="_Toc511898980"/>
                      <w:bookmarkStart w:id="107" w:name="_Toc522285450"/>
                      <w:bookmarkStart w:id="108" w:name="_Toc514921969"/>
                      <w:bookmarkStart w:id="109" w:name="_Toc507665368"/>
                      <w:bookmarkStart w:id="110" w:name="_Toc504123327"/>
                      <w:bookmarkStart w:id="111" w:name="_Toc521053860"/>
                      <w:bookmarkStart w:id="112" w:name="_Toc531943255"/>
                      <w:bookmarkStart w:id="113" w:name="_Toc517965461"/>
                      <w:bookmarkStart w:id="114" w:name="_Toc518651973"/>
                      <w:bookmarkStart w:id="115" w:name="_Toc525309223"/>
                      <w:bookmarkStart w:id="116" w:name="_Toc504651767"/>
                      <w:bookmarkStart w:id="117" w:name="_Toc527123553"/>
                      <w:bookmarkStart w:id="118" w:name="_Toc523991798"/>
                      <w:bookmarkStart w:id="119" w:name="_Toc521679472"/>
                      <w:bookmarkStart w:id="120" w:name="_Toc528332594"/>
                      <w:bookmarkStart w:id="121" w:name="_Toc516841874"/>
                      <w:bookmarkStart w:id="122" w:name="_Toc508975637"/>
                      <w:r>
                        <w:rPr>
                          <w:kern w:val="2"/>
                        </w:rPr>
                        <w:t>20</w:t>
                      </w:r>
                      <w:r>
                        <w:rPr>
                          <w:rFonts w:hint="eastAsia"/>
                          <w:kern w:val="2"/>
                          <w:lang w:val="en-US" w:eastAsia="zh-CN"/>
                        </w:rPr>
                        <w:t>20</w:t>
                      </w:r>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r>
                        <w:rPr>
                          <w:rFonts w:hint="eastAsia"/>
                          <w:kern w:val="2"/>
                          <w:lang w:val="en-US" w:eastAsia="zh-CN"/>
                        </w:rPr>
                        <w:t>.11.13</w:t>
                      </w:r>
                    </w:p>
                  </w:txbxContent>
                </v:textbox>
              </v:shape>
            </w:pict>
          </mc:Fallback>
        </mc:AlternateContent>
      </w:r>
      <w:r>
        <w:rPr>
          <w:lang w:eastAsia="zh-CN"/>
        </w:rPr>
        <mc:AlternateContent>
          <mc:Choice Requires="wps">
            <w:drawing>
              <wp:anchor distT="0" distB="0" distL="114300" distR="114300" simplePos="0" relativeHeight="251660288" behindDoc="0" locked="0" layoutInCell="1" allowOverlap="1">
                <wp:simplePos x="0" y="0"/>
                <wp:positionH relativeFrom="column">
                  <wp:posOffset>466725</wp:posOffset>
                </wp:positionH>
                <wp:positionV relativeFrom="paragraph">
                  <wp:posOffset>7373620</wp:posOffset>
                </wp:positionV>
                <wp:extent cx="5257800" cy="1424305"/>
                <wp:effectExtent l="0" t="0" r="0" b="0"/>
                <wp:wrapNone/>
                <wp:docPr id="3" name="文本框 5"/>
                <wp:cNvGraphicFramePr/>
                <a:graphic xmlns:a="http://schemas.openxmlformats.org/drawingml/2006/main">
                  <a:graphicData uri="http://schemas.microsoft.com/office/word/2010/wordprocessingShape">
                    <wps:wsp>
                      <wps:cNvSpPr txBox="1"/>
                      <wps:spPr>
                        <a:xfrm>
                          <a:off x="0" y="0"/>
                          <a:ext cx="5257800" cy="1424305"/>
                        </a:xfrm>
                        <a:prstGeom prst="rect">
                          <a:avLst/>
                        </a:prstGeom>
                        <a:noFill/>
                        <a:ln>
                          <a:noFill/>
                        </a:ln>
                        <a:effectLst/>
                      </wps:spPr>
                      <wps:txbx>
                        <w:txbxContent>
                          <w:p>
                            <w:pPr>
                              <w:pStyle w:val="40"/>
                              <w:rPr>
                                <w:rFonts w:ascii="黑体" w:hAnsi="宋体" w:eastAsia="黑体" w:cs="Times New Roman"/>
                                <w:kern w:val="2"/>
                                <w:sz w:val="24"/>
                                <w:szCs w:val="24"/>
                                <w:lang w:eastAsia="zh-CN"/>
                              </w:rPr>
                            </w:pPr>
                            <w:r>
                              <w:rPr>
                                <w:rFonts w:hint="eastAsia" w:ascii="黑体" w:hAnsi="宋体" w:eastAsia="黑体" w:cs="黑体"/>
                                <w:kern w:val="2"/>
                                <w:sz w:val="24"/>
                                <w:szCs w:val="24"/>
                                <w:lang w:eastAsia="zh-CN"/>
                              </w:rPr>
                              <w:t>责任编辑：朱海燕</w:t>
                            </w:r>
                            <w:r>
                              <w:rPr>
                                <w:rFonts w:ascii="黑体" w:hAnsi="宋体" w:eastAsia="黑体" w:cs="黑体"/>
                                <w:kern w:val="2"/>
                                <w:sz w:val="24"/>
                                <w:szCs w:val="24"/>
                                <w:lang w:eastAsia="zh-CN"/>
                              </w:rPr>
                              <w:t>/</w:t>
                            </w:r>
                            <w:r>
                              <w:rPr>
                                <w:rFonts w:hint="eastAsia" w:ascii="黑体" w:hAnsi="宋体" w:eastAsia="黑体" w:cs="黑体"/>
                                <w:kern w:val="2"/>
                                <w:sz w:val="24"/>
                                <w:szCs w:val="24"/>
                                <w:lang w:eastAsia="zh-CN"/>
                              </w:rPr>
                              <w:t>于亚楠</w:t>
                            </w:r>
                          </w:p>
                          <w:p>
                            <w:pPr>
                              <w:pStyle w:val="40"/>
                              <w:rPr>
                                <w:rFonts w:ascii="黑体" w:hAnsi="宋体" w:eastAsia="黑体" w:cs="Times New Roman"/>
                                <w:kern w:val="2"/>
                                <w:sz w:val="24"/>
                                <w:szCs w:val="24"/>
                                <w:lang w:eastAsia="zh-CN"/>
                              </w:rPr>
                            </w:pPr>
                            <w:r>
                              <w:rPr>
                                <w:rFonts w:hint="eastAsia" w:ascii="黑体" w:hAnsi="宋体" w:eastAsia="黑体" w:cs="黑体"/>
                                <w:kern w:val="2"/>
                                <w:sz w:val="24"/>
                                <w:szCs w:val="24"/>
                                <w:lang w:eastAsia="zh-CN"/>
                              </w:rPr>
                              <w:t>电话：</w:t>
                            </w:r>
                            <w:r>
                              <w:rPr>
                                <w:rFonts w:ascii="黑体" w:hAnsi="宋体" w:eastAsia="黑体" w:cs="黑体"/>
                                <w:kern w:val="2"/>
                                <w:sz w:val="24"/>
                                <w:szCs w:val="24"/>
                                <w:lang w:eastAsia="zh-CN"/>
                              </w:rPr>
                              <w:t>86-10-18513790749</w:t>
                            </w:r>
                          </w:p>
                          <w:p>
                            <w:pPr>
                              <w:pStyle w:val="40"/>
                              <w:rPr>
                                <w:rFonts w:ascii="黑体" w:hAnsi="宋体" w:eastAsia="黑体" w:cs="Times New Roman"/>
                                <w:kern w:val="2"/>
                                <w:sz w:val="24"/>
                                <w:szCs w:val="24"/>
                                <w:lang w:eastAsia="zh-CN"/>
                              </w:rPr>
                            </w:pPr>
                            <w:r>
                              <w:rPr>
                                <w:rFonts w:hint="eastAsia" w:ascii="黑体" w:hAnsi="宋体" w:eastAsia="黑体" w:cs="黑体"/>
                                <w:kern w:val="2"/>
                                <w:sz w:val="24"/>
                                <w:szCs w:val="24"/>
                                <w:lang w:eastAsia="zh-CN"/>
                              </w:rPr>
                              <w:t>传真：</w:t>
                            </w:r>
                            <w:r>
                              <w:rPr>
                                <w:rFonts w:ascii="黑体" w:hAnsi="宋体" w:eastAsia="黑体" w:cs="黑体"/>
                                <w:kern w:val="2"/>
                                <w:sz w:val="24"/>
                                <w:szCs w:val="24"/>
                                <w:lang w:eastAsia="zh-CN"/>
                              </w:rPr>
                              <w:t>86-010-</w:t>
                            </w:r>
                            <w:r>
                              <w:rPr>
                                <w:rFonts w:ascii="黑体" w:hAnsi="Arial" w:eastAsia="黑体" w:cs="黑体"/>
                                <w:color w:val="333333"/>
                                <w:sz w:val="24"/>
                                <w:szCs w:val="24"/>
                                <w:lang w:eastAsia="zh-CN"/>
                              </w:rPr>
                              <w:t>85725399</w:t>
                            </w:r>
                          </w:p>
                          <w:p>
                            <w:pPr>
                              <w:pStyle w:val="40"/>
                              <w:rPr>
                                <w:rFonts w:ascii="黑体" w:hAnsi="宋体" w:eastAsia="黑体" w:cs="黑体"/>
                                <w:kern w:val="2"/>
                                <w:sz w:val="24"/>
                                <w:szCs w:val="24"/>
                                <w:lang w:eastAsia="zh-CN"/>
                              </w:rPr>
                            </w:pPr>
                            <w:r>
                              <w:rPr>
                                <w:rFonts w:hint="eastAsia" w:ascii="黑体" w:hAnsi="宋体" w:eastAsia="黑体" w:cs="黑体"/>
                                <w:kern w:val="2"/>
                                <w:sz w:val="24"/>
                                <w:szCs w:val="24"/>
                                <w:lang w:eastAsia="zh-CN"/>
                              </w:rPr>
                              <w:t>编辑邮箱：</w:t>
                            </w:r>
                            <w:r>
                              <w:rPr>
                                <w:rFonts w:ascii="黑体" w:hAnsi="宋体" w:eastAsia="黑体" w:cs="黑体"/>
                                <w:kern w:val="2"/>
                                <w:sz w:val="24"/>
                                <w:szCs w:val="24"/>
                                <w:lang w:eastAsia="zh-CN"/>
                              </w:rPr>
                              <w:t>zhuhy@chinaccm.com</w:t>
                            </w:r>
                          </w:p>
                          <w:p>
                            <w:pPr>
                              <w:pStyle w:val="40"/>
                              <w:rPr>
                                <w:rFonts w:ascii="黑体" w:hAnsi="宋体" w:eastAsia="黑体" w:cs="Times New Roman"/>
                                <w:kern w:val="2"/>
                                <w:sz w:val="24"/>
                                <w:szCs w:val="24"/>
                                <w:lang w:eastAsia="zh-CN"/>
                              </w:rPr>
                            </w:pPr>
                            <w:r>
                              <w:rPr>
                                <w:rFonts w:hint="eastAsia" w:ascii="黑体" w:hAnsi="宋体" w:eastAsia="黑体" w:cs="黑体"/>
                                <w:kern w:val="2"/>
                                <w:sz w:val="24"/>
                                <w:szCs w:val="24"/>
                                <w:lang w:eastAsia="zh-CN"/>
                              </w:rPr>
                              <w:t>地址：</w:t>
                            </w:r>
                            <w:r>
                              <w:rPr>
                                <w:rFonts w:hint="eastAsia" w:ascii="黑体" w:eastAsia="黑体" w:cs="黑体"/>
                                <w:sz w:val="24"/>
                                <w:szCs w:val="24"/>
                                <w:lang w:eastAsia="zh-CN"/>
                              </w:rPr>
                              <w:t>北京市朝阳区高碑店东区</w:t>
                            </w:r>
                            <w:r>
                              <w:rPr>
                                <w:rFonts w:ascii="黑体" w:eastAsia="黑体" w:cs="黑体"/>
                                <w:sz w:val="24"/>
                                <w:szCs w:val="24"/>
                                <w:lang w:eastAsia="zh-CN"/>
                              </w:rPr>
                              <w:t>B</w:t>
                            </w:r>
                            <w:r>
                              <w:rPr>
                                <w:rFonts w:hint="eastAsia" w:ascii="黑体" w:eastAsia="黑体" w:cs="黑体"/>
                                <w:sz w:val="24"/>
                                <w:szCs w:val="24"/>
                                <w:lang w:eastAsia="zh-CN"/>
                              </w:rPr>
                              <w:t>区</w:t>
                            </w:r>
                            <w:r>
                              <w:rPr>
                                <w:rFonts w:ascii="黑体" w:eastAsia="黑体" w:cs="黑体"/>
                                <w:sz w:val="24"/>
                                <w:szCs w:val="24"/>
                                <w:lang w:eastAsia="zh-CN"/>
                              </w:rPr>
                              <w:t>8-1</w:t>
                            </w:r>
                            <w:r>
                              <w:rPr>
                                <w:rFonts w:hint="eastAsia" w:ascii="黑体" w:hAnsi="宋体" w:eastAsia="黑体" w:cs="黑体"/>
                                <w:kern w:val="2"/>
                                <w:sz w:val="24"/>
                                <w:szCs w:val="24"/>
                                <w:lang w:eastAsia="zh-CN"/>
                              </w:rPr>
                              <w:t>（邮编：</w:t>
                            </w:r>
                            <w:r>
                              <w:rPr>
                                <w:rFonts w:ascii="黑体" w:hAnsi="宋体" w:eastAsia="黑体" w:cs="黑体"/>
                                <w:kern w:val="2"/>
                                <w:sz w:val="24"/>
                                <w:szCs w:val="24"/>
                                <w:lang w:eastAsia="zh-CN"/>
                              </w:rPr>
                              <w:t>100022</w:t>
                            </w:r>
                            <w:r>
                              <w:rPr>
                                <w:rFonts w:hint="eastAsia" w:ascii="黑体" w:hAnsi="宋体" w:eastAsia="黑体" w:cs="黑体"/>
                                <w:kern w:val="2"/>
                                <w:sz w:val="24"/>
                                <w:szCs w:val="24"/>
                                <w:lang w:eastAsia="zh-CN"/>
                              </w:rPr>
                              <w:t>）</w:t>
                            </w:r>
                          </w:p>
                          <w:p>
                            <w:pPr>
                              <w:jc w:val="left"/>
                              <w:rPr>
                                <w:rFonts w:cs="Times New Roman"/>
                              </w:rPr>
                            </w:pPr>
                          </w:p>
                        </w:txbxContent>
                      </wps:txbx>
                      <wps:bodyPr upright="1"/>
                    </wps:wsp>
                  </a:graphicData>
                </a:graphic>
              </wp:anchor>
            </w:drawing>
          </mc:Choice>
          <mc:Fallback>
            <w:pict>
              <v:shape id="文本框 5" o:spid="_x0000_s1026" o:spt="202" type="#_x0000_t202" style="position:absolute;left:0pt;margin-left:36.75pt;margin-top:580.6pt;height:112.15pt;width:414pt;z-index:251660288;mso-width-relative:page;mso-height-relative:page;" filled="f" stroked="f" coordsize="21600,21600" o:gfxdata="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NK59nDYAAAADAEAAA8AAAAAAAAAAQAgAAAAIgAAAGRy&#10;cy9kb3ducmV2LnhtbFBLAQIUABQAAAAIAIdO4kCjIFSSkwEAAA8DAAAOAAAAAAAAAAEAIAAAACcB&#10;AABkcnMvZTJvRG9jLnhtbFBLBQYAAAAABgAGAFkBAAAsBQAAAAA=&#10;">
                <v:fill on="f" focussize="0,0"/>
                <v:stroke on="f"/>
                <v:imagedata o:title=""/>
                <o:lock v:ext="edit" aspectratio="f"/>
                <v:textbox>
                  <w:txbxContent>
                    <w:p>
                      <w:pPr>
                        <w:pStyle w:val="40"/>
                        <w:rPr>
                          <w:rFonts w:ascii="黑体" w:hAnsi="宋体" w:eastAsia="黑体" w:cs="Times New Roman"/>
                          <w:kern w:val="2"/>
                          <w:sz w:val="24"/>
                          <w:szCs w:val="24"/>
                          <w:lang w:eastAsia="zh-CN"/>
                        </w:rPr>
                      </w:pPr>
                      <w:r>
                        <w:rPr>
                          <w:rFonts w:hint="eastAsia" w:ascii="黑体" w:hAnsi="宋体" w:eastAsia="黑体" w:cs="黑体"/>
                          <w:kern w:val="2"/>
                          <w:sz w:val="24"/>
                          <w:szCs w:val="24"/>
                          <w:lang w:eastAsia="zh-CN"/>
                        </w:rPr>
                        <w:t>责任编辑：朱海燕</w:t>
                      </w:r>
                      <w:r>
                        <w:rPr>
                          <w:rFonts w:ascii="黑体" w:hAnsi="宋体" w:eastAsia="黑体" w:cs="黑体"/>
                          <w:kern w:val="2"/>
                          <w:sz w:val="24"/>
                          <w:szCs w:val="24"/>
                          <w:lang w:eastAsia="zh-CN"/>
                        </w:rPr>
                        <w:t>/</w:t>
                      </w:r>
                      <w:r>
                        <w:rPr>
                          <w:rFonts w:hint="eastAsia" w:ascii="黑体" w:hAnsi="宋体" w:eastAsia="黑体" w:cs="黑体"/>
                          <w:kern w:val="2"/>
                          <w:sz w:val="24"/>
                          <w:szCs w:val="24"/>
                          <w:lang w:eastAsia="zh-CN"/>
                        </w:rPr>
                        <w:t>于亚楠</w:t>
                      </w:r>
                    </w:p>
                    <w:p>
                      <w:pPr>
                        <w:pStyle w:val="40"/>
                        <w:rPr>
                          <w:rFonts w:ascii="黑体" w:hAnsi="宋体" w:eastAsia="黑体" w:cs="Times New Roman"/>
                          <w:kern w:val="2"/>
                          <w:sz w:val="24"/>
                          <w:szCs w:val="24"/>
                          <w:lang w:eastAsia="zh-CN"/>
                        </w:rPr>
                      </w:pPr>
                      <w:r>
                        <w:rPr>
                          <w:rFonts w:hint="eastAsia" w:ascii="黑体" w:hAnsi="宋体" w:eastAsia="黑体" w:cs="黑体"/>
                          <w:kern w:val="2"/>
                          <w:sz w:val="24"/>
                          <w:szCs w:val="24"/>
                          <w:lang w:eastAsia="zh-CN"/>
                        </w:rPr>
                        <w:t>电话：</w:t>
                      </w:r>
                      <w:r>
                        <w:rPr>
                          <w:rFonts w:ascii="黑体" w:hAnsi="宋体" w:eastAsia="黑体" w:cs="黑体"/>
                          <w:kern w:val="2"/>
                          <w:sz w:val="24"/>
                          <w:szCs w:val="24"/>
                          <w:lang w:eastAsia="zh-CN"/>
                        </w:rPr>
                        <w:t>86-10-18513790749</w:t>
                      </w:r>
                    </w:p>
                    <w:p>
                      <w:pPr>
                        <w:pStyle w:val="40"/>
                        <w:rPr>
                          <w:rFonts w:ascii="黑体" w:hAnsi="宋体" w:eastAsia="黑体" w:cs="Times New Roman"/>
                          <w:kern w:val="2"/>
                          <w:sz w:val="24"/>
                          <w:szCs w:val="24"/>
                          <w:lang w:eastAsia="zh-CN"/>
                        </w:rPr>
                      </w:pPr>
                      <w:r>
                        <w:rPr>
                          <w:rFonts w:hint="eastAsia" w:ascii="黑体" w:hAnsi="宋体" w:eastAsia="黑体" w:cs="黑体"/>
                          <w:kern w:val="2"/>
                          <w:sz w:val="24"/>
                          <w:szCs w:val="24"/>
                          <w:lang w:eastAsia="zh-CN"/>
                        </w:rPr>
                        <w:t>传真：</w:t>
                      </w:r>
                      <w:r>
                        <w:rPr>
                          <w:rFonts w:ascii="黑体" w:hAnsi="宋体" w:eastAsia="黑体" w:cs="黑体"/>
                          <w:kern w:val="2"/>
                          <w:sz w:val="24"/>
                          <w:szCs w:val="24"/>
                          <w:lang w:eastAsia="zh-CN"/>
                        </w:rPr>
                        <w:t>86-010-</w:t>
                      </w:r>
                      <w:r>
                        <w:rPr>
                          <w:rFonts w:ascii="黑体" w:hAnsi="Arial" w:eastAsia="黑体" w:cs="黑体"/>
                          <w:color w:val="333333"/>
                          <w:sz w:val="24"/>
                          <w:szCs w:val="24"/>
                          <w:lang w:eastAsia="zh-CN"/>
                        </w:rPr>
                        <w:t>85725399</w:t>
                      </w:r>
                    </w:p>
                    <w:p>
                      <w:pPr>
                        <w:pStyle w:val="40"/>
                        <w:rPr>
                          <w:rFonts w:ascii="黑体" w:hAnsi="宋体" w:eastAsia="黑体" w:cs="黑体"/>
                          <w:kern w:val="2"/>
                          <w:sz w:val="24"/>
                          <w:szCs w:val="24"/>
                          <w:lang w:eastAsia="zh-CN"/>
                        </w:rPr>
                      </w:pPr>
                      <w:r>
                        <w:rPr>
                          <w:rFonts w:hint="eastAsia" w:ascii="黑体" w:hAnsi="宋体" w:eastAsia="黑体" w:cs="黑体"/>
                          <w:kern w:val="2"/>
                          <w:sz w:val="24"/>
                          <w:szCs w:val="24"/>
                          <w:lang w:eastAsia="zh-CN"/>
                        </w:rPr>
                        <w:t>编辑邮箱：</w:t>
                      </w:r>
                      <w:r>
                        <w:rPr>
                          <w:rFonts w:ascii="黑体" w:hAnsi="宋体" w:eastAsia="黑体" w:cs="黑体"/>
                          <w:kern w:val="2"/>
                          <w:sz w:val="24"/>
                          <w:szCs w:val="24"/>
                          <w:lang w:eastAsia="zh-CN"/>
                        </w:rPr>
                        <w:t>zhuhy@chinaccm.com</w:t>
                      </w:r>
                    </w:p>
                    <w:p>
                      <w:pPr>
                        <w:pStyle w:val="40"/>
                        <w:rPr>
                          <w:rFonts w:ascii="黑体" w:hAnsi="宋体" w:eastAsia="黑体" w:cs="Times New Roman"/>
                          <w:kern w:val="2"/>
                          <w:sz w:val="24"/>
                          <w:szCs w:val="24"/>
                          <w:lang w:eastAsia="zh-CN"/>
                        </w:rPr>
                      </w:pPr>
                      <w:r>
                        <w:rPr>
                          <w:rFonts w:hint="eastAsia" w:ascii="黑体" w:hAnsi="宋体" w:eastAsia="黑体" w:cs="黑体"/>
                          <w:kern w:val="2"/>
                          <w:sz w:val="24"/>
                          <w:szCs w:val="24"/>
                          <w:lang w:eastAsia="zh-CN"/>
                        </w:rPr>
                        <w:t>地址：</w:t>
                      </w:r>
                      <w:r>
                        <w:rPr>
                          <w:rFonts w:hint="eastAsia" w:ascii="黑体" w:eastAsia="黑体" w:cs="黑体"/>
                          <w:sz w:val="24"/>
                          <w:szCs w:val="24"/>
                          <w:lang w:eastAsia="zh-CN"/>
                        </w:rPr>
                        <w:t>北京市朝阳区高碑店东区</w:t>
                      </w:r>
                      <w:r>
                        <w:rPr>
                          <w:rFonts w:ascii="黑体" w:eastAsia="黑体" w:cs="黑体"/>
                          <w:sz w:val="24"/>
                          <w:szCs w:val="24"/>
                          <w:lang w:eastAsia="zh-CN"/>
                        </w:rPr>
                        <w:t>B</w:t>
                      </w:r>
                      <w:r>
                        <w:rPr>
                          <w:rFonts w:hint="eastAsia" w:ascii="黑体" w:eastAsia="黑体" w:cs="黑体"/>
                          <w:sz w:val="24"/>
                          <w:szCs w:val="24"/>
                          <w:lang w:eastAsia="zh-CN"/>
                        </w:rPr>
                        <w:t>区</w:t>
                      </w:r>
                      <w:r>
                        <w:rPr>
                          <w:rFonts w:ascii="黑体" w:eastAsia="黑体" w:cs="黑体"/>
                          <w:sz w:val="24"/>
                          <w:szCs w:val="24"/>
                          <w:lang w:eastAsia="zh-CN"/>
                        </w:rPr>
                        <w:t>8-1</w:t>
                      </w:r>
                      <w:r>
                        <w:rPr>
                          <w:rFonts w:hint="eastAsia" w:ascii="黑体" w:hAnsi="宋体" w:eastAsia="黑体" w:cs="黑体"/>
                          <w:kern w:val="2"/>
                          <w:sz w:val="24"/>
                          <w:szCs w:val="24"/>
                          <w:lang w:eastAsia="zh-CN"/>
                        </w:rPr>
                        <w:t>（邮编：</w:t>
                      </w:r>
                      <w:r>
                        <w:rPr>
                          <w:rFonts w:ascii="黑体" w:hAnsi="宋体" w:eastAsia="黑体" w:cs="黑体"/>
                          <w:kern w:val="2"/>
                          <w:sz w:val="24"/>
                          <w:szCs w:val="24"/>
                          <w:lang w:eastAsia="zh-CN"/>
                        </w:rPr>
                        <w:t>100022</w:t>
                      </w:r>
                      <w:r>
                        <w:rPr>
                          <w:rFonts w:hint="eastAsia" w:ascii="黑体" w:hAnsi="宋体" w:eastAsia="黑体" w:cs="黑体"/>
                          <w:kern w:val="2"/>
                          <w:sz w:val="24"/>
                          <w:szCs w:val="24"/>
                          <w:lang w:eastAsia="zh-CN"/>
                        </w:rPr>
                        <w:t>）</w:t>
                      </w:r>
                    </w:p>
                    <w:p>
                      <w:pPr>
                        <w:jc w:val="left"/>
                        <w:rPr>
                          <w:rFonts w:cs="Times New Roman"/>
                        </w:rPr>
                      </w:pPr>
                    </w:p>
                  </w:txbxContent>
                </v:textbox>
              </v:shape>
            </w:pict>
          </mc:Fallback>
        </mc:AlternateContent>
      </w:r>
      <w:r>
        <w:rPr>
          <w:rFonts w:cs="Times New Roman"/>
        </w:rPr>
        <w:br w:type="page"/>
      </w:r>
      <w:r>
        <w:rPr>
          <w:rFonts w:hint="eastAsia" w:ascii="宋体" w:hAnsi="宋体" w:cs="宋体"/>
          <w:b/>
          <w:bCs/>
          <w:color w:val="000000"/>
          <w:sz w:val="28"/>
          <w:szCs w:val="28"/>
          <w:lang w:eastAsia="zh-CN"/>
        </w:rPr>
        <w:t>小金属周报目录</w:t>
      </w:r>
      <w:bookmarkStart w:id="0" w:name="_Toc485828985"/>
      <w:bookmarkStart w:id="1" w:name="_Toc486002518"/>
    </w:p>
    <w:p>
      <w:pPr>
        <w:pStyle w:val="9"/>
        <w:tabs>
          <w:tab w:val="right" w:leader="dot" w:pos="9124"/>
          <w:tab w:val="clear" w:pos="8494"/>
        </w:tabs>
      </w:pPr>
      <w:r>
        <w:rPr>
          <w:kern w:val="0"/>
          <w:sz w:val="30"/>
          <w:szCs w:val="30"/>
        </w:rPr>
        <w:fldChar w:fldCharType="begin"/>
      </w:r>
      <w:r>
        <w:instrText xml:space="preserve"> TOC \o "1-3" \h \z \u </w:instrText>
      </w:r>
      <w:r>
        <w:rPr>
          <w:kern w:val="0"/>
          <w:sz w:val="30"/>
          <w:szCs w:val="30"/>
        </w:rPr>
        <w:fldChar w:fldCharType="separate"/>
      </w:r>
      <w:r>
        <w:rPr>
          <w:kern w:val="0"/>
          <w:szCs w:val="30"/>
        </w:rPr>
        <w:fldChar w:fldCharType="begin"/>
      </w:r>
      <w:r>
        <w:rPr>
          <w:kern w:val="0"/>
          <w:szCs w:val="30"/>
        </w:rPr>
        <w:instrText xml:space="preserve"> HYPERLINK \l _Toc21544 </w:instrText>
      </w:r>
      <w:r>
        <w:rPr>
          <w:kern w:val="0"/>
          <w:szCs w:val="30"/>
        </w:rPr>
        <w:fldChar w:fldCharType="separate"/>
      </w:r>
      <w:r>
        <w:rPr>
          <w:rFonts w:hint="eastAsia" w:cs="黑体"/>
        </w:rPr>
        <w:t>一、小金属一周评述</w:t>
      </w:r>
      <w:r>
        <w:tab/>
      </w:r>
      <w:r>
        <w:fldChar w:fldCharType="begin"/>
      </w:r>
      <w:r>
        <w:instrText xml:space="preserve"> PAGEREF _Toc21544 </w:instrText>
      </w:r>
      <w:r>
        <w:fldChar w:fldCharType="separate"/>
      </w:r>
      <w:r>
        <w:t>3</w:t>
      </w:r>
      <w:r>
        <w:fldChar w:fldCharType="end"/>
      </w:r>
      <w:r>
        <w:rPr>
          <w:kern w:val="0"/>
          <w:szCs w:val="30"/>
        </w:rPr>
        <w:fldChar w:fldCharType="end"/>
      </w:r>
    </w:p>
    <w:p>
      <w:pPr>
        <w:pStyle w:val="9"/>
        <w:tabs>
          <w:tab w:val="right" w:leader="dot" w:pos="9124"/>
          <w:tab w:val="clear" w:pos="8494"/>
        </w:tabs>
      </w:pPr>
      <w:r>
        <w:fldChar w:fldCharType="begin"/>
      </w:r>
      <w:r>
        <w:instrText xml:space="preserve"> HYPERLINK \l _Toc22711 </w:instrText>
      </w:r>
      <w:r>
        <w:fldChar w:fldCharType="separate"/>
      </w:r>
      <w:r>
        <w:rPr>
          <w:rFonts w:hint="eastAsia"/>
          <w:kern w:val="0"/>
          <w:lang w:eastAsia="zh-CN"/>
        </w:rPr>
        <w:t xml:space="preserve">1、 </w:t>
      </w:r>
      <w:r>
        <w:rPr>
          <w:rFonts w:hint="eastAsia"/>
          <w:kern w:val="0"/>
        </w:rPr>
        <w:t>硒评论</w:t>
      </w:r>
      <w:r>
        <w:rPr>
          <w:rFonts w:hint="eastAsia"/>
          <w:kern w:val="0"/>
          <w:lang w:eastAsia="zh-CN"/>
        </w:rPr>
        <w:t>：</w:t>
      </w:r>
      <w:r>
        <w:rPr>
          <w:rFonts w:hint="eastAsia"/>
          <w:kern w:val="0"/>
        </w:rPr>
        <w:t>电解锰市场需求比较活跃 二硒市场需求一般</w:t>
      </w:r>
      <w:r>
        <w:tab/>
      </w:r>
      <w:r>
        <w:fldChar w:fldCharType="begin"/>
      </w:r>
      <w:r>
        <w:instrText xml:space="preserve"> PAGEREF _Toc22711 </w:instrText>
      </w:r>
      <w:r>
        <w:fldChar w:fldCharType="separate"/>
      </w:r>
      <w:r>
        <w:t>3</w:t>
      </w:r>
      <w:r>
        <w:fldChar w:fldCharType="end"/>
      </w:r>
      <w:r>
        <w:fldChar w:fldCharType="end"/>
      </w:r>
    </w:p>
    <w:p>
      <w:pPr>
        <w:pStyle w:val="9"/>
        <w:tabs>
          <w:tab w:val="right" w:leader="dot" w:pos="9124"/>
          <w:tab w:val="clear" w:pos="8494"/>
        </w:tabs>
      </w:pPr>
      <w:r>
        <w:fldChar w:fldCharType="begin"/>
      </w:r>
      <w:r>
        <w:instrText xml:space="preserve"> HYPERLINK \l _Toc3012 </w:instrText>
      </w:r>
      <w:r>
        <w:fldChar w:fldCharType="separate"/>
      </w:r>
      <w:r>
        <w:rPr>
          <w:rFonts w:hint="eastAsia" w:ascii="Calibri" w:hAnsi="Calibri" w:eastAsia="宋体" w:cs="Calibri"/>
          <w:bCs/>
          <w:kern w:val="0"/>
          <w:szCs w:val="32"/>
          <w:lang w:val="en-US" w:eastAsia="zh-CN" w:bidi="ar-SA"/>
        </w:rPr>
        <w:t xml:space="preserve">2、 </w:t>
      </w:r>
      <w:r>
        <w:rPr>
          <w:rFonts w:hint="eastAsia"/>
          <w:kern w:val="0"/>
          <w:lang w:eastAsia="zh-CN"/>
        </w:rPr>
        <w:t>铋</w:t>
      </w:r>
      <w:r>
        <w:rPr>
          <w:rFonts w:hint="eastAsia"/>
          <w:kern w:val="0"/>
        </w:rPr>
        <w:t>评论</w:t>
      </w:r>
      <w:r>
        <w:rPr>
          <w:rFonts w:hint="eastAsia"/>
          <w:kern w:val="0"/>
          <w:lang w:eastAsia="zh-CN"/>
        </w:rPr>
        <w:t>：</w:t>
      </w:r>
      <w:r>
        <w:rPr>
          <w:rFonts w:hint="eastAsia" w:ascii="Calibri" w:hAnsi="Calibri" w:eastAsia="宋体" w:cs="Calibri"/>
          <w:bCs/>
          <w:kern w:val="0"/>
          <w:szCs w:val="32"/>
          <w:lang w:val="en-US" w:eastAsia="zh-CN" w:bidi="ar-SA"/>
        </w:rPr>
        <w:t>铋锭市场</w:t>
      </w:r>
      <w:r>
        <w:rPr>
          <w:rFonts w:hint="eastAsia" w:cs="Calibri"/>
          <w:bCs/>
          <w:kern w:val="0"/>
          <w:szCs w:val="32"/>
          <w:lang w:val="en-US" w:eastAsia="zh-CN" w:bidi="ar-SA"/>
        </w:rPr>
        <w:t>行情有所减弱</w:t>
      </w:r>
      <w:r>
        <w:tab/>
      </w:r>
      <w:r>
        <w:fldChar w:fldCharType="begin"/>
      </w:r>
      <w:r>
        <w:instrText xml:space="preserve"> PAGEREF _Toc3012 </w:instrText>
      </w:r>
      <w:r>
        <w:fldChar w:fldCharType="separate"/>
      </w:r>
      <w:r>
        <w:t>4</w:t>
      </w:r>
      <w:r>
        <w:fldChar w:fldCharType="end"/>
      </w:r>
      <w:r>
        <w:fldChar w:fldCharType="end"/>
      </w:r>
    </w:p>
    <w:p>
      <w:pPr>
        <w:pStyle w:val="9"/>
        <w:tabs>
          <w:tab w:val="right" w:leader="dot" w:pos="9124"/>
          <w:tab w:val="clear" w:pos="8494"/>
        </w:tabs>
      </w:pPr>
      <w:r>
        <w:fldChar w:fldCharType="begin"/>
      </w:r>
      <w:r>
        <w:instrText xml:space="preserve"> HYPERLINK \l _Toc225 </w:instrText>
      </w:r>
      <w:r>
        <w:fldChar w:fldCharType="separate"/>
      </w:r>
      <w:r>
        <w:rPr>
          <w:rFonts w:hint="eastAsia"/>
          <w:kern w:val="0"/>
        </w:rPr>
        <w:t>3</w:t>
      </w:r>
      <w:r>
        <w:rPr>
          <w:rFonts w:hint="eastAsia"/>
          <w:kern w:val="0"/>
          <w:lang w:eastAsia="zh-CN"/>
        </w:rPr>
        <w:t>、</w:t>
      </w:r>
      <w:r>
        <w:rPr>
          <w:rFonts w:hint="eastAsia"/>
          <w:kern w:val="0"/>
        </w:rPr>
        <w:t>铟评论：铟锭</w:t>
      </w:r>
      <w:r>
        <w:rPr>
          <w:rFonts w:hint="eastAsia"/>
          <w:kern w:val="0"/>
          <w:lang w:val="en-US" w:eastAsia="zh-CN"/>
        </w:rPr>
        <w:t>市场成交气氛清淡</w:t>
      </w:r>
      <w:r>
        <w:tab/>
      </w:r>
      <w:r>
        <w:fldChar w:fldCharType="begin"/>
      </w:r>
      <w:r>
        <w:instrText xml:space="preserve"> PAGEREF _Toc225 </w:instrText>
      </w:r>
      <w:r>
        <w:fldChar w:fldCharType="separate"/>
      </w:r>
      <w:r>
        <w:t>5</w:t>
      </w:r>
      <w:r>
        <w:fldChar w:fldCharType="end"/>
      </w:r>
      <w:r>
        <w:fldChar w:fldCharType="end"/>
      </w:r>
    </w:p>
    <w:p>
      <w:pPr>
        <w:pStyle w:val="9"/>
        <w:tabs>
          <w:tab w:val="right" w:leader="dot" w:pos="9124"/>
          <w:tab w:val="clear" w:pos="8494"/>
        </w:tabs>
      </w:pPr>
      <w:r>
        <w:fldChar w:fldCharType="begin"/>
      </w:r>
      <w:r>
        <w:instrText xml:space="preserve"> HYPERLINK \l _Toc17775 </w:instrText>
      </w:r>
      <w:r>
        <w:fldChar w:fldCharType="separate"/>
      </w:r>
      <w:r>
        <w:rPr>
          <w:kern w:val="0"/>
        </w:rPr>
        <w:t>4</w:t>
      </w:r>
      <w:r>
        <w:rPr>
          <w:rFonts w:hint="eastAsia" w:cs="宋体"/>
          <w:kern w:val="0"/>
        </w:rPr>
        <w:t>、碲评论：国内碲锭市场供应偏紧</w:t>
      </w:r>
      <w:r>
        <w:tab/>
      </w:r>
      <w:r>
        <w:fldChar w:fldCharType="begin"/>
      </w:r>
      <w:r>
        <w:instrText xml:space="preserve"> PAGEREF _Toc17775 </w:instrText>
      </w:r>
      <w:r>
        <w:fldChar w:fldCharType="separate"/>
      </w:r>
      <w:r>
        <w:t>5</w:t>
      </w:r>
      <w:r>
        <w:fldChar w:fldCharType="end"/>
      </w:r>
      <w:r>
        <w:fldChar w:fldCharType="end"/>
      </w:r>
    </w:p>
    <w:p>
      <w:pPr>
        <w:pStyle w:val="15"/>
        <w:tabs>
          <w:tab w:val="right" w:leader="dot" w:pos="9124"/>
          <w:tab w:val="clear" w:pos="9170"/>
        </w:tabs>
      </w:pPr>
      <w:r>
        <w:fldChar w:fldCharType="begin"/>
      </w:r>
      <w:r>
        <w:instrText xml:space="preserve"> HYPERLINK \l _Toc24585 </w:instrText>
      </w:r>
      <w:r>
        <w:fldChar w:fldCharType="separate"/>
      </w:r>
      <w:r>
        <w:rPr>
          <w:rFonts w:hint="eastAsia" w:cs="黑体"/>
        </w:rPr>
        <w:t>二、价格行情</w:t>
      </w:r>
      <w:r>
        <w:tab/>
      </w:r>
      <w:r>
        <w:fldChar w:fldCharType="begin"/>
      </w:r>
      <w:r>
        <w:instrText xml:space="preserve"> PAGEREF _Toc24585 </w:instrText>
      </w:r>
      <w:r>
        <w:fldChar w:fldCharType="separate"/>
      </w:r>
      <w:r>
        <w:t>6</w:t>
      </w:r>
      <w:r>
        <w:fldChar w:fldCharType="end"/>
      </w:r>
      <w:r>
        <w:fldChar w:fldCharType="end"/>
      </w:r>
    </w:p>
    <w:p>
      <w:pPr>
        <w:pStyle w:val="9"/>
        <w:tabs>
          <w:tab w:val="right" w:leader="dot" w:pos="9124"/>
          <w:tab w:val="clear" w:pos="8494"/>
        </w:tabs>
      </w:pPr>
      <w:r>
        <w:fldChar w:fldCharType="begin"/>
      </w:r>
      <w:r>
        <w:instrText xml:space="preserve"> HYPERLINK \l _Toc7073 </w:instrText>
      </w:r>
      <w:r>
        <w:fldChar w:fldCharType="separate"/>
      </w:r>
      <w:r>
        <w:rPr>
          <w:kern w:val="0"/>
        </w:rPr>
        <w:t>1</w:t>
      </w:r>
      <w:r>
        <w:rPr>
          <w:rFonts w:hint="eastAsia"/>
          <w:kern w:val="0"/>
        </w:rPr>
        <w:t>、国际价格</w:t>
      </w:r>
      <w:bookmarkStart w:id="123" w:name="_GoBack"/>
      <w:bookmarkEnd w:id="123"/>
      <w:r>
        <w:tab/>
      </w:r>
      <w:r>
        <w:fldChar w:fldCharType="begin"/>
      </w:r>
      <w:r>
        <w:instrText xml:space="preserve"> PAGEREF _Toc7073 </w:instrText>
      </w:r>
      <w:r>
        <w:fldChar w:fldCharType="separate"/>
      </w:r>
      <w:r>
        <w:t>6</w:t>
      </w:r>
      <w:r>
        <w:fldChar w:fldCharType="end"/>
      </w:r>
      <w:r>
        <w:fldChar w:fldCharType="end"/>
      </w:r>
    </w:p>
    <w:p>
      <w:pPr>
        <w:pStyle w:val="9"/>
        <w:tabs>
          <w:tab w:val="right" w:leader="dot" w:pos="9124"/>
          <w:tab w:val="clear" w:pos="8494"/>
        </w:tabs>
      </w:pPr>
      <w:r>
        <w:fldChar w:fldCharType="begin"/>
      </w:r>
      <w:r>
        <w:instrText xml:space="preserve"> HYPERLINK \l _Toc14870 </w:instrText>
      </w:r>
      <w:r>
        <w:fldChar w:fldCharType="separate"/>
      </w:r>
      <w:r>
        <w:rPr>
          <w:kern w:val="0"/>
        </w:rPr>
        <w:t>2</w:t>
      </w:r>
      <w:r>
        <w:rPr>
          <w:rFonts w:hint="eastAsia" w:cs="宋体"/>
          <w:kern w:val="0"/>
        </w:rPr>
        <w:t>、欧洲鹿特丹小金属价格</w:t>
      </w:r>
      <w:r>
        <w:tab/>
      </w:r>
      <w:r>
        <w:fldChar w:fldCharType="begin"/>
      </w:r>
      <w:r>
        <w:instrText xml:space="preserve"> PAGEREF _Toc14870 </w:instrText>
      </w:r>
      <w:r>
        <w:fldChar w:fldCharType="separate"/>
      </w:r>
      <w:r>
        <w:t>6</w:t>
      </w:r>
      <w:r>
        <w:fldChar w:fldCharType="end"/>
      </w:r>
      <w:r>
        <w:fldChar w:fldCharType="end"/>
      </w:r>
    </w:p>
    <w:p>
      <w:pPr>
        <w:pStyle w:val="9"/>
        <w:tabs>
          <w:tab w:val="right" w:leader="dot" w:pos="9124"/>
          <w:tab w:val="clear" w:pos="8494"/>
        </w:tabs>
      </w:pPr>
      <w:r>
        <w:fldChar w:fldCharType="begin"/>
      </w:r>
      <w:r>
        <w:instrText xml:space="preserve"> HYPERLINK \l _Toc20652 </w:instrText>
      </w:r>
      <w:r>
        <w:fldChar w:fldCharType="separate"/>
      </w:r>
      <w:r>
        <w:rPr>
          <w:rFonts w:cs="宋体"/>
          <w:kern w:val="0"/>
        </w:rPr>
        <w:t xml:space="preserve">3、 </w:t>
      </w:r>
      <w:r>
        <w:rPr>
          <w:rFonts w:hint="eastAsia" w:cs="宋体"/>
          <w:kern w:val="0"/>
        </w:rPr>
        <w:t>国内一周小金属价格汇总</w:t>
      </w:r>
      <w:r>
        <w:tab/>
      </w:r>
      <w:r>
        <w:fldChar w:fldCharType="begin"/>
      </w:r>
      <w:r>
        <w:instrText xml:space="preserve"> PAGEREF _Toc20652 </w:instrText>
      </w:r>
      <w:r>
        <w:fldChar w:fldCharType="separate"/>
      </w:r>
      <w:r>
        <w:t>7</w:t>
      </w:r>
      <w:r>
        <w:fldChar w:fldCharType="end"/>
      </w:r>
      <w:r>
        <w:fldChar w:fldCharType="end"/>
      </w:r>
    </w:p>
    <w:p>
      <w:pPr>
        <w:pStyle w:val="15"/>
        <w:tabs>
          <w:tab w:val="right" w:leader="dot" w:pos="9124"/>
          <w:tab w:val="clear" w:pos="9170"/>
        </w:tabs>
      </w:pPr>
      <w:r>
        <w:fldChar w:fldCharType="begin"/>
      </w:r>
      <w:r>
        <w:instrText xml:space="preserve"> HYPERLINK \l _Toc17910 </w:instrText>
      </w:r>
      <w:r>
        <w:fldChar w:fldCharType="separate"/>
      </w:r>
      <w:r>
        <w:rPr>
          <w:rFonts w:hint="eastAsia"/>
        </w:rPr>
        <w:t xml:space="preserve">三、 </w:t>
      </w:r>
      <w:r>
        <w:rPr>
          <w:rFonts w:hint="eastAsia" w:cs="黑体"/>
          <w:kern w:val="0"/>
        </w:rPr>
        <w:t>一周市场动态回顾</w:t>
      </w:r>
      <w:r>
        <w:tab/>
      </w:r>
      <w:r>
        <w:fldChar w:fldCharType="begin"/>
      </w:r>
      <w:r>
        <w:instrText xml:space="preserve"> PAGEREF _Toc17910 </w:instrText>
      </w:r>
      <w:r>
        <w:fldChar w:fldCharType="separate"/>
      </w:r>
      <w:r>
        <w:t>7</w:t>
      </w:r>
      <w:r>
        <w:fldChar w:fldCharType="end"/>
      </w:r>
      <w:r>
        <w:fldChar w:fldCharType="end"/>
      </w:r>
    </w:p>
    <w:p>
      <w:pPr>
        <w:pStyle w:val="17"/>
        <w:tabs>
          <w:tab w:val="right" w:leader="dot" w:pos="9124"/>
          <w:tab w:val="clear" w:pos="9170"/>
        </w:tabs>
      </w:pPr>
      <w:r>
        <w:fldChar w:fldCharType="begin"/>
      </w:r>
      <w:r>
        <w:instrText xml:space="preserve"> HYPERLINK \l _Toc20008 </w:instrText>
      </w:r>
      <w:r>
        <w:fldChar w:fldCharType="separate"/>
      </w:r>
      <w:r>
        <w:rPr>
          <w:rFonts w:hint="eastAsia" w:ascii="宋体" w:hAnsi="宋体" w:cs="宋体"/>
          <w:bCs/>
          <w:kern w:val="0"/>
          <w:szCs w:val="30"/>
        </w:rPr>
        <w:t>金川集团、西部矿业等多家有色企业在进博会与客户达成战略合作</w:t>
      </w:r>
      <w:r>
        <w:tab/>
      </w:r>
      <w:r>
        <w:fldChar w:fldCharType="begin"/>
      </w:r>
      <w:r>
        <w:instrText xml:space="preserve"> PAGEREF _Toc20008 </w:instrText>
      </w:r>
      <w:r>
        <w:fldChar w:fldCharType="separate"/>
      </w:r>
      <w:r>
        <w:t>7</w:t>
      </w:r>
      <w:r>
        <w:fldChar w:fldCharType="end"/>
      </w:r>
      <w:r>
        <w:fldChar w:fldCharType="end"/>
      </w:r>
    </w:p>
    <w:p>
      <w:pPr>
        <w:pStyle w:val="17"/>
        <w:tabs>
          <w:tab w:val="right" w:leader="dot" w:pos="9124"/>
          <w:tab w:val="clear" w:pos="9170"/>
        </w:tabs>
      </w:pPr>
      <w:r>
        <w:fldChar w:fldCharType="begin"/>
      </w:r>
      <w:r>
        <w:instrText xml:space="preserve"> HYPERLINK \l _Toc981 </w:instrText>
      </w:r>
      <w:r>
        <w:fldChar w:fldCharType="separate"/>
      </w:r>
      <w:r>
        <w:rPr>
          <w:rFonts w:hint="eastAsia" w:ascii="宋体" w:hAnsi="宋体" w:cs="宋体"/>
          <w:bCs/>
          <w:kern w:val="0"/>
          <w:szCs w:val="30"/>
        </w:rPr>
        <w:t>再生金属“黄金期”来了 第二十届再生金属国际论坛及展览交易会盛大启幕</w:t>
      </w:r>
      <w:r>
        <w:tab/>
      </w:r>
      <w:r>
        <w:fldChar w:fldCharType="begin"/>
      </w:r>
      <w:r>
        <w:instrText xml:space="preserve"> PAGEREF _Toc981 </w:instrText>
      </w:r>
      <w:r>
        <w:fldChar w:fldCharType="separate"/>
      </w:r>
      <w:r>
        <w:t>11</w:t>
      </w:r>
      <w:r>
        <w:fldChar w:fldCharType="end"/>
      </w:r>
      <w:r>
        <w:fldChar w:fldCharType="end"/>
      </w:r>
    </w:p>
    <w:p>
      <w:pPr>
        <w:pStyle w:val="17"/>
        <w:tabs>
          <w:tab w:val="right" w:leader="dot" w:pos="9124"/>
          <w:tab w:val="clear" w:pos="9170"/>
        </w:tabs>
      </w:pPr>
      <w:r>
        <w:fldChar w:fldCharType="begin"/>
      </w:r>
      <w:r>
        <w:instrText xml:space="preserve"> HYPERLINK \l _Toc9395 </w:instrText>
      </w:r>
      <w:r>
        <w:fldChar w:fldCharType="separate"/>
      </w:r>
      <w:r>
        <w:rPr>
          <w:rFonts w:hint="eastAsia" w:ascii="宋体" w:hAnsi="宋体" w:cs="宋体"/>
          <w:bCs/>
          <w:kern w:val="0"/>
          <w:szCs w:val="30"/>
          <w:lang w:eastAsia="zh-CN"/>
        </w:rPr>
        <w:t>中国恩菲铜冶炼技术助力行业高技术高质量发展</w:t>
      </w:r>
      <w:r>
        <w:tab/>
      </w:r>
      <w:r>
        <w:fldChar w:fldCharType="begin"/>
      </w:r>
      <w:r>
        <w:instrText xml:space="preserve"> PAGEREF _Toc9395 </w:instrText>
      </w:r>
      <w:r>
        <w:fldChar w:fldCharType="separate"/>
      </w:r>
      <w:r>
        <w:t>15</w:t>
      </w:r>
      <w:r>
        <w:fldChar w:fldCharType="end"/>
      </w:r>
      <w:r>
        <w:fldChar w:fldCharType="end"/>
      </w:r>
    </w:p>
    <w:p>
      <w:pPr>
        <w:pStyle w:val="17"/>
        <w:tabs>
          <w:tab w:val="right" w:leader="dot" w:pos="9124"/>
          <w:tab w:val="clear" w:pos="9170"/>
        </w:tabs>
      </w:pPr>
      <w:r>
        <w:fldChar w:fldCharType="begin"/>
      </w:r>
      <w:r>
        <w:instrText xml:space="preserve"> HYPERLINK \l _Toc13913 </w:instrText>
      </w:r>
      <w:r>
        <w:fldChar w:fldCharType="separate"/>
      </w:r>
      <w:r>
        <w:rPr>
          <w:rFonts w:hint="default" w:ascii="宋体" w:hAnsi="宋体" w:cs="宋体"/>
          <w:bCs/>
          <w:kern w:val="0"/>
          <w:szCs w:val="30"/>
          <w:lang w:val="en-US" w:eastAsia="zh-CN"/>
        </w:rPr>
        <w:t>让共和国第一国企永放光辉</w:t>
      </w:r>
      <w:r>
        <w:tab/>
      </w:r>
      <w:r>
        <w:fldChar w:fldCharType="begin"/>
      </w:r>
      <w:r>
        <w:instrText xml:space="preserve"> PAGEREF _Toc13913 </w:instrText>
      </w:r>
      <w:r>
        <w:fldChar w:fldCharType="separate"/>
      </w:r>
      <w:r>
        <w:t>23</w:t>
      </w:r>
      <w:r>
        <w:fldChar w:fldCharType="end"/>
      </w:r>
      <w:r>
        <w:fldChar w:fldCharType="end"/>
      </w:r>
    </w:p>
    <w:p>
      <w:pPr>
        <w:pStyle w:val="17"/>
        <w:tabs>
          <w:tab w:val="right" w:leader="dot" w:pos="9124"/>
          <w:tab w:val="clear" w:pos="9170"/>
        </w:tabs>
      </w:pPr>
      <w:r>
        <w:fldChar w:fldCharType="begin"/>
      </w:r>
      <w:r>
        <w:instrText xml:space="preserve"> HYPERLINK \l _Toc14042 </w:instrText>
      </w:r>
      <w:r>
        <w:fldChar w:fldCharType="separate"/>
      </w:r>
      <w:r>
        <w:rPr>
          <w:rFonts w:hint="eastAsia" w:ascii="宋体" w:hAnsi="宋体" w:cs="宋体"/>
          <w:bCs/>
          <w:kern w:val="0"/>
          <w:szCs w:val="30"/>
        </w:rPr>
        <w:t>3大主线挑起长江经济带绿色发展重任 “四美”建设启续篇</w:t>
      </w:r>
      <w:r>
        <w:tab/>
      </w:r>
      <w:r>
        <w:fldChar w:fldCharType="begin"/>
      </w:r>
      <w:r>
        <w:instrText xml:space="preserve"> PAGEREF _Toc14042 </w:instrText>
      </w:r>
      <w:r>
        <w:fldChar w:fldCharType="separate"/>
      </w:r>
      <w:r>
        <w:t>26</w:t>
      </w:r>
      <w:r>
        <w:fldChar w:fldCharType="end"/>
      </w:r>
      <w:r>
        <w:fldChar w:fldCharType="end"/>
      </w:r>
    </w:p>
    <w:p>
      <w:pPr>
        <w:pStyle w:val="17"/>
        <w:tabs>
          <w:tab w:val="right" w:leader="dot" w:pos="9124"/>
          <w:tab w:val="clear" w:pos="9170"/>
        </w:tabs>
      </w:pPr>
      <w:r>
        <w:fldChar w:fldCharType="begin"/>
      </w:r>
      <w:r>
        <w:instrText xml:space="preserve"> HYPERLINK \l _Toc7788 </w:instrText>
      </w:r>
      <w:r>
        <w:fldChar w:fldCharType="separate"/>
      </w:r>
      <w:r>
        <w:rPr>
          <w:rFonts w:hint="eastAsia" w:ascii="宋体" w:hAnsi="宋体" w:cs="宋体"/>
          <w:bCs/>
          <w:kern w:val="0"/>
          <w:szCs w:val="30"/>
        </w:rPr>
        <w:t>2020年中国国际一流绿色智能矿山建设高峰论坛将在济南召开</w:t>
      </w:r>
      <w:r>
        <w:tab/>
      </w:r>
      <w:r>
        <w:fldChar w:fldCharType="begin"/>
      </w:r>
      <w:r>
        <w:instrText xml:space="preserve"> PAGEREF _Toc7788 </w:instrText>
      </w:r>
      <w:r>
        <w:fldChar w:fldCharType="separate"/>
      </w:r>
      <w:r>
        <w:t>28</w:t>
      </w:r>
      <w:r>
        <w:fldChar w:fldCharType="end"/>
      </w:r>
      <w:r>
        <w:fldChar w:fldCharType="end"/>
      </w:r>
    </w:p>
    <w:p>
      <w:pPr>
        <w:pStyle w:val="17"/>
        <w:tabs>
          <w:tab w:val="right" w:leader="dot" w:pos="9124"/>
          <w:tab w:val="clear" w:pos="9170"/>
        </w:tabs>
      </w:pPr>
      <w:r>
        <w:fldChar w:fldCharType="begin"/>
      </w:r>
      <w:r>
        <w:instrText xml:space="preserve"> HYPERLINK \l _Toc20518 </w:instrText>
      </w:r>
      <w:r>
        <w:fldChar w:fldCharType="separate"/>
      </w:r>
      <w:r>
        <w:rPr>
          <w:rFonts w:hint="eastAsia" w:ascii="宋体" w:hAnsi="宋体" w:cs="宋体"/>
          <w:bCs/>
          <w:kern w:val="0"/>
          <w:szCs w:val="30"/>
        </w:rPr>
        <w:t>《户式空气源热泵冷暖两联供工程技术导则》顺利通过审查</w:t>
      </w:r>
      <w:r>
        <w:tab/>
      </w:r>
      <w:r>
        <w:fldChar w:fldCharType="begin"/>
      </w:r>
      <w:r>
        <w:instrText xml:space="preserve"> PAGEREF _Toc20518 </w:instrText>
      </w:r>
      <w:r>
        <w:fldChar w:fldCharType="separate"/>
      </w:r>
      <w:r>
        <w:t>29</w:t>
      </w:r>
      <w:r>
        <w:fldChar w:fldCharType="end"/>
      </w:r>
      <w:r>
        <w:fldChar w:fldCharType="end"/>
      </w:r>
    </w:p>
    <w:p>
      <w:pPr>
        <w:pStyle w:val="17"/>
        <w:tabs>
          <w:tab w:val="right" w:leader="dot" w:pos="9124"/>
          <w:tab w:val="clear" w:pos="9170"/>
        </w:tabs>
      </w:pPr>
      <w:r>
        <w:fldChar w:fldCharType="begin"/>
      </w:r>
      <w:r>
        <w:instrText xml:space="preserve"> HYPERLINK \l _Toc22166 </w:instrText>
      </w:r>
      <w:r>
        <w:fldChar w:fldCharType="separate"/>
      </w:r>
      <w:r>
        <w:rPr>
          <w:rFonts w:hint="eastAsia" w:ascii="宋体" w:hAnsi="宋体" w:cs="宋体"/>
          <w:bCs/>
          <w:kern w:val="0"/>
          <w:szCs w:val="30"/>
        </w:rPr>
        <w:t>李鹏：关于可再生能源产业“十四五”及中长期发展的思考</w:t>
      </w:r>
      <w:r>
        <w:tab/>
      </w:r>
      <w:r>
        <w:fldChar w:fldCharType="begin"/>
      </w:r>
      <w:r>
        <w:instrText xml:space="preserve"> PAGEREF _Toc22166 </w:instrText>
      </w:r>
      <w:r>
        <w:fldChar w:fldCharType="separate"/>
      </w:r>
      <w:r>
        <w:t>31</w:t>
      </w:r>
      <w:r>
        <w:fldChar w:fldCharType="end"/>
      </w:r>
      <w:r>
        <w:fldChar w:fldCharType="end"/>
      </w:r>
    </w:p>
    <w:p>
      <w:pPr>
        <w:pStyle w:val="17"/>
        <w:tabs>
          <w:tab w:val="right" w:leader="dot" w:pos="9124"/>
          <w:tab w:val="clear" w:pos="9170"/>
        </w:tabs>
      </w:pPr>
      <w:r>
        <w:fldChar w:fldCharType="begin"/>
      </w:r>
      <w:r>
        <w:instrText xml:space="preserve"> HYPERLINK \l _Toc12700 </w:instrText>
      </w:r>
      <w:r>
        <w:fldChar w:fldCharType="separate"/>
      </w:r>
      <w:r>
        <w:rPr>
          <w:rFonts w:hint="eastAsia" w:ascii="宋体" w:hAnsi="宋体" w:cs="宋体"/>
          <w:bCs/>
          <w:kern w:val="0"/>
          <w:szCs w:val="30"/>
        </w:rPr>
        <w:t>聚飞光电已向TCL华星交货Mini背光、直显产品</w:t>
      </w:r>
      <w:r>
        <w:tab/>
      </w:r>
      <w:r>
        <w:fldChar w:fldCharType="begin"/>
      </w:r>
      <w:r>
        <w:instrText xml:space="preserve"> PAGEREF _Toc12700 </w:instrText>
      </w:r>
      <w:r>
        <w:fldChar w:fldCharType="separate"/>
      </w:r>
      <w:r>
        <w:t>38</w:t>
      </w:r>
      <w:r>
        <w:fldChar w:fldCharType="end"/>
      </w:r>
      <w:r>
        <w:fldChar w:fldCharType="end"/>
      </w:r>
    </w:p>
    <w:p>
      <w:pPr>
        <w:pStyle w:val="17"/>
        <w:tabs>
          <w:tab w:val="right" w:leader="dot" w:pos="9124"/>
          <w:tab w:val="clear" w:pos="9170"/>
        </w:tabs>
      </w:pPr>
      <w:r>
        <w:fldChar w:fldCharType="begin"/>
      </w:r>
      <w:r>
        <w:instrText xml:space="preserve"> HYPERLINK \l _Toc20989 </w:instrText>
      </w:r>
      <w:r>
        <w:fldChar w:fldCharType="separate"/>
      </w:r>
      <w:r>
        <w:rPr>
          <w:rFonts w:hint="eastAsia" w:ascii="宋体" w:hAnsi="宋体" w:cs="宋体"/>
          <w:bCs/>
          <w:kern w:val="0"/>
          <w:szCs w:val="30"/>
        </w:rPr>
        <w:t>韩国科学家创新设计高功率透明太阳能电池，构建可持续绿色未来</w:t>
      </w:r>
      <w:r>
        <w:tab/>
      </w:r>
      <w:r>
        <w:fldChar w:fldCharType="begin"/>
      </w:r>
      <w:r>
        <w:instrText xml:space="preserve"> PAGEREF _Toc20989 </w:instrText>
      </w:r>
      <w:r>
        <w:fldChar w:fldCharType="separate"/>
      </w:r>
      <w:r>
        <w:t>40</w:t>
      </w:r>
      <w:r>
        <w:fldChar w:fldCharType="end"/>
      </w:r>
      <w:r>
        <w:fldChar w:fldCharType="end"/>
      </w:r>
    </w:p>
    <w:p>
      <w:r>
        <w:fldChar w:fldCharType="end"/>
      </w:r>
      <w:bookmarkEnd w:id="0"/>
    </w:p>
    <w:p/>
    <w:p>
      <w:pPr>
        <w:pStyle w:val="4"/>
        <w:tabs>
          <w:tab w:val="center" w:pos="4252"/>
        </w:tabs>
        <w:spacing w:line="400" w:lineRule="exact"/>
        <w:rPr>
          <w:rFonts w:hint="eastAsia" w:cs="黑体"/>
          <w:lang w:eastAsia="zh-CN"/>
        </w:rPr>
      </w:pPr>
      <w:bookmarkStart w:id="2" w:name="_Toc21544"/>
      <w:r>
        <w:rPr>
          <w:rFonts w:hint="eastAsia" w:cs="黑体"/>
        </w:rPr>
        <w:t>一、小金属一周评述</w:t>
      </w:r>
      <w:bookmarkEnd w:id="1"/>
      <w:bookmarkEnd w:id="2"/>
      <w:r>
        <w:rPr>
          <w:rFonts w:hint="eastAsia" w:cs="黑体"/>
          <w:lang w:eastAsia="zh-CN"/>
        </w:rPr>
        <w:tab/>
      </w:r>
    </w:p>
    <w:p>
      <w:pPr>
        <w:pStyle w:val="4"/>
        <w:numPr>
          <w:ilvl w:val="0"/>
          <w:numId w:val="1"/>
        </w:numPr>
        <w:spacing w:line="400" w:lineRule="exact"/>
        <w:rPr>
          <w:rFonts w:hint="eastAsia"/>
          <w:kern w:val="0"/>
          <w:lang w:eastAsia="zh-CN"/>
        </w:rPr>
      </w:pPr>
      <w:bookmarkStart w:id="3" w:name="_Toc22711"/>
      <w:r>
        <w:rPr>
          <w:rFonts w:hint="eastAsia"/>
          <w:kern w:val="0"/>
        </w:rPr>
        <w:t>硒评论</w:t>
      </w:r>
      <w:r>
        <w:rPr>
          <w:rFonts w:hint="eastAsia"/>
          <w:kern w:val="0"/>
          <w:lang w:eastAsia="zh-CN"/>
        </w:rPr>
        <w:t>：</w:t>
      </w:r>
      <w:r>
        <w:rPr>
          <w:rFonts w:hint="eastAsia"/>
          <w:kern w:val="0"/>
        </w:rPr>
        <w:t>电解锰市场需求比较活跃 二硒市场需求一般</w:t>
      </w:r>
      <w:bookmarkEnd w:id="3"/>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0"/>
          <w:sz w:val="28"/>
          <w:szCs w:val="28"/>
          <w:lang w:val="en-US" w:eastAsia="zh-CN"/>
        </w:rPr>
      </w:pPr>
      <w:r>
        <w:rPr>
          <w:rFonts w:hint="eastAsia" w:asciiTheme="minorEastAsia" w:hAnsiTheme="minorEastAsia" w:eastAsiaTheme="minorEastAsia" w:cstheme="minorEastAsia"/>
          <w:kern w:val="0"/>
          <w:sz w:val="28"/>
          <w:szCs w:val="28"/>
          <w:lang w:val="en-US" w:eastAsia="zh-CN"/>
        </w:rPr>
        <w:t>中商网讯：截至到目前电解锰的报价在10000-10200元/吨，最低价较上周五持平，最高价较上周五上涨100元/吨。目前国内电解锰市场需求比较活跃，生产商库存依旧有限，市场成交量有所增加，但不排除价格有继续小幅上涨的可能，鉴于市场需求在短期内不会有太大的变化。预计未来一周国内电解锰市场价格将会保持坚挺。</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硒粉国际市场最新报价在5.55-7美元/磅，均价较上周五保持不变。欧洲鹿特丹市场硒粉报价为6.6美元/磅，均价较上周五保持不变。本周国内硒粉市场价格为90-110元/公斤，均价较上周五保持不变。本周粗硒市场价格为65-73元/公斤，最低价较上周五保持不变，最高价较上周五上涨3元/公斤。预计未来一周内国内硒粉市场价格将会保持坚挺。</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国内二氧化硒市场价格为59-62元/公斤，均价较上周五保持不变。目前国内二氧化硒市场保持平稳运行，市场需求一般。有消费商表示，目前他们常规供应商对国内二氧化硒的报价为60元/公斤，对单笔采购量超过3吨的订单可以给予2元/公斤的优惠，与上周的价格相同。因为他们目前库存比较充足，暂时以消耗之前采购的库存为主，所以本周没有采购的计划。鉴于市场成交情绪不高，他们预计未来一周国内二氧化硒市场将保持平稳运行。</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分析评述：本周硒市整体运行比较平稳，电解锰市场价格小幅上涨。粗硒市场价格小幅上涨。二氧化硒市场价格平稳。鉴于目前国内二氧化硒市场需求疲软，预计未来一周硒市整体将会保持平稳运行。</w:t>
      </w:r>
    </w:p>
    <w:p>
      <w:pPr>
        <w:pStyle w:val="4"/>
        <w:numPr>
          <w:ilvl w:val="0"/>
          <w:numId w:val="2"/>
        </w:numPr>
        <w:spacing w:line="400" w:lineRule="exact"/>
        <w:rPr>
          <w:rFonts w:hint="eastAsia" w:ascii="Calibri" w:hAnsi="Calibri" w:eastAsia="宋体" w:cs="Calibri"/>
          <w:b/>
          <w:bCs/>
          <w:kern w:val="0"/>
          <w:sz w:val="32"/>
          <w:szCs w:val="32"/>
          <w:lang w:val="en-US" w:eastAsia="zh-CN" w:bidi="ar-SA"/>
        </w:rPr>
      </w:pPr>
      <w:bookmarkStart w:id="4" w:name="_Toc3012"/>
      <w:r>
        <w:rPr>
          <w:rFonts w:hint="eastAsia"/>
          <w:kern w:val="0"/>
          <w:lang w:eastAsia="zh-CN"/>
        </w:rPr>
        <w:t>铋</w:t>
      </w:r>
      <w:r>
        <w:rPr>
          <w:rFonts w:hint="eastAsia"/>
          <w:kern w:val="0"/>
        </w:rPr>
        <w:t>评论</w:t>
      </w:r>
      <w:r>
        <w:rPr>
          <w:rFonts w:hint="eastAsia"/>
          <w:kern w:val="0"/>
          <w:lang w:eastAsia="zh-CN"/>
        </w:rPr>
        <w:t>：</w:t>
      </w:r>
      <w:r>
        <w:rPr>
          <w:rFonts w:hint="eastAsia" w:ascii="Calibri" w:hAnsi="Calibri" w:eastAsia="宋体" w:cs="Calibri"/>
          <w:b/>
          <w:bCs/>
          <w:kern w:val="0"/>
          <w:sz w:val="32"/>
          <w:szCs w:val="32"/>
          <w:lang w:val="en-US" w:eastAsia="zh-CN" w:bidi="ar-SA"/>
        </w:rPr>
        <w:t>铋锭市场</w:t>
      </w:r>
      <w:r>
        <w:rPr>
          <w:rFonts w:hint="eastAsia" w:cs="Calibri"/>
          <w:b/>
          <w:bCs/>
          <w:kern w:val="0"/>
          <w:sz w:val="32"/>
          <w:szCs w:val="32"/>
          <w:lang w:val="en-US" w:eastAsia="zh-CN" w:bidi="ar-SA"/>
        </w:rPr>
        <w:t>行情有所减弱</w:t>
      </w:r>
      <w:bookmarkEnd w:id="4"/>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中商网讯：本周国内铋锭市场价格走低，终端消费商以按需采购为主，市场观望情绪较浓。目前因国内铋锭市场价格趋弱，消费商普遍都在消耗之前采购的库存为主，短期供应商接到的订单较为稀少。鉴于部分供应商主动降低报价以获订单，业内人士预计未来一周国内铋锭市场价格将会继续走低。</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本周国际市场铋锭报价为2.85-3.1美元/磅，均价较上周五持平。欧洲鹿特丹市场最新报价在3美元/磅，价格较上周五保持不变。出口市场价格为2.7-2.8美元/磅，均价较上周五保持不变。</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本周国内铋锭市场主流报价为38000-39000元/吨，均价较上周五下跌500元/吨。有生产商表示，他们目前国内铋锭的报价在40000元/吨，对于实盘的老客户还能接受1000元/吨的还盘价格。目前消费商们普遍都在观望后市，他们本周还没有接到新的订单。鉴于国内铋锭市场需求不佳，实际现货交易量有限，他们预计未来一周国内铋锭市场价格将会继续走低。目前国内氧化铋的市场价格为43000-44000元/吨，均价较上周五下跌500元/吨。氧化铋市场延续疲弱运行，市场需求仍旧表现不佳，预计氧化铋市场价格将会继续走低。</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分析评述：本周国内铋锭市场成交价格下跌。目前国内铋锭市场行情有所减少弱，成交量也在减少，鉴于现货市场交投不畅，他们预计未来一周国内铋锭市场价格将会继续走低。</w:t>
      </w:r>
    </w:p>
    <w:p>
      <w:pPr>
        <w:pStyle w:val="4"/>
        <w:spacing w:line="400" w:lineRule="exact"/>
        <w:rPr>
          <w:rFonts w:hint="eastAsia" w:eastAsia="宋体"/>
          <w:kern w:val="0"/>
          <w:lang w:eastAsia="zh-CN"/>
        </w:rPr>
      </w:pPr>
      <w:bookmarkStart w:id="5" w:name="_Toc225"/>
      <w:r>
        <w:rPr>
          <w:rFonts w:hint="eastAsia"/>
          <w:kern w:val="0"/>
        </w:rPr>
        <w:t>3</w:t>
      </w:r>
      <w:r>
        <w:rPr>
          <w:rFonts w:hint="eastAsia"/>
          <w:kern w:val="0"/>
          <w:lang w:eastAsia="zh-CN"/>
        </w:rPr>
        <w:t>、</w:t>
      </w:r>
      <w:r>
        <w:rPr>
          <w:rFonts w:hint="eastAsia"/>
          <w:kern w:val="0"/>
        </w:rPr>
        <w:t>铟评论：铟锭</w:t>
      </w:r>
      <w:r>
        <w:rPr>
          <w:rFonts w:hint="eastAsia"/>
          <w:kern w:val="0"/>
          <w:lang w:val="en-US" w:eastAsia="zh-CN"/>
        </w:rPr>
        <w:t>市场成交气氛清淡</w:t>
      </w:r>
      <w:bookmarkEnd w:id="5"/>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中商网讯：今日国内铟锭的主流报价为1100-1150元/公斤，均价较上一交易日保持不变。目前国内铟锭市场供应方面变化不大，市场成交气氛清淡。现阶段国内铟锭市场需求不活跃，终端市场消费商们观望后市态</w:t>
      </w:r>
      <w:r>
        <w:rPr>
          <w:rFonts w:hint="eastAsia" w:asciiTheme="minorEastAsia" w:hAnsiTheme="minorEastAsia" w:eastAsiaTheme="minorEastAsia" w:cstheme="minorEastAsia"/>
          <w:kern w:val="0"/>
          <w:sz w:val="28"/>
          <w:szCs w:val="28"/>
          <w:lang w:val="en-US" w:eastAsia="zh-CN"/>
        </w:rPr>
        <w:t>的</w:t>
      </w:r>
      <w:r>
        <w:rPr>
          <w:rFonts w:hint="default" w:asciiTheme="minorEastAsia" w:hAnsiTheme="minorEastAsia" w:eastAsiaTheme="minorEastAsia" w:cstheme="minorEastAsia"/>
          <w:kern w:val="0"/>
          <w:sz w:val="28"/>
          <w:szCs w:val="28"/>
          <w:lang w:val="en-US" w:eastAsia="zh-CN"/>
        </w:rPr>
        <w:t>度较为浓厚，目前还是维持按需采购。鉴于现货市场活跃度不佳，预计未来一周国内铟锭市场价格将会趋弱。</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有供应商表示，目前国内铟锭市场需求清淡，成交持续低迷，部分生产商挺价信心逐渐減弱，报价也不再坚挺。出货价格较此前有所下调。消费商观望后市的情绪较浓，期待有更低的价格出现，目前仅有部分消费商适量补货。鉴于市场需求有所减弱，预计未来一周国内铟锭市场价格将会趋弱。</w:t>
      </w:r>
    </w:p>
    <w:p>
      <w:pPr>
        <w:pStyle w:val="4"/>
        <w:spacing w:line="400" w:lineRule="exact"/>
        <w:rPr>
          <w:rFonts w:hint="eastAsia" w:eastAsia="宋体" w:cs="宋体"/>
          <w:kern w:val="0"/>
          <w:lang w:eastAsia="zh-CN"/>
        </w:rPr>
      </w:pPr>
      <w:bookmarkStart w:id="6" w:name="_Toc17775"/>
      <w:r>
        <w:rPr>
          <w:kern w:val="0"/>
        </w:rPr>
        <w:t>4</w:t>
      </w:r>
      <w:r>
        <w:rPr>
          <w:rFonts w:hint="eastAsia" w:cs="宋体"/>
          <w:kern w:val="0"/>
        </w:rPr>
        <w:t>、碲评论：国内碲锭市场供应偏紧</w:t>
      </w:r>
      <w:bookmarkEnd w:id="6"/>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中商网讯：今日国内金属碲的主流报价为445-455元/公斤，均价较上一个交易日保持不变。由于目前国内金属碲现货市场供应偏紧，大多数供应商继续小幅上调报价。现阶段大多数供应商普遍看涨后市，挺价的意愿较强。鉴于国内金属碲市场供应商普遍库存不足且出货意愿并不明显，业内人士预测未来一周国内碲锭市场价格将会继续小幅上涨。</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有生产商表示，目前国内金属碲市场行情依旧表现坚挺。因为目前原材料依然相对紧张，目前很难在现货市场上采购到足够的原料，因此他们计划继续小幅上调报价以探试场，出货也愈加谨慎。虽然终端市场消费商们采购积极性并不高，依旧选择观望后市，但是生产商普遍将报价继续小幅上调。鉴于受现货市场供应偏紧的支撑，预计未来一周国内金属碲市场价格将会继续小幅上涨。</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p>
    <w:p>
      <w:pPr>
        <w:pStyle w:val="2"/>
        <w:spacing w:line="400" w:lineRule="exact"/>
        <w:rPr>
          <w:rFonts w:hint="eastAsia" w:cs="黑体"/>
        </w:rPr>
      </w:pPr>
      <w:bookmarkStart w:id="7" w:name="_Toc24585"/>
      <w:r>
        <w:rPr>
          <w:rFonts w:hint="eastAsia" w:cs="黑体"/>
        </w:rPr>
        <w:t>二、价格行情</w:t>
      </w:r>
      <w:bookmarkEnd w:id="7"/>
    </w:p>
    <w:p>
      <w:pPr>
        <w:pStyle w:val="4"/>
        <w:spacing w:line="400" w:lineRule="exact"/>
        <w:rPr>
          <w:kern w:val="0"/>
        </w:rPr>
      </w:pPr>
      <w:bookmarkStart w:id="8" w:name="_Toc7073"/>
      <w:r>
        <w:rPr>
          <w:kern w:val="0"/>
        </w:rPr>
        <w:t>1</w:t>
      </w:r>
      <w:r>
        <w:rPr>
          <w:rFonts w:hint="eastAsia"/>
          <w:kern w:val="0"/>
        </w:rPr>
        <w:t>、国际价格</w:t>
      </w:r>
      <w:bookmarkEnd w:id="8"/>
    </w:p>
    <w:tbl>
      <w:tblPr>
        <w:tblStyle w:val="21"/>
        <w:tblW w:w="9080" w:type="dxa"/>
        <w:tblInd w:w="-147" w:type="dxa"/>
        <w:tblLayout w:type="fixed"/>
        <w:tblCellMar>
          <w:top w:w="0" w:type="dxa"/>
          <w:left w:w="108" w:type="dxa"/>
          <w:bottom w:w="0" w:type="dxa"/>
          <w:right w:w="108" w:type="dxa"/>
        </w:tblCellMar>
      </w:tblPr>
      <w:tblGrid>
        <w:gridCol w:w="746"/>
        <w:gridCol w:w="674"/>
        <w:gridCol w:w="574"/>
        <w:gridCol w:w="666"/>
        <w:gridCol w:w="629"/>
        <w:gridCol w:w="578"/>
        <w:gridCol w:w="564"/>
        <w:gridCol w:w="602"/>
        <w:gridCol w:w="555"/>
        <w:gridCol w:w="594"/>
        <w:gridCol w:w="609"/>
        <w:gridCol w:w="487"/>
        <w:gridCol w:w="488"/>
        <w:gridCol w:w="609"/>
        <w:gridCol w:w="705"/>
      </w:tblGrid>
      <w:tr>
        <w:tblPrEx>
          <w:tblCellMar>
            <w:top w:w="0" w:type="dxa"/>
            <w:left w:w="108" w:type="dxa"/>
            <w:bottom w:w="0" w:type="dxa"/>
            <w:right w:w="108" w:type="dxa"/>
          </w:tblCellMar>
        </w:tblPrEx>
        <w:trPr>
          <w:trHeight w:val="349" w:hRule="atLeast"/>
        </w:trPr>
        <w:tc>
          <w:tcPr>
            <w:tcW w:w="9080" w:type="dxa"/>
            <w:gridSpan w:val="15"/>
            <w:tcBorders>
              <w:top w:val="single" w:color="auto" w:sz="8" w:space="0"/>
              <w:left w:val="single" w:color="auto" w:sz="8" w:space="0"/>
              <w:bottom w:val="single" w:color="auto" w:sz="8" w:space="0"/>
              <w:right w:val="single" w:color="000000" w:sz="8" w:space="0"/>
            </w:tcBorders>
            <w:shd w:val="clear" w:color="auto" w:fill="auto"/>
            <w:noWrap/>
            <w:vAlign w:val="center"/>
          </w:tcPr>
          <w:p>
            <w:pPr>
              <w:widowControl/>
              <w:jc w:val="center"/>
              <w:rPr>
                <w:rFonts w:ascii="仿宋_GB2312" w:hAnsi="宋体" w:eastAsia="仿宋_GB2312" w:cs="宋体"/>
                <w:b/>
                <w:bCs/>
                <w:color w:val="000000"/>
                <w:kern w:val="0"/>
              </w:rPr>
            </w:pPr>
            <w:r>
              <w:rPr>
                <w:rFonts w:hint="eastAsia" w:ascii="仿宋_GB2312" w:hAnsi="宋体" w:eastAsia="仿宋_GB2312" w:cs="宋体"/>
                <w:b/>
                <w:bCs/>
                <w:color w:val="000000"/>
                <w:kern w:val="0"/>
              </w:rPr>
              <w:t>国际小金属价格</w:t>
            </w:r>
          </w:p>
        </w:tc>
      </w:tr>
      <w:tr>
        <w:tblPrEx>
          <w:tblCellMar>
            <w:top w:w="0" w:type="dxa"/>
            <w:left w:w="108" w:type="dxa"/>
            <w:bottom w:w="0" w:type="dxa"/>
            <w:right w:w="108" w:type="dxa"/>
          </w:tblCellMar>
        </w:tblPrEx>
        <w:trPr>
          <w:trHeight w:val="349" w:hRule="atLeast"/>
        </w:trPr>
        <w:tc>
          <w:tcPr>
            <w:tcW w:w="746" w:type="dxa"/>
            <w:vMerge w:val="restart"/>
            <w:tcBorders>
              <w:top w:val="nil"/>
              <w:left w:val="single" w:color="auto" w:sz="8" w:space="0"/>
              <w:bottom w:val="single" w:color="000000" w:sz="8" w:space="0"/>
              <w:right w:val="single" w:color="auto"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日期</w:t>
            </w:r>
          </w:p>
        </w:tc>
        <w:tc>
          <w:tcPr>
            <w:tcW w:w="1248" w:type="dxa"/>
            <w:gridSpan w:val="2"/>
            <w:vMerge w:val="restart"/>
            <w:tcBorders>
              <w:top w:val="single" w:color="auto" w:sz="8" w:space="0"/>
              <w:left w:val="single" w:color="auto" w:sz="8" w:space="0"/>
              <w:bottom w:val="single" w:color="000000" w:sz="8" w:space="0"/>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硒（美元）</w:t>
            </w:r>
          </w:p>
        </w:tc>
        <w:tc>
          <w:tcPr>
            <w:tcW w:w="1295" w:type="dxa"/>
            <w:gridSpan w:val="2"/>
            <w:vMerge w:val="restart"/>
            <w:tcBorders>
              <w:top w:val="single" w:color="auto" w:sz="8" w:space="0"/>
              <w:left w:val="single" w:color="auto" w:sz="8" w:space="0"/>
              <w:bottom w:val="single" w:color="000000" w:sz="8" w:space="0"/>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铋（美元）</w:t>
            </w:r>
          </w:p>
        </w:tc>
        <w:tc>
          <w:tcPr>
            <w:tcW w:w="1142" w:type="dxa"/>
            <w:gridSpan w:val="2"/>
            <w:tcBorders>
              <w:top w:val="single" w:color="auto" w:sz="8" w:space="0"/>
              <w:left w:val="nil"/>
              <w:bottom w:val="nil"/>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镉</w:t>
            </w:r>
          </w:p>
        </w:tc>
        <w:tc>
          <w:tcPr>
            <w:tcW w:w="1157" w:type="dxa"/>
            <w:gridSpan w:val="2"/>
            <w:tcBorders>
              <w:top w:val="single" w:color="auto" w:sz="8" w:space="0"/>
              <w:left w:val="nil"/>
              <w:bottom w:val="nil"/>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镉</w:t>
            </w:r>
          </w:p>
        </w:tc>
        <w:tc>
          <w:tcPr>
            <w:tcW w:w="1203" w:type="dxa"/>
            <w:gridSpan w:val="2"/>
            <w:vMerge w:val="restart"/>
            <w:tcBorders>
              <w:top w:val="single" w:color="auto" w:sz="8" w:space="0"/>
              <w:left w:val="single" w:color="auto" w:sz="8" w:space="0"/>
              <w:bottom w:val="single" w:color="000000" w:sz="8" w:space="0"/>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铟（美元）</w:t>
            </w:r>
          </w:p>
        </w:tc>
        <w:tc>
          <w:tcPr>
            <w:tcW w:w="975" w:type="dxa"/>
            <w:gridSpan w:val="2"/>
            <w:vMerge w:val="restart"/>
            <w:tcBorders>
              <w:top w:val="single" w:color="auto" w:sz="8" w:space="0"/>
              <w:left w:val="single" w:color="auto" w:sz="8" w:space="0"/>
              <w:bottom w:val="single" w:color="000000" w:sz="8" w:space="0"/>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碲锭（美元）</w:t>
            </w:r>
          </w:p>
        </w:tc>
        <w:tc>
          <w:tcPr>
            <w:tcW w:w="1314" w:type="dxa"/>
            <w:gridSpan w:val="2"/>
            <w:vMerge w:val="restart"/>
            <w:tcBorders>
              <w:top w:val="single" w:color="auto" w:sz="8" w:space="0"/>
              <w:left w:val="single" w:color="auto" w:sz="8" w:space="0"/>
              <w:bottom w:val="single" w:color="000000" w:sz="8" w:space="0"/>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二氧化锗（美元）</w:t>
            </w:r>
          </w:p>
        </w:tc>
      </w:tr>
      <w:tr>
        <w:tblPrEx>
          <w:tblCellMar>
            <w:top w:w="0" w:type="dxa"/>
            <w:left w:w="108" w:type="dxa"/>
            <w:bottom w:w="0" w:type="dxa"/>
            <w:right w:w="108" w:type="dxa"/>
          </w:tblCellMar>
        </w:tblPrEx>
        <w:trPr>
          <w:trHeight w:val="678" w:hRule="atLeast"/>
        </w:trPr>
        <w:tc>
          <w:tcPr>
            <w:tcW w:w="746" w:type="dxa"/>
            <w:vMerge w:val="continue"/>
            <w:tcBorders>
              <w:top w:val="nil"/>
              <w:left w:val="single" w:color="auto" w:sz="8" w:space="0"/>
              <w:bottom w:val="single" w:color="000000" w:sz="8" w:space="0"/>
              <w:right w:val="single" w:color="auto" w:sz="8" w:space="0"/>
            </w:tcBorders>
            <w:vAlign w:val="center"/>
          </w:tcPr>
          <w:p>
            <w:pPr>
              <w:widowControl/>
              <w:jc w:val="left"/>
              <w:rPr>
                <w:rFonts w:ascii="仿宋_GB2312" w:hAnsi="宋体" w:eastAsia="仿宋_GB2312" w:cs="宋体"/>
                <w:color w:val="000000"/>
                <w:kern w:val="0"/>
              </w:rPr>
            </w:pPr>
          </w:p>
        </w:tc>
        <w:tc>
          <w:tcPr>
            <w:tcW w:w="1248" w:type="dxa"/>
            <w:gridSpan w:val="2"/>
            <w:vMerge w:val="continue"/>
            <w:tcBorders>
              <w:top w:val="single" w:color="auto" w:sz="8" w:space="0"/>
              <w:left w:val="single" w:color="auto" w:sz="8" w:space="0"/>
              <w:bottom w:val="single" w:color="000000" w:sz="8" w:space="0"/>
              <w:right w:val="single" w:color="000000" w:sz="8" w:space="0"/>
            </w:tcBorders>
            <w:vAlign w:val="center"/>
          </w:tcPr>
          <w:p>
            <w:pPr>
              <w:widowControl/>
              <w:jc w:val="left"/>
              <w:rPr>
                <w:rFonts w:ascii="仿宋_GB2312" w:hAnsi="宋体" w:eastAsia="仿宋_GB2312" w:cs="宋体"/>
                <w:color w:val="000000"/>
                <w:kern w:val="0"/>
              </w:rPr>
            </w:pPr>
          </w:p>
        </w:tc>
        <w:tc>
          <w:tcPr>
            <w:tcW w:w="1295" w:type="dxa"/>
            <w:gridSpan w:val="2"/>
            <w:vMerge w:val="continue"/>
            <w:tcBorders>
              <w:top w:val="single" w:color="auto" w:sz="8" w:space="0"/>
              <w:left w:val="single" w:color="auto" w:sz="8" w:space="0"/>
              <w:bottom w:val="single" w:color="000000" w:sz="8" w:space="0"/>
              <w:right w:val="single" w:color="000000" w:sz="8" w:space="0"/>
            </w:tcBorders>
            <w:vAlign w:val="center"/>
          </w:tcPr>
          <w:p>
            <w:pPr>
              <w:widowControl/>
              <w:jc w:val="left"/>
              <w:rPr>
                <w:rFonts w:ascii="仿宋_GB2312" w:hAnsi="宋体" w:eastAsia="仿宋_GB2312" w:cs="宋体"/>
                <w:color w:val="000000"/>
                <w:kern w:val="0"/>
              </w:rPr>
            </w:pPr>
          </w:p>
        </w:tc>
        <w:tc>
          <w:tcPr>
            <w:tcW w:w="1142" w:type="dxa"/>
            <w:gridSpan w:val="2"/>
            <w:tcBorders>
              <w:top w:val="nil"/>
              <w:left w:val="nil"/>
              <w:bottom w:val="single" w:color="auto" w:sz="8" w:space="0"/>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（99.95美分）</w:t>
            </w:r>
          </w:p>
        </w:tc>
        <w:tc>
          <w:tcPr>
            <w:tcW w:w="1157" w:type="dxa"/>
            <w:gridSpan w:val="2"/>
            <w:tcBorders>
              <w:top w:val="nil"/>
              <w:left w:val="nil"/>
              <w:bottom w:val="single" w:color="auto" w:sz="8" w:space="0"/>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（99.99美分）</w:t>
            </w:r>
          </w:p>
        </w:tc>
        <w:tc>
          <w:tcPr>
            <w:tcW w:w="1203" w:type="dxa"/>
            <w:gridSpan w:val="2"/>
            <w:vMerge w:val="continue"/>
            <w:tcBorders>
              <w:top w:val="single" w:color="auto" w:sz="8" w:space="0"/>
              <w:left w:val="single" w:color="auto" w:sz="8" w:space="0"/>
              <w:bottom w:val="single" w:color="000000" w:sz="8" w:space="0"/>
              <w:right w:val="single" w:color="000000" w:sz="8" w:space="0"/>
            </w:tcBorders>
            <w:vAlign w:val="center"/>
          </w:tcPr>
          <w:p>
            <w:pPr>
              <w:widowControl/>
              <w:jc w:val="left"/>
              <w:rPr>
                <w:rFonts w:ascii="仿宋_GB2312" w:hAnsi="宋体" w:eastAsia="仿宋_GB2312" w:cs="宋体"/>
                <w:color w:val="000000"/>
                <w:kern w:val="0"/>
              </w:rPr>
            </w:pPr>
          </w:p>
        </w:tc>
        <w:tc>
          <w:tcPr>
            <w:tcW w:w="975" w:type="dxa"/>
            <w:gridSpan w:val="2"/>
            <w:vMerge w:val="continue"/>
            <w:tcBorders>
              <w:top w:val="single" w:color="auto" w:sz="8" w:space="0"/>
              <w:left w:val="single" w:color="auto" w:sz="8" w:space="0"/>
              <w:bottom w:val="single" w:color="000000" w:sz="8" w:space="0"/>
              <w:right w:val="single" w:color="000000" w:sz="8" w:space="0"/>
            </w:tcBorders>
            <w:vAlign w:val="center"/>
          </w:tcPr>
          <w:p>
            <w:pPr>
              <w:widowControl/>
              <w:jc w:val="left"/>
              <w:rPr>
                <w:rFonts w:ascii="仿宋_GB2312" w:hAnsi="宋体" w:eastAsia="仿宋_GB2312" w:cs="宋体"/>
                <w:color w:val="000000"/>
                <w:kern w:val="0"/>
              </w:rPr>
            </w:pPr>
          </w:p>
        </w:tc>
        <w:tc>
          <w:tcPr>
            <w:tcW w:w="1314" w:type="dxa"/>
            <w:gridSpan w:val="2"/>
            <w:vMerge w:val="continue"/>
            <w:tcBorders>
              <w:top w:val="single" w:color="auto" w:sz="8" w:space="0"/>
              <w:left w:val="single" w:color="auto" w:sz="8" w:space="0"/>
              <w:bottom w:val="single" w:color="000000" w:sz="8" w:space="0"/>
              <w:right w:val="single" w:color="000000" w:sz="8" w:space="0"/>
            </w:tcBorders>
            <w:vAlign w:val="center"/>
          </w:tcPr>
          <w:p>
            <w:pPr>
              <w:widowControl/>
              <w:jc w:val="left"/>
              <w:rPr>
                <w:rFonts w:ascii="仿宋_GB2312" w:hAnsi="宋体" w:eastAsia="仿宋_GB2312" w:cs="宋体"/>
                <w:color w:val="000000"/>
                <w:kern w:val="0"/>
              </w:rPr>
            </w:pPr>
          </w:p>
        </w:tc>
      </w:tr>
      <w:tr>
        <w:tblPrEx>
          <w:tblCellMar>
            <w:top w:w="0" w:type="dxa"/>
            <w:left w:w="108" w:type="dxa"/>
            <w:bottom w:w="0" w:type="dxa"/>
            <w:right w:w="108" w:type="dxa"/>
          </w:tblCellMar>
        </w:tblPrEx>
        <w:trPr>
          <w:trHeight w:val="699" w:hRule="atLeast"/>
        </w:trPr>
        <w:tc>
          <w:tcPr>
            <w:tcW w:w="74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ascii="仿宋_GB2312" w:hAnsi="宋体" w:eastAsia="仿宋_GB2312" w:cs="宋体"/>
                <w:kern w:val="0"/>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11</w:t>
            </w:r>
            <w:r>
              <w:rPr>
                <w:rFonts w:hint="eastAsia" w:ascii="仿宋_GB2312" w:eastAsia="仿宋_GB2312" w:cs="仿宋_GB2312"/>
              </w:rPr>
              <w:t>日</w:t>
            </w:r>
          </w:p>
        </w:tc>
        <w:tc>
          <w:tcPr>
            <w:tcW w:w="674" w:type="dxa"/>
            <w:tcBorders>
              <w:top w:val="nil"/>
              <w:left w:val="nil"/>
              <w:bottom w:val="single" w:color="auto" w:sz="8" w:space="0"/>
              <w:right w:val="single" w:color="auto" w:sz="8" w:space="0"/>
            </w:tcBorders>
            <w:shd w:val="clear" w:color="auto" w:fill="auto"/>
            <w:vAlign w:val="center"/>
          </w:tcPr>
          <w:p>
            <w:pPr>
              <w:widowControl/>
              <w:jc w:val="center"/>
              <w:rPr>
                <w:rFonts w:hint="default" w:ascii="仿宋_GB2312" w:eastAsia="仿宋_GB2312" w:cs="仿宋_GB2312"/>
                <w:lang w:val="en-US" w:eastAsia="zh-CN"/>
              </w:rPr>
            </w:pPr>
            <w:r>
              <w:rPr>
                <w:rFonts w:hint="eastAsia" w:ascii="仿宋_GB2312" w:eastAsia="仿宋_GB2312" w:cs="仿宋_GB2312"/>
                <w:lang w:val="en-US" w:eastAsia="zh-CN"/>
              </w:rPr>
              <w:t>5.55</w:t>
            </w:r>
          </w:p>
        </w:tc>
        <w:tc>
          <w:tcPr>
            <w:tcW w:w="574" w:type="dxa"/>
            <w:tcBorders>
              <w:top w:val="nil"/>
              <w:left w:val="nil"/>
              <w:bottom w:val="single" w:color="auto" w:sz="8" w:space="0"/>
              <w:right w:val="single" w:color="auto" w:sz="8" w:space="0"/>
            </w:tcBorders>
            <w:shd w:val="clear" w:color="auto" w:fill="auto"/>
            <w:vAlign w:val="center"/>
          </w:tcPr>
          <w:p>
            <w:pPr>
              <w:widowControl/>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666" w:type="dxa"/>
            <w:tcBorders>
              <w:top w:val="nil"/>
              <w:left w:val="nil"/>
              <w:bottom w:val="single" w:color="auto" w:sz="8" w:space="0"/>
              <w:right w:val="single" w:color="auto" w:sz="8" w:space="0"/>
            </w:tcBorders>
            <w:shd w:val="clear" w:color="auto" w:fill="auto"/>
            <w:vAlign w:val="center"/>
          </w:tcPr>
          <w:p>
            <w:pPr>
              <w:widowControl/>
              <w:jc w:val="center"/>
              <w:rPr>
                <w:rFonts w:hint="default" w:ascii="仿宋_GB2312" w:eastAsia="仿宋_GB2312" w:cs="仿宋_GB2312"/>
                <w:lang w:val="en-US" w:eastAsia="zh-CN"/>
              </w:rPr>
            </w:pPr>
            <w:r>
              <w:rPr>
                <w:rFonts w:hint="eastAsia" w:ascii="仿宋_GB2312" w:eastAsia="仿宋_GB2312" w:cs="仿宋_GB2312"/>
                <w:lang w:val="en-US" w:eastAsia="zh-CN"/>
              </w:rPr>
              <w:t>2.85</w:t>
            </w:r>
          </w:p>
        </w:tc>
        <w:tc>
          <w:tcPr>
            <w:tcW w:w="629"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3.1</w:t>
            </w:r>
          </w:p>
        </w:tc>
        <w:tc>
          <w:tcPr>
            <w:tcW w:w="578" w:type="dxa"/>
            <w:tcBorders>
              <w:top w:val="nil"/>
              <w:left w:val="nil"/>
              <w:bottom w:val="single" w:color="auto" w:sz="8" w:space="0"/>
              <w:right w:val="single" w:color="auto" w:sz="8" w:space="0"/>
            </w:tcBorders>
            <w:shd w:val="clear" w:color="auto" w:fill="auto"/>
            <w:vAlign w:val="center"/>
          </w:tcPr>
          <w:p>
            <w:pPr>
              <w:widowControl/>
              <w:jc w:val="center"/>
              <w:rPr>
                <w:rFonts w:hint="default" w:ascii="仿宋_GB2312" w:eastAsia="仿宋_GB2312" w:cs="仿宋_GB2312"/>
                <w:lang w:val="en-US" w:eastAsia="zh-CN"/>
              </w:rPr>
            </w:pPr>
            <w:r>
              <w:rPr>
                <w:rFonts w:hint="eastAsia" w:ascii="仿宋_GB2312" w:eastAsia="仿宋_GB2312" w:cs="仿宋_GB2312"/>
                <w:lang w:val="en-US" w:eastAsia="zh-CN"/>
              </w:rPr>
              <w:t>85</w:t>
            </w:r>
          </w:p>
        </w:tc>
        <w:tc>
          <w:tcPr>
            <w:tcW w:w="564"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95</w:t>
            </w:r>
          </w:p>
        </w:tc>
        <w:tc>
          <w:tcPr>
            <w:tcW w:w="602"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8</w:t>
            </w:r>
            <w:r>
              <w:rPr>
                <w:rFonts w:hint="eastAsia" w:ascii="宋体" w:hAnsi="宋体" w:cs="宋体"/>
                <w:i w:val="0"/>
                <w:color w:val="000000"/>
                <w:kern w:val="0"/>
                <w:sz w:val="20"/>
                <w:szCs w:val="20"/>
                <w:u w:val="none"/>
                <w:lang w:val="en-US" w:eastAsia="zh-CN" w:bidi="ar"/>
              </w:rPr>
              <w:t>8</w:t>
            </w:r>
          </w:p>
        </w:tc>
        <w:tc>
          <w:tcPr>
            <w:tcW w:w="555" w:type="dxa"/>
            <w:tcBorders>
              <w:top w:val="nil"/>
              <w:left w:val="nil"/>
              <w:bottom w:val="single" w:color="auto" w:sz="8" w:space="0"/>
              <w:right w:val="single" w:color="auto" w:sz="8" w:space="0"/>
            </w:tcBorders>
            <w:shd w:val="clear" w:color="auto" w:fill="auto"/>
            <w:vAlign w:val="center"/>
          </w:tcPr>
          <w:p>
            <w:pPr>
              <w:widowControl/>
              <w:jc w:val="center"/>
              <w:rPr>
                <w:rFonts w:hint="default" w:ascii="仿宋_GB2312" w:eastAsia="仿宋_GB2312" w:cs="仿宋_GB2312"/>
                <w:lang w:val="en-US" w:eastAsia="zh-CN"/>
              </w:rPr>
            </w:pPr>
            <w:r>
              <w:rPr>
                <w:rFonts w:hint="eastAsia" w:ascii="仿宋_GB2312" w:eastAsia="仿宋_GB2312" w:cs="仿宋_GB2312"/>
                <w:lang w:val="en-US" w:eastAsia="zh-CN"/>
              </w:rPr>
              <w:t>98</w:t>
            </w:r>
          </w:p>
        </w:tc>
        <w:tc>
          <w:tcPr>
            <w:tcW w:w="594"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center"/>
              <w:textAlignment w:val="center"/>
              <w:rPr>
                <w:rFonts w:hint="default" w:ascii="仿宋_GB2312" w:eastAsia="仿宋_GB2312" w:cs="仿宋_GB2312"/>
                <w:lang w:val="en-US" w:eastAsia="zh-CN"/>
              </w:rPr>
            </w:pPr>
            <w:r>
              <w:rPr>
                <w:rFonts w:hint="eastAsia" w:ascii="宋体" w:hAnsi="宋体" w:eastAsia="宋体" w:cs="宋体"/>
                <w:i w:val="0"/>
                <w:color w:val="000000"/>
                <w:kern w:val="0"/>
                <w:sz w:val="20"/>
                <w:szCs w:val="20"/>
                <w:u w:val="none"/>
                <w:lang w:val="en-US" w:eastAsia="zh-CN" w:bidi="ar"/>
              </w:rPr>
              <w:t>17</w:t>
            </w:r>
            <w:r>
              <w:rPr>
                <w:rFonts w:hint="eastAsia" w:ascii="宋体" w:hAnsi="宋体" w:cs="宋体"/>
                <w:i w:val="0"/>
                <w:color w:val="000000"/>
                <w:kern w:val="0"/>
                <w:sz w:val="20"/>
                <w:szCs w:val="20"/>
                <w:u w:val="none"/>
                <w:lang w:val="en-US" w:eastAsia="zh-CN" w:bidi="ar"/>
              </w:rPr>
              <w:t>5</w:t>
            </w:r>
          </w:p>
        </w:tc>
        <w:tc>
          <w:tcPr>
            <w:tcW w:w="609"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center"/>
              <w:textAlignment w:val="center"/>
              <w:rPr>
                <w:rFonts w:hint="default" w:ascii="仿宋_GB2312" w:eastAsia="仿宋_GB2312" w:cs="仿宋_GB2312"/>
                <w:lang w:val="en-US" w:eastAsia="zh-CN"/>
              </w:rPr>
            </w:pPr>
            <w:r>
              <w:rPr>
                <w:rFonts w:hint="eastAsia" w:ascii="宋体" w:hAnsi="宋体" w:cs="宋体"/>
                <w:i w:val="0"/>
                <w:color w:val="000000"/>
                <w:kern w:val="0"/>
                <w:sz w:val="20"/>
                <w:szCs w:val="20"/>
                <w:u w:val="none"/>
                <w:lang w:val="en-US" w:eastAsia="zh-CN" w:bidi="ar"/>
              </w:rPr>
              <w:t>190</w:t>
            </w:r>
          </w:p>
        </w:tc>
        <w:tc>
          <w:tcPr>
            <w:tcW w:w="48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center"/>
              <w:textAlignment w:val="center"/>
              <w:rPr>
                <w:rFonts w:hint="default" w:ascii="仿宋_GB2312" w:eastAsia="仿宋_GB2312" w:cs="仿宋_GB2312"/>
                <w:lang w:val="en-US" w:eastAsia="zh-CN"/>
              </w:rPr>
            </w:pPr>
            <w:r>
              <w:rPr>
                <w:rFonts w:hint="eastAsia" w:ascii="宋体" w:hAnsi="宋体" w:eastAsia="宋体" w:cs="宋体"/>
                <w:i w:val="0"/>
                <w:color w:val="000000"/>
                <w:kern w:val="0"/>
                <w:sz w:val="20"/>
                <w:szCs w:val="20"/>
                <w:u w:val="none"/>
                <w:lang w:val="en-US" w:eastAsia="zh-CN" w:bidi="ar"/>
              </w:rPr>
              <w:t>56</w:t>
            </w:r>
          </w:p>
        </w:tc>
        <w:tc>
          <w:tcPr>
            <w:tcW w:w="48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center"/>
              <w:textAlignment w:val="center"/>
              <w:rPr>
                <w:rFonts w:hint="default" w:ascii="仿宋_GB2312" w:eastAsia="仿宋_GB2312" w:cs="仿宋_GB2312"/>
                <w:lang w:val="en-US" w:eastAsia="zh-CN"/>
              </w:rPr>
            </w:pPr>
            <w:r>
              <w:rPr>
                <w:rFonts w:hint="eastAsia" w:ascii="宋体" w:hAnsi="宋体" w:eastAsia="宋体" w:cs="宋体"/>
                <w:i w:val="0"/>
                <w:color w:val="000000"/>
                <w:kern w:val="0"/>
                <w:sz w:val="20"/>
                <w:szCs w:val="20"/>
                <w:u w:val="none"/>
                <w:lang w:val="en-US" w:eastAsia="zh-CN" w:bidi="ar"/>
              </w:rPr>
              <w:t>68</w:t>
            </w:r>
          </w:p>
        </w:tc>
        <w:tc>
          <w:tcPr>
            <w:tcW w:w="609" w:type="dxa"/>
            <w:tcBorders>
              <w:top w:val="nil"/>
              <w:left w:val="nil"/>
              <w:bottom w:val="single" w:color="auto" w:sz="8" w:space="0"/>
              <w:right w:val="single" w:color="auto" w:sz="8" w:space="0"/>
            </w:tcBorders>
            <w:shd w:val="clear" w:color="auto" w:fill="auto"/>
            <w:vAlign w:val="center"/>
          </w:tcPr>
          <w:p>
            <w:pPr>
              <w:widowControl/>
              <w:jc w:val="center"/>
              <w:rPr>
                <w:rFonts w:hint="eastAsia" w:ascii="仿宋_GB2312" w:eastAsia="仿宋_GB2312" w:cs="仿宋_GB2312"/>
                <w:lang w:val="en-US" w:eastAsia="zh-CN"/>
              </w:rPr>
            </w:pPr>
            <w:r>
              <w:rPr>
                <w:rFonts w:hint="eastAsia" w:ascii="仿宋_GB2312" w:eastAsia="仿宋_GB2312" w:cs="仿宋_GB2312"/>
                <w:lang w:val="en-US" w:eastAsia="zh-CN"/>
              </w:rPr>
              <w:t>900</w:t>
            </w:r>
          </w:p>
        </w:tc>
        <w:tc>
          <w:tcPr>
            <w:tcW w:w="705" w:type="dxa"/>
            <w:tcBorders>
              <w:top w:val="nil"/>
              <w:left w:val="nil"/>
              <w:bottom w:val="single" w:color="auto" w:sz="8" w:space="0"/>
              <w:right w:val="single" w:color="auto" w:sz="8" w:space="0"/>
            </w:tcBorders>
            <w:shd w:val="clear" w:color="auto" w:fill="auto"/>
            <w:vAlign w:val="center"/>
          </w:tcPr>
          <w:p>
            <w:pPr>
              <w:widowControl/>
              <w:jc w:val="center"/>
              <w:rPr>
                <w:rFonts w:hint="eastAsia" w:ascii="仿宋_GB2312" w:eastAsia="仿宋_GB2312" w:cs="仿宋_GB2312"/>
                <w:lang w:val="en-US" w:eastAsia="zh-CN"/>
              </w:rPr>
            </w:pPr>
            <w:r>
              <w:rPr>
                <w:rFonts w:hint="eastAsia" w:ascii="仿宋_GB2312" w:eastAsia="仿宋_GB2312" w:cs="仿宋_GB2312"/>
                <w:lang w:val="en-US" w:eastAsia="zh-CN"/>
              </w:rPr>
              <w:t>1100</w:t>
            </w:r>
          </w:p>
        </w:tc>
      </w:tr>
    </w:tbl>
    <w:p/>
    <w:p/>
    <w:p/>
    <w:p>
      <w:pPr>
        <w:pStyle w:val="4"/>
        <w:spacing w:line="400" w:lineRule="exact"/>
        <w:rPr>
          <w:rFonts w:hint="eastAsia" w:cs="宋体"/>
          <w:kern w:val="0"/>
        </w:rPr>
      </w:pPr>
      <w:bookmarkStart w:id="9" w:name="_Toc14870"/>
      <w:r>
        <w:rPr>
          <w:kern w:val="0"/>
        </w:rPr>
        <w:t>2</w:t>
      </w:r>
      <w:r>
        <w:rPr>
          <w:rFonts w:hint="eastAsia" w:cs="宋体"/>
          <w:kern w:val="0"/>
        </w:rPr>
        <w:t>、欧洲鹿特丹小金属价格</w:t>
      </w:r>
      <w:bookmarkEnd w:id="9"/>
    </w:p>
    <w:p/>
    <w:tbl>
      <w:tblPr>
        <w:tblStyle w:val="21"/>
        <w:tblW w:w="8960" w:type="dxa"/>
        <w:tblInd w:w="-106" w:type="dxa"/>
        <w:tblLayout w:type="fixed"/>
        <w:tblCellMar>
          <w:top w:w="0" w:type="dxa"/>
          <w:left w:w="108" w:type="dxa"/>
          <w:bottom w:w="0" w:type="dxa"/>
          <w:right w:w="108" w:type="dxa"/>
        </w:tblCellMar>
      </w:tblPr>
      <w:tblGrid>
        <w:gridCol w:w="688"/>
        <w:gridCol w:w="887"/>
        <w:gridCol w:w="887"/>
        <w:gridCol w:w="1276"/>
        <w:gridCol w:w="1093"/>
        <w:gridCol w:w="1122"/>
        <w:gridCol w:w="887"/>
        <w:gridCol w:w="1095"/>
        <w:gridCol w:w="1025"/>
      </w:tblGrid>
      <w:tr>
        <w:tblPrEx>
          <w:tblCellMar>
            <w:top w:w="0" w:type="dxa"/>
            <w:left w:w="108" w:type="dxa"/>
            <w:bottom w:w="0" w:type="dxa"/>
            <w:right w:w="108" w:type="dxa"/>
          </w:tblCellMar>
        </w:tblPrEx>
        <w:trPr>
          <w:trHeight w:val="427" w:hRule="atLeast"/>
        </w:trPr>
        <w:tc>
          <w:tcPr>
            <w:tcW w:w="8960" w:type="dxa"/>
            <w:gridSpan w:val="9"/>
            <w:tcBorders>
              <w:top w:val="single" w:color="auto" w:sz="8" w:space="0"/>
              <w:left w:val="single" w:color="auto" w:sz="8" w:space="0"/>
              <w:bottom w:val="single" w:color="auto" w:sz="4" w:space="0"/>
              <w:right w:val="single" w:color="000000" w:sz="8" w:space="0"/>
            </w:tcBorders>
            <w:vAlign w:val="center"/>
          </w:tcPr>
          <w:p>
            <w:pPr>
              <w:spacing w:line="400" w:lineRule="exact"/>
              <w:jc w:val="center"/>
              <w:rPr>
                <w:rFonts w:ascii="仿宋_GB2312" w:eastAsia="仿宋_GB2312" w:cs="Times New Roman"/>
                <w:b/>
                <w:bCs/>
              </w:rPr>
            </w:pPr>
            <w:r>
              <w:rPr>
                <w:rFonts w:hint="eastAsia" w:ascii="仿宋_GB2312" w:eastAsia="仿宋_GB2312" w:cs="仿宋_GB2312"/>
                <w:b/>
                <w:bCs/>
              </w:rPr>
              <w:t>欧洲鹿特丹小金属价格一周汇总</w:t>
            </w:r>
          </w:p>
        </w:tc>
      </w:tr>
      <w:tr>
        <w:tblPrEx>
          <w:tblCellMar>
            <w:top w:w="0" w:type="dxa"/>
            <w:left w:w="108" w:type="dxa"/>
            <w:bottom w:w="0" w:type="dxa"/>
            <w:right w:w="108" w:type="dxa"/>
          </w:tblCellMar>
        </w:tblPrEx>
        <w:trPr>
          <w:trHeight w:val="1337" w:hRule="atLeast"/>
        </w:trPr>
        <w:tc>
          <w:tcPr>
            <w:tcW w:w="688" w:type="dxa"/>
            <w:tcBorders>
              <w:top w:val="nil"/>
              <w:left w:val="single" w:color="auto" w:sz="8" w:space="0"/>
              <w:bottom w:val="single" w:color="auto" w:sz="4" w:space="0"/>
              <w:right w:val="single" w:color="auto" w:sz="4" w:space="0"/>
            </w:tcBorders>
            <w:vAlign w:val="center"/>
          </w:tcPr>
          <w:p>
            <w:pPr>
              <w:spacing w:line="400" w:lineRule="exact"/>
              <w:jc w:val="center"/>
              <w:rPr>
                <w:rFonts w:ascii="仿宋_GB2312" w:eastAsia="仿宋_GB2312" w:cs="仿宋_GB2312"/>
              </w:rPr>
            </w:pPr>
            <w:r>
              <w:rPr>
                <w:rFonts w:hint="eastAsia" w:ascii="仿宋_GB2312" w:eastAsia="仿宋_GB2312" w:cs="仿宋_GB2312"/>
              </w:rPr>
              <w:t>日期</w:t>
            </w:r>
          </w:p>
        </w:tc>
        <w:tc>
          <w:tcPr>
            <w:tcW w:w="887" w:type="dxa"/>
            <w:tcBorders>
              <w:top w:val="single" w:color="auto" w:sz="4" w:space="0"/>
              <w:left w:val="nil"/>
              <w:bottom w:val="single" w:color="auto" w:sz="4" w:space="0"/>
              <w:right w:val="single" w:color="auto" w:sz="4" w:space="0"/>
            </w:tcBorders>
            <w:vAlign w:val="center"/>
          </w:tcPr>
          <w:p>
            <w:pPr>
              <w:spacing w:line="400" w:lineRule="exact"/>
              <w:jc w:val="center"/>
              <w:rPr>
                <w:rFonts w:ascii="仿宋_GB2312" w:eastAsia="仿宋_GB2312" w:cs="Times New Roman"/>
              </w:rPr>
            </w:pPr>
            <w:r>
              <w:rPr>
                <w:rFonts w:hint="eastAsia" w:ascii="仿宋_GB2312" w:eastAsia="仿宋_GB2312" w:cs="仿宋_GB2312"/>
              </w:rPr>
              <w:t>硒（美元</w:t>
            </w:r>
            <w:r>
              <w:rPr>
                <w:rFonts w:ascii="仿宋_GB2312" w:eastAsia="仿宋_GB2312" w:cs="仿宋_GB2312"/>
              </w:rPr>
              <w:t>/</w:t>
            </w:r>
            <w:r>
              <w:rPr>
                <w:rFonts w:hint="eastAsia" w:ascii="仿宋_GB2312" w:eastAsia="仿宋_GB2312" w:cs="仿宋_GB2312"/>
              </w:rPr>
              <w:t>磅）</w:t>
            </w:r>
          </w:p>
        </w:tc>
        <w:tc>
          <w:tcPr>
            <w:tcW w:w="887" w:type="dxa"/>
            <w:tcBorders>
              <w:top w:val="single" w:color="auto" w:sz="4" w:space="0"/>
              <w:left w:val="nil"/>
              <w:bottom w:val="single" w:color="auto" w:sz="4" w:space="0"/>
              <w:right w:val="single" w:color="auto" w:sz="4" w:space="0"/>
            </w:tcBorders>
            <w:vAlign w:val="center"/>
          </w:tcPr>
          <w:p>
            <w:pPr>
              <w:spacing w:line="400" w:lineRule="exact"/>
              <w:jc w:val="center"/>
              <w:rPr>
                <w:rFonts w:ascii="仿宋_GB2312" w:eastAsia="仿宋_GB2312" w:cs="Times New Roman"/>
              </w:rPr>
            </w:pPr>
            <w:r>
              <w:rPr>
                <w:rFonts w:hint="eastAsia" w:ascii="仿宋_GB2312" w:eastAsia="仿宋_GB2312" w:cs="仿宋_GB2312"/>
              </w:rPr>
              <w:t>铋（美元</w:t>
            </w:r>
            <w:r>
              <w:rPr>
                <w:rFonts w:ascii="仿宋_GB2312" w:eastAsia="仿宋_GB2312" w:cs="仿宋_GB2312"/>
              </w:rPr>
              <w:t>/</w:t>
            </w:r>
            <w:r>
              <w:rPr>
                <w:rFonts w:hint="eastAsia" w:ascii="仿宋_GB2312" w:eastAsia="仿宋_GB2312" w:cs="仿宋_GB2312"/>
              </w:rPr>
              <w:t>磅）</w:t>
            </w:r>
          </w:p>
        </w:tc>
        <w:tc>
          <w:tcPr>
            <w:tcW w:w="1276" w:type="dxa"/>
            <w:tcBorders>
              <w:top w:val="single" w:color="auto" w:sz="4" w:space="0"/>
              <w:left w:val="nil"/>
              <w:bottom w:val="single" w:color="auto" w:sz="4" w:space="0"/>
              <w:right w:val="single" w:color="auto" w:sz="4" w:space="0"/>
            </w:tcBorders>
            <w:vAlign w:val="center"/>
          </w:tcPr>
          <w:p>
            <w:pPr>
              <w:spacing w:line="400" w:lineRule="exact"/>
              <w:jc w:val="center"/>
              <w:rPr>
                <w:rFonts w:ascii="仿宋_GB2312" w:eastAsia="仿宋_GB2312" w:cs="Times New Roman"/>
              </w:rPr>
            </w:pPr>
            <w:r>
              <w:rPr>
                <w:rFonts w:hint="eastAsia" w:ascii="仿宋_GB2312" w:eastAsia="仿宋_GB2312" w:cs="仿宋_GB2312"/>
              </w:rPr>
              <w:t>镉（</w:t>
            </w:r>
            <w:r>
              <w:rPr>
                <w:rFonts w:ascii="仿宋_GB2312" w:eastAsia="仿宋_GB2312" w:cs="仿宋_GB2312"/>
              </w:rPr>
              <w:t>99.95</w:t>
            </w:r>
            <w:r>
              <w:rPr>
                <w:rFonts w:hint="eastAsia" w:ascii="仿宋_GB2312" w:eastAsia="仿宋_GB2312" w:cs="仿宋_GB2312"/>
              </w:rPr>
              <w:t>美元</w:t>
            </w:r>
            <w:r>
              <w:rPr>
                <w:rFonts w:ascii="仿宋_GB2312" w:eastAsia="仿宋_GB2312" w:cs="仿宋_GB2312"/>
              </w:rPr>
              <w:t>/</w:t>
            </w:r>
            <w:r>
              <w:rPr>
                <w:rFonts w:hint="eastAsia" w:ascii="仿宋_GB2312" w:eastAsia="仿宋_GB2312" w:cs="仿宋_GB2312"/>
              </w:rPr>
              <w:t>磅）</w:t>
            </w:r>
          </w:p>
        </w:tc>
        <w:tc>
          <w:tcPr>
            <w:tcW w:w="1093" w:type="dxa"/>
            <w:tcBorders>
              <w:top w:val="single" w:color="auto" w:sz="4" w:space="0"/>
              <w:left w:val="nil"/>
              <w:bottom w:val="single" w:color="auto" w:sz="4" w:space="0"/>
              <w:right w:val="single" w:color="auto" w:sz="4" w:space="0"/>
            </w:tcBorders>
            <w:vAlign w:val="center"/>
          </w:tcPr>
          <w:p>
            <w:pPr>
              <w:spacing w:line="400" w:lineRule="exact"/>
              <w:jc w:val="center"/>
              <w:rPr>
                <w:rFonts w:ascii="仿宋_GB2312" w:eastAsia="仿宋_GB2312" w:cs="Times New Roman"/>
              </w:rPr>
            </w:pPr>
            <w:r>
              <w:rPr>
                <w:rFonts w:hint="eastAsia" w:ascii="仿宋_GB2312" w:eastAsia="仿宋_GB2312" w:cs="仿宋_GB2312"/>
              </w:rPr>
              <w:t>镉（</w:t>
            </w:r>
            <w:r>
              <w:rPr>
                <w:rFonts w:ascii="仿宋_GB2312" w:eastAsia="仿宋_GB2312" w:cs="仿宋_GB2312"/>
              </w:rPr>
              <w:t>99.99</w:t>
            </w:r>
            <w:r>
              <w:rPr>
                <w:rFonts w:hint="eastAsia" w:ascii="仿宋_GB2312" w:eastAsia="仿宋_GB2312" w:cs="仿宋_GB2312"/>
              </w:rPr>
              <w:t>美元</w:t>
            </w:r>
            <w:r>
              <w:rPr>
                <w:rFonts w:ascii="仿宋_GB2312" w:eastAsia="仿宋_GB2312" w:cs="仿宋_GB2312"/>
              </w:rPr>
              <w:t>/</w:t>
            </w:r>
            <w:r>
              <w:rPr>
                <w:rFonts w:hint="eastAsia" w:ascii="仿宋_GB2312" w:eastAsia="仿宋_GB2312" w:cs="仿宋_GB2312"/>
              </w:rPr>
              <w:t>磅）</w:t>
            </w:r>
          </w:p>
        </w:tc>
        <w:tc>
          <w:tcPr>
            <w:tcW w:w="1122" w:type="dxa"/>
            <w:tcBorders>
              <w:top w:val="single" w:color="auto" w:sz="4" w:space="0"/>
              <w:left w:val="nil"/>
              <w:bottom w:val="single" w:color="auto" w:sz="4" w:space="0"/>
              <w:right w:val="single" w:color="auto" w:sz="4" w:space="0"/>
            </w:tcBorders>
            <w:vAlign w:val="center"/>
          </w:tcPr>
          <w:p>
            <w:pPr>
              <w:spacing w:line="400" w:lineRule="exact"/>
              <w:jc w:val="center"/>
              <w:rPr>
                <w:rFonts w:ascii="仿宋_GB2312" w:eastAsia="仿宋_GB2312" w:cs="Times New Roman"/>
              </w:rPr>
            </w:pPr>
            <w:r>
              <w:rPr>
                <w:rFonts w:hint="eastAsia" w:ascii="仿宋_GB2312" w:eastAsia="仿宋_GB2312" w:cs="仿宋_GB2312"/>
              </w:rPr>
              <w:t>铟（美元</w:t>
            </w:r>
            <w:r>
              <w:rPr>
                <w:rFonts w:ascii="仿宋_GB2312" w:eastAsia="仿宋_GB2312" w:cs="仿宋_GB2312"/>
              </w:rPr>
              <w:t>/</w:t>
            </w:r>
            <w:r>
              <w:rPr>
                <w:rFonts w:hint="eastAsia" w:ascii="仿宋_GB2312" w:eastAsia="仿宋_GB2312" w:cs="仿宋_GB2312"/>
              </w:rPr>
              <w:t>公斤）</w:t>
            </w:r>
          </w:p>
        </w:tc>
        <w:tc>
          <w:tcPr>
            <w:tcW w:w="887" w:type="dxa"/>
            <w:tcBorders>
              <w:top w:val="single" w:color="auto" w:sz="4" w:space="0"/>
              <w:left w:val="nil"/>
              <w:bottom w:val="single" w:color="auto" w:sz="4" w:space="0"/>
              <w:right w:val="single" w:color="auto" w:sz="4" w:space="0"/>
            </w:tcBorders>
            <w:vAlign w:val="center"/>
          </w:tcPr>
          <w:p>
            <w:pPr>
              <w:spacing w:line="400" w:lineRule="exact"/>
              <w:jc w:val="center"/>
              <w:rPr>
                <w:rFonts w:ascii="仿宋_GB2312" w:eastAsia="仿宋_GB2312" w:cs="Times New Roman"/>
              </w:rPr>
            </w:pPr>
            <w:r>
              <w:rPr>
                <w:rFonts w:hint="eastAsia" w:ascii="仿宋_GB2312" w:eastAsia="仿宋_GB2312" w:cs="仿宋_GB2312"/>
              </w:rPr>
              <w:t>锗（元</w:t>
            </w:r>
            <w:r>
              <w:rPr>
                <w:rFonts w:ascii="仿宋_GB2312" w:eastAsia="仿宋_GB2312" w:cs="仿宋_GB2312"/>
              </w:rPr>
              <w:t>/</w:t>
            </w:r>
            <w:r>
              <w:rPr>
                <w:rFonts w:hint="eastAsia" w:ascii="仿宋_GB2312" w:eastAsia="仿宋_GB2312" w:cs="仿宋_GB2312"/>
              </w:rPr>
              <w:t>公斤）</w:t>
            </w:r>
          </w:p>
        </w:tc>
        <w:tc>
          <w:tcPr>
            <w:tcW w:w="1095" w:type="dxa"/>
            <w:tcBorders>
              <w:top w:val="single" w:color="auto" w:sz="4" w:space="0"/>
              <w:left w:val="nil"/>
              <w:bottom w:val="single" w:color="auto" w:sz="4" w:space="0"/>
              <w:right w:val="single" w:color="auto" w:sz="4" w:space="0"/>
            </w:tcBorders>
            <w:vAlign w:val="center"/>
          </w:tcPr>
          <w:p>
            <w:pPr>
              <w:spacing w:line="400" w:lineRule="exact"/>
              <w:jc w:val="center"/>
              <w:rPr>
                <w:rFonts w:ascii="仿宋_GB2312" w:eastAsia="仿宋_GB2312" w:cs="Times New Roman"/>
              </w:rPr>
            </w:pPr>
            <w:r>
              <w:rPr>
                <w:rFonts w:hint="eastAsia" w:ascii="仿宋_GB2312" w:eastAsia="仿宋_GB2312" w:cs="仿宋_GB2312"/>
              </w:rPr>
              <w:t>二氧化锗（美元</w:t>
            </w:r>
            <w:r>
              <w:rPr>
                <w:rFonts w:ascii="仿宋_GB2312" w:eastAsia="仿宋_GB2312" w:cs="仿宋_GB2312"/>
              </w:rPr>
              <w:t>/</w:t>
            </w:r>
            <w:r>
              <w:rPr>
                <w:rFonts w:hint="eastAsia" w:ascii="仿宋_GB2312" w:eastAsia="仿宋_GB2312" w:cs="仿宋_GB2312"/>
              </w:rPr>
              <w:t>公斤）</w:t>
            </w:r>
          </w:p>
        </w:tc>
        <w:tc>
          <w:tcPr>
            <w:tcW w:w="1025" w:type="dxa"/>
            <w:tcBorders>
              <w:top w:val="single" w:color="auto" w:sz="4" w:space="0"/>
              <w:left w:val="nil"/>
              <w:bottom w:val="single" w:color="auto" w:sz="4" w:space="0"/>
              <w:right w:val="single" w:color="000000" w:sz="8" w:space="0"/>
            </w:tcBorders>
            <w:vAlign w:val="center"/>
          </w:tcPr>
          <w:p>
            <w:pPr>
              <w:spacing w:line="400" w:lineRule="exact"/>
              <w:jc w:val="center"/>
              <w:rPr>
                <w:rFonts w:ascii="仿宋_GB2312" w:eastAsia="仿宋_GB2312" w:cs="Times New Roman"/>
              </w:rPr>
            </w:pPr>
            <w:r>
              <w:rPr>
                <w:rFonts w:hint="eastAsia" w:ascii="仿宋_GB2312" w:eastAsia="仿宋_GB2312" w:cs="仿宋_GB2312"/>
              </w:rPr>
              <w:t>镓（美元</w:t>
            </w:r>
            <w:r>
              <w:rPr>
                <w:rFonts w:ascii="仿宋_GB2312" w:eastAsia="仿宋_GB2312" w:cs="仿宋_GB2312"/>
              </w:rPr>
              <w:t>/</w:t>
            </w:r>
            <w:r>
              <w:rPr>
                <w:rFonts w:hint="eastAsia" w:ascii="仿宋_GB2312" w:eastAsia="仿宋_GB2312" w:cs="仿宋_GB2312"/>
              </w:rPr>
              <w:t>公斤）</w:t>
            </w:r>
          </w:p>
        </w:tc>
      </w:tr>
      <w:tr>
        <w:tblPrEx>
          <w:tblCellMar>
            <w:top w:w="0" w:type="dxa"/>
            <w:left w:w="108" w:type="dxa"/>
            <w:bottom w:w="0" w:type="dxa"/>
            <w:right w:w="108" w:type="dxa"/>
          </w:tblCellMar>
        </w:tblPrEx>
        <w:trPr>
          <w:trHeight w:val="824" w:hRule="atLeast"/>
        </w:trPr>
        <w:tc>
          <w:tcPr>
            <w:tcW w:w="688" w:type="dxa"/>
            <w:tcBorders>
              <w:top w:val="nil"/>
              <w:left w:val="single" w:color="auto" w:sz="8" w:space="0"/>
              <w:bottom w:val="single" w:color="auto" w:sz="4" w:space="0"/>
              <w:right w:val="single" w:color="auto" w:sz="4" w:space="0"/>
            </w:tcBorders>
            <w:vAlign w:val="center"/>
          </w:tcPr>
          <w:p>
            <w:pPr>
              <w:spacing w:line="400" w:lineRule="exact"/>
              <w:jc w:val="center"/>
              <w:rPr>
                <w:rFonts w:ascii="仿宋_GB2312" w:eastAsia="仿宋_GB2312" w:cs="Times New Roman"/>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11</w:t>
            </w:r>
            <w:r>
              <w:rPr>
                <w:rFonts w:hint="eastAsia" w:ascii="仿宋_GB2312" w:eastAsia="仿宋_GB2312" w:cs="仿宋_GB2312"/>
              </w:rPr>
              <w:t>日</w:t>
            </w:r>
          </w:p>
        </w:tc>
        <w:tc>
          <w:tcPr>
            <w:tcW w:w="887"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color w:val="auto"/>
                <w:lang w:val="en-US" w:eastAsia="zh-CN"/>
              </w:rPr>
              <w:t>6.6</w:t>
            </w:r>
          </w:p>
        </w:tc>
        <w:tc>
          <w:tcPr>
            <w:tcW w:w="887"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color w:val="auto"/>
                <w:lang w:val="en-US" w:eastAsia="zh-CN"/>
              </w:rPr>
              <w:t>3</w:t>
            </w:r>
          </w:p>
        </w:tc>
        <w:tc>
          <w:tcPr>
            <w:tcW w:w="1276"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rPr>
            </w:pPr>
            <w:r>
              <w:rPr>
                <w:rFonts w:hint="eastAsia" w:ascii="仿宋_GB2312" w:eastAsia="仿宋_GB2312" w:cs="仿宋_GB2312"/>
                <w:color w:val="auto"/>
                <w:lang w:val="en-US" w:eastAsia="zh-CN"/>
              </w:rPr>
              <w:t>0.9</w:t>
            </w:r>
          </w:p>
        </w:tc>
        <w:tc>
          <w:tcPr>
            <w:tcW w:w="1093"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eastAsia="zh-CN"/>
              </w:rPr>
            </w:pPr>
            <w:r>
              <w:rPr>
                <w:rFonts w:ascii="微软雅黑" w:hAnsi="微软雅黑" w:eastAsia="微软雅黑" w:cs="微软雅黑"/>
                <w:i w:val="0"/>
                <w:caps w:val="0"/>
                <w:color w:val="auto"/>
                <w:spacing w:val="0"/>
                <w:sz w:val="18"/>
                <w:szCs w:val="18"/>
                <w:shd w:val="clear" w:fill="FFFFFF"/>
              </w:rPr>
              <w:t>0.95</w:t>
            </w:r>
          </w:p>
        </w:tc>
        <w:tc>
          <w:tcPr>
            <w:tcW w:w="1122"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eastAsia="zh-CN"/>
              </w:rPr>
            </w:pPr>
            <w:r>
              <w:rPr>
                <w:rFonts w:ascii="微软雅黑" w:hAnsi="微软雅黑" w:eastAsia="微软雅黑" w:cs="微软雅黑"/>
                <w:i w:val="0"/>
                <w:caps w:val="0"/>
                <w:color w:val="auto"/>
                <w:spacing w:val="0"/>
                <w:sz w:val="18"/>
                <w:szCs w:val="18"/>
                <w:shd w:val="clear" w:fill="FFFFFF"/>
              </w:rPr>
              <w:t>180</w:t>
            </w:r>
          </w:p>
        </w:tc>
        <w:tc>
          <w:tcPr>
            <w:tcW w:w="887"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eastAsia="zh-CN"/>
              </w:rPr>
            </w:pPr>
            <w:r>
              <w:rPr>
                <w:rFonts w:ascii="微软雅黑" w:hAnsi="微软雅黑" w:eastAsia="微软雅黑" w:cs="微软雅黑"/>
                <w:i w:val="0"/>
                <w:caps w:val="0"/>
                <w:color w:val="auto"/>
                <w:spacing w:val="0"/>
                <w:sz w:val="18"/>
                <w:szCs w:val="18"/>
                <w:shd w:val="clear" w:fill="FFFFFF"/>
              </w:rPr>
              <w:t>1081.5</w:t>
            </w:r>
          </w:p>
        </w:tc>
        <w:tc>
          <w:tcPr>
            <w:tcW w:w="1095"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eastAsia="zh-CN"/>
              </w:rPr>
            </w:pPr>
            <w:r>
              <w:rPr>
                <w:rFonts w:ascii="微软雅黑" w:hAnsi="微软雅黑" w:eastAsia="微软雅黑" w:cs="微软雅黑"/>
                <w:i w:val="0"/>
                <w:caps w:val="0"/>
                <w:color w:val="auto"/>
                <w:spacing w:val="0"/>
                <w:sz w:val="18"/>
                <w:szCs w:val="18"/>
                <w:shd w:val="clear" w:fill="FFFFFF"/>
              </w:rPr>
              <w:t>920</w:t>
            </w:r>
          </w:p>
        </w:tc>
        <w:tc>
          <w:tcPr>
            <w:tcW w:w="1025" w:type="dxa"/>
            <w:tcBorders>
              <w:top w:val="single" w:color="auto" w:sz="4" w:space="0"/>
              <w:left w:val="nil"/>
              <w:bottom w:val="single" w:color="auto" w:sz="4" w:space="0"/>
              <w:right w:val="single" w:color="000000" w:sz="8" w:space="0"/>
            </w:tcBorders>
            <w:noWrap/>
            <w:vAlign w:val="center"/>
          </w:tcPr>
          <w:p>
            <w:pPr>
              <w:jc w:val="center"/>
              <w:rPr>
                <w:rFonts w:hint="default" w:ascii="仿宋_GB2312" w:eastAsia="仿宋_GB2312" w:cs="仿宋_GB2312"/>
                <w:color w:val="auto"/>
                <w:lang w:val="en-US"/>
              </w:rPr>
            </w:pPr>
            <w:r>
              <w:rPr>
                <w:rFonts w:ascii="微软雅黑" w:hAnsi="微软雅黑" w:eastAsia="微软雅黑" w:cs="微软雅黑"/>
                <w:i w:val="0"/>
                <w:caps w:val="0"/>
                <w:color w:val="auto"/>
                <w:spacing w:val="0"/>
                <w:sz w:val="18"/>
                <w:szCs w:val="18"/>
                <w:shd w:val="clear" w:fill="FFFFFF"/>
              </w:rPr>
              <w:t>180</w:t>
            </w:r>
          </w:p>
        </w:tc>
      </w:tr>
      <w:tr>
        <w:tblPrEx>
          <w:tblCellMar>
            <w:top w:w="0" w:type="dxa"/>
            <w:left w:w="108" w:type="dxa"/>
            <w:bottom w:w="0" w:type="dxa"/>
            <w:right w:w="108" w:type="dxa"/>
          </w:tblCellMar>
        </w:tblPrEx>
        <w:trPr>
          <w:trHeight w:val="834" w:hRule="atLeast"/>
        </w:trPr>
        <w:tc>
          <w:tcPr>
            <w:tcW w:w="688" w:type="dxa"/>
            <w:tcBorders>
              <w:top w:val="nil"/>
              <w:left w:val="single" w:color="auto" w:sz="8" w:space="0"/>
              <w:bottom w:val="single" w:color="auto" w:sz="4" w:space="0"/>
              <w:right w:val="single" w:color="auto" w:sz="4" w:space="0"/>
            </w:tcBorders>
            <w:vAlign w:val="top"/>
          </w:tcPr>
          <w:p>
            <w:pPr>
              <w:spacing w:line="400" w:lineRule="exact"/>
              <w:jc w:val="center"/>
              <w:rPr>
                <w:rFonts w:ascii="仿宋_GB2312" w:eastAsia="仿宋_GB2312" w:cs="Times New Roman"/>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12</w:t>
            </w:r>
            <w:r>
              <w:rPr>
                <w:rFonts w:hint="eastAsia" w:ascii="仿宋_GB2312" w:eastAsia="仿宋_GB2312" w:cs="仿宋_GB2312"/>
              </w:rPr>
              <w:t>日</w:t>
            </w:r>
          </w:p>
        </w:tc>
        <w:tc>
          <w:tcPr>
            <w:tcW w:w="887"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color w:val="auto"/>
                <w:lang w:val="en-US" w:eastAsia="zh-CN"/>
              </w:rPr>
              <w:t>6.6</w:t>
            </w:r>
          </w:p>
        </w:tc>
        <w:tc>
          <w:tcPr>
            <w:tcW w:w="887"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color w:val="auto"/>
                <w:lang w:val="en-US" w:eastAsia="zh-CN"/>
              </w:rPr>
              <w:t>3</w:t>
            </w:r>
          </w:p>
        </w:tc>
        <w:tc>
          <w:tcPr>
            <w:tcW w:w="1276"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rPr>
            </w:pPr>
            <w:r>
              <w:rPr>
                <w:rFonts w:hint="eastAsia" w:ascii="仿宋_GB2312" w:eastAsia="仿宋_GB2312" w:cs="仿宋_GB2312"/>
                <w:color w:val="auto"/>
                <w:lang w:val="en-US" w:eastAsia="zh-CN"/>
              </w:rPr>
              <w:t>0.9</w:t>
            </w:r>
          </w:p>
        </w:tc>
        <w:tc>
          <w:tcPr>
            <w:tcW w:w="1093"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eastAsia="zh-CN"/>
              </w:rPr>
            </w:pPr>
            <w:r>
              <w:rPr>
                <w:rFonts w:ascii="微软雅黑" w:hAnsi="微软雅黑" w:eastAsia="微软雅黑" w:cs="微软雅黑"/>
                <w:i w:val="0"/>
                <w:caps w:val="0"/>
                <w:color w:val="auto"/>
                <w:spacing w:val="0"/>
                <w:sz w:val="18"/>
                <w:szCs w:val="18"/>
                <w:shd w:val="clear" w:fill="FFFFFF"/>
              </w:rPr>
              <w:t>0.95</w:t>
            </w:r>
          </w:p>
        </w:tc>
        <w:tc>
          <w:tcPr>
            <w:tcW w:w="1122"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eastAsia="zh-CN"/>
              </w:rPr>
            </w:pPr>
            <w:r>
              <w:rPr>
                <w:rFonts w:ascii="微软雅黑" w:hAnsi="微软雅黑" w:eastAsia="微软雅黑" w:cs="微软雅黑"/>
                <w:i w:val="0"/>
                <w:caps w:val="0"/>
                <w:color w:val="auto"/>
                <w:spacing w:val="0"/>
                <w:sz w:val="18"/>
                <w:szCs w:val="18"/>
                <w:shd w:val="clear" w:fill="FFFFFF"/>
              </w:rPr>
              <w:t>180</w:t>
            </w:r>
          </w:p>
        </w:tc>
        <w:tc>
          <w:tcPr>
            <w:tcW w:w="887"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rPr>
            </w:pPr>
            <w:r>
              <w:rPr>
                <w:rFonts w:ascii="微软雅黑" w:hAnsi="微软雅黑" w:eastAsia="微软雅黑" w:cs="微软雅黑"/>
                <w:i w:val="0"/>
                <w:caps w:val="0"/>
                <w:color w:val="auto"/>
                <w:spacing w:val="0"/>
                <w:sz w:val="18"/>
                <w:szCs w:val="18"/>
                <w:shd w:val="clear" w:fill="FFFFFF"/>
              </w:rPr>
              <w:t>1081.5</w:t>
            </w:r>
          </w:p>
        </w:tc>
        <w:tc>
          <w:tcPr>
            <w:tcW w:w="1095"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rPr>
            </w:pPr>
            <w:r>
              <w:rPr>
                <w:rFonts w:ascii="微软雅黑" w:hAnsi="微软雅黑" w:eastAsia="微软雅黑" w:cs="微软雅黑"/>
                <w:i w:val="0"/>
                <w:caps w:val="0"/>
                <w:color w:val="auto"/>
                <w:spacing w:val="0"/>
                <w:sz w:val="18"/>
                <w:szCs w:val="18"/>
                <w:shd w:val="clear" w:fill="FFFFFF"/>
              </w:rPr>
              <w:t>920</w:t>
            </w:r>
          </w:p>
        </w:tc>
        <w:tc>
          <w:tcPr>
            <w:tcW w:w="1025" w:type="dxa"/>
            <w:tcBorders>
              <w:top w:val="single" w:color="auto" w:sz="4" w:space="0"/>
              <w:left w:val="nil"/>
              <w:bottom w:val="single" w:color="auto" w:sz="4" w:space="0"/>
              <w:right w:val="single" w:color="000000" w:sz="8" w:space="0"/>
            </w:tcBorders>
            <w:noWrap/>
            <w:vAlign w:val="center"/>
          </w:tcPr>
          <w:p>
            <w:pPr>
              <w:jc w:val="center"/>
              <w:rPr>
                <w:rFonts w:hint="default" w:ascii="仿宋_GB2312" w:eastAsia="仿宋_GB2312" w:cs="仿宋_GB2312"/>
                <w:color w:val="auto"/>
                <w:lang w:val="en-US"/>
              </w:rPr>
            </w:pPr>
            <w:r>
              <w:rPr>
                <w:rFonts w:ascii="微软雅黑" w:hAnsi="微软雅黑" w:eastAsia="微软雅黑" w:cs="微软雅黑"/>
                <w:i w:val="0"/>
                <w:caps w:val="0"/>
                <w:color w:val="auto"/>
                <w:spacing w:val="0"/>
                <w:sz w:val="18"/>
                <w:szCs w:val="18"/>
                <w:shd w:val="clear" w:fill="FFFFFF"/>
              </w:rPr>
              <w:t>180</w:t>
            </w:r>
          </w:p>
        </w:tc>
      </w:tr>
    </w:tbl>
    <w:p>
      <w:pPr>
        <w:rPr>
          <w:rFonts w:cs="Times New Roman"/>
        </w:rPr>
      </w:pPr>
    </w:p>
    <w:p>
      <w:pPr>
        <w:rPr>
          <w:rFonts w:cs="Times New Roman"/>
        </w:rPr>
      </w:pPr>
    </w:p>
    <w:p>
      <w:pPr>
        <w:pStyle w:val="4"/>
        <w:numPr>
          <w:ilvl w:val="0"/>
          <w:numId w:val="3"/>
        </w:numPr>
        <w:spacing w:line="400" w:lineRule="exact"/>
        <w:rPr>
          <w:rFonts w:cs="宋体"/>
          <w:kern w:val="0"/>
        </w:rPr>
      </w:pPr>
      <w:bookmarkStart w:id="10" w:name="_Toc20652"/>
      <w:r>
        <w:rPr>
          <w:rFonts w:hint="eastAsia" w:cs="宋体"/>
          <w:kern w:val="0"/>
        </w:rPr>
        <w:t>国内一周小金属价格汇总</w:t>
      </w:r>
      <w:bookmarkEnd w:id="10"/>
    </w:p>
    <w:tbl>
      <w:tblPr>
        <w:tblStyle w:val="21"/>
        <w:tblW w:w="8960" w:type="dxa"/>
        <w:tblInd w:w="-106" w:type="dxa"/>
        <w:tblLayout w:type="fixed"/>
        <w:tblCellMar>
          <w:top w:w="0" w:type="dxa"/>
          <w:left w:w="108" w:type="dxa"/>
          <w:bottom w:w="0" w:type="dxa"/>
          <w:right w:w="108" w:type="dxa"/>
        </w:tblCellMar>
      </w:tblPr>
      <w:tblGrid>
        <w:gridCol w:w="1258"/>
        <w:gridCol w:w="721"/>
        <w:gridCol w:w="722"/>
        <w:gridCol w:w="722"/>
        <w:gridCol w:w="722"/>
        <w:gridCol w:w="722"/>
        <w:gridCol w:w="724"/>
        <w:gridCol w:w="842"/>
        <w:gridCol w:w="843"/>
        <w:gridCol w:w="842"/>
        <w:gridCol w:w="842"/>
      </w:tblGrid>
      <w:tr>
        <w:tblPrEx>
          <w:tblCellMar>
            <w:top w:w="0" w:type="dxa"/>
            <w:left w:w="108" w:type="dxa"/>
            <w:bottom w:w="0" w:type="dxa"/>
            <w:right w:w="108" w:type="dxa"/>
          </w:tblCellMar>
        </w:tblPrEx>
        <w:trPr>
          <w:trHeight w:val="415" w:hRule="atLeast"/>
        </w:trPr>
        <w:tc>
          <w:tcPr>
            <w:tcW w:w="8960" w:type="dxa"/>
            <w:gridSpan w:val="11"/>
            <w:tcBorders>
              <w:top w:val="single" w:color="auto" w:sz="4" w:space="0"/>
              <w:left w:val="single" w:color="auto" w:sz="4" w:space="0"/>
              <w:bottom w:val="single" w:color="auto" w:sz="4" w:space="0"/>
              <w:right w:val="single" w:color="auto" w:sz="4" w:space="0"/>
            </w:tcBorders>
            <w:vAlign w:val="bottom"/>
          </w:tcPr>
          <w:p>
            <w:pPr>
              <w:widowControl/>
              <w:spacing w:line="400" w:lineRule="exact"/>
              <w:jc w:val="center"/>
              <w:rPr>
                <w:rFonts w:ascii="仿宋_GB2312" w:hAnsi="宋体" w:eastAsia="仿宋_GB2312" w:cs="Times New Roman"/>
                <w:b/>
                <w:bCs/>
                <w:kern w:val="0"/>
              </w:rPr>
            </w:pPr>
            <w:r>
              <w:rPr>
                <w:rFonts w:hint="eastAsia" w:ascii="仿宋_GB2312" w:hAnsi="宋体" w:eastAsia="仿宋_GB2312" w:cs="仿宋_GB2312"/>
                <w:b/>
                <w:bCs/>
                <w:kern w:val="0"/>
              </w:rPr>
              <w:t>国内小金属价格一周汇总</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日期</w:t>
            </w:r>
          </w:p>
        </w:tc>
        <w:tc>
          <w:tcPr>
            <w:tcW w:w="1443" w:type="dxa"/>
            <w:gridSpan w:val="2"/>
            <w:tcBorders>
              <w:top w:val="single" w:color="auto" w:sz="4" w:space="0"/>
              <w:left w:val="nil"/>
              <w:bottom w:val="single" w:color="auto" w:sz="4" w:space="0"/>
              <w:right w:val="single" w:color="auto" w:sz="4" w:space="0"/>
            </w:tcBorders>
            <w:vAlign w:val="bottom"/>
          </w:tcPr>
          <w:p>
            <w:pPr>
              <w:widowControl/>
              <w:spacing w:line="400" w:lineRule="exact"/>
              <w:jc w:val="center"/>
              <w:rPr>
                <w:rFonts w:ascii="仿宋_GB2312" w:hAnsi="宋体" w:eastAsia="仿宋_GB2312" w:cs="仿宋_GB2312"/>
                <w:kern w:val="0"/>
              </w:rPr>
            </w:pPr>
            <w:r>
              <w:rPr>
                <w:rFonts w:hint="eastAsia" w:ascii="仿宋_GB2312" w:hAnsi="宋体" w:eastAsia="仿宋_GB2312" w:cs="仿宋_GB2312"/>
                <w:kern w:val="0"/>
              </w:rPr>
              <w:t>硒粉</w:t>
            </w:r>
            <w:r>
              <w:rPr>
                <w:rFonts w:ascii="仿宋_GB2312" w:hAnsi="宋体" w:eastAsia="仿宋_GB2312" w:cs="仿宋_GB2312"/>
                <w:kern w:val="0"/>
              </w:rPr>
              <w:t>99.9%</w:t>
            </w:r>
          </w:p>
        </w:tc>
        <w:tc>
          <w:tcPr>
            <w:tcW w:w="1444" w:type="dxa"/>
            <w:gridSpan w:val="2"/>
            <w:tcBorders>
              <w:top w:val="single" w:color="auto" w:sz="4" w:space="0"/>
              <w:left w:val="nil"/>
              <w:bottom w:val="single" w:color="auto" w:sz="4" w:space="0"/>
              <w:right w:val="single" w:color="auto" w:sz="4" w:space="0"/>
            </w:tcBorders>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二氧化硒</w:t>
            </w:r>
          </w:p>
        </w:tc>
        <w:tc>
          <w:tcPr>
            <w:tcW w:w="1446" w:type="dxa"/>
            <w:gridSpan w:val="2"/>
            <w:tcBorders>
              <w:top w:val="single" w:color="auto" w:sz="4" w:space="0"/>
              <w:left w:val="nil"/>
              <w:bottom w:val="single" w:color="auto" w:sz="4" w:space="0"/>
              <w:right w:val="single" w:color="auto" w:sz="4" w:space="0"/>
            </w:tcBorders>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精铟</w:t>
            </w:r>
          </w:p>
        </w:tc>
        <w:tc>
          <w:tcPr>
            <w:tcW w:w="1685" w:type="dxa"/>
            <w:gridSpan w:val="2"/>
            <w:tcBorders>
              <w:top w:val="single" w:color="auto" w:sz="4" w:space="0"/>
              <w:left w:val="nil"/>
              <w:bottom w:val="single" w:color="auto" w:sz="4" w:space="0"/>
              <w:right w:val="single" w:color="auto" w:sz="4" w:space="0"/>
            </w:tcBorders>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粗铟</w:t>
            </w:r>
          </w:p>
        </w:tc>
        <w:tc>
          <w:tcPr>
            <w:tcW w:w="1684" w:type="dxa"/>
            <w:gridSpan w:val="2"/>
            <w:tcBorders>
              <w:top w:val="single" w:color="auto" w:sz="4" w:space="0"/>
              <w:left w:val="nil"/>
              <w:bottom w:val="single" w:color="auto" w:sz="4" w:space="0"/>
              <w:right w:val="single" w:color="auto" w:sz="4" w:space="0"/>
            </w:tcBorders>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锗锭</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vAlign w:val="center"/>
          </w:tcPr>
          <w:p>
            <w:pPr>
              <w:spacing w:line="400" w:lineRule="exact"/>
              <w:jc w:val="center"/>
              <w:rPr>
                <w:rFonts w:ascii="仿宋_GB2312" w:eastAsia="仿宋_GB2312" w:cs="仿宋_GB2312"/>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11</w:t>
            </w:r>
            <w:r>
              <w:rPr>
                <w:rFonts w:hint="eastAsia" w:ascii="仿宋_GB2312" w:eastAsia="仿宋_GB2312" w:cs="仿宋_GB2312"/>
              </w:rPr>
              <w:t>日</w:t>
            </w:r>
          </w:p>
        </w:tc>
        <w:tc>
          <w:tcPr>
            <w:tcW w:w="721"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90</w:t>
            </w:r>
          </w:p>
        </w:tc>
        <w:tc>
          <w:tcPr>
            <w:tcW w:w="722"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rPr>
            </w:pPr>
            <w:r>
              <w:rPr>
                <w:rFonts w:hint="eastAsia" w:ascii="仿宋_GB2312" w:eastAsia="仿宋_GB2312" w:cs="仿宋_GB2312"/>
              </w:rPr>
              <w:t>1</w:t>
            </w:r>
            <w:r>
              <w:rPr>
                <w:rFonts w:hint="eastAsia" w:ascii="仿宋_GB2312" w:eastAsia="仿宋_GB2312" w:cs="仿宋_GB2312"/>
                <w:lang w:val="en-US" w:eastAsia="zh-CN"/>
              </w:rPr>
              <w:t>10</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59</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62</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rPr>
            </w:pPr>
            <w:r>
              <w:rPr>
                <w:rFonts w:ascii="微软雅黑" w:hAnsi="微软雅黑" w:eastAsia="微软雅黑" w:cs="微软雅黑"/>
                <w:i w:val="0"/>
                <w:caps w:val="0"/>
                <w:color w:val="333333"/>
                <w:spacing w:val="0"/>
                <w:sz w:val="18"/>
                <w:szCs w:val="18"/>
                <w:shd w:val="clear" w:fill="FFFFFF"/>
              </w:rPr>
              <w:t>11</w:t>
            </w:r>
            <w:r>
              <w:rPr>
                <w:rFonts w:hint="eastAsia" w:ascii="微软雅黑" w:hAnsi="微软雅黑" w:eastAsia="微软雅黑" w:cs="微软雅黑"/>
                <w:i w:val="0"/>
                <w:caps w:val="0"/>
                <w:color w:val="333333"/>
                <w:spacing w:val="0"/>
                <w:sz w:val="18"/>
                <w:szCs w:val="18"/>
                <w:shd w:val="clear" w:fill="FFFFFF"/>
                <w:lang w:val="en-US" w:eastAsia="zh-CN"/>
              </w:rPr>
              <w:t>0</w:t>
            </w:r>
            <w:r>
              <w:rPr>
                <w:rFonts w:ascii="微软雅黑" w:hAnsi="微软雅黑" w:eastAsia="微软雅黑" w:cs="微软雅黑"/>
                <w:i w:val="0"/>
                <w:caps w:val="0"/>
                <w:color w:val="333333"/>
                <w:spacing w:val="0"/>
                <w:sz w:val="18"/>
                <w:szCs w:val="18"/>
                <w:shd w:val="clear" w:fill="FFFFFF"/>
              </w:rPr>
              <w:t>0</w:t>
            </w:r>
          </w:p>
        </w:tc>
        <w:tc>
          <w:tcPr>
            <w:tcW w:w="724"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ascii="微软雅黑" w:hAnsi="微软雅黑" w:eastAsia="微软雅黑" w:cs="微软雅黑"/>
                <w:i w:val="0"/>
                <w:caps w:val="0"/>
                <w:color w:val="333333"/>
                <w:spacing w:val="0"/>
                <w:sz w:val="18"/>
                <w:szCs w:val="18"/>
                <w:shd w:val="clear" w:fill="FFFFFF"/>
              </w:rPr>
              <w:t>1</w:t>
            </w:r>
            <w:r>
              <w:rPr>
                <w:rFonts w:hint="eastAsia" w:ascii="微软雅黑" w:hAnsi="微软雅黑" w:eastAsia="微软雅黑" w:cs="微软雅黑"/>
                <w:i w:val="0"/>
                <w:caps w:val="0"/>
                <w:color w:val="333333"/>
                <w:spacing w:val="0"/>
                <w:sz w:val="18"/>
                <w:szCs w:val="18"/>
                <w:shd w:val="clear" w:fill="FFFFFF"/>
                <w:lang w:val="en-US" w:eastAsia="zh-CN"/>
              </w:rPr>
              <w:t>15</w:t>
            </w:r>
            <w:r>
              <w:rPr>
                <w:rFonts w:ascii="微软雅黑" w:hAnsi="微软雅黑" w:eastAsia="微软雅黑" w:cs="微软雅黑"/>
                <w:i w:val="0"/>
                <w:caps w:val="0"/>
                <w:color w:val="333333"/>
                <w:spacing w:val="0"/>
                <w:sz w:val="18"/>
                <w:szCs w:val="18"/>
                <w:shd w:val="clear" w:fill="FFFFFF"/>
              </w:rPr>
              <w:t>0</w:t>
            </w:r>
          </w:p>
        </w:tc>
        <w:tc>
          <w:tcPr>
            <w:tcW w:w="84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kern w:val="2"/>
                <w:sz w:val="21"/>
                <w:szCs w:val="21"/>
                <w:lang w:val="en-US" w:eastAsia="zh-CN" w:bidi="ar-SA"/>
              </w:rPr>
              <w:t>1030</w:t>
            </w:r>
          </w:p>
        </w:tc>
        <w:tc>
          <w:tcPr>
            <w:tcW w:w="843"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rPr>
            </w:pPr>
            <w:r>
              <w:rPr>
                <w:rFonts w:hint="eastAsia" w:ascii="仿宋_GB2312" w:eastAsia="仿宋_GB2312" w:cs="仿宋_GB2312"/>
                <w:kern w:val="2"/>
                <w:sz w:val="21"/>
                <w:szCs w:val="21"/>
                <w:lang w:val="en-US" w:eastAsia="zh-CN" w:bidi="ar-SA"/>
              </w:rPr>
              <w:t>1080</w:t>
            </w:r>
          </w:p>
        </w:tc>
        <w:tc>
          <w:tcPr>
            <w:tcW w:w="842" w:type="dxa"/>
            <w:tcBorders>
              <w:top w:val="nil"/>
              <w:left w:val="nil"/>
              <w:bottom w:val="single" w:color="auto" w:sz="4" w:space="0"/>
              <w:right w:val="single" w:color="auto" w:sz="4" w:space="0"/>
            </w:tcBorders>
            <w:vAlign w:val="center"/>
          </w:tcPr>
          <w:p>
            <w:pPr>
              <w:jc w:val="center"/>
              <w:rPr>
                <w:rFonts w:hint="default" w:ascii="仿宋_GB2312" w:hAnsi="Calibri" w:eastAsia="仿宋_GB2312" w:cs="仿宋_GB2312"/>
                <w:kern w:val="2"/>
                <w:sz w:val="21"/>
                <w:szCs w:val="21"/>
                <w:lang w:val="en-US" w:eastAsia="zh-CN" w:bidi="ar-SA"/>
              </w:rPr>
            </w:pPr>
            <w:r>
              <w:rPr>
                <w:rFonts w:hint="eastAsia" w:ascii="仿宋_GB2312" w:eastAsia="仿宋_GB2312" w:cs="仿宋_GB2312"/>
                <w:lang w:val="en-US" w:eastAsia="zh-CN"/>
              </w:rPr>
              <w:t>7000</w:t>
            </w:r>
          </w:p>
        </w:tc>
        <w:tc>
          <w:tcPr>
            <w:tcW w:w="842" w:type="dxa"/>
            <w:tcBorders>
              <w:top w:val="nil"/>
              <w:left w:val="nil"/>
              <w:bottom w:val="single" w:color="auto" w:sz="4" w:space="0"/>
              <w:right w:val="single" w:color="auto" w:sz="4" w:space="0"/>
            </w:tcBorders>
            <w:vAlign w:val="center"/>
          </w:tcPr>
          <w:p>
            <w:pPr>
              <w:jc w:val="center"/>
              <w:rPr>
                <w:rFonts w:ascii="仿宋_GB2312" w:hAnsi="Calibri" w:eastAsia="仿宋_GB2312" w:cs="仿宋_GB2312"/>
                <w:kern w:val="2"/>
                <w:sz w:val="21"/>
                <w:szCs w:val="21"/>
                <w:lang w:val="en-US" w:eastAsia="zh-CN" w:bidi="ar-SA"/>
              </w:rPr>
            </w:pPr>
            <w:r>
              <w:rPr>
                <w:rFonts w:ascii="微软雅黑" w:hAnsi="微软雅黑" w:eastAsia="微软雅黑" w:cs="微软雅黑"/>
                <w:i w:val="0"/>
                <w:caps w:val="0"/>
                <w:color w:val="333333"/>
                <w:spacing w:val="0"/>
                <w:sz w:val="18"/>
                <w:szCs w:val="18"/>
                <w:shd w:val="clear" w:fill="FFFFFF"/>
              </w:rPr>
              <w:t>7400</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vAlign w:val="top"/>
          </w:tcPr>
          <w:p>
            <w:pPr>
              <w:spacing w:line="400" w:lineRule="exact"/>
              <w:jc w:val="center"/>
              <w:rPr>
                <w:rFonts w:ascii="仿宋_GB2312" w:eastAsia="仿宋_GB2312" w:cs="仿宋_GB2312"/>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12</w:t>
            </w:r>
            <w:r>
              <w:rPr>
                <w:rFonts w:hint="eastAsia" w:ascii="仿宋_GB2312" w:eastAsia="仿宋_GB2312" w:cs="仿宋_GB2312"/>
              </w:rPr>
              <w:t>日</w:t>
            </w:r>
          </w:p>
        </w:tc>
        <w:tc>
          <w:tcPr>
            <w:tcW w:w="721"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90</w:t>
            </w:r>
          </w:p>
        </w:tc>
        <w:tc>
          <w:tcPr>
            <w:tcW w:w="722"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rPr>
            </w:pPr>
            <w:r>
              <w:rPr>
                <w:rFonts w:hint="eastAsia" w:ascii="仿宋_GB2312" w:eastAsia="仿宋_GB2312" w:cs="仿宋_GB2312"/>
              </w:rPr>
              <w:t>1</w:t>
            </w:r>
            <w:r>
              <w:rPr>
                <w:rFonts w:hint="eastAsia" w:ascii="仿宋_GB2312" w:eastAsia="仿宋_GB2312" w:cs="仿宋_GB2312"/>
                <w:lang w:val="en-US" w:eastAsia="zh-CN"/>
              </w:rPr>
              <w:t>10</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59</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rPr>
            </w:pPr>
            <w:r>
              <w:rPr>
                <w:rFonts w:hint="eastAsia" w:ascii="仿宋_GB2312" w:eastAsia="仿宋_GB2312" w:cs="仿宋_GB2312"/>
                <w:lang w:val="en-US" w:eastAsia="zh-CN"/>
              </w:rPr>
              <w:t>62</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ascii="微软雅黑" w:hAnsi="微软雅黑" w:eastAsia="微软雅黑" w:cs="微软雅黑"/>
                <w:i w:val="0"/>
                <w:caps w:val="0"/>
                <w:color w:val="333333"/>
                <w:spacing w:val="0"/>
                <w:sz w:val="18"/>
                <w:szCs w:val="18"/>
                <w:shd w:val="clear" w:fill="FFFFFF"/>
              </w:rPr>
              <w:t>11</w:t>
            </w:r>
            <w:r>
              <w:rPr>
                <w:rFonts w:hint="eastAsia" w:ascii="微软雅黑" w:hAnsi="微软雅黑" w:eastAsia="微软雅黑" w:cs="微软雅黑"/>
                <w:i w:val="0"/>
                <w:caps w:val="0"/>
                <w:color w:val="333333"/>
                <w:spacing w:val="0"/>
                <w:sz w:val="18"/>
                <w:szCs w:val="18"/>
                <w:shd w:val="clear" w:fill="FFFFFF"/>
                <w:lang w:val="en-US" w:eastAsia="zh-CN"/>
              </w:rPr>
              <w:t>0</w:t>
            </w:r>
            <w:r>
              <w:rPr>
                <w:rFonts w:ascii="微软雅黑" w:hAnsi="微软雅黑" w:eastAsia="微软雅黑" w:cs="微软雅黑"/>
                <w:i w:val="0"/>
                <w:caps w:val="0"/>
                <w:color w:val="333333"/>
                <w:spacing w:val="0"/>
                <w:sz w:val="18"/>
                <w:szCs w:val="18"/>
                <w:shd w:val="clear" w:fill="FFFFFF"/>
              </w:rPr>
              <w:t>0</w:t>
            </w:r>
          </w:p>
        </w:tc>
        <w:tc>
          <w:tcPr>
            <w:tcW w:w="724" w:type="dxa"/>
            <w:tcBorders>
              <w:top w:val="nil"/>
              <w:left w:val="nil"/>
              <w:bottom w:val="single" w:color="auto" w:sz="4" w:space="0"/>
              <w:right w:val="single" w:color="auto" w:sz="4" w:space="0"/>
            </w:tcBorders>
            <w:vAlign w:val="center"/>
          </w:tcPr>
          <w:p>
            <w:pPr>
              <w:jc w:val="center"/>
              <w:rPr>
                <w:rFonts w:ascii="仿宋_GB2312" w:eastAsia="仿宋_GB2312" w:cs="仿宋_GB2312"/>
              </w:rPr>
            </w:pPr>
            <w:r>
              <w:rPr>
                <w:rFonts w:ascii="微软雅黑" w:hAnsi="微软雅黑" w:eastAsia="微软雅黑" w:cs="微软雅黑"/>
                <w:i w:val="0"/>
                <w:caps w:val="0"/>
                <w:color w:val="333333"/>
                <w:spacing w:val="0"/>
                <w:sz w:val="18"/>
                <w:szCs w:val="18"/>
                <w:shd w:val="clear" w:fill="FFFFFF"/>
              </w:rPr>
              <w:t>1</w:t>
            </w:r>
            <w:r>
              <w:rPr>
                <w:rFonts w:hint="eastAsia" w:ascii="微软雅黑" w:hAnsi="微软雅黑" w:eastAsia="微软雅黑" w:cs="微软雅黑"/>
                <w:i w:val="0"/>
                <w:caps w:val="0"/>
                <w:color w:val="333333"/>
                <w:spacing w:val="0"/>
                <w:sz w:val="18"/>
                <w:szCs w:val="18"/>
                <w:shd w:val="clear" w:fill="FFFFFF"/>
                <w:lang w:val="en-US" w:eastAsia="zh-CN"/>
              </w:rPr>
              <w:t>15</w:t>
            </w:r>
            <w:r>
              <w:rPr>
                <w:rFonts w:ascii="微软雅黑" w:hAnsi="微软雅黑" w:eastAsia="微软雅黑" w:cs="微软雅黑"/>
                <w:i w:val="0"/>
                <w:caps w:val="0"/>
                <w:color w:val="333333"/>
                <w:spacing w:val="0"/>
                <w:sz w:val="18"/>
                <w:szCs w:val="18"/>
                <w:shd w:val="clear" w:fill="FFFFFF"/>
              </w:rPr>
              <w:t>0</w:t>
            </w:r>
          </w:p>
        </w:tc>
        <w:tc>
          <w:tcPr>
            <w:tcW w:w="84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rPr>
            </w:pPr>
            <w:r>
              <w:rPr>
                <w:rFonts w:hint="eastAsia" w:ascii="仿宋_GB2312" w:eastAsia="仿宋_GB2312" w:cs="仿宋_GB2312"/>
                <w:kern w:val="2"/>
                <w:sz w:val="21"/>
                <w:szCs w:val="21"/>
                <w:lang w:val="en-US" w:eastAsia="zh-CN" w:bidi="ar-SA"/>
              </w:rPr>
              <w:t>1030</w:t>
            </w:r>
          </w:p>
        </w:tc>
        <w:tc>
          <w:tcPr>
            <w:tcW w:w="843"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rPr>
            </w:pPr>
            <w:r>
              <w:rPr>
                <w:rFonts w:hint="eastAsia" w:ascii="仿宋_GB2312" w:eastAsia="仿宋_GB2312" w:cs="仿宋_GB2312"/>
                <w:kern w:val="2"/>
                <w:sz w:val="21"/>
                <w:szCs w:val="21"/>
                <w:lang w:val="en-US" w:eastAsia="zh-CN" w:bidi="ar-SA"/>
              </w:rPr>
              <w:t>1080</w:t>
            </w:r>
          </w:p>
        </w:tc>
        <w:tc>
          <w:tcPr>
            <w:tcW w:w="842" w:type="dxa"/>
            <w:tcBorders>
              <w:top w:val="nil"/>
              <w:left w:val="nil"/>
              <w:bottom w:val="single" w:color="auto" w:sz="4" w:space="0"/>
              <w:right w:val="single" w:color="auto" w:sz="4" w:space="0"/>
            </w:tcBorders>
            <w:vAlign w:val="center"/>
          </w:tcPr>
          <w:p>
            <w:pPr>
              <w:jc w:val="center"/>
              <w:rPr>
                <w:rFonts w:ascii="仿宋_GB2312" w:eastAsia="仿宋_GB2312" w:cs="仿宋_GB2312"/>
              </w:rPr>
            </w:pPr>
            <w:r>
              <w:rPr>
                <w:rFonts w:hint="eastAsia" w:ascii="仿宋_GB2312" w:eastAsia="仿宋_GB2312" w:cs="仿宋_GB2312"/>
                <w:lang w:val="en-US" w:eastAsia="zh-CN"/>
              </w:rPr>
              <w:t>7000</w:t>
            </w:r>
          </w:p>
        </w:tc>
        <w:tc>
          <w:tcPr>
            <w:tcW w:w="842" w:type="dxa"/>
            <w:tcBorders>
              <w:top w:val="nil"/>
              <w:left w:val="nil"/>
              <w:bottom w:val="single" w:color="auto" w:sz="4" w:space="0"/>
              <w:right w:val="single" w:color="auto" w:sz="4" w:space="0"/>
            </w:tcBorders>
            <w:vAlign w:val="center"/>
          </w:tcPr>
          <w:p>
            <w:pPr>
              <w:jc w:val="center"/>
              <w:rPr>
                <w:rFonts w:ascii="仿宋_GB2312" w:eastAsia="仿宋_GB2312" w:cs="仿宋_GB2312"/>
              </w:rPr>
            </w:pPr>
            <w:r>
              <w:rPr>
                <w:rFonts w:ascii="仿宋_GB2312" w:eastAsia="仿宋_GB2312" w:cs="仿宋_GB2312"/>
              </w:rPr>
              <w:t>7</w:t>
            </w:r>
            <w:r>
              <w:rPr>
                <w:rFonts w:hint="eastAsia" w:ascii="仿宋_GB2312" w:eastAsia="仿宋_GB2312" w:cs="仿宋_GB2312"/>
                <w:lang w:val="en-US" w:eastAsia="zh-CN"/>
              </w:rPr>
              <w:t>4</w:t>
            </w:r>
            <w:r>
              <w:rPr>
                <w:rFonts w:ascii="仿宋_GB2312" w:eastAsia="仿宋_GB2312" w:cs="仿宋_GB2312"/>
              </w:rPr>
              <w:t>00</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vAlign w:val="center"/>
          </w:tcPr>
          <w:p>
            <w:pPr>
              <w:spacing w:line="400" w:lineRule="exact"/>
              <w:jc w:val="center"/>
              <w:rPr>
                <w:rFonts w:ascii="仿宋_GB2312" w:eastAsia="仿宋_GB2312" w:cs="仿宋_GB2312"/>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13</w:t>
            </w:r>
            <w:r>
              <w:rPr>
                <w:rFonts w:hint="eastAsia" w:ascii="仿宋_GB2312" w:eastAsia="仿宋_GB2312" w:cs="仿宋_GB2312"/>
              </w:rPr>
              <w:t>日</w:t>
            </w:r>
          </w:p>
        </w:tc>
        <w:tc>
          <w:tcPr>
            <w:tcW w:w="721" w:type="dxa"/>
            <w:tcBorders>
              <w:top w:val="nil"/>
              <w:left w:val="nil"/>
              <w:bottom w:val="single" w:color="auto" w:sz="4" w:space="0"/>
              <w:right w:val="single" w:color="auto" w:sz="4" w:space="0"/>
            </w:tcBorders>
            <w:noWrap/>
            <w:vAlign w:val="center"/>
          </w:tcPr>
          <w:p>
            <w:pPr>
              <w:jc w:val="center"/>
              <w:rPr>
                <w:rFonts w:hint="default" w:ascii="仿宋_GB2312" w:hAnsi="Calibri" w:eastAsia="仿宋_GB2312" w:cs="仿宋_GB2312"/>
                <w:kern w:val="2"/>
                <w:sz w:val="21"/>
                <w:szCs w:val="21"/>
                <w:lang w:val="en-US" w:eastAsia="zh-CN" w:bidi="ar-SA"/>
              </w:rPr>
            </w:pPr>
            <w:r>
              <w:rPr>
                <w:rFonts w:hint="eastAsia" w:ascii="仿宋_GB2312" w:eastAsia="仿宋_GB2312" w:cs="仿宋_GB2312"/>
                <w:lang w:val="en-US" w:eastAsia="zh-CN"/>
              </w:rPr>
              <w:t>90</w:t>
            </w:r>
          </w:p>
        </w:tc>
        <w:tc>
          <w:tcPr>
            <w:tcW w:w="722" w:type="dxa"/>
            <w:tcBorders>
              <w:top w:val="nil"/>
              <w:left w:val="nil"/>
              <w:bottom w:val="single" w:color="auto" w:sz="4" w:space="0"/>
              <w:right w:val="single" w:color="auto" w:sz="4" w:space="0"/>
            </w:tcBorders>
            <w:noWrap/>
            <w:vAlign w:val="center"/>
          </w:tcPr>
          <w:p>
            <w:pPr>
              <w:jc w:val="center"/>
              <w:rPr>
                <w:rFonts w:hint="default" w:ascii="仿宋_GB2312" w:hAnsi="Calibri" w:eastAsia="仿宋_GB2312" w:cs="仿宋_GB2312"/>
                <w:kern w:val="2"/>
                <w:sz w:val="21"/>
                <w:szCs w:val="21"/>
                <w:lang w:val="en-US" w:eastAsia="zh-CN" w:bidi="ar-SA"/>
              </w:rPr>
            </w:pPr>
            <w:r>
              <w:rPr>
                <w:rFonts w:hint="eastAsia" w:ascii="仿宋_GB2312" w:eastAsia="仿宋_GB2312" w:cs="仿宋_GB2312"/>
              </w:rPr>
              <w:t>1</w:t>
            </w:r>
            <w:r>
              <w:rPr>
                <w:rFonts w:hint="eastAsia" w:ascii="仿宋_GB2312" w:eastAsia="仿宋_GB2312" w:cs="仿宋_GB2312"/>
                <w:lang w:val="en-US" w:eastAsia="zh-CN"/>
              </w:rPr>
              <w:t>10</w:t>
            </w:r>
          </w:p>
        </w:tc>
        <w:tc>
          <w:tcPr>
            <w:tcW w:w="722" w:type="dxa"/>
            <w:tcBorders>
              <w:top w:val="nil"/>
              <w:left w:val="nil"/>
              <w:bottom w:val="single" w:color="auto" w:sz="4" w:space="0"/>
              <w:right w:val="single" w:color="auto" w:sz="4" w:space="0"/>
            </w:tcBorders>
            <w:vAlign w:val="center"/>
          </w:tcPr>
          <w:p>
            <w:pPr>
              <w:jc w:val="center"/>
              <w:rPr>
                <w:rFonts w:hint="default" w:ascii="仿宋_GB2312" w:hAnsi="Calibri" w:eastAsia="仿宋_GB2312" w:cs="仿宋_GB2312"/>
                <w:kern w:val="2"/>
                <w:sz w:val="21"/>
                <w:szCs w:val="21"/>
                <w:lang w:val="en-US" w:eastAsia="zh-CN" w:bidi="ar-SA"/>
              </w:rPr>
            </w:pPr>
            <w:r>
              <w:rPr>
                <w:rFonts w:hint="eastAsia" w:ascii="仿宋_GB2312" w:eastAsia="仿宋_GB2312" w:cs="仿宋_GB2312"/>
                <w:lang w:val="en-US" w:eastAsia="zh-CN"/>
              </w:rPr>
              <w:t>59</w:t>
            </w:r>
          </w:p>
        </w:tc>
        <w:tc>
          <w:tcPr>
            <w:tcW w:w="722" w:type="dxa"/>
            <w:tcBorders>
              <w:top w:val="nil"/>
              <w:left w:val="nil"/>
              <w:bottom w:val="single" w:color="auto" w:sz="4" w:space="0"/>
              <w:right w:val="single" w:color="auto" w:sz="4" w:space="0"/>
            </w:tcBorders>
            <w:vAlign w:val="center"/>
          </w:tcPr>
          <w:p>
            <w:pPr>
              <w:jc w:val="center"/>
              <w:rPr>
                <w:rFonts w:hint="default" w:ascii="仿宋_GB2312" w:hAnsi="Calibri" w:eastAsia="仿宋_GB2312" w:cs="仿宋_GB2312"/>
                <w:kern w:val="2"/>
                <w:sz w:val="21"/>
                <w:szCs w:val="21"/>
                <w:lang w:val="en-US" w:eastAsia="zh-CN" w:bidi="ar-SA"/>
              </w:rPr>
            </w:pPr>
            <w:r>
              <w:rPr>
                <w:rFonts w:hint="eastAsia" w:ascii="仿宋_GB2312" w:eastAsia="仿宋_GB2312" w:cs="仿宋_GB2312"/>
                <w:lang w:val="en-US" w:eastAsia="zh-CN"/>
              </w:rPr>
              <w:t>62</w:t>
            </w:r>
          </w:p>
        </w:tc>
        <w:tc>
          <w:tcPr>
            <w:tcW w:w="722" w:type="dxa"/>
            <w:tcBorders>
              <w:top w:val="nil"/>
              <w:left w:val="nil"/>
              <w:bottom w:val="single" w:color="auto" w:sz="4" w:space="0"/>
              <w:right w:val="single" w:color="auto" w:sz="4" w:space="0"/>
            </w:tcBorders>
            <w:vAlign w:val="center"/>
          </w:tcPr>
          <w:p>
            <w:pPr>
              <w:jc w:val="center"/>
              <w:rPr>
                <w:rFonts w:hint="default" w:ascii="仿宋_GB2312" w:hAnsi="Calibri" w:eastAsia="仿宋_GB2312" w:cs="仿宋_GB2312"/>
                <w:kern w:val="2"/>
                <w:sz w:val="21"/>
                <w:szCs w:val="21"/>
                <w:lang w:val="en-US" w:eastAsia="zh-CN" w:bidi="ar-SA"/>
              </w:rPr>
            </w:pPr>
            <w:r>
              <w:rPr>
                <w:rFonts w:ascii="微软雅黑" w:hAnsi="微软雅黑" w:eastAsia="微软雅黑" w:cs="微软雅黑"/>
                <w:i w:val="0"/>
                <w:caps w:val="0"/>
                <w:color w:val="333333"/>
                <w:spacing w:val="0"/>
                <w:sz w:val="18"/>
                <w:szCs w:val="18"/>
                <w:shd w:val="clear" w:fill="FFFFFF"/>
              </w:rPr>
              <w:t>11</w:t>
            </w:r>
            <w:r>
              <w:rPr>
                <w:rFonts w:hint="eastAsia" w:ascii="微软雅黑" w:hAnsi="微软雅黑" w:eastAsia="微软雅黑" w:cs="微软雅黑"/>
                <w:i w:val="0"/>
                <w:caps w:val="0"/>
                <w:color w:val="333333"/>
                <w:spacing w:val="0"/>
                <w:sz w:val="18"/>
                <w:szCs w:val="18"/>
                <w:shd w:val="clear" w:fill="FFFFFF"/>
                <w:lang w:val="en-US" w:eastAsia="zh-CN"/>
              </w:rPr>
              <w:t>0</w:t>
            </w:r>
            <w:r>
              <w:rPr>
                <w:rFonts w:ascii="微软雅黑" w:hAnsi="微软雅黑" w:eastAsia="微软雅黑" w:cs="微软雅黑"/>
                <w:i w:val="0"/>
                <w:caps w:val="0"/>
                <w:color w:val="333333"/>
                <w:spacing w:val="0"/>
                <w:sz w:val="18"/>
                <w:szCs w:val="18"/>
                <w:shd w:val="clear" w:fill="FFFFFF"/>
              </w:rPr>
              <w:t>0</w:t>
            </w:r>
          </w:p>
        </w:tc>
        <w:tc>
          <w:tcPr>
            <w:tcW w:w="724" w:type="dxa"/>
            <w:tcBorders>
              <w:top w:val="nil"/>
              <w:left w:val="nil"/>
              <w:bottom w:val="single" w:color="auto" w:sz="4" w:space="0"/>
              <w:right w:val="single" w:color="auto" w:sz="4" w:space="0"/>
            </w:tcBorders>
            <w:vAlign w:val="center"/>
          </w:tcPr>
          <w:p>
            <w:pPr>
              <w:jc w:val="center"/>
              <w:rPr>
                <w:rFonts w:hint="default" w:ascii="仿宋_GB2312" w:hAnsi="Calibri" w:eastAsia="仿宋_GB2312" w:cs="仿宋_GB2312"/>
                <w:kern w:val="2"/>
                <w:sz w:val="21"/>
                <w:szCs w:val="21"/>
                <w:lang w:val="en-US" w:eastAsia="zh-CN" w:bidi="ar-SA"/>
              </w:rPr>
            </w:pPr>
            <w:r>
              <w:rPr>
                <w:rFonts w:ascii="微软雅黑" w:hAnsi="微软雅黑" w:eastAsia="微软雅黑" w:cs="微软雅黑"/>
                <w:i w:val="0"/>
                <w:caps w:val="0"/>
                <w:color w:val="333333"/>
                <w:spacing w:val="0"/>
                <w:sz w:val="18"/>
                <w:szCs w:val="18"/>
                <w:shd w:val="clear" w:fill="FFFFFF"/>
              </w:rPr>
              <w:t>1</w:t>
            </w:r>
            <w:r>
              <w:rPr>
                <w:rFonts w:hint="eastAsia" w:ascii="微软雅黑" w:hAnsi="微软雅黑" w:eastAsia="微软雅黑" w:cs="微软雅黑"/>
                <w:i w:val="0"/>
                <w:caps w:val="0"/>
                <w:color w:val="333333"/>
                <w:spacing w:val="0"/>
                <w:sz w:val="18"/>
                <w:szCs w:val="18"/>
                <w:shd w:val="clear" w:fill="FFFFFF"/>
                <w:lang w:val="en-US" w:eastAsia="zh-CN"/>
              </w:rPr>
              <w:t>15</w:t>
            </w:r>
            <w:r>
              <w:rPr>
                <w:rFonts w:ascii="微软雅黑" w:hAnsi="微软雅黑" w:eastAsia="微软雅黑" w:cs="微软雅黑"/>
                <w:i w:val="0"/>
                <w:caps w:val="0"/>
                <w:color w:val="333333"/>
                <w:spacing w:val="0"/>
                <w:sz w:val="18"/>
                <w:szCs w:val="18"/>
                <w:shd w:val="clear" w:fill="FFFFFF"/>
              </w:rPr>
              <w:t>0</w:t>
            </w:r>
          </w:p>
        </w:tc>
        <w:tc>
          <w:tcPr>
            <w:tcW w:w="842" w:type="dxa"/>
            <w:tcBorders>
              <w:top w:val="nil"/>
              <w:left w:val="nil"/>
              <w:bottom w:val="single" w:color="auto" w:sz="4" w:space="0"/>
              <w:right w:val="single" w:color="auto" w:sz="4" w:space="0"/>
            </w:tcBorders>
            <w:vAlign w:val="center"/>
          </w:tcPr>
          <w:p>
            <w:pPr>
              <w:jc w:val="center"/>
              <w:rPr>
                <w:rFonts w:hint="default" w:ascii="仿宋_GB2312" w:hAnsi="Calibri" w:eastAsia="仿宋_GB2312" w:cs="仿宋_GB2312"/>
                <w:kern w:val="2"/>
                <w:sz w:val="21"/>
                <w:szCs w:val="21"/>
                <w:lang w:val="en-US" w:eastAsia="zh-CN" w:bidi="ar-SA"/>
              </w:rPr>
            </w:pPr>
            <w:r>
              <w:rPr>
                <w:rFonts w:hint="eastAsia" w:ascii="仿宋_GB2312" w:eastAsia="仿宋_GB2312" w:cs="仿宋_GB2312"/>
                <w:kern w:val="2"/>
                <w:sz w:val="21"/>
                <w:szCs w:val="21"/>
                <w:lang w:val="en-US" w:eastAsia="zh-CN" w:bidi="ar-SA"/>
              </w:rPr>
              <w:t>1030</w:t>
            </w:r>
          </w:p>
        </w:tc>
        <w:tc>
          <w:tcPr>
            <w:tcW w:w="843" w:type="dxa"/>
            <w:tcBorders>
              <w:top w:val="nil"/>
              <w:left w:val="nil"/>
              <w:bottom w:val="single" w:color="auto" w:sz="4" w:space="0"/>
              <w:right w:val="single" w:color="auto" w:sz="4" w:space="0"/>
            </w:tcBorders>
            <w:vAlign w:val="center"/>
          </w:tcPr>
          <w:p>
            <w:pPr>
              <w:jc w:val="center"/>
              <w:rPr>
                <w:rFonts w:hint="default" w:ascii="仿宋_GB2312" w:hAnsi="Calibri" w:eastAsia="仿宋_GB2312" w:cs="仿宋_GB2312"/>
                <w:kern w:val="2"/>
                <w:sz w:val="21"/>
                <w:szCs w:val="21"/>
                <w:lang w:val="en-US" w:eastAsia="zh-CN" w:bidi="ar-SA"/>
              </w:rPr>
            </w:pPr>
            <w:r>
              <w:rPr>
                <w:rFonts w:hint="eastAsia" w:ascii="仿宋_GB2312" w:eastAsia="仿宋_GB2312" w:cs="仿宋_GB2312"/>
                <w:kern w:val="2"/>
                <w:sz w:val="21"/>
                <w:szCs w:val="21"/>
                <w:lang w:val="en-US" w:eastAsia="zh-CN" w:bidi="ar-SA"/>
              </w:rPr>
              <w:t>1080</w:t>
            </w:r>
          </w:p>
        </w:tc>
        <w:tc>
          <w:tcPr>
            <w:tcW w:w="842" w:type="dxa"/>
            <w:tcBorders>
              <w:top w:val="nil"/>
              <w:left w:val="nil"/>
              <w:bottom w:val="single" w:color="auto" w:sz="4" w:space="0"/>
              <w:right w:val="single" w:color="auto" w:sz="4" w:space="0"/>
            </w:tcBorders>
            <w:vAlign w:val="center"/>
          </w:tcPr>
          <w:p>
            <w:pPr>
              <w:jc w:val="center"/>
              <w:rPr>
                <w:rFonts w:ascii="仿宋_GB2312" w:hAnsi="Calibri" w:eastAsia="仿宋_GB2312" w:cs="仿宋_GB2312"/>
                <w:kern w:val="2"/>
                <w:sz w:val="21"/>
                <w:szCs w:val="21"/>
                <w:lang w:val="en-US" w:eastAsia="zh-CN" w:bidi="ar-SA"/>
              </w:rPr>
            </w:pPr>
            <w:r>
              <w:rPr>
                <w:rFonts w:hint="eastAsia" w:ascii="仿宋_GB2312" w:eastAsia="仿宋_GB2312" w:cs="仿宋_GB2312"/>
                <w:lang w:val="en-US" w:eastAsia="zh-CN"/>
              </w:rPr>
              <w:t>7000</w:t>
            </w:r>
          </w:p>
        </w:tc>
        <w:tc>
          <w:tcPr>
            <w:tcW w:w="842" w:type="dxa"/>
            <w:tcBorders>
              <w:top w:val="nil"/>
              <w:left w:val="nil"/>
              <w:bottom w:val="single" w:color="auto" w:sz="4" w:space="0"/>
              <w:right w:val="single" w:color="auto" w:sz="4" w:space="0"/>
            </w:tcBorders>
            <w:vAlign w:val="center"/>
          </w:tcPr>
          <w:p>
            <w:pPr>
              <w:jc w:val="center"/>
              <w:rPr>
                <w:rFonts w:ascii="仿宋_GB2312" w:hAnsi="Calibri" w:eastAsia="仿宋_GB2312" w:cs="仿宋_GB2312"/>
                <w:kern w:val="2"/>
                <w:sz w:val="21"/>
                <w:szCs w:val="21"/>
                <w:lang w:val="en-US" w:eastAsia="zh-CN" w:bidi="ar-SA"/>
              </w:rPr>
            </w:pPr>
            <w:r>
              <w:rPr>
                <w:rFonts w:ascii="仿宋_GB2312" w:eastAsia="仿宋_GB2312" w:cs="仿宋_GB2312"/>
              </w:rPr>
              <w:t>7</w:t>
            </w:r>
            <w:r>
              <w:rPr>
                <w:rFonts w:hint="eastAsia" w:ascii="仿宋_GB2312" w:eastAsia="仿宋_GB2312" w:cs="仿宋_GB2312"/>
                <w:lang w:val="en-US" w:eastAsia="zh-CN"/>
              </w:rPr>
              <w:t>4</w:t>
            </w:r>
            <w:r>
              <w:rPr>
                <w:rFonts w:ascii="仿宋_GB2312" w:eastAsia="仿宋_GB2312" w:cs="仿宋_GB2312"/>
              </w:rPr>
              <w:t>00</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noWrap/>
            <w:vAlign w:val="bottom"/>
          </w:tcPr>
          <w:p>
            <w:pPr>
              <w:spacing w:line="400" w:lineRule="exact"/>
              <w:jc w:val="center"/>
              <w:rPr>
                <w:rFonts w:ascii="仿宋_GB2312" w:eastAsia="仿宋_GB2312" w:cs="仿宋_GB2312"/>
              </w:rPr>
            </w:pPr>
            <w:r>
              <w:rPr>
                <w:rFonts w:hint="eastAsia" w:ascii="仿宋_GB2312" w:eastAsia="仿宋_GB2312" w:cs="仿宋_GB2312"/>
              </w:rPr>
              <w:t>单位</w:t>
            </w:r>
          </w:p>
        </w:tc>
        <w:tc>
          <w:tcPr>
            <w:tcW w:w="7702" w:type="dxa"/>
            <w:gridSpan w:val="10"/>
            <w:tcBorders>
              <w:top w:val="single" w:color="auto" w:sz="4" w:space="0"/>
              <w:left w:val="nil"/>
              <w:bottom w:val="single" w:color="auto" w:sz="4" w:space="0"/>
              <w:right w:val="single" w:color="auto" w:sz="4" w:space="0"/>
            </w:tcBorders>
            <w:noWrap/>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元</w:t>
            </w:r>
            <w:r>
              <w:rPr>
                <w:rFonts w:ascii="仿宋_GB2312" w:hAnsi="宋体" w:eastAsia="仿宋_GB2312" w:cs="仿宋_GB2312"/>
                <w:kern w:val="0"/>
              </w:rPr>
              <w:t>/</w:t>
            </w:r>
            <w:r>
              <w:rPr>
                <w:rFonts w:hint="eastAsia" w:ascii="仿宋_GB2312" w:hAnsi="宋体" w:eastAsia="仿宋_GB2312" w:cs="仿宋_GB2312"/>
                <w:kern w:val="0"/>
              </w:rPr>
              <w:t>公斤</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vAlign w:val="bottom"/>
          </w:tcPr>
          <w:p>
            <w:pPr>
              <w:spacing w:line="400" w:lineRule="exact"/>
              <w:jc w:val="center"/>
              <w:rPr>
                <w:rFonts w:ascii="仿宋_GB2312" w:eastAsia="仿宋_GB2312" w:cs="仿宋_GB2312"/>
              </w:rPr>
            </w:pPr>
            <w:r>
              <w:rPr>
                <w:rFonts w:hint="eastAsia" w:ascii="仿宋_GB2312" w:eastAsia="仿宋_GB2312" w:cs="仿宋_GB2312"/>
              </w:rPr>
              <w:t>日期</w:t>
            </w:r>
          </w:p>
        </w:tc>
        <w:tc>
          <w:tcPr>
            <w:tcW w:w="1443" w:type="dxa"/>
            <w:gridSpan w:val="2"/>
            <w:tcBorders>
              <w:top w:val="single" w:color="auto" w:sz="4" w:space="0"/>
              <w:left w:val="nil"/>
              <w:bottom w:val="single" w:color="auto" w:sz="4" w:space="0"/>
              <w:right w:val="single" w:color="auto" w:sz="4" w:space="0"/>
            </w:tcBorders>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二氧化锗</w:t>
            </w:r>
          </w:p>
        </w:tc>
        <w:tc>
          <w:tcPr>
            <w:tcW w:w="1444" w:type="dxa"/>
            <w:gridSpan w:val="2"/>
            <w:tcBorders>
              <w:top w:val="single" w:color="auto" w:sz="4" w:space="0"/>
              <w:left w:val="nil"/>
              <w:bottom w:val="single" w:color="auto" w:sz="4" w:space="0"/>
              <w:right w:val="single" w:color="auto" w:sz="4" w:space="0"/>
            </w:tcBorders>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镓锭</w:t>
            </w:r>
          </w:p>
        </w:tc>
        <w:tc>
          <w:tcPr>
            <w:tcW w:w="1446" w:type="dxa"/>
            <w:gridSpan w:val="2"/>
            <w:tcBorders>
              <w:top w:val="single" w:color="auto" w:sz="4" w:space="0"/>
              <w:left w:val="nil"/>
              <w:bottom w:val="single" w:color="auto" w:sz="4" w:space="0"/>
              <w:right w:val="single" w:color="auto" w:sz="4" w:space="0"/>
            </w:tcBorders>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碲锭</w:t>
            </w:r>
          </w:p>
        </w:tc>
        <w:tc>
          <w:tcPr>
            <w:tcW w:w="1685" w:type="dxa"/>
            <w:gridSpan w:val="2"/>
            <w:tcBorders>
              <w:top w:val="single" w:color="auto" w:sz="4" w:space="0"/>
              <w:left w:val="nil"/>
              <w:bottom w:val="single" w:color="auto" w:sz="4" w:space="0"/>
              <w:right w:val="single" w:color="auto" w:sz="4" w:space="0"/>
            </w:tcBorders>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铋锭</w:t>
            </w:r>
          </w:p>
        </w:tc>
        <w:tc>
          <w:tcPr>
            <w:tcW w:w="1684" w:type="dxa"/>
            <w:gridSpan w:val="2"/>
            <w:tcBorders>
              <w:top w:val="single" w:color="auto" w:sz="4" w:space="0"/>
              <w:left w:val="nil"/>
              <w:bottom w:val="single" w:color="auto" w:sz="4" w:space="0"/>
              <w:right w:val="single" w:color="auto" w:sz="4" w:space="0"/>
            </w:tcBorders>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镉锭</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vAlign w:val="center"/>
          </w:tcPr>
          <w:p>
            <w:pPr>
              <w:spacing w:line="400" w:lineRule="exact"/>
              <w:jc w:val="center"/>
              <w:rPr>
                <w:rFonts w:ascii="仿宋_GB2312" w:hAnsi="Calibri" w:eastAsia="仿宋_GB2312" w:cs="仿宋_GB2312"/>
                <w:kern w:val="2"/>
                <w:sz w:val="21"/>
                <w:szCs w:val="21"/>
                <w:lang w:val="en-US" w:eastAsia="zh-CN" w:bidi="ar-SA"/>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11</w:t>
            </w:r>
            <w:r>
              <w:rPr>
                <w:rFonts w:hint="eastAsia" w:ascii="仿宋_GB2312" w:eastAsia="仿宋_GB2312" w:cs="仿宋_GB2312"/>
              </w:rPr>
              <w:t>日</w:t>
            </w:r>
          </w:p>
        </w:tc>
        <w:tc>
          <w:tcPr>
            <w:tcW w:w="721" w:type="dxa"/>
            <w:tcBorders>
              <w:top w:val="nil"/>
              <w:left w:val="nil"/>
              <w:bottom w:val="single" w:color="auto" w:sz="4" w:space="0"/>
              <w:right w:val="single" w:color="auto" w:sz="4" w:space="0"/>
            </w:tcBorders>
            <w:vAlign w:val="center"/>
          </w:tcPr>
          <w:p>
            <w:pPr>
              <w:jc w:val="center"/>
              <w:rPr>
                <w:rFonts w:ascii="仿宋_GB2312" w:eastAsia="仿宋_GB2312" w:cs="仿宋_GB2312"/>
              </w:rPr>
            </w:pPr>
            <w:r>
              <w:rPr>
                <w:rFonts w:ascii="仿宋_GB2312" w:eastAsia="仿宋_GB2312" w:cs="仿宋_GB2312"/>
              </w:rPr>
              <w:t>4</w:t>
            </w:r>
            <w:r>
              <w:rPr>
                <w:rFonts w:hint="eastAsia" w:ascii="仿宋_GB2312" w:eastAsia="仿宋_GB2312" w:cs="仿宋_GB2312"/>
                <w:lang w:val="en-US" w:eastAsia="zh-CN"/>
              </w:rPr>
              <w:t>3</w:t>
            </w:r>
            <w:r>
              <w:rPr>
                <w:rFonts w:ascii="仿宋_GB2312" w:eastAsia="仿宋_GB2312" w:cs="仿宋_GB2312"/>
              </w:rPr>
              <w:t>00</w:t>
            </w:r>
          </w:p>
        </w:tc>
        <w:tc>
          <w:tcPr>
            <w:tcW w:w="722" w:type="dxa"/>
            <w:tcBorders>
              <w:top w:val="nil"/>
              <w:left w:val="nil"/>
              <w:bottom w:val="single" w:color="auto" w:sz="4" w:space="0"/>
              <w:right w:val="single" w:color="auto" w:sz="4" w:space="0"/>
            </w:tcBorders>
            <w:vAlign w:val="center"/>
          </w:tcPr>
          <w:p>
            <w:pPr>
              <w:jc w:val="center"/>
              <w:rPr>
                <w:rFonts w:ascii="仿宋_GB2312" w:eastAsia="仿宋_GB2312" w:cs="仿宋_GB2312"/>
              </w:rPr>
            </w:pPr>
            <w:r>
              <w:rPr>
                <w:rFonts w:hint="eastAsia" w:ascii="仿宋_GB2312" w:eastAsia="仿宋_GB2312" w:cs="仿宋_GB2312"/>
                <w:lang w:val="en-US" w:eastAsia="zh-CN"/>
              </w:rPr>
              <w:t>46</w:t>
            </w:r>
            <w:r>
              <w:rPr>
                <w:rFonts w:ascii="仿宋_GB2312" w:eastAsia="仿宋_GB2312" w:cs="仿宋_GB2312"/>
              </w:rPr>
              <w:t>00</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1350</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1400</w:t>
            </w:r>
          </w:p>
        </w:tc>
        <w:tc>
          <w:tcPr>
            <w:tcW w:w="722"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ascii="微软雅黑" w:hAnsi="微软雅黑" w:eastAsia="微软雅黑" w:cs="微软雅黑"/>
                <w:i w:val="0"/>
                <w:caps w:val="0"/>
                <w:color w:val="333333"/>
                <w:spacing w:val="0"/>
                <w:sz w:val="18"/>
                <w:szCs w:val="18"/>
                <w:shd w:val="clear" w:fill="FFFFFF"/>
              </w:rPr>
              <w:t>4</w:t>
            </w:r>
            <w:r>
              <w:rPr>
                <w:rFonts w:hint="eastAsia" w:ascii="微软雅黑" w:hAnsi="微软雅黑" w:eastAsia="微软雅黑" w:cs="微软雅黑"/>
                <w:i w:val="0"/>
                <w:caps w:val="0"/>
                <w:color w:val="333333"/>
                <w:spacing w:val="0"/>
                <w:sz w:val="18"/>
                <w:szCs w:val="18"/>
                <w:shd w:val="clear" w:fill="FFFFFF"/>
                <w:lang w:val="en-US" w:eastAsia="zh-CN"/>
              </w:rPr>
              <w:t>4</w:t>
            </w:r>
            <w:r>
              <w:rPr>
                <w:rFonts w:ascii="微软雅黑" w:hAnsi="微软雅黑" w:eastAsia="微软雅黑" w:cs="微软雅黑"/>
                <w:i w:val="0"/>
                <w:caps w:val="0"/>
                <w:color w:val="333333"/>
                <w:spacing w:val="0"/>
                <w:sz w:val="18"/>
                <w:szCs w:val="18"/>
                <w:shd w:val="clear" w:fill="FFFFFF"/>
              </w:rPr>
              <w:t>5</w:t>
            </w:r>
          </w:p>
        </w:tc>
        <w:tc>
          <w:tcPr>
            <w:tcW w:w="724"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ascii="微软雅黑" w:hAnsi="微软雅黑" w:eastAsia="微软雅黑" w:cs="微软雅黑"/>
                <w:i w:val="0"/>
                <w:caps w:val="0"/>
                <w:color w:val="333333"/>
                <w:spacing w:val="0"/>
                <w:sz w:val="18"/>
                <w:szCs w:val="18"/>
                <w:shd w:val="clear" w:fill="FFFFFF"/>
              </w:rPr>
              <w:t>4</w:t>
            </w:r>
            <w:r>
              <w:rPr>
                <w:rFonts w:hint="eastAsia" w:ascii="微软雅黑" w:hAnsi="微软雅黑" w:eastAsia="微软雅黑" w:cs="微软雅黑"/>
                <w:i w:val="0"/>
                <w:caps w:val="0"/>
                <w:color w:val="333333"/>
                <w:spacing w:val="0"/>
                <w:sz w:val="18"/>
                <w:szCs w:val="18"/>
                <w:shd w:val="clear" w:fill="FFFFFF"/>
                <w:lang w:val="en-US" w:eastAsia="zh-CN"/>
              </w:rPr>
              <w:t>5</w:t>
            </w:r>
            <w:r>
              <w:rPr>
                <w:rFonts w:ascii="微软雅黑" w:hAnsi="微软雅黑" w:eastAsia="微软雅黑" w:cs="微软雅黑"/>
                <w:i w:val="0"/>
                <w:caps w:val="0"/>
                <w:color w:val="333333"/>
                <w:spacing w:val="0"/>
                <w:sz w:val="18"/>
                <w:szCs w:val="18"/>
                <w:shd w:val="clear" w:fill="FFFFFF"/>
              </w:rPr>
              <w:t>5</w:t>
            </w:r>
          </w:p>
        </w:tc>
        <w:tc>
          <w:tcPr>
            <w:tcW w:w="842" w:type="dxa"/>
            <w:tcBorders>
              <w:top w:val="nil"/>
              <w:left w:val="nil"/>
              <w:bottom w:val="single" w:color="auto" w:sz="4" w:space="0"/>
              <w:right w:val="single" w:color="auto" w:sz="4" w:space="0"/>
            </w:tcBorders>
            <w:vAlign w:val="center"/>
          </w:tcPr>
          <w:p>
            <w:pPr>
              <w:jc w:val="center"/>
              <w:rPr>
                <w:rFonts w:ascii="仿宋_GB2312" w:hAnsi="Calibri" w:eastAsia="仿宋_GB2312" w:cs="仿宋_GB2312"/>
                <w:kern w:val="2"/>
                <w:sz w:val="21"/>
                <w:szCs w:val="21"/>
                <w:lang w:val="en-US" w:eastAsia="zh-CN" w:bidi="ar-SA"/>
              </w:rPr>
            </w:pPr>
            <w:r>
              <w:rPr>
                <w:rFonts w:ascii="微软雅黑" w:hAnsi="微软雅黑" w:eastAsia="微软雅黑" w:cs="微软雅黑"/>
                <w:i w:val="0"/>
                <w:caps w:val="0"/>
                <w:color w:val="333333"/>
                <w:spacing w:val="0"/>
                <w:sz w:val="18"/>
                <w:szCs w:val="18"/>
                <w:shd w:val="clear" w:fill="FFFFFF"/>
              </w:rPr>
              <w:t>38</w:t>
            </w:r>
            <w:r>
              <w:rPr>
                <w:rFonts w:hint="eastAsia" w:ascii="微软雅黑" w:hAnsi="微软雅黑" w:eastAsia="微软雅黑" w:cs="微软雅黑"/>
                <w:i w:val="0"/>
                <w:caps w:val="0"/>
                <w:color w:val="333333"/>
                <w:spacing w:val="0"/>
                <w:sz w:val="18"/>
                <w:szCs w:val="18"/>
                <w:shd w:val="clear" w:fill="FFFFFF"/>
                <w:lang w:val="en-US" w:eastAsia="zh-CN"/>
              </w:rPr>
              <w:t>0</w:t>
            </w:r>
            <w:r>
              <w:rPr>
                <w:rFonts w:ascii="微软雅黑" w:hAnsi="微软雅黑" w:eastAsia="微软雅黑" w:cs="微软雅黑"/>
                <w:i w:val="0"/>
                <w:caps w:val="0"/>
                <w:color w:val="333333"/>
                <w:spacing w:val="0"/>
                <w:sz w:val="18"/>
                <w:szCs w:val="18"/>
                <w:shd w:val="clear" w:fill="FFFFFF"/>
              </w:rPr>
              <w:t>00</w:t>
            </w:r>
          </w:p>
        </w:tc>
        <w:tc>
          <w:tcPr>
            <w:tcW w:w="843" w:type="dxa"/>
            <w:tcBorders>
              <w:top w:val="nil"/>
              <w:left w:val="nil"/>
              <w:bottom w:val="single" w:color="auto" w:sz="4" w:space="0"/>
              <w:right w:val="single" w:color="auto" w:sz="4" w:space="0"/>
            </w:tcBorders>
            <w:vAlign w:val="center"/>
          </w:tcPr>
          <w:p>
            <w:pPr>
              <w:jc w:val="center"/>
              <w:rPr>
                <w:rFonts w:ascii="仿宋_GB2312" w:hAnsi="Calibri" w:eastAsia="仿宋_GB2312" w:cs="仿宋_GB2312"/>
                <w:kern w:val="2"/>
                <w:sz w:val="21"/>
                <w:szCs w:val="21"/>
                <w:lang w:val="en-US" w:eastAsia="zh-CN" w:bidi="ar-SA"/>
              </w:rPr>
            </w:pPr>
            <w:r>
              <w:rPr>
                <w:rFonts w:ascii="微软雅黑" w:hAnsi="微软雅黑" w:eastAsia="微软雅黑" w:cs="微软雅黑"/>
                <w:i w:val="0"/>
                <w:caps w:val="0"/>
                <w:color w:val="333333"/>
                <w:spacing w:val="0"/>
                <w:sz w:val="18"/>
                <w:szCs w:val="18"/>
                <w:shd w:val="clear" w:fill="FFFFFF"/>
              </w:rPr>
              <w:t>39</w:t>
            </w:r>
            <w:r>
              <w:rPr>
                <w:rFonts w:hint="eastAsia" w:ascii="微软雅黑" w:hAnsi="微软雅黑" w:eastAsia="微软雅黑" w:cs="微软雅黑"/>
                <w:i w:val="0"/>
                <w:caps w:val="0"/>
                <w:color w:val="333333"/>
                <w:spacing w:val="0"/>
                <w:sz w:val="18"/>
                <w:szCs w:val="18"/>
                <w:shd w:val="clear" w:fill="FFFFFF"/>
                <w:lang w:val="en-US" w:eastAsia="zh-CN"/>
              </w:rPr>
              <w:t>0</w:t>
            </w:r>
            <w:r>
              <w:rPr>
                <w:rFonts w:ascii="微软雅黑" w:hAnsi="微软雅黑" w:eastAsia="微软雅黑" w:cs="微软雅黑"/>
                <w:i w:val="0"/>
                <w:caps w:val="0"/>
                <w:color w:val="333333"/>
                <w:spacing w:val="0"/>
                <w:sz w:val="18"/>
                <w:szCs w:val="18"/>
                <w:shd w:val="clear" w:fill="FFFFFF"/>
              </w:rPr>
              <w:t>00</w:t>
            </w:r>
          </w:p>
        </w:tc>
        <w:tc>
          <w:tcPr>
            <w:tcW w:w="842" w:type="dxa"/>
            <w:tcBorders>
              <w:top w:val="nil"/>
              <w:left w:val="nil"/>
              <w:bottom w:val="single" w:color="auto" w:sz="4" w:space="0"/>
              <w:right w:val="single" w:color="auto" w:sz="4" w:space="0"/>
            </w:tcBorders>
            <w:noWrap/>
            <w:vAlign w:val="center"/>
          </w:tcPr>
          <w:p>
            <w:pPr>
              <w:jc w:val="center"/>
              <w:rPr>
                <w:rFonts w:ascii="仿宋_GB2312" w:hAnsi="Calibri" w:eastAsia="仿宋_GB2312" w:cs="仿宋_GB2312"/>
                <w:kern w:val="2"/>
                <w:sz w:val="21"/>
                <w:szCs w:val="21"/>
                <w:lang w:val="en-US" w:eastAsia="zh-CN" w:bidi="ar-SA"/>
              </w:rPr>
            </w:pPr>
            <w:r>
              <w:rPr>
                <w:rFonts w:ascii="微软雅黑" w:hAnsi="微软雅黑" w:eastAsia="微软雅黑" w:cs="微软雅黑"/>
                <w:i w:val="0"/>
                <w:caps w:val="0"/>
                <w:color w:val="333333"/>
                <w:spacing w:val="0"/>
                <w:sz w:val="18"/>
                <w:szCs w:val="18"/>
                <w:shd w:val="clear" w:fill="FFFFFF"/>
              </w:rPr>
              <w:t>14800</w:t>
            </w:r>
          </w:p>
        </w:tc>
        <w:tc>
          <w:tcPr>
            <w:tcW w:w="842" w:type="dxa"/>
            <w:tcBorders>
              <w:top w:val="nil"/>
              <w:left w:val="nil"/>
              <w:bottom w:val="single" w:color="auto" w:sz="4" w:space="0"/>
              <w:right w:val="single" w:color="auto" w:sz="4" w:space="0"/>
            </w:tcBorders>
            <w:vAlign w:val="center"/>
          </w:tcPr>
          <w:p>
            <w:pPr>
              <w:jc w:val="center"/>
              <w:rPr>
                <w:rFonts w:ascii="仿宋_GB2312" w:hAnsi="Calibri" w:eastAsia="仿宋_GB2312" w:cs="仿宋_GB2312"/>
                <w:kern w:val="2"/>
                <w:sz w:val="21"/>
                <w:szCs w:val="21"/>
                <w:lang w:val="en-US" w:eastAsia="zh-CN" w:bidi="ar-SA"/>
              </w:rPr>
            </w:pPr>
            <w:r>
              <w:rPr>
                <w:rFonts w:ascii="微软雅黑" w:hAnsi="微软雅黑" w:eastAsia="微软雅黑" w:cs="微软雅黑"/>
                <w:i w:val="0"/>
                <w:caps w:val="0"/>
                <w:color w:val="333333"/>
                <w:spacing w:val="0"/>
                <w:sz w:val="18"/>
                <w:szCs w:val="18"/>
                <w:shd w:val="clear" w:fill="FFFFFF"/>
              </w:rPr>
              <w:t>15300</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vAlign w:val="top"/>
          </w:tcPr>
          <w:p>
            <w:pPr>
              <w:spacing w:line="400" w:lineRule="exact"/>
              <w:jc w:val="center"/>
              <w:rPr>
                <w:rFonts w:ascii="仿宋_GB2312" w:hAnsi="Calibri" w:eastAsia="仿宋_GB2312" w:cs="仿宋_GB2312"/>
                <w:kern w:val="2"/>
                <w:sz w:val="21"/>
                <w:szCs w:val="21"/>
                <w:lang w:val="en-US" w:eastAsia="zh-CN" w:bidi="ar-SA"/>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12</w:t>
            </w:r>
            <w:r>
              <w:rPr>
                <w:rFonts w:hint="eastAsia" w:ascii="仿宋_GB2312" w:eastAsia="仿宋_GB2312" w:cs="仿宋_GB2312"/>
              </w:rPr>
              <w:t>日</w:t>
            </w:r>
          </w:p>
        </w:tc>
        <w:tc>
          <w:tcPr>
            <w:tcW w:w="721" w:type="dxa"/>
            <w:tcBorders>
              <w:top w:val="nil"/>
              <w:left w:val="nil"/>
              <w:bottom w:val="single" w:color="auto" w:sz="4" w:space="0"/>
              <w:right w:val="single" w:color="auto" w:sz="4" w:space="0"/>
            </w:tcBorders>
            <w:vAlign w:val="center"/>
          </w:tcPr>
          <w:p>
            <w:pPr>
              <w:jc w:val="center"/>
              <w:rPr>
                <w:rFonts w:ascii="仿宋_GB2312" w:eastAsia="仿宋_GB2312" w:cs="仿宋_GB2312"/>
              </w:rPr>
            </w:pPr>
            <w:r>
              <w:rPr>
                <w:rFonts w:ascii="仿宋_GB2312" w:eastAsia="仿宋_GB2312" w:cs="仿宋_GB2312"/>
              </w:rPr>
              <w:t>4</w:t>
            </w:r>
            <w:r>
              <w:rPr>
                <w:rFonts w:hint="eastAsia" w:ascii="仿宋_GB2312" w:eastAsia="仿宋_GB2312" w:cs="仿宋_GB2312"/>
                <w:lang w:val="en-US" w:eastAsia="zh-CN"/>
              </w:rPr>
              <w:t>3</w:t>
            </w:r>
            <w:r>
              <w:rPr>
                <w:rFonts w:ascii="仿宋_GB2312" w:eastAsia="仿宋_GB2312" w:cs="仿宋_GB2312"/>
              </w:rPr>
              <w:t>00</w:t>
            </w:r>
          </w:p>
        </w:tc>
        <w:tc>
          <w:tcPr>
            <w:tcW w:w="722" w:type="dxa"/>
            <w:tcBorders>
              <w:top w:val="nil"/>
              <w:left w:val="nil"/>
              <w:bottom w:val="single" w:color="auto" w:sz="4" w:space="0"/>
              <w:right w:val="single" w:color="auto" w:sz="4" w:space="0"/>
            </w:tcBorders>
            <w:vAlign w:val="center"/>
          </w:tcPr>
          <w:p>
            <w:pPr>
              <w:jc w:val="center"/>
              <w:rPr>
                <w:rFonts w:ascii="仿宋_GB2312" w:eastAsia="仿宋_GB2312" w:cs="仿宋_GB2312"/>
              </w:rPr>
            </w:pPr>
            <w:r>
              <w:rPr>
                <w:rFonts w:hint="eastAsia" w:ascii="仿宋_GB2312" w:eastAsia="仿宋_GB2312" w:cs="仿宋_GB2312"/>
                <w:lang w:val="en-US" w:eastAsia="zh-CN"/>
              </w:rPr>
              <w:t>46</w:t>
            </w:r>
            <w:r>
              <w:rPr>
                <w:rFonts w:ascii="仿宋_GB2312" w:eastAsia="仿宋_GB2312" w:cs="仿宋_GB2312"/>
              </w:rPr>
              <w:t>00</w:t>
            </w:r>
          </w:p>
        </w:tc>
        <w:tc>
          <w:tcPr>
            <w:tcW w:w="722" w:type="dxa"/>
            <w:tcBorders>
              <w:top w:val="nil"/>
              <w:left w:val="nil"/>
              <w:bottom w:val="single" w:color="auto" w:sz="4" w:space="0"/>
              <w:right w:val="single" w:color="auto" w:sz="4" w:space="0"/>
            </w:tcBorders>
            <w:vAlign w:val="center"/>
          </w:tcPr>
          <w:p>
            <w:pPr>
              <w:jc w:val="center"/>
              <w:rPr>
                <w:rFonts w:ascii="仿宋_GB2312" w:eastAsia="仿宋_GB2312" w:cs="仿宋_GB2312"/>
              </w:rPr>
            </w:pPr>
            <w:r>
              <w:rPr>
                <w:rFonts w:hint="eastAsia" w:ascii="仿宋_GB2312" w:eastAsia="仿宋_GB2312" w:cs="仿宋_GB2312"/>
                <w:lang w:val="en-US" w:eastAsia="zh-CN"/>
              </w:rPr>
              <w:t>1350</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rPr>
            </w:pPr>
            <w:r>
              <w:rPr>
                <w:rFonts w:hint="eastAsia" w:ascii="仿宋_GB2312" w:eastAsia="仿宋_GB2312" w:cs="仿宋_GB2312"/>
                <w:lang w:val="en-US" w:eastAsia="zh-CN"/>
              </w:rPr>
              <w:t>1400</w:t>
            </w:r>
          </w:p>
        </w:tc>
        <w:tc>
          <w:tcPr>
            <w:tcW w:w="722"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rPr>
            </w:pPr>
            <w:r>
              <w:rPr>
                <w:rFonts w:ascii="微软雅黑" w:hAnsi="微软雅黑" w:eastAsia="微软雅黑" w:cs="微软雅黑"/>
                <w:i w:val="0"/>
                <w:caps w:val="0"/>
                <w:color w:val="333333"/>
                <w:spacing w:val="0"/>
                <w:sz w:val="18"/>
                <w:szCs w:val="18"/>
                <w:shd w:val="clear" w:fill="FFFFFF"/>
              </w:rPr>
              <w:t>4</w:t>
            </w:r>
            <w:r>
              <w:rPr>
                <w:rFonts w:hint="eastAsia" w:ascii="微软雅黑" w:hAnsi="微软雅黑" w:eastAsia="微软雅黑" w:cs="微软雅黑"/>
                <w:i w:val="0"/>
                <w:caps w:val="0"/>
                <w:color w:val="333333"/>
                <w:spacing w:val="0"/>
                <w:sz w:val="18"/>
                <w:szCs w:val="18"/>
                <w:shd w:val="clear" w:fill="FFFFFF"/>
                <w:lang w:val="en-US" w:eastAsia="zh-CN"/>
              </w:rPr>
              <w:t>4</w:t>
            </w:r>
            <w:r>
              <w:rPr>
                <w:rFonts w:ascii="微软雅黑" w:hAnsi="微软雅黑" w:eastAsia="微软雅黑" w:cs="微软雅黑"/>
                <w:i w:val="0"/>
                <w:caps w:val="0"/>
                <w:color w:val="333333"/>
                <w:spacing w:val="0"/>
                <w:sz w:val="18"/>
                <w:szCs w:val="18"/>
                <w:shd w:val="clear" w:fill="FFFFFF"/>
              </w:rPr>
              <w:t>5</w:t>
            </w:r>
          </w:p>
        </w:tc>
        <w:tc>
          <w:tcPr>
            <w:tcW w:w="724" w:type="dxa"/>
            <w:tcBorders>
              <w:top w:val="nil"/>
              <w:left w:val="nil"/>
              <w:bottom w:val="single" w:color="auto" w:sz="4" w:space="0"/>
              <w:right w:val="single" w:color="auto" w:sz="4" w:space="0"/>
            </w:tcBorders>
            <w:noWrap/>
            <w:vAlign w:val="center"/>
          </w:tcPr>
          <w:p>
            <w:pPr>
              <w:jc w:val="center"/>
              <w:rPr>
                <w:rFonts w:hint="default" w:ascii="仿宋_GB2312" w:hAnsi="Calibri" w:eastAsia="仿宋_GB2312" w:cs="仿宋_GB2312"/>
                <w:kern w:val="2"/>
                <w:sz w:val="21"/>
                <w:szCs w:val="21"/>
                <w:lang w:val="en-US" w:eastAsia="zh-CN" w:bidi="ar-SA"/>
              </w:rPr>
            </w:pPr>
            <w:r>
              <w:rPr>
                <w:rFonts w:ascii="微软雅黑" w:hAnsi="微软雅黑" w:eastAsia="微软雅黑" w:cs="微软雅黑"/>
                <w:i w:val="0"/>
                <w:caps w:val="0"/>
                <w:color w:val="333333"/>
                <w:spacing w:val="0"/>
                <w:sz w:val="18"/>
                <w:szCs w:val="18"/>
                <w:shd w:val="clear" w:fill="FFFFFF"/>
              </w:rPr>
              <w:t>4</w:t>
            </w:r>
            <w:r>
              <w:rPr>
                <w:rFonts w:hint="eastAsia" w:ascii="微软雅黑" w:hAnsi="微软雅黑" w:eastAsia="微软雅黑" w:cs="微软雅黑"/>
                <w:i w:val="0"/>
                <w:caps w:val="0"/>
                <w:color w:val="333333"/>
                <w:spacing w:val="0"/>
                <w:sz w:val="18"/>
                <w:szCs w:val="18"/>
                <w:shd w:val="clear" w:fill="FFFFFF"/>
                <w:lang w:val="en-US" w:eastAsia="zh-CN"/>
              </w:rPr>
              <w:t>5</w:t>
            </w:r>
            <w:r>
              <w:rPr>
                <w:rFonts w:ascii="微软雅黑" w:hAnsi="微软雅黑" w:eastAsia="微软雅黑" w:cs="微软雅黑"/>
                <w:i w:val="0"/>
                <w:caps w:val="0"/>
                <w:color w:val="333333"/>
                <w:spacing w:val="0"/>
                <w:sz w:val="18"/>
                <w:szCs w:val="18"/>
                <w:shd w:val="clear" w:fill="FFFFFF"/>
              </w:rPr>
              <w:t>5</w:t>
            </w:r>
          </w:p>
        </w:tc>
        <w:tc>
          <w:tcPr>
            <w:tcW w:w="842" w:type="dxa"/>
            <w:tcBorders>
              <w:top w:val="nil"/>
              <w:left w:val="nil"/>
              <w:bottom w:val="single" w:color="auto" w:sz="4" w:space="0"/>
              <w:right w:val="single" w:color="auto" w:sz="4" w:space="0"/>
            </w:tcBorders>
            <w:vAlign w:val="center"/>
          </w:tcPr>
          <w:p>
            <w:pPr>
              <w:jc w:val="center"/>
              <w:rPr>
                <w:rFonts w:ascii="仿宋_GB2312" w:hAnsi="Calibri" w:eastAsia="仿宋_GB2312" w:cs="仿宋_GB2312"/>
                <w:kern w:val="2"/>
                <w:sz w:val="21"/>
                <w:szCs w:val="21"/>
                <w:lang w:val="en-US" w:eastAsia="zh-CN" w:bidi="ar-SA"/>
              </w:rPr>
            </w:pPr>
            <w:r>
              <w:rPr>
                <w:rFonts w:ascii="微软雅黑" w:hAnsi="微软雅黑" w:eastAsia="微软雅黑" w:cs="微软雅黑"/>
                <w:i w:val="0"/>
                <w:caps w:val="0"/>
                <w:color w:val="333333"/>
                <w:spacing w:val="0"/>
                <w:sz w:val="18"/>
                <w:szCs w:val="18"/>
                <w:shd w:val="clear" w:fill="FFFFFF"/>
              </w:rPr>
              <w:t>38</w:t>
            </w:r>
            <w:r>
              <w:rPr>
                <w:rFonts w:hint="eastAsia" w:ascii="微软雅黑" w:hAnsi="微软雅黑" w:eastAsia="微软雅黑" w:cs="微软雅黑"/>
                <w:i w:val="0"/>
                <w:caps w:val="0"/>
                <w:color w:val="333333"/>
                <w:spacing w:val="0"/>
                <w:sz w:val="18"/>
                <w:szCs w:val="18"/>
                <w:shd w:val="clear" w:fill="FFFFFF"/>
                <w:lang w:val="en-US" w:eastAsia="zh-CN"/>
              </w:rPr>
              <w:t>0</w:t>
            </w:r>
            <w:r>
              <w:rPr>
                <w:rFonts w:ascii="微软雅黑" w:hAnsi="微软雅黑" w:eastAsia="微软雅黑" w:cs="微软雅黑"/>
                <w:i w:val="0"/>
                <w:caps w:val="0"/>
                <w:color w:val="333333"/>
                <w:spacing w:val="0"/>
                <w:sz w:val="18"/>
                <w:szCs w:val="18"/>
                <w:shd w:val="clear" w:fill="FFFFFF"/>
              </w:rPr>
              <w:t>00</w:t>
            </w:r>
          </w:p>
        </w:tc>
        <w:tc>
          <w:tcPr>
            <w:tcW w:w="843" w:type="dxa"/>
            <w:tcBorders>
              <w:top w:val="nil"/>
              <w:left w:val="nil"/>
              <w:bottom w:val="single" w:color="auto" w:sz="4" w:space="0"/>
              <w:right w:val="single" w:color="auto" w:sz="4" w:space="0"/>
            </w:tcBorders>
            <w:vAlign w:val="center"/>
          </w:tcPr>
          <w:p>
            <w:pPr>
              <w:jc w:val="center"/>
              <w:rPr>
                <w:rFonts w:ascii="仿宋_GB2312" w:hAnsi="Calibri" w:eastAsia="仿宋_GB2312" w:cs="仿宋_GB2312"/>
                <w:kern w:val="2"/>
                <w:sz w:val="21"/>
                <w:szCs w:val="21"/>
                <w:lang w:val="en-US" w:eastAsia="zh-CN" w:bidi="ar-SA"/>
              </w:rPr>
            </w:pPr>
            <w:r>
              <w:rPr>
                <w:rFonts w:ascii="微软雅黑" w:hAnsi="微软雅黑" w:eastAsia="微软雅黑" w:cs="微软雅黑"/>
                <w:i w:val="0"/>
                <w:caps w:val="0"/>
                <w:color w:val="333333"/>
                <w:spacing w:val="0"/>
                <w:sz w:val="18"/>
                <w:szCs w:val="18"/>
                <w:shd w:val="clear" w:fill="FFFFFF"/>
              </w:rPr>
              <w:t>39</w:t>
            </w:r>
            <w:r>
              <w:rPr>
                <w:rFonts w:hint="eastAsia" w:ascii="微软雅黑" w:hAnsi="微软雅黑" w:eastAsia="微软雅黑" w:cs="微软雅黑"/>
                <w:i w:val="0"/>
                <w:caps w:val="0"/>
                <w:color w:val="333333"/>
                <w:spacing w:val="0"/>
                <w:sz w:val="18"/>
                <w:szCs w:val="18"/>
                <w:shd w:val="clear" w:fill="FFFFFF"/>
                <w:lang w:val="en-US" w:eastAsia="zh-CN"/>
              </w:rPr>
              <w:t>0</w:t>
            </w:r>
            <w:r>
              <w:rPr>
                <w:rFonts w:ascii="微软雅黑" w:hAnsi="微软雅黑" w:eastAsia="微软雅黑" w:cs="微软雅黑"/>
                <w:i w:val="0"/>
                <w:caps w:val="0"/>
                <w:color w:val="333333"/>
                <w:spacing w:val="0"/>
                <w:sz w:val="18"/>
                <w:szCs w:val="18"/>
                <w:shd w:val="clear" w:fill="FFFFFF"/>
              </w:rPr>
              <w:t>00</w:t>
            </w:r>
          </w:p>
        </w:tc>
        <w:tc>
          <w:tcPr>
            <w:tcW w:w="842" w:type="dxa"/>
            <w:tcBorders>
              <w:top w:val="nil"/>
              <w:left w:val="nil"/>
              <w:bottom w:val="single" w:color="auto" w:sz="4" w:space="0"/>
              <w:right w:val="single" w:color="auto" w:sz="4" w:space="0"/>
            </w:tcBorders>
            <w:noWrap/>
            <w:vAlign w:val="center"/>
          </w:tcPr>
          <w:p>
            <w:pPr>
              <w:jc w:val="center"/>
              <w:rPr>
                <w:rFonts w:ascii="仿宋_GB2312" w:hAnsi="Calibri" w:eastAsia="仿宋_GB2312" w:cs="仿宋_GB2312"/>
                <w:kern w:val="2"/>
                <w:sz w:val="21"/>
                <w:szCs w:val="21"/>
                <w:lang w:val="en-US" w:eastAsia="zh-CN" w:bidi="ar-SA"/>
              </w:rPr>
            </w:pPr>
            <w:r>
              <w:rPr>
                <w:rFonts w:ascii="微软雅黑" w:hAnsi="微软雅黑" w:eastAsia="微软雅黑" w:cs="微软雅黑"/>
                <w:i w:val="0"/>
                <w:caps w:val="0"/>
                <w:color w:val="333333"/>
                <w:spacing w:val="0"/>
                <w:sz w:val="18"/>
                <w:szCs w:val="18"/>
                <w:shd w:val="clear" w:fill="FFFFFF"/>
              </w:rPr>
              <w:t>14800</w:t>
            </w:r>
          </w:p>
        </w:tc>
        <w:tc>
          <w:tcPr>
            <w:tcW w:w="842"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ascii="微软雅黑" w:hAnsi="微软雅黑" w:eastAsia="微软雅黑" w:cs="微软雅黑"/>
                <w:i w:val="0"/>
                <w:caps w:val="0"/>
                <w:color w:val="333333"/>
                <w:spacing w:val="0"/>
                <w:sz w:val="18"/>
                <w:szCs w:val="18"/>
                <w:shd w:val="clear" w:fill="FFFFFF"/>
              </w:rPr>
              <w:t>15300</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vAlign w:val="center"/>
          </w:tcPr>
          <w:p>
            <w:pPr>
              <w:spacing w:line="400" w:lineRule="exact"/>
              <w:jc w:val="center"/>
              <w:rPr>
                <w:rFonts w:ascii="仿宋_GB2312" w:hAnsi="Calibri" w:eastAsia="仿宋_GB2312" w:cs="仿宋_GB2312"/>
                <w:kern w:val="2"/>
                <w:sz w:val="21"/>
                <w:szCs w:val="21"/>
                <w:lang w:val="en-US" w:eastAsia="zh-CN" w:bidi="ar-SA"/>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13</w:t>
            </w:r>
            <w:r>
              <w:rPr>
                <w:rFonts w:hint="eastAsia" w:ascii="仿宋_GB2312" w:eastAsia="仿宋_GB2312" w:cs="仿宋_GB2312"/>
              </w:rPr>
              <w:t>日</w:t>
            </w:r>
          </w:p>
        </w:tc>
        <w:tc>
          <w:tcPr>
            <w:tcW w:w="721" w:type="dxa"/>
            <w:tcBorders>
              <w:top w:val="nil"/>
              <w:left w:val="nil"/>
              <w:bottom w:val="single" w:color="auto" w:sz="4" w:space="0"/>
              <w:right w:val="single" w:color="auto" w:sz="4" w:space="0"/>
            </w:tcBorders>
            <w:vAlign w:val="center"/>
          </w:tcPr>
          <w:p>
            <w:pPr>
              <w:jc w:val="center"/>
              <w:rPr>
                <w:rFonts w:ascii="仿宋_GB2312" w:hAnsi="Calibri" w:eastAsia="仿宋_GB2312" w:cs="仿宋_GB2312"/>
                <w:kern w:val="2"/>
                <w:sz w:val="21"/>
                <w:szCs w:val="21"/>
                <w:lang w:val="en-US" w:eastAsia="zh-CN" w:bidi="ar-SA"/>
              </w:rPr>
            </w:pPr>
            <w:r>
              <w:rPr>
                <w:rFonts w:ascii="仿宋_GB2312" w:eastAsia="仿宋_GB2312" w:cs="仿宋_GB2312"/>
              </w:rPr>
              <w:t>4</w:t>
            </w:r>
            <w:r>
              <w:rPr>
                <w:rFonts w:hint="eastAsia" w:ascii="仿宋_GB2312" w:eastAsia="仿宋_GB2312" w:cs="仿宋_GB2312"/>
                <w:lang w:val="en-US" w:eastAsia="zh-CN"/>
              </w:rPr>
              <w:t>3</w:t>
            </w:r>
            <w:r>
              <w:rPr>
                <w:rFonts w:ascii="仿宋_GB2312" w:eastAsia="仿宋_GB2312" w:cs="仿宋_GB2312"/>
              </w:rPr>
              <w:t>00</w:t>
            </w:r>
          </w:p>
        </w:tc>
        <w:tc>
          <w:tcPr>
            <w:tcW w:w="722" w:type="dxa"/>
            <w:tcBorders>
              <w:top w:val="nil"/>
              <w:left w:val="nil"/>
              <w:bottom w:val="single" w:color="auto" w:sz="4" w:space="0"/>
              <w:right w:val="single" w:color="auto" w:sz="4" w:space="0"/>
            </w:tcBorders>
            <w:vAlign w:val="center"/>
          </w:tcPr>
          <w:p>
            <w:pPr>
              <w:jc w:val="center"/>
              <w:rPr>
                <w:rFonts w:ascii="仿宋_GB2312" w:hAnsi="Calibri" w:eastAsia="仿宋_GB2312" w:cs="仿宋_GB2312"/>
                <w:kern w:val="2"/>
                <w:sz w:val="21"/>
                <w:szCs w:val="21"/>
                <w:lang w:val="en-US" w:eastAsia="zh-CN" w:bidi="ar-SA"/>
              </w:rPr>
            </w:pPr>
            <w:r>
              <w:rPr>
                <w:rFonts w:hint="eastAsia" w:ascii="仿宋_GB2312" w:eastAsia="仿宋_GB2312" w:cs="仿宋_GB2312"/>
                <w:lang w:val="en-US" w:eastAsia="zh-CN"/>
              </w:rPr>
              <w:t>46</w:t>
            </w:r>
            <w:r>
              <w:rPr>
                <w:rFonts w:ascii="仿宋_GB2312" w:eastAsia="仿宋_GB2312" w:cs="仿宋_GB2312"/>
              </w:rPr>
              <w:t>00</w:t>
            </w:r>
          </w:p>
        </w:tc>
        <w:tc>
          <w:tcPr>
            <w:tcW w:w="722" w:type="dxa"/>
            <w:tcBorders>
              <w:top w:val="nil"/>
              <w:left w:val="nil"/>
              <w:bottom w:val="single" w:color="auto" w:sz="4" w:space="0"/>
              <w:right w:val="single" w:color="auto" w:sz="4" w:space="0"/>
            </w:tcBorders>
            <w:vAlign w:val="center"/>
          </w:tcPr>
          <w:p>
            <w:pPr>
              <w:jc w:val="center"/>
              <w:rPr>
                <w:rFonts w:ascii="仿宋_GB2312" w:hAnsi="Calibri" w:eastAsia="仿宋_GB2312" w:cs="仿宋_GB2312"/>
                <w:kern w:val="2"/>
                <w:sz w:val="21"/>
                <w:szCs w:val="21"/>
                <w:lang w:val="en-US" w:eastAsia="zh-CN" w:bidi="ar-SA"/>
              </w:rPr>
            </w:pPr>
            <w:r>
              <w:rPr>
                <w:rFonts w:hint="eastAsia" w:ascii="仿宋_GB2312" w:eastAsia="仿宋_GB2312" w:cs="仿宋_GB2312"/>
                <w:lang w:val="en-US" w:eastAsia="zh-CN"/>
              </w:rPr>
              <w:t>1350</w:t>
            </w:r>
          </w:p>
        </w:tc>
        <w:tc>
          <w:tcPr>
            <w:tcW w:w="722" w:type="dxa"/>
            <w:tcBorders>
              <w:top w:val="nil"/>
              <w:left w:val="nil"/>
              <w:bottom w:val="single" w:color="auto" w:sz="4" w:space="0"/>
              <w:right w:val="single" w:color="auto" w:sz="4" w:space="0"/>
            </w:tcBorders>
            <w:vAlign w:val="center"/>
          </w:tcPr>
          <w:p>
            <w:pPr>
              <w:jc w:val="center"/>
              <w:rPr>
                <w:rFonts w:hint="default" w:ascii="仿宋_GB2312" w:hAnsi="Calibri" w:eastAsia="仿宋_GB2312" w:cs="仿宋_GB2312"/>
                <w:kern w:val="2"/>
                <w:sz w:val="21"/>
                <w:szCs w:val="21"/>
                <w:lang w:val="en-US" w:eastAsia="zh-CN" w:bidi="ar-SA"/>
              </w:rPr>
            </w:pPr>
            <w:r>
              <w:rPr>
                <w:rFonts w:hint="eastAsia" w:ascii="仿宋_GB2312" w:eastAsia="仿宋_GB2312" w:cs="仿宋_GB2312"/>
                <w:lang w:val="en-US" w:eastAsia="zh-CN"/>
              </w:rPr>
              <w:t>1400</w:t>
            </w:r>
          </w:p>
        </w:tc>
        <w:tc>
          <w:tcPr>
            <w:tcW w:w="722" w:type="dxa"/>
            <w:tcBorders>
              <w:top w:val="nil"/>
              <w:left w:val="nil"/>
              <w:bottom w:val="single" w:color="auto" w:sz="4" w:space="0"/>
              <w:right w:val="single" w:color="auto" w:sz="4" w:space="0"/>
            </w:tcBorders>
            <w:noWrap/>
            <w:vAlign w:val="center"/>
          </w:tcPr>
          <w:p>
            <w:pPr>
              <w:jc w:val="center"/>
              <w:rPr>
                <w:rFonts w:hint="default" w:ascii="仿宋_GB2312" w:hAnsi="Calibri" w:eastAsia="仿宋_GB2312" w:cs="仿宋_GB2312"/>
                <w:kern w:val="2"/>
                <w:sz w:val="21"/>
                <w:szCs w:val="21"/>
                <w:lang w:val="en-US" w:eastAsia="zh-CN" w:bidi="ar-SA"/>
              </w:rPr>
            </w:pPr>
            <w:r>
              <w:rPr>
                <w:rFonts w:ascii="微软雅黑" w:hAnsi="微软雅黑" w:eastAsia="微软雅黑" w:cs="微软雅黑"/>
                <w:i w:val="0"/>
                <w:caps w:val="0"/>
                <w:color w:val="333333"/>
                <w:spacing w:val="0"/>
                <w:sz w:val="18"/>
                <w:szCs w:val="18"/>
                <w:shd w:val="clear" w:fill="FFFFFF"/>
              </w:rPr>
              <w:t>4</w:t>
            </w:r>
            <w:r>
              <w:rPr>
                <w:rFonts w:hint="eastAsia" w:ascii="微软雅黑" w:hAnsi="微软雅黑" w:eastAsia="微软雅黑" w:cs="微软雅黑"/>
                <w:i w:val="0"/>
                <w:caps w:val="0"/>
                <w:color w:val="333333"/>
                <w:spacing w:val="0"/>
                <w:sz w:val="18"/>
                <w:szCs w:val="18"/>
                <w:shd w:val="clear" w:fill="FFFFFF"/>
                <w:lang w:val="en-US" w:eastAsia="zh-CN"/>
              </w:rPr>
              <w:t>4</w:t>
            </w:r>
            <w:r>
              <w:rPr>
                <w:rFonts w:ascii="微软雅黑" w:hAnsi="微软雅黑" w:eastAsia="微软雅黑" w:cs="微软雅黑"/>
                <w:i w:val="0"/>
                <w:caps w:val="0"/>
                <w:color w:val="333333"/>
                <w:spacing w:val="0"/>
                <w:sz w:val="18"/>
                <w:szCs w:val="18"/>
                <w:shd w:val="clear" w:fill="FFFFFF"/>
              </w:rPr>
              <w:t>5</w:t>
            </w:r>
          </w:p>
        </w:tc>
        <w:tc>
          <w:tcPr>
            <w:tcW w:w="724" w:type="dxa"/>
            <w:tcBorders>
              <w:top w:val="nil"/>
              <w:left w:val="nil"/>
              <w:bottom w:val="single" w:color="auto" w:sz="4" w:space="0"/>
              <w:right w:val="single" w:color="auto" w:sz="4" w:space="0"/>
            </w:tcBorders>
            <w:noWrap/>
            <w:vAlign w:val="center"/>
          </w:tcPr>
          <w:p>
            <w:pPr>
              <w:jc w:val="center"/>
              <w:rPr>
                <w:rFonts w:hint="default" w:ascii="仿宋_GB2312" w:hAnsi="Calibri" w:eastAsia="仿宋_GB2312" w:cs="仿宋_GB2312"/>
                <w:kern w:val="2"/>
                <w:sz w:val="21"/>
                <w:szCs w:val="21"/>
                <w:lang w:val="en-US" w:eastAsia="zh-CN" w:bidi="ar-SA"/>
              </w:rPr>
            </w:pPr>
            <w:r>
              <w:rPr>
                <w:rFonts w:ascii="微软雅黑" w:hAnsi="微软雅黑" w:eastAsia="微软雅黑" w:cs="微软雅黑"/>
                <w:i w:val="0"/>
                <w:caps w:val="0"/>
                <w:color w:val="333333"/>
                <w:spacing w:val="0"/>
                <w:sz w:val="18"/>
                <w:szCs w:val="18"/>
                <w:shd w:val="clear" w:fill="FFFFFF"/>
              </w:rPr>
              <w:t>4</w:t>
            </w:r>
            <w:r>
              <w:rPr>
                <w:rFonts w:hint="eastAsia" w:ascii="微软雅黑" w:hAnsi="微软雅黑" w:eastAsia="微软雅黑" w:cs="微软雅黑"/>
                <w:i w:val="0"/>
                <w:caps w:val="0"/>
                <w:color w:val="333333"/>
                <w:spacing w:val="0"/>
                <w:sz w:val="18"/>
                <w:szCs w:val="18"/>
                <w:shd w:val="clear" w:fill="FFFFFF"/>
                <w:lang w:val="en-US" w:eastAsia="zh-CN"/>
              </w:rPr>
              <w:t>5</w:t>
            </w:r>
            <w:r>
              <w:rPr>
                <w:rFonts w:ascii="微软雅黑" w:hAnsi="微软雅黑" w:eastAsia="微软雅黑" w:cs="微软雅黑"/>
                <w:i w:val="0"/>
                <w:caps w:val="0"/>
                <w:color w:val="333333"/>
                <w:spacing w:val="0"/>
                <w:sz w:val="18"/>
                <w:szCs w:val="18"/>
                <w:shd w:val="clear" w:fill="FFFFFF"/>
              </w:rPr>
              <w:t>5</w:t>
            </w:r>
          </w:p>
        </w:tc>
        <w:tc>
          <w:tcPr>
            <w:tcW w:w="842" w:type="dxa"/>
            <w:tcBorders>
              <w:top w:val="nil"/>
              <w:left w:val="nil"/>
              <w:bottom w:val="single" w:color="auto" w:sz="4" w:space="0"/>
              <w:right w:val="single" w:color="auto" w:sz="4" w:space="0"/>
            </w:tcBorders>
            <w:vAlign w:val="center"/>
          </w:tcPr>
          <w:p>
            <w:pPr>
              <w:jc w:val="center"/>
              <w:rPr>
                <w:rFonts w:ascii="仿宋_GB2312" w:eastAsia="仿宋_GB2312" w:cs="仿宋_GB2312"/>
              </w:rPr>
            </w:pPr>
            <w:r>
              <w:rPr>
                <w:rFonts w:ascii="微软雅黑" w:hAnsi="微软雅黑" w:eastAsia="微软雅黑" w:cs="微软雅黑"/>
                <w:i w:val="0"/>
                <w:caps w:val="0"/>
                <w:color w:val="333333"/>
                <w:spacing w:val="0"/>
                <w:sz w:val="18"/>
                <w:szCs w:val="18"/>
                <w:shd w:val="clear" w:fill="FFFFFF"/>
              </w:rPr>
              <w:t>38</w:t>
            </w:r>
            <w:r>
              <w:rPr>
                <w:rFonts w:hint="eastAsia" w:ascii="微软雅黑" w:hAnsi="微软雅黑" w:eastAsia="微软雅黑" w:cs="微软雅黑"/>
                <w:i w:val="0"/>
                <w:caps w:val="0"/>
                <w:color w:val="333333"/>
                <w:spacing w:val="0"/>
                <w:sz w:val="18"/>
                <w:szCs w:val="18"/>
                <w:shd w:val="clear" w:fill="FFFFFF"/>
                <w:lang w:val="en-US" w:eastAsia="zh-CN"/>
              </w:rPr>
              <w:t>0</w:t>
            </w:r>
            <w:r>
              <w:rPr>
                <w:rFonts w:ascii="微软雅黑" w:hAnsi="微软雅黑" w:eastAsia="微软雅黑" w:cs="微软雅黑"/>
                <w:i w:val="0"/>
                <w:caps w:val="0"/>
                <w:color w:val="333333"/>
                <w:spacing w:val="0"/>
                <w:sz w:val="18"/>
                <w:szCs w:val="18"/>
                <w:shd w:val="clear" w:fill="FFFFFF"/>
              </w:rPr>
              <w:t>00</w:t>
            </w:r>
          </w:p>
        </w:tc>
        <w:tc>
          <w:tcPr>
            <w:tcW w:w="843" w:type="dxa"/>
            <w:tcBorders>
              <w:top w:val="nil"/>
              <w:left w:val="nil"/>
              <w:bottom w:val="single" w:color="auto" w:sz="4" w:space="0"/>
              <w:right w:val="single" w:color="auto" w:sz="4" w:space="0"/>
            </w:tcBorders>
            <w:vAlign w:val="center"/>
          </w:tcPr>
          <w:p>
            <w:pPr>
              <w:jc w:val="center"/>
              <w:rPr>
                <w:rFonts w:ascii="仿宋_GB2312" w:eastAsia="仿宋_GB2312" w:cs="仿宋_GB2312"/>
              </w:rPr>
            </w:pPr>
            <w:r>
              <w:rPr>
                <w:rFonts w:ascii="微软雅黑" w:hAnsi="微软雅黑" w:eastAsia="微软雅黑" w:cs="微软雅黑"/>
                <w:i w:val="0"/>
                <w:caps w:val="0"/>
                <w:color w:val="333333"/>
                <w:spacing w:val="0"/>
                <w:sz w:val="18"/>
                <w:szCs w:val="18"/>
                <w:shd w:val="clear" w:fill="FFFFFF"/>
              </w:rPr>
              <w:t>39</w:t>
            </w:r>
            <w:r>
              <w:rPr>
                <w:rFonts w:hint="eastAsia" w:ascii="微软雅黑" w:hAnsi="微软雅黑" w:eastAsia="微软雅黑" w:cs="微软雅黑"/>
                <w:i w:val="0"/>
                <w:caps w:val="0"/>
                <w:color w:val="333333"/>
                <w:spacing w:val="0"/>
                <w:sz w:val="18"/>
                <w:szCs w:val="18"/>
                <w:shd w:val="clear" w:fill="FFFFFF"/>
                <w:lang w:val="en-US" w:eastAsia="zh-CN"/>
              </w:rPr>
              <w:t>0</w:t>
            </w:r>
            <w:r>
              <w:rPr>
                <w:rFonts w:ascii="微软雅黑" w:hAnsi="微软雅黑" w:eastAsia="微软雅黑" w:cs="微软雅黑"/>
                <w:i w:val="0"/>
                <w:caps w:val="0"/>
                <w:color w:val="333333"/>
                <w:spacing w:val="0"/>
                <w:sz w:val="18"/>
                <w:szCs w:val="18"/>
                <w:shd w:val="clear" w:fill="FFFFFF"/>
              </w:rPr>
              <w:t>00</w:t>
            </w:r>
          </w:p>
        </w:tc>
        <w:tc>
          <w:tcPr>
            <w:tcW w:w="842" w:type="dxa"/>
            <w:tcBorders>
              <w:top w:val="nil"/>
              <w:left w:val="nil"/>
              <w:bottom w:val="single" w:color="auto" w:sz="4" w:space="0"/>
              <w:right w:val="single" w:color="auto" w:sz="4" w:space="0"/>
            </w:tcBorders>
            <w:noWrap/>
            <w:vAlign w:val="center"/>
          </w:tcPr>
          <w:p>
            <w:pPr>
              <w:jc w:val="center"/>
              <w:rPr>
                <w:rFonts w:ascii="仿宋_GB2312" w:hAnsi="Calibri" w:eastAsia="仿宋_GB2312" w:cs="仿宋_GB2312"/>
                <w:kern w:val="2"/>
                <w:sz w:val="21"/>
                <w:szCs w:val="21"/>
                <w:lang w:val="en-US" w:eastAsia="zh-CN" w:bidi="ar-SA"/>
              </w:rPr>
            </w:pPr>
            <w:r>
              <w:rPr>
                <w:rFonts w:ascii="微软雅黑" w:hAnsi="微软雅黑" w:eastAsia="微软雅黑" w:cs="微软雅黑"/>
                <w:i w:val="0"/>
                <w:caps w:val="0"/>
                <w:color w:val="333333"/>
                <w:spacing w:val="0"/>
                <w:sz w:val="18"/>
                <w:szCs w:val="18"/>
                <w:shd w:val="clear" w:fill="FFFFFF"/>
              </w:rPr>
              <w:t>14800</w:t>
            </w:r>
          </w:p>
        </w:tc>
        <w:tc>
          <w:tcPr>
            <w:tcW w:w="842" w:type="dxa"/>
            <w:tcBorders>
              <w:top w:val="nil"/>
              <w:left w:val="nil"/>
              <w:bottom w:val="single" w:color="auto" w:sz="4" w:space="0"/>
              <w:right w:val="single" w:color="auto" w:sz="4" w:space="0"/>
            </w:tcBorders>
            <w:vAlign w:val="center"/>
          </w:tcPr>
          <w:p>
            <w:pPr>
              <w:jc w:val="center"/>
              <w:rPr>
                <w:rFonts w:hint="eastAsia" w:ascii="仿宋_GB2312" w:hAnsi="Calibri" w:eastAsia="仿宋_GB2312" w:cs="仿宋_GB2312"/>
                <w:kern w:val="2"/>
                <w:sz w:val="21"/>
                <w:szCs w:val="21"/>
                <w:lang w:val="en-US" w:eastAsia="zh-CN" w:bidi="ar-SA"/>
              </w:rPr>
            </w:pPr>
            <w:r>
              <w:rPr>
                <w:rFonts w:ascii="微软雅黑" w:hAnsi="微软雅黑" w:eastAsia="微软雅黑" w:cs="微软雅黑"/>
                <w:i w:val="0"/>
                <w:caps w:val="0"/>
                <w:color w:val="333333"/>
                <w:spacing w:val="0"/>
                <w:sz w:val="18"/>
                <w:szCs w:val="18"/>
                <w:shd w:val="clear" w:fill="FFFFFF"/>
              </w:rPr>
              <w:t>15300</w:t>
            </w:r>
          </w:p>
        </w:tc>
      </w:tr>
      <w:tr>
        <w:tblPrEx>
          <w:tblCellMar>
            <w:top w:w="0" w:type="dxa"/>
            <w:left w:w="108" w:type="dxa"/>
            <w:bottom w:w="0" w:type="dxa"/>
            <w:right w:w="108" w:type="dxa"/>
          </w:tblCellMar>
        </w:tblPrEx>
        <w:trPr>
          <w:trHeight w:val="425" w:hRule="atLeast"/>
        </w:trPr>
        <w:tc>
          <w:tcPr>
            <w:tcW w:w="1258" w:type="dxa"/>
            <w:tcBorders>
              <w:top w:val="nil"/>
              <w:left w:val="single" w:color="auto" w:sz="4" w:space="0"/>
              <w:bottom w:val="single" w:color="auto" w:sz="4" w:space="0"/>
              <w:right w:val="single" w:color="auto" w:sz="4" w:space="0"/>
            </w:tcBorders>
            <w:noWrap/>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单位</w:t>
            </w:r>
          </w:p>
        </w:tc>
        <w:tc>
          <w:tcPr>
            <w:tcW w:w="4333" w:type="dxa"/>
            <w:gridSpan w:val="6"/>
            <w:tcBorders>
              <w:top w:val="single" w:color="auto" w:sz="4" w:space="0"/>
              <w:left w:val="nil"/>
              <w:bottom w:val="single" w:color="auto" w:sz="4" w:space="0"/>
              <w:right w:val="single" w:color="auto" w:sz="4" w:space="0"/>
            </w:tcBorders>
            <w:noWrap/>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元</w:t>
            </w:r>
            <w:r>
              <w:rPr>
                <w:rFonts w:ascii="仿宋_GB2312" w:hAnsi="宋体" w:eastAsia="仿宋_GB2312" w:cs="仿宋_GB2312"/>
                <w:kern w:val="0"/>
              </w:rPr>
              <w:t>/</w:t>
            </w:r>
            <w:r>
              <w:rPr>
                <w:rFonts w:hint="eastAsia" w:ascii="仿宋_GB2312" w:hAnsi="宋体" w:eastAsia="仿宋_GB2312" w:cs="仿宋_GB2312"/>
                <w:kern w:val="0"/>
              </w:rPr>
              <w:t>公斤</w:t>
            </w:r>
          </w:p>
        </w:tc>
        <w:tc>
          <w:tcPr>
            <w:tcW w:w="3369" w:type="dxa"/>
            <w:gridSpan w:val="4"/>
            <w:tcBorders>
              <w:top w:val="single" w:color="auto" w:sz="4" w:space="0"/>
              <w:left w:val="nil"/>
              <w:bottom w:val="single" w:color="auto" w:sz="4" w:space="0"/>
              <w:right w:val="single" w:color="auto" w:sz="4" w:space="0"/>
            </w:tcBorders>
            <w:noWrap/>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元</w:t>
            </w:r>
            <w:r>
              <w:rPr>
                <w:rFonts w:ascii="仿宋_GB2312" w:hAnsi="宋体" w:eastAsia="仿宋_GB2312" w:cs="仿宋_GB2312"/>
                <w:kern w:val="0"/>
              </w:rPr>
              <w:t>/</w:t>
            </w:r>
            <w:r>
              <w:rPr>
                <w:rFonts w:hint="eastAsia" w:ascii="仿宋_GB2312" w:hAnsi="宋体" w:eastAsia="仿宋_GB2312" w:cs="仿宋_GB2312"/>
                <w:kern w:val="0"/>
              </w:rPr>
              <w:t>吨</w:t>
            </w:r>
          </w:p>
        </w:tc>
      </w:tr>
    </w:tbl>
    <w:p/>
    <w:p>
      <w:pPr>
        <w:pStyle w:val="2"/>
        <w:numPr>
          <w:ilvl w:val="0"/>
          <w:numId w:val="4"/>
        </w:numPr>
        <w:spacing w:line="400" w:lineRule="exact"/>
      </w:pPr>
      <w:bookmarkStart w:id="11" w:name="_Toc17910"/>
      <w:r>
        <w:rPr>
          <w:rFonts w:hint="eastAsia" w:cs="黑体"/>
          <w:kern w:val="0"/>
        </w:rPr>
        <w:t>一周市场动态回顾</w:t>
      </w:r>
      <w:bookmarkEnd w:id="11"/>
    </w:p>
    <w:p>
      <w:pPr>
        <w:widowControl/>
        <w:jc w:val="left"/>
        <w:outlineLvl w:val="1"/>
        <w:rPr>
          <w:rFonts w:hint="eastAsia" w:ascii="宋体" w:hAnsi="宋体" w:cs="宋体"/>
          <w:b/>
          <w:bCs/>
          <w:kern w:val="0"/>
          <w:sz w:val="30"/>
          <w:szCs w:val="30"/>
        </w:rPr>
      </w:pPr>
      <w:bookmarkStart w:id="12" w:name="_Toc20008"/>
      <w:r>
        <w:rPr>
          <w:rFonts w:hint="eastAsia" w:ascii="宋体" w:hAnsi="宋体" w:cs="宋体"/>
          <w:b/>
          <w:bCs/>
          <w:kern w:val="0"/>
          <w:sz w:val="30"/>
          <w:szCs w:val="30"/>
        </w:rPr>
        <w:t>金川集团、西部矿业等多家有色企业在进博会与客户达成战略合作</w:t>
      </w:r>
      <w:bookmarkEnd w:id="12"/>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11月6日下午，第三届中国国际进口博览会金川集团专场签约仪式在沪举行，甘肃省副省长程晓波见证金川集团与诺里尔斯克镍业集团等5家企业签署协议，签约金额达13.1亿元。甘肃省政府副秘书长郭春旺主持签约仪式。</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甘肃省商务厅厅长张应华，省政府外事办主任张宝军，省发改委副主任王骏，省工信厅副厅长程学钦，中国银行甘肃省分行行长王峰，金川集团总经理、党委副书记李尚勇，金昌市副市长洪嘉庆，金川集团副总经理周民，甘肃省政府驻上海办事处主任张旭中，天津港保税区管委会副主任寇晓霜等省市企业有关负责人参加签约仪式。</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签约仪式上，金川集团与诺里尔斯克镍业集团中国区销售经理李春兰(女)签订镍精矿采购合同，还分别于与奥镁公司中国区总监曼弗雷德、安百拓香港公司业务总监张劲松(女)、上海英格索兰压缩机有限公司大中华区离心机业务总经理张子豪、ABB(中国)有限公司北亚区服务总监王新签订耐火砖销售协议及凿岩台、车压缩机、提升机等大型设备采购合同。</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金川集团总经理、党委副书记李尚勇说，第三届中国国际进口博览会是联通中国和世界的重要窗口，也是中国企业对接国际采购、投资促进、人文交流、开放合作的重要平台，金川集团也会将此次签约作为新起点，坚持创新引领，加快新旧动能转换，不断深化国际经贸合作，加强合作沟通，实现互利共赢，同时为第三届进博会的成功举办贡献“甘肃力量”。</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第三届进博会期间，金川集团共签署采购协议11项，合计签约金额84.5亿人民币，其中场内签约 5 项，签约金额13.1亿元;场外通过其他方式签约6项，签约金额 71.4 亿元</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西部矿业在进博会签订战略合作协议</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11月6日，在第三届中国国际进口博览会上，西部矿业与新加坡托克公司达成合作意向，并签订战略合作框架协议，集团公司党委书记、董事长张永利出席签约仪式，股份公司董事长王海丰代表公司签约。</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西部矿业与新加坡托克公司就阴极铜、铜精矿采购达成战略合作框架协议，签约金额约5000万美元。此次协议签订，是西部矿业积极融入国家“一带一路”战略，抓住向世界主动开放市场的重要机遇，加强对外交流的具体体现，也为西部矿业持续发展奠定了坚实基础，与优质外商建立长期友好合作伙伴关系提供了有力保障。</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发展的思路在交流中打开，合作的共识在洽谈中凝聚，继去年在进博会签约后，西部矿业主动寻求国际化合作，广泛对接国外资源，进一步深化与国外企业经贸交流，增进合作共识，深化合作交流，拓展合作空间，不断顺应外贸发展新趋势，逐步构建起全方位、多层次、高水平对外开放格局，不断推动企业高质量发展。</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中国黄金集团党委书记、董事长卢进带队参加中国国际进口博览会，以开放合作促高质量发展</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在开放中创造机遇，在合作中破解难题。11月4日，第三届中国国际进口博览会在上海国家会展中心开幕。</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中国黄金集团有限公司作为中央企业，把进博会作为开放合作和提质升级的重要平台，在有力推动构建以国内大循环为主体、国内国际双循环相互促进的新发展格局中，承担央企责任，进一步开放合作，组建了以集团公司党委书记、董事长卢进为团长的中国黄金交易团参加本届进博会。</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11月4日晚，卢进参加了第三届中国国际进口博览会暨虹桥国际经济论坛开幕式，并现场聆听了习近平主席视频演讲。开幕式结束后，卢进立即组织交易团成员，传达学习了习近平主席开幕式重要讲话精神，并布置安排组织专题学习研讨。</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11月5日，卢进带队重点参观了馆内的智能装备展厅和珠宝馆展厅，深入了解国际企业的智能制造装备和国际珠宝首饰技术工艺。在智能装备展厅，卢进与国际机械装备制造企业展开交流，沟通了解国际先进技术与装备在黄金智能矿山建设方面的应用。在珠宝馆区，卢进与部分海外首饰企业进行交流，了解国外珠宝行业的设计潮流、技术工艺等。</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中国黄金交易团此次参会，将聚焦智能装备、新兴科技等与集团公司发展密切相关的展厅展区，借助进博会加强与国际先进企业的交流与合作，推进中国黄金的高质量发展。在这届进博会上，中国黄金交易团将举行合作签约仪式等配套活动，将与卡特彼勒等高端装备企业以及其他贸易企业约11家签约，以开放合作促进高质量发展。</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在今年的特殊形势下，第三届进博会展览面积更大、展区设置更优，单是展区面积就增加近3万平方米，共设置技术装备展区、消费品展区、服务贸易展区等六大展区。</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中国黄金交易团充分考虑疫情因素，毫不放松抓好常态化疫情防控。交易团各成员单位严格执行相关规定措施，做好防疫工作。集团公司办公室、企业管理部，中金黄金、中金香港、中金珠宝、中金贸易，贵州锦丰、中原冶炼厂、内蒙古乌山等部门、企业的有关人员作为交易团成员参加了进博会相关活动。</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p>
    <w:p>
      <w:pPr>
        <w:widowControl/>
        <w:jc w:val="left"/>
        <w:outlineLvl w:val="1"/>
        <w:rPr>
          <w:rFonts w:hint="eastAsia" w:ascii="宋体" w:hAnsi="宋体" w:cs="宋体"/>
          <w:b/>
          <w:bCs/>
          <w:kern w:val="0"/>
          <w:sz w:val="30"/>
          <w:szCs w:val="30"/>
        </w:rPr>
      </w:pPr>
      <w:bookmarkStart w:id="13" w:name="_Toc981"/>
      <w:r>
        <w:rPr>
          <w:rFonts w:hint="eastAsia" w:ascii="宋体" w:hAnsi="宋体" w:cs="宋体"/>
          <w:b/>
          <w:bCs/>
          <w:kern w:val="0"/>
          <w:sz w:val="30"/>
          <w:szCs w:val="30"/>
        </w:rPr>
        <w:t>再生金属“黄金期”来了 第二十届再生金属国际论坛及展览交易会盛大启幕</w:t>
      </w:r>
      <w:bookmarkEnd w:id="13"/>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11月8日，由中国有色金属工业协会主办，中国有色金属工业协会再生金属分会承办的第二十届再生金属国际论坛及展览交易会在古城西安香格里拉大酒店隆重开幕。本届论坛以“新形势 新格局 新目标”为主题，聚焦新形势下全球再生金属产业格局和发展方向的重大变化，重点围绕产业政策及其影响，深入探讨再生金属产业发展的创新点和增长点。</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中国有色金属工业协会会长陈全训出席开幕式，协会副会长、中国有色金属工业协会再生金属分会会长尚福山，协会副秘书长、政研室主任段德炳，协会国际部主任李宇圣，国家发改委资源节约和环境保护司原副司长马荣，工信部节能与综合利用司原巡视员李力，海关总署综合业务司于莉，国家发改委宏观经济研究院原常务副院长陈东琪，联合国开发计划署驻华代表处洪云博士，生态环境部固体废物与化学品管理技术中心危废部负责人郑洋，生态环境部对外合作与交流中心吴广龙博士，陕西省发展与改革委员会二级巡视员尚战朝，陕西省发展与改革委员会环资处二级调研员王少勋出席开幕式,协会再生金属分会副会长兼秘书长王吉位主持开幕式。</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来自地方政府领导、再生有色金属产业园区负责人、再生金属分会的副会长、常务理事、理事单位代表和海外企业驻国内代表处、地方行业协会的代表近700人出席开幕式。</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尚福山代表陈全训致开幕辞时指出，今年以来，我国有色金属工业在克难奋进中交出靓丽答卷，1-9月，十种有色金属产量达到4517万吨，同比增长3.5%,没有因疫情影响出现大起大落。在下游制造业复工复产和“新基建”的带动下，有色金属表观需求逐步企稳，进出口贸易基本稳定。1-9月未锻轧铝及铝材出口受贸易摩擦加剧，叠加疫情影响，同比下降18.4%，但进入下半年后，出口形势也开始逐渐转暖。总的看，积极因素明显增多，市场预期不断改善，总体情况好于预期。</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他指出，我国有色金属资源禀赋不佳，主要有色金属品种原料对外依存度高，资源保障与供应稳定都面临很大的风险挑战。而经过改革开放40多年的高速发展，国内积累的有色金属社会存量已经非常可观，“城市矿山”正日益成为我国有色金属产业可资利用的丰富宝藏。同时，有色金属再生利用能耗低、对自然环境的破坏小、二次污染可控，是降低对原生资源依赖最可靠的有效途径。一定程度讲，未来几十年，再生有色金属将步入发展的黄金期。</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他提出再生有色金属行业发展的三个着力点。一是坚持绿色发展，切实加强污染防治，树立起绿色产业的良好形象。二是坚持创新发展，依靠技术创新、管理创新、模式创新、业态创新推动产业升级。三是坚持改革发展，要破除上下游协同发展的机制障碍，促进产业融合发展，要打通制约企业原料采购的税收政策难题，为企业创造良好的营商环境，把再生有色金属产业推上新台阶。</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尚战朝在致辞中指出，“十四五”期间，陕西省在循环经济方面将率先做好以下几个方面：一是坚持以绿色低碳优先，强化循环经济顶层设计，着力构建产业、资源、环境相协调的生态体系。二是积极推动资源再生、产品再制造、工业固废绿色处置，积极发展工业静脉产业，形成绿色产业体系的基础支撑。三是激发高校、科研院所创新活力，推进“产学研”深度融合，加强绿色技术创新平台建设。四是推进用能权、节能量、碳减排量、排污权交易一体的绿色交易体系建设，大力发展绿色信贷，落实好支持节能、节水、环保、资源综合利用产业的税收优惠政策，充分发挥绿色金融的支持作用。</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联合国开发计划署驻华代表处洪云博士在致辞中表示，联合国开发计划署作为联合国最大的技术援助机构，一直致力于联合国17个可持续发展目标的实现。自1979年联合国开发计划署在中国设立办公室以来，一直关注中国的扶贫、性别平等、社会管理和环境保护事业。近年来，中国政府将生态文明建设上升到前所未有的高度，在全球气候变化、环境国际公约履约方面发挥了越来越重要的作用，联合国开发计划署非常赞赏中国政府所做的贡献和努力，并将继续与中国政府在环境保护领域保持密切合作，推动联合国可持续发展目标的实现。</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从2000年到2020年，再生金属国际论坛(CMRA年会)已经成功举办了20届。为感恩20年来携手CMRA年会一路前行的产业同仁和各界人士，大会特别向广东鸿劲铝业投资有限公司、合肥安晶龙电子股份有限公司、江西保太有色金属集团有限公司、宁波金田铜业(集团)股份有限公司、四会市辉煌金属制品有限公司、陶朗分选技术(厦门)有限公司、新格集团、肇庆市大正铝业有限公司、浙江申联环保集团有限公司、浙江天力磁电有限公司、天津新立中合金集团有限公司、怡球金属资源再生(中国)股份有限公司、宁波世茂铜业有限公司、佛山市南海宇成金属投资有限公司、宁波展慈金属工业有限公司、齐合环保集团有限公司、COMMERCIAL METALS COMPANY、LUCKY GROUP、PGI GROUP、TSR METALS GMBH AND CO KGTSR METALS GMBH AND CO KG等20家单位颁发“突出贡献奖”。</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在主旨报告环节，国家发改委宏观经济研究院原常务副院长陈东琪，国家发改委资源节约和环境保护司原副司长马荣，工信部节能与综合利用司原巡视员李力，海关总署综合业务司于莉，中国工程院院士、上海交通大学教授丁文江，生态环境部固体废物与化学品管理技术中心危废部负责人郑洋，王吉位分别作《“十四五”国家发展规划战略研究及经济形势分析》、《循环经济“十四五”规划总体思路和方向》、《绿色生产和智能制造提升再生金属产业高质量发展》、《稳外贸 促增长 便利通关政策介绍》、《高性能铝合金在新能源汽车上的应用前景》、《新固废法及危废管理新政对再生金属产业影响》、《“十四五”再生金属产业发展新方向》的报告。</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开幕式结束后，陈全训等出席论坛嘉宾巡展第二十届国际再生金属展览交易会暨首届再生资源文创艺术展，详细了解再生有色金属行业发展成果。</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在8日和9日的论坛期内，共有六大内容丰富的专题论坛先后举行，它们分别是原料保障论坛、高质量发展论坛、资本市场论坛、再生铅产业发展研讨会、战略发展论坛、再生资源文创交流会，重点围绕“十三五”期间中国再生金属行业发展状况、“十四五”行业展望以及行业政策解读、前沿技术、资本、套期保值等企业关注的热点内容进行探讨。</w:t>
      </w:r>
    </w:p>
    <w:p>
      <w:pPr>
        <w:widowControl/>
        <w:jc w:val="left"/>
        <w:outlineLvl w:val="1"/>
        <w:rPr>
          <w:rFonts w:hint="eastAsia" w:ascii="宋体" w:hAnsi="宋体" w:cs="宋体"/>
          <w:b/>
          <w:bCs/>
          <w:kern w:val="0"/>
          <w:sz w:val="30"/>
          <w:szCs w:val="30"/>
          <w:lang w:eastAsia="zh-CN"/>
        </w:rPr>
      </w:pPr>
      <w:bookmarkStart w:id="14" w:name="_Toc9395"/>
      <w:r>
        <w:rPr>
          <w:rFonts w:hint="eastAsia" w:ascii="宋体" w:hAnsi="宋体" w:cs="宋体"/>
          <w:b/>
          <w:bCs/>
          <w:kern w:val="0"/>
          <w:sz w:val="30"/>
          <w:szCs w:val="30"/>
          <w:lang w:eastAsia="zh-CN"/>
        </w:rPr>
        <w:t>中国恩菲铜冶炼技术助力行业高技术高质量发展</w:t>
      </w:r>
      <w:bookmarkEnd w:id="14"/>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中国恩菲工程技术有限公司(以下简称“中国恩菲”)在国内外设计建成铜冶炼厂40余座，总产能达5000kt/a，为来自全球百余家铜冶炼企业提供工程实验、咨询、设计、总承包、监理等全方位的工程服务，是业内唯一一家具备智能工厂设计水平，可成套提供工业炉、余热锅炉等大型装备及DCS控制系统的工程公司。</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中国恩菲在硫化铜矿、氧化铜矿、复杂铜镍混合矿、复杂铜钴氧化矿、复杂铜钴硫化矿、二次铜资源综合回收等领域有丰富的工程经验，掌握了闪速、顶吹、底吹、侧吹、加压浸出、搅拌浸出、堆浸、生物浸出、焙烧浸出等多种铜冶炼工艺，设计建成了世界最大的顶吹、闪速和氧气底吹铜冶炼生产线，单套精矿最大处理量达到1800kt/a以上。</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氧气底吹炼铜技术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氧气底吹熔炼技术(SKS)</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氧气底吹熔炼技术是由中国恩菲自主研发的一种新型熔池熔炼技术。富氧空气通过回转卧式底吹炉底部的喷枪高速吹入熔体，与精矿发生化学反应。该技术动力学条件独特，具有原料适应性广、反应热效率高、能耗低、金属回收率高、脱杂效率高、建设投资省、生产成本低、安全环保等突出特点，达到世界领先水平。在铜冶炼领域，中国恩菲已设计18座应用底吹熔炼技术的工厂，年精矿处理量超过10Mt/a。</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氧气底吹吹炼技术(BCC)</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氧气底吹吹炼是中国恩菲在底吹熔炼技术的基础上自主研发的一种新的连续炼铜工艺，采用底吹卧式炉型，通过炉底的喷枪向炉内喷入富氧空气，使铜锍反应产出粗铜。底吹吹炼连续作业，逸散烟气少、烟气稳定，吹炼热强度高、炉体散热少，电解残极可直接进吹炼炉处理，生产成本低。中国恩菲在此基础上又自主研发了新的“一担挑”炼铜工艺，即采用两台底吹吹炼炉周期交替作业，将吹炼和火法阳极精炼在同一台底吹炉内完成，进一步缩短了工艺流程。目前，已有7座工厂应用底吹吹炼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富氧侧吹熔池冶炼技术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侧吹熔炼技术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富氧侧吹熔池冶炼技术是近年来发展非常迅速的熔池冶炼工艺之一，采用固定卧式炉体，精矿通过炉顶加料口直接加入炉内，氧气和空气通过设置在炉体侧部的喷枪喷入炉内发生化学反应。该技术具有原料适应性强、投资省、直收率高、成本低等特点。</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多枪顶吹吹炼技术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该技术是中国恩菲自主研发的新型铜锍连续吹炼技术，采用固定式炉型，富氧空气通过多根顶吹喷枪吹入熔体内，反应产出合格的粗铜。该技术具有反应强度大、作业率高、成本低、操作环境好等优点。中国恩菲设计的全球第一套侧吹+多枪顶吹连续吹炼系统已成功工业化应用。</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闪速冶炼技术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闪速熔炼技术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闪速熔炼技术反应速度快，反应温度高，熔炼强度大，生产效率高，自动化及环保条件好，适合较大规模的生产系统。中国恩菲在该技术上具有丰富的工程实践经验，已自主设计了多套闪速熔炼系统，同时开发了闪速与电炉一体式的“合成炉”，将闪速炉与渣电热贫化炉直接相连，熔池相通。该工艺可直接产弃渣，能耗低、直收率高。</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闪速吹炼技术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闪速吹炼采用和闪速熔炼相似的炉型，熔炼铜锍经粒化磨碎干燥后通过反应塔喷嘴加入吹炼炉反应产出粗铜。中国恩菲设计的世界最大规模的双闪冶炼系统于2013年在广西金川公司建成投产。同时，中国恩菲还将基于闪速冶炼技术开发的悬浮冶炼技术成功工业化，在中原黄金设计建设了悬浮吹炼炉，完全采用自主知识产权的冶金炉型，粗铜产能300kt/a。</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富氧浸没顶吹熔池冶炼技术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顶吹熔炼技术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富氧浸没顶吹熔池熔炼技术包括ISA法和Ausmelt法，两种工艺均采用立式圆筒形冶金炉，富氧空气通过顶吹喷枪吹入溶池，完成化学反应。</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该技术具有原料适应性强、操作灵活、熔炼强度高等特点，通常需要搭配沉降炉使用。</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在铜冶炼领域，中国恩菲已设计9座应用顶吹熔炼技术的工厂，精矿处理量超过5600kt/a。</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顶吹吹炼技术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在顶吹熔炼技术的基础上，开发的Ausmelt顶吹吹炼技术也采用立式圆柱形冶金炉，富氧空气通过顶吹喷枪吹入熔池，使铜锍反应产出粗铜。该技术具有吹炼强度大、富氧浓度高、烟气量小、占地面积小等特点。</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火法铜冶炼配套技术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干法收砷技术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在采用熔池熔炼技术处理高砷铜精矿时，原料中绝大部分的As会以As2O3形式进入工艺烟气当中，经余热锅炉回收余热，电收尘器除尘后，对烟气进行喷雾骤冷，使烟气中的砷快速结晶，并通过布袋除尘器回收粉末状As2O3后经过砷精炼得到金属As或合金，产品纯度高，回收过程安全、易控制。该技术及成套装备已经在恒邦冶炼厂成功应用。</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铜熔炼渣处理技术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针对传统铜冶炼熔炼渣缓冷选矿工艺存在的占地面积大、投资高、流程长、蒸汽污染、渣尾矿难存放等诸多缺点，中国恩菲自主研发新的炉渣处理工艺——热态炉渣综合回收技术，将熔炼产出的热态炉渣直接通过流槽流入CR (Comprehensive Recovery)炉，通过喷吹还原剂烟化还原、电热贫化，产出弃渣和铜锍。该工艺全面综合回收铜、锌等有价金属，炉渣无害化处理的同时，实现了渣中有价金属的全面回收，占地小、投资省、环保好，综合效益突出。</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二次铜资源回收技术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侧吹浸没燃烧技术(SSC)</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该技术是由中国恩菲自主研发的一种处理以含铜为主不发热物料的综合回收技术，通过一台富氧浸没式侧吹炉，将低品位杂铜、线路板、含铜污泥、 含铜烟尘等进行强化冶炼，产出含有价金属的粗铜产物。入炉物料含有的有机物经过高温分解、二次燃烧、骤冷、尾气治理后达标排放。</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该技术具有热利用率高、安全环保等特点，是一种应用于城市矿产处理的新技术。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氧气斜吹旋转转炉冶炼技术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氧气斜吹旋转转炉及控制系统由中国恩菲自主研发，使用纯氧冶炼，炉体既能旋转，又能倾转，适应于高熔点物质的高温熔炼。该技术已在杂铜、铜阳极泥、 高镍铜精矿吹炼、一次合金熔炼、铜浮渣等工程中进行工业应用。</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非浸没式纯氧顶吹冶炼技术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纯氧顶吹冶炼技术是中国恩菲在顶吹技术的基础上研发而来的一种新工艺，具有顶吹技术的优点，采用水冷纯氧氧枪进行自热熔炼，反应器为固定的直立圆筒形冶金炉。该技术可用于处理硫化物精矿及二次铜原料。</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倾动炉技术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对于高品位二次铜原料可以采用“倾动炉”技术，相对传统工艺， 其原料适应性好，既可处理固态炉料，又可处理液态炉料;加料方便、布料均匀、熔化速度快、操作条件好、炉寿长、炉子作业率高等优点。</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氧化铜矿湿法冶金技术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中国恩菲掌握的氧化铜矿浸出技术包括：堆浸、搅拌浸出。</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堆浸技术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包括永久堆浸工艺、薄层堆浸工艺、制粒堆浸工艺、浓酸熟化堆浸工艺等，浸出周期3~6个月。</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搅拌浸出技术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此工艺需要磨矿，铜回收率高，浸出周期2~3小时，浸出后需要液固分离，采用磨矿-脱水-浸出-CCD-高低铜萃取-铜电积生产阴极铜，低铜萃余液进一步回收钴。中国恩菲在传统工艺上进行了技术优化升级，提高了铜回收率。</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硫化铜矿湿法冶金技术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加压浸出技术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在加压、高温、通氧的条件下将硫化矿中的铜、钴等有价金属浸出到溶液中。无二氧化硫废气排放，生产成本低。</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焙烧浸出技术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硫化铜中的铜通过焙烧转化为硫酸铜或氧化铜，再进行浸出回收铜产品。</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生物浸出技术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利用中低温细菌和高温细菌的氧化作用将矿石中的铜浸出到溶液中，可采用的工艺有堆浸和搅拌浸出。</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铜电解技术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中国恩菲拥有丰富的电解工程设计经验，掌握传统电解、永久阴极电解技术，采用大型乙烯基树脂电解槽、自动吊车、阴极剥片机组、阳极整形机组、残极洗涤机组等一系列大型化、自动化装备，设计了单系列最大规模400kt/a阴极铜。</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铜萃取电积技术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拥有三相污物的捞取和分离技术、电解液的除油技术、电积的酸雾抑制和吸收技术及大型铜萃取箱和萃取工艺的优化设计(如级数、串并联、洗涤等设计优化)能力。</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铜阳极泥处理技术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回转窑-湿法工艺</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阳极泥采用硫酸化焙烧/氧化焙烧脱硒,焙砂浸铜、沉银，浸出渣氯化提金、分银，产出合格的贵金属产品。该流程工艺成熟、返料少、投资省，适合阳极泥处理量2kt/a以下规模。</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氧气斜吹旋转转炉联合工艺</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该工艺采用加压浸出除去铜、碲，用氧气斜吹旋转转炉代替传统的贵铅炉和分银炉，直接产出含金银的阳极板，处理能力大、流程短、有价金属回收率高、环境好，适用于阳极泥处理量2kt/a以上规模。</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全湿法工艺</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该工艺采用高压釜脱铜-氯化浸出-金还原-氯化渣脱铅-亚纳浸银-银还原熔铸-银电解流程;污染少、投资小、金属回收率高，适用于阳极泥处理量2kt/a以下规模。</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目前，中国恩菲的铜冶炼技术已陆续在智利、秘鲁、澳大利亚、印度、越南、印尼、蒙古、俄罗斯等国申请专利，受到全球的广泛关注。</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未来，在推动行业技术进步、产业升级的道路上，恩菲人将继续承担有色矿冶国家队的重要责任，为推动行业高技术高质量发展不懈努力。</w:t>
      </w:r>
    </w:p>
    <w:p>
      <w:pPr>
        <w:widowControl/>
        <w:jc w:val="left"/>
        <w:outlineLvl w:val="1"/>
        <w:rPr>
          <w:rFonts w:hint="default" w:ascii="宋体" w:hAnsi="宋体" w:cs="宋体"/>
          <w:b/>
          <w:bCs/>
          <w:kern w:val="0"/>
          <w:sz w:val="30"/>
          <w:szCs w:val="30"/>
          <w:lang w:val="en-US" w:eastAsia="zh-CN"/>
        </w:rPr>
      </w:pPr>
      <w:bookmarkStart w:id="15" w:name="_Toc13913"/>
      <w:r>
        <w:rPr>
          <w:rFonts w:hint="default" w:ascii="宋体" w:hAnsi="宋体" w:cs="宋体"/>
          <w:b/>
          <w:bCs/>
          <w:kern w:val="0"/>
          <w:sz w:val="30"/>
          <w:szCs w:val="30"/>
          <w:lang w:val="en-US" w:eastAsia="zh-CN"/>
        </w:rPr>
        <w:t>让共和国第一国企永放光辉</w:t>
      </w:r>
      <w:bookmarkEnd w:id="15"/>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2019年，全国国有企业资产总额达到233.9万亿元。其中，中央企业资产总额87万亿元，地方国有企业资产总额146.9万亿元。经过新中国70年的探索和实践，以中央企业为代表的国有经济已经成为我国国民经济的重要支柱，是我们党执政兴国的重要支柱和依靠力量。中央企业与生俱来的使命和责任是与它的红色基因紧密相关的，历史的传承并不会因为时间的流逝而改变。</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历史回望到1930年，中华苏维埃共和国临时政府在于都县铁山垅设立了中国共产党领导的公营铁山垅钨矿。1932年改为中华钨矿公司，由时任国家银行行长毛泽民兼任公司总经理，并亲自组织民工发展钨砂生产。</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草鞋一双、蓑衣一件、斗笠一顶”“铁山垅的蚊子比拇指还大”成为当时开采环境的真实写照。在这样的条件下，到红军长征前夕三年间，矿区共开采钨砂7550多吨，换取了453万块银元，占整个苏区政府70%的财政收入，成为中华苏维埃政权和十万红军的主要经济支撑。美国作家埃德加·斯诺在《西行漫记》中赞叹道：“他们所经营的钨矿，是中国最丰富的，每年生产一百万镑这种珍贵的矿物。他们冲破国民党封锁，大获其利。”中华钨矿公司因此成为中国共产党建立领导的第一家国有企业、中央苏区第一家重工业企业、中央苏区第一家盈利性企业，被誉为“共和国第一国企”。</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中华钨矿公司是中国近百年探索实践国有企业发展建设的一个成功典范，是中国国有企业“初心”和“使命”的一个缩影。开发利用资源，三年获取7550多吨钨砂，为党和军队提供支持，为国有企业作为国有经济核心载体，实现国有经济功能的重要支撑探索了路径;下设集体所属矿山和公营钨矿厂的经营模式，为当前国有企业通过引入集体资本、非公有资本、外资等各类资本，促进国有企业混合所有制改革，提高国有资本配置和运行效率提供了先例;5个生产中队、7个科室的带头人基本由共产党员担任，冲锋在前，和工人同吃同劳动，艰苦卓绝条件下严格的管理制度和严谨的工作作风，仍然是我们当前加强国有企业全面从严治党、推进纪律作风建设的宝贵精神财富。</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中华钨矿公司作为江钨控股集团铁山垅钨业有限公司前身，江钨从苏维埃时期的中华钨矿公司到中国有色金属南昌公司、江西稀有稀土金属钨业集团，不断发展，一路前行。江钨正是继承和发扬中华钨矿公司的光荣传统，才能激发广大干部和职工群众艰苦奋斗、不畏艰难、敢于斗争、敢于胜利的精神和勇气。</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截至2019年底，江钨保有钨资源储量56万吨，其中黑钨金属保有储量占全国的12.1%，钨金属可采储量在全国占比排名第三;拥有在产矿山钽铌储量亚洲第一的宜春钽铌矿，是中国最大的钽铌锂原料生产基地;所属九江有色金属冶炼有限公司是国内重要的钽铌冶炼加工基地，拥有代表国内钽铌湿法冶炼技术的最高水平。2019年，集团全年完成营业收入151亿元，在消化历史包袱近30亿元的情况下，连续三年挑战了“不可能”，实现了整体盈利目标。</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百年江钨，在革命战争中孕育，在共和国建设中成长，在中国特色社会主义新时代高质量发展。从中华钨矿公司的红色基因，到“钨业报国、产业强国”的理想信念，江钨集团在振兴钨业的伟大事业中，培育锤炼了以创新、实干、担当、奉献为核心内容的“江钨精神”。江钨正在打造以钨为主的江西稀有金属产业平台，把江钨建设成为江西钨及稀有金属千亿产业的中坚力量，成为江西工业崛起的新支点。</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当前经济形势仍然复杂严峻，以国内大循环为主体、国内国际双循环相互促进的新发展格局正在加快形成。在百年一遇的大变局时期，我们高举习近平新时代中国特色社会主义思想伟大旗帜，就是要坚持党对国有企业的领导不动摇，守正创新，做优做强做大国有企业，就是要发挥国有企业的独特优势和光荣传统，扎牢红色基因之根，就是要坚持改革开放，全面深化国有企业改革。中华钨矿公司，作为在我国国有企业历史上光芒万丈的信念和精神之根，以艰苦奋斗、勇于奉献为核心的红色基因正激励着一代代江钨人劈波斩浪、奋勇向前，在新的奋斗征程中历久弥新、永放光芒。</w:t>
      </w:r>
    </w:p>
    <w:p>
      <w:pPr>
        <w:widowControl/>
        <w:jc w:val="left"/>
        <w:outlineLvl w:val="1"/>
        <w:rPr>
          <w:rFonts w:hint="eastAsia" w:ascii="宋体" w:hAnsi="宋体" w:cs="宋体"/>
          <w:b/>
          <w:bCs/>
          <w:kern w:val="0"/>
          <w:sz w:val="30"/>
          <w:szCs w:val="30"/>
        </w:rPr>
      </w:pPr>
      <w:bookmarkStart w:id="16" w:name="_Toc14042"/>
      <w:r>
        <w:rPr>
          <w:rFonts w:hint="eastAsia" w:ascii="宋体" w:hAnsi="宋体" w:cs="宋体"/>
          <w:b/>
          <w:bCs/>
          <w:kern w:val="0"/>
          <w:sz w:val="30"/>
          <w:szCs w:val="30"/>
        </w:rPr>
        <w:t>3大主线挑起长江经济带绿色发展重任 “四美”建设启续篇</w:t>
      </w:r>
      <w:bookmarkEnd w:id="16"/>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抢抓机遇，推高质量发展，长江经济带依旧站在“坚持生态优先和绿色发展”的阵地前沿。</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不仅是“十三五”，即将到来的“十四五”，也将把修复长江生态环境，推动长江经济带“绿色走廊”建设摆在突出位置。且作为流域经济体，长江经济带上中下游协同发展，东中西部互动合作的重要性不言而喻。</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浙江发布《加快推进浙江省长江经济带化工产业污染防治与绿色发展工作方案》;宜宾市中级人民法院与区域内5家基层法院签署《长江上游(宜宾段)生态环境“1+5”司法保护协作框架协议》;常州完成了长江经济带废弃露天矿山生态治理任务;鄂州市稳步推进长江入河排污口排查整治专项战役;湖北荆州开发区针对整改任务中的长江岸线资源整治和污水收集治理等工作进行专项督办......</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各地马不停蹄投入转型发展新路线，而“三峡系”则牵起了长江经济带水环境综合治理，以及“长江大保护”导向下的生态环境修复一根绳。</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长江环保集团安徽省区域公司启动中心城区市政管网修复改造项目，计划年底完成119条道路的管网修复改造;长江环保集团安徽省区域公司参与建设的芜湖市大龙湾污水处理厂工程主体和设备安装顺利通过验收;“长江大保护”重点项目朱家桥污水处理厂三期扩建工程顺利通水;长江环保集团联合体中标8.91亿湖南省临湘市水环境综合治理工程PPP项目;宜昌市与三峡集团合作共抓长江大保护项目集中开工，涉投资76亿多......</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诸如此类的消息比比皆是，“三峡系”以长江环保集团为核心，与长江经济带沿岸众多省市、区县签署了共抓长江大保护合作框架协议，同时拿下了一批涉水项目，其中又以联合体形态居多，标的金额可观。</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此外，对长江经济带水质的监控，正朝着更精确、更及时、更全面的方向发展。</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不日前，贵州省生态环境厅表示，已顺利完成长江经济带水站建设任务阶段性目标。65个长江经济带水质自动监测站建设任务，63个新建完工率达到98.4%，2个改造站点全部完成。</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无独有偶，衡阳市9个长江经济带水质自动监测站主体工程及仪器设备安装日前也已全部完成，全部实现与国家平台联网。</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早在6月，长江经济带水质自动监测站安义张家村站就率先建成，为江西116个站点建设任务开了个好头。</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7月，津市市石龟山水质自动监测站开机动工，标志市13个长江经济带水质自动监测站全面开工。在计划中，9月底前所有站点建成并投入试运行。</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这些水质监测站的新建和改造，将为长江经济带水质改善打好前锋，成为长江经济带发展积蓄绿色新动能的强劲助力。沿江11省市正在齐心勾勒水美、岸美、产业美、环境美的新时代长江经济带前进蓝图，“共抓大保护的格局正在形成”。</w:t>
      </w:r>
    </w:p>
    <w:p>
      <w:pPr>
        <w:widowControl/>
        <w:jc w:val="left"/>
        <w:outlineLvl w:val="1"/>
        <w:rPr>
          <w:rFonts w:hint="eastAsia" w:ascii="宋体" w:hAnsi="宋体" w:cs="宋体"/>
          <w:b/>
          <w:bCs/>
          <w:kern w:val="0"/>
          <w:sz w:val="30"/>
          <w:szCs w:val="30"/>
        </w:rPr>
      </w:pPr>
      <w:bookmarkStart w:id="17" w:name="_Toc7788"/>
      <w:r>
        <w:rPr>
          <w:rFonts w:hint="eastAsia" w:ascii="宋体" w:hAnsi="宋体" w:cs="宋体"/>
          <w:b/>
          <w:bCs/>
          <w:kern w:val="0"/>
          <w:sz w:val="30"/>
          <w:szCs w:val="30"/>
        </w:rPr>
        <w:t>2020年中国国际一流绿色智能矿山建设高峰论坛将在济南召开</w:t>
      </w:r>
      <w:bookmarkEnd w:id="17"/>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以“新时代、新发展——创新推动绿色智能矿山建设升级”为主题的2020年中国国际一流绿色智能矿山建设高峰论坛将于12月6-8日在山东济南召开。</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论坛由中国矿业联合会选矿委员会、中国有色金属学会选矿学术委员会、中国矿业联合会智能矿山工作委员会、中国有色金属学会环境保护学术委员会、中国有色金属学会采矿学术委员会、山东黄金集团有限公司、矿冶科技集团有限公司联合主办。</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论坛以创新驱动发展战略为指引，面向世界矿冶科技前沿、重大科技需求和矿山安全，围绕矿山绿色勘探开发、无人采矿、复杂资源综合利用、绿色矿山建设与智能发展、矿山安全等主题，交流绿色、智能、安全、高效矿山开发建设的新理念和新思路，研讨智能矿山建设的新装备、新技术，探索建设国际一流绿色智能矿山的解决方案和途径，促进我国矿山企业和装备制造企业的成熟技术和大型设备输出，提高我国矿业的自动化和智能化水平。</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论坛将特邀生态环境部、自然资源部、科技部、工信部、应急管理部、中国矿业联合会、中国有色金属学会等相关部门领导出席，对工信部、国家发改委、自然资源部等三部门联合发布的《有色金属行业智能工厂(矿山)建设指南(试行)》进行解读，邀请国家重点研发计划部分项目发布最新研究进展报告，并对“十四五”研究趋势进行分析研判，邀请行业大专院校、科研院所、设计咨询、生产企事业单位的知名专家学者围绕会议主题作精彩学术报告。</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论坛将设特邀院士、知名专家报告，企业“掌门人”沙龙，国际一流绿色智能矿山建设创新论坛，“十三五”国家重点研发计划项目进展及“十四五”重点研究方向研讨，《有色金属行业智能工厂(矿山)建设指南(试行)》政策解读与操作实践，信息发布与共享(设备展览与展示)等板块。</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主办方表示，欢迎相关机关、学校、研究设计院所、矿业企业、设备制造企业的专家、学者、工程技术人员和管理人员积极参会。</w:t>
      </w:r>
    </w:p>
    <w:p>
      <w:pPr>
        <w:widowControl/>
        <w:jc w:val="left"/>
        <w:outlineLvl w:val="1"/>
        <w:rPr>
          <w:rFonts w:hint="eastAsia" w:ascii="宋体" w:hAnsi="宋体" w:cs="宋体"/>
          <w:b/>
          <w:bCs/>
          <w:kern w:val="0"/>
          <w:sz w:val="30"/>
          <w:szCs w:val="30"/>
        </w:rPr>
      </w:pPr>
      <w:bookmarkStart w:id="18" w:name="_Toc20518"/>
      <w:r>
        <w:rPr>
          <w:rFonts w:hint="eastAsia" w:ascii="宋体" w:hAnsi="宋体" w:cs="宋体"/>
          <w:b/>
          <w:bCs/>
          <w:kern w:val="0"/>
          <w:sz w:val="30"/>
          <w:szCs w:val="30"/>
        </w:rPr>
        <w:t>《户式空气源热泵冷暖两联供工程技术导则》顺利通过审查</w:t>
      </w:r>
      <w:bookmarkEnd w:id="18"/>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11月4日，住房和城乡建设部标准定额研究所在住房和城乡建设部南新楼219会议室组织召开了《户式空气源热泵冷暖两联供工程技术导则》(送审稿)专家评审会。</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会议由住房和城乡建设部标准定额研究所处长李大伟主持。</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会上，李大伟对技术导则的评审工作提出了建议和要求，他强调技术导则的编制应符合国家有关法律法规、强制性标准及相关产业政策要求，同时技术导则的编制务必要具有科学性、先进性、经济性，做到切实可行，希望评审专家在评审过程中严格把关。他还提出技术导则与相关的技术规程相比，相关应用案例和条文说明可以编制更加详实，希望编制组多借鉴国内外相关标准和产品应用先进经验。</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会上，李大伟介绍了与会嘉宾，宣布了评审委员会专家名单。会议邀请上海市建筑设计研究院有限公司教授级高工寿炜炜、住房和城乡建设部科技与产业化发展中心教授级高工高立新、中国建筑设计研究院有限公司教授级高工徐稳龙、清华大学教授石文星、东南大学教授张小松、国家建筑材料工业建筑材料工业建筑五金水暖产品质量监督检验测试中心高工谷秀志、朗诗集团教授级高工杨柯为《户式空气源热泵冷暖两联供工程技术导则》审查专家组成员。</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会上，审查专家组一致推举教授级高工寿炜炜担任审查专家组组长。</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会议期间，中国节能协会热泵专委会副理事长高屹峰代表编制组向审查专家组详细介绍了技术导则编制背景、编制过程、技术导则送审稿的主要内容及征求意见的处理情况。审查专家组认真听取了编制组对技术导则编制过程和内容的介绍，并对技术导则送审稿内容逐章逐条进行了讨论，审查专家一致同意《户式空气源热泵冷暖系统工程技术导则》通过审查，并形成了审查意见，审查专家一致认为：</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一、《户式空气源热泵冷暖两联供工程技术导则》符合标准编写规定的要求，送审资料齐全。</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二、《户式空气源热泵冷暖两联供工程技术导则》在编制过程中通过广泛调研，借鉴了国内外相关标准和产品应用经验，系统性地提出了户式空气源热泵冷暖系统型式及分类、设计参数及负荷计算、冷热源设计、输配系统及辅件辅材设计、末端设计、电气系统与集成控制、施工安装、调试与验收、运行与维护及要求与评价。导则可指导户式空气源热泵冷暖系统的推广应用，为工程设计、施工、运维等提供了重要技术依据。</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三、技术导则技术内容科学合理、可操作性强，与现行相关标准相协调，达到国内领先水平。</w:t>
      </w:r>
    </w:p>
    <w:p>
      <w:pPr>
        <w:widowControl/>
        <w:jc w:val="left"/>
        <w:outlineLvl w:val="1"/>
        <w:rPr>
          <w:rFonts w:hint="eastAsia" w:ascii="宋体" w:hAnsi="宋体" w:cs="宋体"/>
          <w:b/>
          <w:bCs/>
          <w:kern w:val="0"/>
          <w:sz w:val="30"/>
          <w:szCs w:val="30"/>
        </w:rPr>
      </w:pPr>
      <w:bookmarkStart w:id="19" w:name="_Toc22166"/>
      <w:r>
        <w:rPr>
          <w:rFonts w:hint="eastAsia" w:ascii="宋体" w:hAnsi="宋体" w:cs="宋体"/>
          <w:b/>
          <w:bCs/>
          <w:kern w:val="0"/>
          <w:sz w:val="30"/>
          <w:szCs w:val="30"/>
        </w:rPr>
        <w:t>李鹏：关于可再生能源产业“十四五”及中长期发展的思考</w:t>
      </w:r>
      <w:bookmarkEnd w:id="19"/>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长期以来，在国家政策的有效驱动和相关部门的大力支持下，我国可再生能源产业持续快速发展，不仅已经成为国际上一张靓丽的名片，也为能源产业的清洁低碳、安全高效发展奠定了坚实的基础。</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近期，党的十九届五中全会也明确提出“推进能源革命”、“构建生态文明体系，促进经济社会发展全面绿色转型”和“加快推动绿色低碳发展”、“全面提高资源利用效率”等要求，为能源产业的持续健康发展指明了方向，需要在具体的工作中贯彻落实。</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再加上新能源产业全面进入平价时代和数字化技术对于能源产业的快速渗透，“十四五”时期可再生能源产业发展将面临全新的形式和挑战，需要进一步简化管理，明确各方责任，以激活社会资本投资的热情，共同推动整个产业跨越式发展。在此提出以下一些不成熟的想法和观点，供行业各方参考和讨论：</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一是建议明确以最小的社会成本完成能源转型的原则。能源产业发展特别是可再生能源产业发展一定要树立社会总成本的概念。企业算小账天经地义，但是政府部门特别是宏观经济部门在面对产业各方纷繁复杂的利益诉求时，一定要有足够的定力，不能只算某一个具体行业甚至某一类企业的小账，而要算社会总成本的大帐，要在制定顶层设计的过程中就牢固树立起以最小的社会成本驱动能源转型的大原则，并以此作为产业政策调整的基本遵循。这个主要体现在五个方面：</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首先，在面对排放强度相当的各类可再生能源，要坚持经济性优先的原则，通过市场竞争机制重点扶持成本最低的能源品种。现在我们要破除一个观念，就是不能只要是可再生能源，就是高大上的，就必须不计成本无条件支持，特别是针对不同种类的新能源品种设计明显不平等的有差异化的扶持政策。</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其次，能源行业管理的重心要从项目管理转向能效管理，优先通过能效提升而不是新建项目满足能源消费的增量需求，能效提升既包括终端的能源消费的效率，也包括既有发电资产的利用率。党的十九届五中全会也明确提出“十四五”时期要实现“能源资源配置更加合理、利用效率大幅提高”。所以下一步要大力推动用户侧综合智慧能源商业模式的创新、用户侧自发自用的分布式电源建设以及虚拟电厂等系统运行新模式的发展，这就需要进一步深化改革，全面放开用户侧的各类交易。</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第三，要统筹考虑产业发展中的各类隐性成本。在机制设计上要尽可能发挥既有能源基础设施的边际效益，各类能源品种融合互补的经济效益，以及数字化技术对能源系统效率优化提升的技术效益，尽量避免单一目的简单叠加新的项目投资，例如面对系统灵活性的需求时，到底是一刀切强制配置储能，还是推动改革，充分发挥用户侧的灵活性的边际效益。</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第四，要充分考虑非化石能源的环境效益。习近平总书记多次指出，“绿水青山就是金山银山”，地方政府在测算各类项目收益的时候，既要考虑到GDP的增长，也要考虑到新能源的环境效益。特别是全国范围内的碳市场建立之后，环境效益有了一个初步的可量化的依据，对于算好生态这笔账会带来很大的帮助。</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第五，要严格控制好政策风险成本。为确保资本市场的稳定预期，产业政策要有前瞻性，并能够在一定时期保持稳定性和延续性，尽可能减少因政策波动带来的额外风险成本。同时也要严格遵循市场准入许可法无授权不可为和企业经营行为法无禁止即可行两项原则，最小化产业发展的非技术成本。</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二是建议以配额为抓手明确可再生能源产业发展的责任和义务。在清洁能源产业的发展上，习近平总书记提出了非常明确的发展目标。配额制政策设计的主要任务，其实就是将这一目标有效分解下去，通过制定各省(区、市)电力消费总量中的新能源发电的比重目标，实际上是进一步明确了各地区能源转型的责任，将来谁完成了配额，谁就完成了对20%乃至更高目标的责任。</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因此，建议考虑在未来将配额纳入中央对地方的考核，这样既有利于相关的政府主管部门不再对产业发展进行微观干预，只承担事中事后监管的责任，也有利于通过对可再生能源开发利用情况进行监测评价，督促各类市场主体形成合力完成能源转型的目标。</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这里有必要重点讨论一下配额制的设计原则。配额本质上是基于消费侧的机制，因此在具体配额指标的的确定上，应遵循度电同权的原则，除自发自用部分的电量外，消费者从大电网购入并实际消费的每一度电其实都有着相同的排放强度，也必然要承担相同的责任。因此，在配额指标的分配过程中，也应该采取统一的标准分配，与资源情况尽可能少挂钩，而建议与能源消费的总量挂钩，并不是说资源条件好的地方就应该无条件多搞一些，恰恰相反，化石能源消费最多的区域也应该承担同等的责任。</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配额制和市场经济原则是高度吻合的，在配额制政策框架下，实现了政府对于产业发展的最小干预，企业可以根据自身的资源条件和技术优势自主选择成本最低的方式来完成配额，每年开发什么品种电源，开发规模多大，都由企业自主决定，这就使得十八大以来中央大力推动的简政放权真正落到了实处，最终的决策权落给了市场，而不是从一级政府落到了另一级政府，或者从一个部门落到了另一个部门。</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从目前的情况看，在无补贴的情况下，手续繁杂的核准制已经明显不适应产业发展的需求，建议今后可以考虑将新能源的项目许可一律变成备案制，只要符合产业投资方向的项目，企业可以自主进行投资决策。同时建议彻底取消规模指标管理。政府的规划只是对产业的引导信号，不能变成刚性约束，在市场化的条件下，产业最终发展的目标应该是市场各参与方相互博弈的结果。现在新能源项目建设的不确定性越来越大，按照规划目标核准并不代表能按照核准容量建成投产，反而增加了产业发展的不确定性。同时也建议考虑设立相应的禁止性条款和黑名单制度，对于法律法规要求之外的隐性许可明确禁止。</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此外，还建议重点考虑理顺和明确产业各相关方在实现这一目标过程中的义务和责任。我们在可再生能源产业发展中遇到的各种困难和问题，归根结底是责任和义务不明确造成的。既然习近平总书记明确提出了绿色发展的中长期目标，那么社会各方都应该有责任有义务在这一领域同心共力，但是在过去的实践过程中，在很长一段时间里，产业的发展成了产业自身的责任，从产业之外的角度去看，各相关领域都因为维护自身的职能反而成了产业发展的阻力，可再生能源产业发展的好不好，能源转型的目标有没有完成，都是能源主管部门和产业自身的责任，与其他人都无关系，甚至在一些地方出现了对于可再生能源项目建设说停就停，甚至一停好几年的情况。</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这一现象并不正常。推动全社会的能源生产和消费革命，实现绿色发展，是所有部门共同的责任，如果每个部门都局限于自身的职能，不对能源绿色转型的最终结果负责，那必然会造成一人拉车九人看的局面。如果各方在这一领域的责任明确了，那么即使遇到一些问题，各方也都可以本着建设性的态度，共同协调解决。</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三是建议通过绿色消费带动绿色生产的快速增长。长期以来，我国可再生能源产业都存在重生产轻消费的问题，生产环节受困于消纳市场，相反，下游的消费者并不关心自身消费的是什么电，生产和消费存在严重的脱节。</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众所周知，一个高度市场化的产业都是由下游消费带动上游生产的，这也是我国供给侧改革的核心要义。推动能源消费革命是贯彻落实“四个革命、一个合作”能源安全新战略的核心内容之一。十九届五中全会也明确提出“广泛形成绿色生产生活方式”。因此，“十四五”时期可以考虑通过扩大能源绿色消费的市场带动能源生产革命。只有消费者的意识转变了，能源绿色消费的市场需求起来了，并通过市场机制传导到生产侧，才能带动绿色电力生产的良性和可持续发展。而这些通过立法和政策引导、舆论宣传将会起到一个立竿见影的效果。</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前不久，国家发改委经中央深改委同意发布的《绿色生活创建行动总体方案》就是一个很好的开端。配额的本质也是通过政策创造出一个稳定持续的绿色电力消费市场，最终实现以绿色消费带动绿色生产。长期困扰可再生能源产业发展的限电问题的本质也是清洁电力的供给和需求不匹配，通过消费侧的带动就能有效解决消纳的问题。</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其核心逻辑在于，每一度新能源电力在生产之初就已经找到了其消费市场或者说锁定了消费空间，消费者为了达成交易，也将主动在电力市场内部寻找满足需求的成本最低的灵活性资源，消纳的责任就从电网企业变成了用户自发交易，责任和义务进一步明晰，煤电、储能以及可调节负荷等能够提供灵活性的市场参与方也可以将灵活性顺利变现，不仅可以创造全新的商业模式，也将有效地激发其参与灵活性市场的积极性。</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为了促进消费侧的热情，政策上也可以考虑将本地消费的清洁能源不再计入能源消费总量的考核中，使得地方更倾向于使用可再生能源来满足日益增长的能源需求，也将有效的促进产业规模的快速扩大。</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在平价时代，绿色电力证书将可能是一个非常有效的促进绿色消费的政策工具。绿色电力证书政策的核心要义是明确平价时代的风电、光伏发电的清洁能源发电属性，为未来参与电力市场交易以及推动绿色消费提供身份信息认定和政策保障。从目前的趋势看，未来希望实现碳中和的企业越来越多，加上工信部现在力推的绿色大数据中心计划，未来对于清洁能源的需求增长会很快。</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绿色电力证书可以将电力物理交易与虚拟的清洁能源属性交易分割开，具有可追溯、可核查的特性，是未来非常好的营销工具，一方面可以在此基础上设计多种营销方案和产品模式，以满足用户的绿色电力消费的需求和确保用户的黏性(例如有利于用电企业和集团的售电企业签署长期PPA)。另一方面将可再生能源电力的绿色属性进行剥离，通过全新的市场体系进行循环，使得不考虑绿色证书的可再生能源能够以纯粹的电力普通商品的属性参与电力市场，这就大大降低了电力市场交易规则的设计难度，有利于通过良性的市场竞争进一步推动可再生能源发电的成本下降。</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总之，“十四五”是可再生能源产业发展的全新起点，摆脱了对于补贴政策的依赖，我们有理由相信，在党中央的正确领导下，可再生能源产业将会取得更高质量的发展。但从更加长远的角度看，要落实习近平总书记提出的2060年实现碳中和的宏伟目标，“十四五”也只相当于万里长征刚刚渡过赤水河，未来还有更长的路要走。</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在目前的关键节点上，行业各方必须要凝心聚力，梳理好行业发展的逻辑体系，要有久久为功的心态，确保在未来40年的时间内产业整体的持续健康发展。特别是要坚决避免通过扭曲市场机制的短期政策人工催肥产业的发展，毕竟，短时间急功近利的快速发展固然能收一时之效，但是却很可能损害了深层次的供求关系，最终使得整个产业发展的路越走越窄，也将严重影响绿色低碳发展目标的实现。</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p>
    <w:p>
      <w:pPr>
        <w:widowControl/>
        <w:jc w:val="left"/>
        <w:outlineLvl w:val="1"/>
        <w:rPr>
          <w:rFonts w:hint="eastAsia" w:ascii="宋体" w:hAnsi="宋体" w:cs="宋体"/>
          <w:b/>
          <w:bCs/>
          <w:kern w:val="0"/>
          <w:sz w:val="30"/>
          <w:szCs w:val="30"/>
        </w:rPr>
      </w:pPr>
      <w:bookmarkStart w:id="20" w:name="_Toc12700"/>
      <w:r>
        <w:rPr>
          <w:rFonts w:hint="eastAsia" w:ascii="宋体" w:hAnsi="宋体" w:cs="宋体"/>
          <w:b/>
          <w:bCs/>
          <w:kern w:val="0"/>
          <w:sz w:val="30"/>
          <w:szCs w:val="30"/>
        </w:rPr>
        <w:t>聚飞光电已向TCL华星交货Mini背光、直显产品</w:t>
      </w:r>
      <w:bookmarkEnd w:id="20"/>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上个月，TCL华星高调发布了多款MiniLED、OLED产品和Micro LED实验室产品，在业内引发热烈的讨论。其中，142英寸IGZO玻璃基主动式MiniLED显示屏采用直显技术，备受关注。</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日前，聚飞光电透露，TCL华星推出的这款MiniLED直显产品的供应商是聚飞，本次聚飞制造的MiniLED没有使用返修工艺，转移良率高达99%以上。</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MiniLED背光和直显产品供货TCL华星</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这款产品采用的是玻璃基板而不是PCB板，聚飞把LED芯片直接封装在玻璃基板上的方案，有别于常规4合1 SMD产品。在驱动方式上，聚飞采用IGZO玻璃基主动式驱动技术。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聚飞表示，除了MiniLED直显产品，聚飞也已陆续向TCL华星交货MiniLED背光产品。</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目前，聚飞的MiniLED模组采用了COB和COG两种方案。未来将持续根据市场需求，逐步扩充产品生产线。公司新建厂房已按计划陆续实施装修，做好全面准备应对新产品的应用。</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关于背光LED封装市场份额，聚飞称，从国际市场上看，公司LED背光产品销售额仅次于日本的日亚化学。</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提及MiniLED背光的成本，聚飞认为，Mini背光模组的价格和终端产品相关，具体影响因素包括终端产品的尺寸，应用场景和产品定位等。尺寸越大、分区越精细，相对应成本也就越高。</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车用背光LED和车用照明LED两手抓</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车用照明也是聚飞正在积极拓展的业务领域之一，产品涵盖汽车内部和外部LED产品，可应用于车载电子、仪表盘、汽车内饰和车灯等领域。2018年，聚飞的车用LED产品就已通过国际汽车电子协会AEC-Q102可靠性质量验证规范许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聚飞表示，公司的车用背光LED已通过群创、友达、天马、京东方等模组厂，应用到国内各大终端主机厂的仪表和液晶显示屏，而车用照明LED也已进入了奇瑞、比亚迪、江淮等供应链体系。</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上半年由于疫情影响，尽管全球汽车市场景气度再度下滑，但聚飞的车用业务仍能保持快速增长。</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同样地，下游模块、灯具厂商也都交出了不错的业绩单。从车灯厂商第三季的经营情况可见，下半年车用LED市场的需求仍有望保持增长的趋势，继续为厂商贡献业绩增长动能。</w:t>
      </w:r>
    </w:p>
    <w:p>
      <w:pPr>
        <w:widowControl/>
        <w:jc w:val="left"/>
        <w:outlineLvl w:val="1"/>
        <w:rPr>
          <w:rFonts w:hint="eastAsia" w:ascii="宋体" w:hAnsi="宋体" w:cs="宋体"/>
          <w:b/>
          <w:bCs/>
          <w:kern w:val="0"/>
          <w:sz w:val="30"/>
          <w:szCs w:val="30"/>
        </w:rPr>
      </w:pPr>
      <w:bookmarkStart w:id="21" w:name="_Toc20989"/>
      <w:r>
        <w:rPr>
          <w:rFonts w:hint="eastAsia" w:ascii="宋体" w:hAnsi="宋体" w:cs="宋体"/>
          <w:b/>
          <w:bCs/>
          <w:kern w:val="0"/>
          <w:sz w:val="30"/>
          <w:szCs w:val="30"/>
        </w:rPr>
        <w:t>韩国科学家创新设计高功率透明太阳能电池，构建可持续绿色未来</w:t>
      </w:r>
      <w:bookmarkEnd w:id="21"/>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作为一种清洁能源，太阳能显示出巨大的潜力。据了解，韩国科学家创新设计高功率透明太阳能电池，推动实现离网生活，构建可持续绿色未来。</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随着气候变化危机不断加剧，从传统化石燃料转向高效绿色能源已经迫在眉睫。这促使研究人员考虑“个性化能源”概念，发展现场发电，例如将太阳能电池纳入窗户、车辆、手机屏幕和其它日常用品。要做到这一点，太阳能电池板的方便性和透明度非常重要。科学家最近开发出“透明光伏”(TPV)装置，即传统太阳能电池的透明版本。与传统深色、不透明太阳能电池(吸收可见光)不同，TPV可以利用紫外线中的“不可见”光。</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传统太阳能电池可以是“湿电池”(以溶液为主)，也可以是“干电池”(由金属氧化物半导体构成)。干式太阳能电池相对略有优势：更可靠、更环保、更具成本效益，而且金属氧化物很适合利用紫外光。到目前为止，金属氧化物TPV的潜力尚未得到充分开发。</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韩国仁川国立大学(Incheon National University)研究人员提出一种基于金属氧化物的TPV设备的创新设计，在两个透明金属氧化物半导体之间插入一层非常薄的硅，以开发高效TPV设备。研究负责人Joondong Kim教授表示：“我们的目标是通过在氧化锌和氧化镍之间嵌入一层非晶态硅超薄膜，制造出一种高功率透明太阳能电池。”</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这项设计主要有三个优点。首先，允许使用波长更长的光;其次，可以有效收集光子;第三，带电粒子能更快地传输到电极。此外，即使在阴天或雨天等光线不足的情况下，也有可能产生电能。科学家们利用该装置来操作一个风扇的直流电机，从而进一步证实其发电能力。</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研究小组认为，这一设计有望在现实生活中尽快得到应用。Kim教授表示：“我们希望将我们的TPV设计应用于各种材料，如玻璃建筑物，以及电动汽车、智能手机和传感器等移动设备。”另外，该团队希望利用创新材料，如2D半导体、金属氧化物纳米晶体和硫化物半导体，将其设计提高到新的水平。</w:t>
      </w:r>
    </w:p>
    <w:sectPr>
      <w:headerReference r:id="rId3" w:type="default"/>
      <w:footerReference r:id="rId4" w:type="default"/>
      <w:pgSz w:w="11906" w:h="16838"/>
      <w:pgMar w:top="1418" w:right="1701" w:bottom="1418" w:left="1081"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Verdana">
    <w:panose1 w:val="020B0604030504040204"/>
    <w:charset w:val="00"/>
    <w:family w:val="swiss"/>
    <w:pitch w:val="default"/>
    <w:sig w:usb0="A1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rPr>
        <w:rFonts w:cs="Times New Roman"/>
      </w:rPr>
    </w:pPr>
    <w:r>
      <w:rPr>
        <w:b/>
        <w:bCs/>
      </w:rPr>
      <w:fldChar w:fldCharType="begin"/>
    </w:r>
    <w:r>
      <w:rPr>
        <w:b/>
        <w:bCs/>
      </w:rPr>
      <w:instrText xml:space="preserve">PAGE</w:instrText>
    </w:r>
    <w:r>
      <w:rPr>
        <w:b/>
        <w:bCs/>
      </w:rPr>
      <w:fldChar w:fldCharType="separate"/>
    </w:r>
    <w:r>
      <w:rPr>
        <w:b/>
        <w:bCs/>
      </w:rPr>
      <w:t>3</w:t>
    </w:r>
    <w:r>
      <w:rPr>
        <w:b/>
        <w:bCs/>
      </w:rPr>
      <w:fldChar w:fldCharType="end"/>
    </w:r>
    <w:r>
      <w:rPr>
        <w:lang w:val="zh-CN"/>
      </w:rPr>
      <w:t xml:space="preserve"> / </w:t>
    </w:r>
    <w:r>
      <w:rPr>
        <w:b/>
        <w:bCs/>
      </w:rPr>
      <w:fldChar w:fldCharType="begin"/>
    </w:r>
    <w:r>
      <w:rPr>
        <w:b/>
        <w:bCs/>
      </w:rPr>
      <w:instrText xml:space="preserve">NUMPAGES</w:instrText>
    </w:r>
    <w:r>
      <w:rPr>
        <w:b/>
        <w:bCs/>
      </w:rPr>
      <w:fldChar w:fldCharType="separate"/>
    </w:r>
    <w:r>
      <w:rPr>
        <w:b/>
        <w:bCs/>
      </w:rPr>
      <w:t>30</w:t>
    </w:r>
    <w:r>
      <w:rPr>
        <w:b/>
        <w:bCs/>
      </w:rPr>
      <w:fldChar w:fldCharType="end"/>
    </w:r>
  </w:p>
  <w:p>
    <w:pPr>
      <w:pStyle w:val="13"/>
      <w:rPr>
        <w:rFonts w:cs="Times New Roma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jc w:val="both"/>
      <w:rPr>
        <w:rFonts w:cs="Times New Roman"/>
      </w:rPr>
    </w:pPr>
    <w:r>
      <w:drawing>
        <wp:anchor distT="0" distB="0" distL="114300" distR="114300" simplePos="0" relativeHeight="251660288" behindDoc="1" locked="0" layoutInCell="1" allowOverlap="1">
          <wp:simplePos x="0" y="0"/>
          <wp:positionH relativeFrom="column">
            <wp:posOffset>-1073785</wp:posOffset>
          </wp:positionH>
          <wp:positionV relativeFrom="paragraph">
            <wp:posOffset>-549910</wp:posOffset>
          </wp:positionV>
          <wp:extent cx="7551420" cy="10696575"/>
          <wp:effectExtent l="0" t="0" r="11430" b="9525"/>
          <wp:wrapNone/>
          <wp:docPr id="4" name="图片 7" descr="内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7" descr="内页.jpg"/>
                  <pic:cNvPicPr>
                    <a:picLocks noChangeAspect="1"/>
                  </pic:cNvPicPr>
                </pic:nvPicPr>
                <pic:blipFill>
                  <a:blip r:embed="rId1"/>
                  <a:stretch>
                    <a:fillRect/>
                  </a:stretch>
                </pic:blipFill>
                <pic:spPr>
                  <a:xfrm>
                    <a:off x="0" y="0"/>
                    <a:ext cx="7551420" cy="10696575"/>
                  </a:xfrm>
                  <a:prstGeom prst="rect">
                    <a:avLst/>
                  </a:prstGeom>
                  <a:noFill/>
                  <a:ln>
                    <a:noFill/>
                  </a:ln>
                </pic:spPr>
              </pic:pic>
            </a:graphicData>
          </a:graphic>
        </wp:anchor>
      </w:drawing>
    </w:r>
  </w:p>
  <w:p>
    <w:pPr>
      <w:pStyle w:val="14"/>
      <w:pBdr>
        <w:bottom w:val="none" w:color="auto" w:sz="0" w:space="0"/>
      </w:pBdr>
      <w:rPr>
        <w:rFonts w:cs="Times New Roman"/>
      </w:rPr>
    </w:pPr>
  </w:p>
  <w:p>
    <w:pPr>
      <w:pStyle w:val="14"/>
      <w:pBdr>
        <w:bottom w:val="none" w:color="auto" w:sz="0" w:space="0"/>
      </w:pBdr>
      <w:rPr>
        <w:rFonts w:cs="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2C91833"/>
    <w:multiLevelType w:val="singleLevel"/>
    <w:tmpl w:val="E2C91833"/>
    <w:lvl w:ilvl="0" w:tentative="0">
      <w:start w:val="3"/>
      <w:numFmt w:val="chineseCounting"/>
      <w:suff w:val="nothing"/>
      <w:lvlText w:val="%1、"/>
      <w:lvlJc w:val="left"/>
      <w:rPr>
        <w:rFonts w:hint="eastAsia"/>
      </w:rPr>
    </w:lvl>
  </w:abstractNum>
  <w:abstractNum w:abstractNumId="1">
    <w:nsid w:val="F4158E7E"/>
    <w:multiLevelType w:val="singleLevel"/>
    <w:tmpl w:val="F4158E7E"/>
    <w:lvl w:ilvl="0" w:tentative="0">
      <w:start w:val="3"/>
      <w:numFmt w:val="decimal"/>
      <w:suff w:val="nothing"/>
      <w:lvlText w:val="%1、"/>
      <w:lvlJc w:val="left"/>
    </w:lvl>
  </w:abstractNum>
  <w:abstractNum w:abstractNumId="2">
    <w:nsid w:val="53E44DFE"/>
    <w:multiLevelType w:val="singleLevel"/>
    <w:tmpl w:val="53E44DFE"/>
    <w:lvl w:ilvl="0" w:tentative="0">
      <w:start w:val="1"/>
      <w:numFmt w:val="decimal"/>
      <w:suff w:val="nothing"/>
      <w:lvlText w:val="%1、"/>
      <w:lvlJc w:val="left"/>
    </w:lvl>
  </w:abstractNum>
  <w:abstractNum w:abstractNumId="3">
    <w:nsid w:val="5A925894"/>
    <w:multiLevelType w:val="singleLevel"/>
    <w:tmpl w:val="5A925894"/>
    <w:lvl w:ilvl="0" w:tentative="0">
      <w:start w:val="2"/>
      <w:numFmt w:val="decimal"/>
      <w:suff w:val="nothing"/>
      <w:lvlText w:val="%1、"/>
      <w:lvlJc w:val="left"/>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13C8"/>
    <w:rsid w:val="0000164D"/>
    <w:rsid w:val="000023DE"/>
    <w:rsid w:val="00002929"/>
    <w:rsid w:val="00002C03"/>
    <w:rsid w:val="00005671"/>
    <w:rsid w:val="00006A3F"/>
    <w:rsid w:val="0000704F"/>
    <w:rsid w:val="000072C7"/>
    <w:rsid w:val="0000785A"/>
    <w:rsid w:val="0001002D"/>
    <w:rsid w:val="00010390"/>
    <w:rsid w:val="00010683"/>
    <w:rsid w:val="00011A1B"/>
    <w:rsid w:val="00012D4A"/>
    <w:rsid w:val="00012EC2"/>
    <w:rsid w:val="000145BC"/>
    <w:rsid w:val="00014742"/>
    <w:rsid w:val="00014B6A"/>
    <w:rsid w:val="00014D50"/>
    <w:rsid w:val="000150E9"/>
    <w:rsid w:val="00017663"/>
    <w:rsid w:val="000235A8"/>
    <w:rsid w:val="00030460"/>
    <w:rsid w:val="000310B6"/>
    <w:rsid w:val="00031306"/>
    <w:rsid w:val="0003248E"/>
    <w:rsid w:val="00032629"/>
    <w:rsid w:val="0003276C"/>
    <w:rsid w:val="0003297B"/>
    <w:rsid w:val="00033FBD"/>
    <w:rsid w:val="0003445A"/>
    <w:rsid w:val="00034F78"/>
    <w:rsid w:val="00036352"/>
    <w:rsid w:val="00037B9C"/>
    <w:rsid w:val="000410A2"/>
    <w:rsid w:val="00041B6C"/>
    <w:rsid w:val="00041DB8"/>
    <w:rsid w:val="000420B4"/>
    <w:rsid w:val="00042B27"/>
    <w:rsid w:val="00042FFB"/>
    <w:rsid w:val="00043595"/>
    <w:rsid w:val="00043D9B"/>
    <w:rsid w:val="0004411B"/>
    <w:rsid w:val="00044BF8"/>
    <w:rsid w:val="00045414"/>
    <w:rsid w:val="00046255"/>
    <w:rsid w:val="00047438"/>
    <w:rsid w:val="00047807"/>
    <w:rsid w:val="00050BD4"/>
    <w:rsid w:val="000532C5"/>
    <w:rsid w:val="00054E7E"/>
    <w:rsid w:val="00054EED"/>
    <w:rsid w:val="0005569C"/>
    <w:rsid w:val="000556F3"/>
    <w:rsid w:val="00057482"/>
    <w:rsid w:val="0005749A"/>
    <w:rsid w:val="00060FCE"/>
    <w:rsid w:val="000613DF"/>
    <w:rsid w:val="00062564"/>
    <w:rsid w:val="00063006"/>
    <w:rsid w:val="000639E0"/>
    <w:rsid w:val="00066AF7"/>
    <w:rsid w:val="00067072"/>
    <w:rsid w:val="00070B0E"/>
    <w:rsid w:val="0007291A"/>
    <w:rsid w:val="0007291D"/>
    <w:rsid w:val="0007623B"/>
    <w:rsid w:val="00080DC4"/>
    <w:rsid w:val="00081704"/>
    <w:rsid w:val="00082494"/>
    <w:rsid w:val="00082C31"/>
    <w:rsid w:val="0008358B"/>
    <w:rsid w:val="0008392C"/>
    <w:rsid w:val="00083F35"/>
    <w:rsid w:val="00084511"/>
    <w:rsid w:val="000855D6"/>
    <w:rsid w:val="00085917"/>
    <w:rsid w:val="00087161"/>
    <w:rsid w:val="00090CF0"/>
    <w:rsid w:val="00090D4A"/>
    <w:rsid w:val="000918D1"/>
    <w:rsid w:val="00092293"/>
    <w:rsid w:val="00094A4C"/>
    <w:rsid w:val="00096020"/>
    <w:rsid w:val="00096A95"/>
    <w:rsid w:val="00097F69"/>
    <w:rsid w:val="000A231F"/>
    <w:rsid w:val="000A2C7F"/>
    <w:rsid w:val="000A332A"/>
    <w:rsid w:val="000A3424"/>
    <w:rsid w:val="000A456A"/>
    <w:rsid w:val="000A4E2A"/>
    <w:rsid w:val="000B1AA8"/>
    <w:rsid w:val="000B38B5"/>
    <w:rsid w:val="000B4231"/>
    <w:rsid w:val="000B5856"/>
    <w:rsid w:val="000B6672"/>
    <w:rsid w:val="000B7055"/>
    <w:rsid w:val="000B72A8"/>
    <w:rsid w:val="000B7699"/>
    <w:rsid w:val="000B7F4B"/>
    <w:rsid w:val="000C10EA"/>
    <w:rsid w:val="000C1646"/>
    <w:rsid w:val="000C268D"/>
    <w:rsid w:val="000C3548"/>
    <w:rsid w:val="000C3B3F"/>
    <w:rsid w:val="000C3E03"/>
    <w:rsid w:val="000C419D"/>
    <w:rsid w:val="000C7CAB"/>
    <w:rsid w:val="000D0159"/>
    <w:rsid w:val="000D08F1"/>
    <w:rsid w:val="000D13E7"/>
    <w:rsid w:val="000D1522"/>
    <w:rsid w:val="000D1EAE"/>
    <w:rsid w:val="000D250F"/>
    <w:rsid w:val="000D476D"/>
    <w:rsid w:val="000D4F65"/>
    <w:rsid w:val="000D5396"/>
    <w:rsid w:val="000D68C1"/>
    <w:rsid w:val="000D6D53"/>
    <w:rsid w:val="000D7735"/>
    <w:rsid w:val="000E04F3"/>
    <w:rsid w:val="000E19A5"/>
    <w:rsid w:val="000E1A86"/>
    <w:rsid w:val="000E3115"/>
    <w:rsid w:val="000E5B3F"/>
    <w:rsid w:val="000E63DD"/>
    <w:rsid w:val="000E684D"/>
    <w:rsid w:val="000E6FDC"/>
    <w:rsid w:val="000F004C"/>
    <w:rsid w:val="000F1AAE"/>
    <w:rsid w:val="000F1D47"/>
    <w:rsid w:val="000F2134"/>
    <w:rsid w:val="000F2383"/>
    <w:rsid w:val="000F350C"/>
    <w:rsid w:val="000F39E9"/>
    <w:rsid w:val="000F4766"/>
    <w:rsid w:val="000F5073"/>
    <w:rsid w:val="000F6D3C"/>
    <w:rsid w:val="000F77DF"/>
    <w:rsid w:val="001002DC"/>
    <w:rsid w:val="00100CDC"/>
    <w:rsid w:val="00101AAD"/>
    <w:rsid w:val="0010286F"/>
    <w:rsid w:val="00102BD0"/>
    <w:rsid w:val="00103274"/>
    <w:rsid w:val="001033F1"/>
    <w:rsid w:val="00103654"/>
    <w:rsid w:val="00103BC8"/>
    <w:rsid w:val="00104F1E"/>
    <w:rsid w:val="001059FB"/>
    <w:rsid w:val="001065B6"/>
    <w:rsid w:val="0010737C"/>
    <w:rsid w:val="00107905"/>
    <w:rsid w:val="00110161"/>
    <w:rsid w:val="00110AB6"/>
    <w:rsid w:val="001126D4"/>
    <w:rsid w:val="00113534"/>
    <w:rsid w:val="0011357F"/>
    <w:rsid w:val="00114658"/>
    <w:rsid w:val="00115129"/>
    <w:rsid w:val="00115C98"/>
    <w:rsid w:val="001175FC"/>
    <w:rsid w:val="0012059B"/>
    <w:rsid w:val="00121020"/>
    <w:rsid w:val="00122098"/>
    <w:rsid w:val="00122983"/>
    <w:rsid w:val="00122E33"/>
    <w:rsid w:val="00124BF3"/>
    <w:rsid w:val="00125046"/>
    <w:rsid w:val="00125E71"/>
    <w:rsid w:val="00126A57"/>
    <w:rsid w:val="00126B61"/>
    <w:rsid w:val="00126EE1"/>
    <w:rsid w:val="00127433"/>
    <w:rsid w:val="00130300"/>
    <w:rsid w:val="00130EEF"/>
    <w:rsid w:val="00131120"/>
    <w:rsid w:val="00135E23"/>
    <w:rsid w:val="001379DC"/>
    <w:rsid w:val="001405D5"/>
    <w:rsid w:val="00140CB9"/>
    <w:rsid w:val="00141AAC"/>
    <w:rsid w:val="00142A3D"/>
    <w:rsid w:val="00143B25"/>
    <w:rsid w:val="00144657"/>
    <w:rsid w:val="00145BEC"/>
    <w:rsid w:val="00146750"/>
    <w:rsid w:val="0014733D"/>
    <w:rsid w:val="0014751E"/>
    <w:rsid w:val="00150242"/>
    <w:rsid w:val="00150FB0"/>
    <w:rsid w:val="0015125D"/>
    <w:rsid w:val="001554BA"/>
    <w:rsid w:val="001556C0"/>
    <w:rsid w:val="00161AB7"/>
    <w:rsid w:val="00164A96"/>
    <w:rsid w:val="00165D9C"/>
    <w:rsid w:val="00165FC3"/>
    <w:rsid w:val="00166319"/>
    <w:rsid w:val="00166B9E"/>
    <w:rsid w:val="00167A49"/>
    <w:rsid w:val="001716CE"/>
    <w:rsid w:val="00171E56"/>
    <w:rsid w:val="001721CD"/>
    <w:rsid w:val="00172511"/>
    <w:rsid w:val="00174241"/>
    <w:rsid w:val="00174588"/>
    <w:rsid w:val="0017642D"/>
    <w:rsid w:val="001802AB"/>
    <w:rsid w:val="0018060F"/>
    <w:rsid w:val="00180CCE"/>
    <w:rsid w:val="00182277"/>
    <w:rsid w:val="00182F87"/>
    <w:rsid w:val="001844DE"/>
    <w:rsid w:val="001846B4"/>
    <w:rsid w:val="001852F4"/>
    <w:rsid w:val="00185C94"/>
    <w:rsid w:val="00185F90"/>
    <w:rsid w:val="00186B3A"/>
    <w:rsid w:val="001903B4"/>
    <w:rsid w:val="00190682"/>
    <w:rsid w:val="0019346C"/>
    <w:rsid w:val="00193980"/>
    <w:rsid w:val="00196875"/>
    <w:rsid w:val="00197134"/>
    <w:rsid w:val="001A6042"/>
    <w:rsid w:val="001B028D"/>
    <w:rsid w:val="001B138B"/>
    <w:rsid w:val="001B14BE"/>
    <w:rsid w:val="001B1C5D"/>
    <w:rsid w:val="001B1D12"/>
    <w:rsid w:val="001B5168"/>
    <w:rsid w:val="001B59EE"/>
    <w:rsid w:val="001B6F3F"/>
    <w:rsid w:val="001B7D09"/>
    <w:rsid w:val="001C15D8"/>
    <w:rsid w:val="001C20CD"/>
    <w:rsid w:val="001C2862"/>
    <w:rsid w:val="001C5D2A"/>
    <w:rsid w:val="001C5DD3"/>
    <w:rsid w:val="001C747D"/>
    <w:rsid w:val="001C78D9"/>
    <w:rsid w:val="001D0F23"/>
    <w:rsid w:val="001D1728"/>
    <w:rsid w:val="001D3943"/>
    <w:rsid w:val="001D4D1D"/>
    <w:rsid w:val="001D60C6"/>
    <w:rsid w:val="001E06DC"/>
    <w:rsid w:val="001E1BFC"/>
    <w:rsid w:val="001E1C2E"/>
    <w:rsid w:val="001E2609"/>
    <w:rsid w:val="001E2D0E"/>
    <w:rsid w:val="001E3A10"/>
    <w:rsid w:val="001E512C"/>
    <w:rsid w:val="001E6668"/>
    <w:rsid w:val="001F12AB"/>
    <w:rsid w:val="001F58D4"/>
    <w:rsid w:val="001F61F9"/>
    <w:rsid w:val="001F6F0D"/>
    <w:rsid w:val="001F71C1"/>
    <w:rsid w:val="002006C0"/>
    <w:rsid w:val="00201E3A"/>
    <w:rsid w:val="00201F8A"/>
    <w:rsid w:val="0020242D"/>
    <w:rsid w:val="002038BB"/>
    <w:rsid w:val="00204E9F"/>
    <w:rsid w:val="00206C07"/>
    <w:rsid w:val="002151B0"/>
    <w:rsid w:val="00215BBF"/>
    <w:rsid w:val="00216F82"/>
    <w:rsid w:val="002177E6"/>
    <w:rsid w:val="0022151C"/>
    <w:rsid w:val="00221C2A"/>
    <w:rsid w:val="0022357C"/>
    <w:rsid w:val="00223800"/>
    <w:rsid w:val="00223BE2"/>
    <w:rsid w:val="00225A7B"/>
    <w:rsid w:val="00225EE0"/>
    <w:rsid w:val="00227A47"/>
    <w:rsid w:val="00227E52"/>
    <w:rsid w:val="00234285"/>
    <w:rsid w:val="00234AA3"/>
    <w:rsid w:val="00234E8B"/>
    <w:rsid w:val="00235A5E"/>
    <w:rsid w:val="00235EF1"/>
    <w:rsid w:val="00237572"/>
    <w:rsid w:val="002404AF"/>
    <w:rsid w:val="002421B0"/>
    <w:rsid w:val="002436EB"/>
    <w:rsid w:val="002441BB"/>
    <w:rsid w:val="0024492A"/>
    <w:rsid w:val="00246E47"/>
    <w:rsid w:val="0024750A"/>
    <w:rsid w:val="00250E9E"/>
    <w:rsid w:val="0025303B"/>
    <w:rsid w:val="00253DAC"/>
    <w:rsid w:val="00254DA9"/>
    <w:rsid w:val="002553C5"/>
    <w:rsid w:val="0025713E"/>
    <w:rsid w:val="00257554"/>
    <w:rsid w:val="0025799A"/>
    <w:rsid w:val="00257EB1"/>
    <w:rsid w:val="002601A7"/>
    <w:rsid w:val="002607F2"/>
    <w:rsid w:val="00261082"/>
    <w:rsid w:val="002618E1"/>
    <w:rsid w:val="002621B3"/>
    <w:rsid w:val="00262686"/>
    <w:rsid w:val="00262B33"/>
    <w:rsid w:val="00263BD6"/>
    <w:rsid w:val="00263C9F"/>
    <w:rsid w:val="002643DC"/>
    <w:rsid w:val="00264953"/>
    <w:rsid w:val="002670ED"/>
    <w:rsid w:val="00270F0C"/>
    <w:rsid w:val="00271C00"/>
    <w:rsid w:val="00271D34"/>
    <w:rsid w:val="00272695"/>
    <w:rsid w:val="00273751"/>
    <w:rsid w:val="00273AEE"/>
    <w:rsid w:val="002760C2"/>
    <w:rsid w:val="00277CC1"/>
    <w:rsid w:val="00277D2C"/>
    <w:rsid w:val="00277FA3"/>
    <w:rsid w:val="002814B6"/>
    <w:rsid w:val="002814F0"/>
    <w:rsid w:val="0028353D"/>
    <w:rsid w:val="002835B8"/>
    <w:rsid w:val="0028375E"/>
    <w:rsid w:val="00284079"/>
    <w:rsid w:val="002841C6"/>
    <w:rsid w:val="002843C1"/>
    <w:rsid w:val="00286308"/>
    <w:rsid w:val="0028637B"/>
    <w:rsid w:val="00286EFF"/>
    <w:rsid w:val="00287E96"/>
    <w:rsid w:val="0029150F"/>
    <w:rsid w:val="002916F1"/>
    <w:rsid w:val="00292E3F"/>
    <w:rsid w:val="00293587"/>
    <w:rsid w:val="00294288"/>
    <w:rsid w:val="002944A3"/>
    <w:rsid w:val="0029651F"/>
    <w:rsid w:val="0029679E"/>
    <w:rsid w:val="00296F3C"/>
    <w:rsid w:val="002972A2"/>
    <w:rsid w:val="002A062D"/>
    <w:rsid w:val="002A1A42"/>
    <w:rsid w:val="002A1F0A"/>
    <w:rsid w:val="002A23D9"/>
    <w:rsid w:val="002A24D4"/>
    <w:rsid w:val="002A316B"/>
    <w:rsid w:val="002A4CF5"/>
    <w:rsid w:val="002A4E33"/>
    <w:rsid w:val="002A5501"/>
    <w:rsid w:val="002A5C82"/>
    <w:rsid w:val="002A63E1"/>
    <w:rsid w:val="002A6995"/>
    <w:rsid w:val="002A6B16"/>
    <w:rsid w:val="002B08AD"/>
    <w:rsid w:val="002B0EB6"/>
    <w:rsid w:val="002B2681"/>
    <w:rsid w:val="002B2E78"/>
    <w:rsid w:val="002B4B92"/>
    <w:rsid w:val="002B4C15"/>
    <w:rsid w:val="002C04B7"/>
    <w:rsid w:val="002C1014"/>
    <w:rsid w:val="002C4AA0"/>
    <w:rsid w:val="002C4BD7"/>
    <w:rsid w:val="002C6CA2"/>
    <w:rsid w:val="002C7801"/>
    <w:rsid w:val="002C7D85"/>
    <w:rsid w:val="002D0532"/>
    <w:rsid w:val="002D1CDF"/>
    <w:rsid w:val="002D2F5B"/>
    <w:rsid w:val="002D3F5D"/>
    <w:rsid w:val="002D4903"/>
    <w:rsid w:val="002D4D7F"/>
    <w:rsid w:val="002D67FA"/>
    <w:rsid w:val="002D6C2D"/>
    <w:rsid w:val="002E00B3"/>
    <w:rsid w:val="002E2E08"/>
    <w:rsid w:val="002E3374"/>
    <w:rsid w:val="002E37F4"/>
    <w:rsid w:val="002E42E9"/>
    <w:rsid w:val="002E448A"/>
    <w:rsid w:val="002E50E5"/>
    <w:rsid w:val="002E6E8E"/>
    <w:rsid w:val="002E719A"/>
    <w:rsid w:val="002E7C02"/>
    <w:rsid w:val="002F0164"/>
    <w:rsid w:val="002F0B56"/>
    <w:rsid w:val="00301012"/>
    <w:rsid w:val="0030162D"/>
    <w:rsid w:val="00302630"/>
    <w:rsid w:val="003031DE"/>
    <w:rsid w:val="00303A60"/>
    <w:rsid w:val="00303DCB"/>
    <w:rsid w:val="0030617E"/>
    <w:rsid w:val="00306439"/>
    <w:rsid w:val="00306604"/>
    <w:rsid w:val="00307A43"/>
    <w:rsid w:val="0031156C"/>
    <w:rsid w:val="003121D0"/>
    <w:rsid w:val="00312710"/>
    <w:rsid w:val="003130A5"/>
    <w:rsid w:val="003152F5"/>
    <w:rsid w:val="00315946"/>
    <w:rsid w:val="003174DA"/>
    <w:rsid w:val="00321001"/>
    <w:rsid w:val="003213DC"/>
    <w:rsid w:val="003216AF"/>
    <w:rsid w:val="00322D80"/>
    <w:rsid w:val="0032365E"/>
    <w:rsid w:val="00324420"/>
    <w:rsid w:val="00325DD9"/>
    <w:rsid w:val="003273CA"/>
    <w:rsid w:val="00327763"/>
    <w:rsid w:val="00327786"/>
    <w:rsid w:val="003277BA"/>
    <w:rsid w:val="00330018"/>
    <w:rsid w:val="00332F02"/>
    <w:rsid w:val="00333794"/>
    <w:rsid w:val="00333909"/>
    <w:rsid w:val="0033583F"/>
    <w:rsid w:val="0034016C"/>
    <w:rsid w:val="003415DF"/>
    <w:rsid w:val="003417CB"/>
    <w:rsid w:val="00341D37"/>
    <w:rsid w:val="0034247C"/>
    <w:rsid w:val="0034319B"/>
    <w:rsid w:val="00343A50"/>
    <w:rsid w:val="003440C6"/>
    <w:rsid w:val="0034629C"/>
    <w:rsid w:val="00346721"/>
    <w:rsid w:val="003468A0"/>
    <w:rsid w:val="003477E7"/>
    <w:rsid w:val="00347AB7"/>
    <w:rsid w:val="00350264"/>
    <w:rsid w:val="003521D9"/>
    <w:rsid w:val="003522CF"/>
    <w:rsid w:val="003530CB"/>
    <w:rsid w:val="00353387"/>
    <w:rsid w:val="00353F81"/>
    <w:rsid w:val="0035481B"/>
    <w:rsid w:val="00355942"/>
    <w:rsid w:val="00355FE1"/>
    <w:rsid w:val="003568E2"/>
    <w:rsid w:val="00357904"/>
    <w:rsid w:val="003606FB"/>
    <w:rsid w:val="00361079"/>
    <w:rsid w:val="00361156"/>
    <w:rsid w:val="00361BB4"/>
    <w:rsid w:val="003646C3"/>
    <w:rsid w:val="00364C76"/>
    <w:rsid w:val="00364CFF"/>
    <w:rsid w:val="00365869"/>
    <w:rsid w:val="00365CE1"/>
    <w:rsid w:val="003701EA"/>
    <w:rsid w:val="003702ED"/>
    <w:rsid w:val="003717BF"/>
    <w:rsid w:val="0037320C"/>
    <w:rsid w:val="003777F9"/>
    <w:rsid w:val="00380612"/>
    <w:rsid w:val="00382B9E"/>
    <w:rsid w:val="00384CB1"/>
    <w:rsid w:val="00385A2E"/>
    <w:rsid w:val="003862C6"/>
    <w:rsid w:val="003862E3"/>
    <w:rsid w:val="00391184"/>
    <w:rsid w:val="00391485"/>
    <w:rsid w:val="00393F72"/>
    <w:rsid w:val="003950E7"/>
    <w:rsid w:val="00396977"/>
    <w:rsid w:val="003A0B5B"/>
    <w:rsid w:val="003A159D"/>
    <w:rsid w:val="003A316B"/>
    <w:rsid w:val="003A4580"/>
    <w:rsid w:val="003A4D39"/>
    <w:rsid w:val="003A641D"/>
    <w:rsid w:val="003A7094"/>
    <w:rsid w:val="003B02D4"/>
    <w:rsid w:val="003B45FC"/>
    <w:rsid w:val="003B68FE"/>
    <w:rsid w:val="003B6C61"/>
    <w:rsid w:val="003C206F"/>
    <w:rsid w:val="003C2C65"/>
    <w:rsid w:val="003C4602"/>
    <w:rsid w:val="003C5BF5"/>
    <w:rsid w:val="003C70E5"/>
    <w:rsid w:val="003C72F5"/>
    <w:rsid w:val="003D23C6"/>
    <w:rsid w:val="003D407E"/>
    <w:rsid w:val="003D53A8"/>
    <w:rsid w:val="003D5DBC"/>
    <w:rsid w:val="003D695D"/>
    <w:rsid w:val="003D758B"/>
    <w:rsid w:val="003E1D18"/>
    <w:rsid w:val="003E22EE"/>
    <w:rsid w:val="003E4889"/>
    <w:rsid w:val="003E69D2"/>
    <w:rsid w:val="003E7707"/>
    <w:rsid w:val="003F0B7F"/>
    <w:rsid w:val="003F1F4A"/>
    <w:rsid w:val="003F58E3"/>
    <w:rsid w:val="003F5C6F"/>
    <w:rsid w:val="003F619C"/>
    <w:rsid w:val="003F6D8E"/>
    <w:rsid w:val="003F7C59"/>
    <w:rsid w:val="00400E9F"/>
    <w:rsid w:val="004034A7"/>
    <w:rsid w:val="00404236"/>
    <w:rsid w:val="00404D87"/>
    <w:rsid w:val="00404EF3"/>
    <w:rsid w:val="00404FF8"/>
    <w:rsid w:val="00406C09"/>
    <w:rsid w:val="00410044"/>
    <w:rsid w:val="0041011B"/>
    <w:rsid w:val="00411C73"/>
    <w:rsid w:val="004126C9"/>
    <w:rsid w:val="00413EB7"/>
    <w:rsid w:val="00414230"/>
    <w:rsid w:val="00414BEC"/>
    <w:rsid w:val="004157DF"/>
    <w:rsid w:val="00416956"/>
    <w:rsid w:val="00416BC5"/>
    <w:rsid w:val="004170D8"/>
    <w:rsid w:val="00417F16"/>
    <w:rsid w:val="00420BBE"/>
    <w:rsid w:val="00422538"/>
    <w:rsid w:val="0042465D"/>
    <w:rsid w:val="00425E6D"/>
    <w:rsid w:val="0042613F"/>
    <w:rsid w:val="0042627F"/>
    <w:rsid w:val="0042684C"/>
    <w:rsid w:val="00431287"/>
    <w:rsid w:val="00431B97"/>
    <w:rsid w:val="00435025"/>
    <w:rsid w:val="004352B3"/>
    <w:rsid w:val="00435969"/>
    <w:rsid w:val="0043742D"/>
    <w:rsid w:val="00437E07"/>
    <w:rsid w:val="0044090E"/>
    <w:rsid w:val="004409DC"/>
    <w:rsid w:val="00440D13"/>
    <w:rsid w:val="00441AE9"/>
    <w:rsid w:val="00441F9E"/>
    <w:rsid w:val="004429BB"/>
    <w:rsid w:val="004438E7"/>
    <w:rsid w:val="00443E9E"/>
    <w:rsid w:val="00447E49"/>
    <w:rsid w:val="0045009B"/>
    <w:rsid w:val="00450796"/>
    <w:rsid w:val="00452C8A"/>
    <w:rsid w:val="00453B1C"/>
    <w:rsid w:val="00454F3C"/>
    <w:rsid w:val="00455321"/>
    <w:rsid w:val="00456724"/>
    <w:rsid w:val="00456C1E"/>
    <w:rsid w:val="00460BA4"/>
    <w:rsid w:val="00462C59"/>
    <w:rsid w:val="0046384A"/>
    <w:rsid w:val="00464EEF"/>
    <w:rsid w:val="004662B9"/>
    <w:rsid w:val="0046710F"/>
    <w:rsid w:val="004720A3"/>
    <w:rsid w:val="00473B9A"/>
    <w:rsid w:val="004743F3"/>
    <w:rsid w:val="00476DD6"/>
    <w:rsid w:val="004773A5"/>
    <w:rsid w:val="0047760B"/>
    <w:rsid w:val="00477A72"/>
    <w:rsid w:val="0048065C"/>
    <w:rsid w:val="004809C3"/>
    <w:rsid w:val="00481314"/>
    <w:rsid w:val="004818BE"/>
    <w:rsid w:val="00484082"/>
    <w:rsid w:val="00484361"/>
    <w:rsid w:val="004843F7"/>
    <w:rsid w:val="00484679"/>
    <w:rsid w:val="00486E13"/>
    <w:rsid w:val="004879FC"/>
    <w:rsid w:val="00491182"/>
    <w:rsid w:val="00491A4E"/>
    <w:rsid w:val="0049461D"/>
    <w:rsid w:val="00494703"/>
    <w:rsid w:val="0049725F"/>
    <w:rsid w:val="00497708"/>
    <w:rsid w:val="004A1AD2"/>
    <w:rsid w:val="004A2427"/>
    <w:rsid w:val="004A2B33"/>
    <w:rsid w:val="004A3751"/>
    <w:rsid w:val="004A3FED"/>
    <w:rsid w:val="004A595A"/>
    <w:rsid w:val="004A70D5"/>
    <w:rsid w:val="004B1844"/>
    <w:rsid w:val="004B1EFC"/>
    <w:rsid w:val="004B2294"/>
    <w:rsid w:val="004B2332"/>
    <w:rsid w:val="004B32E5"/>
    <w:rsid w:val="004B4AA9"/>
    <w:rsid w:val="004C020A"/>
    <w:rsid w:val="004C23CB"/>
    <w:rsid w:val="004C39F6"/>
    <w:rsid w:val="004C4ABB"/>
    <w:rsid w:val="004C4C42"/>
    <w:rsid w:val="004C4E7B"/>
    <w:rsid w:val="004C527D"/>
    <w:rsid w:val="004C5AE4"/>
    <w:rsid w:val="004C5CF2"/>
    <w:rsid w:val="004C5F2C"/>
    <w:rsid w:val="004C6991"/>
    <w:rsid w:val="004D049A"/>
    <w:rsid w:val="004D095D"/>
    <w:rsid w:val="004D10CD"/>
    <w:rsid w:val="004D193A"/>
    <w:rsid w:val="004D1F90"/>
    <w:rsid w:val="004D4995"/>
    <w:rsid w:val="004D5897"/>
    <w:rsid w:val="004E0B28"/>
    <w:rsid w:val="004E1D63"/>
    <w:rsid w:val="004E407E"/>
    <w:rsid w:val="004E46C6"/>
    <w:rsid w:val="004E7D3B"/>
    <w:rsid w:val="004E7F95"/>
    <w:rsid w:val="004F0A3E"/>
    <w:rsid w:val="004F153D"/>
    <w:rsid w:val="004F16FA"/>
    <w:rsid w:val="004F19E8"/>
    <w:rsid w:val="004F1DE4"/>
    <w:rsid w:val="004F23E2"/>
    <w:rsid w:val="004F2A89"/>
    <w:rsid w:val="004F2D4D"/>
    <w:rsid w:val="004F31CC"/>
    <w:rsid w:val="004F3C42"/>
    <w:rsid w:val="004F46B3"/>
    <w:rsid w:val="004F5FEF"/>
    <w:rsid w:val="004F6856"/>
    <w:rsid w:val="00500BAA"/>
    <w:rsid w:val="00502224"/>
    <w:rsid w:val="00502628"/>
    <w:rsid w:val="00506114"/>
    <w:rsid w:val="00506C06"/>
    <w:rsid w:val="00512BEA"/>
    <w:rsid w:val="00513848"/>
    <w:rsid w:val="00514925"/>
    <w:rsid w:val="00514AB6"/>
    <w:rsid w:val="005165DB"/>
    <w:rsid w:val="00516B24"/>
    <w:rsid w:val="00521526"/>
    <w:rsid w:val="0052587F"/>
    <w:rsid w:val="005261AA"/>
    <w:rsid w:val="00526816"/>
    <w:rsid w:val="00527B84"/>
    <w:rsid w:val="0053039A"/>
    <w:rsid w:val="0053046E"/>
    <w:rsid w:val="005321A5"/>
    <w:rsid w:val="00532707"/>
    <w:rsid w:val="00535118"/>
    <w:rsid w:val="00535EB1"/>
    <w:rsid w:val="00537228"/>
    <w:rsid w:val="0054117E"/>
    <w:rsid w:val="00543C8B"/>
    <w:rsid w:val="005441D5"/>
    <w:rsid w:val="0054514E"/>
    <w:rsid w:val="005474BF"/>
    <w:rsid w:val="00547B4F"/>
    <w:rsid w:val="00551088"/>
    <w:rsid w:val="005525C3"/>
    <w:rsid w:val="0055316F"/>
    <w:rsid w:val="005534A2"/>
    <w:rsid w:val="00557F3F"/>
    <w:rsid w:val="0056042D"/>
    <w:rsid w:val="0056124C"/>
    <w:rsid w:val="00561CAA"/>
    <w:rsid w:val="00563AC5"/>
    <w:rsid w:val="005653FF"/>
    <w:rsid w:val="005670F4"/>
    <w:rsid w:val="00570509"/>
    <w:rsid w:val="00570689"/>
    <w:rsid w:val="0057205C"/>
    <w:rsid w:val="00573036"/>
    <w:rsid w:val="00573125"/>
    <w:rsid w:val="00575214"/>
    <w:rsid w:val="00576027"/>
    <w:rsid w:val="005764DE"/>
    <w:rsid w:val="00581E30"/>
    <w:rsid w:val="005820EB"/>
    <w:rsid w:val="0058214C"/>
    <w:rsid w:val="005829E5"/>
    <w:rsid w:val="00583B9F"/>
    <w:rsid w:val="00585014"/>
    <w:rsid w:val="005859F0"/>
    <w:rsid w:val="00585AC7"/>
    <w:rsid w:val="00587747"/>
    <w:rsid w:val="0059156F"/>
    <w:rsid w:val="00591AEE"/>
    <w:rsid w:val="00593FB7"/>
    <w:rsid w:val="00595101"/>
    <w:rsid w:val="00595EC0"/>
    <w:rsid w:val="00597146"/>
    <w:rsid w:val="005A05B9"/>
    <w:rsid w:val="005A1692"/>
    <w:rsid w:val="005A1CB1"/>
    <w:rsid w:val="005A300A"/>
    <w:rsid w:val="005A34C5"/>
    <w:rsid w:val="005A34E9"/>
    <w:rsid w:val="005B18EA"/>
    <w:rsid w:val="005B1CD6"/>
    <w:rsid w:val="005B2C61"/>
    <w:rsid w:val="005B4A21"/>
    <w:rsid w:val="005B4B32"/>
    <w:rsid w:val="005B69A1"/>
    <w:rsid w:val="005B7CDA"/>
    <w:rsid w:val="005C0F01"/>
    <w:rsid w:val="005C18CB"/>
    <w:rsid w:val="005C4050"/>
    <w:rsid w:val="005C51E3"/>
    <w:rsid w:val="005C7EAA"/>
    <w:rsid w:val="005D04F4"/>
    <w:rsid w:val="005D1B84"/>
    <w:rsid w:val="005D4422"/>
    <w:rsid w:val="005D4A0A"/>
    <w:rsid w:val="005D64FF"/>
    <w:rsid w:val="005D6CA2"/>
    <w:rsid w:val="005E0CCA"/>
    <w:rsid w:val="005E4262"/>
    <w:rsid w:val="005F0751"/>
    <w:rsid w:val="005F2508"/>
    <w:rsid w:val="005F2DC3"/>
    <w:rsid w:val="005F3CA0"/>
    <w:rsid w:val="005F4155"/>
    <w:rsid w:val="005F52E4"/>
    <w:rsid w:val="005F5891"/>
    <w:rsid w:val="005F5A63"/>
    <w:rsid w:val="005F61E3"/>
    <w:rsid w:val="005F6957"/>
    <w:rsid w:val="005F6A94"/>
    <w:rsid w:val="00604E89"/>
    <w:rsid w:val="00605C3A"/>
    <w:rsid w:val="0060712D"/>
    <w:rsid w:val="0060721F"/>
    <w:rsid w:val="006104D4"/>
    <w:rsid w:val="00610F0E"/>
    <w:rsid w:val="00612392"/>
    <w:rsid w:val="00612CD5"/>
    <w:rsid w:val="006149D9"/>
    <w:rsid w:val="00615670"/>
    <w:rsid w:val="00615C56"/>
    <w:rsid w:val="006160CC"/>
    <w:rsid w:val="0061624D"/>
    <w:rsid w:val="006162B1"/>
    <w:rsid w:val="00616BC1"/>
    <w:rsid w:val="00617D07"/>
    <w:rsid w:val="0062192C"/>
    <w:rsid w:val="00621EA6"/>
    <w:rsid w:val="00626496"/>
    <w:rsid w:val="00627C9F"/>
    <w:rsid w:val="00630DA5"/>
    <w:rsid w:val="00631138"/>
    <w:rsid w:val="00632E68"/>
    <w:rsid w:val="0063342E"/>
    <w:rsid w:val="006344AC"/>
    <w:rsid w:val="0063603D"/>
    <w:rsid w:val="0063690E"/>
    <w:rsid w:val="00637AE0"/>
    <w:rsid w:val="00640076"/>
    <w:rsid w:val="00640F3D"/>
    <w:rsid w:val="00641639"/>
    <w:rsid w:val="006443C4"/>
    <w:rsid w:val="00644751"/>
    <w:rsid w:val="00647953"/>
    <w:rsid w:val="00651CCE"/>
    <w:rsid w:val="006540F9"/>
    <w:rsid w:val="00654976"/>
    <w:rsid w:val="00655832"/>
    <w:rsid w:val="00656A82"/>
    <w:rsid w:val="006577CF"/>
    <w:rsid w:val="00657893"/>
    <w:rsid w:val="00657B7C"/>
    <w:rsid w:val="00657D8D"/>
    <w:rsid w:val="0066239D"/>
    <w:rsid w:val="0066360E"/>
    <w:rsid w:val="00663D56"/>
    <w:rsid w:val="00664926"/>
    <w:rsid w:val="006655CF"/>
    <w:rsid w:val="00666596"/>
    <w:rsid w:val="0067060B"/>
    <w:rsid w:val="00671B4E"/>
    <w:rsid w:val="00672353"/>
    <w:rsid w:val="00672945"/>
    <w:rsid w:val="006747DC"/>
    <w:rsid w:val="00674C98"/>
    <w:rsid w:val="006758C7"/>
    <w:rsid w:val="00675A4E"/>
    <w:rsid w:val="00675FCF"/>
    <w:rsid w:val="0067630D"/>
    <w:rsid w:val="006814AA"/>
    <w:rsid w:val="006819E6"/>
    <w:rsid w:val="00681CCC"/>
    <w:rsid w:val="00681F15"/>
    <w:rsid w:val="00682458"/>
    <w:rsid w:val="0068514D"/>
    <w:rsid w:val="00686B77"/>
    <w:rsid w:val="006874B2"/>
    <w:rsid w:val="00690601"/>
    <w:rsid w:val="00690940"/>
    <w:rsid w:val="00691858"/>
    <w:rsid w:val="00693AC8"/>
    <w:rsid w:val="00694239"/>
    <w:rsid w:val="006944EC"/>
    <w:rsid w:val="0069644B"/>
    <w:rsid w:val="006A00ED"/>
    <w:rsid w:val="006A01FB"/>
    <w:rsid w:val="006A0418"/>
    <w:rsid w:val="006A1156"/>
    <w:rsid w:val="006A1E96"/>
    <w:rsid w:val="006A21CE"/>
    <w:rsid w:val="006A3ACD"/>
    <w:rsid w:val="006A76C0"/>
    <w:rsid w:val="006B1D15"/>
    <w:rsid w:val="006B2E09"/>
    <w:rsid w:val="006B307C"/>
    <w:rsid w:val="006B3D9E"/>
    <w:rsid w:val="006B4BDB"/>
    <w:rsid w:val="006B4F62"/>
    <w:rsid w:val="006B617D"/>
    <w:rsid w:val="006B66FD"/>
    <w:rsid w:val="006B673C"/>
    <w:rsid w:val="006B7DFD"/>
    <w:rsid w:val="006C0172"/>
    <w:rsid w:val="006C02F7"/>
    <w:rsid w:val="006C15FF"/>
    <w:rsid w:val="006C1D58"/>
    <w:rsid w:val="006C20EA"/>
    <w:rsid w:val="006C5B7E"/>
    <w:rsid w:val="006D1C04"/>
    <w:rsid w:val="006D20E7"/>
    <w:rsid w:val="006D2388"/>
    <w:rsid w:val="006D2B68"/>
    <w:rsid w:val="006D31C4"/>
    <w:rsid w:val="006D3AD7"/>
    <w:rsid w:val="006D4AC9"/>
    <w:rsid w:val="006D55FA"/>
    <w:rsid w:val="006D5E9F"/>
    <w:rsid w:val="006E152B"/>
    <w:rsid w:val="006E2C5C"/>
    <w:rsid w:val="006E2ED0"/>
    <w:rsid w:val="006E2F6E"/>
    <w:rsid w:val="006E39EF"/>
    <w:rsid w:val="006E428D"/>
    <w:rsid w:val="006E52D5"/>
    <w:rsid w:val="006E5B88"/>
    <w:rsid w:val="006E69F2"/>
    <w:rsid w:val="006E7177"/>
    <w:rsid w:val="006E7D36"/>
    <w:rsid w:val="006F1CC3"/>
    <w:rsid w:val="006F2671"/>
    <w:rsid w:val="006F2E00"/>
    <w:rsid w:val="006F2EC1"/>
    <w:rsid w:val="006F5AB8"/>
    <w:rsid w:val="006F77DB"/>
    <w:rsid w:val="007005CF"/>
    <w:rsid w:val="00702106"/>
    <w:rsid w:val="00702A49"/>
    <w:rsid w:val="00705DF9"/>
    <w:rsid w:val="0070634A"/>
    <w:rsid w:val="007101CB"/>
    <w:rsid w:val="007109D6"/>
    <w:rsid w:val="007123CD"/>
    <w:rsid w:val="007123F3"/>
    <w:rsid w:val="00712B04"/>
    <w:rsid w:val="007130C2"/>
    <w:rsid w:val="007132E7"/>
    <w:rsid w:val="007133ED"/>
    <w:rsid w:val="00713BB8"/>
    <w:rsid w:val="00713EE3"/>
    <w:rsid w:val="0071461A"/>
    <w:rsid w:val="007155B2"/>
    <w:rsid w:val="00716FFD"/>
    <w:rsid w:val="00720E9B"/>
    <w:rsid w:val="007218DB"/>
    <w:rsid w:val="00726B2F"/>
    <w:rsid w:val="00726EAC"/>
    <w:rsid w:val="00726ED8"/>
    <w:rsid w:val="00727244"/>
    <w:rsid w:val="007276F1"/>
    <w:rsid w:val="007311D1"/>
    <w:rsid w:val="007329CE"/>
    <w:rsid w:val="00736D01"/>
    <w:rsid w:val="00737385"/>
    <w:rsid w:val="007376CD"/>
    <w:rsid w:val="007376E1"/>
    <w:rsid w:val="00741129"/>
    <w:rsid w:val="007419CA"/>
    <w:rsid w:val="00742169"/>
    <w:rsid w:val="00743092"/>
    <w:rsid w:val="0074389B"/>
    <w:rsid w:val="00743A24"/>
    <w:rsid w:val="00743C79"/>
    <w:rsid w:val="00744241"/>
    <w:rsid w:val="0074454C"/>
    <w:rsid w:val="007445B1"/>
    <w:rsid w:val="0074578F"/>
    <w:rsid w:val="0074740D"/>
    <w:rsid w:val="007479D1"/>
    <w:rsid w:val="0075063E"/>
    <w:rsid w:val="007515C2"/>
    <w:rsid w:val="00751A99"/>
    <w:rsid w:val="00753404"/>
    <w:rsid w:val="00753AE5"/>
    <w:rsid w:val="00754726"/>
    <w:rsid w:val="007556C7"/>
    <w:rsid w:val="00756501"/>
    <w:rsid w:val="00756A73"/>
    <w:rsid w:val="00760DCB"/>
    <w:rsid w:val="00760E7B"/>
    <w:rsid w:val="007610DB"/>
    <w:rsid w:val="00761194"/>
    <w:rsid w:val="0077176F"/>
    <w:rsid w:val="00771D94"/>
    <w:rsid w:val="00772518"/>
    <w:rsid w:val="00772750"/>
    <w:rsid w:val="007733E7"/>
    <w:rsid w:val="00773679"/>
    <w:rsid w:val="00774C7C"/>
    <w:rsid w:val="00775501"/>
    <w:rsid w:val="00775826"/>
    <w:rsid w:val="007761E7"/>
    <w:rsid w:val="00776872"/>
    <w:rsid w:val="007771AA"/>
    <w:rsid w:val="00783018"/>
    <w:rsid w:val="00784B7A"/>
    <w:rsid w:val="007858F0"/>
    <w:rsid w:val="007871F4"/>
    <w:rsid w:val="0079048B"/>
    <w:rsid w:val="00790D42"/>
    <w:rsid w:val="007916E8"/>
    <w:rsid w:val="00795498"/>
    <w:rsid w:val="00796029"/>
    <w:rsid w:val="00796101"/>
    <w:rsid w:val="00797A74"/>
    <w:rsid w:val="007A2D91"/>
    <w:rsid w:val="007A30D6"/>
    <w:rsid w:val="007A392A"/>
    <w:rsid w:val="007A435A"/>
    <w:rsid w:val="007A6FD2"/>
    <w:rsid w:val="007A748D"/>
    <w:rsid w:val="007A7D80"/>
    <w:rsid w:val="007B280B"/>
    <w:rsid w:val="007B4348"/>
    <w:rsid w:val="007C0A0A"/>
    <w:rsid w:val="007C19C2"/>
    <w:rsid w:val="007C1A4C"/>
    <w:rsid w:val="007C2667"/>
    <w:rsid w:val="007C279C"/>
    <w:rsid w:val="007C2890"/>
    <w:rsid w:val="007C32F6"/>
    <w:rsid w:val="007C3B5D"/>
    <w:rsid w:val="007C3D4B"/>
    <w:rsid w:val="007C4501"/>
    <w:rsid w:val="007C501A"/>
    <w:rsid w:val="007C57E0"/>
    <w:rsid w:val="007C63D5"/>
    <w:rsid w:val="007C6E52"/>
    <w:rsid w:val="007C6FC6"/>
    <w:rsid w:val="007C70CD"/>
    <w:rsid w:val="007C7BBA"/>
    <w:rsid w:val="007C7ECA"/>
    <w:rsid w:val="007D0EC7"/>
    <w:rsid w:val="007D0F4A"/>
    <w:rsid w:val="007D2BDC"/>
    <w:rsid w:val="007D2E8B"/>
    <w:rsid w:val="007D3FC2"/>
    <w:rsid w:val="007D4F0A"/>
    <w:rsid w:val="007D6813"/>
    <w:rsid w:val="007D6CD5"/>
    <w:rsid w:val="007E1E41"/>
    <w:rsid w:val="007E35E5"/>
    <w:rsid w:val="007E5826"/>
    <w:rsid w:val="007E58EA"/>
    <w:rsid w:val="007E6D59"/>
    <w:rsid w:val="007E723F"/>
    <w:rsid w:val="007E7924"/>
    <w:rsid w:val="007F1CCD"/>
    <w:rsid w:val="007F1EEB"/>
    <w:rsid w:val="007F2F2E"/>
    <w:rsid w:val="007F3BA3"/>
    <w:rsid w:val="007F557D"/>
    <w:rsid w:val="007F5EC7"/>
    <w:rsid w:val="008008BA"/>
    <w:rsid w:val="008015AF"/>
    <w:rsid w:val="00802FD5"/>
    <w:rsid w:val="00803AA2"/>
    <w:rsid w:val="008040FB"/>
    <w:rsid w:val="008045C7"/>
    <w:rsid w:val="00804B5E"/>
    <w:rsid w:val="00804D77"/>
    <w:rsid w:val="00804F20"/>
    <w:rsid w:val="00806018"/>
    <w:rsid w:val="00806678"/>
    <w:rsid w:val="00810F81"/>
    <w:rsid w:val="00811649"/>
    <w:rsid w:val="00811CCD"/>
    <w:rsid w:val="008126C5"/>
    <w:rsid w:val="0081434D"/>
    <w:rsid w:val="00814A74"/>
    <w:rsid w:val="00814F43"/>
    <w:rsid w:val="00816EC1"/>
    <w:rsid w:val="00817751"/>
    <w:rsid w:val="00821B01"/>
    <w:rsid w:val="00821C39"/>
    <w:rsid w:val="00823E81"/>
    <w:rsid w:val="008253C5"/>
    <w:rsid w:val="008300A7"/>
    <w:rsid w:val="0083114D"/>
    <w:rsid w:val="00831BFA"/>
    <w:rsid w:val="0083232B"/>
    <w:rsid w:val="00832939"/>
    <w:rsid w:val="00833501"/>
    <w:rsid w:val="00833831"/>
    <w:rsid w:val="008346B9"/>
    <w:rsid w:val="00836E0F"/>
    <w:rsid w:val="0083765B"/>
    <w:rsid w:val="00837B65"/>
    <w:rsid w:val="00840D5B"/>
    <w:rsid w:val="00841FF3"/>
    <w:rsid w:val="0084220F"/>
    <w:rsid w:val="00843318"/>
    <w:rsid w:val="00843476"/>
    <w:rsid w:val="008446D6"/>
    <w:rsid w:val="00844E69"/>
    <w:rsid w:val="0084540B"/>
    <w:rsid w:val="00846387"/>
    <w:rsid w:val="00847DA2"/>
    <w:rsid w:val="00850037"/>
    <w:rsid w:val="00850C77"/>
    <w:rsid w:val="00851423"/>
    <w:rsid w:val="0085394D"/>
    <w:rsid w:val="0085407C"/>
    <w:rsid w:val="00854C5D"/>
    <w:rsid w:val="0085622B"/>
    <w:rsid w:val="0085771B"/>
    <w:rsid w:val="00860E3A"/>
    <w:rsid w:val="00861CCD"/>
    <w:rsid w:val="00865DA4"/>
    <w:rsid w:val="00872EA3"/>
    <w:rsid w:val="008732ED"/>
    <w:rsid w:val="0087404C"/>
    <w:rsid w:val="00875534"/>
    <w:rsid w:val="00876F5C"/>
    <w:rsid w:val="00877560"/>
    <w:rsid w:val="00877C1E"/>
    <w:rsid w:val="00882193"/>
    <w:rsid w:val="008823AC"/>
    <w:rsid w:val="00883427"/>
    <w:rsid w:val="00884015"/>
    <w:rsid w:val="008843F8"/>
    <w:rsid w:val="008845E9"/>
    <w:rsid w:val="00886D6C"/>
    <w:rsid w:val="008901F7"/>
    <w:rsid w:val="00891FBF"/>
    <w:rsid w:val="00892CD8"/>
    <w:rsid w:val="00893621"/>
    <w:rsid w:val="0089690C"/>
    <w:rsid w:val="008976F9"/>
    <w:rsid w:val="008A0087"/>
    <w:rsid w:val="008A0D60"/>
    <w:rsid w:val="008A1638"/>
    <w:rsid w:val="008A1AC2"/>
    <w:rsid w:val="008A350A"/>
    <w:rsid w:val="008A49E1"/>
    <w:rsid w:val="008A652C"/>
    <w:rsid w:val="008B2404"/>
    <w:rsid w:val="008B346D"/>
    <w:rsid w:val="008B3C8E"/>
    <w:rsid w:val="008B42AC"/>
    <w:rsid w:val="008B507B"/>
    <w:rsid w:val="008B58D3"/>
    <w:rsid w:val="008B6E40"/>
    <w:rsid w:val="008B770B"/>
    <w:rsid w:val="008B7927"/>
    <w:rsid w:val="008C240D"/>
    <w:rsid w:val="008C48BF"/>
    <w:rsid w:val="008C54A7"/>
    <w:rsid w:val="008C5895"/>
    <w:rsid w:val="008C70D4"/>
    <w:rsid w:val="008C716A"/>
    <w:rsid w:val="008C7CAA"/>
    <w:rsid w:val="008C7F14"/>
    <w:rsid w:val="008D0411"/>
    <w:rsid w:val="008D163B"/>
    <w:rsid w:val="008D2584"/>
    <w:rsid w:val="008D301B"/>
    <w:rsid w:val="008D4896"/>
    <w:rsid w:val="008D49AB"/>
    <w:rsid w:val="008D5150"/>
    <w:rsid w:val="008D6103"/>
    <w:rsid w:val="008D6F81"/>
    <w:rsid w:val="008E1272"/>
    <w:rsid w:val="008E3581"/>
    <w:rsid w:val="008E4011"/>
    <w:rsid w:val="008E4C83"/>
    <w:rsid w:val="008F00F2"/>
    <w:rsid w:val="008F0CE5"/>
    <w:rsid w:val="008F132F"/>
    <w:rsid w:val="008F2A79"/>
    <w:rsid w:val="008F3930"/>
    <w:rsid w:val="008F3970"/>
    <w:rsid w:val="008F3ED7"/>
    <w:rsid w:val="008F457D"/>
    <w:rsid w:val="008F6F34"/>
    <w:rsid w:val="0090154F"/>
    <w:rsid w:val="00901CEE"/>
    <w:rsid w:val="00901FD6"/>
    <w:rsid w:val="009025E3"/>
    <w:rsid w:val="00903973"/>
    <w:rsid w:val="00903FFB"/>
    <w:rsid w:val="0090506B"/>
    <w:rsid w:val="00905AB4"/>
    <w:rsid w:val="0090606B"/>
    <w:rsid w:val="0090738D"/>
    <w:rsid w:val="00910C0F"/>
    <w:rsid w:val="009129B2"/>
    <w:rsid w:val="00912C4A"/>
    <w:rsid w:val="00913B40"/>
    <w:rsid w:val="009166B7"/>
    <w:rsid w:val="00916A85"/>
    <w:rsid w:val="00916F7E"/>
    <w:rsid w:val="0091750C"/>
    <w:rsid w:val="00917B43"/>
    <w:rsid w:val="00917D1A"/>
    <w:rsid w:val="009215B5"/>
    <w:rsid w:val="00922747"/>
    <w:rsid w:val="00922A53"/>
    <w:rsid w:val="00922FD5"/>
    <w:rsid w:val="00927114"/>
    <w:rsid w:val="0092753E"/>
    <w:rsid w:val="00932EA5"/>
    <w:rsid w:val="00932FDD"/>
    <w:rsid w:val="00934068"/>
    <w:rsid w:val="00942147"/>
    <w:rsid w:val="00942A8D"/>
    <w:rsid w:val="00944950"/>
    <w:rsid w:val="00944A3B"/>
    <w:rsid w:val="00950842"/>
    <w:rsid w:val="00950F72"/>
    <w:rsid w:val="00953007"/>
    <w:rsid w:val="00953735"/>
    <w:rsid w:val="009552E8"/>
    <w:rsid w:val="00955702"/>
    <w:rsid w:val="00955E8B"/>
    <w:rsid w:val="00957ABA"/>
    <w:rsid w:val="00957D21"/>
    <w:rsid w:val="00957F63"/>
    <w:rsid w:val="009623EB"/>
    <w:rsid w:val="009627D8"/>
    <w:rsid w:val="00964218"/>
    <w:rsid w:val="009661F0"/>
    <w:rsid w:val="00967566"/>
    <w:rsid w:val="00967891"/>
    <w:rsid w:val="009730B8"/>
    <w:rsid w:val="00973870"/>
    <w:rsid w:val="00975962"/>
    <w:rsid w:val="00975F78"/>
    <w:rsid w:val="00976601"/>
    <w:rsid w:val="0097690A"/>
    <w:rsid w:val="00976B58"/>
    <w:rsid w:val="009778B1"/>
    <w:rsid w:val="009812D7"/>
    <w:rsid w:val="00985AF4"/>
    <w:rsid w:val="0098652A"/>
    <w:rsid w:val="009903AC"/>
    <w:rsid w:val="009915B9"/>
    <w:rsid w:val="00991F20"/>
    <w:rsid w:val="00993180"/>
    <w:rsid w:val="009939DB"/>
    <w:rsid w:val="00993D68"/>
    <w:rsid w:val="00994A1B"/>
    <w:rsid w:val="00995DCC"/>
    <w:rsid w:val="009972C8"/>
    <w:rsid w:val="009A01F9"/>
    <w:rsid w:val="009A3CCF"/>
    <w:rsid w:val="009A4ADC"/>
    <w:rsid w:val="009A50A7"/>
    <w:rsid w:val="009A5559"/>
    <w:rsid w:val="009B0625"/>
    <w:rsid w:val="009B0640"/>
    <w:rsid w:val="009B0CC4"/>
    <w:rsid w:val="009B0F7C"/>
    <w:rsid w:val="009B105F"/>
    <w:rsid w:val="009B10CF"/>
    <w:rsid w:val="009B1DA0"/>
    <w:rsid w:val="009B41A2"/>
    <w:rsid w:val="009B496D"/>
    <w:rsid w:val="009B66A4"/>
    <w:rsid w:val="009B74DD"/>
    <w:rsid w:val="009B7652"/>
    <w:rsid w:val="009C10DF"/>
    <w:rsid w:val="009C1AFA"/>
    <w:rsid w:val="009C2915"/>
    <w:rsid w:val="009C31C6"/>
    <w:rsid w:val="009C4097"/>
    <w:rsid w:val="009C54C1"/>
    <w:rsid w:val="009C5857"/>
    <w:rsid w:val="009C5C05"/>
    <w:rsid w:val="009C62A7"/>
    <w:rsid w:val="009D0434"/>
    <w:rsid w:val="009D1786"/>
    <w:rsid w:val="009D2758"/>
    <w:rsid w:val="009D2B25"/>
    <w:rsid w:val="009D37F7"/>
    <w:rsid w:val="009D6530"/>
    <w:rsid w:val="009E0706"/>
    <w:rsid w:val="009E16FE"/>
    <w:rsid w:val="009E45F5"/>
    <w:rsid w:val="009E51EF"/>
    <w:rsid w:val="009E59AC"/>
    <w:rsid w:val="009E7308"/>
    <w:rsid w:val="009E74F7"/>
    <w:rsid w:val="009E76EE"/>
    <w:rsid w:val="009F0D7D"/>
    <w:rsid w:val="009F141C"/>
    <w:rsid w:val="009F1917"/>
    <w:rsid w:val="009F1AF9"/>
    <w:rsid w:val="009F4AD1"/>
    <w:rsid w:val="009F4CEC"/>
    <w:rsid w:val="009F4D8A"/>
    <w:rsid w:val="009F5095"/>
    <w:rsid w:val="009F5E6F"/>
    <w:rsid w:val="009F7541"/>
    <w:rsid w:val="009F7E88"/>
    <w:rsid w:val="00A01E2B"/>
    <w:rsid w:val="00A024BE"/>
    <w:rsid w:val="00A030D6"/>
    <w:rsid w:val="00A03943"/>
    <w:rsid w:val="00A05175"/>
    <w:rsid w:val="00A05B98"/>
    <w:rsid w:val="00A0658F"/>
    <w:rsid w:val="00A06FD2"/>
    <w:rsid w:val="00A0706B"/>
    <w:rsid w:val="00A07A72"/>
    <w:rsid w:val="00A10077"/>
    <w:rsid w:val="00A1311C"/>
    <w:rsid w:val="00A13359"/>
    <w:rsid w:val="00A13F55"/>
    <w:rsid w:val="00A14925"/>
    <w:rsid w:val="00A15ABD"/>
    <w:rsid w:val="00A21C07"/>
    <w:rsid w:val="00A21CEF"/>
    <w:rsid w:val="00A24702"/>
    <w:rsid w:val="00A24D4E"/>
    <w:rsid w:val="00A25CBE"/>
    <w:rsid w:val="00A25FB1"/>
    <w:rsid w:val="00A26150"/>
    <w:rsid w:val="00A27175"/>
    <w:rsid w:val="00A31F3B"/>
    <w:rsid w:val="00A337F7"/>
    <w:rsid w:val="00A33DCC"/>
    <w:rsid w:val="00A34074"/>
    <w:rsid w:val="00A35129"/>
    <w:rsid w:val="00A4058E"/>
    <w:rsid w:val="00A405C2"/>
    <w:rsid w:val="00A41126"/>
    <w:rsid w:val="00A415F3"/>
    <w:rsid w:val="00A42C1D"/>
    <w:rsid w:val="00A43ED1"/>
    <w:rsid w:val="00A43EE6"/>
    <w:rsid w:val="00A44409"/>
    <w:rsid w:val="00A47B61"/>
    <w:rsid w:val="00A513C5"/>
    <w:rsid w:val="00A5207B"/>
    <w:rsid w:val="00A5211A"/>
    <w:rsid w:val="00A52B34"/>
    <w:rsid w:val="00A52FC8"/>
    <w:rsid w:val="00A5346E"/>
    <w:rsid w:val="00A53C16"/>
    <w:rsid w:val="00A54248"/>
    <w:rsid w:val="00A54E91"/>
    <w:rsid w:val="00A562EC"/>
    <w:rsid w:val="00A57C22"/>
    <w:rsid w:val="00A60442"/>
    <w:rsid w:val="00A62E2E"/>
    <w:rsid w:val="00A63389"/>
    <w:rsid w:val="00A63962"/>
    <w:rsid w:val="00A63E61"/>
    <w:rsid w:val="00A6518B"/>
    <w:rsid w:val="00A65902"/>
    <w:rsid w:val="00A65F78"/>
    <w:rsid w:val="00A67273"/>
    <w:rsid w:val="00A70569"/>
    <w:rsid w:val="00A7061F"/>
    <w:rsid w:val="00A70C5F"/>
    <w:rsid w:val="00A724A2"/>
    <w:rsid w:val="00A73B39"/>
    <w:rsid w:val="00A742C7"/>
    <w:rsid w:val="00A74822"/>
    <w:rsid w:val="00A74E55"/>
    <w:rsid w:val="00A75954"/>
    <w:rsid w:val="00A77306"/>
    <w:rsid w:val="00A80FA6"/>
    <w:rsid w:val="00A82A8A"/>
    <w:rsid w:val="00A835FA"/>
    <w:rsid w:val="00A83D0E"/>
    <w:rsid w:val="00A8464B"/>
    <w:rsid w:val="00A85B66"/>
    <w:rsid w:val="00A86F45"/>
    <w:rsid w:val="00A9211A"/>
    <w:rsid w:val="00A9326D"/>
    <w:rsid w:val="00A953B0"/>
    <w:rsid w:val="00A957FD"/>
    <w:rsid w:val="00A95C6F"/>
    <w:rsid w:val="00A97684"/>
    <w:rsid w:val="00AA000E"/>
    <w:rsid w:val="00AA0853"/>
    <w:rsid w:val="00AA1950"/>
    <w:rsid w:val="00AA264B"/>
    <w:rsid w:val="00AA40EC"/>
    <w:rsid w:val="00AA623A"/>
    <w:rsid w:val="00AB2229"/>
    <w:rsid w:val="00AB3166"/>
    <w:rsid w:val="00AB3649"/>
    <w:rsid w:val="00AB4BF5"/>
    <w:rsid w:val="00AB5F5A"/>
    <w:rsid w:val="00AB77D4"/>
    <w:rsid w:val="00AC028F"/>
    <w:rsid w:val="00AC0BBE"/>
    <w:rsid w:val="00AC2702"/>
    <w:rsid w:val="00AC2964"/>
    <w:rsid w:val="00AC4518"/>
    <w:rsid w:val="00AC5505"/>
    <w:rsid w:val="00AC795B"/>
    <w:rsid w:val="00AC7EF2"/>
    <w:rsid w:val="00AD062B"/>
    <w:rsid w:val="00AD7637"/>
    <w:rsid w:val="00AD7DFF"/>
    <w:rsid w:val="00AE1C8B"/>
    <w:rsid w:val="00AE2118"/>
    <w:rsid w:val="00AE37C4"/>
    <w:rsid w:val="00AE6E69"/>
    <w:rsid w:val="00AE79D4"/>
    <w:rsid w:val="00AE7D82"/>
    <w:rsid w:val="00AF16BD"/>
    <w:rsid w:val="00AF24DA"/>
    <w:rsid w:val="00AF2DDB"/>
    <w:rsid w:val="00AF58A8"/>
    <w:rsid w:val="00AF59E0"/>
    <w:rsid w:val="00AF6624"/>
    <w:rsid w:val="00AF717A"/>
    <w:rsid w:val="00B004C4"/>
    <w:rsid w:val="00B00B16"/>
    <w:rsid w:val="00B01324"/>
    <w:rsid w:val="00B03EA0"/>
    <w:rsid w:val="00B050A6"/>
    <w:rsid w:val="00B06A33"/>
    <w:rsid w:val="00B103F3"/>
    <w:rsid w:val="00B11AF3"/>
    <w:rsid w:val="00B12C9E"/>
    <w:rsid w:val="00B12EDA"/>
    <w:rsid w:val="00B130A7"/>
    <w:rsid w:val="00B13493"/>
    <w:rsid w:val="00B17945"/>
    <w:rsid w:val="00B17E32"/>
    <w:rsid w:val="00B20774"/>
    <w:rsid w:val="00B20957"/>
    <w:rsid w:val="00B231AE"/>
    <w:rsid w:val="00B24E78"/>
    <w:rsid w:val="00B25E17"/>
    <w:rsid w:val="00B25FF4"/>
    <w:rsid w:val="00B26E44"/>
    <w:rsid w:val="00B27903"/>
    <w:rsid w:val="00B30154"/>
    <w:rsid w:val="00B332C2"/>
    <w:rsid w:val="00B33AE7"/>
    <w:rsid w:val="00B34277"/>
    <w:rsid w:val="00B342CF"/>
    <w:rsid w:val="00B376DB"/>
    <w:rsid w:val="00B37CFB"/>
    <w:rsid w:val="00B42EE8"/>
    <w:rsid w:val="00B44247"/>
    <w:rsid w:val="00B450FD"/>
    <w:rsid w:val="00B459CC"/>
    <w:rsid w:val="00B45F8D"/>
    <w:rsid w:val="00B46EDF"/>
    <w:rsid w:val="00B477AF"/>
    <w:rsid w:val="00B51EA0"/>
    <w:rsid w:val="00B5276B"/>
    <w:rsid w:val="00B53D48"/>
    <w:rsid w:val="00B5417E"/>
    <w:rsid w:val="00B55BE0"/>
    <w:rsid w:val="00B55F79"/>
    <w:rsid w:val="00B60167"/>
    <w:rsid w:val="00B60AD1"/>
    <w:rsid w:val="00B61D67"/>
    <w:rsid w:val="00B62B27"/>
    <w:rsid w:val="00B63577"/>
    <w:rsid w:val="00B65A7B"/>
    <w:rsid w:val="00B65F51"/>
    <w:rsid w:val="00B67838"/>
    <w:rsid w:val="00B67B48"/>
    <w:rsid w:val="00B740D6"/>
    <w:rsid w:val="00B74AE1"/>
    <w:rsid w:val="00B74CAC"/>
    <w:rsid w:val="00B76BCE"/>
    <w:rsid w:val="00B76C00"/>
    <w:rsid w:val="00B80E93"/>
    <w:rsid w:val="00B813CA"/>
    <w:rsid w:val="00B81DCA"/>
    <w:rsid w:val="00B82555"/>
    <w:rsid w:val="00B82C31"/>
    <w:rsid w:val="00B82E30"/>
    <w:rsid w:val="00B85347"/>
    <w:rsid w:val="00B873C9"/>
    <w:rsid w:val="00B90235"/>
    <w:rsid w:val="00B903E1"/>
    <w:rsid w:val="00B93843"/>
    <w:rsid w:val="00B94601"/>
    <w:rsid w:val="00B94A10"/>
    <w:rsid w:val="00B95561"/>
    <w:rsid w:val="00B9588A"/>
    <w:rsid w:val="00B9591C"/>
    <w:rsid w:val="00B95CB5"/>
    <w:rsid w:val="00B96A3E"/>
    <w:rsid w:val="00BA0B33"/>
    <w:rsid w:val="00BA0D69"/>
    <w:rsid w:val="00BA11F2"/>
    <w:rsid w:val="00BA1BFB"/>
    <w:rsid w:val="00BA1D3C"/>
    <w:rsid w:val="00BA2D1E"/>
    <w:rsid w:val="00BA3AC6"/>
    <w:rsid w:val="00BA5385"/>
    <w:rsid w:val="00BA5DC2"/>
    <w:rsid w:val="00BA6AD4"/>
    <w:rsid w:val="00BA7BA1"/>
    <w:rsid w:val="00BB15FF"/>
    <w:rsid w:val="00BB1735"/>
    <w:rsid w:val="00BB1C2D"/>
    <w:rsid w:val="00BB4AEC"/>
    <w:rsid w:val="00BB6FFD"/>
    <w:rsid w:val="00BB7F17"/>
    <w:rsid w:val="00BC023B"/>
    <w:rsid w:val="00BC25E5"/>
    <w:rsid w:val="00BC29C9"/>
    <w:rsid w:val="00BC3398"/>
    <w:rsid w:val="00BC36EC"/>
    <w:rsid w:val="00BC572A"/>
    <w:rsid w:val="00BC6013"/>
    <w:rsid w:val="00BC7E55"/>
    <w:rsid w:val="00BD707E"/>
    <w:rsid w:val="00BE0DCD"/>
    <w:rsid w:val="00BE1DB9"/>
    <w:rsid w:val="00BE3CBC"/>
    <w:rsid w:val="00BE4CC4"/>
    <w:rsid w:val="00BF0988"/>
    <w:rsid w:val="00BF0A36"/>
    <w:rsid w:val="00BF0C4C"/>
    <w:rsid w:val="00BF1E6C"/>
    <w:rsid w:val="00BF1F25"/>
    <w:rsid w:val="00BF265E"/>
    <w:rsid w:val="00BF5311"/>
    <w:rsid w:val="00BF71DD"/>
    <w:rsid w:val="00BF75C2"/>
    <w:rsid w:val="00C00895"/>
    <w:rsid w:val="00C01448"/>
    <w:rsid w:val="00C024F2"/>
    <w:rsid w:val="00C02B6B"/>
    <w:rsid w:val="00C03251"/>
    <w:rsid w:val="00C07892"/>
    <w:rsid w:val="00C104EA"/>
    <w:rsid w:val="00C10A64"/>
    <w:rsid w:val="00C116A8"/>
    <w:rsid w:val="00C13E02"/>
    <w:rsid w:val="00C16628"/>
    <w:rsid w:val="00C17260"/>
    <w:rsid w:val="00C20157"/>
    <w:rsid w:val="00C21A5A"/>
    <w:rsid w:val="00C21C22"/>
    <w:rsid w:val="00C239CF"/>
    <w:rsid w:val="00C24EEE"/>
    <w:rsid w:val="00C260CE"/>
    <w:rsid w:val="00C3065F"/>
    <w:rsid w:val="00C31766"/>
    <w:rsid w:val="00C3299F"/>
    <w:rsid w:val="00C33776"/>
    <w:rsid w:val="00C349F7"/>
    <w:rsid w:val="00C3543A"/>
    <w:rsid w:val="00C3567F"/>
    <w:rsid w:val="00C35DF0"/>
    <w:rsid w:val="00C36FBC"/>
    <w:rsid w:val="00C379E9"/>
    <w:rsid w:val="00C4050A"/>
    <w:rsid w:val="00C434E3"/>
    <w:rsid w:val="00C44778"/>
    <w:rsid w:val="00C44885"/>
    <w:rsid w:val="00C44984"/>
    <w:rsid w:val="00C5270F"/>
    <w:rsid w:val="00C527B1"/>
    <w:rsid w:val="00C5299A"/>
    <w:rsid w:val="00C5354C"/>
    <w:rsid w:val="00C537F0"/>
    <w:rsid w:val="00C53ED0"/>
    <w:rsid w:val="00C544EC"/>
    <w:rsid w:val="00C549BB"/>
    <w:rsid w:val="00C566F8"/>
    <w:rsid w:val="00C614D8"/>
    <w:rsid w:val="00C6248A"/>
    <w:rsid w:val="00C63E1C"/>
    <w:rsid w:val="00C65508"/>
    <w:rsid w:val="00C674B0"/>
    <w:rsid w:val="00C70183"/>
    <w:rsid w:val="00C713D5"/>
    <w:rsid w:val="00C71802"/>
    <w:rsid w:val="00C726E8"/>
    <w:rsid w:val="00C72ABB"/>
    <w:rsid w:val="00C7363D"/>
    <w:rsid w:val="00C75309"/>
    <w:rsid w:val="00C75C2A"/>
    <w:rsid w:val="00C7606A"/>
    <w:rsid w:val="00C764CD"/>
    <w:rsid w:val="00C77A62"/>
    <w:rsid w:val="00C81949"/>
    <w:rsid w:val="00C84B82"/>
    <w:rsid w:val="00C85528"/>
    <w:rsid w:val="00C85F08"/>
    <w:rsid w:val="00C872CF"/>
    <w:rsid w:val="00C901A5"/>
    <w:rsid w:val="00C90B30"/>
    <w:rsid w:val="00C9181D"/>
    <w:rsid w:val="00C91C4E"/>
    <w:rsid w:val="00C924D7"/>
    <w:rsid w:val="00C926B2"/>
    <w:rsid w:val="00C930F1"/>
    <w:rsid w:val="00C93294"/>
    <w:rsid w:val="00C9403C"/>
    <w:rsid w:val="00CA0BC9"/>
    <w:rsid w:val="00CA1530"/>
    <w:rsid w:val="00CA1F8C"/>
    <w:rsid w:val="00CA27FA"/>
    <w:rsid w:val="00CA3E63"/>
    <w:rsid w:val="00CA4352"/>
    <w:rsid w:val="00CA661A"/>
    <w:rsid w:val="00CA77C7"/>
    <w:rsid w:val="00CB1819"/>
    <w:rsid w:val="00CB2298"/>
    <w:rsid w:val="00CB28B0"/>
    <w:rsid w:val="00CB2FA9"/>
    <w:rsid w:val="00CB338A"/>
    <w:rsid w:val="00CB3498"/>
    <w:rsid w:val="00CB4262"/>
    <w:rsid w:val="00CB4273"/>
    <w:rsid w:val="00CB61A7"/>
    <w:rsid w:val="00CB6FCC"/>
    <w:rsid w:val="00CB70B0"/>
    <w:rsid w:val="00CC09FA"/>
    <w:rsid w:val="00CC0D2A"/>
    <w:rsid w:val="00CC4814"/>
    <w:rsid w:val="00CC48FD"/>
    <w:rsid w:val="00CC544B"/>
    <w:rsid w:val="00CC68CC"/>
    <w:rsid w:val="00CC70FB"/>
    <w:rsid w:val="00CC73E2"/>
    <w:rsid w:val="00CD06AF"/>
    <w:rsid w:val="00CD0B79"/>
    <w:rsid w:val="00CD1746"/>
    <w:rsid w:val="00CD1793"/>
    <w:rsid w:val="00CD1A57"/>
    <w:rsid w:val="00CD1A7B"/>
    <w:rsid w:val="00CD1C33"/>
    <w:rsid w:val="00CD2BF9"/>
    <w:rsid w:val="00CD35F2"/>
    <w:rsid w:val="00CD3B89"/>
    <w:rsid w:val="00CD3EEB"/>
    <w:rsid w:val="00CE4D81"/>
    <w:rsid w:val="00CE57E6"/>
    <w:rsid w:val="00CE580C"/>
    <w:rsid w:val="00CE5A62"/>
    <w:rsid w:val="00CE7BB6"/>
    <w:rsid w:val="00CF760B"/>
    <w:rsid w:val="00CF79A0"/>
    <w:rsid w:val="00D00B5C"/>
    <w:rsid w:val="00D013C8"/>
    <w:rsid w:val="00D022D2"/>
    <w:rsid w:val="00D03439"/>
    <w:rsid w:val="00D037FE"/>
    <w:rsid w:val="00D04127"/>
    <w:rsid w:val="00D0463F"/>
    <w:rsid w:val="00D0738F"/>
    <w:rsid w:val="00D10559"/>
    <w:rsid w:val="00D15114"/>
    <w:rsid w:val="00D164FC"/>
    <w:rsid w:val="00D16828"/>
    <w:rsid w:val="00D16C60"/>
    <w:rsid w:val="00D16E1E"/>
    <w:rsid w:val="00D17725"/>
    <w:rsid w:val="00D200E8"/>
    <w:rsid w:val="00D20A82"/>
    <w:rsid w:val="00D22228"/>
    <w:rsid w:val="00D230DA"/>
    <w:rsid w:val="00D232F0"/>
    <w:rsid w:val="00D2334B"/>
    <w:rsid w:val="00D23EF1"/>
    <w:rsid w:val="00D24345"/>
    <w:rsid w:val="00D24BC4"/>
    <w:rsid w:val="00D262A7"/>
    <w:rsid w:val="00D266AF"/>
    <w:rsid w:val="00D2736F"/>
    <w:rsid w:val="00D31000"/>
    <w:rsid w:val="00D3161A"/>
    <w:rsid w:val="00D31C00"/>
    <w:rsid w:val="00D31C91"/>
    <w:rsid w:val="00D3246B"/>
    <w:rsid w:val="00D332E0"/>
    <w:rsid w:val="00D33418"/>
    <w:rsid w:val="00D35129"/>
    <w:rsid w:val="00D35283"/>
    <w:rsid w:val="00D35981"/>
    <w:rsid w:val="00D365FC"/>
    <w:rsid w:val="00D405DC"/>
    <w:rsid w:val="00D40BED"/>
    <w:rsid w:val="00D42332"/>
    <w:rsid w:val="00D44E76"/>
    <w:rsid w:val="00D47A30"/>
    <w:rsid w:val="00D50791"/>
    <w:rsid w:val="00D508E5"/>
    <w:rsid w:val="00D52026"/>
    <w:rsid w:val="00D529D9"/>
    <w:rsid w:val="00D53E4C"/>
    <w:rsid w:val="00D54213"/>
    <w:rsid w:val="00D61273"/>
    <w:rsid w:val="00D631F9"/>
    <w:rsid w:val="00D640D6"/>
    <w:rsid w:val="00D65583"/>
    <w:rsid w:val="00D6667F"/>
    <w:rsid w:val="00D66923"/>
    <w:rsid w:val="00D66E7D"/>
    <w:rsid w:val="00D66FDC"/>
    <w:rsid w:val="00D67FB4"/>
    <w:rsid w:val="00D7019B"/>
    <w:rsid w:val="00D703E9"/>
    <w:rsid w:val="00D71F31"/>
    <w:rsid w:val="00D7221A"/>
    <w:rsid w:val="00D72257"/>
    <w:rsid w:val="00D7311D"/>
    <w:rsid w:val="00D73635"/>
    <w:rsid w:val="00D73B1A"/>
    <w:rsid w:val="00D75566"/>
    <w:rsid w:val="00D7557C"/>
    <w:rsid w:val="00D759FE"/>
    <w:rsid w:val="00D7638C"/>
    <w:rsid w:val="00D76B5B"/>
    <w:rsid w:val="00D76E49"/>
    <w:rsid w:val="00D77BEA"/>
    <w:rsid w:val="00D77ED9"/>
    <w:rsid w:val="00D802BC"/>
    <w:rsid w:val="00D80DED"/>
    <w:rsid w:val="00D82EC8"/>
    <w:rsid w:val="00D833BA"/>
    <w:rsid w:val="00D835B3"/>
    <w:rsid w:val="00D8412B"/>
    <w:rsid w:val="00D8701D"/>
    <w:rsid w:val="00D873DC"/>
    <w:rsid w:val="00D879D3"/>
    <w:rsid w:val="00D9002E"/>
    <w:rsid w:val="00D909BD"/>
    <w:rsid w:val="00D94552"/>
    <w:rsid w:val="00D9548D"/>
    <w:rsid w:val="00D955BE"/>
    <w:rsid w:val="00D95ABE"/>
    <w:rsid w:val="00D96657"/>
    <w:rsid w:val="00D96ADF"/>
    <w:rsid w:val="00D96C83"/>
    <w:rsid w:val="00DA04A6"/>
    <w:rsid w:val="00DA1213"/>
    <w:rsid w:val="00DA2E8A"/>
    <w:rsid w:val="00DA3D1E"/>
    <w:rsid w:val="00DA796D"/>
    <w:rsid w:val="00DB0740"/>
    <w:rsid w:val="00DB0A83"/>
    <w:rsid w:val="00DB0ECD"/>
    <w:rsid w:val="00DB13AF"/>
    <w:rsid w:val="00DB2C0C"/>
    <w:rsid w:val="00DB5DD3"/>
    <w:rsid w:val="00DC0B4A"/>
    <w:rsid w:val="00DC13F0"/>
    <w:rsid w:val="00DC3571"/>
    <w:rsid w:val="00DC3D13"/>
    <w:rsid w:val="00DC5863"/>
    <w:rsid w:val="00DC58A2"/>
    <w:rsid w:val="00DD133D"/>
    <w:rsid w:val="00DD36BB"/>
    <w:rsid w:val="00DD56BE"/>
    <w:rsid w:val="00DD68FF"/>
    <w:rsid w:val="00DD7914"/>
    <w:rsid w:val="00DE0041"/>
    <w:rsid w:val="00DE2130"/>
    <w:rsid w:val="00DE2872"/>
    <w:rsid w:val="00DE3FEF"/>
    <w:rsid w:val="00DE4F66"/>
    <w:rsid w:val="00DE504F"/>
    <w:rsid w:val="00DE6297"/>
    <w:rsid w:val="00DF2D16"/>
    <w:rsid w:val="00DF2F76"/>
    <w:rsid w:val="00DF4D67"/>
    <w:rsid w:val="00DF4EF8"/>
    <w:rsid w:val="00DF4F24"/>
    <w:rsid w:val="00DF5787"/>
    <w:rsid w:val="00DF5AB9"/>
    <w:rsid w:val="00DF6299"/>
    <w:rsid w:val="00DF64BE"/>
    <w:rsid w:val="00DF6718"/>
    <w:rsid w:val="00DF753A"/>
    <w:rsid w:val="00DF7DBB"/>
    <w:rsid w:val="00E00E1B"/>
    <w:rsid w:val="00E01628"/>
    <w:rsid w:val="00E01F4E"/>
    <w:rsid w:val="00E1312D"/>
    <w:rsid w:val="00E138C7"/>
    <w:rsid w:val="00E15856"/>
    <w:rsid w:val="00E15E23"/>
    <w:rsid w:val="00E17C0A"/>
    <w:rsid w:val="00E20441"/>
    <w:rsid w:val="00E2152D"/>
    <w:rsid w:val="00E219FC"/>
    <w:rsid w:val="00E21DE8"/>
    <w:rsid w:val="00E2223A"/>
    <w:rsid w:val="00E25E3B"/>
    <w:rsid w:val="00E25EF2"/>
    <w:rsid w:val="00E3223D"/>
    <w:rsid w:val="00E3230E"/>
    <w:rsid w:val="00E3251A"/>
    <w:rsid w:val="00E32AF4"/>
    <w:rsid w:val="00E34E0F"/>
    <w:rsid w:val="00E365D6"/>
    <w:rsid w:val="00E36FB7"/>
    <w:rsid w:val="00E37DDF"/>
    <w:rsid w:val="00E4459D"/>
    <w:rsid w:val="00E44CF8"/>
    <w:rsid w:val="00E4646D"/>
    <w:rsid w:val="00E5040D"/>
    <w:rsid w:val="00E5067C"/>
    <w:rsid w:val="00E50CEC"/>
    <w:rsid w:val="00E5106E"/>
    <w:rsid w:val="00E51081"/>
    <w:rsid w:val="00E5110C"/>
    <w:rsid w:val="00E533A8"/>
    <w:rsid w:val="00E53C8A"/>
    <w:rsid w:val="00E55984"/>
    <w:rsid w:val="00E56251"/>
    <w:rsid w:val="00E56825"/>
    <w:rsid w:val="00E60638"/>
    <w:rsid w:val="00E60837"/>
    <w:rsid w:val="00E61A00"/>
    <w:rsid w:val="00E63351"/>
    <w:rsid w:val="00E66BB5"/>
    <w:rsid w:val="00E6716A"/>
    <w:rsid w:val="00E70C66"/>
    <w:rsid w:val="00E70F83"/>
    <w:rsid w:val="00E71682"/>
    <w:rsid w:val="00E73852"/>
    <w:rsid w:val="00E74534"/>
    <w:rsid w:val="00E74C8B"/>
    <w:rsid w:val="00E75478"/>
    <w:rsid w:val="00E76019"/>
    <w:rsid w:val="00E762DB"/>
    <w:rsid w:val="00E76E94"/>
    <w:rsid w:val="00E778BA"/>
    <w:rsid w:val="00E812CF"/>
    <w:rsid w:val="00E83240"/>
    <w:rsid w:val="00E86211"/>
    <w:rsid w:val="00E87735"/>
    <w:rsid w:val="00E8799A"/>
    <w:rsid w:val="00E9002E"/>
    <w:rsid w:val="00E903E7"/>
    <w:rsid w:val="00E9224E"/>
    <w:rsid w:val="00E93828"/>
    <w:rsid w:val="00E94998"/>
    <w:rsid w:val="00E94C65"/>
    <w:rsid w:val="00E94F6F"/>
    <w:rsid w:val="00E96604"/>
    <w:rsid w:val="00EA018F"/>
    <w:rsid w:val="00EA0C33"/>
    <w:rsid w:val="00EA0F5B"/>
    <w:rsid w:val="00EA23C8"/>
    <w:rsid w:val="00EA390F"/>
    <w:rsid w:val="00EA6A3C"/>
    <w:rsid w:val="00EA7589"/>
    <w:rsid w:val="00EB0F97"/>
    <w:rsid w:val="00EB16E2"/>
    <w:rsid w:val="00EB1871"/>
    <w:rsid w:val="00EB2077"/>
    <w:rsid w:val="00EB43C9"/>
    <w:rsid w:val="00EB51D6"/>
    <w:rsid w:val="00EB52B8"/>
    <w:rsid w:val="00EB54EC"/>
    <w:rsid w:val="00EB5575"/>
    <w:rsid w:val="00EB59EF"/>
    <w:rsid w:val="00EB6734"/>
    <w:rsid w:val="00EB6DDC"/>
    <w:rsid w:val="00EC038C"/>
    <w:rsid w:val="00EC1D73"/>
    <w:rsid w:val="00EC2874"/>
    <w:rsid w:val="00EC2981"/>
    <w:rsid w:val="00EC2AD1"/>
    <w:rsid w:val="00EC2B17"/>
    <w:rsid w:val="00EC6409"/>
    <w:rsid w:val="00EC6F7D"/>
    <w:rsid w:val="00ED1167"/>
    <w:rsid w:val="00ED20C0"/>
    <w:rsid w:val="00ED22C9"/>
    <w:rsid w:val="00ED22FA"/>
    <w:rsid w:val="00ED3D86"/>
    <w:rsid w:val="00ED5C99"/>
    <w:rsid w:val="00ED77F6"/>
    <w:rsid w:val="00EE122A"/>
    <w:rsid w:val="00EE15AE"/>
    <w:rsid w:val="00EE29F8"/>
    <w:rsid w:val="00EE452F"/>
    <w:rsid w:val="00EE5200"/>
    <w:rsid w:val="00EE5E64"/>
    <w:rsid w:val="00EF0231"/>
    <w:rsid w:val="00EF1C72"/>
    <w:rsid w:val="00EF1D55"/>
    <w:rsid w:val="00EF211D"/>
    <w:rsid w:val="00EF28B0"/>
    <w:rsid w:val="00EF4DFE"/>
    <w:rsid w:val="00EF5596"/>
    <w:rsid w:val="00EF6211"/>
    <w:rsid w:val="00EF6947"/>
    <w:rsid w:val="00EF7755"/>
    <w:rsid w:val="00F01BF1"/>
    <w:rsid w:val="00F02076"/>
    <w:rsid w:val="00F034BE"/>
    <w:rsid w:val="00F0392D"/>
    <w:rsid w:val="00F0553B"/>
    <w:rsid w:val="00F075E6"/>
    <w:rsid w:val="00F07A0C"/>
    <w:rsid w:val="00F1284A"/>
    <w:rsid w:val="00F140D5"/>
    <w:rsid w:val="00F15BAE"/>
    <w:rsid w:val="00F172BE"/>
    <w:rsid w:val="00F17D5C"/>
    <w:rsid w:val="00F20820"/>
    <w:rsid w:val="00F22288"/>
    <w:rsid w:val="00F22DF7"/>
    <w:rsid w:val="00F238DB"/>
    <w:rsid w:val="00F30EC2"/>
    <w:rsid w:val="00F328CF"/>
    <w:rsid w:val="00F358BF"/>
    <w:rsid w:val="00F35C8C"/>
    <w:rsid w:val="00F37A25"/>
    <w:rsid w:val="00F40203"/>
    <w:rsid w:val="00F40F52"/>
    <w:rsid w:val="00F41EF7"/>
    <w:rsid w:val="00F42865"/>
    <w:rsid w:val="00F432C6"/>
    <w:rsid w:val="00F4421B"/>
    <w:rsid w:val="00F4585A"/>
    <w:rsid w:val="00F45C7F"/>
    <w:rsid w:val="00F5005D"/>
    <w:rsid w:val="00F50107"/>
    <w:rsid w:val="00F512F2"/>
    <w:rsid w:val="00F52C8E"/>
    <w:rsid w:val="00F538FD"/>
    <w:rsid w:val="00F54400"/>
    <w:rsid w:val="00F55EFC"/>
    <w:rsid w:val="00F57807"/>
    <w:rsid w:val="00F6073B"/>
    <w:rsid w:val="00F60CFA"/>
    <w:rsid w:val="00F60FC5"/>
    <w:rsid w:val="00F6353A"/>
    <w:rsid w:val="00F64672"/>
    <w:rsid w:val="00F6791D"/>
    <w:rsid w:val="00F6794B"/>
    <w:rsid w:val="00F7112D"/>
    <w:rsid w:val="00F715EF"/>
    <w:rsid w:val="00F71643"/>
    <w:rsid w:val="00F7259F"/>
    <w:rsid w:val="00F73914"/>
    <w:rsid w:val="00F7520A"/>
    <w:rsid w:val="00F7694B"/>
    <w:rsid w:val="00F76A10"/>
    <w:rsid w:val="00F77DFA"/>
    <w:rsid w:val="00F8196F"/>
    <w:rsid w:val="00F84D43"/>
    <w:rsid w:val="00F86A87"/>
    <w:rsid w:val="00F870DC"/>
    <w:rsid w:val="00F873D1"/>
    <w:rsid w:val="00F906CB"/>
    <w:rsid w:val="00F93ABE"/>
    <w:rsid w:val="00F967C7"/>
    <w:rsid w:val="00F972FE"/>
    <w:rsid w:val="00F97D48"/>
    <w:rsid w:val="00FA088A"/>
    <w:rsid w:val="00FA0B85"/>
    <w:rsid w:val="00FA1206"/>
    <w:rsid w:val="00FA3249"/>
    <w:rsid w:val="00FA4CD2"/>
    <w:rsid w:val="00FA54F4"/>
    <w:rsid w:val="00FA7B77"/>
    <w:rsid w:val="00FA7D48"/>
    <w:rsid w:val="00FB056F"/>
    <w:rsid w:val="00FB33A5"/>
    <w:rsid w:val="00FB362B"/>
    <w:rsid w:val="00FB3700"/>
    <w:rsid w:val="00FB3D41"/>
    <w:rsid w:val="00FB4311"/>
    <w:rsid w:val="00FB697E"/>
    <w:rsid w:val="00FB795E"/>
    <w:rsid w:val="00FC11BE"/>
    <w:rsid w:val="00FC23FB"/>
    <w:rsid w:val="00FC247A"/>
    <w:rsid w:val="00FC3BAA"/>
    <w:rsid w:val="00FC4189"/>
    <w:rsid w:val="00FC5237"/>
    <w:rsid w:val="00FC52B8"/>
    <w:rsid w:val="00FC5F90"/>
    <w:rsid w:val="00FD0B9C"/>
    <w:rsid w:val="00FD277B"/>
    <w:rsid w:val="00FD35FA"/>
    <w:rsid w:val="00FD4547"/>
    <w:rsid w:val="00FD4AFD"/>
    <w:rsid w:val="00FD51A3"/>
    <w:rsid w:val="00FD5EC4"/>
    <w:rsid w:val="00FD5F31"/>
    <w:rsid w:val="00FD600D"/>
    <w:rsid w:val="00FE1599"/>
    <w:rsid w:val="00FE273E"/>
    <w:rsid w:val="00FE2C9A"/>
    <w:rsid w:val="00FE322B"/>
    <w:rsid w:val="00FE3EEF"/>
    <w:rsid w:val="00FE3F12"/>
    <w:rsid w:val="00FE3F25"/>
    <w:rsid w:val="00FE4DBA"/>
    <w:rsid w:val="00FE75B5"/>
    <w:rsid w:val="00FF1362"/>
    <w:rsid w:val="00FF1686"/>
    <w:rsid w:val="00FF2828"/>
    <w:rsid w:val="00FF3509"/>
    <w:rsid w:val="00FF5CE6"/>
    <w:rsid w:val="00FF621D"/>
    <w:rsid w:val="00FF690A"/>
    <w:rsid w:val="00FF7EF7"/>
    <w:rsid w:val="0108647F"/>
    <w:rsid w:val="01242B97"/>
    <w:rsid w:val="012A0256"/>
    <w:rsid w:val="01417F28"/>
    <w:rsid w:val="01443004"/>
    <w:rsid w:val="0149071E"/>
    <w:rsid w:val="01545618"/>
    <w:rsid w:val="015E3A3B"/>
    <w:rsid w:val="017964A9"/>
    <w:rsid w:val="01851778"/>
    <w:rsid w:val="018C0CEB"/>
    <w:rsid w:val="019927F8"/>
    <w:rsid w:val="01996FC1"/>
    <w:rsid w:val="019B6843"/>
    <w:rsid w:val="019C4149"/>
    <w:rsid w:val="019C6895"/>
    <w:rsid w:val="01A24C7D"/>
    <w:rsid w:val="01B843D4"/>
    <w:rsid w:val="01BA3658"/>
    <w:rsid w:val="01BA5102"/>
    <w:rsid w:val="01BC4DAE"/>
    <w:rsid w:val="01CB47CC"/>
    <w:rsid w:val="02013B5B"/>
    <w:rsid w:val="020341D0"/>
    <w:rsid w:val="021D656C"/>
    <w:rsid w:val="0231243F"/>
    <w:rsid w:val="02485075"/>
    <w:rsid w:val="024D768C"/>
    <w:rsid w:val="025B102D"/>
    <w:rsid w:val="0261048B"/>
    <w:rsid w:val="0268131B"/>
    <w:rsid w:val="026815E4"/>
    <w:rsid w:val="02817194"/>
    <w:rsid w:val="02860313"/>
    <w:rsid w:val="029112D6"/>
    <w:rsid w:val="029268E0"/>
    <w:rsid w:val="02982787"/>
    <w:rsid w:val="02A365E6"/>
    <w:rsid w:val="02A64D34"/>
    <w:rsid w:val="02AB6784"/>
    <w:rsid w:val="02B51262"/>
    <w:rsid w:val="02BD19E7"/>
    <w:rsid w:val="02C1524B"/>
    <w:rsid w:val="02C910D6"/>
    <w:rsid w:val="02C91949"/>
    <w:rsid w:val="02D70712"/>
    <w:rsid w:val="02E00554"/>
    <w:rsid w:val="02E33A9D"/>
    <w:rsid w:val="02F04FE7"/>
    <w:rsid w:val="02F15691"/>
    <w:rsid w:val="02F472CF"/>
    <w:rsid w:val="02F80385"/>
    <w:rsid w:val="02FD5A42"/>
    <w:rsid w:val="02FF4EEA"/>
    <w:rsid w:val="030158B6"/>
    <w:rsid w:val="03197B3C"/>
    <w:rsid w:val="03262337"/>
    <w:rsid w:val="036B29A7"/>
    <w:rsid w:val="037F0BFE"/>
    <w:rsid w:val="038378BB"/>
    <w:rsid w:val="038B7B8E"/>
    <w:rsid w:val="038E3DE1"/>
    <w:rsid w:val="03917E92"/>
    <w:rsid w:val="0394153D"/>
    <w:rsid w:val="03A31238"/>
    <w:rsid w:val="03A83FB4"/>
    <w:rsid w:val="03B8109A"/>
    <w:rsid w:val="03B95609"/>
    <w:rsid w:val="03BD361F"/>
    <w:rsid w:val="03CB79A9"/>
    <w:rsid w:val="03CD7DD8"/>
    <w:rsid w:val="03D63A51"/>
    <w:rsid w:val="03DB0AA4"/>
    <w:rsid w:val="03E944AB"/>
    <w:rsid w:val="03F74844"/>
    <w:rsid w:val="041B675B"/>
    <w:rsid w:val="0436281A"/>
    <w:rsid w:val="04460152"/>
    <w:rsid w:val="044944E2"/>
    <w:rsid w:val="045734E9"/>
    <w:rsid w:val="048B3E14"/>
    <w:rsid w:val="048F0882"/>
    <w:rsid w:val="04964A50"/>
    <w:rsid w:val="04996AF4"/>
    <w:rsid w:val="049B65BC"/>
    <w:rsid w:val="04A17A33"/>
    <w:rsid w:val="04A35EBA"/>
    <w:rsid w:val="04A859D9"/>
    <w:rsid w:val="04CC765A"/>
    <w:rsid w:val="04D11DD0"/>
    <w:rsid w:val="04E04747"/>
    <w:rsid w:val="04E17836"/>
    <w:rsid w:val="04EC3A82"/>
    <w:rsid w:val="04ED12F3"/>
    <w:rsid w:val="04EE40EE"/>
    <w:rsid w:val="04F01ED9"/>
    <w:rsid w:val="05036B30"/>
    <w:rsid w:val="05044BB3"/>
    <w:rsid w:val="050C4F1E"/>
    <w:rsid w:val="051D27ED"/>
    <w:rsid w:val="051E0EED"/>
    <w:rsid w:val="052C7985"/>
    <w:rsid w:val="05397005"/>
    <w:rsid w:val="053B03B1"/>
    <w:rsid w:val="054114DF"/>
    <w:rsid w:val="05541983"/>
    <w:rsid w:val="05581755"/>
    <w:rsid w:val="055E5928"/>
    <w:rsid w:val="056A01C4"/>
    <w:rsid w:val="058F5787"/>
    <w:rsid w:val="05924B19"/>
    <w:rsid w:val="05B11F63"/>
    <w:rsid w:val="05B203ED"/>
    <w:rsid w:val="05B744C1"/>
    <w:rsid w:val="05BD07EA"/>
    <w:rsid w:val="05C65AF1"/>
    <w:rsid w:val="05F51BD4"/>
    <w:rsid w:val="05F84F04"/>
    <w:rsid w:val="05FC3ECD"/>
    <w:rsid w:val="06022A2D"/>
    <w:rsid w:val="060E0D3B"/>
    <w:rsid w:val="060F333B"/>
    <w:rsid w:val="06182D3C"/>
    <w:rsid w:val="0627678C"/>
    <w:rsid w:val="06364DF6"/>
    <w:rsid w:val="06525A6F"/>
    <w:rsid w:val="065C25C0"/>
    <w:rsid w:val="06624310"/>
    <w:rsid w:val="066820CF"/>
    <w:rsid w:val="06A35EB8"/>
    <w:rsid w:val="06A3745D"/>
    <w:rsid w:val="06A85C49"/>
    <w:rsid w:val="06B94B23"/>
    <w:rsid w:val="06BD64BD"/>
    <w:rsid w:val="06CB11A6"/>
    <w:rsid w:val="06DB4EFA"/>
    <w:rsid w:val="06DE1ED6"/>
    <w:rsid w:val="06EC1374"/>
    <w:rsid w:val="07005A9A"/>
    <w:rsid w:val="071B239F"/>
    <w:rsid w:val="072561E2"/>
    <w:rsid w:val="0727457C"/>
    <w:rsid w:val="07772215"/>
    <w:rsid w:val="07831197"/>
    <w:rsid w:val="079314E2"/>
    <w:rsid w:val="0797412C"/>
    <w:rsid w:val="079B0250"/>
    <w:rsid w:val="07A53EA2"/>
    <w:rsid w:val="07C541BE"/>
    <w:rsid w:val="07CA7C2E"/>
    <w:rsid w:val="07F23B5B"/>
    <w:rsid w:val="07F53984"/>
    <w:rsid w:val="08006EF8"/>
    <w:rsid w:val="081B1CFB"/>
    <w:rsid w:val="081C4F49"/>
    <w:rsid w:val="08201859"/>
    <w:rsid w:val="082E3338"/>
    <w:rsid w:val="085417EE"/>
    <w:rsid w:val="086F5437"/>
    <w:rsid w:val="08892842"/>
    <w:rsid w:val="08971593"/>
    <w:rsid w:val="08971C56"/>
    <w:rsid w:val="0898116B"/>
    <w:rsid w:val="08986B18"/>
    <w:rsid w:val="089D188E"/>
    <w:rsid w:val="089E1975"/>
    <w:rsid w:val="08AF1457"/>
    <w:rsid w:val="08D62603"/>
    <w:rsid w:val="08E36401"/>
    <w:rsid w:val="08E960D2"/>
    <w:rsid w:val="08FB0A6A"/>
    <w:rsid w:val="09033637"/>
    <w:rsid w:val="09097F4E"/>
    <w:rsid w:val="090C68E1"/>
    <w:rsid w:val="091E42C0"/>
    <w:rsid w:val="09200547"/>
    <w:rsid w:val="09240971"/>
    <w:rsid w:val="09296AB4"/>
    <w:rsid w:val="0930437B"/>
    <w:rsid w:val="09314DB3"/>
    <w:rsid w:val="09341DC4"/>
    <w:rsid w:val="0936071C"/>
    <w:rsid w:val="09366598"/>
    <w:rsid w:val="093C72B1"/>
    <w:rsid w:val="09404F53"/>
    <w:rsid w:val="094947ED"/>
    <w:rsid w:val="094A4C9B"/>
    <w:rsid w:val="094C5FAC"/>
    <w:rsid w:val="09832117"/>
    <w:rsid w:val="09A14DA5"/>
    <w:rsid w:val="09C54723"/>
    <w:rsid w:val="09CF221D"/>
    <w:rsid w:val="09F3797E"/>
    <w:rsid w:val="09F4732C"/>
    <w:rsid w:val="09FE71CA"/>
    <w:rsid w:val="0A013A04"/>
    <w:rsid w:val="0A047790"/>
    <w:rsid w:val="0A0E6785"/>
    <w:rsid w:val="0A134ED9"/>
    <w:rsid w:val="0A1E0336"/>
    <w:rsid w:val="0A3E3491"/>
    <w:rsid w:val="0A596F6B"/>
    <w:rsid w:val="0A5B7993"/>
    <w:rsid w:val="0A5C75DB"/>
    <w:rsid w:val="0A6510C2"/>
    <w:rsid w:val="0A6B43FA"/>
    <w:rsid w:val="0A752525"/>
    <w:rsid w:val="0A7D73CF"/>
    <w:rsid w:val="0A841766"/>
    <w:rsid w:val="0AA50CBC"/>
    <w:rsid w:val="0AC6783F"/>
    <w:rsid w:val="0AE015E2"/>
    <w:rsid w:val="0AE02339"/>
    <w:rsid w:val="0B002F30"/>
    <w:rsid w:val="0B0C0E63"/>
    <w:rsid w:val="0B0F2CFE"/>
    <w:rsid w:val="0B2C49CE"/>
    <w:rsid w:val="0B43373E"/>
    <w:rsid w:val="0B58489E"/>
    <w:rsid w:val="0B5A2860"/>
    <w:rsid w:val="0B7C1DFC"/>
    <w:rsid w:val="0B80619A"/>
    <w:rsid w:val="0B91235B"/>
    <w:rsid w:val="0BA472B3"/>
    <w:rsid w:val="0BA66A88"/>
    <w:rsid w:val="0BB7467A"/>
    <w:rsid w:val="0BC30206"/>
    <w:rsid w:val="0BC5722B"/>
    <w:rsid w:val="0BCA3809"/>
    <w:rsid w:val="0BD811DC"/>
    <w:rsid w:val="0BDE2C73"/>
    <w:rsid w:val="0BE47F61"/>
    <w:rsid w:val="0C0153FE"/>
    <w:rsid w:val="0C0E4327"/>
    <w:rsid w:val="0C1736AF"/>
    <w:rsid w:val="0C210DBD"/>
    <w:rsid w:val="0C286DF9"/>
    <w:rsid w:val="0C3C2191"/>
    <w:rsid w:val="0C442023"/>
    <w:rsid w:val="0C4439C8"/>
    <w:rsid w:val="0C764F66"/>
    <w:rsid w:val="0C78584F"/>
    <w:rsid w:val="0C90518E"/>
    <w:rsid w:val="0C9743E1"/>
    <w:rsid w:val="0CB10D14"/>
    <w:rsid w:val="0CBB296A"/>
    <w:rsid w:val="0CBD6A35"/>
    <w:rsid w:val="0CC2631A"/>
    <w:rsid w:val="0CCE2E12"/>
    <w:rsid w:val="0CDB28F9"/>
    <w:rsid w:val="0CE265FE"/>
    <w:rsid w:val="0CE64E73"/>
    <w:rsid w:val="0CE752C4"/>
    <w:rsid w:val="0CEB7EB2"/>
    <w:rsid w:val="0CEF4FFA"/>
    <w:rsid w:val="0CF51BF3"/>
    <w:rsid w:val="0D1F2AC7"/>
    <w:rsid w:val="0D23201B"/>
    <w:rsid w:val="0D4161D6"/>
    <w:rsid w:val="0D4D084E"/>
    <w:rsid w:val="0D5C3DD8"/>
    <w:rsid w:val="0D5F0C35"/>
    <w:rsid w:val="0D651073"/>
    <w:rsid w:val="0D683FF2"/>
    <w:rsid w:val="0D7B528E"/>
    <w:rsid w:val="0D8D5550"/>
    <w:rsid w:val="0D98113F"/>
    <w:rsid w:val="0DA73B86"/>
    <w:rsid w:val="0DD84583"/>
    <w:rsid w:val="0DEC1246"/>
    <w:rsid w:val="0E036F7D"/>
    <w:rsid w:val="0E095CB3"/>
    <w:rsid w:val="0E0E2616"/>
    <w:rsid w:val="0E152345"/>
    <w:rsid w:val="0E1D2431"/>
    <w:rsid w:val="0E3C03C0"/>
    <w:rsid w:val="0E433C11"/>
    <w:rsid w:val="0E6E1577"/>
    <w:rsid w:val="0E757792"/>
    <w:rsid w:val="0E7C5D7D"/>
    <w:rsid w:val="0E8E115B"/>
    <w:rsid w:val="0E9577A4"/>
    <w:rsid w:val="0EB01CFD"/>
    <w:rsid w:val="0EBD3E9D"/>
    <w:rsid w:val="0ECD290C"/>
    <w:rsid w:val="0ED055FB"/>
    <w:rsid w:val="0ED5398D"/>
    <w:rsid w:val="0EDC4477"/>
    <w:rsid w:val="0EDD5F2B"/>
    <w:rsid w:val="0EED3B46"/>
    <w:rsid w:val="0F0F7B37"/>
    <w:rsid w:val="0F1259A0"/>
    <w:rsid w:val="0F1F371E"/>
    <w:rsid w:val="0F1F63BF"/>
    <w:rsid w:val="0F2065EB"/>
    <w:rsid w:val="0F296838"/>
    <w:rsid w:val="0F313473"/>
    <w:rsid w:val="0F390336"/>
    <w:rsid w:val="0F391DAD"/>
    <w:rsid w:val="0F425E16"/>
    <w:rsid w:val="0F520A09"/>
    <w:rsid w:val="0F59008A"/>
    <w:rsid w:val="0F616109"/>
    <w:rsid w:val="0F6316A0"/>
    <w:rsid w:val="0F637711"/>
    <w:rsid w:val="0F85491C"/>
    <w:rsid w:val="0F946AAC"/>
    <w:rsid w:val="0F9A087F"/>
    <w:rsid w:val="0FA20DA6"/>
    <w:rsid w:val="0FA751D8"/>
    <w:rsid w:val="0FB159D8"/>
    <w:rsid w:val="0FC936E2"/>
    <w:rsid w:val="0FD359B9"/>
    <w:rsid w:val="0FDA0251"/>
    <w:rsid w:val="0FDD0A3F"/>
    <w:rsid w:val="0FDD2FCD"/>
    <w:rsid w:val="0FE00240"/>
    <w:rsid w:val="0FF01693"/>
    <w:rsid w:val="0FF061F2"/>
    <w:rsid w:val="0FF4582F"/>
    <w:rsid w:val="100750C9"/>
    <w:rsid w:val="100A14E3"/>
    <w:rsid w:val="102449F6"/>
    <w:rsid w:val="102711A2"/>
    <w:rsid w:val="102A0764"/>
    <w:rsid w:val="102F2633"/>
    <w:rsid w:val="103E273A"/>
    <w:rsid w:val="10436635"/>
    <w:rsid w:val="10497E94"/>
    <w:rsid w:val="105F3BD0"/>
    <w:rsid w:val="10826FCE"/>
    <w:rsid w:val="10871E49"/>
    <w:rsid w:val="108C58FC"/>
    <w:rsid w:val="10DB1532"/>
    <w:rsid w:val="10EB59A7"/>
    <w:rsid w:val="10F96BC6"/>
    <w:rsid w:val="11015A1F"/>
    <w:rsid w:val="11031393"/>
    <w:rsid w:val="110D0B25"/>
    <w:rsid w:val="11162729"/>
    <w:rsid w:val="11171289"/>
    <w:rsid w:val="112137E7"/>
    <w:rsid w:val="112B64AC"/>
    <w:rsid w:val="11437B53"/>
    <w:rsid w:val="11443064"/>
    <w:rsid w:val="1154496C"/>
    <w:rsid w:val="11561DE1"/>
    <w:rsid w:val="11667AAD"/>
    <w:rsid w:val="11726B17"/>
    <w:rsid w:val="117E6A7D"/>
    <w:rsid w:val="11A6040F"/>
    <w:rsid w:val="11B159CB"/>
    <w:rsid w:val="11B73F42"/>
    <w:rsid w:val="11B84B36"/>
    <w:rsid w:val="11CE0A81"/>
    <w:rsid w:val="11DC0E58"/>
    <w:rsid w:val="11F2404A"/>
    <w:rsid w:val="11FA23A8"/>
    <w:rsid w:val="11FA52C9"/>
    <w:rsid w:val="1202616C"/>
    <w:rsid w:val="12191200"/>
    <w:rsid w:val="122F0942"/>
    <w:rsid w:val="124222F8"/>
    <w:rsid w:val="12457F15"/>
    <w:rsid w:val="124608DE"/>
    <w:rsid w:val="124779E4"/>
    <w:rsid w:val="12477A61"/>
    <w:rsid w:val="124D28E3"/>
    <w:rsid w:val="125B433E"/>
    <w:rsid w:val="126169E1"/>
    <w:rsid w:val="12662687"/>
    <w:rsid w:val="126C2CAD"/>
    <w:rsid w:val="129D4DE6"/>
    <w:rsid w:val="12B45379"/>
    <w:rsid w:val="12BC4EBB"/>
    <w:rsid w:val="12C9780A"/>
    <w:rsid w:val="12DC62C0"/>
    <w:rsid w:val="12DF1793"/>
    <w:rsid w:val="12E80F52"/>
    <w:rsid w:val="12E90E57"/>
    <w:rsid w:val="12FC5163"/>
    <w:rsid w:val="130F304C"/>
    <w:rsid w:val="13146AEB"/>
    <w:rsid w:val="13200581"/>
    <w:rsid w:val="13675076"/>
    <w:rsid w:val="139871D0"/>
    <w:rsid w:val="13AD5213"/>
    <w:rsid w:val="13AF4099"/>
    <w:rsid w:val="13B17070"/>
    <w:rsid w:val="13D600B4"/>
    <w:rsid w:val="13D653E9"/>
    <w:rsid w:val="13DB38A7"/>
    <w:rsid w:val="13E06F65"/>
    <w:rsid w:val="13EE087E"/>
    <w:rsid w:val="13F43368"/>
    <w:rsid w:val="13F827F3"/>
    <w:rsid w:val="13FA141C"/>
    <w:rsid w:val="13FC09DD"/>
    <w:rsid w:val="140E5F99"/>
    <w:rsid w:val="141A2D35"/>
    <w:rsid w:val="141C6064"/>
    <w:rsid w:val="142A2C0E"/>
    <w:rsid w:val="14325239"/>
    <w:rsid w:val="143E6954"/>
    <w:rsid w:val="14432EB8"/>
    <w:rsid w:val="144333DD"/>
    <w:rsid w:val="14473A35"/>
    <w:rsid w:val="146549BC"/>
    <w:rsid w:val="14742ECD"/>
    <w:rsid w:val="14856A8B"/>
    <w:rsid w:val="1491280A"/>
    <w:rsid w:val="149639D9"/>
    <w:rsid w:val="149916E5"/>
    <w:rsid w:val="14AC56E1"/>
    <w:rsid w:val="14CC08AA"/>
    <w:rsid w:val="14EE35A5"/>
    <w:rsid w:val="15134B73"/>
    <w:rsid w:val="151F2E24"/>
    <w:rsid w:val="15303292"/>
    <w:rsid w:val="15460BDD"/>
    <w:rsid w:val="15663557"/>
    <w:rsid w:val="156A01D3"/>
    <w:rsid w:val="157A6087"/>
    <w:rsid w:val="158B35E9"/>
    <w:rsid w:val="15A63561"/>
    <w:rsid w:val="15B20AD3"/>
    <w:rsid w:val="15B53B9F"/>
    <w:rsid w:val="15BE7CAB"/>
    <w:rsid w:val="15C06257"/>
    <w:rsid w:val="15D23282"/>
    <w:rsid w:val="15D5355B"/>
    <w:rsid w:val="15DA6E9E"/>
    <w:rsid w:val="15DC32D9"/>
    <w:rsid w:val="15E04E5A"/>
    <w:rsid w:val="15EB4BE7"/>
    <w:rsid w:val="15EC4CC4"/>
    <w:rsid w:val="15F905BA"/>
    <w:rsid w:val="160A5CEF"/>
    <w:rsid w:val="161D7A9A"/>
    <w:rsid w:val="162115DE"/>
    <w:rsid w:val="16212955"/>
    <w:rsid w:val="163026FD"/>
    <w:rsid w:val="163E3747"/>
    <w:rsid w:val="16456CC4"/>
    <w:rsid w:val="164813C6"/>
    <w:rsid w:val="1650706E"/>
    <w:rsid w:val="16531805"/>
    <w:rsid w:val="16710B48"/>
    <w:rsid w:val="16770956"/>
    <w:rsid w:val="16774C37"/>
    <w:rsid w:val="169460F8"/>
    <w:rsid w:val="16984A05"/>
    <w:rsid w:val="16AB3ED9"/>
    <w:rsid w:val="16AC1DD6"/>
    <w:rsid w:val="16BC62B8"/>
    <w:rsid w:val="16E8527E"/>
    <w:rsid w:val="16F80E67"/>
    <w:rsid w:val="17106D13"/>
    <w:rsid w:val="17125301"/>
    <w:rsid w:val="171C34BA"/>
    <w:rsid w:val="171D1F4E"/>
    <w:rsid w:val="17286204"/>
    <w:rsid w:val="17583913"/>
    <w:rsid w:val="175C2D88"/>
    <w:rsid w:val="17632756"/>
    <w:rsid w:val="17662980"/>
    <w:rsid w:val="17684D51"/>
    <w:rsid w:val="1771724D"/>
    <w:rsid w:val="17935A31"/>
    <w:rsid w:val="17993FD1"/>
    <w:rsid w:val="17997876"/>
    <w:rsid w:val="17A25569"/>
    <w:rsid w:val="17AA57C4"/>
    <w:rsid w:val="17B8211C"/>
    <w:rsid w:val="17BE42E9"/>
    <w:rsid w:val="17C37954"/>
    <w:rsid w:val="17C64A09"/>
    <w:rsid w:val="17DB2EE0"/>
    <w:rsid w:val="17DD4E0B"/>
    <w:rsid w:val="17E2473E"/>
    <w:rsid w:val="17F47BED"/>
    <w:rsid w:val="17F67C40"/>
    <w:rsid w:val="17F779DA"/>
    <w:rsid w:val="18117495"/>
    <w:rsid w:val="181548D3"/>
    <w:rsid w:val="181C4222"/>
    <w:rsid w:val="18435EB9"/>
    <w:rsid w:val="184E2578"/>
    <w:rsid w:val="18514210"/>
    <w:rsid w:val="18520AC3"/>
    <w:rsid w:val="18630A2D"/>
    <w:rsid w:val="1869633E"/>
    <w:rsid w:val="186D39B7"/>
    <w:rsid w:val="18724607"/>
    <w:rsid w:val="18826DA1"/>
    <w:rsid w:val="18891CD8"/>
    <w:rsid w:val="18995E47"/>
    <w:rsid w:val="18A53C62"/>
    <w:rsid w:val="18A85616"/>
    <w:rsid w:val="18B01BFD"/>
    <w:rsid w:val="18B054FD"/>
    <w:rsid w:val="18B175CE"/>
    <w:rsid w:val="18F615BD"/>
    <w:rsid w:val="18FF234A"/>
    <w:rsid w:val="19251DDD"/>
    <w:rsid w:val="19270435"/>
    <w:rsid w:val="192B0F35"/>
    <w:rsid w:val="19302A18"/>
    <w:rsid w:val="194A56E2"/>
    <w:rsid w:val="195053E2"/>
    <w:rsid w:val="19717A60"/>
    <w:rsid w:val="197B3D12"/>
    <w:rsid w:val="1982122A"/>
    <w:rsid w:val="198928A5"/>
    <w:rsid w:val="19D91D07"/>
    <w:rsid w:val="19D96C72"/>
    <w:rsid w:val="19EA74E1"/>
    <w:rsid w:val="1A260FC1"/>
    <w:rsid w:val="1A323497"/>
    <w:rsid w:val="1A343C07"/>
    <w:rsid w:val="1A3C0102"/>
    <w:rsid w:val="1A407A93"/>
    <w:rsid w:val="1A4407D8"/>
    <w:rsid w:val="1A462421"/>
    <w:rsid w:val="1A5E10C1"/>
    <w:rsid w:val="1A5F22FE"/>
    <w:rsid w:val="1A66238D"/>
    <w:rsid w:val="1A7018B1"/>
    <w:rsid w:val="1A733E3A"/>
    <w:rsid w:val="1A7C5346"/>
    <w:rsid w:val="1A836B32"/>
    <w:rsid w:val="1A893033"/>
    <w:rsid w:val="1A9504BD"/>
    <w:rsid w:val="1AB77DC3"/>
    <w:rsid w:val="1AC7392A"/>
    <w:rsid w:val="1AD96637"/>
    <w:rsid w:val="1AF444A6"/>
    <w:rsid w:val="1B0812F5"/>
    <w:rsid w:val="1B1A019C"/>
    <w:rsid w:val="1B475DF2"/>
    <w:rsid w:val="1B526DB5"/>
    <w:rsid w:val="1B642879"/>
    <w:rsid w:val="1B660F6F"/>
    <w:rsid w:val="1B760630"/>
    <w:rsid w:val="1B86008C"/>
    <w:rsid w:val="1B880AAE"/>
    <w:rsid w:val="1B9A0095"/>
    <w:rsid w:val="1B9D5AAC"/>
    <w:rsid w:val="1BA66F4F"/>
    <w:rsid w:val="1BAE1032"/>
    <w:rsid w:val="1BC2309E"/>
    <w:rsid w:val="1BC40DFA"/>
    <w:rsid w:val="1BC67F80"/>
    <w:rsid w:val="1BC964B7"/>
    <w:rsid w:val="1BD52663"/>
    <w:rsid w:val="1BED0619"/>
    <w:rsid w:val="1C05313C"/>
    <w:rsid w:val="1C2166EA"/>
    <w:rsid w:val="1C3173A3"/>
    <w:rsid w:val="1C36543C"/>
    <w:rsid w:val="1C435338"/>
    <w:rsid w:val="1C6D189F"/>
    <w:rsid w:val="1C7604A2"/>
    <w:rsid w:val="1C864142"/>
    <w:rsid w:val="1C9112ED"/>
    <w:rsid w:val="1C9A5BC2"/>
    <w:rsid w:val="1CA01CB6"/>
    <w:rsid w:val="1CA45B08"/>
    <w:rsid w:val="1CDD743E"/>
    <w:rsid w:val="1CEF1489"/>
    <w:rsid w:val="1CFA2BC1"/>
    <w:rsid w:val="1D010E4D"/>
    <w:rsid w:val="1D056CD6"/>
    <w:rsid w:val="1D1046FD"/>
    <w:rsid w:val="1D155885"/>
    <w:rsid w:val="1D2E0287"/>
    <w:rsid w:val="1D5948A7"/>
    <w:rsid w:val="1D604A38"/>
    <w:rsid w:val="1D671E57"/>
    <w:rsid w:val="1D6C768D"/>
    <w:rsid w:val="1D6F1461"/>
    <w:rsid w:val="1D710F76"/>
    <w:rsid w:val="1D730B79"/>
    <w:rsid w:val="1D735C80"/>
    <w:rsid w:val="1D846F1C"/>
    <w:rsid w:val="1D9502FC"/>
    <w:rsid w:val="1D950793"/>
    <w:rsid w:val="1DB24D34"/>
    <w:rsid w:val="1DB42F60"/>
    <w:rsid w:val="1DB77537"/>
    <w:rsid w:val="1DD25EBA"/>
    <w:rsid w:val="1DEA25B4"/>
    <w:rsid w:val="1DF203AA"/>
    <w:rsid w:val="1E0123E7"/>
    <w:rsid w:val="1E234579"/>
    <w:rsid w:val="1E350312"/>
    <w:rsid w:val="1E48470A"/>
    <w:rsid w:val="1E494AB5"/>
    <w:rsid w:val="1E764FE4"/>
    <w:rsid w:val="1E8E117C"/>
    <w:rsid w:val="1E993BBB"/>
    <w:rsid w:val="1E9F10B7"/>
    <w:rsid w:val="1E9F6ABA"/>
    <w:rsid w:val="1EA828EE"/>
    <w:rsid w:val="1EB548EA"/>
    <w:rsid w:val="1EB72B83"/>
    <w:rsid w:val="1EBB6992"/>
    <w:rsid w:val="1EC401B0"/>
    <w:rsid w:val="1ECA1BDC"/>
    <w:rsid w:val="1ED26BBC"/>
    <w:rsid w:val="1EDA4D0D"/>
    <w:rsid w:val="1EDB3B74"/>
    <w:rsid w:val="1EE258C2"/>
    <w:rsid w:val="1EF04B90"/>
    <w:rsid w:val="1EF30AA1"/>
    <w:rsid w:val="1F095979"/>
    <w:rsid w:val="1F0C0B3D"/>
    <w:rsid w:val="1F1B78D6"/>
    <w:rsid w:val="1F1C5A02"/>
    <w:rsid w:val="1F29051A"/>
    <w:rsid w:val="1F2B5A74"/>
    <w:rsid w:val="1F3B7BA0"/>
    <w:rsid w:val="1F54115B"/>
    <w:rsid w:val="1F574879"/>
    <w:rsid w:val="1F5D725B"/>
    <w:rsid w:val="1F63167A"/>
    <w:rsid w:val="1F6D3C9A"/>
    <w:rsid w:val="1F867115"/>
    <w:rsid w:val="1F8D4C71"/>
    <w:rsid w:val="1FC134AF"/>
    <w:rsid w:val="1FCD69F4"/>
    <w:rsid w:val="1FD032CE"/>
    <w:rsid w:val="1FD22E33"/>
    <w:rsid w:val="1FD4007F"/>
    <w:rsid w:val="1FF27D84"/>
    <w:rsid w:val="1FF4292B"/>
    <w:rsid w:val="1FF90C1E"/>
    <w:rsid w:val="2003785A"/>
    <w:rsid w:val="200A11A8"/>
    <w:rsid w:val="200F1565"/>
    <w:rsid w:val="202368F6"/>
    <w:rsid w:val="203B20DE"/>
    <w:rsid w:val="203D6C88"/>
    <w:rsid w:val="20530D3C"/>
    <w:rsid w:val="2064519B"/>
    <w:rsid w:val="20652A60"/>
    <w:rsid w:val="207362D6"/>
    <w:rsid w:val="20781440"/>
    <w:rsid w:val="207C1201"/>
    <w:rsid w:val="207D14EC"/>
    <w:rsid w:val="20891E72"/>
    <w:rsid w:val="208B772A"/>
    <w:rsid w:val="20AF3D0F"/>
    <w:rsid w:val="20B131D7"/>
    <w:rsid w:val="20B8725A"/>
    <w:rsid w:val="20CE3120"/>
    <w:rsid w:val="20D00272"/>
    <w:rsid w:val="20D46A76"/>
    <w:rsid w:val="20D81A37"/>
    <w:rsid w:val="20D91233"/>
    <w:rsid w:val="20F77642"/>
    <w:rsid w:val="20F8466E"/>
    <w:rsid w:val="20FA1161"/>
    <w:rsid w:val="211C4C2C"/>
    <w:rsid w:val="21480631"/>
    <w:rsid w:val="214A3887"/>
    <w:rsid w:val="214E21E3"/>
    <w:rsid w:val="215C4E51"/>
    <w:rsid w:val="216451EB"/>
    <w:rsid w:val="2172148D"/>
    <w:rsid w:val="21736C7D"/>
    <w:rsid w:val="217A1804"/>
    <w:rsid w:val="21820AA0"/>
    <w:rsid w:val="21A60B14"/>
    <w:rsid w:val="21C46DBD"/>
    <w:rsid w:val="21D90E21"/>
    <w:rsid w:val="21DB1567"/>
    <w:rsid w:val="21E34985"/>
    <w:rsid w:val="21F31F7D"/>
    <w:rsid w:val="22055232"/>
    <w:rsid w:val="22076518"/>
    <w:rsid w:val="220F7598"/>
    <w:rsid w:val="2213595A"/>
    <w:rsid w:val="22145220"/>
    <w:rsid w:val="221A73D8"/>
    <w:rsid w:val="2222557F"/>
    <w:rsid w:val="22234CE7"/>
    <w:rsid w:val="223C1CB7"/>
    <w:rsid w:val="223E7B56"/>
    <w:rsid w:val="22674B89"/>
    <w:rsid w:val="2276215C"/>
    <w:rsid w:val="2278728D"/>
    <w:rsid w:val="227F3860"/>
    <w:rsid w:val="22880AD5"/>
    <w:rsid w:val="22A4321D"/>
    <w:rsid w:val="22AA766E"/>
    <w:rsid w:val="22B731A6"/>
    <w:rsid w:val="22BB44AB"/>
    <w:rsid w:val="22BC62E5"/>
    <w:rsid w:val="22BD2D50"/>
    <w:rsid w:val="22C6189D"/>
    <w:rsid w:val="22E10FAA"/>
    <w:rsid w:val="22E22992"/>
    <w:rsid w:val="22F24B2A"/>
    <w:rsid w:val="2308481C"/>
    <w:rsid w:val="23085487"/>
    <w:rsid w:val="230D060F"/>
    <w:rsid w:val="231922C3"/>
    <w:rsid w:val="232744FF"/>
    <w:rsid w:val="233157E3"/>
    <w:rsid w:val="23442125"/>
    <w:rsid w:val="234B086B"/>
    <w:rsid w:val="234B5C81"/>
    <w:rsid w:val="236E1D10"/>
    <w:rsid w:val="237836E4"/>
    <w:rsid w:val="237C49CD"/>
    <w:rsid w:val="237D1BED"/>
    <w:rsid w:val="238E7C7B"/>
    <w:rsid w:val="23AF2A51"/>
    <w:rsid w:val="23C848BE"/>
    <w:rsid w:val="23E43FFD"/>
    <w:rsid w:val="23EA1982"/>
    <w:rsid w:val="23EE429C"/>
    <w:rsid w:val="23F671C2"/>
    <w:rsid w:val="2409769C"/>
    <w:rsid w:val="240C33A2"/>
    <w:rsid w:val="2425528C"/>
    <w:rsid w:val="24373B1E"/>
    <w:rsid w:val="24814B82"/>
    <w:rsid w:val="24867876"/>
    <w:rsid w:val="248D1F4B"/>
    <w:rsid w:val="249069DD"/>
    <w:rsid w:val="24934C99"/>
    <w:rsid w:val="24A32827"/>
    <w:rsid w:val="24A3388B"/>
    <w:rsid w:val="24A77048"/>
    <w:rsid w:val="24AC5A62"/>
    <w:rsid w:val="24B35CEB"/>
    <w:rsid w:val="24CA2140"/>
    <w:rsid w:val="24CA4967"/>
    <w:rsid w:val="24D651B8"/>
    <w:rsid w:val="24DA0BED"/>
    <w:rsid w:val="24EB5053"/>
    <w:rsid w:val="24F52E5D"/>
    <w:rsid w:val="24FB3C7B"/>
    <w:rsid w:val="25177996"/>
    <w:rsid w:val="252639FD"/>
    <w:rsid w:val="252D5DCA"/>
    <w:rsid w:val="25324209"/>
    <w:rsid w:val="2533439A"/>
    <w:rsid w:val="254476F1"/>
    <w:rsid w:val="255A6863"/>
    <w:rsid w:val="255F2922"/>
    <w:rsid w:val="2572391E"/>
    <w:rsid w:val="257815FF"/>
    <w:rsid w:val="25782608"/>
    <w:rsid w:val="2588079D"/>
    <w:rsid w:val="25897072"/>
    <w:rsid w:val="259F3C60"/>
    <w:rsid w:val="25A80FC7"/>
    <w:rsid w:val="25AE1D99"/>
    <w:rsid w:val="25BD376F"/>
    <w:rsid w:val="25D20840"/>
    <w:rsid w:val="25F41480"/>
    <w:rsid w:val="25F86939"/>
    <w:rsid w:val="25FA004D"/>
    <w:rsid w:val="26046CAA"/>
    <w:rsid w:val="264D66B1"/>
    <w:rsid w:val="2654468B"/>
    <w:rsid w:val="265E1847"/>
    <w:rsid w:val="266E5C88"/>
    <w:rsid w:val="26791843"/>
    <w:rsid w:val="267B1F77"/>
    <w:rsid w:val="267B4C3D"/>
    <w:rsid w:val="26945F27"/>
    <w:rsid w:val="269C2BCB"/>
    <w:rsid w:val="269E0014"/>
    <w:rsid w:val="26A65B40"/>
    <w:rsid w:val="26B25E5A"/>
    <w:rsid w:val="26C27167"/>
    <w:rsid w:val="26C467A8"/>
    <w:rsid w:val="26C84387"/>
    <w:rsid w:val="26E520F6"/>
    <w:rsid w:val="26E85FB9"/>
    <w:rsid w:val="27006CA7"/>
    <w:rsid w:val="27110EDF"/>
    <w:rsid w:val="271D7D92"/>
    <w:rsid w:val="273079EF"/>
    <w:rsid w:val="27384EB5"/>
    <w:rsid w:val="27591990"/>
    <w:rsid w:val="275D65F5"/>
    <w:rsid w:val="2777263E"/>
    <w:rsid w:val="2788244C"/>
    <w:rsid w:val="2792434F"/>
    <w:rsid w:val="27973E78"/>
    <w:rsid w:val="27A157F2"/>
    <w:rsid w:val="27A7768E"/>
    <w:rsid w:val="27AC7671"/>
    <w:rsid w:val="27B2328B"/>
    <w:rsid w:val="27C402A1"/>
    <w:rsid w:val="27CB550A"/>
    <w:rsid w:val="27D822B7"/>
    <w:rsid w:val="27DB2338"/>
    <w:rsid w:val="27DD735E"/>
    <w:rsid w:val="27F17EA2"/>
    <w:rsid w:val="27FC34A8"/>
    <w:rsid w:val="28052F25"/>
    <w:rsid w:val="28233194"/>
    <w:rsid w:val="2839061D"/>
    <w:rsid w:val="283A05DC"/>
    <w:rsid w:val="283B37A3"/>
    <w:rsid w:val="28474EA4"/>
    <w:rsid w:val="28563C77"/>
    <w:rsid w:val="28636BC2"/>
    <w:rsid w:val="287761B8"/>
    <w:rsid w:val="2880001A"/>
    <w:rsid w:val="28866E4D"/>
    <w:rsid w:val="28893CD3"/>
    <w:rsid w:val="289312FE"/>
    <w:rsid w:val="28A43C82"/>
    <w:rsid w:val="28A626AF"/>
    <w:rsid w:val="28BD13AF"/>
    <w:rsid w:val="28D863A4"/>
    <w:rsid w:val="28DF2D3D"/>
    <w:rsid w:val="28E42E0B"/>
    <w:rsid w:val="28F95975"/>
    <w:rsid w:val="29013E32"/>
    <w:rsid w:val="29101103"/>
    <w:rsid w:val="291503A3"/>
    <w:rsid w:val="292915B2"/>
    <w:rsid w:val="292F7E41"/>
    <w:rsid w:val="2935068F"/>
    <w:rsid w:val="29491CBA"/>
    <w:rsid w:val="295D10F0"/>
    <w:rsid w:val="29601B52"/>
    <w:rsid w:val="296D732A"/>
    <w:rsid w:val="296F0D2D"/>
    <w:rsid w:val="296F7B40"/>
    <w:rsid w:val="297C5227"/>
    <w:rsid w:val="29827584"/>
    <w:rsid w:val="299623F1"/>
    <w:rsid w:val="299E44D6"/>
    <w:rsid w:val="29A872FB"/>
    <w:rsid w:val="29B04909"/>
    <w:rsid w:val="29BF4824"/>
    <w:rsid w:val="29C0676D"/>
    <w:rsid w:val="29D63757"/>
    <w:rsid w:val="29D67C37"/>
    <w:rsid w:val="29DC525C"/>
    <w:rsid w:val="29DD582A"/>
    <w:rsid w:val="29E008AE"/>
    <w:rsid w:val="29FD79C7"/>
    <w:rsid w:val="2A0F6CDF"/>
    <w:rsid w:val="2A101D4A"/>
    <w:rsid w:val="2A122555"/>
    <w:rsid w:val="2A1F69C8"/>
    <w:rsid w:val="2A265EBF"/>
    <w:rsid w:val="2A524BDB"/>
    <w:rsid w:val="2A5912F4"/>
    <w:rsid w:val="2A5B618F"/>
    <w:rsid w:val="2A7077EE"/>
    <w:rsid w:val="2A74736B"/>
    <w:rsid w:val="2A7C4F9A"/>
    <w:rsid w:val="2A7D1B82"/>
    <w:rsid w:val="2A8750C2"/>
    <w:rsid w:val="2A963093"/>
    <w:rsid w:val="2AA62D58"/>
    <w:rsid w:val="2AA92A21"/>
    <w:rsid w:val="2ACD3663"/>
    <w:rsid w:val="2ADE2C6B"/>
    <w:rsid w:val="2AF00CED"/>
    <w:rsid w:val="2B0166AA"/>
    <w:rsid w:val="2B062E16"/>
    <w:rsid w:val="2B1356E2"/>
    <w:rsid w:val="2B1C4340"/>
    <w:rsid w:val="2B1F1308"/>
    <w:rsid w:val="2B2731C6"/>
    <w:rsid w:val="2B36148A"/>
    <w:rsid w:val="2B513F18"/>
    <w:rsid w:val="2B5D62B7"/>
    <w:rsid w:val="2B605A31"/>
    <w:rsid w:val="2B650E1B"/>
    <w:rsid w:val="2B68461C"/>
    <w:rsid w:val="2B8942BD"/>
    <w:rsid w:val="2B905FB7"/>
    <w:rsid w:val="2BA30D4A"/>
    <w:rsid w:val="2BAD423A"/>
    <w:rsid w:val="2BC96365"/>
    <w:rsid w:val="2BCD03D2"/>
    <w:rsid w:val="2BCD2278"/>
    <w:rsid w:val="2BDB6D0B"/>
    <w:rsid w:val="2BE34810"/>
    <w:rsid w:val="2BEC15D5"/>
    <w:rsid w:val="2BF42C52"/>
    <w:rsid w:val="2BFE5197"/>
    <w:rsid w:val="2C376C86"/>
    <w:rsid w:val="2C4B08C7"/>
    <w:rsid w:val="2C5F0EC7"/>
    <w:rsid w:val="2C611C67"/>
    <w:rsid w:val="2C652437"/>
    <w:rsid w:val="2C6D00A1"/>
    <w:rsid w:val="2C6F2844"/>
    <w:rsid w:val="2C7910D6"/>
    <w:rsid w:val="2C8B79F5"/>
    <w:rsid w:val="2C8C5DDC"/>
    <w:rsid w:val="2C8E00B2"/>
    <w:rsid w:val="2C9D2E10"/>
    <w:rsid w:val="2C9D4247"/>
    <w:rsid w:val="2CA1037B"/>
    <w:rsid w:val="2CB164D9"/>
    <w:rsid w:val="2CC34986"/>
    <w:rsid w:val="2CD0152F"/>
    <w:rsid w:val="2CD40E14"/>
    <w:rsid w:val="2CF32354"/>
    <w:rsid w:val="2D167838"/>
    <w:rsid w:val="2D2A5546"/>
    <w:rsid w:val="2D2E2133"/>
    <w:rsid w:val="2D544D9D"/>
    <w:rsid w:val="2D5700A0"/>
    <w:rsid w:val="2D6A7C5B"/>
    <w:rsid w:val="2D760F47"/>
    <w:rsid w:val="2D7E2D12"/>
    <w:rsid w:val="2D8D4E9E"/>
    <w:rsid w:val="2DCB5D17"/>
    <w:rsid w:val="2DE63084"/>
    <w:rsid w:val="2DE75242"/>
    <w:rsid w:val="2E293828"/>
    <w:rsid w:val="2E2E4769"/>
    <w:rsid w:val="2E2F21C5"/>
    <w:rsid w:val="2E2F5EBB"/>
    <w:rsid w:val="2E3C6328"/>
    <w:rsid w:val="2E3F5109"/>
    <w:rsid w:val="2E566088"/>
    <w:rsid w:val="2E570260"/>
    <w:rsid w:val="2E644886"/>
    <w:rsid w:val="2E746E03"/>
    <w:rsid w:val="2EA902D2"/>
    <w:rsid w:val="2EB20C71"/>
    <w:rsid w:val="2EC753F9"/>
    <w:rsid w:val="2ECD0A59"/>
    <w:rsid w:val="2ECD0F2D"/>
    <w:rsid w:val="2ED05631"/>
    <w:rsid w:val="2ED505C7"/>
    <w:rsid w:val="2EDC5322"/>
    <w:rsid w:val="2EE00CD2"/>
    <w:rsid w:val="2EF72ABA"/>
    <w:rsid w:val="2EFB192A"/>
    <w:rsid w:val="2F044FB5"/>
    <w:rsid w:val="2F0B239A"/>
    <w:rsid w:val="2F1A7CA8"/>
    <w:rsid w:val="2F216FA9"/>
    <w:rsid w:val="2F2D6512"/>
    <w:rsid w:val="2F39427A"/>
    <w:rsid w:val="2F55409B"/>
    <w:rsid w:val="2F5E1470"/>
    <w:rsid w:val="2F685B6D"/>
    <w:rsid w:val="2F77649C"/>
    <w:rsid w:val="2F9B3E80"/>
    <w:rsid w:val="2FB456E1"/>
    <w:rsid w:val="2FB62E3E"/>
    <w:rsid w:val="2FB703CF"/>
    <w:rsid w:val="2FB910A8"/>
    <w:rsid w:val="2FBE30D4"/>
    <w:rsid w:val="2FC75150"/>
    <w:rsid w:val="2FD53D74"/>
    <w:rsid w:val="2FE40AA5"/>
    <w:rsid w:val="2FF03F85"/>
    <w:rsid w:val="2FF74E4F"/>
    <w:rsid w:val="2FFB6B44"/>
    <w:rsid w:val="302E4FA6"/>
    <w:rsid w:val="303A1144"/>
    <w:rsid w:val="30460629"/>
    <w:rsid w:val="30535A4F"/>
    <w:rsid w:val="30573F46"/>
    <w:rsid w:val="30613682"/>
    <w:rsid w:val="30645027"/>
    <w:rsid w:val="30873541"/>
    <w:rsid w:val="30881FEA"/>
    <w:rsid w:val="309504AE"/>
    <w:rsid w:val="30A771A5"/>
    <w:rsid w:val="30C2575D"/>
    <w:rsid w:val="30C3689F"/>
    <w:rsid w:val="30C73D33"/>
    <w:rsid w:val="30CF2C52"/>
    <w:rsid w:val="30DA6383"/>
    <w:rsid w:val="30EF072F"/>
    <w:rsid w:val="30F129C8"/>
    <w:rsid w:val="30F51292"/>
    <w:rsid w:val="30FB2EDD"/>
    <w:rsid w:val="30FF2476"/>
    <w:rsid w:val="31090F6E"/>
    <w:rsid w:val="310D65A8"/>
    <w:rsid w:val="311A538B"/>
    <w:rsid w:val="3124116F"/>
    <w:rsid w:val="312507CD"/>
    <w:rsid w:val="31464598"/>
    <w:rsid w:val="31480B6E"/>
    <w:rsid w:val="31631C14"/>
    <w:rsid w:val="317C238C"/>
    <w:rsid w:val="317E455E"/>
    <w:rsid w:val="31812D26"/>
    <w:rsid w:val="318C4D09"/>
    <w:rsid w:val="319240D6"/>
    <w:rsid w:val="31AD17FA"/>
    <w:rsid w:val="31B2735B"/>
    <w:rsid w:val="31C279AF"/>
    <w:rsid w:val="31DB5B96"/>
    <w:rsid w:val="31E367AE"/>
    <w:rsid w:val="31EB22ED"/>
    <w:rsid w:val="31ED43E4"/>
    <w:rsid w:val="31F5587C"/>
    <w:rsid w:val="31FA2DA0"/>
    <w:rsid w:val="320C3C60"/>
    <w:rsid w:val="32182BCD"/>
    <w:rsid w:val="321B42B4"/>
    <w:rsid w:val="32232C98"/>
    <w:rsid w:val="322546A8"/>
    <w:rsid w:val="322C16CD"/>
    <w:rsid w:val="322F2C68"/>
    <w:rsid w:val="32326D27"/>
    <w:rsid w:val="3235149E"/>
    <w:rsid w:val="323A37A9"/>
    <w:rsid w:val="32671087"/>
    <w:rsid w:val="32684B25"/>
    <w:rsid w:val="326C6F87"/>
    <w:rsid w:val="32926BB9"/>
    <w:rsid w:val="329471E9"/>
    <w:rsid w:val="3299520A"/>
    <w:rsid w:val="329E2208"/>
    <w:rsid w:val="32A65EC0"/>
    <w:rsid w:val="32A80F1E"/>
    <w:rsid w:val="32C02977"/>
    <w:rsid w:val="32C51287"/>
    <w:rsid w:val="32D824A0"/>
    <w:rsid w:val="32E2757F"/>
    <w:rsid w:val="32E57252"/>
    <w:rsid w:val="33091E1F"/>
    <w:rsid w:val="331E099F"/>
    <w:rsid w:val="3328336B"/>
    <w:rsid w:val="333663FF"/>
    <w:rsid w:val="333C7FDD"/>
    <w:rsid w:val="3342213D"/>
    <w:rsid w:val="334C1DC5"/>
    <w:rsid w:val="33522F6A"/>
    <w:rsid w:val="336F2358"/>
    <w:rsid w:val="33727633"/>
    <w:rsid w:val="338F7249"/>
    <w:rsid w:val="339077F6"/>
    <w:rsid w:val="33B2461C"/>
    <w:rsid w:val="33C67C3F"/>
    <w:rsid w:val="33CD2311"/>
    <w:rsid w:val="33D10BAC"/>
    <w:rsid w:val="33DA4207"/>
    <w:rsid w:val="33F10FBA"/>
    <w:rsid w:val="33F47F2B"/>
    <w:rsid w:val="33F97298"/>
    <w:rsid w:val="33FF3035"/>
    <w:rsid w:val="340163F7"/>
    <w:rsid w:val="34086603"/>
    <w:rsid w:val="342C4726"/>
    <w:rsid w:val="343A2409"/>
    <w:rsid w:val="34544B80"/>
    <w:rsid w:val="345A3805"/>
    <w:rsid w:val="346269C2"/>
    <w:rsid w:val="34656F77"/>
    <w:rsid w:val="34683A41"/>
    <w:rsid w:val="346C6EA1"/>
    <w:rsid w:val="347910EA"/>
    <w:rsid w:val="347F690C"/>
    <w:rsid w:val="348147E7"/>
    <w:rsid w:val="349162E4"/>
    <w:rsid w:val="34996D25"/>
    <w:rsid w:val="34B60E57"/>
    <w:rsid w:val="34B951CB"/>
    <w:rsid w:val="34BC4D7C"/>
    <w:rsid w:val="34BD7F3F"/>
    <w:rsid w:val="34CC202E"/>
    <w:rsid w:val="34E078A9"/>
    <w:rsid w:val="34E55ACF"/>
    <w:rsid w:val="34E85DEA"/>
    <w:rsid w:val="34F00DF2"/>
    <w:rsid w:val="34F81B04"/>
    <w:rsid w:val="350B4466"/>
    <w:rsid w:val="350C7565"/>
    <w:rsid w:val="353321A9"/>
    <w:rsid w:val="3537276F"/>
    <w:rsid w:val="3544634A"/>
    <w:rsid w:val="35465A59"/>
    <w:rsid w:val="35486087"/>
    <w:rsid w:val="354B08E8"/>
    <w:rsid w:val="355307CF"/>
    <w:rsid w:val="35600185"/>
    <w:rsid w:val="35620EF0"/>
    <w:rsid w:val="357D6614"/>
    <w:rsid w:val="35821149"/>
    <w:rsid w:val="358A72E3"/>
    <w:rsid w:val="359875F2"/>
    <w:rsid w:val="35A112FC"/>
    <w:rsid w:val="35A11DFC"/>
    <w:rsid w:val="35B37939"/>
    <w:rsid w:val="35BA79A5"/>
    <w:rsid w:val="35BD3CA0"/>
    <w:rsid w:val="35C05B93"/>
    <w:rsid w:val="35C30497"/>
    <w:rsid w:val="35E171AE"/>
    <w:rsid w:val="35E50252"/>
    <w:rsid w:val="360A4192"/>
    <w:rsid w:val="361356F4"/>
    <w:rsid w:val="362B1E1E"/>
    <w:rsid w:val="362E2A50"/>
    <w:rsid w:val="364E1A98"/>
    <w:rsid w:val="3650709A"/>
    <w:rsid w:val="36513B29"/>
    <w:rsid w:val="3655701B"/>
    <w:rsid w:val="366B4C8F"/>
    <w:rsid w:val="366D4FFF"/>
    <w:rsid w:val="366D78DF"/>
    <w:rsid w:val="36781966"/>
    <w:rsid w:val="368C6C52"/>
    <w:rsid w:val="369170DE"/>
    <w:rsid w:val="36A25EC2"/>
    <w:rsid w:val="36B93617"/>
    <w:rsid w:val="36C34072"/>
    <w:rsid w:val="36C85C75"/>
    <w:rsid w:val="36DB10FE"/>
    <w:rsid w:val="36E91683"/>
    <w:rsid w:val="36EA3D4F"/>
    <w:rsid w:val="36F2259C"/>
    <w:rsid w:val="371C24A9"/>
    <w:rsid w:val="37255810"/>
    <w:rsid w:val="373C3878"/>
    <w:rsid w:val="373F62BD"/>
    <w:rsid w:val="374C0007"/>
    <w:rsid w:val="375B6B0F"/>
    <w:rsid w:val="37722D2E"/>
    <w:rsid w:val="37734F87"/>
    <w:rsid w:val="37746BED"/>
    <w:rsid w:val="37751AC9"/>
    <w:rsid w:val="377B64D6"/>
    <w:rsid w:val="378657D6"/>
    <w:rsid w:val="37934DB9"/>
    <w:rsid w:val="3793622A"/>
    <w:rsid w:val="37995ED9"/>
    <w:rsid w:val="379A3596"/>
    <w:rsid w:val="379A59B1"/>
    <w:rsid w:val="379D3D73"/>
    <w:rsid w:val="379E413F"/>
    <w:rsid w:val="379F5E8C"/>
    <w:rsid w:val="37A479A0"/>
    <w:rsid w:val="37B4685D"/>
    <w:rsid w:val="37B72C58"/>
    <w:rsid w:val="37D66A1A"/>
    <w:rsid w:val="37DB5A5E"/>
    <w:rsid w:val="37F040A2"/>
    <w:rsid w:val="37F54D8E"/>
    <w:rsid w:val="37FA4D9A"/>
    <w:rsid w:val="3814721C"/>
    <w:rsid w:val="383226D8"/>
    <w:rsid w:val="38446316"/>
    <w:rsid w:val="385648F0"/>
    <w:rsid w:val="385C5F9D"/>
    <w:rsid w:val="386C1027"/>
    <w:rsid w:val="386D4E39"/>
    <w:rsid w:val="387463BA"/>
    <w:rsid w:val="38876362"/>
    <w:rsid w:val="388B319D"/>
    <w:rsid w:val="38A35A2F"/>
    <w:rsid w:val="38A56BEC"/>
    <w:rsid w:val="38A772CB"/>
    <w:rsid w:val="38AB10AC"/>
    <w:rsid w:val="38B07447"/>
    <w:rsid w:val="38D059AD"/>
    <w:rsid w:val="38D724CF"/>
    <w:rsid w:val="38DE17A7"/>
    <w:rsid w:val="38E01952"/>
    <w:rsid w:val="38E300DE"/>
    <w:rsid w:val="38E95637"/>
    <w:rsid w:val="38F02BCD"/>
    <w:rsid w:val="38F51A80"/>
    <w:rsid w:val="38F85971"/>
    <w:rsid w:val="38F86B35"/>
    <w:rsid w:val="39100DF2"/>
    <w:rsid w:val="39115E2E"/>
    <w:rsid w:val="391221EA"/>
    <w:rsid w:val="39221761"/>
    <w:rsid w:val="39263607"/>
    <w:rsid w:val="393A4DDE"/>
    <w:rsid w:val="396C3880"/>
    <w:rsid w:val="396D7809"/>
    <w:rsid w:val="39774085"/>
    <w:rsid w:val="39795A1C"/>
    <w:rsid w:val="39972387"/>
    <w:rsid w:val="39985C46"/>
    <w:rsid w:val="39C77392"/>
    <w:rsid w:val="39C77F2D"/>
    <w:rsid w:val="39CC6B14"/>
    <w:rsid w:val="39E5396F"/>
    <w:rsid w:val="3A394365"/>
    <w:rsid w:val="3A4654B4"/>
    <w:rsid w:val="3A515D38"/>
    <w:rsid w:val="3A6E5E84"/>
    <w:rsid w:val="3A7955AF"/>
    <w:rsid w:val="3A7A2779"/>
    <w:rsid w:val="3A7B0D81"/>
    <w:rsid w:val="3A7D61BB"/>
    <w:rsid w:val="3A890429"/>
    <w:rsid w:val="3A8D0FD9"/>
    <w:rsid w:val="3AB143B7"/>
    <w:rsid w:val="3AB84C3E"/>
    <w:rsid w:val="3AB92080"/>
    <w:rsid w:val="3AC825C3"/>
    <w:rsid w:val="3ACB21A9"/>
    <w:rsid w:val="3AD122A6"/>
    <w:rsid w:val="3AD43239"/>
    <w:rsid w:val="3AD63BB7"/>
    <w:rsid w:val="3ADE374C"/>
    <w:rsid w:val="3AE01FA0"/>
    <w:rsid w:val="3AE561D7"/>
    <w:rsid w:val="3AFC0BC3"/>
    <w:rsid w:val="3B022B6D"/>
    <w:rsid w:val="3B183708"/>
    <w:rsid w:val="3B1F0229"/>
    <w:rsid w:val="3B246E2E"/>
    <w:rsid w:val="3B290B8E"/>
    <w:rsid w:val="3B3014F8"/>
    <w:rsid w:val="3B453479"/>
    <w:rsid w:val="3B5164A6"/>
    <w:rsid w:val="3B5A2CE0"/>
    <w:rsid w:val="3B661DC9"/>
    <w:rsid w:val="3B796936"/>
    <w:rsid w:val="3B7B0C90"/>
    <w:rsid w:val="3B8F13C5"/>
    <w:rsid w:val="3BA13B63"/>
    <w:rsid w:val="3BA44C35"/>
    <w:rsid w:val="3BC27FB5"/>
    <w:rsid w:val="3BD425FD"/>
    <w:rsid w:val="3BD929F9"/>
    <w:rsid w:val="3BD956D9"/>
    <w:rsid w:val="3BE77EEA"/>
    <w:rsid w:val="3BEF57B0"/>
    <w:rsid w:val="3BF954BD"/>
    <w:rsid w:val="3C044707"/>
    <w:rsid w:val="3C2F7719"/>
    <w:rsid w:val="3C416727"/>
    <w:rsid w:val="3C4A6363"/>
    <w:rsid w:val="3C5F4B2F"/>
    <w:rsid w:val="3C6F7B5F"/>
    <w:rsid w:val="3C727162"/>
    <w:rsid w:val="3C74006B"/>
    <w:rsid w:val="3C7F7DFB"/>
    <w:rsid w:val="3C986C47"/>
    <w:rsid w:val="3C9E041C"/>
    <w:rsid w:val="3CA00029"/>
    <w:rsid w:val="3CA94DEC"/>
    <w:rsid w:val="3CB02AAB"/>
    <w:rsid w:val="3CB93CB8"/>
    <w:rsid w:val="3CC61B79"/>
    <w:rsid w:val="3CD474D4"/>
    <w:rsid w:val="3CE02FD0"/>
    <w:rsid w:val="3CEE3501"/>
    <w:rsid w:val="3D3E3674"/>
    <w:rsid w:val="3D461A5A"/>
    <w:rsid w:val="3D650222"/>
    <w:rsid w:val="3D6C17FC"/>
    <w:rsid w:val="3D6D23C3"/>
    <w:rsid w:val="3D701C3D"/>
    <w:rsid w:val="3D9504BC"/>
    <w:rsid w:val="3DB7580E"/>
    <w:rsid w:val="3DB940D6"/>
    <w:rsid w:val="3DBE2FCD"/>
    <w:rsid w:val="3DC570FC"/>
    <w:rsid w:val="3DE51836"/>
    <w:rsid w:val="3DED1B45"/>
    <w:rsid w:val="3DF54F6F"/>
    <w:rsid w:val="3DF60777"/>
    <w:rsid w:val="3DF71D8D"/>
    <w:rsid w:val="3E053E45"/>
    <w:rsid w:val="3E0F5BA0"/>
    <w:rsid w:val="3E165F5C"/>
    <w:rsid w:val="3E193B69"/>
    <w:rsid w:val="3E2B57AD"/>
    <w:rsid w:val="3E325315"/>
    <w:rsid w:val="3E3D1D75"/>
    <w:rsid w:val="3E4640A4"/>
    <w:rsid w:val="3E6D2C01"/>
    <w:rsid w:val="3E8E5530"/>
    <w:rsid w:val="3E9032CC"/>
    <w:rsid w:val="3E9763F1"/>
    <w:rsid w:val="3EA7382D"/>
    <w:rsid w:val="3EAB48D0"/>
    <w:rsid w:val="3EAE56C8"/>
    <w:rsid w:val="3ED32005"/>
    <w:rsid w:val="3EEC7EAE"/>
    <w:rsid w:val="3EED6ED0"/>
    <w:rsid w:val="3F0630DE"/>
    <w:rsid w:val="3F120BFC"/>
    <w:rsid w:val="3F4A37A4"/>
    <w:rsid w:val="3F4E66DA"/>
    <w:rsid w:val="3F6461EB"/>
    <w:rsid w:val="3F6552D8"/>
    <w:rsid w:val="3F764CB6"/>
    <w:rsid w:val="3F8846CA"/>
    <w:rsid w:val="3F8C4A01"/>
    <w:rsid w:val="3FA80697"/>
    <w:rsid w:val="3FB84DAC"/>
    <w:rsid w:val="3FBA3BBE"/>
    <w:rsid w:val="3FBD1474"/>
    <w:rsid w:val="3FCE4237"/>
    <w:rsid w:val="3FD31FB0"/>
    <w:rsid w:val="3FDE4C6F"/>
    <w:rsid w:val="3FF14625"/>
    <w:rsid w:val="3FFA2385"/>
    <w:rsid w:val="3FFA72BE"/>
    <w:rsid w:val="3FFD720F"/>
    <w:rsid w:val="40114AE3"/>
    <w:rsid w:val="40120871"/>
    <w:rsid w:val="401210FD"/>
    <w:rsid w:val="40194819"/>
    <w:rsid w:val="401A42AF"/>
    <w:rsid w:val="402F4730"/>
    <w:rsid w:val="40352A8F"/>
    <w:rsid w:val="404A5684"/>
    <w:rsid w:val="404B6889"/>
    <w:rsid w:val="404D0F0F"/>
    <w:rsid w:val="405412EF"/>
    <w:rsid w:val="405564D7"/>
    <w:rsid w:val="40564435"/>
    <w:rsid w:val="405A1195"/>
    <w:rsid w:val="405A511F"/>
    <w:rsid w:val="4089292E"/>
    <w:rsid w:val="408A73A2"/>
    <w:rsid w:val="4095082D"/>
    <w:rsid w:val="40C5104B"/>
    <w:rsid w:val="40E512A7"/>
    <w:rsid w:val="40E86470"/>
    <w:rsid w:val="40E902B3"/>
    <w:rsid w:val="40EB287B"/>
    <w:rsid w:val="410A31FA"/>
    <w:rsid w:val="410E127E"/>
    <w:rsid w:val="413718B3"/>
    <w:rsid w:val="413E27B5"/>
    <w:rsid w:val="41484EBE"/>
    <w:rsid w:val="414B75DE"/>
    <w:rsid w:val="415873A9"/>
    <w:rsid w:val="416C026F"/>
    <w:rsid w:val="417018D6"/>
    <w:rsid w:val="41763726"/>
    <w:rsid w:val="417737AE"/>
    <w:rsid w:val="417B59BD"/>
    <w:rsid w:val="417C4337"/>
    <w:rsid w:val="417D2D8B"/>
    <w:rsid w:val="418B2A50"/>
    <w:rsid w:val="4197477D"/>
    <w:rsid w:val="41A0300C"/>
    <w:rsid w:val="41A11517"/>
    <w:rsid w:val="41B64AE9"/>
    <w:rsid w:val="41D00168"/>
    <w:rsid w:val="41E06063"/>
    <w:rsid w:val="41E72FF8"/>
    <w:rsid w:val="42074113"/>
    <w:rsid w:val="420A6CA2"/>
    <w:rsid w:val="42116B8E"/>
    <w:rsid w:val="421F3146"/>
    <w:rsid w:val="423D69C9"/>
    <w:rsid w:val="424726FF"/>
    <w:rsid w:val="424A51FE"/>
    <w:rsid w:val="424D0797"/>
    <w:rsid w:val="42567125"/>
    <w:rsid w:val="426D7E7B"/>
    <w:rsid w:val="427A2083"/>
    <w:rsid w:val="428F5036"/>
    <w:rsid w:val="4290297E"/>
    <w:rsid w:val="429E1094"/>
    <w:rsid w:val="429F256E"/>
    <w:rsid w:val="42A843E5"/>
    <w:rsid w:val="42AD00EA"/>
    <w:rsid w:val="42B15F4C"/>
    <w:rsid w:val="42BF6859"/>
    <w:rsid w:val="42C54707"/>
    <w:rsid w:val="42DD51E4"/>
    <w:rsid w:val="42DF3827"/>
    <w:rsid w:val="42E03D8E"/>
    <w:rsid w:val="42E3585D"/>
    <w:rsid w:val="42F33AA7"/>
    <w:rsid w:val="43097C0A"/>
    <w:rsid w:val="430E2245"/>
    <w:rsid w:val="430E6064"/>
    <w:rsid w:val="4321748E"/>
    <w:rsid w:val="433F1CA5"/>
    <w:rsid w:val="434502BA"/>
    <w:rsid w:val="43450646"/>
    <w:rsid w:val="435430F2"/>
    <w:rsid w:val="436E5EB2"/>
    <w:rsid w:val="4381703E"/>
    <w:rsid w:val="438C5FDD"/>
    <w:rsid w:val="43905F10"/>
    <w:rsid w:val="43BB37E0"/>
    <w:rsid w:val="43D703E1"/>
    <w:rsid w:val="43DD3DFF"/>
    <w:rsid w:val="43DF3FA1"/>
    <w:rsid w:val="43E20803"/>
    <w:rsid w:val="43FD0E9C"/>
    <w:rsid w:val="43FD170E"/>
    <w:rsid w:val="44005F72"/>
    <w:rsid w:val="440310C7"/>
    <w:rsid w:val="44080C0B"/>
    <w:rsid w:val="44234B30"/>
    <w:rsid w:val="44331E41"/>
    <w:rsid w:val="44461484"/>
    <w:rsid w:val="44475323"/>
    <w:rsid w:val="444B2089"/>
    <w:rsid w:val="444D5F18"/>
    <w:rsid w:val="444E5999"/>
    <w:rsid w:val="444E63DD"/>
    <w:rsid w:val="44520AFD"/>
    <w:rsid w:val="44665DA5"/>
    <w:rsid w:val="44687584"/>
    <w:rsid w:val="4469726B"/>
    <w:rsid w:val="446F65EF"/>
    <w:rsid w:val="447C4D4B"/>
    <w:rsid w:val="447D40E6"/>
    <w:rsid w:val="449644A1"/>
    <w:rsid w:val="449D0C1F"/>
    <w:rsid w:val="44A20477"/>
    <w:rsid w:val="44A26746"/>
    <w:rsid w:val="44AE13D1"/>
    <w:rsid w:val="44B02729"/>
    <w:rsid w:val="44C01334"/>
    <w:rsid w:val="44EC7EDE"/>
    <w:rsid w:val="45105F55"/>
    <w:rsid w:val="45133FDB"/>
    <w:rsid w:val="451E40FE"/>
    <w:rsid w:val="45460F7F"/>
    <w:rsid w:val="454C350F"/>
    <w:rsid w:val="454E5DE4"/>
    <w:rsid w:val="45506683"/>
    <w:rsid w:val="45601473"/>
    <w:rsid w:val="456B68A5"/>
    <w:rsid w:val="456E0AEF"/>
    <w:rsid w:val="4573790E"/>
    <w:rsid w:val="457B50FE"/>
    <w:rsid w:val="457F0733"/>
    <w:rsid w:val="4583452C"/>
    <w:rsid w:val="458F75FE"/>
    <w:rsid w:val="45900604"/>
    <w:rsid w:val="45933A3C"/>
    <w:rsid w:val="45A57AEF"/>
    <w:rsid w:val="45A81CAF"/>
    <w:rsid w:val="45BC59F4"/>
    <w:rsid w:val="45C75579"/>
    <w:rsid w:val="45DE22BB"/>
    <w:rsid w:val="45E30817"/>
    <w:rsid w:val="45E76D0F"/>
    <w:rsid w:val="45F136BB"/>
    <w:rsid w:val="45F77FD2"/>
    <w:rsid w:val="460A4AAB"/>
    <w:rsid w:val="4623003D"/>
    <w:rsid w:val="46237144"/>
    <w:rsid w:val="46261F0D"/>
    <w:rsid w:val="4630529E"/>
    <w:rsid w:val="46387F31"/>
    <w:rsid w:val="464C08C1"/>
    <w:rsid w:val="465476A3"/>
    <w:rsid w:val="46557527"/>
    <w:rsid w:val="465A66EF"/>
    <w:rsid w:val="46664938"/>
    <w:rsid w:val="466E742C"/>
    <w:rsid w:val="4673124E"/>
    <w:rsid w:val="46892F02"/>
    <w:rsid w:val="468A0358"/>
    <w:rsid w:val="46916EEF"/>
    <w:rsid w:val="46A6276B"/>
    <w:rsid w:val="46AA04EA"/>
    <w:rsid w:val="46B73D2A"/>
    <w:rsid w:val="46B80FC5"/>
    <w:rsid w:val="46C86A0C"/>
    <w:rsid w:val="46D24C4B"/>
    <w:rsid w:val="46D55B53"/>
    <w:rsid w:val="46D57AEC"/>
    <w:rsid w:val="46ED3840"/>
    <w:rsid w:val="46F647EB"/>
    <w:rsid w:val="46FF3FAD"/>
    <w:rsid w:val="471127B2"/>
    <w:rsid w:val="472056B7"/>
    <w:rsid w:val="47454DE8"/>
    <w:rsid w:val="47544795"/>
    <w:rsid w:val="47616E4B"/>
    <w:rsid w:val="47672FDB"/>
    <w:rsid w:val="476971AA"/>
    <w:rsid w:val="476B64CB"/>
    <w:rsid w:val="479C3F79"/>
    <w:rsid w:val="479E6BC6"/>
    <w:rsid w:val="47B01B8B"/>
    <w:rsid w:val="47C5237F"/>
    <w:rsid w:val="47CA346E"/>
    <w:rsid w:val="47EB78E1"/>
    <w:rsid w:val="47F0252D"/>
    <w:rsid w:val="47FA7CCE"/>
    <w:rsid w:val="47FB2D0F"/>
    <w:rsid w:val="47FB7786"/>
    <w:rsid w:val="48011587"/>
    <w:rsid w:val="481B0557"/>
    <w:rsid w:val="48284003"/>
    <w:rsid w:val="482B79CE"/>
    <w:rsid w:val="484720BC"/>
    <w:rsid w:val="484E51E0"/>
    <w:rsid w:val="48542476"/>
    <w:rsid w:val="485955DD"/>
    <w:rsid w:val="4875142A"/>
    <w:rsid w:val="487F0024"/>
    <w:rsid w:val="4887505E"/>
    <w:rsid w:val="48A76DE5"/>
    <w:rsid w:val="48AC6EE1"/>
    <w:rsid w:val="48D3456D"/>
    <w:rsid w:val="48D879FA"/>
    <w:rsid w:val="48DA5553"/>
    <w:rsid w:val="48DF3A7B"/>
    <w:rsid w:val="48FF01A8"/>
    <w:rsid w:val="49016E12"/>
    <w:rsid w:val="49056F88"/>
    <w:rsid w:val="49060ABF"/>
    <w:rsid w:val="4906123E"/>
    <w:rsid w:val="4910246D"/>
    <w:rsid w:val="49336CD8"/>
    <w:rsid w:val="49355605"/>
    <w:rsid w:val="494503EF"/>
    <w:rsid w:val="496E444D"/>
    <w:rsid w:val="49757E15"/>
    <w:rsid w:val="49895CE7"/>
    <w:rsid w:val="49964232"/>
    <w:rsid w:val="4999724F"/>
    <w:rsid w:val="49AE1417"/>
    <w:rsid w:val="49B4639F"/>
    <w:rsid w:val="49C94085"/>
    <w:rsid w:val="49DB0327"/>
    <w:rsid w:val="49F46F67"/>
    <w:rsid w:val="49F52088"/>
    <w:rsid w:val="4A1E1F41"/>
    <w:rsid w:val="4A217D5E"/>
    <w:rsid w:val="4A296E9E"/>
    <w:rsid w:val="4A2C0AF2"/>
    <w:rsid w:val="4A59338B"/>
    <w:rsid w:val="4A7C4CE6"/>
    <w:rsid w:val="4A967911"/>
    <w:rsid w:val="4AB22154"/>
    <w:rsid w:val="4AC9217A"/>
    <w:rsid w:val="4AD82D66"/>
    <w:rsid w:val="4ADE37CC"/>
    <w:rsid w:val="4AE80607"/>
    <w:rsid w:val="4AE97AEC"/>
    <w:rsid w:val="4AF7280C"/>
    <w:rsid w:val="4B0F7FE7"/>
    <w:rsid w:val="4B174817"/>
    <w:rsid w:val="4B2748B2"/>
    <w:rsid w:val="4B2F5C92"/>
    <w:rsid w:val="4B401565"/>
    <w:rsid w:val="4B502687"/>
    <w:rsid w:val="4B577DBD"/>
    <w:rsid w:val="4B581065"/>
    <w:rsid w:val="4B6A3BDA"/>
    <w:rsid w:val="4B6F7292"/>
    <w:rsid w:val="4B796029"/>
    <w:rsid w:val="4B7D71A1"/>
    <w:rsid w:val="4B9C5A05"/>
    <w:rsid w:val="4BAE2158"/>
    <w:rsid w:val="4BAF506E"/>
    <w:rsid w:val="4BC279D1"/>
    <w:rsid w:val="4BD407DF"/>
    <w:rsid w:val="4BE227C4"/>
    <w:rsid w:val="4BE61DCA"/>
    <w:rsid w:val="4BE64D5E"/>
    <w:rsid w:val="4BE7585B"/>
    <w:rsid w:val="4BED75B3"/>
    <w:rsid w:val="4C1F1F04"/>
    <w:rsid w:val="4C21225A"/>
    <w:rsid w:val="4C232482"/>
    <w:rsid w:val="4C2E4749"/>
    <w:rsid w:val="4C3E5050"/>
    <w:rsid w:val="4C5B33F5"/>
    <w:rsid w:val="4C720BCA"/>
    <w:rsid w:val="4C8014E7"/>
    <w:rsid w:val="4C8244E4"/>
    <w:rsid w:val="4C8F1BFA"/>
    <w:rsid w:val="4C9E1769"/>
    <w:rsid w:val="4CBB634B"/>
    <w:rsid w:val="4CC94FD4"/>
    <w:rsid w:val="4CDA0CD0"/>
    <w:rsid w:val="4CE03EB0"/>
    <w:rsid w:val="4CE72B7B"/>
    <w:rsid w:val="4CFA5510"/>
    <w:rsid w:val="4CFF4AA3"/>
    <w:rsid w:val="4D165CE6"/>
    <w:rsid w:val="4D177A2A"/>
    <w:rsid w:val="4D190C0C"/>
    <w:rsid w:val="4D233B24"/>
    <w:rsid w:val="4D2F0077"/>
    <w:rsid w:val="4D3B5336"/>
    <w:rsid w:val="4D434BB1"/>
    <w:rsid w:val="4D48368A"/>
    <w:rsid w:val="4D4C5BF9"/>
    <w:rsid w:val="4D586626"/>
    <w:rsid w:val="4D5A5563"/>
    <w:rsid w:val="4D64646D"/>
    <w:rsid w:val="4D705BB9"/>
    <w:rsid w:val="4D77762A"/>
    <w:rsid w:val="4D843254"/>
    <w:rsid w:val="4D973B20"/>
    <w:rsid w:val="4DA442DB"/>
    <w:rsid w:val="4DC958A0"/>
    <w:rsid w:val="4DE7622F"/>
    <w:rsid w:val="4DFD4A7B"/>
    <w:rsid w:val="4E08577E"/>
    <w:rsid w:val="4E125963"/>
    <w:rsid w:val="4E176D04"/>
    <w:rsid w:val="4E3A3DC2"/>
    <w:rsid w:val="4E482991"/>
    <w:rsid w:val="4E6F77EF"/>
    <w:rsid w:val="4E780638"/>
    <w:rsid w:val="4EA84E68"/>
    <w:rsid w:val="4EAF09B4"/>
    <w:rsid w:val="4EB73374"/>
    <w:rsid w:val="4EBC092C"/>
    <w:rsid w:val="4ED36A97"/>
    <w:rsid w:val="4ED409F0"/>
    <w:rsid w:val="4EE60914"/>
    <w:rsid w:val="4EFA5B0B"/>
    <w:rsid w:val="4F240380"/>
    <w:rsid w:val="4F331C3F"/>
    <w:rsid w:val="4F36090C"/>
    <w:rsid w:val="4F387A7A"/>
    <w:rsid w:val="4F4D3A36"/>
    <w:rsid w:val="4F4F6AEF"/>
    <w:rsid w:val="4F693AE1"/>
    <w:rsid w:val="4F6E28F0"/>
    <w:rsid w:val="4F727D38"/>
    <w:rsid w:val="4F740049"/>
    <w:rsid w:val="4F7B6984"/>
    <w:rsid w:val="4F80518F"/>
    <w:rsid w:val="4F8B78AD"/>
    <w:rsid w:val="4F8E3A2B"/>
    <w:rsid w:val="4F8F0460"/>
    <w:rsid w:val="4F9808E5"/>
    <w:rsid w:val="4F9A5A6F"/>
    <w:rsid w:val="4FAC5A65"/>
    <w:rsid w:val="4FAE3B43"/>
    <w:rsid w:val="4FBA6DAF"/>
    <w:rsid w:val="4FC46069"/>
    <w:rsid w:val="4FD005AE"/>
    <w:rsid w:val="4FD00ED4"/>
    <w:rsid w:val="4FD8161E"/>
    <w:rsid w:val="4FDD68B1"/>
    <w:rsid w:val="500B06DB"/>
    <w:rsid w:val="500F7736"/>
    <w:rsid w:val="50171F3E"/>
    <w:rsid w:val="5022591F"/>
    <w:rsid w:val="50323347"/>
    <w:rsid w:val="50412F93"/>
    <w:rsid w:val="50555D7D"/>
    <w:rsid w:val="50561B9F"/>
    <w:rsid w:val="50602F3A"/>
    <w:rsid w:val="50837E02"/>
    <w:rsid w:val="5088525D"/>
    <w:rsid w:val="508B7E3B"/>
    <w:rsid w:val="508C68CF"/>
    <w:rsid w:val="509C7642"/>
    <w:rsid w:val="50A070F7"/>
    <w:rsid w:val="50A127F0"/>
    <w:rsid w:val="50AC659C"/>
    <w:rsid w:val="50B8243D"/>
    <w:rsid w:val="50BE5D38"/>
    <w:rsid w:val="50E15C8A"/>
    <w:rsid w:val="50F62B3A"/>
    <w:rsid w:val="510151B0"/>
    <w:rsid w:val="510225F7"/>
    <w:rsid w:val="510F3E01"/>
    <w:rsid w:val="511B2786"/>
    <w:rsid w:val="512D76A1"/>
    <w:rsid w:val="51331E0F"/>
    <w:rsid w:val="513B73E6"/>
    <w:rsid w:val="51543E0F"/>
    <w:rsid w:val="51703CF0"/>
    <w:rsid w:val="51704DEF"/>
    <w:rsid w:val="51705999"/>
    <w:rsid w:val="517717FB"/>
    <w:rsid w:val="51786C7A"/>
    <w:rsid w:val="518B2498"/>
    <w:rsid w:val="51AC3B5E"/>
    <w:rsid w:val="51B0761D"/>
    <w:rsid w:val="51B80466"/>
    <w:rsid w:val="51D91B75"/>
    <w:rsid w:val="51DC42F5"/>
    <w:rsid w:val="51E2122F"/>
    <w:rsid w:val="51EE03ED"/>
    <w:rsid w:val="51F11C10"/>
    <w:rsid w:val="51F156AC"/>
    <w:rsid w:val="51F652BF"/>
    <w:rsid w:val="521F7979"/>
    <w:rsid w:val="52213D07"/>
    <w:rsid w:val="52253AF4"/>
    <w:rsid w:val="5225429E"/>
    <w:rsid w:val="52256C51"/>
    <w:rsid w:val="5226051E"/>
    <w:rsid w:val="52260F3C"/>
    <w:rsid w:val="5238649A"/>
    <w:rsid w:val="523A43B3"/>
    <w:rsid w:val="525B4336"/>
    <w:rsid w:val="525D71E5"/>
    <w:rsid w:val="52820E07"/>
    <w:rsid w:val="528237C8"/>
    <w:rsid w:val="528536D3"/>
    <w:rsid w:val="529564DA"/>
    <w:rsid w:val="529C695A"/>
    <w:rsid w:val="52A77DA4"/>
    <w:rsid w:val="52AD549D"/>
    <w:rsid w:val="52AE6B5D"/>
    <w:rsid w:val="52C2691E"/>
    <w:rsid w:val="52C42F8A"/>
    <w:rsid w:val="52E26079"/>
    <w:rsid w:val="52EA4A58"/>
    <w:rsid w:val="52F258D0"/>
    <w:rsid w:val="52FD63F3"/>
    <w:rsid w:val="530267BC"/>
    <w:rsid w:val="53312E2B"/>
    <w:rsid w:val="53482CFE"/>
    <w:rsid w:val="534C2BF2"/>
    <w:rsid w:val="53522854"/>
    <w:rsid w:val="53662852"/>
    <w:rsid w:val="536C0FFE"/>
    <w:rsid w:val="53701411"/>
    <w:rsid w:val="538F661B"/>
    <w:rsid w:val="539F4368"/>
    <w:rsid w:val="53A056AF"/>
    <w:rsid w:val="53B04CEA"/>
    <w:rsid w:val="53B41457"/>
    <w:rsid w:val="53C66C7D"/>
    <w:rsid w:val="53C670D6"/>
    <w:rsid w:val="53D4424E"/>
    <w:rsid w:val="53D56DDB"/>
    <w:rsid w:val="53EC2E08"/>
    <w:rsid w:val="53EC4903"/>
    <w:rsid w:val="53F36F42"/>
    <w:rsid w:val="53FE3D83"/>
    <w:rsid w:val="54117610"/>
    <w:rsid w:val="54146CD1"/>
    <w:rsid w:val="54177F1E"/>
    <w:rsid w:val="541A6B7B"/>
    <w:rsid w:val="54240990"/>
    <w:rsid w:val="54296180"/>
    <w:rsid w:val="543633AA"/>
    <w:rsid w:val="54413CAD"/>
    <w:rsid w:val="54477234"/>
    <w:rsid w:val="544F12C8"/>
    <w:rsid w:val="545F6399"/>
    <w:rsid w:val="54671F32"/>
    <w:rsid w:val="54814372"/>
    <w:rsid w:val="5488547E"/>
    <w:rsid w:val="54A32CBC"/>
    <w:rsid w:val="54C03918"/>
    <w:rsid w:val="54C74059"/>
    <w:rsid w:val="54CC1E57"/>
    <w:rsid w:val="54E3627C"/>
    <w:rsid w:val="54E92B4F"/>
    <w:rsid w:val="54F626A4"/>
    <w:rsid w:val="54F97996"/>
    <w:rsid w:val="5503350D"/>
    <w:rsid w:val="550B460A"/>
    <w:rsid w:val="55176A2B"/>
    <w:rsid w:val="551E374A"/>
    <w:rsid w:val="551F0799"/>
    <w:rsid w:val="553532AC"/>
    <w:rsid w:val="553E6F15"/>
    <w:rsid w:val="556F03E8"/>
    <w:rsid w:val="558B4E93"/>
    <w:rsid w:val="55944FA1"/>
    <w:rsid w:val="559F7186"/>
    <w:rsid w:val="55B801FF"/>
    <w:rsid w:val="55BD09E1"/>
    <w:rsid w:val="55CD74C5"/>
    <w:rsid w:val="55CE55CB"/>
    <w:rsid w:val="55EE1803"/>
    <w:rsid w:val="55F86272"/>
    <w:rsid w:val="55FB03CD"/>
    <w:rsid w:val="560450B4"/>
    <w:rsid w:val="56052CB9"/>
    <w:rsid w:val="5611078F"/>
    <w:rsid w:val="56145C30"/>
    <w:rsid w:val="561925D2"/>
    <w:rsid w:val="561B311C"/>
    <w:rsid w:val="563929C4"/>
    <w:rsid w:val="5645084B"/>
    <w:rsid w:val="56497232"/>
    <w:rsid w:val="56551F12"/>
    <w:rsid w:val="565F4BDD"/>
    <w:rsid w:val="56651503"/>
    <w:rsid w:val="567A01B4"/>
    <w:rsid w:val="56942292"/>
    <w:rsid w:val="569B722C"/>
    <w:rsid w:val="56B10B48"/>
    <w:rsid w:val="56B623BF"/>
    <w:rsid w:val="56CD05E7"/>
    <w:rsid w:val="56DD1DDA"/>
    <w:rsid w:val="57095B1E"/>
    <w:rsid w:val="57145535"/>
    <w:rsid w:val="57246A24"/>
    <w:rsid w:val="572C0E04"/>
    <w:rsid w:val="57301D4B"/>
    <w:rsid w:val="573F1740"/>
    <w:rsid w:val="57427B7C"/>
    <w:rsid w:val="57471345"/>
    <w:rsid w:val="576B20F1"/>
    <w:rsid w:val="57785918"/>
    <w:rsid w:val="57A059B3"/>
    <w:rsid w:val="57B371CD"/>
    <w:rsid w:val="57C322BB"/>
    <w:rsid w:val="57C85AB0"/>
    <w:rsid w:val="57D2341F"/>
    <w:rsid w:val="57E17BD4"/>
    <w:rsid w:val="57EF25AF"/>
    <w:rsid w:val="57F75A67"/>
    <w:rsid w:val="580C7187"/>
    <w:rsid w:val="58105F17"/>
    <w:rsid w:val="58124BB0"/>
    <w:rsid w:val="581D09E9"/>
    <w:rsid w:val="58445A1C"/>
    <w:rsid w:val="584E4E9D"/>
    <w:rsid w:val="58597722"/>
    <w:rsid w:val="586F6E5B"/>
    <w:rsid w:val="58815460"/>
    <w:rsid w:val="588358E0"/>
    <w:rsid w:val="588F74D8"/>
    <w:rsid w:val="589E7F77"/>
    <w:rsid w:val="58BF26CD"/>
    <w:rsid w:val="58C07187"/>
    <w:rsid w:val="58C567CC"/>
    <w:rsid w:val="58E67D87"/>
    <w:rsid w:val="58ED46B0"/>
    <w:rsid w:val="58F84723"/>
    <w:rsid w:val="58FD2305"/>
    <w:rsid w:val="58FE056E"/>
    <w:rsid w:val="592A6B20"/>
    <w:rsid w:val="59393C4A"/>
    <w:rsid w:val="594F4E65"/>
    <w:rsid w:val="59570B0F"/>
    <w:rsid w:val="595B1147"/>
    <w:rsid w:val="596B5674"/>
    <w:rsid w:val="597C1452"/>
    <w:rsid w:val="599638FE"/>
    <w:rsid w:val="59BA3069"/>
    <w:rsid w:val="59BA5683"/>
    <w:rsid w:val="59BB3967"/>
    <w:rsid w:val="59D27A0C"/>
    <w:rsid w:val="59DA0E7E"/>
    <w:rsid w:val="59E40202"/>
    <w:rsid w:val="59F04EF4"/>
    <w:rsid w:val="5A0435C3"/>
    <w:rsid w:val="5A1E73AC"/>
    <w:rsid w:val="5A236FD7"/>
    <w:rsid w:val="5A394FC1"/>
    <w:rsid w:val="5A3A1659"/>
    <w:rsid w:val="5A516620"/>
    <w:rsid w:val="5A613ED0"/>
    <w:rsid w:val="5A6205BF"/>
    <w:rsid w:val="5A6A7E8E"/>
    <w:rsid w:val="5A747F80"/>
    <w:rsid w:val="5A8159FC"/>
    <w:rsid w:val="5A921AF9"/>
    <w:rsid w:val="5AAA25E0"/>
    <w:rsid w:val="5AB53231"/>
    <w:rsid w:val="5AB86419"/>
    <w:rsid w:val="5AB952E0"/>
    <w:rsid w:val="5ABF418F"/>
    <w:rsid w:val="5AC33E4A"/>
    <w:rsid w:val="5AC3786F"/>
    <w:rsid w:val="5AD46F7D"/>
    <w:rsid w:val="5ADB511C"/>
    <w:rsid w:val="5AE56AC1"/>
    <w:rsid w:val="5AE8587B"/>
    <w:rsid w:val="5AEA51AD"/>
    <w:rsid w:val="5AF94149"/>
    <w:rsid w:val="5B005798"/>
    <w:rsid w:val="5B021E37"/>
    <w:rsid w:val="5B0D434A"/>
    <w:rsid w:val="5B1B4538"/>
    <w:rsid w:val="5B27242C"/>
    <w:rsid w:val="5B4D1416"/>
    <w:rsid w:val="5B5A0F59"/>
    <w:rsid w:val="5B6B292A"/>
    <w:rsid w:val="5B762626"/>
    <w:rsid w:val="5B7F5251"/>
    <w:rsid w:val="5B84119B"/>
    <w:rsid w:val="5BA64DD8"/>
    <w:rsid w:val="5BB73DD6"/>
    <w:rsid w:val="5BBA0393"/>
    <w:rsid w:val="5BBB7739"/>
    <w:rsid w:val="5BBD4EF8"/>
    <w:rsid w:val="5BC03CD5"/>
    <w:rsid w:val="5BC2428B"/>
    <w:rsid w:val="5BC62D16"/>
    <w:rsid w:val="5BC73F5C"/>
    <w:rsid w:val="5BD510D5"/>
    <w:rsid w:val="5BDD6627"/>
    <w:rsid w:val="5BE81573"/>
    <w:rsid w:val="5C062F01"/>
    <w:rsid w:val="5C1A342F"/>
    <w:rsid w:val="5C1C5B61"/>
    <w:rsid w:val="5C1D21E6"/>
    <w:rsid w:val="5C346D0B"/>
    <w:rsid w:val="5C63317F"/>
    <w:rsid w:val="5C637FA9"/>
    <w:rsid w:val="5C684F53"/>
    <w:rsid w:val="5C7130A4"/>
    <w:rsid w:val="5C727F12"/>
    <w:rsid w:val="5C734B0D"/>
    <w:rsid w:val="5C774EB1"/>
    <w:rsid w:val="5C7C6F1B"/>
    <w:rsid w:val="5C844AAD"/>
    <w:rsid w:val="5C925AD2"/>
    <w:rsid w:val="5CBB052F"/>
    <w:rsid w:val="5CC35654"/>
    <w:rsid w:val="5CDE76B5"/>
    <w:rsid w:val="5CE76D57"/>
    <w:rsid w:val="5CE81E5F"/>
    <w:rsid w:val="5CEA5721"/>
    <w:rsid w:val="5CF114E9"/>
    <w:rsid w:val="5D085C4B"/>
    <w:rsid w:val="5D093637"/>
    <w:rsid w:val="5D1B1B06"/>
    <w:rsid w:val="5D3775F3"/>
    <w:rsid w:val="5D480F76"/>
    <w:rsid w:val="5D5177F4"/>
    <w:rsid w:val="5D6806FF"/>
    <w:rsid w:val="5D7515CD"/>
    <w:rsid w:val="5D7C6A1B"/>
    <w:rsid w:val="5D89574C"/>
    <w:rsid w:val="5DA1110C"/>
    <w:rsid w:val="5DA225D3"/>
    <w:rsid w:val="5DA67C4D"/>
    <w:rsid w:val="5DAB0707"/>
    <w:rsid w:val="5DBF55DF"/>
    <w:rsid w:val="5DCB3ADC"/>
    <w:rsid w:val="5DD27ECB"/>
    <w:rsid w:val="5DE12CF4"/>
    <w:rsid w:val="5DE316B6"/>
    <w:rsid w:val="5DED103D"/>
    <w:rsid w:val="5DF30D93"/>
    <w:rsid w:val="5DF3643E"/>
    <w:rsid w:val="5E6D54CE"/>
    <w:rsid w:val="5E6E470D"/>
    <w:rsid w:val="5E712529"/>
    <w:rsid w:val="5E7D03CD"/>
    <w:rsid w:val="5E8A5468"/>
    <w:rsid w:val="5E9268DE"/>
    <w:rsid w:val="5E963D1F"/>
    <w:rsid w:val="5EBD09D6"/>
    <w:rsid w:val="5EC87508"/>
    <w:rsid w:val="5EFE2228"/>
    <w:rsid w:val="5F017CE8"/>
    <w:rsid w:val="5F1A20DE"/>
    <w:rsid w:val="5F1B37BA"/>
    <w:rsid w:val="5F227D9A"/>
    <w:rsid w:val="5F2D56C2"/>
    <w:rsid w:val="5F3F2C3C"/>
    <w:rsid w:val="5F5D637E"/>
    <w:rsid w:val="5F5E47C0"/>
    <w:rsid w:val="5F6C3B8B"/>
    <w:rsid w:val="5F8C496E"/>
    <w:rsid w:val="5F952CB4"/>
    <w:rsid w:val="5FAA133D"/>
    <w:rsid w:val="5FB70A21"/>
    <w:rsid w:val="5FC43259"/>
    <w:rsid w:val="5FC86C19"/>
    <w:rsid w:val="5FCB3B6B"/>
    <w:rsid w:val="5FD92561"/>
    <w:rsid w:val="5FEA6F0C"/>
    <w:rsid w:val="60056893"/>
    <w:rsid w:val="602118F9"/>
    <w:rsid w:val="602A0E6D"/>
    <w:rsid w:val="602B75EC"/>
    <w:rsid w:val="602E3449"/>
    <w:rsid w:val="603270C2"/>
    <w:rsid w:val="603C5EF7"/>
    <w:rsid w:val="60570D1F"/>
    <w:rsid w:val="605B4253"/>
    <w:rsid w:val="605F0547"/>
    <w:rsid w:val="60624606"/>
    <w:rsid w:val="606B29C3"/>
    <w:rsid w:val="606D3842"/>
    <w:rsid w:val="607D2D0B"/>
    <w:rsid w:val="60817B02"/>
    <w:rsid w:val="608A20DB"/>
    <w:rsid w:val="60927C86"/>
    <w:rsid w:val="609F35F2"/>
    <w:rsid w:val="60B562FF"/>
    <w:rsid w:val="60E1162B"/>
    <w:rsid w:val="60E179EA"/>
    <w:rsid w:val="60E65BFD"/>
    <w:rsid w:val="60E8083C"/>
    <w:rsid w:val="60F07DF5"/>
    <w:rsid w:val="60F97FAF"/>
    <w:rsid w:val="60FB588D"/>
    <w:rsid w:val="61046033"/>
    <w:rsid w:val="6113267F"/>
    <w:rsid w:val="61132A3F"/>
    <w:rsid w:val="61494D95"/>
    <w:rsid w:val="6155111F"/>
    <w:rsid w:val="61617739"/>
    <w:rsid w:val="61721DB6"/>
    <w:rsid w:val="61797972"/>
    <w:rsid w:val="617A5EF2"/>
    <w:rsid w:val="618121E7"/>
    <w:rsid w:val="619257F0"/>
    <w:rsid w:val="61991B06"/>
    <w:rsid w:val="61B14C85"/>
    <w:rsid w:val="61B432B0"/>
    <w:rsid w:val="61D45FF6"/>
    <w:rsid w:val="61E96EB6"/>
    <w:rsid w:val="61EF1F5F"/>
    <w:rsid w:val="62043CD1"/>
    <w:rsid w:val="62272837"/>
    <w:rsid w:val="625006EB"/>
    <w:rsid w:val="6256049A"/>
    <w:rsid w:val="62571012"/>
    <w:rsid w:val="625E0706"/>
    <w:rsid w:val="62624386"/>
    <w:rsid w:val="62B050EB"/>
    <w:rsid w:val="62B868C8"/>
    <w:rsid w:val="62C2420B"/>
    <w:rsid w:val="62D30A82"/>
    <w:rsid w:val="62ED47EA"/>
    <w:rsid w:val="62F608A7"/>
    <w:rsid w:val="62F8392E"/>
    <w:rsid w:val="62F95DBF"/>
    <w:rsid w:val="62F967CA"/>
    <w:rsid w:val="63071D09"/>
    <w:rsid w:val="63125D14"/>
    <w:rsid w:val="6325360B"/>
    <w:rsid w:val="633C318C"/>
    <w:rsid w:val="6342316F"/>
    <w:rsid w:val="63430E1A"/>
    <w:rsid w:val="6344140D"/>
    <w:rsid w:val="634A6B57"/>
    <w:rsid w:val="63545F49"/>
    <w:rsid w:val="635A14F9"/>
    <w:rsid w:val="636039A5"/>
    <w:rsid w:val="63952DA7"/>
    <w:rsid w:val="639A51AE"/>
    <w:rsid w:val="639E2987"/>
    <w:rsid w:val="63A61AB6"/>
    <w:rsid w:val="63B54BF5"/>
    <w:rsid w:val="63BA0005"/>
    <w:rsid w:val="63BD3303"/>
    <w:rsid w:val="63BF1C02"/>
    <w:rsid w:val="63C206B6"/>
    <w:rsid w:val="63C45EFD"/>
    <w:rsid w:val="63DD6EDF"/>
    <w:rsid w:val="63EE6AA5"/>
    <w:rsid w:val="63F819E2"/>
    <w:rsid w:val="63F91DD1"/>
    <w:rsid w:val="63F944E9"/>
    <w:rsid w:val="64121B55"/>
    <w:rsid w:val="641B2CDA"/>
    <w:rsid w:val="642076A7"/>
    <w:rsid w:val="64227D00"/>
    <w:rsid w:val="642C68D5"/>
    <w:rsid w:val="64315EF0"/>
    <w:rsid w:val="643B303F"/>
    <w:rsid w:val="643D666B"/>
    <w:rsid w:val="644F181B"/>
    <w:rsid w:val="6467200B"/>
    <w:rsid w:val="646A7721"/>
    <w:rsid w:val="646E4E4A"/>
    <w:rsid w:val="648009D3"/>
    <w:rsid w:val="64900424"/>
    <w:rsid w:val="649D693D"/>
    <w:rsid w:val="64A21F14"/>
    <w:rsid w:val="64A23235"/>
    <w:rsid w:val="64A46C03"/>
    <w:rsid w:val="64B21CC3"/>
    <w:rsid w:val="64B53A3B"/>
    <w:rsid w:val="64BD6BD6"/>
    <w:rsid w:val="64C024B5"/>
    <w:rsid w:val="64DD7183"/>
    <w:rsid w:val="64DF6428"/>
    <w:rsid w:val="64F2701E"/>
    <w:rsid w:val="64F85497"/>
    <w:rsid w:val="65081438"/>
    <w:rsid w:val="650C3F9A"/>
    <w:rsid w:val="65133997"/>
    <w:rsid w:val="651A194B"/>
    <w:rsid w:val="651E0433"/>
    <w:rsid w:val="65220A66"/>
    <w:rsid w:val="6535349A"/>
    <w:rsid w:val="655E6055"/>
    <w:rsid w:val="656216CE"/>
    <w:rsid w:val="65630AB4"/>
    <w:rsid w:val="656503AA"/>
    <w:rsid w:val="65776363"/>
    <w:rsid w:val="657E2A91"/>
    <w:rsid w:val="659E5553"/>
    <w:rsid w:val="65BA2F3E"/>
    <w:rsid w:val="65BC6B82"/>
    <w:rsid w:val="65CC36C6"/>
    <w:rsid w:val="65D57BC5"/>
    <w:rsid w:val="65EA1E47"/>
    <w:rsid w:val="66461635"/>
    <w:rsid w:val="66492BA9"/>
    <w:rsid w:val="664C25E3"/>
    <w:rsid w:val="665C7028"/>
    <w:rsid w:val="666843F9"/>
    <w:rsid w:val="66712FBC"/>
    <w:rsid w:val="66856946"/>
    <w:rsid w:val="66870FC6"/>
    <w:rsid w:val="669127E3"/>
    <w:rsid w:val="66917BDF"/>
    <w:rsid w:val="66950B92"/>
    <w:rsid w:val="6698611D"/>
    <w:rsid w:val="669F584F"/>
    <w:rsid w:val="66A020CF"/>
    <w:rsid w:val="66AD3E3A"/>
    <w:rsid w:val="66C76396"/>
    <w:rsid w:val="66E922DE"/>
    <w:rsid w:val="66F42122"/>
    <w:rsid w:val="66F67869"/>
    <w:rsid w:val="66FA201E"/>
    <w:rsid w:val="67027AB0"/>
    <w:rsid w:val="67151DB5"/>
    <w:rsid w:val="67292E8F"/>
    <w:rsid w:val="672B5BF5"/>
    <w:rsid w:val="67436582"/>
    <w:rsid w:val="674960D8"/>
    <w:rsid w:val="674B1014"/>
    <w:rsid w:val="674D579C"/>
    <w:rsid w:val="675073AC"/>
    <w:rsid w:val="6758166F"/>
    <w:rsid w:val="676101A1"/>
    <w:rsid w:val="67696216"/>
    <w:rsid w:val="676E234A"/>
    <w:rsid w:val="677203F4"/>
    <w:rsid w:val="67727547"/>
    <w:rsid w:val="677B7D02"/>
    <w:rsid w:val="678619E7"/>
    <w:rsid w:val="6793150D"/>
    <w:rsid w:val="679354F9"/>
    <w:rsid w:val="67A03992"/>
    <w:rsid w:val="67A877DE"/>
    <w:rsid w:val="67A92F96"/>
    <w:rsid w:val="67AF0A0D"/>
    <w:rsid w:val="67C659C5"/>
    <w:rsid w:val="67DC74F1"/>
    <w:rsid w:val="67DD542C"/>
    <w:rsid w:val="67E53218"/>
    <w:rsid w:val="67E61EEE"/>
    <w:rsid w:val="67EB6A18"/>
    <w:rsid w:val="680E6A4F"/>
    <w:rsid w:val="68122BF4"/>
    <w:rsid w:val="681249FA"/>
    <w:rsid w:val="68240787"/>
    <w:rsid w:val="682675C7"/>
    <w:rsid w:val="6828292B"/>
    <w:rsid w:val="68457F57"/>
    <w:rsid w:val="684A7DCA"/>
    <w:rsid w:val="68562D9F"/>
    <w:rsid w:val="686B3D2A"/>
    <w:rsid w:val="686C2748"/>
    <w:rsid w:val="687C0256"/>
    <w:rsid w:val="687E2CC0"/>
    <w:rsid w:val="688426FD"/>
    <w:rsid w:val="688A0DDC"/>
    <w:rsid w:val="688B032C"/>
    <w:rsid w:val="68D4092C"/>
    <w:rsid w:val="68D76254"/>
    <w:rsid w:val="68DC2551"/>
    <w:rsid w:val="68E23561"/>
    <w:rsid w:val="68E37F97"/>
    <w:rsid w:val="68EC13C4"/>
    <w:rsid w:val="690C626D"/>
    <w:rsid w:val="692D38DE"/>
    <w:rsid w:val="69540761"/>
    <w:rsid w:val="6957719D"/>
    <w:rsid w:val="695A7016"/>
    <w:rsid w:val="6965287E"/>
    <w:rsid w:val="696F202C"/>
    <w:rsid w:val="698D4719"/>
    <w:rsid w:val="698E291F"/>
    <w:rsid w:val="699B2EE1"/>
    <w:rsid w:val="699C1BF8"/>
    <w:rsid w:val="69AA3D5A"/>
    <w:rsid w:val="69CA6535"/>
    <w:rsid w:val="69D216DC"/>
    <w:rsid w:val="69DD6730"/>
    <w:rsid w:val="69EC595A"/>
    <w:rsid w:val="69F42341"/>
    <w:rsid w:val="69F70497"/>
    <w:rsid w:val="69F82084"/>
    <w:rsid w:val="69FC137F"/>
    <w:rsid w:val="6A0173D8"/>
    <w:rsid w:val="6A193589"/>
    <w:rsid w:val="6A1D4B86"/>
    <w:rsid w:val="6A1F1916"/>
    <w:rsid w:val="6A3A44DB"/>
    <w:rsid w:val="6A3F2459"/>
    <w:rsid w:val="6A57083F"/>
    <w:rsid w:val="6A595409"/>
    <w:rsid w:val="6A5E55D2"/>
    <w:rsid w:val="6A600ED2"/>
    <w:rsid w:val="6A7369A7"/>
    <w:rsid w:val="6A801E2D"/>
    <w:rsid w:val="6A8279E8"/>
    <w:rsid w:val="6A93449F"/>
    <w:rsid w:val="6A985B25"/>
    <w:rsid w:val="6AA7523C"/>
    <w:rsid w:val="6AD54CC1"/>
    <w:rsid w:val="6AD57C2F"/>
    <w:rsid w:val="6AD7438A"/>
    <w:rsid w:val="6ADE270F"/>
    <w:rsid w:val="6AE763E7"/>
    <w:rsid w:val="6AF23BA6"/>
    <w:rsid w:val="6AFC42BE"/>
    <w:rsid w:val="6B141F0F"/>
    <w:rsid w:val="6B2675D6"/>
    <w:rsid w:val="6B2E23D2"/>
    <w:rsid w:val="6B310FB4"/>
    <w:rsid w:val="6B396BAF"/>
    <w:rsid w:val="6B4A760B"/>
    <w:rsid w:val="6B575D76"/>
    <w:rsid w:val="6B615997"/>
    <w:rsid w:val="6B636AD0"/>
    <w:rsid w:val="6B640E28"/>
    <w:rsid w:val="6B653230"/>
    <w:rsid w:val="6B806A43"/>
    <w:rsid w:val="6B81117A"/>
    <w:rsid w:val="6B900202"/>
    <w:rsid w:val="6BA0601F"/>
    <w:rsid w:val="6BA52C19"/>
    <w:rsid w:val="6BB64455"/>
    <w:rsid w:val="6BBA1F7E"/>
    <w:rsid w:val="6BBE33C1"/>
    <w:rsid w:val="6BCF1502"/>
    <w:rsid w:val="6BD22770"/>
    <w:rsid w:val="6BDB5572"/>
    <w:rsid w:val="6BE432D1"/>
    <w:rsid w:val="6BF86920"/>
    <w:rsid w:val="6C0D6051"/>
    <w:rsid w:val="6C175221"/>
    <w:rsid w:val="6C1820FA"/>
    <w:rsid w:val="6C421228"/>
    <w:rsid w:val="6C5A6EC6"/>
    <w:rsid w:val="6C5C511D"/>
    <w:rsid w:val="6C7232E2"/>
    <w:rsid w:val="6C815485"/>
    <w:rsid w:val="6C8B32E6"/>
    <w:rsid w:val="6CA8782A"/>
    <w:rsid w:val="6CC24049"/>
    <w:rsid w:val="6CCC213B"/>
    <w:rsid w:val="6CD71CBC"/>
    <w:rsid w:val="6CD83C46"/>
    <w:rsid w:val="6CE60FF2"/>
    <w:rsid w:val="6CE834AF"/>
    <w:rsid w:val="6CEA401C"/>
    <w:rsid w:val="6CED13A1"/>
    <w:rsid w:val="6CF4589B"/>
    <w:rsid w:val="6CF904D5"/>
    <w:rsid w:val="6CFE2E77"/>
    <w:rsid w:val="6D002660"/>
    <w:rsid w:val="6D032A2B"/>
    <w:rsid w:val="6D136F98"/>
    <w:rsid w:val="6D1F5BED"/>
    <w:rsid w:val="6D2937AB"/>
    <w:rsid w:val="6D3E6170"/>
    <w:rsid w:val="6D404D0D"/>
    <w:rsid w:val="6D417174"/>
    <w:rsid w:val="6D6032F4"/>
    <w:rsid w:val="6D65363B"/>
    <w:rsid w:val="6D6A7564"/>
    <w:rsid w:val="6D82542C"/>
    <w:rsid w:val="6D9A6675"/>
    <w:rsid w:val="6DA9438E"/>
    <w:rsid w:val="6DAC2609"/>
    <w:rsid w:val="6DB71141"/>
    <w:rsid w:val="6DBF5D3D"/>
    <w:rsid w:val="6DC37FB5"/>
    <w:rsid w:val="6DCB49BA"/>
    <w:rsid w:val="6DD80F27"/>
    <w:rsid w:val="6DDA45DC"/>
    <w:rsid w:val="6DE558B2"/>
    <w:rsid w:val="6DEF3975"/>
    <w:rsid w:val="6DF45C04"/>
    <w:rsid w:val="6DF95413"/>
    <w:rsid w:val="6DFA2822"/>
    <w:rsid w:val="6E157DCE"/>
    <w:rsid w:val="6E2067D8"/>
    <w:rsid w:val="6E2A1BF7"/>
    <w:rsid w:val="6E307386"/>
    <w:rsid w:val="6E31618C"/>
    <w:rsid w:val="6E360766"/>
    <w:rsid w:val="6E391CF9"/>
    <w:rsid w:val="6E5422C7"/>
    <w:rsid w:val="6E7A13A6"/>
    <w:rsid w:val="6E95174B"/>
    <w:rsid w:val="6EC205DA"/>
    <w:rsid w:val="6ECA12D3"/>
    <w:rsid w:val="6ED709A0"/>
    <w:rsid w:val="6ED754F5"/>
    <w:rsid w:val="6ED96738"/>
    <w:rsid w:val="6EDB6D73"/>
    <w:rsid w:val="6EDD4BFC"/>
    <w:rsid w:val="6EE25A4E"/>
    <w:rsid w:val="6EEF5E09"/>
    <w:rsid w:val="6EFC63FB"/>
    <w:rsid w:val="6F126E38"/>
    <w:rsid w:val="6F22197D"/>
    <w:rsid w:val="6F291037"/>
    <w:rsid w:val="6F2A41B1"/>
    <w:rsid w:val="6F3A31C7"/>
    <w:rsid w:val="6F3E0B66"/>
    <w:rsid w:val="6F522D33"/>
    <w:rsid w:val="6F6C6375"/>
    <w:rsid w:val="6F85742F"/>
    <w:rsid w:val="6FAC2527"/>
    <w:rsid w:val="6FD11917"/>
    <w:rsid w:val="6FD26DE3"/>
    <w:rsid w:val="6FE74E1B"/>
    <w:rsid w:val="6FF01A2A"/>
    <w:rsid w:val="6FFB0406"/>
    <w:rsid w:val="70074091"/>
    <w:rsid w:val="70124813"/>
    <w:rsid w:val="7016359D"/>
    <w:rsid w:val="702B3724"/>
    <w:rsid w:val="704B62D2"/>
    <w:rsid w:val="705C606B"/>
    <w:rsid w:val="706708A1"/>
    <w:rsid w:val="707F7309"/>
    <w:rsid w:val="70872C41"/>
    <w:rsid w:val="709426F4"/>
    <w:rsid w:val="709F1057"/>
    <w:rsid w:val="70A9168B"/>
    <w:rsid w:val="70AA0BCC"/>
    <w:rsid w:val="70AB4EE8"/>
    <w:rsid w:val="70BF6AD0"/>
    <w:rsid w:val="70E0708A"/>
    <w:rsid w:val="70EF636C"/>
    <w:rsid w:val="71123738"/>
    <w:rsid w:val="712A749B"/>
    <w:rsid w:val="713E263B"/>
    <w:rsid w:val="71407F91"/>
    <w:rsid w:val="716006DB"/>
    <w:rsid w:val="717202BF"/>
    <w:rsid w:val="717331B6"/>
    <w:rsid w:val="71782312"/>
    <w:rsid w:val="71845216"/>
    <w:rsid w:val="71874FB0"/>
    <w:rsid w:val="71A02F71"/>
    <w:rsid w:val="71C91228"/>
    <w:rsid w:val="71CC1CFA"/>
    <w:rsid w:val="71D14840"/>
    <w:rsid w:val="71D711C3"/>
    <w:rsid w:val="71FB1A9C"/>
    <w:rsid w:val="72016658"/>
    <w:rsid w:val="720D0148"/>
    <w:rsid w:val="72194B2E"/>
    <w:rsid w:val="72272CE6"/>
    <w:rsid w:val="72283B36"/>
    <w:rsid w:val="723C689E"/>
    <w:rsid w:val="724975C0"/>
    <w:rsid w:val="7254376E"/>
    <w:rsid w:val="72645445"/>
    <w:rsid w:val="72747071"/>
    <w:rsid w:val="72780975"/>
    <w:rsid w:val="72832AB8"/>
    <w:rsid w:val="728A4468"/>
    <w:rsid w:val="728B4B4E"/>
    <w:rsid w:val="7290490C"/>
    <w:rsid w:val="72924C27"/>
    <w:rsid w:val="729E415B"/>
    <w:rsid w:val="72A024AA"/>
    <w:rsid w:val="72B102DA"/>
    <w:rsid w:val="72B15C6E"/>
    <w:rsid w:val="72B4351B"/>
    <w:rsid w:val="72B901BD"/>
    <w:rsid w:val="72C558F0"/>
    <w:rsid w:val="72CA074B"/>
    <w:rsid w:val="72D22768"/>
    <w:rsid w:val="72D45F66"/>
    <w:rsid w:val="72DF2591"/>
    <w:rsid w:val="72F25CAF"/>
    <w:rsid w:val="72F5198C"/>
    <w:rsid w:val="730F1037"/>
    <w:rsid w:val="731B1D78"/>
    <w:rsid w:val="732A3862"/>
    <w:rsid w:val="73517931"/>
    <w:rsid w:val="73617C79"/>
    <w:rsid w:val="73650E8C"/>
    <w:rsid w:val="73804EDA"/>
    <w:rsid w:val="738A706E"/>
    <w:rsid w:val="73B551B4"/>
    <w:rsid w:val="73B72C3D"/>
    <w:rsid w:val="73D22A68"/>
    <w:rsid w:val="73D9513D"/>
    <w:rsid w:val="73DE0E8B"/>
    <w:rsid w:val="73E25F6B"/>
    <w:rsid w:val="73F25289"/>
    <w:rsid w:val="74112642"/>
    <w:rsid w:val="74137741"/>
    <w:rsid w:val="741527F4"/>
    <w:rsid w:val="741B24B6"/>
    <w:rsid w:val="74261AA0"/>
    <w:rsid w:val="74367F9A"/>
    <w:rsid w:val="74377E02"/>
    <w:rsid w:val="746C4805"/>
    <w:rsid w:val="7485580D"/>
    <w:rsid w:val="748D32C7"/>
    <w:rsid w:val="749470B9"/>
    <w:rsid w:val="749D0945"/>
    <w:rsid w:val="74A716F7"/>
    <w:rsid w:val="74C21D7A"/>
    <w:rsid w:val="74DA2F09"/>
    <w:rsid w:val="74E7666D"/>
    <w:rsid w:val="74FF3F52"/>
    <w:rsid w:val="75034532"/>
    <w:rsid w:val="75091547"/>
    <w:rsid w:val="751C0CC1"/>
    <w:rsid w:val="752E4E36"/>
    <w:rsid w:val="753D327B"/>
    <w:rsid w:val="755C214B"/>
    <w:rsid w:val="75701FC6"/>
    <w:rsid w:val="75757AE8"/>
    <w:rsid w:val="757C086D"/>
    <w:rsid w:val="757F1702"/>
    <w:rsid w:val="75804A36"/>
    <w:rsid w:val="75850A11"/>
    <w:rsid w:val="758551DD"/>
    <w:rsid w:val="758C0209"/>
    <w:rsid w:val="75930F2A"/>
    <w:rsid w:val="759512AD"/>
    <w:rsid w:val="759D22B8"/>
    <w:rsid w:val="75A5486A"/>
    <w:rsid w:val="75B02134"/>
    <w:rsid w:val="75B87975"/>
    <w:rsid w:val="75D76591"/>
    <w:rsid w:val="75E20E46"/>
    <w:rsid w:val="75EF20B3"/>
    <w:rsid w:val="75F102AA"/>
    <w:rsid w:val="75F43634"/>
    <w:rsid w:val="75FC147B"/>
    <w:rsid w:val="76007719"/>
    <w:rsid w:val="76132823"/>
    <w:rsid w:val="761D3CE2"/>
    <w:rsid w:val="76206FD8"/>
    <w:rsid w:val="76217D3F"/>
    <w:rsid w:val="76224E2B"/>
    <w:rsid w:val="76235875"/>
    <w:rsid w:val="762D6C3F"/>
    <w:rsid w:val="76361A99"/>
    <w:rsid w:val="76405339"/>
    <w:rsid w:val="76434758"/>
    <w:rsid w:val="76565341"/>
    <w:rsid w:val="765834FB"/>
    <w:rsid w:val="765B1240"/>
    <w:rsid w:val="765C05F9"/>
    <w:rsid w:val="765C4CA7"/>
    <w:rsid w:val="7662420C"/>
    <w:rsid w:val="76633BD0"/>
    <w:rsid w:val="76773EA4"/>
    <w:rsid w:val="767D0282"/>
    <w:rsid w:val="76956BE2"/>
    <w:rsid w:val="76B86C49"/>
    <w:rsid w:val="76BE461C"/>
    <w:rsid w:val="76CB0952"/>
    <w:rsid w:val="76CE1B13"/>
    <w:rsid w:val="76D1082B"/>
    <w:rsid w:val="76F9774F"/>
    <w:rsid w:val="770C542B"/>
    <w:rsid w:val="77162BA0"/>
    <w:rsid w:val="772813B5"/>
    <w:rsid w:val="77292BEF"/>
    <w:rsid w:val="772B10B5"/>
    <w:rsid w:val="773012B8"/>
    <w:rsid w:val="77437EDD"/>
    <w:rsid w:val="775201FE"/>
    <w:rsid w:val="775E317E"/>
    <w:rsid w:val="7760310B"/>
    <w:rsid w:val="77805A01"/>
    <w:rsid w:val="77914195"/>
    <w:rsid w:val="77A30DFD"/>
    <w:rsid w:val="77AB046C"/>
    <w:rsid w:val="77AD185B"/>
    <w:rsid w:val="77B023B6"/>
    <w:rsid w:val="77BA0140"/>
    <w:rsid w:val="77C223A2"/>
    <w:rsid w:val="77C521AE"/>
    <w:rsid w:val="77C970F3"/>
    <w:rsid w:val="77CA4372"/>
    <w:rsid w:val="77CB1E7A"/>
    <w:rsid w:val="77D73095"/>
    <w:rsid w:val="78041330"/>
    <w:rsid w:val="781F2121"/>
    <w:rsid w:val="781F67B1"/>
    <w:rsid w:val="782417B2"/>
    <w:rsid w:val="782908E8"/>
    <w:rsid w:val="78360102"/>
    <w:rsid w:val="783B110F"/>
    <w:rsid w:val="783C54C1"/>
    <w:rsid w:val="783F0F53"/>
    <w:rsid w:val="784139CE"/>
    <w:rsid w:val="78475CA8"/>
    <w:rsid w:val="784C58FE"/>
    <w:rsid w:val="78501E6F"/>
    <w:rsid w:val="785638C1"/>
    <w:rsid w:val="786A1CB9"/>
    <w:rsid w:val="787A3A58"/>
    <w:rsid w:val="787D268B"/>
    <w:rsid w:val="787F1F88"/>
    <w:rsid w:val="7896056D"/>
    <w:rsid w:val="789C500B"/>
    <w:rsid w:val="78A44AF9"/>
    <w:rsid w:val="78AE0EB0"/>
    <w:rsid w:val="78BC4FA4"/>
    <w:rsid w:val="78C24E38"/>
    <w:rsid w:val="78D20C3C"/>
    <w:rsid w:val="78D625B2"/>
    <w:rsid w:val="78DE07EB"/>
    <w:rsid w:val="78F1608B"/>
    <w:rsid w:val="78FC7AE8"/>
    <w:rsid w:val="78FD5E38"/>
    <w:rsid w:val="79032E47"/>
    <w:rsid w:val="7917402D"/>
    <w:rsid w:val="792B2646"/>
    <w:rsid w:val="79303C90"/>
    <w:rsid w:val="79335632"/>
    <w:rsid w:val="793E54ED"/>
    <w:rsid w:val="793F1F59"/>
    <w:rsid w:val="793F4EB7"/>
    <w:rsid w:val="794400BD"/>
    <w:rsid w:val="79532DAB"/>
    <w:rsid w:val="79601281"/>
    <w:rsid w:val="796C00E0"/>
    <w:rsid w:val="796D6F33"/>
    <w:rsid w:val="797314BE"/>
    <w:rsid w:val="79737A36"/>
    <w:rsid w:val="79761A69"/>
    <w:rsid w:val="797862DB"/>
    <w:rsid w:val="79864455"/>
    <w:rsid w:val="7999084D"/>
    <w:rsid w:val="79B478E8"/>
    <w:rsid w:val="79B80E37"/>
    <w:rsid w:val="79BB3FD7"/>
    <w:rsid w:val="79D74407"/>
    <w:rsid w:val="79F558D2"/>
    <w:rsid w:val="7A05268C"/>
    <w:rsid w:val="7A0A28A9"/>
    <w:rsid w:val="7A0C139B"/>
    <w:rsid w:val="7A0D4339"/>
    <w:rsid w:val="7A227EB8"/>
    <w:rsid w:val="7A2A404F"/>
    <w:rsid w:val="7A321AF4"/>
    <w:rsid w:val="7A5E5467"/>
    <w:rsid w:val="7A6B6119"/>
    <w:rsid w:val="7A7E0950"/>
    <w:rsid w:val="7A7F48DD"/>
    <w:rsid w:val="7A811B0F"/>
    <w:rsid w:val="7A814276"/>
    <w:rsid w:val="7A815268"/>
    <w:rsid w:val="7A9022D3"/>
    <w:rsid w:val="7AAE5D90"/>
    <w:rsid w:val="7AC27D82"/>
    <w:rsid w:val="7ACE005E"/>
    <w:rsid w:val="7AE869CD"/>
    <w:rsid w:val="7AFF1C73"/>
    <w:rsid w:val="7B022882"/>
    <w:rsid w:val="7B061534"/>
    <w:rsid w:val="7B0737B3"/>
    <w:rsid w:val="7B2A631E"/>
    <w:rsid w:val="7B2B7D4E"/>
    <w:rsid w:val="7B2C6C04"/>
    <w:rsid w:val="7B3602D6"/>
    <w:rsid w:val="7B413193"/>
    <w:rsid w:val="7B472316"/>
    <w:rsid w:val="7B4F5B04"/>
    <w:rsid w:val="7B591F8E"/>
    <w:rsid w:val="7B625C70"/>
    <w:rsid w:val="7B7A444D"/>
    <w:rsid w:val="7B95314A"/>
    <w:rsid w:val="7BA16B18"/>
    <w:rsid w:val="7BC00C98"/>
    <w:rsid w:val="7BC075EC"/>
    <w:rsid w:val="7BC11A9E"/>
    <w:rsid w:val="7BD25C6B"/>
    <w:rsid w:val="7BD37DCF"/>
    <w:rsid w:val="7BD42C02"/>
    <w:rsid w:val="7BE10C07"/>
    <w:rsid w:val="7BF77374"/>
    <w:rsid w:val="7BFA399F"/>
    <w:rsid w:val="7BFD6082"/>
    <w:rsid w:val="7C01688A"/>
    <w:rsid w:val="7C092860"/>
    <w:rsid w:val="7C0F319A"/>
    <w:rsid w:val="7C282E72"/>
    <w:rsid w:val="7C2869ED"/>
    <w:rsid w:val="7C293142"/>
    <w:rsid w:val="7C444C34"/>
    <w:rsid w:val="7C5E23BD"/>
    <w:rsid w:val="7C6D1911"/>
    <w:rsid w:val="7C732264"/>
    <w:rsid w:val="7C745B76"/>
    <w:rsid w:val="7C8A2209"/>
    <w:rsid w:val="7C992514"/>
    <w:rsid w:val="7C9D0F17"/>
    <w:rsid w:val="7C9D7850"/>
    <w:rsid w:val="7CA949A1"/>
    <w:rsid w:val="7CB26FCE"/>
    <w:rsid w:val="7CB566D5"/>
    <w:rsid w:val="7CCC72D8"/>
    <w:rsid w:val="7CCF2D25"/>
    <w:rsid w:val="7CCF55B1"/>
    <w:rsid w:val="7CD4291E"/>
    <w:rsid w:val="7CE028C5"/>
    <w:rsid w:val="7CE858AB"/>
    <w:rsid w:val="7D2438A6"/>
    <w:rsid w:val="7D283684"/>
    <w:rsid w:val="7D2D048D"/>
    <w:rsid w:val="7D2E4372"/>
    <w:rsid w:val="7D3517CC"/>
    <w:rsid w:val="7D4904F0"/>
    <w:rsid w:val="7D650914"/>
    <w:rsid w:val="7D673EBC"/>
    <w:rsid w:val="7D705D10"/>
    <w:rsid w:val="7D781A73"/>
    <w:rsid w:val="7D7B605B"/>
    <w:rsid w:val="7D7C7421"/>
    <w:rsid w:val="7D931792"/>
    <w:rsid w:val="7DA51012"/>
    <w:rsid w:val="7DAC4042"/>
    <w:rsid w:val="7DCE3A9F"/>
    <w:rsid w:val="7DF50700"/>
    <w:rsid w:val="7E0E0B22"/>
    <w:rsid w:val="7E0F4EE6"/>
    <w:rsid w:val="7E1172EE"/>
    <w:rsid w:val="7E1D690D"/>
    <w:rsid w:val="7E335DA5"/>
    <w:rsid w:val="7E3B226C"/>
    <w:rsid w:val="7E3C19F6"/>
    <w:rsid w:val="7E5B72F5"/>
    <w:rsid w:val="7E637AC3"/>
    <w:rsid w:val="7E712358"/>
    <w:rsid w:val="7E805DB3"/>
    <w:rsid w:val="7E920903"/>
    <w:rsid w:val="7E932601"/>
    <w:rsid w:val="7E9A13E9"/>
    <w:rsid w:val="7EC959CC"/>
    <w:rsid w:val="7ED03FDC"/>
    <w:rsid w:val="7EDC06F6"/>
    <w:rsid w:val="7EEC11CE"/>
    <w:rsid w:val="7EF56519"/>
    <w:rsid w:val="7F00651A"/>
    <w:rsid w:val="7F0A064A"/>
    <w:rsid w:val="7F253F6A"/>
    <w:rsid w:val="7F274BEC"/>
    <w:rsid w:val="7F446EA8"/>
    <w:rsid w:val="7F465986"/>
    <w:rsid w:val="7F4A758B"/>
    <w:rsid w:val="7F772B83"/>
    <w:rsid w:val="7F86656B"/>
    <w:rsid w:val="7F8726F5"/>
    <w:rsid w:val="7FB07741"/>
    <w:rsid w:val="7FB16C6E"/>
    <w:rsid w:val="7FFA4466"/>
    <w:rsid w:val="7FFB0EA2"/>
    <w:rsid w:val="7FFE001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qFormat="1" w:unhideWhenUsed="0" w:uiPriority="39" w:semiHidden="0"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uiPriority="99" w:name="Date" w:locked="1"/>
    <w:lsdException w:qFormat="1" w:unhideWhenUsed="0" w:uiPriority="99" w:semiHidden="0" w:name="Body Text First Indent"/>
    <w:lsdException w:qFormat="1" w:unhideWhenUsed="0" w:uiPriority="99" w:semiHidden="0" w:name="Body Text First Indent 2"/>
    <w:lsdException w:uiPriority="99" w:name="Note Heading" w:locked="1"/>
    <w:lsdException w:uiPriority="99" w:name="Body Text 2" w:locked="1"/>
    <w:lsdException w:uiPriority="99" w:name="Body Text 3" w:locked="1"/>
    <w:lsdException w:qFormat="1" w:unhideWhenUsed="0" w:uiPriority="99" w:semiHidden="0" w:name="Body Text Indent 2"/>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99" w:semiHidden="0" w:name="Strong"/>
    <w:lsdException w:qFormat="1" w:unhideWhenUsed="0" w:uiPriority="20" w:semiHidden="0" w:name="Emphasis" w:locked="1"/>
    <w:lsdException w:qFormat="1" w:unhideWhenUsed="0" w:uiPriority="99"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paragraph" w:styleId="2">
    <w:name w:val="heading 1"/>
    <w:basedOn w:val="1"/>
    <w:next w:val="1"/>
    <w:link w:val="25"/>
    <w:qFormat/>
    <w:uiPriority w:val="99"/>
    <w:pPr>
      <w:keepNext/>
      <w:keepLines/>
      <w:spacing w:before="340" w:after="330" w:line="578" w:lineRule="auto"/>
      <w:outlineLvl w:val="0"/>
    </w:pPr>
    <w:rPr>
      <w:rFonts w:eastAsia="黑体"/>
      <w:b/>
      <w:bCs/>
      <w:kern w:val="44"/>
      <w:sz w:val="32"/>
      <w:szCs w:val="32"/>
    </w:rPr>
  </w:style>
  <w:style w:type="paragraph" w:styleId="3">
    <w:name w:val="heading 2"/>
    <w:basedOn w:val="1"/>
    <w:next w:val="1"/>
    <w:link w:val="26"/>
    <w:qFormat/>
    <w:uiPriority w:val="99"/>
    <w:pPr>
      <w:keepNext/>
      <w:keepLines/>
      <w:spacing w:before="260" w:after="260" w:line="416" w:lineRule="auto"/>
      <w:outlineLvl w:val="1"/>
    </w:pPr>
    <w:rPr>
      <w:rFonts w:ascii="Cambria" w:hAnsi="Cambria" w:cs="Cambria"/>
      <w:b/>
      <w:bCs/>
      <w:sz w:val="28"/>
      <w:szCs w:val="28"/>
    </w:rPr>
  </w:style>
  <w:style w:type="paragraph" w:styleId="4">
    <w:name w:val="heading 3"/>
    <w:basedOn w:val="1"/>
    <w:next w:val="1"/>
    <w:link w:val="27"/>
    <w:qFormat/>
    <w:uiPriority w:val="99"/>
    <w:pPr>
      <w:keepNext/>
      <w:keepLines/>
      <w:spacing w:before="260" w:after="260" w:line="416" w:lineRule="auto"/>
      <w:outlineLvl w:val="2"/>
    </w:pPr>
    <w:rPr>
      <w:b/>
      <w:bCs/>
      <w:sz w:val="32"/>
      <w:szCs w:val="32"/>
    </w:rPr>
  </w:style>
  <w:style w:type="paragraph" w:styleId="5">
    <w:name w:val="heading 4"/>
    <w:basedOn w:val="1"/>
    <w:next w:val="1"/>
    <w:link w:val="28"/>
    <w:qFormat/>
    <w:locked/>
    <w:uiPriority w:val="99"/>
    <w:pPr>
      <w:keepNext/>
      <w:keepLines/>
      <w:spacing w:before="280" w:after="290" w:line="376" w:lineRule="auto"/>
      <w:outlineLvl w:val="3"/>
    </w:pPr>
    <w:rPr>
      <w:rFonts w:ascii="Arial" w:hAnsi="Arial" w:eastAsia="黑体" w:cs="Arial"/>
      <w:b/>
      <w:bCs/>
      <w:sz w:val="28"/>
      <w:szCs w:val="28"/>
    </w:rPr>
  </w:style>
  <w:style w:type="character" w:default="1" w:styleId="22">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6">
    <w:name w:val="Document Map"/>
    <w:basedOn w:val="1"/>
    <w:link w:val="31"/>
    <w:semiHidden/>
    <w:qFormat/>
    <w:uiPriority w:val="99"/>
    <w:pPr>
      <w:shd w:val="clear" w:color="auto" w:fill="000080"/>
    </w:pPr>
  </w:style>
  <w:style w:type="paragraph" w:styleId="7">
    <w:name w:val="Body Text"/>
    <w:basedOn w:val="1"/>
    <w:link w:val="29"/>
    <w:qFormat/>
    <w:uiPriority w:val="99"/>
    <w:pPr>
      <w:spacing w:after="120"/>
    </w:pPr>
  </w:style>
  <w:style w:type="paragraph" w:styleId="8">
    <w:name w:val="Body Text Indent"/>
    <w:basedOn w:val="1"/>
    <w:link w:val="32"/>
    <w:qFormat/>
    <w:uiPriority w:val="99"/>
    <w:pPr>
      <w:spacing w:after="120"/>
      <w:ind w:left="420" w:leftChars="200"/>
    </w:pPr>
  </w:style>
  <w:style w:type="paragraph" w:styleId="9">
    <w:name w:val="toc 3"/>
    <w:basedOn w:val="1"/>
    <w:next w:val="1"/>
    <w:qFormat/>
    <w:uiPriority w:val="39"/>
    <w:pPr>
      <w:tabs>
        <w:tab w:val="right" w:leader="dot" w:pos="8494"/>
      </w:tabs>
      <w:ind w:left="840" w:leftChars="400"/>
    </w:pPr>
    <w:rPr>
      <w:b/>
      <w:bCs/>
      <w:kern w:val="0"/>
      <w:sz w:val="30"/>
      <w:szCs w:val="30"/>
    </w:rPr>
  </w:style>
  <w:style w:type="paragraph" w:styleId="10">
    <w:name w:val="Plain Text"/>
    <w:basedOn w:val="1"/>
    <w:link w:val="33"/>
    <w:qFormat/>
    <w:uiPriority w:val="99"/>
    <w:rPr>
      <w:rFonts w:ascii="宋体" w:hAnsi="Courier New" w:cs="宋体"/>
    </w:rPr>
  </w:style>
  <w:style w:type="paragraph" w:styleId="11">
    <w:name w:val="Body Text Indent 2"/>
    <w:basedOn w:val="1"/>
    <w:link w:val="34"/>
    <w:qFormat/>
    <w:uiPriority w:val="99"/>
    <w:pPr>
      <w:spacing w:after="120" w:line="480" w:lineRule="auto"/>
      <w:ind w:left="420" w:leftChars="200"/>
    </w:pPr>
  </w:style>
  <w:style w:type="paragraph" w:styleId="12">
    <w:name w:val="Balloon Text"/>
    <w:basedOn w:val="1"/>
    <w:link w:val="35"/>
    <w:semiHidden/>
    <w:qFormat/>
    <w:uiPriority w:val="99"/>
    <w:rPr>
      <w:kern w:val="0"/>
      <w:sz w:val="18"/>
      <w:szCs w:val="18"/>
    </w:rPr>
  </w:style>
  <w:style w:type="paragraph" w:styleId="13">
    <w:name w:val="footer"/>
    <w:basedOn w:val="1"/>
    <w:link w:val="36"/>
    <w:qFormat/>
    <w:uiPriority w:val="99"/>
    <w:pPr>
      <w:tabs>
        <w:tab w:val="center" w:pos="4153"/>
        <w:tab w:val="right" w:pos="8306"/>
      </w:tabs>
      <w:snapToGrid w:val="0"/>
      <w:jc w:val="left"/>
    </w:pPr>
    <w:rPr>
      <w:kern w:val="0"/>
      <w:sz w:val="18"/>
      <w:szCs w:val="18"/>
    </w:rPr>
  </w:style>
  <w:style w:type="paragraph" w:styleId="14">
    <w:name w:val="header"/>
    <w:basedOn w:val="1"/>
    <w:link w:val="38"/>
    <w:qFormat/>
    <w:uiPriority w:val="99"/>
    <w:pPr>
      <w:pBdr>
        <w:bottom w:val="single" w:color="auto" w:sz="6" w:space="1"/>
      </w:pBdr>
      <w:tabs>
        <w:tab w:val="center" w:pos="4153"/>
        <w:tab w:val="right" w:pos="8306"/>
      </w:tabs>
      <w:snapToGrid w:val="0"/>
      <w:jc w:val="center"/>
    </w:pPr>
    <w:rPr>
      <w:kern w:val="0"/>
      <w:sz w:val="18"/>
      <w:szCs w:val="18"/>
    </w:rPr>
  </w:style>
  <w:style w:type="paragraph" w:styleId="15">
    <w:name w:val="toc 1"/>
    <w:basedOn w:val="1"/>
    <w:next w:val="1"/>
    <w:qFormat/>
    <w:uiPriority w:val="39"/>
    <w:pPr>
      <w:tabs>
        <w:tab w:val="right" w:leader="dot" w:pos="9170"/>
      </w:tabs>
      <w:spacing w:before="120" w:after="120"/>
      <w:jc w:val="left"/>
    </w:pPr>
    <w:rPr>
      <w:rFonts w:ascii="宋体" w:hAnsi="宋体" w:cs="宋体"/>
      <w:b/>
      <w:bCs/>
      <w:caps/>
      <w:sz w:val="24"/>
      <w:szCs w:val="24"/>
    </w:rPr>
  </w:style>
  <w:style w:type="paragraph" w:styleId="16">
    <w:name w:val="Subtitle"/>
    <w:basedOn w:val="1"/>
    <w:next w:val="1"/>
    <w:link w:val="39"/>
    <w:qFormat/>
    <w:uiPriority w:val="99"/>
    <w:pPr>
      <w:spacing w:before="240" w:after="60" w:line="312" w:lineRule="auto"/>
      <w:jc w:val="center"/>
      <w:outlineLvl w:val="1"/>
    </w:pPr>
    <w:rPr>
      <w:rFonts w:ascii="Cambria" w:hAnsi="Cambria" w:cs="Cambria"/>
      <w:b/>
      <w:bCs/>
      <w:kern w:val="28"/>
      <w:sz w:val="32"/>
      <w:szCs w:val="32"/>
    </w:rPr>
  </w:style>
  <w:style w:type="paragraph" w:styleId="17">
    <w:name w:val="toc 2"/>
    <w:basedOn w:val="1"/>
    <w:next w:val="1"/>
    <w:qFormat/>
    <w:uiPriority w:val="39"/>
    <w:pPr>
      <w:tabs>
        <w:tab w:val="right" w:leader="dot" w:pos="9170"/>
      </w:tabs>
      <w:spacing w:line="360" w:lineRule="auto"/>
      <w:ind w:left="210"/>
      <w:jc w:val="left"/>
    </w:pPr>
    <w:rPr>
      <w:rFonts w:ascii="宋体" w:hAnsi="宋体" w:cs="宋体"/>
      <w:b/>
      <w:bCs/>
      <w:smallCaps/>
      <w:color w:val="000000"/>
      <w:kern w:val="0"/>
      <w:sz w:val="30"/>
      <w:szCs w:val="30"/>
    </w:rPr>
  </w:style>
  <w:style w:type="paragraph" w:styleId="18">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19">
    <w:name w:val="Body Text First Indent"/>
    <w:basedOn w:val="7"/>
    <w:link w:val="30"/>
    <w:qFormat/>
    <w:uiPriority w:val="99"/>
    <w:pPr>
      <w:ind w:firstLine="420" w:firstLineChars="100"/>
    </w:pPr>
  </w:style>
  <w:style w:type="paragraph" w:styleId="20">
    <w:name w:val="Body Text First Indent 2"/>
    <w:basedOn w:val="8"/>
    <w:link w:val="37"/>
    <w:qFormat/>
    <w:uiPriority w:val="99"/>
    <w:pPr>
      <w:ind w:firstLine="420" w:firstLineChars="200"/>
    </w:pPr>
  </w:style>
  <w:style w:type="character" w:styleId="23">
    <w:name w:val="Strong"/>
    <w:basedOn w:val="22"/>
    <w:qFormat/>
    <w:uiPriority w:val="99"/>
    <w:rPr>
      <w:b/>
      <w:bCs/>
    </w:rPr>
  </w:style>
  <w:style w:type="character" w:styleId="24">
    <w:name w:val="Hyperlink"/>
    <w:basedOn w:val="22"/>
    <w:qFormat/>
    <w:uiPriority w:val="99"/>
    <w:rPr>
      <w:color w:val="0000FF"/>
      <w:u w:val="single"/>
    </w:rPr>
  </w:style>
  <w:style w:type="character" w:customStyle="1" w:styleId="25">
    <w:name w:val="标题 1 Char"/>
    <w:basedOn w:val="22"/>
    <w:link w:val="2"/>
    <w:qFormat/>
    <w:locked/>
    <w:uiPriority w:val="99"/>
    <w:rPr>
      <w:rFonts w:eastAsia="黑体"/>
      <w:b/>
      <w:bCs/>
      <w:kern w:val="44"/>
      <w:sz w:val="44"/>
      <w:szCs w:val="44"/>
    </w:rPr>
  </w:style>
  <w:style w:type="character" w:customStyle="1" w:styleId="26">
    <w:name w:val="标题 2 Char"/>
    <w:basedOn w:val="22"/>
    <w:link w:val="3"/>
    <w:qFormat/>
    <w:locked/>
    <w:uiPriority w:val="99"/>
    <w:rPr>
      <w:rFonts w:ascii="Cambria" w:hAnsi="Cambria" w:cs="Cambria"/>
      <w:b/>
      <w:bCs/>
      <w:kern w:val="2"/>
      <w:sz w:val="32"/>
      <w:szCs w:val="32"/>
    </w:rPr>
  </w:style>
  <w:style w:type="character" w:customStyle="1" w:styleId="27">
    <w:name w:val="标题 3 Char"/>
    <w:basedOn w:val="22"/>
    <w:link w:val="4"/>
    <w:semiHidden/>
    <w:qFormat/>
    <w:locked/>
    <w:uiPriority w:val="99"/>
    <w:rPr>
      <w:b/>
      <w:bCs/>
      <w:sz w:val="32"/>
      <w:szCs w:val="32"/>
    </w:rPr>
  </w:style>
  <w:style w:type="character" w:customStyle="1" w:styleId="28">
    <w:name w:val="标题 4 Char"/>
    <w:basedOn w:val="22"/>
    <w:link w:val="5"/>
    <w:semiHidden/>
    <w:qFormat/>
    <w:locked/>
    <w:uiPriority w:val="99"/>
    <w:rPr>
      <w:rFonts w:ascii="Cambria" w:hAnsi="Cambria" w:eastAsia="宋体" w:cs="Cambria"/>
      <w:b/>
      <w:bCs/>
      <w:sz w:val="28"/>
      <w:szCs w:val="28"/>
    </w:rPr>
  </w:style>
  <w:style w:type="character" w:customStyle="1" w:styleId="29">
    <w:name w:val="正文文本 Char"/>
    <w:basedOn w:val="22"/>
    <w:link w:val="7"/>
    <w:semiHidden/>
    <w:qFormat/>
    <w:locked/>
    <w:uiPriority w:val="99"/>
    <w:rPr>
      <w:sz w:val="21"/>
      <w:szCs w:val="21"/>
    </w:rPr>
  </w:style>
  <w:style w:type="character" w:customStyle="1" w:styleId="30">
    <w:name w:val="正文首行缩进 Char"/>
    <w:basedOn w:val="29"/>
    <w:link w:val="19"/>
    <w:semiHidden/>
    <w:qFormat/>
    <w:locked/>
    <w:uiPriority w:val="99"/>
  </w:style>
  <w:style w:type="character" w:customStyle="1" w:styleId="31">
    <w:name w:val="文档结构图 Char"/>
    <w:basedOn w:val="22"/>
    <w:link w:val="6"/>
    <w:semiHidden/>
    <w:qFormat/>
    <w:locked/>
    <w:uiPriority w:val="99"/>
    <w:rPr>
      <w:rFonts w:ascii="Times New Roman" w:hAnsi="Times New Roman" w:cs="Times New Roman"/>
      <w:sz w:val="2"/>
      <w:szCs w:val="2"/>
    </w:rPr>
  </w:style>
  <w:style w:type="character" w:customStyle="1" w:styleId="32">
    <w:name w:val="正文文本缩进 Char"/>
    <w:basedOn w:val="22"/>
    <w:link w:val="8"/>
    <w:semiHidden/>
    <w:qFormat/>
    <w:locked/>
    <w:uiPriority w:val="99"/>
    <w:rPr>
      <w:sz w:val="21"/>
      <w:szCs w:val="21"/>
    </w:rPr>
  </w:style>
  <w:style w:type="character" w:customStyle="1" w:styleId="33">
    <w:name w:val="纯文本 Char"/>
    <w:basedOn w:val="22"/>
    <w:link w:val="10"/>
    <w:semiHidden/>
    <w:qFormat/>
    <w:locked/>
    <w:uiPriority w:val="99"/>
    <w:rPr>
      <w:rFonts w:ascii="宋体" w:hAnsi="Courier New" w:cs="宋体"/>
      <w:sz w:val="21"/>
      <w:szCs w:val="21"/>
    </w:rPr>
  </w:style>
  <w:style w:type="character" w:customStyle="1" w:styleId="34">
    <w:name w:val="正文文本缩进 2 Char"/>
    <w:basedOn w:val="22"/>
    <w:link w:val="11"/>
    <w:semiHidden/>
    <w:qFormat/>
    <w:locked/>
    <w:uiPriority w:val="99"/>
    <w:rPr>
      <w:sz w:val="21"/>
      <w:szCs w:val="21"/>
    </w:rPr>
  </w:style>
  <w:style w:type="character" w:customStyle="1" w:styleId="35">
    <w:name w:val="批注框文本 Char"/>
    <w:basedOn w:val="22"/>
    <w:link w:val="12"/>
    <w:semiHidden/>
    <w:qFormat/>
    <w:locked/>
    <w:uiPriority w:val="99"/>
    <w:rPr>
      <w:sz w:val="18"/>
      <w:szCs w:val="18"/>
    </w:rPr>
  </w:style>
  <w:style w:type="character" w:customStyle="1" w:styleId="36">
    <w:name w:val="页脚 Char"/>
    <w:basedOn w:val="22"/>
    <w:link w:val="13"/>
    <w:qFormat/>
    <w:locked/>
    <w:uiPriority w:val="99"/>
    <w:rPr>
      <w:sz w:val="18"/>
      <w:szCs w:val="18"/>
    </w:rPr>
  </w:style>
  <w:style w:type="character" w:customStyle="1" w:styleId="37">
    <w:name w:val="正文首行缩进 2 Char"/>
    <w:basedOn w:val="32"/>
    <w:link w:val="20"/>
    <w:semiHidden/>
    <w:qFormat/>
    <w:locked/>
    <w:uiPriority w:val="99"/>
  </w:style>
  <w:style w:type="character" w:customStyle="1" w:styleId="38">
    <w:name w:val="页眉 Char"/>
    <w:basedOn w:val="22"/>
    <w:link w:val="14"/>
    <w:qFormat/>
    <w:locked/>
    <w:uiPriority w:val="99"/>
    <w:rPr>
      <w:sz w:val="18"/>
      <w:szCs w:val="18"/>
    </w:rPr>
  </w:style>
  <w:style w:type="character" w:customStyle="1" w:styleId="39">
    <w:name w:val="副标题 Char"/>
    <w:basedOn w:val="22"/>
    <w:link w:val="16"/>
    <w:qFormat/>
    <w:locked/>
    <w:uiPriority w:val="99"/>
    <w:rPr>
      <w:rFonts w:ascii="Cambria" w:hAnsi="Cambria" w:cs="Cambria"/>
      <w:b/>
      <w:bCs/>
      <w:kern w:val="28"/>
      <w:sz w:val="32"/>
      <w:szCs w:val="32"/>
    </w:rPr>
  </w:style>
  <w:style w:type="paragraph" w:customStyle="1" w:styleId="40">
    <w:name w:val="Char Char Char"/>
    <w:basedOn w:val="1"/>
    <w:qFormat/>
    <w:uiPriority w:val="99"/>
    <w:pPr>
      <w:widowControl/>
      <w:spacing w:after="160" w:line="240" w:lineRule="exact"/>
      <w:jc w:val="left"/>
    </w:pPr>
    <w:rPr>
      <w:rFonts w:ascii="Verdana" w:hAnsi="Verdana" w:cs="Verdana"/>
      <w:kern w:val="0"/>
      <w:sz w:val="20"/>
      <w:szCs w:val="20"/>
      <w:lang w:eastAsia="en-US"/>
    </w:rPr>
  </w:style>
  <w:style w:type="paragraph" w:styleId="41">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008A6E3-3086-4711-8D43-27BA221D6710}">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30</Pages>
  <Words>2747</Words>
  <Characters>15658</Characters>
  <Lines>130</Lines>
  <Paragraphs>36</Paragraphs>
  <TotalTime>1</TotalTime>
  <ScaleCrop>false</ScaleCrop>
  <LinksUpToDate>false</LinksUpToDate>
  <CharactersWithSpaces>18369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2019-09-11T05:50:00Z</dcterms:created>
  <dc:creator>AutoBVT</dc:creator>
  <cp:lastModifiedBy>Administrator</cp:lastModifiedBy>
  <dcterms:modified xsi:type="dcterms:W3CDTF">2020-11-13T05:42:36Z</dcterms:modified>
  <cp:revision>283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