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rPr>
      </w:pPr>
      <w:r>
        <w:rPr>
          <w:rFonts w:ascii="宋体" w:hAnsi="宋体"/>
          <w:sz w:val="72"/>
          <w:szCs w:val="72"/>
        </w:rPr>
        <w:drawing>
          <wp:anchor distT="0" distB="0" distL="114300" distR="114300" simplePos="0" relativeHeight="251657216" behindDoc="1" locked="0" layoutInCell="1" allowOverlap="1">
            <wp:simplePos x="0" y="0"/>
            <wp:positionH relativeFrom="column">
              <wp:posOffset>-902335</wp:posOffset>
            </wp:positionH>
            <wp:positionV relativeFrom="paragraph">
              <wp:posOffset>-923925</wp:posOffset>
            </wp:positionV>
            <wp:extent cx="7842250" cy="11095990"/>
            <wp:effectExtent l="0" t="0" r="6350" b="10160"/>
            <wp:wrapNone/>
            <wp:docPr id="48"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 descr="封面.jpg"/>
                    <pic:cNvPicPr>
                      <a:picLocks noChangeAspect="1" noChangeArrowheads="1"/>
                    </pic:cNvPicPr>
                  </pic:nvPicPr>
                  <pic:blipFill>
                    <a:blip r:embed="rId7"/>
                    <a:srcRect/>
                    <a:stretch>
                      <a:fillRect/>
                    </a:stretch>
                  </pic:blipFill>
                  <pic:spPr>
                    <a:xfrm>
                      <a:off x="0" y="0"/>
                      <a:ext cx="7842250" cy="11095990"/>
                    </a:xfrm>
                    <a:prstGeom prst="rect">
                      <a:avLst/>
                    </a:prstGeom>
                    <a:noFill/>
                    <a:ln w="9525">
                      <a:noFill/>
                      <a:miter lim="800000"/>
                      <a:headEnd/>
                      <a:tailEnd/>
                    </a:ln>
                  </pic:spPr>
                </pic:pic>
              </a:graphicData>
            </a:graphic>
          </wp:anchor>
        </w:drawing>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r>
        <w:rPr>
          <w:rFonts w:ascii="宋体" w:hAnsi="宋体"/>
        </w:rPr>
        <mc:AlternateContent>
          <mc:Choice Requires="wps">
            <w:drawing>
              <wp:anchor distT="0" distB="0" distL="114300" distR="114300" simplePos="0" relativeHeight="251658240" behindDoc="0" locked="0" layoutInCell="1" allowOverlap="1">
                <wp:simplePos x="0" y="0"/>
                <wp:positionH relativeFrom="column">
                  <wp:posOffset>2343150</wp:posOffset>
                </wp:positionH>
                <wp:positionV relativeFrom="paragraph">
                  <wp:posOffset>95250</wp:posOffset>
                </wp:positionV>
                <wp:extent cx="1607820" cy="754380"/>
                <wp:effectExtent l="0" t="0" r="0" b="0"/>
                <wp:wrapNone/>
                <wp:docPr id="2" name="文本框 60"/>
                <wp:cNvGraphicFramePr/>
                <a:graphic xmlns:a="http://schemas.openxmlformats.org/drawingml/2006/main">
                  <a:graphicData uri="http://schemas.microsoft.com/office/word/2010/wordprocessingShape">
                    <wps:wsp>
                      <wps:cNvSpPr txBox="1"/>
                      <wps:spPr>
                        <a:xfrm>
                          <a:off x="0" y="0"/>
                          <a:ext cx="1607820" cy="754380"/>
                        </a:xfrm>
                        <a:prstGeom prst="rect">
                          <a:avLst/>
                        </a:prstGeom>
                        <a:noFill/>
                        <a:ln>
                          <a:noFill/>
                        </a:ln>
                      </wps:spPr>
                      <wps:txbx>
                        <w:txbxContent>
                          <w:p>
                            <w:pPr>
                              <w:pStyle w:val="2"/>
                              <w:jc w:val="center"/>
                              <w:rPr>
                                <w:b/>
                                <w:kern w:val="2"/>
                              </w:rPr>
                            </w:pPr>
                            <w:r>
                              <w:rPr>
                                <w:rFonts w:hint="eastAsia"/>
                                <w:b/>
                                <w:kern w:val="2"/>
                              </w:rPr>
                              <w:t>油  品  周  报</w:t>
                            </w:r>
                          </w:p>
                          <w:p/>
                          <w:p/>
                        </w:txbxContent>
                      </wps:txbx>
                      <wps:bodyPr upright="1"/>
                    </wps:wsp>
                  </a:graphicData>
                </a:graphic>
              </wp:anchor>
            </w:drawing>
          </mc:Choice>
          <mc:Fallback>
            <w:pict>
              <v:shape id="文本框 60" o:spid="_x0000_s1026" o:spt="202" type="#_x0000_t202" style="position:absolute;left:0pt;margin-left:184.5pt;margin-top:7.5pt;height:59.4pt;width:126.6pt;z-index:251658240;mso-width-relative:page;mso-height-relative:page;" filled="f" stroked="f" coordsize="21600,21600" o:gfxdata="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CxaJUtgA&#10;AAAKAQAADwAAAAAAAAABACAAAAAiAAAAZHJzL2Rvd25yZXYueG1sUEsBAhQAFAAAAAgAh07iQBmd&#10;hPqtAQAATwMAAA4AAAAAAAAAAQAgAAAAJwEAAGRycy9lMm9Eb2MueG1sUEsFBgAAAAAGAAYAWQEA&#10;AEYFAAAAAA==&#10;">
                <v:fill on="f" focussize="0,0"/>
                <v:stroke on="f"/>
                <v:imagedata o:title=""/>
                <o:lock v:ext="edit" aspectratio="f"/>
                <v:textbox>
                  <w:txbxContent>
                    <w:p>
                      <w:pPr>
                        <w:pStyle w:val="2"/>
                        <w:jc w:val="center"/>
                        <w:rPr>
                          <w:b/>
                          <w:kern w:val="2"/>
                        </w:rPr>
                      </w:pPr>
                      <w:r>
                        <w:rPr>
                          <w:rFonts w:hint="eastAsia"/>
                          <w:b/>
                          <w:kern w:val="2"/>
                        </w:rPr>
                        <w:t>油  品  周  报</w:t>
                      </w:r>
                    </w:p>
                    <w:p/>
                    <w:p/>
                  </w:txbxContent>
                </v:textbox>
              </v:shape>
            </w:pict>
          </mc:Fallback>
        </mc:AlternateContent>
      </w:r>
    </w:p>
    <w:p>
      <w:pPr>
        <w:rPr>
          <w:rFonts w:ascii="宋体" w:hAnsi="宋体"/>
        </w:rPr>
      </w:pPr>
    </w:p>
    <w:p>
      <w:pPr>
        <w:rPr>
          <w:rFonts w:ascii="宋体" w:hAnsi="宋体"/>
        </w:rPr>
      </w:pPr>
    </w:p>
    <w:p>
      <w:pPr>
        <w:rPr>
          <w:rFonts w:ascii="宋体" w:hAnsi="宋体"/>
        </w:rPr>
      </w:pPr>
    </w:p>
    <w:p>
      <w:pPr>
        <w:jc w:val="center"/>
        <w:rPr>
          <w:rFonts w:hint="default" w:ascii="宋体" w:hAnsi="宋体"/>
          <w:lang w:val="en-US"/>
        </w:rPr>
      </w:pPr>
      <w:r>
        <w:rPr>
          <w:rFonts w:hint="eastAsia" w:ascii="宋体" w:hAnsi="宋体"/>
          <w:b/>
          <w:sz w:val="30"/>
          <w:szCs w:val="30"/>
        </w:rPr>
        <w:t>20</w:t>
      </w:r>
      <w:r>
        <w:rPr>
          <w:rFonts w:hint="eastAsia" w:ascii="宋体" w:hAnsi="宋体"/>
          <w:b/>
          <w:sz w:val="30"/>
          <w:szCs w:val="30"/>
          <w:lang w:val="en-US" w:eastAsia="zh-CN"/>
        </w:rPr>
        <w:t>20</w:t>
      </w:r>
      <w:r>
        <w:rPr>
          <w:rFonts w:hint="eastAsia" w:ascii="宋体" w:hAnsi="宋体"/>
          <w:b/>
          <w:sz w:val="30"/>
          <w:szCs w:val="30"/>
        </w:rPr>
        <w:t>.</w:t>
      </w:r>
      <w:r>
        <w:rPr>
          <w:rFonts w:hint="eastAsia" w:ascii="宋体" w:hAnsi="宋体"/>
          <w:b/>
          <w:sz w:val="30"/>
          <w:szCs w:val="30"/>
          <w:lang w:val="en-US" w:eastAsia="zh-CN"/>
        </w:rPr>
        <w:t>11.12</w:t>
      </w:r>
    </w:p>
    <w:p>
      <w:pPr>
        <w:rPr>
          <w:rFonts w:ascii="宋体" w:hAnsi="宋体"/>
        </w:rPr>
      </w:pPr>
      <w:r>
        <w:rPr>
          <w:rFonts w:ascii="宋体" w:hAnsi="宋体"/>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99060</wp:posOffset>
                </wp:positionV>
                <wp:extent cx="5322570" cy="1127760"/>
                <wp:effectExtent l="0" t="0" r="0" b="0"/>
                <wp:wrapNone/>
                <wp:docPr id="3" name="文本框 51"/>
                <wp:cNvGraphicFramePr/>
                <a:graphic xmlns:a="http://schemas.openxmlformats.org/drawingml/2006/main">
                  <a:graphicData uri="http://schemas.microsoft.com/office/word/2010/wordprocessingShape">
                    <wps:wsp>
                      <wps:cNvSpPr txBox="1"/>
                      <wps:spPr>
                        <a:xfrm>
                          <a:off x="0" y="0"/>
                          <a:ext cx="5322570" cy="1127760"/>
                        </a:xfrm>
                        <a:prstGeom prst="rect">
                          <a:avLst/>
                        </a:prstGeom>
                        <a:noFill/>
                        <a:ln>
                          <a:noFill/>
                        </a:ln>
                      </wps:spPr>
                      <wps:txb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wps:txbx>
                      <wps:bodyPr upright="1"/>
                    </wps:wsp>
                  </a:graphicData>
                </a:graphic>
              </wp:anchor>
            </w:drawing>
          </mc:Choice>
          <mc:Fallback>
            <w:pict>
              <v:shape id="文本框 51" o:spid="_x0000_s1026" o:spt="202" type="#_x0000_t202" style="position:absolute;left:0pt;margin-left:-9pt;margin-top:7.8pt;height:88.8pt;width:419.1pt;z-index:251658240;mso-width-relative:page;mso-height-relative:page;" filled="f" stroked="f" coordsize="21600,21600" o:gfxdata="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CbeaHX&#10;AAAACgEAAA8AAAAAAAAAAQAgAAAAIgAAAGRycy9kb3ducmV2LnhtbFBLAQIUABQAAAAIAIdO4kDH&#10;CofIrwEAAFADAAAOAAAAAAAAAAEAIAAAACYBAABkcnMvZTJvRG9jLnhtbFBLBQYAAAAABgAGAFkB&#10;AABHBQAAAAA=&#10;">
                <v:fill on="f" focussize="0,0"/>
                <v:stroke on="f"/>
                <v:imagedata o:title=""/>
                <o:lock v:ext="edit" aspectratio="f"/>
                <v:textbo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v:textbox>
              </v:shape>
            </w:pict>
          </mc:Fallback>
        </mc:AlternateConten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jc w:val="center"/>
        <w:rPr>
          <w:rFonts w:hint="eastAsia" w:ascii="宋体" w:hAnsi="宋体"/>
          <w:b/>
          <w:sz w:val="32"/>
          <w:szCs w:val="32"/>
        </w:rPr>
      </w:pPr>
    </w:p>
    <w:p>
      <w:pPr>
        <w:jc w:val="center"/>
        <w:rPr>
          <w:rFonts w:ascii="宋体" w:hAnsi="宋体"/>
          <w:b/>
          <w:sz w:val="32"/>
          <w:szCs w:val="32"/>
        </w:rPr>
      </w:pPr>
      <w:r>
        <w:rPr>
          <w:rFonts w:hint="eastAsia" w:ascii="宋体" w:hAnsi="宋体"/>
          <w:b/>
          <w:sz w:val="32"/>
          <w:szCs w:val="32"/>
        </w:rPr>
        <w:t>目 录</w:t>
      </w:r>
    </w:p>
    <w:p>
      <w:pPr>
        <w:pStyle w:val="16"/>
        <w:tabs>
          <w:tab w:val="right" w:leader="dot" w:pos="9638"/>
          <w:tab w:val="clear" w:pos="9170"/>
        </w:tabs>
        <w:rPr>
          <w:color w:val="auto"/>
          <w:highlight w:val="none"/>
        </w:rPr>
      </w:pPr>
      <w:r>
        <w:rPr>
          <w:b w:val="0"/>
          <w:color w:val="auto"/>
          <w:sz w:val="24"/>
          <w:szCs w:val="24"/>
          <w:highlight w:val="none"/>
        </w:rPr>
        <w:fldChar w:fldCharType="begin"/>
      </w:r>
      <w:r>
        <w:rPr>
          <w:b w:val="0"/>
          <w:color w:val="auto"/>
          <w:sz w:val="24"/>
          <w:szCs w:val="24"/>
          <w:highlight w:val="none"/>
        </w:rPr>
        <w:instrText xml:space="preserve"> TOC \o "1-3" \h \z </w:instrText>
      </w:r>
      <w:r>
        <w:rPr>
          <w:b w:val="0"/>
          <w:color w:val="auto"/>
          <w:sz w:val="24"/>
          <w:szCs w:val="24"/>
          <w:highlight w:val="none"/>
        </w:rPr>
        <w:fldChar w:fldCharType="separate"/>
      </w:r>
      <w:r>
        <w:rPr>
          <w:color w:val="auto"/>
          <w:szCs w:val="24"/>
          <w:highlight w:val="none"/>
        </w:rPr>
        <w:fldChar w:fldCharType="begin"/>
      </w:r>
      <w:r>
        <w:rPr>
          <w:color w:val="auto"/>
          <w:szCs w:val="24"/>
          <w:highlight w:val="none"/>
        </w:rPr>
        <w:instrText xml:space="preserve"> HYPERLINK \l _Toc28204 </w:instrText>
      </w:r>
      <w:r>
        <w:rPr>
          <w:color w:val="auto"/>
          <w:szCs w:val="24"/>
          <w:highlight w:val="none"/>
        </w:rPr>
        <w:fldChar w:fldCharType="separate"/>
      </w:r>
      <w:r>
        <w:rPr>
          <w:rFonts w:hint="eastAsia"/>
          <w:color w:val="auto"/>
          <w:highlight w:val="none"/>
        </w:rPr>
        <w:t>一、国际原油市场回顾 </w:t>
      </w:r>
      <w:r>
        <w:rPr>
          <w:color w:val="auto"/>
          <w:highlight w:val="none"/>
        </w:rPr>
        <w:tab/>
      </w:r>
      <w:r>
        <w:rPr>
          <w:color w:val="auto"/>
          <w:highlight w:val="none"/>
        </w:rPr>
        <w:fldChar w:fldCharType="begin"/>
      </w:r>
      <w:r>
        <w:rPr>
          <w:color w:val="auto"/>
          <w:highlight w:val="none"/>
        </w:rPr>
        <w:instrText xml:space="preserve"> PAGEREF _Toc28204 </w:instrText>
      </w:r>
      <w:r>
        <w:rPr>
          <w:color w:val="auto"/>
          <w:highlight w:val="none"/>
        </w:rPr>
        <w:fldChar w:fldCharType="separate"/>
      </w:r>
      <w:r>
        <w:rPr>
          <w:color w:val="auto"/>
          <w:highlight w:val="none"/>
        </w:rPr>
        <w:t>3</w:t>
      </w:r>
      <w:r>
        <w:rPr>
          <w:color w:val="auto"/>
          <w:highlight w:val="none"/>
        </w:rPr>
        <w:fldChar w:fldCharType="end"/>
      </w:r>
      <w:r>
        <w:rPr>
          <w:color w:val="auto"/>
          <w:szCs w:val="24"/>
          <w:highlight w:val="none"/>
        </w:rPr>
        <w:fldChar w:fldCharType="end"/>
      </w:r>
    </w:p>
    <w:p>
      <w:pPr>
        <w:pStyle w:val="20"/>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_Toc31041 </w:instrText>
      </w:r>
      <w:r>
        <w:rPr>
          <w:rFonts w:ascii="宋体" w:hAnsi="宋体"/>
          <w:color w:val="auto"/>
          <w:kern w:val="2"/>
          <w:szCs w:val="24"/>
          <w:highlight w:val="none"/>
        </w:rPr>
        <w:fldChar w:fldCharType="separate"/>
      </w:r>
      <w:r>
        <w:rPr>
          <w:rFonts w:hint="eastAsia" w:ascii="宋体" w:hAnsi="宋体"/>
          <w:color w:val="auto"/>
          <w:szCs w:val="30"/>
          <w:highlight w:val="none"/>
        </w:rPr>
        <w:t>1.1国际原油收盘价涨跌情况（单位：美元/桶）</w:t>
      </w:r>
      <w:r>
        <w:rPr>
          <w:color w:val="auto"/>
          <w:highlight w:val="none"/>
        </w:rPr>
        <w:tab/>
      </w:r>
      <w:r>
        <w:rPr>
          <w:color w:val="auto"/>
          <w:highlight w:val="none"/>
        </w:rPr>
        <w:fldChar w:fldCharType="begin"/>
      </w:r>
      <w:r>
        <w:rPr>
          <w:color w:val="auto"/>
          <w:highlight w:val="none"/>
        </w:rPr>
        <w:instrText xml:space="preserve"> PAGEREF _Toc31041 </w:instrText>
      </w:r>
      <w:r>
        <w:rPr>
          <w:color w:val="auto"/>
          <w:highlight w:val="none"/>
        </w:rPr>
        <w:fldChar w:fldCharType="separate"/>
      </w:r>
      <w:r>
        <w:rPr>
          <w:color w:val="auto"/>
          <w:highlight w:val="none"/>
        </w:rPr>
        <w:t>3</w:t>
      </w:r>
      <w:r>
        <w:rPr>
          <w:color w:val="auto"/>
          <w:highlight w:val="none"/>
        </w:rPr>
        <w:fldChar w:fldCharType="end"/>
      </w:r>
      <w:r>
        <w:rPr>
          <w:rFonts w:ascii="宋体" w:hAnsi="宋体"/>
          <w:color w:val="auto"/>
          <w:kern w:val="2"/>
          <w:szCs w:val="24"/>
          <w:highlight w:val="none"/>
        </w:rPr>
        <w:fldChar w:fldCharType="end"/>
      </w:r>
    </w:p>
    <w:p>
      <w:pPr>
        <w:pStyle w:val="20"/>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_Toc13265 </w:instrText>
      </w:r>
      <w:r>
        <w:rPr>
          <w:rFonts w:ascii="宋体" w:hAnsi="宋体"/>
          <w:color w:val="auto"/>
          <w:kern w:val="2"/>
          <w:szCs w:val="24"/>
          <w:highlight w:val="none"/>
        </w:rPr>
        <w:fldChar w:fldCharType="separate"/>
      </w:r>
      <w:r>
        <w:rPr>
          <w:rFonts w:hint="eastAsia" w:ascii="宋体" w:hAnsi="宋体"/>
          <w:color w:val="auto"/>
          <w:szCs w:val="30"/>
          <w:highlight w:val="none"/>
        </w:rPr>
        <w:t>1.</w:t>
      </w:r>
      <w:r>
        <w:rPr>
          <w:rFonts w:ascii="宋体" w:hAnsi="宋体"/>
          <w:color w:val="auto"/>
          <w:szCs w:val="30"/>
          <w:highlight w:val="none"/>
        </w:rPr>
        <w:t>2</w:t>
      </w:r>
      <w:r>
        <w:rPr>
          <w:rFonts w:hint="eastAsia" w:ascii="宋体" w:hAnsi="宋体"/>
          <w:color w:val="auto"/>
          <w:szCs w:val="30"/>
          <w:highlight w:val="none"/>
        </w:rPr>
        <w:t xml:space="preserve"> </w:t>
      </w:r>
      <w:r>
        <w:rPr>
          <w:rFonts w:ascii="宋体" w:hAnsi="宋体"/>
          <w:color w:val="auto"/>
          <w:szCs w:val="30"/>
          <w:highlight w:val="none"/>
        </w:rPr>
        <w:t>20</w:t>
      </w:r>
      <w:r>
        <w:rPr>
          <w:rFonts w:hint="eastAsia" w:ascii="宋体" w:hAnsi="宋体"/>
          <w:color w:val="auto"/>
          <w:szCs w:val="30"/>
          <w:highlight w:val="none"/>
          <w:lang w:val="en-US" w:eastAsia="zh-CN"/>
        </w:rPr>
        <w:t>20</w:t>
      </w:r>
      <w:r>
        <w:rPr>
          <w:rFonts w:ascii="宋体" w:hAnsi="宋体"/>
          <w:color w:val="auto"/>
          <w:szCs w:val="30"/>
          <w:highlight w:val="none"/>
        </w:rPr>
        <w:t>年</w:t>
      </w:r>
      <w:r>
        <w:rPr>
          <w:rFonts w:hint="eastAsia" w:ascii="宋体" w:hAnsi="宋体"/>
          <w:color w:val="auto"/>
          <w:szCs w:val="30"/>
          <w:highlight w:val="none"/>
        </w:rPr>
        <w:t>国际</w:t>
      </w:r>
      <w:r>
        <w:rPr>
          <w:rFonts w:ascii="宋体" w:hAnsi="宋体"/>
          <w:color w:val="auto"/>
          <w:szCs w:val="30"/>
          <w:highlight w:val="none"/>
        </w:rPr>
        <w:t>原油价格走势图</w:t>
      </w:r>
      <w:r>
        <w:rPr>
          <w:color w:val="auto"/>
          <w:highlight w:val="none"/>
        </w:rPr>
        <w:tab/>
      </w:r>
      <w:r>
        <w:rPr>
          <w:color w:val="auto"/>
          <w:highlight w:val="none"/>
        </w:rPr>
        <w:fldChar w:fldCharType="begin"/>
      </w:r>
      <w:r>
        <w:rPr>
          <w:color w:val="auto"/>
          <w:highlight w:val="none"/>
        </w:rPr>
        <w:instrText xml:space="preserve"> PAGEREF _Toc13265 </w:instrText>
      </w:r>
      <w:r>
        <w:rPr>
          <w:color w:val="auto"/>
          <w:highlight w:val="none"/>
        </w:rPr>
        <w:fldChar w:fldCharType="separate"/>
      </w:r>
      <w:r>
        <w:rPr>
          <w:color w:val="auto"/>
          <w:highlight w:val="none"/>
        </w:rPr>
        <w:t>3</w:t>
      </w:r>
      <w:r>
        <w:rPr>
          <w:color w:val="auto"/>
          <w:highlight w:val="none"/>
        </w:rPr>
        <w:fldChar w:fldCharType="end"/>
      </w:r>
      <w:r>
        <w:rPr>
          <w:rFonts w:ascii="宋体" w:hAnsi="宋体"/>
          <w:color w:val="auto"/>
          <w:kern w:val="2"/>
          <w:szCs w:val="24"/>
          <w:highlight w:val="none"/>
        </w:rPr>
        <w:fldChar w:fldCharType="end"/>
      </w:r>
    </w:p>
    <w:p>
      <w:pPr>
        <w:pStyle w:val="16"/>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_Toc11108 </w:instrText>
      </w:r>
      <w:r>
        <w:rPr>
          <w:rFonts w:ascii="宋体" w:hAnsi="宋体"/>
          <w:color w:val="auto"/>
          <w:kern w:val="2"/>
          <w:szCs w:val="24"/>
          <w:highlight w:val="none"/>
        </w:rPr>
        <w:fldChar w:fldCharType="separate"/>
      </w:r>
      <w:r>
        <w:rPr>
          <w:rFonts w:hint="eastAsia"/>
          <w:color w:val="auto"/>
          <w:highlight w:val="none"/>
        </w:rPr>
        <w:t>二、 近期影响国际原油市场的主要因素</w:t>
      </w:r>
      <w:r>
        <w:rPr>
          <w:color w:val="auto"/>
          <w:highlight w:val="none"/>
        </w:rPr>
        <w:tab/>
      </w:r>
      <w:r>
        <w:rPr>
          <w:color w:val="auto"/>
          <w:highlight w:val="none"/>
        </w:rPr>
        <w:fldChar w:fldCharType="begin"/>
      </w:r>
      <w:r>
        <w:rPr>
          <w:color w:val="auto"/>
          <w:highlight w:val="none"/>
        </w:rPr>
        <w:instrText xml:space="preserve"> PAGEREF _Toc11108 </w:instrText>
      </w:r>
      <w:r>
        <w:rPr>
          <w:color w:val="auto"/>
          <w:highlight w:val="none"/>
        </w:rPr>
        <w:fldChar w:fldCharType="separate"/>
      </w:r>
      <w:r>
        <w:rPr>
          <w:color w:val="auto"/>
          <w:highlight w:val="none"/>
        </w:rPr>
        <w:t>4</w:t>
      </w:r>
      <w:r>
        <w:rPr>
          <w:color w:val="auto"/>
          <w:highlight w:val="none"/>
        </w:rPr>
        <w:fldChar w:fldCharType="end"/>
      </w:r>
      <w:r>
        <w:rPr>
          <w:rFonts w:ascii="宋体" w:hAnsi="宋体"/>
          <w:color w:val="auto"/>
          <w:kern w:val="2"/>
          <w:szCs w:val="24"/>
          <w:highlight w:val="none"/>
        </w:rPr>
        <w:fldChar w:fldCharType="end"/>
      </w:r>
    </w:p>
    <w:p>
      <w:pPr>
        <w:pStyle w:val="20"/>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_Toc24274 </w:instrText>
      </w:r>
      <w:r>
        <w:rPr>
          <w:rFonts w:ascii="宋体" w:hAnsi="宋体"/>
          <w:color w:val="auto"/>
          <w:kern w:val="2"/>
          <w:szCs w:val="24"/>
          <w:highlight w:val="none"/>
        </w:rPr>
        <w:fldChar w:fldCharType="separate"/>
      </w:r>
      <w:r>
        <w:rPr>
          <w:rFonts w:hint="eastAsia" w:ascii="宋体" w:hAnsi="宋体"/>
          <w:color w:val="auto"/>
          <w:szCs w:val="30"/>
          <w:highlight w:val="none"/>
        </w:rPr>
        <w:t>2.1影响国际原油市场的主要因素</w:t>
      </w:r>
      <w:r>
        <w:rPr>
          <w:color w:val="auto"/>
          <w:highlight w:val="none"/>
        </w:rPr>
        <w:tab/>
      </w:r>
      <w:r>
        <w:rPr>
          <w:color w:val="auto"/>
          <w:highlight w:val="none"/>
        </w:rPr>
        <w:fldChar w:fldCharType="begin"/>
      </w:r>
      <w:r>
        <w:rPr>
          <w:color w:val="auto"/>
          <w:highlight w:val="none"/>
        </w:rPr>
        <w:instrText xml:space="preserve"> PAGEREF _Toc24274 </w:instrText>
      </w:r>
      <w:r>
        <w:rPr>
          <w:color w:val="auto"/>
          <w:highlight w:val="none"/>
        </w:rPr>
        <w:fldChar w:fldCharType="separate"/>
      </w:r>
      <w:r>
        <w:rPr>
          <w:color w:val="auto"/>
          <w:highlight w:val="none"/>
        </w:rPr>
        <w:t>4</w:t>
      </w:r>
      <w:r>
        <w:rPr>
          <w:color w:val="auto"/>
          <w:highlight w:val="none"/>
        </w:rPr>
        <w:fldChar w:fldCharType="end"/>
      </w:r>
      <w:r>
        <w:rPr>
          <w:rFonts w:ascii="宋体" w:hAnsi="宋体"/>
          <w:color w:val="auto"/>
          <w:kern w:val="2"/>
          <w:szCs w:val="24"/>
          <w:highlight w:val="none"/>
        </w:rPr>
        <w:fldChar w:fldCharType="end"/>
      </w:r>
    </w:p>
    <w:p>
      <w:pPr>
        <w:pStyle w:val="20"/>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_Toc1606 </w:instrText>
      </w:r>
      <w:r>
        <w:rPr>
          <w:rFonts w:ascii="宋体" w:hAnsi="宋体"/>
          <w:color w:val="auto"/>
          <w:kern w:val="2"/>
          <w:szCs w:val="24"/>
          <w:highlight w:val="none"/>
        </w:rPr>
        <w:fldChar w:fldCharType="separate"/>
      </w:r>
      <w:r>
        <w:rPr>
          <w:rFonts w:hint="eastAsia" w:ascii="宋体" w:hAnsi="宋体"/>
          <w:color w:val="auto"/>
          <w:szCs w:val="30"/>
          <w:highlight w:val="none"/>
        </w:rPr>
        <w:t>2.2国际市场MTBE价格</w:t>
      </w:r>
      <w:r>
        <w:rPr>
          <w:color w:val="auto"/>
          <w:highlight w:val="none"/>
        </w:rPr>
        <w:tab/>
      </w:r>
      <w:r>
        <w:rPr>
          <w:color w:val="auto"/>
          <w:highlight w:val="none"/>
        </w:rPr>
        <w:fldChar w:fldCharType="begin"/>
      </w:r>
      <w:r>
        <w:rPr>
          <w:color w:val="auto"/>
          <w:highlight w:val="none"/>
        </w:rPr>
        <w:instrText xml:space="preserve"> PAGEREF _Toc1606 </w:instrText>
      </w:r>
      <w:r>
        <w:rPr>
          <w:color w:val="auto"/>
          <w:highlight w:val="none"/>
        </w:rPr>
        <w:fldChar w:fldCharType="separate"/>
      </w:r>
      <w:r>
        <w:rPr>
          <w:color w:val="auto"/>
          <w:highlight w:val="none"/>
        </w:rPr>
        <w:t>15</w:t>
      </w:r>
      <w:r>
        <w:rPr>
          <w:color w:val="auto"/>
          <w:highlight w:val="none"/>
        </w:rPr>
        <w:fldChar w:fldCharType="end"/>
      </w:r>
      <w:r>
        <w:rPr>
          <w:rFonts w:ascii="宋体" w:hAnsi="宋体"/>
          <w:color w:val="auto"/>
          <w:kern w:val="2"/>
          <w:szCs w:val="24"/>
          <w:highlight w:val="none"/>
        </w:rPr>
        <w:fldChar w:fldCharType="end"/>
      </w:r>
    </w:p>
    <w:p>
      <w:pPr>
        <w:pStyle w:val="16"/>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_Toc23075 </w:instrText>
      </w:r>
      <w:r>
        <w:rPr>
          <w:rFonts w:ascii="宋体" w:hAnsi="宋体"/>
          <w:color w:val="auto"/>
          <w:kern w:val="2"/>
          <w:szCs w:val="24"/>
          <w:highlight w:val="none"/>
        </w:rPr>
        <w:fldChar w:fldCharType="separate"/>
      </w:r>
      <w:r>
        <w:rPr>
          <w:rFonts w:hint="eastAsia"/>
          <w:color w:val="auto"/>
          <w:highlight w:val="none"/>
        </w:rPr>
        <w:t>三、 本周国内市场</w:t>
      </w:r>
      <w:r>
        <w:rPr>
          <w:color w:val="auto"/>
          <w:highlight w:val="none"/>
        </w:rPr>
        <w:tab/>
      </w:r>
      <w:r>
        <w:rPr>
          <w:color w:val="auto"/>
          <w:highlight w:val="none"/>
        </w:rPr>
        <w:fldChar w:fldCharType="begin"/>
      </w:r>
      <w:r>
        <w:rPr>
          <w:color w:val="auto"/>
          <w:highlight w:val="none"/>
        </w:rPr>
        <w:instrText xml:space="preserve"> PAGEREF _Toc23075 </w:instrText>
      </w:r>
      <w:r>
        <w:rPr>
          <w:color w:val="auto"/>
          <w:highlight w:val="none"/>
        </w:rPr>
        <w:fldChar w:fldCharType="separate"/>
      </w:r>
      <w:r>
        <w:rPr>
          <w:color w:val="auto"/>
          <w:highlight w:val="none"/>
        </w:rPr>
        <w:t>16</w:t>
      </w:r>
      <w:r>
        <w:rPr>
          <w:color w:val="auto"/>
          <w:highlight w:val="none"/>
        </w:rPr>
        <w:fldChar w:fldCharType="end"/>
      </w:r>
      <w:r>
        <w:rPr>
          <w:rFonts w:ascii="宋体" w:hAnsi="宋体"/>
          <w:color w:val="auto"/>
          <w:kern w:val="2"/>
          <w:szCs w:val="24"/>
          <w:highlight w:val="none"/>
        </w:rPr>
        <w:fldChar w:fldCharType="end"/>
      </w:r>
    </w:p>
    <w:p>
      <w:pPr>
        <w:pStyle w:val="20"/>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_Toc4499 </w:instrText>
      </w:r>
      <w:r>
        <w:rPr>
          <w:rFonts w:ascii="宋体" w:hAnsi="宋体"/>
          <w:color w:val="auto"/>
          <w:kern w:val="2"/>
          <w:szCs w:val="24"/>
          <w:highlight w:val="none"/>
        </w:rPr>
        <w:fldChar w:fldCharType="separate"/>
      </w:r>
      <w:r>
        <w:rPr>
          <w:rFonts w:hint="eastAsia" w:ascii="宋体" w:hAnsi="宋体"/>
          <w:color w:val="auto"/>
          <w:szCs w:val="30"/>
          <w:highlight w:val="none"/>
        </w:rPr>
        <w:t>3.1 国内炼厂装置运行情况</w:t>
      </w:r>
      <w:r>
        <w:rPr>
          <w:color w:val="auto"/>
          <w:highlight w:val="none"/>
        </w:rPr>
        <w:tab/>
      </w:r>
      <w:r>
        <w:rPr>
          <w:color w:val="auto"/>
          <w:highlight w:val="none"/>
        </w:rPr>
        <w:fldChar w:fldCharType="begin"/>
      </w:r>
      <w:r>
        <w:rPr>
          <w:color w:val="auto"/>
          <w:highlight w:val="none"/>
        </w:rPr>
        <w:instrText xml:space="preserve"> PAGEREF _Toc4499 </w:instrText>
      </w:r>
      <w:r>
        <w:rPr>
          <w:color w:val="auto"/>
          <w:highlight w:val="none"/>
        </w:rPr>
        <w:fldChar w:fldCharType="separate"/>
      </w:r>
      <w:r>
        <w:rPr>
          <w:color w:val="auto"/>
          <w:highlight w:val="none"/>
        </w:rPr>
        <w:t>16</w:t>
      </w:r>
      <w:r>
        <w:rPr>
          <w:color w:val="auto"/>
          <w:highlight w:val="none"/>
        </w:rPr>
        <w:fldChar w:fldCharType="end"/>
      </w:r>
      <w:r>
        <w:rPr>
          <w:rFonts w:ascii="宋体" w:hAnsi="宋体"/>
          <w:color w:val="auto"/>
          <w:kern w:val="2"/>
          <w:szCs w:val="24"/>
          <w:highlight w:val="none"/>
        </w:rPr>
        <w:fldChar w:fldCharType="end"/>
      </w:r>
    </w:p>
    <w:p>
      <w:pPr>
        <w:pStyle w:val="20"/>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_Toc23841 </w:instrText>
      </w:r>
      <w:r>
        <w:rPr>
          <w:rFonts w:ascii="宋体" w:hAnsi="宋体"/>
          <w:color w:val="auto"/>
          <w:kern w:val="2"/>
          <w:szCs w:val="24"/>
          <w:highlight w:val="none"/>
        </w:rPr>
        <w:fldChar w:fldCharType="separate"/>
      </w:r>
      <w:r>
        <w:rPr>
          <w:rFonts w:hint="eastAsia" w:ascii="宋体" w:hAnsi="宋体"/>
          <w:color w:val="auto"/>
          <w:szCs w:val="30"/>
          <w:highlight w:val="none"/>
        </w:rPr>
        <w:t>3.2本周成品油市场行情</w:t>
      </w:r>
      <w:r>
        <w:rPr>
          <w:color w:val="auto"/>
          <w:highlight w:val="none"/>
        </w:rPr>
        <w:tab/>
      </w:r>
      <w:r>
        <w:rPr>
          <w:color w:val="auto"/>
          <w:highlight w:val="none"/>
        </w:rPr>
        <w:fldChar w:fldCharType="begin"/>
      </w:r>
      <w:r>
        <w:rPr>
          <w:color w:val="auto"/>
          <w:highlight w:val="none"/>
        </w:rPr>
        <w:instrText xml:space="preserve"> PAGEREF _Toc23841 </w:instrText>
      </w:r>
      <w:r>
        <w:rPr>
          <w:color w:val="auto"/>
          <w:highlight w:val="none"/>
        </w:rPr>
        <w:fldChar w:fldCharType="separate"/>
      </w:r>
      <w:r>
        <w:rPr>
          <w:color w:val="auto"/>
          <w:highlight w:val="none"/>
        </w:rPr>
        <w:t>18</w:t>
      </w:r>
      <w:r>
        <w:rPr>
          <w:color w:val="auto"/>
          <w:highlight w:val="none"/>
        </w:rPr>
        <w:fldChar w:fldCharType="end"/>
      </w:r>
      <w:r>
        <w:rPr>
          <w:rFonts w:ascii="宋体" w:hAnsi="宋体"/>
          <w:color w:val="auto"/>
          <w:kern w:val="2"/>
          <w:szCs w:val="24"/>
          <w:highlight w:val="none"/>
        </w:rPr>
        <w:fldChar w:fldCharType="end"/>
      </w:r>
    </w:p>
    <w:p>
      <w:pPr>
        <w:pStyle w:val="20"/>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_Toc17420 </w:instrText>
      </w:r>
      <w:r>
        <w:rPr>
          <w:rFonts w:ascii="宋体" w:hAnsi="宋体"/>
          <w:color w:val="auto"/>
          <w:kern w:val="2"/>
          <w:szCs w:val="24"/>
          <w:highlight w:val="none"/>
        </w:rPr>
        <w:fldChar w:fldCharType="separate"/>
      </w:r>
      <w:r>
        <w:rPr>
          <w:rFonts w:hint="eastAsia" w:ascii="宋体" w:hAnsi="宋体"/>
          <w:color w:val="auto"/>
          <w:szCs w:val="30"/>
          <w:highlight w:val="none"/>
        </w:rPr>
        <w:t>3.3 国内汽油价格周报</w:t>
      </w:r>
      <w:r>
        <w:rPr>
          <w:color w:val="auto"/>
          <w:highlight w:val="none"/>
        </w:rPr>
        <w:tab/>
      </w:r>
      <w:r>
        <w:rPr>
          <w:color w:val="auto"/>
          <w:highlight w:val="none"/>
        </w:rPr>
        <w:fldChar w:fldCharType="begin"/>
      </w:r>
      <w:r>
        <w:rPr>
          <w:color w:val="auto"/>
          <w:highlight w:val="none"/>
        </w:rPr>
        <w:instrText xml:space="preserve"> PAGEREF _Toc17420 </w:instrText>
      </w:r>
      <w:r>
        <w:rPr>
          <w:color w:val="auto"/>
          <w:highlight w:val="none"/>
        </w:rPr>
        <w:fldChar w:fldCharType="separate"/>
      </w:r>
      <w:r>
        <w:rPr>
          <w:color w:val="auto"/>
          <w:highlight w:val="none"/>
        </w:rPr>
        <w:t>21</w:t>
      </w:r>
      <w:r>
        <w:rPr>
          <w:color w:val="auto"/>
          <w:highlight w:val="none"/>
        </w:rPr>
        <w:fldChar w:fldCharType="end"/>
      </w:r>
      <w:r>
        <w:rPr>
          <w:rFonts w:ascii="宋体" w:hAnsi="宋体"/>
          <w:color w:val="auto"/>
          <w:kern w:val="2"/>
          <w:szCs w:val="24"/>
          <w:highlight w:val="none"/>
        </w:rPr>
        <w:fldChar w:fldCharType="end"/>
      </w:r>
    </w:p>
    <w:p>
      <w:pPr>
        <w:pStyle w:val="20"/>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_Toc5370 </w:instrText>
      </w:r>
      <w:r>
        <w:rPr>
          <w:rFonts w:ascii="宋体" w:hAnsi="宋体"/>
          <w:color w:val="auto"/>
          <w:kern w:val="2"/>
          <w:szCs w:val="24"/>
          <w:highlight w:val="none"/>
        </w:rPr>
        <w:fldChar w:fldCharType="separate"/>
      </w:r>
      <w:r>
        <w:rPr>
          <w:rFonts w:hint="eastAsia" w:ascii="宋体" w:hAnsi="宋体"/>
          <w:color w:val="auto"/>
          <w:szCs w:val="30"/>
          <w:highlight w:val="none"/>
          <w:lang w:val="en-US" w:eastAsia="zh-CN"/>
        </w:rPr>
        <w:t>3.4国内柴油价格周报</w:t>
      </w:r>
      <w:r>
        <w:rPr>
          <w:color w:val="auto"/>
          <w:highlight w:val="none"/>
        </w:rPr>
        <w:tab/>
      </w:r>
      <w:r>
        <w:rPr>
          <w:color w:val="auto"/>
          <w:highlight w:val="none"/>
        </w:rPr>
        <w:fldChar w:fldCharType="begin"/>
      </w:r>
      <w:r>
        <w:rPr>
          <w:color w:val="auto"/>
          <w:highlight w:val="none"/>
        </w:rPr>
        <w:instrText xml:space="preserve"> PAGEREF _Toc5370 </w:instrText>
      </w:r>
      <w:r>
        <w:rPr>
          <w:color w:val="auto"/>
          <w:highlight w:val="none"/>
        </w:rPr>
        <w:fldChar w:fldCharType="separate"/>
      </w:r>
      <w:r>
        <w:rPr>
          <w:color w:val="auto"/>
          <w:highlight w:val="none"/>
        </w:rPr>
        <w:t>24</w:t>
      </w:r>
      <w:r>
        <w:rPr>
          <w:color w:val="auto"/>
          <w:highlight w:val="none"/>
        </w:rPr>
        <w:fldChar w:fldCharType="end"/>
      </w:r>
      <w:r>
        <w:rPr>
          <w:rFonts w:ascii="宋体" w:hAnsi="宋体"/>
          <w:color w:val="auto"/>
          <w:kern w:val="2"/>
          <w:szCs w:val="24"/>
          <w:highlight w:val="none"/>
        </w:rPr>
        <w:fldChar w:fldCharType="end"/>
      </w:r>
    </w:p>
    <w:p>
      <w:pPr>
        <w:pStyle w:val="20"/>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_Toc10709 </w:instrText>
      </w:r>
      <w:r>
        <w:rPr>
          <w:rFonts w:ascii="宋体" w:hAnsi="宋体"/>
          <w:color w:val="auto"/>
          <w:kern w:val="2"/>
          <w:szCs w:val="24"/>
          <w:highlight w:val="none"/>
        </w:rPr>
        <w:fldChar w:fldCharType="separate"/>
      </w:r>
      <w:r>
        <w:rPr>
          <w:rFonts w:hint="eastAsia" w:ascii="宋体" w:hAnsi="宋体"/>
          <w:color w:val="auto"/>
          <w:szCs w:val="30"/>
          <w:highlight w:val="none"/>
          <w:lang w:val="en-US" w:eastAsia="zh-CN"/>
        </w:rPr>
        <w:t>3.5 山东地炼汽油出厂价格周报</w:t>
      </w:r>
      <w:r>
        <w:rPr>
          <w:color w:val="auto"/>
          <w:highlight w:val="none"/>
        </w:rPr>
        <w:tab/>
      </w:r>
      <w:r>
        <w:rPr>
          <w:color w:val="auto"/>
          <w:highlight w:val="none"/>
        </w:rPr>
        <w:fldChar w:fldCharType="begin"/>
      </w:r>
      <w:r>
        <w:rPr>
          <w:color w:val="auto"/>
          <w:highlight w:val="none"/>
        </w:rPr>
        <w:instrText xml:space="preserve"> PAGEREF _Toc10709 </w:instrText>
      </w:r>
      <w:r>
        <w:rPr>
          <w:color w:val="auto"/>
          <w:highlight w:val="none"/>
        </w:rPr>
        <w:fldChar w:fldCharType="separate"/>
      </w:r>
      <w:r>
        <w:rPr>
          <w:color w:val="auto"/>
          <w:highlight w:val="none"/>
        </w:rPr>
        <w:t>27</w:t>
      </w:r>
      <w:r>
        <w:rPr>
          <w:color w:val="auto"/>
          <w:highlight w:val="none"/>
        </w:rPr>
        <w:fldChar w:fldCharType="end"/>
      </w:r>
      <w:r>
        <w:rPr>
          <w:rFonts w:ascii="宋体" w:hAnsi="宋体"/>
          <w:color w:val="auto"/>
          <w:kern w:val="2"/>
          <w:szCs w:val="24"/>
          <w:highlight w:val="none"/>
        </w:rPr>
        <w:fldChar w:fldCharType="end"/>
      </w:r>
    </w:p>
    <w:p>
      <w:pPr>
        <w:pStyle w:val="20"/>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_Toc19013 </w:instrText>
      </w:r>
      <w:r>
        <w:rPr>
          <w:rFonts w:ascii="宋体" w:hAnsi="宋体"/>
          <w:color w:val="auto"/>
          <w:kern w:val="2"/>
          <w:szCs w:val="24"/>
          <w:highlight w:val="none"/>
        </w:rPr>
        <w:fldChar w:fldCharType="separate"/>
      </w:r>
      <w:r>
        <w:rPr>
          <w:rFonts w:hint="eastAsia" w:ascii="宋体" w:hAnsi="宋体"/>
          <w:color w:val="auto"/>
          <w:szCs w:val="30"/>
          <w:highlight w:val="none"/>
          <w:lang w:val="en-US" w:eastAsia="zh-CN"/>
        </w:rPr>
        <w:t>3.6 山东地炼柴油出厂价格周报</w:t>
      </w:r>
      <w:r>
        <w:rPr>
          <w:color w:val="auto"/>
          <w:highlight w:val="none"/>
        </w:rPr>
        <w:tab/>
      </w:r>
      <w:r>
        <w:rPr>
          <w:color w:val="auto"/>
          <w:highlight w:val="none"/>
        </w:rPr>
        <w:fldChar w:fldCharType="begin"/>
      </w:r>
      <w:r>
        <w:rPr>
          <w:color w:val="auto"/>
          <w:highlight w:val="none"/>
        </w:rPr>
        <w:instrText xml:space="preserve"> PAGEREF _Toc19013 </w:instrText>
      </w:r>
      <w:r>
        <w:rPr>
          <w:color w:val="auto"/>
          <w:highlight w:val="none"/>
        </w:rPr>
        <w:fldChar w:fldCharType="separate"/>
      </w:r>
      <w:r>
        <w:rPr>
          <w:color w:val="auto"/>
          <w:highlight w:val="none"/>
        </w:rPr>
        <w:t>29</w:t>
      </w:r>
      <w:r>
        <w:rPr>
          <w:color w:val="auto"/>
          <w:highlight w:val="none"/>
        </w:rPr>
        <w:fldChar w:fldCharType="end"/>
      </w:r>
      <w:r>
        <w:rPr>
          <w:rFonts w:ascii="宋体" w:hAnsi="宋体"/>
          <w:color w:val="auto"/>
          <w:kern w:val="2"/>
          <w:szCs w:val="24"/>
          <w:highlight w:val="none"/>
        </w:rPr>
        <w:fldChar w:fldCharType="end"/>
      </w:r>
    </w:p>
    <w:p>
      <w:pPr>
        <w:pStyle w:val="20"/>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_Toc10784 </w:instrText>
      </w:r>
      <w:r>
        <w:rPr>
          <w:rFonts w:ascii="宋体" w:hAnsi="宋体"/>
          <w:color w:val="auto"/>
          <w:kern w:val="2"/>
          <w:szCs w:val="24"/>
          <w:highlight w:val="none"/>
        </w:rPr>
        <w:fldChar w:fldCharType="separate"/>
      </w:r>
      <w:r>
        <w:rPr>
          <w:rFonts w:hint="eastAsia" w:ascii="宋体" w:hAnsi="宋体"/>
          <w:color w:val="auto"/>
          <w:szCs w:val="30"/>
          <w:highlight w:val="none"/>
          <w:lang w:val="en-US" w:eastAsia="zh-CN"/>
        </w:rPr>
        <w:t>四、2020年9月份进出口统计数据</w:t>
      </w:r>
      <w:r>
        <w:rPr>
          <w:color w:val="auto"/>
          <w:highlight w:val="none"/>
        </w:rPr>
        <w:tab/>
      </w:r>
      <w:r>
        <w:rPr>
          <w:color w:val="auto"/>
          <w:highlight w:val="none"/>
        </w:rPr>
        <w:fldChar w:fldCharType="begin"/>
      </w:r>
      <w:r>
        <w:rPr>
          <w:color w:val="auto"/>
          <w:highlight w:val="none"/>
        </w:rPr>
        <w:instrText xml:space="preserve"> PAGEREF _Toc10784 </w:instrText>
      </w:r>
      <w:r>
        <w:rPr>
          <w:color w:val="auto"/>
          <w:highlight w:val="none"/>
        </w:rPr>
        <w:fldChar w:fldCharType="separate"/>
      </w:r>
      <w:r>
        <w:rPr>
          <w:color w:val="auto"/>
          <w:highlight w:val="none"/>
        </w:rPr>
        <w:t>31</w:t>
      </w:r>
      <w:r>
        <w:rPr>
          <w:color w:val="auto"/>
          <w:highlight w:val="none"/>
        </w:rPr>
        <w:fldChar w:fldCharType="end"/>
      </w:r>
      <w:r>
        <w:rPr>
          <w:rFonts w:ascii="宋体" w:hAnsi="宋体"/>
          <w:color w:val="auto"/>
          <w:kern w:val="2"/>
          <w:szCs w:val="24"/>
          <w:highlight w:val="none"/>
        </w:rPr>
        <w:fldChar w:fldCharType="end"/>
      </w:r>
    </w:p>
    <w:p>
      <w:pPr>
        <w:pStyle w:val="20"/>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_Toc27774 </w:instrText>
      </w:r>
      <w:r>
        <w:rPr>
          <w:rFonts w:ascii="宋体" w:hAnsi="宋体"/>
          <w:color w:val="auto"/>
          <w:kern w:val="2"/>
          <w:szCs w:val="24"/>
          <w:highlight w:val="none"/>
        </w:rPr>
        <w:fldChar w:fldCharType="separate"/>
      </w:r>
      <w:r>
        <w:rPr>
          <w:rFonts w:hint="eastAsia" w:ascii="宋体" w:hAnsi="宋体"/>
          <w:color w:val="auto"/>
          <w:szCs w:val="30"/>
          <w:highlight w:val="none"/>
        </w:rPr>
        <w:t>4.1 20</w:t>
      </w:r>
      <w:r>
        <w:rPr>
          <w:rFonts w:hint="eastAsia" w:ascii="宋体" w:hAnsi="宋体"/>
          <w:color w:val="auto"/>
          <w:szCs w:val="30"/>
          <w:highlight w:val="none"/>
          <w:lang w:val="en-US" w:eastAsia="zh-CN"/>
        </w:rPr>
        <w:t>20</w:t>
      </w:r>
      <w:r>
        <w:rPr>
          <w:rFonts w:hint="eastAsia" w:ascii="宋体" w:hAnsi="宋体"/>
          <w:color w:val="auto"/>
          <w:szCs w:val="30"/>
          <w:highlight w:val="none"/>
        </w:rPr>
        <w:t>年</w:t>
      </w:r>
      <w:r>
        <w:rPr>
          <w:rFonts w:hint="eastAsia" w:ascii="宋体" w:hAnsi="宋体"/>
          <w:color w:val="auto"/>
          <w:szCs w:val="30"/>
          <w:highlight w:val="none"/>
          <w:lang w:val="en-US" w:eastAsia="zh-CN"/>
        </w:rPr>
        <w:t>9</w:t>
      </w:r>
      <w:r>
        <w:rPr>
          <w:rFonts w:hint="eastAsia" w:ascii="宋体" w:hAnsi="宋体"/>
          <w:color w:val="auto"/>
          <w:szCs w:val="30"/>
          <w:highlight w:val="none"/>
        </w:rPr>
        <w:t>份全国车用汽油和航空汽油进出口统计数据</w:t>
      </w:r>
      <w:r>
        <w:rPr>
          <w:color w:val="auto"/>
          <w:highlight w:val="none"/>
        </w:rPr>
        <w:tab/>
      </w:r>
      <w:r>
        <w:rPr>
          <w:color w:val="auto"/>
          <w:highlight w:val="none"/>
        </w:rPr>
        <w:fldChar w:fldCharType="begin"/>
      </w:r>
      <w:r>
        <w:rPr>
          <w:color w:val="auto"/>
          <w:highlight w:val="none"/>
        </w:rPr>
        <w:instrText xml:space="preserve"> PAGEREF _Toc27774 </w:instrText>
      </w:r>
      <w:r>
        <w:rPr>
          <w:color w:val="auto"/>
          <w:highlight w:val="none"/>
        </w:rPr>
        <w:fldChar w:fldCharType="separate"/>
      </w:r>
      <w:r>
        <w:rPr>
          <w:color w:val="auto"/>
          <w:highlight w:val="none"/>
        </w:rPr>
        <w:t>31</w:t>
      </w:r>
      <w:r>
        <w:rPr>
          <w:color w:val="auto"/>
          <w:highlight w:val="none"/>
        </w:rPr>
        <w:fldChar w:fldCharType="end"/>
      </w:r>
      <w:r>
        <w:rPr>
          <w:rFonts w:ascii="宋体" w:hAnsi="宋体"/>
          <w:color w:val="auto"/>
          <w:kern w:val="2"/>
          <w:szCs w:val="24"/>
          <w:highlight w:val="none"/>
        </w:rPr>
        <w:fldChar w:fldCharType="end"/>
      </w:r>
    </w:p>
    <w:p>
      <w:pPr>
        <w:pStyle w:val="20"/>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_Toc20292 </w:instrText>
      </w:r>
      <w:r>
        <w:rPr>
          <w:rFonts w:ascii="宋体" w:hAnsi="宋体"/>
          <w:color w:val="auto"/>
          <w:kern w:val="2"/>
          <w:szCs w:val="24"/>
          <w:highlight w:val="none"/>
        </w:rPr>
        <w:fldChar w:fldCharType="separate"/>
      </w:r>
      <w:r>
        <w:rPr>
          <w:rFonts w:hint="eastAsia" w:ascii="宋体" w:hAnsi="宋体"/>
          <w:color w:val="auto"/>
          <w:szCs w:val="30"/>
          <w:highlight w:val="none"/>
        </w:rPr>
        <w:t>4.2 201</w:t>
      </w:r>
      <w:r>
        <w:rPr>
          <w:rFonts w:hint="eastAsia" w:ascii="宋体" w:hAnsi="宋体"/>
          <w:color w:val="auto"/>
          <w:szCs w:val="30"/>
          <w:highlight w:val="none"/>
          <w:lang w:val="en-US" w:eastAsia="zh-CN"/>
        </w:rPr>
        <w:t>8</w:t>
      </w:r>
      <w:r>
        <w:rPr>
          <w:rFonts w:hint="eastAsia" w:ascii="宋体" w:hAnsi="宋体"/>
          <w:color w:val="auto"/>
          <w:szCs w:val="30"/>
          <w:highlight w:val="none"/>
        </w:rPr>
        <w:t>年1</w:t>
      </w:r>
      <w:r>
        <w:rPr>
          <w:rFonts w:hint="eastAsia" w:ascii="宋体" w:hAnsi="宋体"/>
          <w:color w:val="auto"/>
          <w:szCs w:val="30"/>
          <w:highlight w:val="none"/>
          <w:lang w:val="en-US" w:eastAsia="zh-CN"/>
        </w:rPr>
        <w:t>1</w:t>
      </w:r>
      <w:r>
        <w:rPr>
          <w:rFonts w:hint="eastAsia" w:ascii="宋体" w:hAnsi="宋体"/>
          <w:color w:val="auto"/>
          <w:szCs w:val="30"/>
          <w:highlight w:val="none"/>
        </w:rPr>
        <w:t>月份全国轻柴油进出口统计数据</w:t>
      </w:r>
      <w:r>
        <w:rPr>
          <w:color w:val="auto"/>
          <w:highlight w:val="none"/>
        </w:rPr>
        <w:tab/>
      </w:r>
      <w:r>
        <w:rPr>
          <w:color w:val="auto"/>
          <w:highlight w:val="none"/>
        </w:rPr>
        <w:fldChar w:fldCharType="begin"/>
      </w:r>
      <w:r>
        <w:rPr>
          <w:color w:val="auto"/>
          <w:highlight w:val="none"/>
        </w:rPr>
        <w:instrText xml:space="preserve"> PAGEREF _Toc20292 </w:instrText>
      </w:r>
      <w:r>
        <w:rPr>
          <w:color w:val="auto"/>
          <w:highlight w:val="none"/>
        </w:rPr>
        <w:fldChar w:fldCharType="separate"/>
      </w:r>
      <w:r>
        <w:rPr>
          <w:color w:val="auto"/>
          <w:highlight w:val="none"/>
        </w:rPr>
        <w:t>32</w:t>
      </w:r>
      <w:r>
        <w:rPr>
          <w:color w:val="auto"/>
          <w:highlight w:val="none"/>
        </w:rPr>
        <w:fldChar w:fldCharType="end"/>
      </w:r>
      <w:r>
        <w:rPr>
          <w:rFonts w:ascii="宋体" w:hAnsi="宋体"/>
          <w:color w:val="auto"/>
          <w:kern w:val="2"/>
          <w:szCs w:val="24"/>
          <w:highlight w:val="none"/>
        </w:rPr>
        <w:fldChar w:fldCharType="end"/>
      </w:r>
    </w:p>
    <w:p>
      <w:pPr>
        <w:pStyle w:val="20"/>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_Toc31298 </w:instrText>
      </w:r>
      <w:r>
        <w:rPr>
          <w:rFonts w:ascii="宋体" w:hAnsi="宋体"/>
          <w:color w:val="auto"/>
          <w:kern w:val="2"/>
          <w:szCs w:val="24"/>
          <w:highlight w:val="none"/>
        </w:rPr>
        <w:fldChar w:fldCharType="separate"/>
      </w:r>
      <w:r>
        <w:rPr>
          <w:rFonts w:hint="eastAsia" w:ascii="宋体" w:hAnsi="宋体"/>
          <w:color w:val="auto"/>
          <w:szCs w:val="30"/>
          <w:highlight w:val="none"/>
        </w:rPr>
        <w:t>4.3 20</w:t>
      </w:r>
      <w:r>
        <w:rPr>
          <w:rFonts w:hint="eastAsia" w:ascii="宋体" w:hAnsi="宋体"/>
          <w:color w:val="auto"/>
          <w:szCs w:val="30"/>
          <w:highlight w:val="none"/>
          <w:lang w:val="en-US" w:eastAsia="zh-CN"/>
        </w:rPr>
        <w:t>20</w:t>
      </w:r>
      <w:r>
        <w:rPr>
          <w:rFonts w:hint="eastAsia" w:ascii="宋体" w:hAnsi="宋体"/>
          <w:color w:val="auto"/>
          <w:szCs w:val="30"/>
          <w:highlight w:val="none"/>
        </w:rPr>
        <w:t>年</w:t>
      </w:r>
      <w:r>
        <w:rPr>
          <w:rFonts w:hint="eastAsia" w:ascii="宋体" w:hAnsi="宋体"/>
          <w:color w:val="auto"/>
          <w:szCs w:val="30"/>
          <w:highlight w:val="none"/>
          <w:lang w:val="en-US" w:eastAsia="zh-CN"/>
        </w:rPr>
        <w:t>8</w:t>
      </w:r>
      <w:r>
        <w:rPr>
          <w:rFonts w:hint="eastAsia" w:ascii="宋体" w:hAnsi="宋体"/>
          <w:color w:val="auto"/>
          <w:szCs w:val="30"/>
          <w:highlight w:val="none"/>
        </w:rPr>
        <w:t>月份全国原油进出口统计数据</w:t>
      </w:r>
      <w:r>
        <w:rPr>
          <w:color w:val="auto"/>
          <w:highlight w:val="none"/>
        </w:rPr>
        <w:tab/>
      </w:r>
      <w:r>
        <w:rPr>
          <w:color w:val="auto"/>
          <w:highlight w:val="none"/>
        </w:rPr>
        <w:fldChar w:fldCharType="begin"/>
      </w:r>
      <w:r>
        <w:rPr>
          <w:color w:val="auto"/>
          <w:highlight w:val="none"/>
        </w:rPr>
        <w:instrText xml:space="preserve"> PAGEREF _Toc31298 </w:instrText>
      </w:r>
      <w:r>
        <w:rPr>
          <w:color w:val="auto"/>
          <w:highlight w:val="none"/>
        </w:rPr>
        <w:fldChar w:fldCharType="separate"/>
      </w:r>
      <w:r>
        <w:rPr>
          <w:color w:val="auto"/>
          <w:highlight w:val="none"/>
        </w:rPr>
        <w:t>33</w:t>
      </w:r>
      <w:r>
        <w:rPr>
          <w:color w:val="auto"/>
          <w:highlight w:val="none"/>
        </w:rPr>
        <w:fldChar w:fldCharType="end"/>
      </w:r>
      <w:r>
        <w:rPr>
          <w:rFonts w:ascii="宋体" w:hAnsi="宋体"/>
          <w:color w:val="auto"/>
          <w:kern w:val="2"/>
          <w:szCs w:val="24"/>
          <w:highlight w:val="none"/>
        </w:rPr>
        <w:fldChar w:fldCharType="end"/>
      </w:r>
    </w:p>
    <w:p>
      <w:pPr>
        <w:pStyle w:val="20"/>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_Toc19589 </w:instrText>
      </w:r>
      <w:r>
        <w:rPr>
          <w:rFonts w:ascii="宋体" w:hAnsi="宋体"/>
          <w:color w:val="auto"/>
          <w:kern w:val="2"/>
          <w:szCs w:val="24"/>
          <w:highlight w:val="none"/>
        </w:rPr>
        <w:fldChar w:fldCharType="separate"/>
      </w:r>
      <w:r>
        <w:rPr>
          <w:rFonts w:hint="eastAsia" w:ascii="宋体" w:hAnsi="宋体"/>
          <w:color w:val="auto"/>
          <w:szCs w:val="30"/>
          <w:highlight w:val="none"/>
        </w:rPr>
        <w:t>4.4 20</w:t>
      </w:r>
      <w:r>
        <w:rPr>
          <w:rFonts w:hint="eastAsia" w:ascii="宋体" w:hAnsi="宋体"/>
          <w:color w:val="auto"/>
          <w:szCs w:val="30"/>
          <w:highlight w:val="none"/>
          <w:lang w:val="en-US" w:eastAsia="zh-CN"/>
        </w:rPr>
        <w:t>20</w:t>
      </w:r>
      <w:r>
        <w:rPr>
          <w:rFonts w:hint="eastAsia" w:ascii="宋体" w:hAnsi="宋体"/>
          <w:color w:val="auto"/>
          <w:szCs w:val="30"/>
          <w:highlight w:val="none"/>
        </w:rPr>
        <w:t>年</w:t>
      </w:r>
      <w:r>
        <w:rPr>
          <w:rFonts w:hint="eastAsia" w:ascii="宋体" w:hAnsi="宋体"/>
          <w:color w:val="auto"/>
          <w:szCs w:val="30"/>
          <w:highlight w:val="none"/>
          <w:lang w:val="en-US" w:eastAsia="zh-CN"/>
        </w:rPr>
        <w:t>9</w:t>
      </w:r>
      <w:r>
        <w:rPr>
          <w:rFonts w:hint="eastAsia" w:ascii="宋体" w:hAnsi="宋体"/>
          <w:color w:val="auto"/>
          <w:szCs w:val="30"/>
          <w:highlight w:val="none"/>
        </w:rPr>
        <w:t>月份全国航空煤油进出口统计数据</w:t>
      </w:r>
      <w:r>
        <w:rPr>
          <w:color w:val="auto"/>
          <w:highlight w:val="none"/>
        </w:rPr>
        <w:tab/>
      </w:r>
      <w:r>
        <w:rPr>
          <w:color w:val="auto"/>
          <w:highlight w:val="none"/>
        </w:rPr>
        <w:fldChar w:fldCharType="begin"/>
      </w:r>
      <w:r>
        <w:rPr>
          <w:color w:val="auto"/>
          <w:highlight w:val="none"/>
        </w:rPr>
        <w:instrText xml:space="preserve"> PAGEREF _Toc19589 </w:instrText>
      </w:r>
      <w:r>
        <w:rPr>
          <w:color w:val="auto"/>
          <w:highlight w:val="none"/>
        </w:rPr>
        <w:fldChar w:fldCharType="separate"/>
      </w:r>
      <w:r>
        <w:rPr>
          <w:color w:val="auto"/>
          <w:highlight w:val="none"/>
        </w:rPr>
        <w:t>34</w:t>
      </w:r>
      <w:r>
        <w:rPr>
          <w:color w:val="auto"/>
          <w:highlight w:val="none"/>
        </w:rPr>
        <w:fldChar w:fldCharType="end"/>
      </w:r>
      <w:r>
        <w:rPr>
          <w:rFonts w:ascii="宋体" w:hAnsi="宋体"/>
          <w:color w:val="auto"/>
          <w:kern w:val="2"/>
          <w:szCs w:val="24"/>
          <w:highlight w:val="none"/>
        </w:rPr>
        <w:fldChar w:fldCharType="end"/>
      </w:r>
    </w:p>
    <w:p>
      <w:pPr>
        <w:pStyle w:val="2"/>
        <w:spacing w:before="120" w:after="0" w:line="240" w:lineRule="auto"/>
        <w:rPr>
          <w:rFonts w:ascii="宋体" w:hAnsi="宋体"/>
          <w:b/>
          <w:color w:val="auto"/>
          <w:sz w:val="24"/>
          <w:szCs w:val="24"/>
          <w:highlight w:val="none"/>
        </w:rPr>
      </w:pPr>
      <w:r>
        <w:rPr>
          <w:rFonts w:ascii="宋体" w:hAnsi="宋体"/>
          <w:color w:val="auto"/>
          <w:kern w:val="2"/>
          <w:szCs w:val="24"/>
          <w:highlight w:val="none"/>
        </w:rPr>
        <w:fldChar w:fldCharType="end"/>
      </w:r>
    </w:p>
    <w:p>
      <w:pPr>
        <w:pStyle w:val="2"/>
        <w:spacing w:before="120" w:after="0" w:line="240" w:lineRule="auto"/>
        <w:rPr>
          <w:rFonts w:ascii="宋体" w:hAnsi="宋体"/>
          <w:b/>
          <w:sz w:val="24"/>
          <w:szCs w:val="24"/>
        </w:rPr>
      </w:pPr>
    </w:p>
    <w:p>
      <w:pPr>
        <w:pStyle w:val="2"/>
        <w:spacing w:before="120" w:after="0" w:line="240" w:lineRule="auto"/>
        <w:rPr>
          <w:rFonts w:ascii="宋体" w:hAnsi="宋体"/>
          <w:b/>
          <w:sz w:val="24"/>
          <w:szCs w:val="24"/>
        </w:rPr>
      </w:pPr>
    </w:p>
    <w:p>
      <w:pPr>
        <w:pStyle w:val="2"/>
        <w:spacing w:before="120" w:after="0" w:line="240" w:lineRule="auto"/>
        <w:rPr>
          <w:rFonts w:ascii="宋体" w:hAnsi="宋体"/>
          <w:b/>
          <w:sz w:val="24"/>
          <w:szCs w:val="24"/>
        </w:rPr>
      </w:pPr>
    </w:p>
    <w:p/>
    <w:p/>
    <w:p/>
    <w:p/>
    <w:p/>
    <w:p/>
    <w:p>
      <w:pPr>
        <w:pStyle w:val="2"/>
        <w:spacing w:before="120" w:after="0" w:line="240" w:lineRule="auto"/>
      </w:pPr>
      <w:bookmarkStart w:id="0" w:name="_Toc28204"/>
      <w:r>
        <w:rPr>
          <w:rFonts w:hint="eastAsia"/>
        </w:rPr>
        <w:t>一、国际原油市场回顾 </w:t>
      </w:r>
      <w:bookmarkEnd w:id="0"/>
    </w:p>
    <w:p>
      <w:pPr>
        <w:pStyle w:val="3"/>
        <w:spacing w:before="120" w:after="120" w:line="240" w:lineRule="auto"/>
        <w:rPr>
          <w:rFonts w:hint="eastAsia" w:ascii="宋体" w:hAnsi="宋体"/>
          <w:b/>
          <w:sz w:val="30"/>
          <w:szCs w:val="30"/>
        </w:rPr>
      </w:pPr>
      <w:bookmarkStart w:id="1" w:name="_Toc31041"/>
      <w:r>
        <w:rPr>
          <w:rFonts w:hint="eastAsia" w:ascii="宋体" w:hAnsi="宋体"/>
          <w:b/>
          <w:sz w:val="30"/>
          <w:szCs w:val="30"/>
        </w:rPr>
        <w:t>1.1国际原油收盘价涨跌情况（单位：美元/桶）</w:t>
      </w:r>
      <w:bookmarkEnd w:id="1"/>
    </w:p>
    <w:tbl>
      <w:tblPr>
        <w:tblStyle w:val="24"/>
        <w:tblW w:w="8662" w:type="dxa"/>
        <w:tblInd w:w="0" w:type="dxa"/>
        <w:tblLayout w:type="fixed"/>
        <w:tblCellMar>
          <w:top w:w="15" w:type="dxa"/>
          <w:left w:w="15" w:type="dxa"/>
          <w:bottom w:w="15" w:type="dxa"/>
          <w:right w:w="15" w:type="dxa"/>
        </w:tblCellMar>
      </w:tblPr>
      <w:tblGrid>
        <w:gridCol w:w="1291"/>
        <w:gridCol w:w="709"/>
        <w:gridCol w:w="709"/>
        <w:gridCol w:w="5953"/>
      </w:tblGrid>
      <w:tr>
        <w:tblPrEx>
          <w:tblCellMar>
            <w:top w:w="15" w:type="dxa"/>
            <w:left w:w="15" w:type="dxa"/>
            <w:bottom w:w="15" w:type="dxa"/>
            <w:right w:w="15" w:type="dxa"/>
          </w:tblCellMar>
        </w:tblPrEx>
        <w:trPr>
          <w:trHeight w:val="286" w:hRule="atLeast"/>
        </w:trPr>
        <w:tc>
          <w:tcPr>
            <w:tcW w:w="1291"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日期</w:t>
            </w:r>
          </w:p>
        </w:tc>
        <w:tc>
          <w:tcPr>
            <w:tcW w:w="709"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纽交所</w:t>
            </w:r>
          </w:p>
        </w:tc>
        <w:tc>
          <w:tcPr>
            <w:tcW w:w="709"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伦交所</w:t>
            </w:r>
          </w:p>
        </w:tc>
        <w:tc>
          <w:tcPr>
            <w:tcW w:w="5953"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影响因素</w:t>
            </w:r>
          </w:p>
        </w:tc>
      </w:tr>
      <w:tr>
        <w:tblPrEx>
          <w:tblCellMar>
            <w:top w:w="15" w:type="dxa"/>
            <w:left w:w="15" w:type="dxa"/>
            <w:bottom w:w="15" w:type="dxa"/>
            <w:right w:w="15" w:type="dxa"/>
          </w:tblCellMar>
        </w:tblPrEx>
        <w:trPr>
          <w:trHeight w:val="60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2020/11/5</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38.79</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40.93</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当前美国大选尚未分出胜负，但民主党候选人拜赢得总统选举和共和党保住参议院的概率上升，市场对之后潜在的财政刺激计划持谨慎态度。</w:t>
            </w:r>
          </w:p>
        </w:tc>
      </w:tr>
      <w:tr>
        <w:tblPrEx>
          <w:tblCellMar>
            <w:top w:w="15" w:type="dxa"/>
            <w:left w:w="15" w:type="dxa"/>
            <w:bottom w:w="15" w:type="dxa"/>
            <w:right w:w="15" w:type="dxa"/>
          </w:tblCellMar>
        </w:tblPrEx>
        <w:trPr>
          <w:trHeight w:val="54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2020/11/6</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37.14</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39.45</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欧美疫情仍不见好转，市场对原油需求前景的担忧加重，加之由于美国大选陷入僵局，市场对美国财政刺激计划的乐观预期下降，油价承压下滑。</w:t>
            </w:r>
          </w:p>
        </w:tc>
      </w:tr>
      <w:tr>
        <w:tblPrEx>
          <w:tblCellMar>
            <w:top w:w="15" w:type="dxa"/>
            <w:left w:w="15" w:type="dxa"/>
            <w:bottom w:w="15" w:type="dxa"/>
            <w:right w:w="15" w:type="dxa"/>
          </w:tblCellMar>
        </w:tblPrEx>
        <w:trPr>
          <w:trHeight w:val="57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widowControl/>
              <w:jc w:val="center"/>
              <w:textAlignment w:val="center"/>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2020/11/9</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40.29</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42.4</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原油收盘大涨。美国有线电视新闻网(CNN)、美国全国广播公司(NBC)和英国广播公司(BBC)等多家外媒先后发布预测称，民主党总统候选人拜登当选，市场期待美国出台更大规模的经济刺激方案。加之市场传出新冠疫苗有新进展，使得市场风险偏好回升。</w:t>
            </w:r>
          </w:p>
        </w:tc>
      </w:tr>
      <w:tr>
        <w:tblPrEx>
          <w:tblCellMar>
            <w:top w:w="15" w:type="dxa"/>
            <w:left w:w="15" w:type="dxa"/>
            <w:bottom w:w="15" w:type="dxa"/>
            <w:right w:w="15" w:type="dxa"/>
          </w:tblCellMar>
        </w:tblPrEx>
        <w:trPr>
          <w:trHeight w:val="43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2020/11/10</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41.36</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43.61</w:t>
            </w:r>
          </w:p>
        </w:tc>
        <w:tc>
          <w:tcPr>
            <w:tcW w:w="5953" w:type="dxa"/>
            <w:tcBorders>
              <w:top w:val="single" w:color="000000" w:sz="4" w:space="0"/>
              <w:left w:val="single" w:color="000000" w:sz="4" w:space="0"/>
              <w:bottom w:val="single" w:color="000000" w:sz="4" w:space="0"/>
              <w:right w:val="single" w:color="000000" w:sz="4" w:space="0"/>
            </w:tcBorders>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原油收盘上涨，新冠疫苗取得积极进展使得市场对原油需求复苏的担忧情绪有所改善，加之沙特能源部长也表示不排除调整OPEC+减产协议维持供需平衡的可能。</w:t>
            </w:r>
          </w:p>
        </w:tc>
      </w:tr>
      <w:tr>
        <w:tblPrEx>
          <w:tblCellMar>
            <w:top w:w="15" w:type="dxa"/>
            <w:left w:w="15" w:type="dxa"/>
            <w:bottom w:w="15" w:type="dxa"/>
            <w:right w:w="15" w:type="dxa"/>
          </w:tblCellMar>
        </w:tblPrEx>
        <w:trPr>
          <w:trHeight w:val="55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2020/11/11</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41.45</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43.8</w:t>
            </w:r>
          </w:p>
        </w:tc>
        <w:tc>
          <w:tcPr>
            <w:tcW w:w="5953" w:type="dxa"/>
            <w:tcBorders>
              <w:top w:val="single" w:color="000000" w:sz="4" w:space="0"/>
              <w:left w:val="single" w:color="000000" w:sz="4" w:space="0"/>
              <w:bottom w:val="single" w:color="000000" w:sz="4" w:space="0"/>
              <w:right w:val="single" w:color="000000" w:sz="4" w:space="0"/>
            </w:tcBorders>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原油收盘小幅上涨，OPEC+可能延长减产规模持续时间利好油价,但欧洲疫情的蔓延限制了油价上行空间。</w:t>
            </w:r>
          </w:p>
        </w:tc>
      </w:tr>
    </w:tbl>
    <w:p>
      <w:pPr>
        <w:jc w:val="center"/>
        <w:rPr>
          <w:rFonts w:hint="eastAsia"/>
        </w:rPr>
      </w:pPr>
    </w:p>
    <w:p>
      <w:pPr>
        <w:pStyle w:val="3"/>
        <w:spacing w:before="120" w:after="120" w:line="240" w:lineRule="auto"/>
        <w:rPr>
          <w:rFonts w:hint="eastAsia" w:ascii="宋体" w:hAnsi="宋体"/>
          <w:b/>
          <w:sz w:val="30"/>
          <w:szCs w:val="30"/>
        </w:rPr>
      </w:pPr>
      <w:bookmarkStart w:id="2" w:name="_Toc13265"/>
      <w:r>
        <w:rPr>
          <w:rFonts w:hint="eastAsia" w:ascii="宋体" w:hAnsi="宋体"/>
          <w:b/>
          <w:sz w:val="30"/>
          <w:szCs w:val="30"/>
        </w:rPr>
        <w:t>1.2 20</w:t>
      </w:r>
      <w:r>
        <w:rPr>
          <w:rFonts w:hint="eastAsia" w:ascii="宋体" w:hAnsi="宋体"/>
          <w:b/>
          <w:sz w:val="30"/>
          <w:szCs w:val="30"/>
          <w:lang w:val="en-US" w:eastAsia="zh-CN"/>
        </w:rPr>
        <w:t>20</w:t>
      </w:r>
      <w:r>
        <w:rPr>
          <w:rFonts w:hint="eastAsia" w:ascii="宋体" w:hAnsi="宋体"/>
          <w:b/>
          <w:sz w:val="30"/>
          <w:szCs w:val="30"/>
        </w:rPr>
        <w:t>年国际原油价格走势图</w:t>
      </w:r>
      <w:bookmarkEnd w:id="2"/>
    </w:p>
    <w:p>
      <w:pPr>
        <w:widowControl/>
        <w:wordWrap w:val="0"/>
        <w:spacing w:after="90" w:line="288" w:lineRule="auto"/>
        <w:jc w:val="left"/>
        <w:rPr>
          <w:rFonts w:hint="eastAsia" w:ascii="宋体" w:hAnsi="宋体" w:cs="Arial"/>
          <w:b/>
          <w:kern w:val="0"/>
          <w:sz w:val="30"/>
          <w:szCs w:val="30"/>
        </w:rPr>
      </w:pPr>
      <w:r>
        <w:rPr>
          <w:rFonts w:hint="eastAsia" w:ascii="宋体" w:hAnsi="宋体" w:cs="Arial"/>
          <w:b/>
          <w:kern w:val="0"/>
          <w:sz w:val="30"/>
          <w:szCs w:val="30"/>
        </w:rPr>
        <w:drawing>
          <wp:inline distT="0" distB="0" distL="114300" distR="114300">
            <wp:extent cx="5694680" cy="4170680"/>
            <wp:effectExtent l="0" t="0" r="1270" b="127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8"/>
                    <a:stretch>
                      <a:fillRect/>
                    </a:stretch>
                  </pic:blipFill>
                  <pic:spPr>
                    <a:xfrm>
                      <a:off x="0" y="0"/>
                      <a:ext cx="5694680" cy="4170680"/>
                    </a:xfrm>
                    <a:prstGeom prst="rect">
                      <a:avLst/>
                    </a:prstGeom>
                    <a:noFill/>
                    <a:ln>
                      <a:noFill/>
                    </a:ln>
                  </pic:spPr>
                </pic:pic>
              </a:graphicData>
            </a:graphic>
          </wp:inline>
        </w:drawing>
      </w:r>
    </w:p>
    <w:p>
      <w:pPr>
        <w:widowControl/>
        <w:wordWrap w:val="0"/>
        <w:spacing w:after="90" w:line="288" w:lineRule="auto"/>
        <w:jc w:val="left"/>
        <w:rPr>
          <w:rFonts w:hint="eastAsia" w:ascii="宋体" w:hAnsi="宋体" w:cs="Arial"/>
          <w:b/>
          <w:kern w:val="0"/>
          <w:sz w:val="30"/>
          <w:szCs w:val="30"/>
        </w:rPr>
      </w:pPr>
    </w:p>
    <w:p>
      <w:pPr>
        <w:rPr>
          <w:rFonts w:hint="eastAsia" w:ascii="宋体" w:hAnsi="宋体" w:cs="Arial"/>
          <w:b/>
          <w:kern w:val="0"/>
          <w:sz w:val="30"/>
          <w:szCs w:val="30"/>
        </w:rPr>
      </w:pPr>
    </w:p>
    <w:p>
      <w:pPr>
        <w:pStyle w:val="2"/>
        <w:numPr>
          <w:ilvl w:val="0"/>
          <w:numId w:val="1"/>
        </w:numPr>
        <w:spacing w:before="120" w:after="0" w:line="240" w:lineRule="auto"/>
      </w:pPr>
      <w:bookmarkStart w:id="3" w:name="_Toc11108"/>
      <w:r>
        <w:rPr>
          <w:rFonts w:hint="eastAsia"/>
        </w:rPr>
        <w:t>近期影响国际原油市场的主要因素</w:t>
      </w:r>
      <w:bookmarkEnd w:id="3"/>
    </w:p>
    <w:p>
      <w:pPr>
        <w:pStyle w:val="3"/>
        <w:spacing w:before="120" w:after="120" w:line="240" w:lineRule="auto"/>
        <w:rPr>
          <w:rFonts w:hint="eastAsia" w:ascii="宋体" w:hAnsi="宋体"/>
          <w:b/>
          <w:sz w:val="30"/>
          <w:szCs w:val="30"/>
        </w:rPr>
      </w:pPr>
      <w:bookmarkStart w:id="4" w:name="_Toc24274"/>
      <w:r>
        <w:rPr>
          <w:rFonts w:hint="eastAsia" w:ascii="宋体" w:hAnsi="宋体"/>
          <w:b/>
          <w:sz w:val="30"/>
          <w:szCs w:val="30"/>
        </w:rPr>
        <w:t>2.1影响国际原油市场的主要因素</w:t>
      </w:r>
      <w:bookmarkEnd w:id="4"/>
    </w:p>
    <w:p>
      <w:pPr>
        <w:ind w:firstLine="551" w:firstLineChars="196"/>
        <w:outlineLvl w:val="1"/>
        <w:rPr>
          <w:rFonts w:hint="eastAsia" w:asciiTheme="minorEastAsia" w:hAnsiTheme="minorEastAsia" w:eastAsiaTheme="minorEastAsia" w:cstheme="minorEastAsia"/>
          <w:b/>
          <w:color w:val="000000"/>
          <w:sz w:val="28"/>
          <w:szCs w:val="28"/>
        </w:rPr>
      </w:pPr>
      <w:bookmarkStart w:id="5" w:name="_Toc55461786"/>
      <w:r>
        <w:rPr>
          <w:rFonts w:hint="eastAsia" w:asciiTheme="minorEastAsia" w:hAnsiTheme="minorEastAsia" w:eastAsiaTheme="minorEastAsia" w:cstheme="minorEastAsia"/>
          <w:b/>
          <w:color w:val="000000"/>
          <w:sz w:val="28"/>
          <w:szCs w:val="28"/>
        </w:rPr>
        <w:t>1.美国原油库存情况</w:t>
      </w:r>
      <w:bookmarkEnd w:id="5"/>
      <w:r>
        <w:rPr>
          <w:rFonts w:hint="eastAsia" w:asciiTheme="minorEastAsia" w:hAnsiTheme="minorEastAsia" w:eastAsiaTheme="minorEastAsia" w:cstheme="minorEastAsia"/>
          <w:b/>
          <w:color w:val="000000"/>
          <w:sz w:val="28"/>
          <w:szCs w:val="28"/>
        </w:rPr>
        <w:t xml:space="preserve"> </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美国能源信息署(EIA)公布报告显示，截至10月30日当周美国除却战略储备的商业原油库存降幅远超预期，精炼油库存降幅略不及预期，汽油库存超预期增加。截至10月30日当周美国原油库存减少799.8万桶，前值增加432万桶，预期增加89万桶。此外，美国截至10月23日当周EIA汽油库存实际公布增加154.10万桶，预期减少80万桶，前值减少89.2万桶。美国截至10月16日当周EIA精炼油库存实际公布减少158.40万桶，预期减少250万桶，前值减少449.1万桶。美国至10月30日当周EIA俄克拉荷马州库欣原油库存增加93.6万桶，前值减少42.2万桶。美国至10月30日当周EIA原油产量引伸需求数据为1667.16万桶/日，前值为1614.7万桶/日。美国石油协会(API)公布的数据显示，美国截至10月30日当周API原油库存减少800.1万桶，预期增加196.4万桶;汽油库存增加245.4万桶;精炼油库存减少57.7万桶。</w:t>
      </w:r>
    </w:p>
    <w:p>
      <w:pPr>
        <w:pStyle w:val="23"/>
        <w:spacing w:line="360" w:lineRule="auto"/>
        <w:ind w:firstLine="560" w:firstLineChars="200"/>
        <w:rPr>
          <w:rFonts w:hint="eastAsia" w:asciiTheme="minorEastAsia" w:hAnsiTheme="minorEastAsia" w:eastAsiaTheme="minorEastAsia" w:cstheme="minorEastAsia"/>
          <w:sz w:val="28"/>
          <w:szCs w:val="28"/>
        </w:rPr>
      </w:pPr>
    </w:p>
    <w:p>
      <w:pPr>
        <w:pStyle w:val="23"/>
        <w:spacing w:line="360" w:lineRule="auto"/>
        <w:ind w:firstLine="562" w:firstLineChars="200"/>
        <w:outlineLvl w:val="1"/>
        <w:rPr>
          <w:rFonts w:hint="eastAsia" w:asciiTheme="minorEastAsia" w:hAnsiTheme="minorEastAsia" w:eastAsiaTheme="minorEastAsia" w:cstheme="minorEastAsia"/>
          <w:b/>
          <w:sz w:val="28"/>
          <w:szCs w:val="28"/>
        </w:rPr>
      </w:pPr>
      <w:bookmarkStart w:id="6" w:name="_Toc55461787"/>
      <w:r>
        <w:rPr>
          <w:rFonts w:hint="eastAsia" w:asciiTheme="minorEastAsia" w:hAnsiTheme="minorEastAsia" w:eastAsiaTheme="minorEastAsia" w:cstheme="minorEastAsia"/>
          <w:b/>
          <w:sz w:val="28"/>
          <w:szCs w:val="28"/>
        </w:rPr>
        <w:t>2.美国经济形势</w:t>
      </w:r>
      <w:bookmarkEnd w:id="6"/>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本周北京时间12日凌晨，美股周三收盘涨跌不一，道指小幅收跌。近日连续下挫的科技股反弹，推动纳指涨逾230点，涨幅达2%。高盛与摩根大通上调对标普500指数的预期。</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道指收盘下跌23.29点，或0.08%，报29397.63点;纳指涨232.58点，或2.01%，报11786.43点;标普500指数涨27.13点，或0.77%，报3572.66点。</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近日连续下挫的科技股反弹，FAANG股票悉数收高。Facebook收高1.5%，苹果涨3%，亚马逊涨3.4%，Netflix涨2.2%，谷歌的母公司Alphabet涨0.7%。</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其他科技股中，Zoom视频通讯大涨9.9%，微软涨2.6%，英特尔涨2%，AMD涨4.2%，英伟达涨5.1%，特斯拉涨1.7%。上市未久的大数据公司Palantir收高14%。</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疫苗研发刺激仓位调整 周期股重获青睐</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迄今，交易员普遍追捧航空、邮轮、住宿、餐饮及实体门店类股，这些股票被一些分析师称为“疫情震中股”，它们在疫情期间受到了严重的负面影响。市场对一款冠状病毒疫苗接近获得批准的前景抱有乐观预期，料其将提振消费者对于外出与旅行的信心，因此逢低吸纳此类股票。</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但在所谓的“疫情震中股”上涨的同时，疫情期间领涨大盘的科技股近日连遭抛售，导致纳指在周一周二两个交易日连续下跌超过1%。与此同时，过去两日内的能源、金融及工业板块表现超出大盘。</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道富环球投资首席投资策略师Michael Arone表示：“总的来说，我认为这有点像是投资者在调整仓位。投资者对大选结果、冠状病毒疫苗与疗法方面的进展感到满意，并且这一财季的企业业绩稳定。因此，我认为投资者是在展望2021年，期待明年的经济增长与企业盈利状况好转。因此他们正在增持更具周期性的价值型公司，并降低了科技股仓位。”</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他补充说：“我认为这种调整仓位行为是健康的。请记住，我们都曾经为市场的集中程度感到担忧——整个市场只有少数几家科技股上涨。现在我们看到更多企业参与了目前的股市上涨，我认为这对整个市场都是健康的。”</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高盛与小摩上调标普500指数预期</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本周许多策略师上调了对股票市场的近期预期。高盛股票策略师将其标准普尔500指数的年底目标从3600点提高至3700点，并预计该指数到2021年底将升至4300点。</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摩根大通股票策略师则预计标准普尔500指数到年底将超越其先前的目标价格3600点，料明年年初触及4000点，并有可能在2021年底之前进一步升至4500点。</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摩根大通策略师表示：“美股正面临着多年来持续增长的最佳背景之一。经历全球贸易战、冠状病毒疫情、美国大选不确定性等长期高风险因素过后，股市前景已大为改观。”</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美国疫情进入“最糟糕”阶段 累计确诊病例超1000万</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美国约翰斯-霍普金斯大学的统计数据显示，截至美国东部时间9日13时25分(北京时间10日2时25分)，全美新冠肺炎累计确诊病例已突破千万大关，达到10018278例，约占全球新冠累计确诊病例的五分之一。</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美国权威流行病学专家表示，目前美国正处于疫情发展“最糟糕”阶段。</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众多公共卫生专家已反复警告，随着寒冷天气的到来，美国的疫情正进入继春、夏之后的第三次大规模暴发期。如果继续按照目前趋势发展，这个冬季将是“灾难性”的。</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从上周开始，美国的单日新增确诊病例数进入“10万+”轨道。哈佛大学流行病学家马克-利普西奇日前对《美国医学会杂志》表示，冠状病毒仍会快速传播，到12月，美国单日新增确诊病例数可能达到现在的两倍。</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美国食品和药物管理局(FDA)前局长斯科特-戈特利布则分析认为，美国单日新增感染人数可能已经达到“至少50万”，因为真正检测并确诊的病例数可能仅为实际感染人数的五分之一。</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欧洲多地被迫恢复了不同程度的社交隔离、经济封锁等防疫措施。鉴于有效疫苗难以在2021年之前普遍推广，欧美年内的经济复苏面临艰巨挑战。</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美国达拉斯联储主席卡普兰周二表示，由于出现第二波新冠疫情，他对短期内经济下行的风险感到“谨慎和担忧”，但对长期前景较为乐观。</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卡普兰表示：“接下来的两个季度将会非常具有挑战性，非常艰难。下行风险随着疫情反弹而不断上升。”</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疫苗进展远水不解近渴 美国经济仍需财政刺激</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北方信托首席经济学家Carl Tannenbaum周三表示，冠状病毒疫苗研究的成功不会立刻给美国经济带来刺激，随着美国经济复苏正在失去动力，更多的财政刺激仍然是必要的。</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他表示，虽然疫苗消息和美国10月好于预期的就业增长“令人鼓舞”，但这并不能降低进一步的经济刺激措施的必要性。他说：“我认为，如果我们等待疫苗来解决我们的所有问题，那么美国的经济复苏可能面临风险。”</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尽管受本周早些时候辉瑞疫苗利好消息提振，全球资本市场一片狂欢，但是瑞银集团董事长魏柏昂警告称，即使有了疫苗，全球经济要恢复到危机前的水平也需要时间。</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他表示，大规模生产疫苗并将其分发到世界各地可能需要相当长的时间。“美国GDP要恢复到危机前的水平，至少需要一年时间。失业率和危机前的增长还需要一两年才能恢复，所以我们面临的复苏将是相当长的一段时间。”</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焦点个股</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苹果公司召开线上发布会发布了首次使用苹果自研芯片的新型笔记本电脑和台式机。这标志着苹果公司与英特尔处理器长达15年的合作走到尽头，也是半导体行业的一次重大转变。</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苹果公司此前已经生产了使用自研芯片的iPhone手机和iPad平板电脑处理器，苹果公司称新型的处理器能够延长笔记本电脑的电池寿命。分析师认为，苹果公司的芯片合作伙伴的制造能力比英特尔更加先进。</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网约车公司Lyft获多家投行上调目标价。瑞银将Lyft目标价从38美元上调至45美元。Piper Sandler将Lyft目标价从31美元上调至39美元。韦德布什将Lyft目标价从37美元上调至48美元。高盛将Lyft目标价从35美元上调至44美元。</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欧盟总部布鲁塞尔11月10日消息，欧盟委员会向亚马逊通报了历时一年多的反垄断调查初步结果。调查表明，亚马逊通过利用平台上第三方卖家的数据为自营的产品销售获利。欧委会同时宣布将对亚马逊开展第二轮反垄断调查，针对它的黄金购物车和Prime会员功能。</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辉瑞和BioNTech签署了向欧盟供应2亿剂新冠肺炎疫苗的协议。</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IBM与AMD共同宣布达成联合开发协议，双方将在云平台和人工智能的加密运算展开合作。</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其他市场</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原油期货价格周三小幅收高。一款冠状病毒疫苗有望获得成功，行业数据显示美国上周原油库存下降，使油价得到支撑。</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但油价收于接近日低水平，因交易商对某产油国组织下调需求预期感到担忧。</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分析师指出，原油期货价格录得连续第三个交易日上涨，其主要推动力量是本周初的疫苗研发重大利好，以及美国石油协会(API)报告称美国上周原油库存降幅远超预期。</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纽约商品交易所12月交割的西德州中质原油(WTI)期货价格上涨9美分，涨幅0.2%，收于每桶41.45美元，盘中最高为43.06美元。</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伦敦洲际交易所1月交割的布伦特原油期货价格上涨19美分，涨幅0.4%，收于每桶43.80美元。</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p>
    <w:p>
      <w:pPr>
        <w:pStyle w:val="23"/>
        <w:rPr>
          <w:rFonts w:hint="eastAsia" w:asciiTheme="minorEastAsia" w:hAnsiTheme="minorEastAsia" w:eastAsiaTheme="minorEastAsia" w:cstheme="minorEastAsia"/>
          <w:color w:val="333335"/>
          <w:kern w:val="2"/>
          <w:sz w:val="28"/>
          <w:szCs w:val="28"/>
          <w:shd w:val="clear" w:color="auto" w:fill="FFFFFF"/>
        </w:rPr>
      </w:pPr>
    </w:p>
    <w:p>
      <w:pPr>
        <w:pStyle w:val="23"/>
        <w:numPr>
          <w:ilvl w:val="0"/>
          <w:numId w:val="2"/>
        </w:numPr>
        <w:ind w:firstLine="643" w:firstLineChars="200"/>
        <w:outlineLvl w:val="1"/>
        <w:rPr>
          <w:rFonts w:hint="eastAsia" w:asciiTheme="minorEastAsia" w:hAnsiTheme="minorEastAsia" w:eastAsiaTheme="minorEastAsia" w:cstheme="minorEastAsia"/>
          <w:b/>
          <w:bCs/>
          <w:sz w:val="32"/>
          <w:szCs w:val="32"/>
        </w:rPr>
      </w:pPr>
      <w:bookmarkStart w:id="7" w:name="_Toc55461788"/>
      <w:r>
        <w:rPr>
          <w:rFonts w:hint="eastAsia" w:asciiTheme="minorEastAsia" w:hAnsiTheme="minorEastAsia" w:eastAsiaTheme="minorEastAsia" w:cstheme="minorEastAsia"/>
          <w:b/>
          <w:bCs/>
          <w:sz w:val="32"/>
          <w:szCs w:val="32"/>
        </w:rPr>
        <w:t>世界经济形势</w:t>
      </w:r>
      <w:bookmarkEnd w:id="7"/>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辉瑞公司及其合作伙伴BioNTech可能在几周内获得一种冠状病毒疫苗的授权，这一消息引发了人们对全球经济可能在明年强劲反弹的希望。</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经济学家们说，尽管一种成功的疫苗确实可以在2021年给经济打一针预防针，但要从对就业、投资和商业的历史性打击中恢复过来还需要更长的时间，而目前欧美大部分地区的感染病例激增使这个任务变得复杂。</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辉瑞公司及其合作伙伴BioNTech本周一表示，他们正在努力争取在本月底之前获得疫苗授权。这一消息引发股市反弹，投资者预计受疫情严重损害的经济体将重新开放。</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然而，要让足够多的人接种疫苗，缓解最近欧美国家重新实施的封锁措施，可能还需要好几个月的时间。</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与此同时，最直接受到病毒限制的企业——尤其是接待和娱乐等面对面的服务——必须忍受数月的需求疲软。</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英国Marstons啤酒厂兼酒吧老板拉尔夫-芬德利(Ralph Findlay)说：“我会有些谨慎。我们的积极性正在上升，但明年的经济将会很棘手。”</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近几周，欧洲新增感染病例激增，引发了第二波封锁，经济学家认为，这将推动欧洲经济进入今年的第二次收缩。在美国，当局一般都避免采取与欧洲同样严格的新措施，预计经济将继续增长，尽管速度会放缓。</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疫苗取得突破性进展的消息并没有立即缩短人们对美国和欧洲经济需要多长时间才能恢复大流行前规模的预期，因为大多数经济学家已经考虑到了疫苗的大致问世和大规模应用时间。美国欧元区政策制定者预计，到2022年，每个地区都将恢复到新冠肺炎爆发前的水平。</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富裕国家将是第一个从疫苗中获得经济利益的国家。英国、美国、欧盟和日本已经订购了大剂量的辉瑞疫苗，如果辉瑞的疫苗被证明是安全的，它们将受益最大。对于大多数其他即将获得批准的疫苗来说，情况都是如此。</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这并不是大多数贫穷国家的选择，这些国家以后可能会获得成功的疫苗。杜克全球健康创新中心估计，在2024年之前，没有足够的疫苗可以覆盖全球人口。</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即使供应有限，其影响仍将是巨大的。研究机构兰德欧洲(RAND Europe)的分析师说，全球经济目前每年损失3.4万亿美元的产出。如果有效疫苗在美国、欧盟、英国、印度和俄罗斯上市，估计损失将降至1.2万亿美元，即每月1030亿美元。</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然而，如果推广范围更广，只让最贫穷的国家没有初步获得疫苗，每年的损失将减少到1530亿美元，并扩大对富裕国家的好处。</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兰德公司的研究员哈弗纳(Marco Hafner)说:“如果只有一些能够开发和大规模生产疫苗的国家一开始获益，他们就会在经济方面获得巨大的收益，但是如果他们能够在各地推广疫苗，他们的情况会更好。”</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美国是将在未来几个月内开始部署安全有效疫苗的国家之一。但许多受疫情影响最大的行业——航空、酒店、零售业——在人们再次安全聚集在一起之前无法完全恢复元气，而这种情况只有在数百万人接种疫苗之后才会发生。据美国劳工部(Labor Department)的数据，在今年2月至10月的约1000万失业人口中，酒吧、餐馆和酒店本身就占了四分之一以上。</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安赫斯特-皮尔庞特证券公司首席经济学家斯蒂芬-斯坦利说，“如果我们到达这么一个阶段，其他行业能够突然开放，经济可能会迎来一个真正的爆发——在明年春季或夏季的一个月里，有100万个餐馆的工作机会、10万个与旅游有关的工作和10万个与演艺演出有关的工作回归。”</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他说，到明年年中，美国失业率有可能回升至2月份疫情爆发前3.5%的历史低位，3月份失业率曾触及14.7%的近期高点。</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其他人说，可能需要更长的时间才能恢复失去的工作。</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凯投宏观资深美国经济学家迈克尔-皮尔斯表示。“有了疫苗，你可能会在明年大有收获。不仅会有更快的增长，而且这种增长更倾向于服务业，就工作而言，你可能至少还要再考虑几年。”</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即使疫苗的全面经济效应在几个月内都不会显现，乐观情绪的复苏仍可能带来一些短期的好处。</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英国央行(Bank of England)首席经济学家安迪-霍尔丹(Andy Haldane)表示，批准一种疫苗将是“改变游戏规则的事情”，因为它将最终终结对企业施加限制措施的“关停-启动周期”，这些封锁措施在感染病例上升时被取消，然后再次实施。</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“这就是不同所在，有一个可行的业务和没有一个可行的业务之间，投资和不投资，心理创伤持续加深，或者感觉事情会在可预见的未来某一时刻好转的区别，”他说。</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但Marstons的芬德利说，酒店服务提供商仍需要支持，这样在几个月后才能让人们在公共场所表现得像以前那样，他还呼吁英国政府不要取消对酒店服务征收的销售税，同时敦促其降低被称为商业税率的房产税。</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朗伯德经济学家达里奥-帕金斯(Dario Perkins)表示，最近的通胀上升和对经济活动的新限制，在政策制定者中滋生了一种“失败主义”情绪。这些政策制定者曾向企业提供巨额资金支持，期望疫情能在几个月内得到控制。</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“现在，如果我们确实有了一种有效的疫苗，我们又回到了3月份的水平，”帕金斯说。“有一个更令人信服的理由，可以把一切都投入其中。我们现在看到了我们需要达到的目标。”</w:t>
      </w:r>
    </w:p>
    <w:p>
      <w:pPr>
        <w:pStyle w:val="23"/>
        <w:spacing w:line="360" w:lineRule="auto"/>
        <w:ind w:firstLine="560" w:firstLineChars="200"/>
        <w:rPr>
          <w:rFonts w:hint="eastAsia" w:asciiTheme="minorEastAsia" w:hAnsiTheme="minorEastAsia" w:eastAsiaTheme="minorEastAsia" w:cstheme="minorEastAsia"/>
          <w:sz w:val="28"/>
          <w:szCs w:val="28"/>
        </w:rPr>
      </w:pPr>
    </w:p>
    <w:p>
      <w:pPr>
        <w:pStyle w:val="23"/>
        <w:numPr>
          <w:numId w:val="0"/>
        </w:numPr>
        <w:outlineLvl w:val="1"/>
        <w:rPr>
          <w:rFonts w:hint="eastAsia" w:asciiTheme="minorEastAsia" w:hAnsiTheme="minorEastAsia" w:eastAsiaTheme="minorEastAsia" w:cstheme="minorEastAsia"/>
          <w:b/>
          <w:bCs/>
          <w:sz w:val="32"/>
          <w:szCs w:val="32"/>
        </w:rPr>
      </w:pPr>
    </w:p>
    <w:p>
      <w:pPr>
        <w:pStyle w:val="23"/>
        <w:numPr>
          <w:ilvl w:val="0"/>
          <w:numId w:val="0"/>
        </w:numPr>
        <w:rPr>
          <w:rFonts w:hint="eastAsia" w:ascii="黑体" w:eastAsia="黑体"/>
          <w:b/>
          <w:sz w:val="28"/>
          <w:szCs w:val="28"/>
        </w:rPr>
      </w:pPr>
      <w:r>
        <w:rPr>
          <w:rFonts w:hint="eastAsia" w:asciiTheme="minorEastAsia" w:hAnsiTheme="minorEastAsia" w:eastAsiaTheme="minorEastAsia" w:cstheme="minorEastAsia"/>
          <w:b/>
          <w:bCs/>
          <w:sz w:val="32"/>
          <w:szCs w:val="32"/>
          <w:lang w:val="en-US" w:eastAsia="zh-CN"/>
        </w:rPr>
        <w:t>4</w:t>
      </w:r>
      <w:r>
        <w:rPr>
          <w:rFonts w:hint="eastAsia" w:asciiTheme="minorEastAsia" w:hAnsiTheme="minorEastAsia" w:eastAsiaTheme="minorEastAsia" w:cstheme="minorEastAsia"/>
          <w:b/>
          <w:bCs/>
          <w:sz w:val="32"/>
          <w:szCs w:val="32"/>
        </w:rPr>
        <w:t>.</w:t>
      </w:r>
      <w:r>
        <w:rPr>
          <w:rFonts w:hint="eastAsia" w:ascii="黑体" w:eastAsia="黑体"/>
          <w:b/>
          <w:sz w:val="28"/>
          <w:szCs w:val="28"/>
        </w:rPr>
        <w:t>后市预测</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美国WTI原油原油价格在35.79-39.15美元/桶。布伦特原油价格在37.46-41.23美元/桶震荡。周内国际油价小幅震荡走势。因欧佩克和俄罗斯正在考虑明年初更大幅度减产，而美国两大权威机构公布的数据均显示美国上周原油库存数据大幅低于预期，油价周三(11月4日)录得三连阳。然而鉴于美国大选局势并不是很明朗，投资者担心美国大选会变成持久战，这不利于美国经济复苏，限制了油价的上行动能。截至发稿，美国WTI原油12月期货收涨1.49美元，涨幅3.95%，报39.15美元/桶;布伦特原油1月期货收涨1.52美元，涨幅3.83%，报41.23美元/桶，本周布油累计已上涨10.06%。基本面利好因素：1.北京时间周三晚23:30，美国能源信息署(EIA)公布的数据显示，截至10月30日当周，美国除却战略储备的商业原油库存减少799.80万桶，预期增加120万桶，前值增加432万桶;上周美国国内原油产量减少60万桶至1050万桶/日，原油出口减少119.5万桶/日至226.5万桶/日;美国精炼油库存变化值连续7周录得下滑。美国原油库存变化值创9月4日当周以来新低。美国原油产品四周平均供应量为1889.5万桶/日，较去年同期减少10.9%。2.北京时间周三凌晨05:30，美国石油协会(API)公布的数据显示，截至10月30日当周，原油库存减少800.1万桶，预期增加196.4万桶。知名金融博客零对冲表示，油价延续反弹势头，美油重回38美元/桶上方，因美元走软，以及有迹象表明欧佩克+可能推迟原定的增产计划。3.两位行业消息人士表示，俄罗斯石油公司的高管及俄罗斯能源部长诺瓦克(Alexander Novak)于周一讨论了将石油限产协议延长至2021年第一季。欧佩克和俄罗斯在4月实施创纪录的减产，以支持油价，因新冠疫情打压需求。消息人士表示，俄罗斯石油公司和诺瓦克于周一讨论了三个选项。其中一个选项是把当前的减产协议延长至2021年第一季。另两个选项是按计划在1月增加石油产量，或什至进一步减产。另一名行业消息人士表示，欧佩克+有可能达成延长三个月的协议，因为担心第二波疫情冲击。4.欧佩克秘书长巴尔金都表示，疫情复发令石油需求持续承压，欧佩克及其盟友将通过在下一次会议上做出的决定，“加快”石油市场的复苏。巴尔金都称，“我们将继续面临阻碍，需求正在复苏，全球经济也在反弹，但是速度非常缓慢。”他还称，最新一轮疫情“几乎肯定会打压我们在第三季度积累的势头”。即便中国和印度的燃油需求回到今年疫情爆发前的水平，但上述情况令明年蒙上阴影。欧佩克+将于11月30日和12月1日会面，外界预计其将维持当前的供应限制不变，目前的减产规模相当于近800万桶/日。基本面利空因素：1.渣打银行周二报告称，预计今年第四季全球石油需求同比将下降873万桶/日，比其两周前的预期多了100万桶/日，因欧洲新冠疫情卷土重来。11月全球需求料将环比下降217万桶/日至9051万桶/日，主要是由于欧洲消费量下降。11月欧洲需求料环比下滑201万桶/日至1058万桶/日，随后在12月和明年1月料回升到1178万桶/日和1251万桶/日。2.据Worldometers世界实时统计数据显示，截至北京时间11月4日8时35分，全球新冠肺炎累计确诊病例超过4782万例，达到47,827,815例，累计死亡病例超过121.9万例，达到1,219,619例。美国新冠肺炎累计确诊病例全球最多，超过969万例，达到9,690,098例;累计死亡病例超过23.8万例，达到238,628例。分析指出，欧洲多国重启封锁措施，使欧元区整体经济前景不确定性大增，对欧元形成压力，并令欧洲经济复苏的希望再次蒙上阴影。欧洲央行行长拉加德也在上周表示，疫情给欧洲经济增长带来了新的挑战，经济复苏失去动力的速度将会比预期的要更快，近期经济前景已经“明显恶化”。3.美国现任总统特朗普的竞选团队周三表示，他们已经提起诉讼，要求暂停密歇根州和宾夕法尼亚州的计票工作，因为他们要求让更多的人能够在这两个摇摆州的多个地点观察计票过程。特朗普的竞选团队还表示，他们的诉讼要求允许他们的竞选团队在密歇根州“审查那些在我们无法有意义地获得准入权的情况下已公开和清点的选票。”</w:t>
      </w:r>
    </w:p>
    <w:p>
      <w:pPr>
        <w:pStyle w:val="23"/>
        <w:spacing w:line="360" w:lineRule="auto"/>
        <w:ind w:firstLine="560" w:firstLineChars="200"/>
        <w:rPr>
          <w:rFonts w:hint="eastAsia" w:ascii="黑体" w:eastAsia="黑体"/>
          <w:b/>
          <w:sz w:val="28"/>
          <w:szCs w:val="28"/>
          <w:lang w:eastAsia="zh-CN"/>
        </w:rPr>
      </w:pPr>
      <w:r>
        <w:rPr>
          <w:rFonts w:hint="eastAsia" w:asciiTheme="minorEastAsia" w:hAnsiTheme="minorEastAsia" w:eastAsiaTheme="minorEastAsia" w:cstheme="minorEastAsia"/>
          <w:color w:val="333335"/>
          <w:kern w:val="2"/>
          <w:sz w:val="28"/>
          <w:szCs w:val="28"/>
          <w:shd w:val="clear" w:color="auto" w:fill="FFFFFF"/>
        </w:rPr>
        <w:t>预测下周WTI油价将触及34-40美元/桶，布油在之后几个月触及36-42美元/桶。</w:t>
      </w:r>
    </w:p>
    <w:p>
      <w:pPr>
        <w:pStyle w:val="23"/>
        <w:keepNext w:val="0"/>
        <w:keepLines w:val="0"/>
        <w:widowControl/>
        <w:suppressLineNumbers w:val="0"/>
      </w:pPr>
      <w:bookmarkStart w:id="8" w:name="_Toc1606"/>
      <w:r>
        <w:rPr>
          <w:sz w:val="21"/>
          <w:szCs w:val="21"/>
        </w:rPr>
        <w:t>本周，国际原油期货跌后反弹，据测算第五个工作日参考原油变化率为4.01%。受此影响，国内成品油市场购销氛围尚可，各地主营单位汽柴油价格上调。与此同时，山东地炼成品油行情先扬后抑，炼厂主流成交优惠100元/吨左右。具体来看出货方面：周初，受原油弱势打压，买卖双方操作谨慎，场内成交多以散户小单为主。随后，原油反弹提振业者心态，下游商家采购积极性提升，各炼厂在出货好转之际顺势推价。然而好景不长，目前终端消费能力不足导致社会单位库存高企，中间商大单囤货操作甚少，仅少数下游用户适量补货，因此临近周末地炼整体出货量锐减，周期内平均产销比在80-90%左右。</w:t>
      </w:r>
    </w:p>
    <w:p>
      <w:pPr>
        <w:pStyle w:val="23"/>
        <w:keepNext w:val="0"/>
        <w:keepLines w:val="0"/>
        <w:widowControl/>
        <w:suppressLineNumbers w:val="0"/>
      </w:pPr>
      <w:r>
        <w:rPr>
          <w:sz w:val="21"/>
          <w:szCs w:val="21"/>
        </w:rPr>
        <w:t>本周(11月6日-11月12日)消息面转向利好，华中地区区内油价止跌反弹。具体分析如下，周初国际油价弱势震荡，加之零售价刚刚兑现下调，消息面难寻支撑。加之前期主营价格虚高，市场购进力度有限，为进一步冲击销量，各单位时有降价操作。不过随着新冠疫苗取得积极进展，国际油价宽幅上涨，新一轮变化率正向区间加深，消息面对市场提振明显。受此支撑，区内油价转为上行走势，且因柴油需求尚可，价格涨势尤为突出。下游入市心态稍有改善，部分消库之余择低备货，购销气氛温和向好。后市来看，国际油价或维持震荡小涨走势，本轮零售价上调概率较大，消息面或维持利好指向。不过需求端支撑力度相对有限，预计下周区内主营成品油价格或坚挺运行，部分单位仍试探性小幅推涨报价，不过下游业者接货力度或显不足，主营实盘成交仍将维持宽松优惠。</w:t>
      </w:r>
    </w:p>
    <w:p>
      <w:pPr>
        <w:pStyle w:val="23"/>
        <w:keepNext w:val="0"/>
        <w:keepLines w:val="0"/>
        <w:widowControl/>
        <w:suppressLineNumbers w:val="0"/>
      </w:pPr>
      <w:r>
        <w:rPr>
          <w:sz w:val="21"/>
          <w:szCs w:val="21"/>
        </w:rPr>
        <w:t>本周(11月6日-11月12日)，原油走势大幅反弹，华北地区区内汽柴先跌后涨。本周初国际油价走势低迷，国内调价预期维持搁浅，市场消息面支持受限，下游入市心态不高，主营出货压力较大，区内油价稳中小幅下行，幅度多在30-100元/吨，市场购销气氛维持低迷。周内国际油价走势“三连阳”，国内调价预期由搁浅转为上调，且上调预期不断拉宽，区内主营推价心态渐起，幅度多在50-100元/吨，但实际成交多延续优惠，部分单位趁机促销走量，下游适度备货，低价资源出货进度向好，市场大单操作仍显谨慎。后市而言，国际油市近期利好因素暂时消耗殆尽，需求前景恶化压制油价继续反弹空间，市场寄希望于疫苗研制进度，预计下周原油走势稳中整理为主。本周原油走势大幅上涨奠定本轮调价上调基调，预计区内油价下周维持坚挺，但主营月内销售进度依旧较重，市场销售政策继续灵活应市为主，不排除个别市场为刺激出货限时促销的可能。</w:t>
      </w:r>
    </w:p>
    <w:p>
      <w:pPr>
        <w:pStyle w:val="23"/>
        <w:keepNext w:val="0"/>
        <w:keepLines w:val="0"/>
        <w:widowControl/>
        <w:suppressLineNumbers w:val="0"/>
      </w:pPr>
      <w:r>
        <w:rPr>
          <w:sz w:val="21"/>
          <w:szCs w:val="21"/>
        </w:rPr>
        <w:t>本周(11月6日-11月12日)，华东地区成品油行情整体呈柴涨汽跌，市场信心虽大幅提振，但整体成交表现平平。具体来看，周内国际油价暴涨近12%，消息面利好因素偏多，原油变化率正向延伸。与此同时，山东地炼汽柴油均价小幅上涨，令主营外采价格上涨，下游业者购进氛围浓厚，成交温和。受原油连涨因素影响，区域内各主营单位均上调汽柴油价格，上调幅度在50-300元/吨不等，但部分主营下调汽油价格，下调幅度在50-100元/吨不等，市场信心虽大幅提振，但部分主营单位销售政策倾斜，以控制客存量为主，销售意向不高，业者入市补货按需为主，整体成交表现平平。后期来看，国际原油或震荡小涨，消息面或存有支撑，但区内柴油需求旺盛，汽油需求平淡，后期柴油价格或延续上涨态势，汽油价格或保持稳定，故预计短期内华东地区成品油价格或窄幅波动为主。</w:t>
      </w:r>
    </w:p>
    <w:p>
      <w:pPr>
        <w:pStyle w:val="23"/>
        <w:keepNext w:val="0"/>
        <w:keepLines w:val="0"/>
        <w:widowControl/>
        <w:suppressLineNumbers w:val="0"/>
      </w:pPr>
      <w:r>
        <w:rPr>
          <w:sz w:val="21"/>
          <w:szCs w:val="21"/>
        </w:rPr>
        <w:t>本周(11月5日-11月12日)，华南地区汽柴油市场整体维持震荡上涨走势，市场交投气氛较上周有所好转。具体来看，周内国际原油市场连续强势走高，对国内油价形成利好支撑，广东地区主营销售公司趁势推涨，柴油市场涨势明显，部分低库存厂家适当补仓，市场成交价同步跟涨，不过正处需求淡季，整体需求量逐步减少，大单操作谨慎。福建地区汽柴油市场维持稳中上涨走势，实际成交面依旧维持清淡局面，据销售公司表示，目前仍保利为主，成交优惠幅度有限。受原油持续走高提振，成品油上调预期不断拉宽，消息面对后期油价走势形成正向指导，不过原油持续上涨动力不足，加之终端企业基本补仓结束，短期内市场将回归平稳局面，价格面维持涨后守稳走势。</w:t>
      </w:r>
    </w:p>
    <w:p>
      <w:pPr>
        <w:pStyle w:val="23"/>
        <w:keepNext w:val="0"/>
        <w:keepLines w:val="0"/>
        <w:widowControl/>
        <w:suppressLineNumbers w:val="0"/>
      </w:pPr>
      <w:r>
        <w:rPr>
          <w:sz w:val="21"/>
          <w:szCs w:val="21"/>
        </w:rPr>
        <w:t>本周(11月6日-11月12日)，西北地炼柴油行情走高，汽油行情维持平稳。分析来看：周内国际油价涨幅明显，变化率正向区间延伸，本轮零售价上调为大概率事件，消息面利好对市场较有支撑。与此同时，工程基建等行业积极赶工，且物流运输亦活跃，柴油需求仍有提升。销售公司库存压力不大，因此柴油价格上推100元/吨;汽油方面，近期暂无节假日提振，且随着天气转冷，私家车出行减少，下游需求逐步转淡，销售公司出货一般，汽油价格仍维持平稳。业者按需补货，柴油成交优于汽油。就后市而言，国际油价或维持偏强震荡，下周四成品油零售价将兑现上调，消息面利好仍有支撑。此外，考虑到柴油需求旺盛，不排除地炼价格继续上推，而汽油价格缺乏上涨动力。不过，随着下游补货到位，市场成交难以持续向好。</w:t>
      </w:r>
    </w:p>
    <w:p>
      <w:pPr>
        <w:pStyle w:val="23"/>
        <w:keepNext w:val="0"/>
        <w:keepLines w:val="0"/>
        <w:widowControl/>
        <w:suppressLineNumbers w:val="0"/>
      </w:pPr>
      <w:r>
        <w:rPr>
          <w:sz w:val="21"/>
          <w:szCs w:val="21"/>
        </w:rPr>
        <w:t>本周(11月6日-11月12日)，西南地区汽柴行情跌后反弹，市场成交略有提升。分析来看：周内国际油价连续收涨，变化率正向区间持续延伸，消息面利好增强，对市场心态较有支撑。此外，受地炼汽柴价格上涨因素影响，主营外采成本增加，因此区内价格止跌回涨。由于工程基建等行业积极赶工，且“双十一”期间物流运输活跃度大增，柴油需求较有支撑。基本面向好，主营柴油价格涨幅明显;汽油需求一般，主营推价谨慎，成交价格涨幅有限。业者操作心态有所改善，入市适量补货，局部地区成交好转。就后市而言，国际油价或维持偏强震荡，变化率正向区间波动，本轮零售价上调为大概率事件，消息面利好对市场仍有支撑，预计短期内西南地区汽柴行情仍存一定上涨空间。不过，部分地区汽柴价格涨幅明显，业者适量补货之后再度退市消库，市场成交将逐步转淡。</w:t>
      </w:r>
    </w:p>
    <w:p>
      <w:pPr>
        <w:pStyle w:val="23"/>
        <w:keepNext w:val="0"/>
        <w:keepLines w:val="0"/>
        <w:widowControl/>
        <w:suppressLineNumbers w:val="0"/>
      </w:pPr>
      <w:r>
        <w:rPr>
          <w:sz w:val="21"/>
          <w:szCs w:val="21"/>
        </w:rPr>
        <w:t>后市前瞻：进入下周，在美国大选期间，如果没有新消息面的出台，原油市场或保持相对稳定的波动态势。以WTI为例，主流运行区间在36-42(均值39)美元/桶之间，环比上涨1.88美元/桶或5.06%。在缺少基本面需求支撑下，山东地区成品油行情清淡格局难以得到有效改善，建议中下游商家保持快进快出销售策略，切记盲目大量囤货。综上所述，预计山东地炼汽柴油价格稳中个别涨跌微调，幅度在50元/吨。</w:t>
      </w:r>
    </w:p>
    <w:p>
      <w:pPr>
        <w:pStyle w:val="3"/>
        <w:spacing w:before="120" w:after="120" w:line="240" w:lineRule="auto"/>
        <w:rPr>
          <w:rFonts w:hint="eastAsia" w:ascii="宋体" w:hAnsi="宋体"/>
          <w:b/>
          <w:sz w:val="30"/>
          <w:szCs w:val="30"/>
          <w:highlight w:val="none"/>
        </w:rPr>
      </w:pPr>
      <w:bookmarkStart w:id="21" w:name="_GoBack"/>
      <w:bookmarkEnd w:id="21"/>
      <w:r>
        <w:rPr>
          <w:rFonts w:hint="eastAsia" w:ascii="宋体" w:hAnsi="宋体"/>
          <w:b/>
          <w:sz w:val="30"/>
          <w:szCs w:val="30"/>
          <w:highlight w:val="none"/>
        </w:rPr>
        <w:t>2.2国际市场MTBE价格</w:t>
      </w:r>
      <w:bookmarkEnd w:id="8"/>
    </w:p>
    <w:tbl>
      <w:tblPr>
        <w:tblW w:w="7230" w:type="dxa"/>
        <w:tblInd w:w="0" w:type="dxa"/>
        <w:shd w:val="clear"/>
        <w:tblLayout w:type="autofit"/>
        <w:tblCellMar>
          <w:top w:w="0" w:type="dxa"/>
          <w:left w:w="0" w:type="dxa"/>
          <w:bottom w:w="0" w:type="dxa"/>
          <w:right w:w="0" w:type="dxa"/>
        </w:tblCellMar>
      </w:tblPr>
      <w:tblGrid>
        <w:gridCol w:w="1365"/>
        <w:gridCol w:w="2085"/>
        <w:gridCol w:w="1950"/>
        <w:gridCol w:w="1830"/>
      </w:tblGrid>
      <w:tr>
        <w:tblPrEx>
          <w:shd w:val="clear"/>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nil"/>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bookmarkStart w:id="9" w:name="_Toc23075"/>
            <w:r>
              <w:rPr>
                <w:rFonts w:hint="eastAsia" w:ascii="宋体" w:hAnsi="宋体" w:eastAsia="宋体" w:cs="宋体"/>
                <w:i w:val="0"/>
                <w:color w:val="000000"/>
                <w:kern w:val="0"/>
                <w:sz w:val="20"/>
                <w:szCs w:val="20"/>
                <w:u w:val="none"/>
                <w:bdr w:val="none" w:color="auto" w:sz="0" w:space="0"/>
                <w:lang w:val="en-US" w:eastAsia="zh-CN" w:bidi="ar"/>
              </w:rPr>
              <w:t>日期</w:t>
            </w:r>
          </w:p>
        </w:tc>
        <w:tc>
          <w:tcPr>
            <w:tcW w:w="2085" w:type="dxa"/>
            <w:tcBorders>
              <w:top w:val="single" w:color="000000" w:sz="4" w:space="0"/>
              <w:left w:val="single" w:color="000000" w:sz="4" w:space="0"/>
              <w:bottom w:val="nil"/>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新加坡(美元/吨)</w:t>
            </w:r>
          </w:p>
        </w:tc>
        <w:tc>
          <w:tcPr>
            <w:tcW w:w="1950" w:type="dxa"/>
            <w:tcBorders>
              <w:top w:val="single" w:color="000000" w:sz="4" w:space="0"/>
              <w:left w:val="single" w:color="000000" w:sz="4" w:space="0"/>
              <w:bottom w:val="nil"/>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纽约 (美分/加仑)</w:t>
            </w:r>
          </w:p>
        </w:tc>
        <w:tc>
          <w:tcPr>
            <w:tcW w:w="1830" w:type="dxa"/>
            <w:tcBorders>
              <w:top w:val="single" w:color="000000" w:sz="4" w:space="0"/>
              <w:left w:val="single" w:color="000000" w:sz="4" w:space="0"/>
              <w:bottom w:val="nil"/>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鹿特丹(美元/吨)</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11月11日</w:t>
            </w:r>
          </w:p>
        </w:tc>
        <w:tc>
          <w:tcPr>
            <w:tcW w:w="2085"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444.00 </w:t>
            </w:r>
          </w:p>
        </w:tc>
        <w:tc>
          <w:tcPr>
            <w:tcW w:w="195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124.84 </w:t>
            </w:r>
          </w:p>
        </w:tc>
        <w:tc>
          <w:tcPr>
            <w:tcW w:w="183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422.00 </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11月10日</w:t>
            </w:r>
          </w:p>
        </w:tc>
        <w:tc>
          <w:tcPr>
            <w:tcW w:w="2085"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424.00 </w:t>
            </w:r>
          </w:p>
        </w:tc>
        <w:tc>
          <w:tcPr>
            <w:tcW w:w="195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126.66 </w:t>
            </w:r>
          </w:p>
        </w:tc>
        <w:tc>
          <w:tcPr>
            <w:tcW w:w="183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414.00 </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11月9日</w:t>
            </w:r>
          </w:p>
        </w:tc>
        <w:tc>
          <w:tcPr>
            <w:tcW w:w="2085"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401.00 </w:t>
            </w:r>
          </w:p>
        </w:tc>
        <w:tc>
          <w:tcPr>
            <w:tcW w:w="195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123.32 </w:t>
            </w:r>
          </w:p>
        </w:tc>
        <w:tc>
          <w:tcPr>
            <w:tcW w:w="183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409.50 </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11月6日</w:t>
            </w:r>
          </w:p>
        </w:tc>
        <w:tc>
          <w:tcPr>
            <w:tcW w:w="2085"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394.00 </w:t>
            </w:r>
          </w:p>
        </w:tc>
        <w:tc>
          <w:tcPr>
            <w:tcW w:w="195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116.44 </w:t>
            </w:r>
          </w:p>
        </w:tc>
        <w:tc>
          <w:tcPr>
            <w:tcW w:w="183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382.50 </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11月5日</w:t>
            </w:r>
          </w:p>
        </w:tc>
        <w:tc>
          <w:tcPr>
            <w:tcW w:w="2085"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401.00 </w:t>
            </w:r>
          </w:p>
        </w:tc>
        <w:tc>
          <w:tcPr>
            <w:tcW w:w="195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119.59 </w:t>
            </w:r>
          </w:p>
        </w:tc>
        <w:tc>
          <w:tcPr>
            <w:tcW w:w="183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389.00 </w:t>
            </w:r>
          </w:p>
        </w:tc>
      </w:tr>
    </w:tbl>
    <w:p>
      <w:pPr>
        <w:pStyle w:val="2"/>
        <w:numPr>
          <w:ilvl w:val="0"/>
          <w:numId w:val="0"/>
        </w:numPr>
        <w:spacing w:before="120" w:after="0" w:line="240" w:lineRule="auto"/>
        <w:rPr>
          <w:rFonts w:hint="eastAsia"/>
          <w:b/>
          <w:lang w:eastAsia="zh-CN"/>
        </w:rPr>
      </w:pPr>
    </w:p>
    <w:p>
      <w:pPr>
        <w:pStyle w:val="2"/>
        <w:numPr>
          <w:ilvl w:val="0"/>
          <w:numId w:val="0"/>
        </w:numPr>
        <w:spacing w:before="120" w:after="0" w:line="240" w:lineRule="auto"/>
        <w:rPr>
          <w:rFonts w:hint="eastAsia"/>
          <w:b/>
        </w:rPr>
      </w:pPr>
      <w:r>
        <w:rPr>
          <w:rFonts w:hint="eastAsia"/>
          <w:b/>
          <w:lang w:eastAsia="zh-CN"/>
        </w:rPr>
        <w:t>三、</w:t>
      </w:r>
      <w:r>
        <w:rPr>
          <w:rFonts w:hint="eastAsia"/>
          <w:b/>
        </w:rPr>
        <w:t>本周国内市场</w:t>
      </w:r>
      <w:bookmarkEnd w:id="9"/>
    </w:p>
    <w:p>
      <w:pPr>
        <w:numPr>
          <w:ilvl w:val="0"/>
          <w:numId w:val="0"/>
        </w:numPr>
      </w:pPr>
    </w:p>
    <w:p>
      <w:pPr>
        <w:pStyle w:val="3"/>
        <w:spacing w:before="120" w:after="120" w:line="240" w:lineRule="auto"/>
      </w:pPr>
      <w:bookmarkStart w:id="10" w:name="_Toc4499"/>
      <w:r>
        <w:rPr>
          <w:rFonts w:hint="eastAsia" w:ascii="宋体" w:hAnsi="宋体"/>
          <w:b/>
          <w:sz w:val="30"/>
          <w:szCs w:val="30"/>
          <w:highlight w:val="none"/>
        </w:rPr>
        <w:t>3.1 国内炼厂装置运行情况</w:t>
      </w:r>
      <w:bookmarkEnd w:id="10"/>
    </w:p>
    <w:p>
      <w:pPr>
        <w:rPr>
          <w:rFonts w:hint="eastAsia" w:ascii="宋体" w:hAnsi="宋体"/>
          <w:sz w:val="28"/>
          <w:szCs w:val="28"/>
          <w:highlight w:val="none"/>
        </w:rPr>
      </w:pPr>
      <w:r>
        <w:rPr>
          <w:rFonts w:hint="eastAsia" w:ascii="宋体" w:hAnsi="宋体"/>
          <w:sz w:val="28"/>
          <w:szCs w:val="28"/>
          <w:highlight w:val="none"/>
        </w:rPr>
        <w:t>（1）国内主营炼厂装置检修情况</w:t>
      </w:r>
    </w:p>
    <w:tbl>
      <w:tblPr>
        <w:tblStyle w:val="24"/>
        <w:tblW w:w="9402"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569"/>
        <w:gridCol w:w="1627"/>
        <w:gridCol w:w="1841"/>
        <w:gridCol w:w="2220"/>
        <w:gridCol w:w="214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1569" w:type="dxa"/>
            <w:tcBorders>
              <w:top w:val="single" w:color="000000" w:sz="6" w:space="0"/>
              <w:left w:val="single" w:color="000000" w:sz="6" w:space="0"/>
              <w:bottom w:val="single" w:color="000000" w:sz="6" w:space="0"/>
              <w:right w:val="single" w:color="000000" w:sz="6" w:space="0"/>
            </w:tcBorders>
            <w:shd w:val="clear" w:color="auto" w:fill="00B0F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炼厂名称</w:t>
            </w:r>
          </w:p>
        </w:tc>
        <w:tc>
          <w:tcPr>
            <w:tcW w:w="1627" w:type="dxa"/>
            <w:tcBorders>
              <w:top w:val="single" w:color="000000" w:sz="6" w:space="0"/>
              <w:left w:val="single" w:color="000000" w:sz="6" w:space="0"/>
              <w:bottom w:val="single" w:color="000000" w:sz="6" w:space="0"/>
              <w:right w:val="single" w:color="000000" w:sz="6" w:space="0"/>
            </w:tcBorders>
            <w:shd w:val="clear" w:color="auto" w:fill="00B0F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检修装置</w:t>
            </w:r>
          </w:p>
        </w:tc>
        <w:tc>
          <w:tcPr>
            <w:tcW w:w="1841" w:type="dxa"/>
            <w:tcBorders>
              <w:top w:val="single" w:color="000000" w:sz="6" w:space="0"/>
              <w:left w:val="single" w:color="000000" w:sz="6" w:space="0"/>
              <w:bottom w:val="single" w:color="000000" w:sz="6" w:space="0"/>
              <w:right w:val="single" w:color="000000" w:sz="6" w:space="0"/>
            </w:tcBorders>
            <w:shd w:val="clear" w:color="auto" w:fill="00B0F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装置能力（万吨）</w:t>
            </w:r>
          </w:p>
        </w:tc>
        <w:tc>
          <w:tcPr>
            <w:tcW w:w="2220" w:type="dxa"/>
            <w:tcBorders>
              <w:top w:val="single" w:color="000000" w:sz="6" w:space="0"/>
              <w:left w:val="single" w:color="000000" w:sz="6" w:space="0"/>
              <w:bottom w:val="single" w:color="000000" w:sz="6" w:space="0"/>
              <w:right w:val="single" w:color="000000" w:sz="6" w:space="0"/>
            </w:tcBorders>
            <w:shd w:val="clear" w:color="auto" w:fill="00B0F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开始时间</w:t>
            </w:r>
          </w:p>
        </w:tc>
        <w:tc>
          <w:tcPr>
            <w:tcW w:w="2145" w:type="dxa"/>
            <w:tcBorders>
              <w:top w:val="single" w:color="000000" w:sz="6" w:space="0"/>
              <w:left w:val="single" w:color="000000" w:sz="6" w:space="0"/>
              <w:bottom w:val="single" w:color="000000" w:sz="6" w:space="0"/>
              <w:right w:val="single" w:color="000000" w:sz="6" w:space="0"/>
            </w:tcBorders>
            <w:shd w:val="clear" w:color="auto" w:fill="00B0F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结束时间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燕山石化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300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2020年3月下旬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2020年5月上旬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燕山石化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3#催化裂化</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2020年3月下旬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2020年5月上旬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塔河石化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2020年3月中旬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2020年4月下旬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塔河石化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延迟焦化</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120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2020年3月中旬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2020年4月下旬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上海石化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350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2020年3月中旬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2020年4月初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上海石化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3#柴油加氢</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330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2020年3月中旬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2020年4月初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镇海炼化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800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2020年3月中旬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2020年4月底</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镇海炼化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2020年5月中旬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2020年7月初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茂名石化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500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2020年2月中旬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2020年4月中旬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茂名石化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500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2020年7月中旬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2020年8月中旬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北海炼化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全厂检修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650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2020年2月中旬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2020年5月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天津石化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全厂检修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1250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2020年5月</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2020年7月初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齐鲁石化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800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2020年9中上旬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2020年10月底</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武汉石化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全厂检修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850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2020年10中上旬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2020年12月中旬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青岛石化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全厂检修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500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2020年10中旬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2020年12月初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大连石化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全厂装置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2020年4月上旬陆续停</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2020年7月初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广西石化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全厂装置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2020/2/9</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2020年5月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宁夏石化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全厂检修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500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2020年7月初</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2020年8月中旬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云南石化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全厂检修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1300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2020年12月中上旬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2021年1月底</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锦西石化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全厂检修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700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2020年7月中上旬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2020年9月底</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惠州炼厂</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二期</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1000</w:t>
            </w:r>
          </w:p>
        </w:tc>
        <w:tc>
          <w:tcPr>
            <w:tcW w:w="4365"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检修延至2021年2月-4月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中海油气(泰州)</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全厂检修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2020年3月中旬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2020年4月下旬</w:t>
            </w:r>
          </w:p>
        </w:tc>
      </w:tr>
    </w:tbl>
    <w:p>
      <w:pPr>
        <w:numPr>
          <w:ilvl w:val="0"/>
          <w:numId w:val="0"/>
        </w:numPr>
        <w:rPr>
          <w:rFonts w:hint="eastAsia" w:ascii="宋体" w:hAnsi="宋体"/>
          <w:sz w:val="28"/>
          <w:szCs w:val="28"/>
          <w:highlight w:val="none"/>
        </w:rPr>
      </w:pPr>
    </w:p>
    <w:p>
      <w:pPr>
        <w:numPr>
          <w:ilvl w:val="0"/>
          <w:numId w:val="3"/>
        </w:numPr>
        <w:rPr>
          <w:rFonts w:hint="eastAsia" w:ascii="宋体" w:hAnsi="宋体"/>
          <w:sz w:val="28"/>
          <w:szCs w:val="28"/>
          <w:highlight w:val="none"/>
        </w:rPr>
      </w:pPr>
      <w:r>
        <w:rPr>
          <w:rFonts w:hint="eastAsia" w:ascii="宋体" w:hAnsi="宋体"/>
          <w:sz w:val="28"/>
          <w:szCs w:val="28"/>
          <w:highlight w:val="none"/>
        </w:rPr>
        <w:t>国内地方炼厂装置检修情况</w:t>
      </w:r>
    </w:p>
    <w:tbl>
      <w:tblPr>
        <w:tblStyle w:val="24"/>
        <w:tblW w:w="9522" w:type="dxa"/>
        <w:tblInd w:w="0" w:type="dxa"/>
        <w:shd w:val="clear" w:color="auto" w:fill="auto"/>
        <w:tblLayout w:type="autofit"/>
        <w:tblCellMar>
          <w:top w:w="0" w:type="dxa"/>
          <w:left w:w="0" w:type="dxa"/>
          <w:bottom w:w="0" w:type="dxa"/>
          <w:right w:w="0" w:type="dxa"/>
        </w:tblCellMar>
      </w:tblPr>
      <w:tblGrid>
        <w:gridCol w:w="1782"/>
        <w:gridCol w:w="1188"/>
        <w:gridCol w:w="1890"/>
        <w:gridCol w:w="2385"/>
        <w:gridCol w:w="2277"/>
      </w:tblGrid>
      <w:tr>
        <w:tblPrEx>
          <w:shd w:val="clear" w:color="auto" w:fill="auto"/>
          <w:tblCellMar>
            <w:top w:w="0" w:type="dxa"/>
            <w:left w:w="0" w:type="dxa"/>
            <w:bottom w:w="0" w:type="dxa"/>
            <w:right w:w="0" w:type="dxa"/>
          </w:tblCellMar>
        </w:tblPrEx>
        <w:trPr>
          <w:trHeight w:val="240" w:hRule="atLeast"/>
        </w:trPr>
        <w:tc>
          <w:tcPr>
            <w:tcW w:w="1782"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炼厂名称</w:t>
            </w:r>
          </w:p>
        </w:tc>
        <w:tc>
          <w:tcPr>
            <w:tcW w:w="1188"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检修装置</w:t>
            </w:r>
          </w:p>
        </w:tc>
        <w:tc>
          <w:tcPr>
            <w:tcW w:w="189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检修产能（万吨）</w:t>
            </w:r>
          </w:p>
        </w:tc>
        <w:tc>
          <w:tcPr>
            <w:tcW w:w="238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停工时间</w:t>
            </w:r>
          </w:p>
        </w:tc>
        <w:tc>
          <w:tcPr>
            <w:tcW w:w="2277"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开工时间</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海右(晨曦)石化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焦化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60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2019年9月1</w:t>
            </w:r>
            <w:r>
              <w:rPr>
                <w:rFonts w:hint="eastAsia" w:ascii="宋体" w:hAnsi="宋体" w:cs="宋体"/>
                <w:i w:val="0"/>
                <w:color w:val="000000"/>
                <w:kern w:val="0"/>
                <w:sz w:val="21"/>
                <w:szCs w:val="21"/>
                <w:u w:val="none"/>
                <w:lang w:val="en-US" w:eastAsia="zh-CN" w:bidi="ar"/>
              </w:rPr>
              <w:t>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w:t>
            </w:r>
            <w:r>
              <w:rPr>
                <w:rFonts w:hint="eastAsia" w:ascii="宋体" w:hAnsi="宋体" w:cs="宋体"/>
                <w:i w:val="0"/>
                <w:color w:val="000000"/>
                <w:kern w:val="0"/>
                <w:sz w:val="21"/>
                <w:szCs w:val="21"/>
                <w:u w:val="none"/>
                <w:lang w:val="en-US" w:eastAsia="zh-CN" w:bidi="ar"/>
              </w:rPr>
              <w:t>20</w:t>
            </w:r>
            <w:r>
              <w:rPr>
                <w:rFonts w:hint="eastAsia" w:ascii="宋体" w:hAnsi="宋体" w:eastAsia="宋体" w:cs="宋体"/>
                <w:i w:val="0"/>
                <w:color w:val="000000"/>
                <w:kern w:val="0"/>
                <w:sz w:val="21"/>
                <w:szCs w:val="21"/>
                <w:u w:val="none"/>
                <w:lang w:val="en-US" w:eastAsia="zh-CN" w:bidi="ar"/>
              </w:rPr>
              <w:t>年</w:t>
            </w:r>
            <w:r>
              <w:rPr>
                <w:rFonts w:hint="eastAsia" w:ascii="宋体" w:hAnsi="宋体" w:cs="宋体"/>
                <w:i w:val="0"/>
                <w:color w:val="000000"/>
                <w:kern w:val="0"/>
                <w:sz w:val="21"/>
                <w:szCs w:val="21"/>
                <w:u w:val="none"/>
                <w:lang w:val="en-US" w:eastAsia="zh-CN" w:bidi="ar"/>
              </w:rPr>
              <w:t>6</w:t>
            </w:r>
            <w:r>
              <w:rPr>
                <w:rFonts w:hint="eastAsia" w:ascii="宋体" w:hAnsi="宋体" w:eastAsia="宋体" w:cs="宋体"/>
                <w:i w:val="0"/>
                <w:color w:val="000000"/>
                <w:kern w:val="0"/>
                <w:sz w:val="21"/>
                <w:szCs w:val="21"/>
                <w:u w:val="none"/>
                <w:lang w:val="en-US" w:eastAsia="zh-CN" w:bidi="ar"/>
              </w:rPr>
              <w:t>月1</w:t>
            </w:r>
            <w:r>
              <w:rPr>
                <w:rFonts w:hint="eastAsia" w:ascii="宋体" w:hAnsi="宋体" w:cs="宋体"/>
                <w:i w:val="0"/>
                <w:color w:val="000000"/>
                <w:kern w:val="0"/>
                <w:sz w:val="21"/>
                <w:szCs w:val="21"/>
                <w:u w:val="none"/>
                <w:lang w:val="en-US" w:eastAsia="zh-CN" w:bidi="ar"/>
              </w:rPr>
              <w:t>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海右(晨曦)石化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加氢</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60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2019年9月1</w:t>
            </w:r>
            <w:r>
              <w:rPr>
                <w:rFonts w:hint="eastAsia" w:ascii="宋体" w:hAnsi="宋体" w:cs="宋体"/>
                <w:i w:val="0"/>
                <w:color w:val="000000"/>
                <w:kern w:val="0"/>
                <w:sz w:val="21"/>
                <w:szCs w:val="21"/>
                <w:u w:val="none"/>
                <w:lang w:val="en-US" w:eastAsia="zh-CN" w:bidi="ar"/>
              </w:rPr>
              <w:t>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w:t>
            </w:r>
            <w:r>
              <w:rPr>
                <w:rFonts w:hint="eastAsia" w:ascii="宋体" w:hAnsi="宋体" w:cs="宋体"/>
                <w:i w:val="0"/>
                <w:color w:val="000000"/>
                <w:kern w:val="0"/>
                <w:sz w:val="21"/>
                <w:szCs w:val="21"/>
                <w:u w:val="none"/>
                <w:lang w:val="en-US" w:eastAsia="zh-CN" w:bidi="ar"/>
              </w:rPr>
              <w:t>20</w:t>
            </w:r>
            <w:r>
              <w:rPr>
                <w:rFonts w:hint="eastAsia" w:ascii="宋体" w:hAnsi="宋体" w:eastAsia="宋体" w:cs="宋体"/>
                <w:i w:val="0"/>
                <w:color w:val="000000"/>
                <w:kern w:val="0"/>
                <w:sz w:val="21"/>
                <w:szCs w:val="21"/>
                <w:u w:val="none"/>
                <w:lang w:val="en-US" w:eastAsia="zh-CN" w:bidi="ar"/>
              </w:rPr>
              <w:t>年</w:t>
            </w:r>
            <w:r>
              <w:rPr>
                <w:rFonts w:hint="eastAsia" w:ascii="宋体" w:hAnsi="宋体" w:cs="宋体"/>
                <w:i w:val="0"/>
                <w:color w:val="000000"/>
                <w:kern w:val="0"/>
                <w:sz w:val="21"/>
                <w:szCs w:val="21"/>
                <w:u w:val="none"/>
                <w:lang w:val="en-US" w:eastAsia="zh-CN" w:bidi="ar"/>
              </w:rPr>
              <w:t>6</w:t>
            </w:r>
            <w:r>
              <w:rPr>
                <w:rFonts w:hint="eastAsia" w:ascii="宋体" w:hAnsi="宋体" w:eastAsia="宋体" w:cs="宋体"/>
                <w:i w:val="0"/>
                <w:color w:val="000000"/>
                <w:kern w:val="0"/>
                <w:sz w:val="21"/>
                <w:szCs w:val="21"/>
                <w:u w:val="none"/>
                <w:lang w:val="en-US" w:eastAsia="zh-CN" w:bidi="ar"/>
              </w:rPr>
              <w:t>月1</w:t>
            </w:r>
            <w:r>
              <w:rPr>
                <w:rFonts w:hint="eastAsia" w:ascii="宋体" w:hAnsi="宋体" w:cs="宋体"/>
                <w:i w:val="0"/>
                <w:color w:val="000000"/>
                <w:kern w:val="0"/>
                <w:sz w:val="21"/>
                <w:szCs w:val="21"/>
                <w:u w:val="none"/>
                <w:lang w:val="en-US" w:eastAsia="zh-CN" w:bidi="ar"/>
              </w:rPr>
              <w:t>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海右(晨曦)石化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2018年5月1日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cs="宋体"/>
                <w:i w:val="0"/>
                <w:color w:val="000000"/>
                <w:kern w:val="0"/>
                <w:sz w:val="21"/>
                <w:szCs w:val="21"/>
                <w:u w:val="none"/>
                <w:lang w:val="en-US" w:eastAsia="zh-CN" w:bidi="ar"/>
              </w:rPr>
              <w:t>2020年7月25日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万通石化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全厂检修</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650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2019年9月14日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2020年3月16日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岚桥石化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全厂检修</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2019年9月10日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cs="宋体"/>
                <w:i w:val="0"/>
                <w:color w:val="000000"/>
                <w:kern w:val="0"/>
                <w:sz w:val="21"/>
                <w:szCs w:val="21"/>
                <w:u w:val="none"/>
                <w:lang w:val="en-US" w:eastAsia="zh-CN" w:bidi="ar"/>
              </w:rPr>
              <w:t>2020年5月10日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滨阳燃化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cs="宋体"/>
                <w:i w:val="0"/>
                <w:color w:val="000000"/>
                <w:kern w:val="0"/>
                <w:sz w:val="21"/>
                <w:szCs w:val="21"/>
                <w:u w:val="none"/>
                <w:lang w:val="en-US" w:eastAsia="zh-CN" w:bidi="ar"/>
              </w:rPr>
              <w:t>250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2020年2月8日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2020年2月27日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汇丰石化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230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2019年11月18日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2020年3月30日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奥星(亨润德)石化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2019年12月23日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2020年1月22日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海化石化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240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2019年12月26日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cs="宋体"/>
                <w:i w:val="0"/>
                <w:color w:val="000000"/>
                <w:kern w:val="0"/>
                <w:sz w:val="21"/>
                <w:szCs w:val="21"/>
                <w:u w:val="none"/>
                <w:lang w:val="en-US" w:eastAsia="zh-CN" w:bidi="ar"/>
              </w:rPr>
              <w:t>2020年7月26日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中海精细化工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全厂检修</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230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2020年1月12日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2020年3月28日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万达天弘</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500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2020年1月18日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cs="宋体"/>
                <w:i w:val="0"/>
                <w:color w:val="000000"/>
                <w:kern w:val="0"/>
                <w:sz w:val="21"/>
                <w:szCs w:val="21"/>
                <w:u w:val="none"/>
                <w:lang w:val="en-US" w:eastAsia="zh-CN" w:bidi="ar"/>
              </w:rPr>
              <w:t>2020年3月20日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恒源石化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2020年1月28日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2020年2月29日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富宇化工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2020年4月2</w:t>
            </w:r>
            <w:r>
              <w:rPr>
                <w:rFonts w:hint="eastAsia" w:ascii="宋体" w:hAnsi="宋体" w:cs="宋体"/>
                <w:i w:val="0"/>
                <w:color w:val="000000"/>
                <w:kern w:val="0"/>
                <w:sz w:val="21"/>
                <w:szCs w:val="21"/>
                <w:u w:val="none"/>
                <w:lang w:val="en-US" w:eastAsia="zh-CN" w:bidi="ar"/>
              </w:rPr>
              <w:t>9</w:t>
            </w:r>
            <w:r>
              <w:rPr>
                <w:rFonts w:hint="eastAsia" w:ascii="宋体" w:hAnsi="宋体" w:eastAsia="宋体" w:cs="宋体"/>
                <w:i w:val="0"/>
                <w:color w:val="000000"/>
                <w:kern w:val="0"/>
                <w:sz w:val="21"/>
                <w:szCs w:val="21"/>
                <w:u w:val="none"/>
                <w:lang w:val="en-US" w:eastAsia="zh-CN" w:bidi="ar"/>
              </w:rPr>
              <w:t>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中海沥青滨州</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2020年3月9日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亚通石化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焦化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2020年1月27日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2020年2月15日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东方华龙</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催化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待定</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东方华龙</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汽油加氢</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40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待定</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尚能石化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2020年3月8日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神驰化工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260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2020年2月4日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2020年3月16日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玉皇盛世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2020年2月3日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2020年3月4日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滨阳燃化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2020年2月8日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2020年2月27日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寿光联盟</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2020年2月10日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2020年2月28日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金诚石化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230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2020年2月10日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2020年3月27日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胜星化工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380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2020年2月10日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2020年3月12日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科力达石化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2020年2月10日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2020年2月28日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华星石化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2020年2月11日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2020年3月20日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正和石化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2020年2月11日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2020年3月20日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昌邑石化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2020年2月14日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2020年3月16日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无棣鑫岳</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2020年2月16日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2020年3月9日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中海沥青滨州</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2020年2月19日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2020年3月9日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华联石化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2020年3月20日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2020年4月</w:t>
            </w:r>
            <w:r>
              <w:rPr>
                <w:rFonts w:hint="eastAsia" w:ascii="宋体" w:hAnsi="宋体" w:cs="宋体"/>
                <w:i w:val="0"/>
                <w:color w:val="000000"/>
                <w:kern w:val="0"/>
                <w:sz w:val="21"/>
                <w:szCs w:val="21"/>
                <w:u w:val="none"/>
                <w:lang w:val="en-US" w:eastAsia="zh-CN" w:bidi="ar"/>
              </w:rPr>
              <w:t>29</w:t>
            </w:r>
            <w:r>
              <w:rPr>
                <w:rFonts w:hint="eastAsia" w:ascii="宋体" w:hAnsi="宋体" w:eastAsia="宋体" w:cs="宋体"/>
                <w:i w:val="0"/>
                <w:color w:val="000000"/>
                <w:kern w:val="0"/>
                <w:sz w:val="21"/>
                <w:szCs w:val="21"/>
                <w:u w:val="none"/>
                <w:lang w:val="en-US" w:eastAsia="zh-CN" w:bidi="ar"/>
              </w:rPr>
              <w:t>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永鑫化工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w:t>
            </w:r>
            <w:r>
              <w:rPr>
                <w:rFonts w:hint="eastAsia" w:ascii="宋体" w:hAnsi="宋体" w:eastAsia="宋体" w:cs="宋体"/>
                <w:i w:val="0"/>
                <w:color w:val="000000"/>
                <w:kern w:val="0"/>
                <w:sz w:val="21"/>
                <w:szCs w:val="21"/>
                <w:u w:val="none"/>
                <w:lang w:val="en-US" w:eastAsia="zh-CN" w:bidi="ar"/>
              </w:rPr>
              <w:t>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w:t>
            </w:r>
            <w:r>
              <w:rPr>
                <w:rFonts w:hint="eastAsia" w:ascii="宋体" w:hAnsi="宋体" w:cs="宋体"/>
                <w:i w:val="0"/>
                <w:color w:val="000000"/>
                <w:kern w:val="0"/>
                <w:sz w:val="21"/>
                <w:szCs w:val="21"/>
                <w:u w:val="none"/>
                <w:lang w:val="en-US" w:eastAsia="zh-CN" w:bidi="ar"/>
              </w:rPr>
              <w:t>5月初</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2020年5月20日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永鑫化工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催化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160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2020年3月15日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2020年5月1日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金诚石化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230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2020年5月18日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待定</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汇丰石化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焦化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2020年6月1日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2020年7月20日左右</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汇丰石化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柴油加氢</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2020年6月1日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2020年7月20日左右</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奥星石化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全厂检修</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2020年6月23日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2020年7月20日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金诚石化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360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2020年7月初</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2020年8月16日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恒源石化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催化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140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2020年7月30日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计划2020年9月份</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科力达石化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2020年2月10日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2020年2月28日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富宇化工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2020年8月4日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2020年8月7日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中海精细化工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230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2020年8月6日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后期装置拆除</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玉皇盛世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2020年8月17日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后期装置拆除</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无棣鑫岳</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240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2020年8月12日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10" w:firstLineChars="100"/>
              <w:jc w:val="both"/>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2020年9月13日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中海东营石化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500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2020年9月3日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10" w:firstLineChars="100"/>
              <w:jc w:val="both"/>
              <w:textAlignment w:val="center"/>
              <w:rPr>
                <w:rFonts w:hint="default"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2020年10月14日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神驰化工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催化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120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2020年10月8日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10" w:firstLineChars="100"/>
              <w:jc w:val="both"/>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2020年10月18日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昌邑石化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催化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180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2020年10月5日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10" w:firstLineChars="100"/>
              <w:jc w:val="both"/>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2020年10月15日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齐成石化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催化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140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2020年10月1日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10" w:firstLineChars="100"/>
              <w:jc w:val="both"/>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2020年10月9日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恒源石化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焦化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100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2020年10月7日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10" w:firstLineChars="100"/>
              <w:jc w:val="both"/>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2020年10月23日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无棣鑫岳</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焦化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60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2020年10月26日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00" w:firstLineChars="100"/>
              <w:jc w:val="left"/>
              <w:textAlignment w:val="center"/>
              <w:rPr>
                <w:rFonts w:hint="default" w:ascii="宋体" w:hAnsi="宋体" w:cs="宋体"/>
                <w:i w:val="0"/>
                <w:color w:val="auto"/>
                <w:kern w:val="0"/>
                <w:sz w:val="21"/>
                <w:szCs w:val="21"/>
                <w:u w:val="none"/>
                <w:lang w:val="en-US" w:eastAsia="zh-CN" w:bidi="ar"/>
              </w:rPr>
            </w:pPr>
            <w:r>
              <w:rPr>
                <w:rFonts w:hint="eastAsia" w:ascii="宋体" w:hAnsi="宋体" w:cs="宋体"/>
                <w:i w:val="0"/>
                <w:color w:val="auto"/>
                <w:kern w:val="0"/>
                <w:sz w:val="20"/>
                <w:szCs w:val="20"/>
                <w:u w:val="none"/>
                <w:lang w:val="en-US" w:eastAsia="zh-CN" w:bidi="ar"/>
              </w:rPr>
              <w:t>计划2020年11月中旬</w:t>
            </w:r>
          </w:p>
        </w:tc>
      </w:tr>
    </w:tbl>
    <w:p>
      <w:pPr>
        <w:numPr>
          <w:ilvl w:val="0"/>
          <w:numId w:val="0"/>
        </w:numPr>
        <w:jc w:val="center"/>
        <w:rPr>
          <w:rFonts w:hint="eastAsia" w:ascii="宋体" w:hAnsi="宋体"/>
          <w:sz w:val="28"/>
          <w:szCs w:val="28"/>
          <w:highlight w:val="none"/>
        </w:rPr>
      </w:pPr>
    </w:p>
    <w:p>
      <w:pPr>
        <w:rPr>
          <w:rFonts w:hint="eastAsia"/>
        </w:rPr>
      </w:pPr>
    </w:p>
    <w:p>
      <w:pPr>
        <w:pStyle w:val="3"/>
        <w:spacing w:before="120" w:after="120" w:line="240" w:lineRule="auto"/>
        <w:rPr>
          <w:rFonts w:hint="eastAsia" w:ascii="宋体" w:hAnsi="宋体"/>
          <w:b/>
          <w:sz w:val="30"/>
          <w:szCs w:val="30"/>
          <w:highlight w:val="none"/>
        </w:rPr>
      </w:pPr>
      <w:bookmarkStart w:id="11" w:name="_Toc23841"/>
      <w:r>
        <w:rPr>
          <w:rFonts w:hint="eastAsia" w:ascii="宋体" w:hAnsi="宋体"/>
          <w:b/>
          <w:sz w:val="30"/>
          <w:szCs w:val="30"/>
          <w:highlight w:val="none"/>
        </w:rPr>
        <w:t>3.2本周成品油市场行情</w:t>
      </w:r>
      <w:bookmarkEnd w:id="11"/>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bookmarkStart w:id="12" w:name="_Toc17420"/>
      <w:r>
        <w:rPr>
          <w:rFonts w:hint="eastAsia" w:asciiTheme="minorEastAsia" w:hAnsiTheme="minorEastAsia" w:eastAsiaTheme="minorEastAsia" w:cstheme="minorEastAsia"/>
          <w:color w:val="333335"/>
          <w:kern w:val="2"/>
          <w:sz w:val="28"/>
          <w:szCs w:val="28"/>
          <w:shd w:val="clear" w:color="auto" w:fill="FFFFFF"/>
        </w:rPr>
        <w:t>本周，国际原油期货跌后反弹，据测算第五个工作日参考原油变化率为4.01%。受此影响，国内成品油市场购销氛围尚可，各地主营单位汽柴油价格上调。与此同时，山东地炼成品油行情先扬后抑，炼厂主流成交优惠100元/吨左右。具体来看出货方面：周初，受原油弱势打压，买卖双方操作谨慎，场内成交多以散户小单为主。随后，原油反弹提振业者心态，下游商家采购积极性提升，各炼厂在出货好转之际顺势推价。然而好景不长，目前终端消费能力不足导致社会单位库存高企，中间商大单囤货操作甚少，仅少数下游用户适量补货，因此临近周末地炼整体出货量锐减，周期内平均产销比在80-90%左右。</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(11月6日-11月12日)消息面转向利好，华中地区区内油价止跌反弹。具体分析如下，周初国际油价弱势震荡，加之零售价刚刚兑现下调，消息面难寻支撑。加之前期主营价格虚高，市场购进力度有限，为进一步冲击销量，各单位时有降价操作。不过随着新冠疫苗取得积极进展，国际油价宽幅上涨，新一轮变化率正向区间加深，消息面对市场提振明显。受此支撑，区内油价转为上行走势，且因柴油需求尚可，价格涨势尤为突出。下游入市心态稍有改善，部分消库之余择低备货，购销气氛温和向好。后市来看，国际油价或维持震荡小涨走势，本轮零售价上调概率较大，消息面或维持利好指向。不过需求端支撑力度相对有限，预计下周区内主营成品油价格或坚挺运行，部分单位仍试探性小幅推涨报价，不过下游业者接货力度或显不足，主营实盘成交仍将维持宽松优惠。</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(11月6日-11月12日)，原油走势大幅反弹，华北地区区内汽柴先跌后涨。本周初国际油价走势低迷，国内调价预期维持搁浅，市场消息面支持受限，下游入市心态不高，主营出货压力较大，区内油价稳中小幅下行，幅度多在30-100元/吨，市场购销气氛维持低迷。周内国际油价走势“三连阳”，国内调价预期由搁浅转为上调，且上调预期不断拉宽，区内主营推价心态渐起，幅度多在50-100元/吨，但实际成交多延续优惠，部分单位趁机促销走量，下游适度备货，低价资源出货进度向好，市场大单操作仍显谨慎。后市而言，国际油市近期利好因素暂时消耗殆尽，需求前景恶化压制油价继续反弹空间，市场寄希望于疫苗研制进度，预计下周原油走势稳中整理为主。本周原油走势大幅上涨奠定本轮调价上调基调，预计区内油价下周维持坚挺，但主营月内销售进度依旧较重，市场销售政策继续灵活应市为主，不排除个别市场为刺激出货限时促销的可能。</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(11月6日-11月12日)，华东地区成品油行情整体呈柴涨汽跌，市场信心虽大幅提振，但整体成交表现平平。具体来看，周内国际油价暴涨近12%，消息面利好因素偏多，原油变化率正向延伸。与此同时，山东地炼汽柴油均价小幅上涨，令主营外采价格上涨，下游业者购进氛围浓厚，成交温和。受原油连涨因素影响，区域内各主营单位均上调汽柴油价格，上调幅度在50-300元/吨不等，但部分主营下调汽油价格，下调幅度在50-100元/吨不等，市场信心虽大幅提振，但部分主营单位销售政策倾斜，以控制客存量为主，销售意向不高，业者入市补货按需为主，整体成交表现平平。后期来看，国际原油或震荡小涨，消息面或存有支撑，但区内柴油需求旺盛，汽油需求平淡，后期柴油价格或延续上涨态势，汽油价格或保持稳定，故预计短期内华东地区成品油价格或窄幅波动为主。</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(11月5日-11月12日)，华南地区汽柴油市场整体维持震荡上涨走势，市场交投气氛较上周有所好转。具体来看，周内国际原油市场连续强势走高，对国内油价形成利好支撑，广东地区主营销售公司趁势推涨，柴油市场涨势明显，部分低库存厂家适当补仓，市场成交价同步跟涨，不过正处需求淡季，整体需求量逐步减少，大单操作谨慎。福建地区汽柴油市场维持稳中上涨走势，实际成交面依旧维持清淡局面，据销售公司表示，目前仍保利为主，成交优惠幅度有限。受原油持续走高提振，成品油上调预期不断拉宽，消息面对后期油价走势形成正向指导，不过原油持续上涨动力不足，加之终端企业基本补仓结束，短期内市场将回归平稳局面，价格面维持涨后守稳走势。</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(11月6日-11月12日)，西北地炼柴油行情走高，汽油行情维持平稳。分析来看：周内国际油价涨幅明显，变化率正向区间延伸，本轮零售价上调为大概率事件，消息面利好对市场较有支撑。与此同时，工程基建等行业积极赶工，且物流运输亦活跃，柴油需求仍有提升。销售公司库存压力不大，因此柴油价格上推100元/吨;汽油方面，近期暂无节假日提振，且随着天气转冷，私家车出行减少，下游需求逐步转淡，销售公司出货一般，汽油价格仍维持平稳。业者按需补货，柴油成交优于汽油。就后市而言，国际油价或维持偏强震荡，下周四成品油零售价将兑现上调，消息面利好仍有支撑。此外，考虑到柴油需求旺盛，不排除地炼价格继续上推，而汽油价格缺乏上涨动力。不过，随着下游补货到位，市场成交难以持续向好。</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(11月6日-11月12日)，西南地区汽柴行情跌后反弹，市场成交略有提升。分析来看：周内国际油价连续收涨，变化率正向区间持续延伸，消息面利好增强，对市场心态较有支撑。此外，受地炼汽柴价格上涨因素影响，主营外采成本增加，因此区内价格止跌回涨。由于工程基建等行业积极赶工，且“双十一”期间物流运输活跃度大增，柴油需求较有支撑。基本面向好，主营柴油价格涨幅明显;汽油需求一般，主营推价谨慎，成交价格涨幅有限。业者操作心态有所改善，入市适量补货，局部地区成交好转。就后市而言，国际油价或维持偏强震荡，变化率正向区间波动，本轮零售价上调为大概率事件，消息面利好对市场仍有支撑，预计短期内西南地区汽柴行情仍存一定上涨空间。不过，部分地区汽柴价格涨幅明显，业者适量补货之后再度退市消库，市场成交将逐步转淡。</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后市前瞻：进入下周，在美国大选期间，如果没有新消息面的出台，原油市场或保持相对稳定的波动态势。以WTI为例，主流运行区间在36-42(均值39)美元/桶之间，环比上涨1.88美元/桶或5.06%。在缺少基本面需求支撑下，山东地区成品油行情清淡格局难以得到有效改善，建议中下游商家保持快进快出销售策略，切记盲目大量囤货。综上所述，预计山东地炼汽柴油价格稳中个别涨跌微调，幅度在50元/吨。</w:t>
      </w:r>
    </w:p>
    <w:p>
      <w:pPr>
        <w:pStyle w:val="3"/>
        <w:spacing w:before="120" w:after="120" w:line="240" w:lineRule="auto"/>
        <w:rPr>
          <w:rFonts w:ascii="宋体" w:hAnsi="宋体"/>
          <w:b/>
          <w:sz w:val="30"/>
          <w:szCs w:val="30"/>
        </w:rPr>
      </w:pPr>
      <w:r>
        <w:rPr>
          <w:rFonts w:hint="eastAsia" w:ascii="宋体" w:hAnsi="宋体"/>
          <w:b/>
          <w:sz w:val="30"/>
          <w:szCs w:val="30"/>
        </w:rPr>
        <w:t>3.3 国内汽油价格周报</w:t>
      </w:r>
      <w:bookmarkEnd w:id="12"/>
    </w:p>
    <w:p>
      <w:pPr>
        <w:rPr>
          <w:rFonts w:hint="eastAsia"/>
        </w:rPr>
      </w:pPr>
      <w:r>
        <w:rPr>
          <w:rFonts w:hint="eastAsia"/>
        </w:rPr>
        <w:t>单位：元/吨</w:t>
      </w:r>
    </w:p>
    <w:tbl>
      <w:tblPr>
        <w:tblW w:w="9615" w:type="dxa"/>
        <w:tblInd w:w="0" w:type="dxa"/>
        <w:shd w:val="clear"/>
        <w:tblLayout w:type="autofit"/>
        <w:tblCellMar>
          <w:top w:w="0" w:type="dxa"/>
          <w:left w:w="0" w:type="dxa"/>
          <w:bottom w:w="0" w:type="dxa"/>
          <w:right w:w="0" w:type="dxa"/>
        </w:tblCellMar>
      </w:tblPr>
      <w:tblGrid>
        <w:gridCol w:w="825"/>
        <w:gridCol w:w="1080"/>
        <w:gridCol w:w="1005"/>
        <w:gridCol w:w="945"/>
        <w:gridCol w:w="1080"/>
        <w:gridCol w:w="1080"/>
        <w:gridCol w:w="1080"/>
        <w:gridCol w:w="1260"/>
        <w:gridCol w:w="1260"/>
      </w:tblGrid>
      <w:tr>
        <w:tblPrEx>
          <w:shd w:val="clear"/>
          <w:tblCellMar>
            <w:top w:w="0" w:type="dxa"/>
            <w:left w:w="0" w:type="dxa"/>
            <w:bottom w:w="0" w:type="dxa"/>
            <w:right w:w="0" w:type="dxa"/>
          </w:tblCellMar>
        </w:tblPrEx>
        <w:trPr>
          <w:trHeight w:val="255" w:hRule="atLeast"/>
        </w:trPr>
        <w:tc>
          <w:tcPr>
            <w:tcW w:w="82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地区</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城市</w:t>
            </w:r>
          </w:p>
        </w:tc>
        <w:tc>
          <w:tcPr>
            <w:tcW w:w="100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企业性质</w:t>
            </w:r>
          </w:p>
        </w:tc>
        <w:tc>
          <w:tcPr>
            <w:tcW w:w="94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产品名称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涨跌</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2020/11/12</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2020/11/5</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沪Ⅳ</w:t>
            </w: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沪Ⅳ</w:t>
            </w: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沪Ⅳ</w:t>
            </w: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沪Ⅳ</w:t>
            </w: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5370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5320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5570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5520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南通市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5320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南通市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无锡市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无锡市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徐州市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徐州市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连云港市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盐城市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盐城市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宁波市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宁波市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温州市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温州市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温州市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衢州市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潮州市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潮州市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海口市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海口市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厦门市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厦门市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5240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5540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5790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6330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郑州市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5430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开封市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5540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青岛市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枣庄市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德州市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石家庄市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5420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石家庄市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5620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任丘市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5620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唐山市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230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5170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唐山市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5470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唐山市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6190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6190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6190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6190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九江市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合肥市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合肥市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武汉市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武汉市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成都市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成都市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重庆市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5530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重庆市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南宁市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南宁市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贵阳市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贵阳市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昆明市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昆明市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5680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5680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5880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5880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西安市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5250</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吉林市</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吉林中油</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吉林市</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吉林中油</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r>
    </w:tbl>
    <w:p>
      <w:pPr>
        <w:rPr>
          <w:rFonts w:hint="eastAsia"/>
        </w:rPr>
      </w:pPr>
    </w:p>
    <w:p>
      <w:pPr>
        <w:rPr>
          <w:rFonts w:hint="eastAsia"/>
        </w:rPr>
      </w:pPr>
    </w:p>
    <w:p>
      <w:pPr>
        <w:rPr>
          <w:rFonts w:hint="eastAsia"/>
          <w:bCs/>
          <w:szCs w:val="21"/>
          <w:lang w:val="en-US" w:eastAsia="zh-CN"/>
        </w:rPr>
      </w:pPr>
    </w:p>
    <w:p>
      <w:pPr>
        <w:pStyle w:val="3"/>
        <w:spacing w:before="120" w:after="120" w:line="240" w:lineRule="auto"/>
        <w:rPr>
          <w:rFonts w:hint="eastAsia" w:ascii="宋体" w:hAnsi="宋体"/>
          <w:b/>
          <w:sz w:val="30"/>
          <w:szCs w:val="30"/>
          <w:lang w:val="en-US" w:eastAsia="zh-CN"/>
        </w:rPr>
      </w:pPr>
      <w:bookmarkStart w:id="13" w:name="_Toc5370"/>
      <w:r>
        <w:rPr>
          <w:rFonts w:hint="eastAsia" w:ascii="宋体" w:hAnsi="宋体"/>
          <w:b/>
          <w:sz w:val="30"/>
          <w:szCs w:val="30"/>
          <w:lang w:val="en-US" w:eastAsia="zh-CN"/>
        </w:rPr>
        <w:t>3.4国内柴油价格周报</w:t>
      </w:r>
      <w:bookmarkEnd w:id="13"/>
    </w:p>
    <w:p>
      <w:pPr>
        <w:rPr>
          <w:rFonts w:hint="eastAsia"/>
          <w:lang w:val="en-US" w:eastAsia="zh-CN"/>
        </w:rPr>
      </w:pPr>
      <w:r>
        <w:rPr>
          <w:rFonts w:hint="eastAsia"/>
          <w:lang w:val="en-US" w:eastAsia="zh-CN"/>
        </w:rPr>
        <w:t>单位：元/吨</w:t>
      </w:r>
    </w:p>
    <w:tbl>
      <w:tblPr>
        <w:tblW w:w="9675" w:type="dxa"/>
        <w:tblInd w:w="0" w:type="dxa"/>
        <w:shd w:val="clear"/>
        <w:tblLayout w:type="autofit"/>
        <w:tblCellMar>
          <w:top w:w="0" w:type="dxa"/>
          <w:left w:w="0" w:type="dxa"/>
          <w:bottom w:w="0" w:type="dxa"/>
          <w:right w:w="0" w:type="dxa"/>
        </w:tblCellMar>
      </w:tblPr>
      <w:tblGrid>
        <w:gridCol w:w="780"/>
        <w:gridCol w:w="1080"/>
        <w:gridCol w:w="1080"/>
        <w:gridCol w:w="945"/>
        <w:gridCol w:w="795"/>
        <w:gridCol w:w="1080"/>
        <w:gridCol w:w="885"/>
        <w:gridCol w:w="1515"/>
        <w:gridCol w:w="1515"/>
      </w:tblGrid>
      <w:tr>
        <w:tblPrEx>
          <w:shd w:val="clear"/>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地区</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城市</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企业性质</w:t>
            </w:r>
          </w:p>
        </w:tc>
        <w:tc>
          <w:tcPr>
            <w:tcW w:w="94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产品名称</w:t>
            </w:r>
          </w:p>
        </w:tc>
        <w:tc>
          <w:tcPr>
            <w:tcW w:w="79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价格类型</w:t>
            </w:r>
          </w:p>
        </w:tc>
        <w:tc>
          <w:tcPr>
            <w:tcW w:w="88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涨跌</w:t>
            </w:r>
          </w:p>
        </w:tc>
        <w:tc>
          <w:tcPr>
            <w:tcW w:w="15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2020/11/12</w:t>
            </w:r>
          </w:p>
        </w:tc>
        <w:tc>
          <w:tcPr>
            <w:tcW w:w="15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2020/11/5</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沪Ⅳ0#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沪Ⅳ0#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南京市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南京市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南通市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南通市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无锡市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无锡市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江阴市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江阴市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徐州市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盐城市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盐城市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连云港市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杭州市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杭州市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宁波市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宁波市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温州市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温州市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衢州市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舟山市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茂名市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茂名市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潮州市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福州市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福州市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厦门市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厦门市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海口市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5055</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5055</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4550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4560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4550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石家庄市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石家庄市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4905</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唐山市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4870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唐山市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任丘市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4905</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太原市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太原市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5320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5180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日照市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日照市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烟台市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烟台市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5560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5560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5560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5560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德州市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德州市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5560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5560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郑州市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4940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4980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郑州市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4980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5020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开封市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4930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4970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开封市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4980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5020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商丘市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商丘市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4980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5020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九江市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南昌市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南昌市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长沙市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长沙市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武汉市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武汉市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合肥市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合肥市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成都市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成都市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重庆市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重庆市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南宁市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南宁市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贵阳市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贵阳市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昆明市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昆明市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5130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5230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西安市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吉林市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吉林中油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r>
    </w:tbl>
    <w:p>
      <w:pPr>
        <w:rPr>
          <w:rFonts w:hint="eastAsia"/>
          <w:lang w:val="en-US" w:eastAsia="zh-CN"/>
        </w:rPr>
      </w:pPr>
    </w:p>
    <w:p>
      <w:pPr>
        <w:pStyle w:val="3"/>
        <w:spacing w:before="120" w:after="120" w:line="240" w:lineRule="auto"/>
        <w:rPr>
          <w:rFonts w:hint="eastAsia" w:ascii="宋体" w:hAnsi="宋体"/>
          <w:b/>
          <w:sz w:val="30"/>
          <w:szCs w:val="30"/>
          <w:lang w:val="en-US" w:eastAsia="zh-CN"/>
        </w:rPr>
      </w:pPr>
      <w:bookmarkStart w:id="14" w:name="_Toc10709"/>
      <w:r>
        <w:rPr>
          <w:rFonts w:hint="eastAsia" w:ascii="宋体" w:hAnsi="宋体"/>
          <w:b/>
          <w:sz w:val="30"/>
          <w:szCs w:val="30"/>
          <w:lang w:val="en-US" w:eastAsia="zh-CN"/>
        </w:rPr>
        <w:t>3.5 山东地炼汽油出厂价格周报</w:t>
      </w:r>
      <w:bookmarkEnd w:id="14"/>
    </w:p>
    <w:p>
      <w:pPr>
        <w:rPr>
          <w:rFonts w:hint="eastAsia"/>
          <w:lang w:val="en-US" w:eastAsia="zh-CN"/>
        </w:rPr>
      </w:pPr>
      <w:r>
        <w:rPr>
          <w:rFonts w:hint="eastAsia"/>
          <w:lang w:val="en-US" w:eastAsia="zh-CN"/>
        </w:rPr>
        <w:t>单位：元/吨</w:t>
      </w:r>
    </w:p>
    <w:tbl>
      <w:tblPr>
        <w:tblW w:w="9705" w:type="dxa"/>
        <w:tblInd w:w="0" w:type="dxa"/>
        <w:shd w:val="clear"/>
        <w:tblLayout w:type="autofit"/>
        <w:tblCellMar>
          <w:top w:w="0" w:type="dxa"/>
          <w:left w:w="0" w:type="dxa"/>
          <w:bottom w:w="0" w:type="dxa"/>
          <w:right w:w="0" w:type="dxa"/>
        </w:tblCellMar>
      </w:tblPr>
      <w:tblGrid>
        <w:gridCol w:w="945"/>
        <w:gridCol w:w="1470"/>
        <w:gridCol w:w="1170"/>
        <w:gridCol w:w="1155"/>
        <w:gridCol w:w="1065"/>
        <w:gridCol w:w="1080"/>
        <w:gridCol w:w="1410"/>
        <w:gridCol w:w="1410"/>
      </w:tblGrid>
      <w:tr>
        <w:tblPrEx>
          <w:shd w:val="clear"/>
          <w:tblCellMar>
            <w:top w:w="0" w:type="dxa"/>
            <w:left w:w="0" w:type="dxa"/>
            <w:bottom w:w="0" w:type="dxa"/>
            <w:right w:w="0" w:type="dxa"/>
          </w:tblCellMar>
        </w:tblPrEx>
        <w:trPr>
          <w:trHeight w:val="420" w:hRule="atLeast"/>
        </w:trPr>
        <w:tc>
          <w:tcPr>
            <w:tcW w:w="94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省份</w:t>
            </w:r>
          </w:p>
        </w:tc>
        <w:tc>
          <w:tcPr>
            <w:tcW w:w="147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生产厂家</w:t>
            </w:r>
          </w:p>
        </w:tc>
        <w:tc>
          <w:tcPr>
            <w:tcW w:w="117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型号</w:t>
            </w:r>
          </w:p>
        </w:tc>
        <w:tc>
          <w:tcPr>
            <w:tcW w:w="115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产品名称</w:t>
            </w:r>
          </w:p>
        </w:tc>
        <w:tc>
          <w:tcPr>
            <w:tcW w:w="106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涨跌</w:t>
            </w:r>
          </w:p>
        </w:tc>
        <w:tc>
          <w:tcPr>
            <w:tcW w:w="141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2020/11/12</w:t>
            </w:r>
          </w:p>
        </w:tc>
        <w:tc>
          <w:tcPr>
            <w:tcW w:w="141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2020/11/5</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利津石化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利津石化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神驰化工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4940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4870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神驰化工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5040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华联石化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华联石化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5390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5340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华联石化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正和集团</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5030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4980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正和集团</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华星石化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5030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4980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华星石化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垦利石化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东方华龙</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东方华龙</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4940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4830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海科集团</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5195</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5225</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海科集团</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5345</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5375</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海科瑞林</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恒源石化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恒源石化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恒源石化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京博石化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5266</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5204</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京博石化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5349</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5284</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京博石化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5517</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5458</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永鑫化工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5080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5060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永鑫化工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5130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东明石化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5530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5430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东明石化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东明石化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5690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5590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玉皇盛世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玉皇盛世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金诚石化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5340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5520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金诚石化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5370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汇丰石化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汇丰石化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5370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5220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5060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5260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5260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弘润石化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5330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弘润石化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弘润石化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5330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昌邑石化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5030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4980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昌邑石化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5130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5080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寿光鲁清</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4890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4840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寿光鲁清</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5070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5020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石大科技</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石大科技</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胜华化工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胜华化工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中海石油东营石化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中海石油东营石化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国四90#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国四93#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亚通石化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化二炼厂</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化二炼厂</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长城炼厂</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长城炼厂</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济南天蓝石油</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济南天蓝石油</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高青宏远</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高青宏远</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清源石化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清源石化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安邦石化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安邦石化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亿源石化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亿源石化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亿源石化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石大科技石化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石大科技石化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晨曦化工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晨曦化工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榆林炼厂公路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榆林炼厂公路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榆林炼厂铁路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永坪炼厂公路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永坪炼厂公路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永坪炼厂铁路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永坪炼厂铁路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延安炼厂公路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延安炼厂公路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延安炼厂铁路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延安炼厂铁路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西安临潼公路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西安临潼铁路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浙江</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金澳科技</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浙江</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金澳科技</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宁夏宝塔石化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宁夏宝塔石化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宁夏宝塔石化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bl>
    <w:p>
      <w:pPr>
        <w:rPr>
          <w:rFonts w:hint="eastAsia"/>
          <w:lang w:val="en-US" w:eastAsia="zh-CN"/>
        </w:rPr>
      </w:pPr>
    </w:p>
    <w:p>
      <w:pPr>
        <w:rPr>
          <w:rFonts w:hint="eastAsia"/>
          <w:bCs/>
          <w:szCs w:val="21"/>
          <w:lang w:val="en-US" w:eastAsia="zh-CN"/>
        </w:rPr>
      </w:pPr>
    </w:p>
    <w:p>
      <w:pPr>
        <w:pStyle w:val="3"/>
        <w:spacing w:before="120" w:after="120" w:line="240" w:lineRule="auto"/>
        <w:rPr>
          <w:rFonts w:hint="eastAsia" w:ascii="宋体" w:hAnsi="宋体"/>
          <w:b/>
          <w:sz w:val="30"/>
          <w:szCs w:val="30"/>
          <w:lang w:val="en-US" w:eastAsia="zh-CN"/>
        </w:rPr>
      </w:pPr>
      <w:r>
        <w:rPr>
          <w:rFonts w:hint="eastAsia" w:ascii="宋体" w:hAnsi="宋体"/>
          <w:b/>
          <w:sz w:val="30"/>
          <w:szCs w:val="30"/>
          <w:lang w:val="en-US" w:eastAsia="zh-CN"/>
        </w:rPr>
        <w:t>3.6 山东地炼柴油出厂价格周报</w:t>
      </w:r>
    </w:p>
    <w:p>
      <w:pPr>
        <w:rPr>
          <w:rFonts w:hint="eastAsia" w:ascii="宋体" w:hAnsi="宋体"/>
          <w:b/>
          <w:sz w:val="10"/>
          <w:szCs w:val="10"/>
          <w:lang w:val="en-US" w:eastAsia="zh-CN"/>
        </w:rPr>
      </w:pPr>
      <w:r>
        <w:rPr>
          <w:rFonts w:hint="eastAsia"/>
          <w:bCs/>
          <w:szCs w:val="21"/>
          <w:lang w:val="en-US" w:eastAsia="zh-CN"/>
        </w:rPr>
        <w:t>单位：元/吨</w:t>
      </w:r>
    </w:p>
    <w:tbl>
      <w:tblPr>
        <w:tblW w:w="9630" w:type="dxa"/>
        <w:tblInd w:w="0" w:type="dxa"/>
        <w:shd w:val="clear"/>
        <w:tblLayout w:type="autofit"/>
        <w:tblCellMar>
          <w:top w:w="0" w:type="dxa"/>
          <w:left w:w="0" w:type="dxa"/>
          <w:bottom w:w="0" w:type="dxa"/>
          <w:right w:w="0" w:type="dxa"/>
        </w:tblCellMar>
      </w:tblPr>
      <w:tblGrid>
        <w:gridCol w:w="675"/>
        <w:gridCol w:w="1875"/>
        <w:gridCol w:w="1080"/>
        <w:gridCol w:w="1080"/>
        <w:gridCol w:w="1080"/>
        <w:gridCol w:w="1080"/>
        <w:gridCol w:w="1380"/>
        <w:gridCol w:w="1380"/>
      </w:tblGrid>
      <w:tr>
        <w:tblPrEx>
          <w:shd w:val="clear"/>
          <w:tblCellMar>
            <w:top w:w="0" w:type="dxa"/>
            <w:left w:w="0" w:type="dxa"/>
            <w:bottom w:w="0" w:type="dxa"/>
            <w:right w:w="0"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省份</w:t>
            </w:r>
          </w:p>
        </w:tc>
        <w:tc>
          <w:tcPr>
            <w:tcW w:w="187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生产厂家</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产品名称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涨跌</w:t>
            </w:r>
          </w:p>
        </w:tc>
        <w:tc>
          <w:tcPr>
            <w:tcW w:w="13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2020/11/12</w:t>
            </w:r>
          </w:p>
        </w:tc>
        <w:tc>
          <w:tcPr>
            <w:tcW w:w="13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2020/11/5</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利津石化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4550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4530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神驰化工</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华联石化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华联石化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4670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正和集团</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正和集团</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4570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4540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华星石化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4570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4540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华星石化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华星石化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垦利石化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海科集团</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海科集团</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海科瑞林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恒源石化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4530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4500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京博石化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永鑫化工</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东明石化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东明石化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玉皇盛世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汇丰石化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4720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4610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寿光联盟</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寿光联盟</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弘润石化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昌邑石化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昌邑石化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昌邑石化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寿光鲁清</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常压</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寿光鲁清</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石大科技</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4560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4570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胜华化工</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中海石油东营石化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中海石油东营石化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中海石油东营石化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亚通石化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化二炼厂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长城炼厂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鑫泰石化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高青宏远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高青宏远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海化石化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海化石化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安邦石化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安邦石化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亿源石化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石大科技石化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晨曦化工</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岚桥港口石化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榆林炼厂公路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榆林炼厂公路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榆林炼厂公路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榆林炼厂铁路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永坪炼厂公路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永坪炼厂公路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永坪炼厂公路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永坪炼厂铁路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延安炼厂公路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延安炼厂铁路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西安临潼公路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西安临潼铁路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浙江</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金澳科技</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浙江</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金澳科技</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宁夏宝塔石化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宁夏宝塔石化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bl>
    <w:p>
      <w:pPr>
        <w:rPr>
          <w:rFonts w:hint="eastAsia"/>
          <w:lang w:val="en-US" w:eastAsia="zh-CN"/>
        </w:rPr>
      </w:pPr>
    </w:p>
    <w:p>
      <w:pPr>
        <w:pStyle w:val="3"/>
        <w:spacing w:before="120" w:after="120" w:line="240" w:lineRule="auto"/>
        <w:rPr>
          <w:rFonts w:hint="eastAsia" w:ascii="宋体" w:hAnsi="宋体"/>
          <w:b/>
          <w:sz w:val="30"/>
          <w:szCs w:val="30"/>
          <w:lang w:val="en-US" w:eastAsia="zh-CN"/>
        </w:rPr>
      </w:pPr>
      <w:bookmarkStart w:id="15" w:name="_Toc10784"/>
      <w:r>
        <w:rPr>
          <w:rFonts w:hint="eastAsia" w:ascii="宋体" w:hAnsi="宋体"/>
          <w:b/>
          <w:sz w:val="30"/>
          <w:szCs w:val="30"/>
          <w:lang w:val="en-US" w:eastAsia="zh-CN"/>
        </w:rPr>
        <w:t>四、2020年9月份进出口统计数据</w:t>
      </w:r>
      <w:bookmarkEnd w:id="15"/>
    </w:p>
    <w:p>
      <w:pPr>
        <w:rPr>
          <w:rFonts w:hint="eastAsia"/>
        </w:rPr>
      </w:pPr>
    </w:p>
    <w:p>
      <w:pPr>
        <w:pStyle w:val="3"/>
        <w:spacing w:before="120" w:after="120" w:line="240" w:lineRule="auto"/>
        <w:rPr>
          <w:rFonts w:hint="eastAsia" w:ascii="宋体" w:hAnsi="宋体"/>
          <w:b/>
          <w:sz w:val="30"/>
          <w:szCs w:val="30"/>
        </w:rPr>
      </w:pPr>
      <w:bookmarkStart w:id="16" w:name="_Toc27774"/>
      <w:r>
        <w:rPr>
          <w:rFonts w:hint="eastAsia" w:ascii="宋体" w:hAnsi="宋体"/>
          <w:b/>
          <w:sz w:val="30"/>
          <w:szCs w:val="30"/>
        </w:rPr>
        <w:t>4.1 20</w:t>
      </w:r>
      <w:r>
        <w:rPr>
          <w:rFonts w:hint="eastAsia" w:ascii="宋体" w:hAnsi="宋体"/>
          <w:b/>
          <w:sz w:val="30"/>
          <w:szCs w:val="30"/>
          <w:lang w:val="en-US" w:eastAsia="zh-CN"/>
        </w:rPr>
        <w:t>20</w:t>
      </w:r>
      <w:r>
        <w:rPr>
          <w:rFonts w:hint="eastAsia" w:ascii="宋体" w:hAnsi="宋体"/>
          <w:b/>
          <w:sz w:val="30"/>
          <w:szCs w:val="30"/>
        </w:rPr>
        <w:t>年</w:t>
      </w:r>
      <w:r>
        <w:rPr>
          <w:rFonts w:hint="eastAsia" w:ascii="宋体" w:hAnsi="宋体"/>
          <w:b/>
          <w:sz w:val="30"/>
          <w:szCs w:val="30"/>
          <w:lang w:val="en-US" w:eastAsia="zh-CN"/>
        </w:rPr>
        <w:t>9</w:t>
      </w:r>
      <w:r>
        <w:rPr>
          <w:rFonts w:hint="eastAsia" w:ascii="宋体" w:hAnsi="宋体"/>
          <w:b/>
          <w:sz w:val="30"/>
          <w:szCs w:val="30"/>
        </w:rPr>
        <w:t>份全国车用汽油和航空汽油进出口统计数据</w:t>
      </w:r>
      <w:bookmarkEnd w:id="16"/>
    </w:p>
    <w:p>
      <w:pPr>
        <w:rPr>
          <w:rFonts w:hint="eastAsia"/>
          <w:bCs/>
          <w:szCs w:val="21"/>
        </w:rPr>
      </w:pPr>
      <w:r>
        <w:rPr>
          <w:rFonts w:hint="eastAsia"/>
          <w:bCs/>
          <w:szCs w:val="21"/>
        </w:rPr>
        <w:t>单位：</w:t>
      </w:r>
      <w:r>
        <w:rPr>
          <w:rFonts w:hint="eastAsia"/>
          <w:bCs/>
          <w:szCs w:val="21"/>
          <w:lang w:eastAsia="zh-CN"/>
        </w:rPr>
        <w:t>吨</w:t>
      </w:r>
      <w:r>
        <w:rPr>
          <w:rFonts w:hint="eastAsia"/>
          <w:bCs/>
          <w:szCs w:val="21"/>
        </w:rPr>
        <w:t>，美元</w:t>
      </w:r>
    </w:p>
    <w:tbl>
      <w:tblPr>
        <w:tblStyle w:val="24"/>
        <w:tblW w:w="9555" w:type="dxa"/>
        <w:tblInd w:w="0" w:type="dxa"/>
        <w:shd w:val="clear" w:color="auto" w:fill="auto"/>
        <w:tblLayout w:type="autofit"/>
        <w:tblCellMar>
          <w:top w:w="0" w:type="dxa"/>
          <w:left w:w="0" w:type="dxa"/>
          <w:bottom w:w="0" w:type="dxa"/>
          <w:right w:w="0" w:type="dxa"/>
        </w:tblCellMar>
      </w:tblPr>
      <w:tblGrid>
        <w:gridCol w:w="1965"/>
        <w:gridCol w:w="2070"/>
        <w:gridCol w:w="2760"/>
        <w:gridCol w:w="2760"/>
      </w:tblGrid>
      <w:tr>
        <w:tblPrEx>
          <w:shd w:val="clear" w:color="auto" w:fill="auto"/>
          <w:tblCellMar>
            <w:top w:w="0" w:type="dxa"/>
            <w:left w:w="0" w:type="dxa"/>
            <w:bottom w:w="0" w:type="dxa"/>
            <w:right w:w="0" w:type="dxa"/>
          </w:tblCellMar>
        </w:tblPrEx>
        <w:trPr>
          <w:trHeight w:val="540" w:hRule="atLeast"/>
        </w:trPr>
        <w:tc>
          <w:tcPr>
            <w:tcW w:w="1965" w:type="dxa"/>
            <w:tcBorders>
              <w:top w:val="single" w:color="000000" w:sz="8" w:space="0"/>
              <w:left w:val="single" w:color="000000" w:sz="8" w:space="0"/>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ascii="Segoe UI" w:hAnsi="Segoe UI" w:eastAsia="Segoe UI" w:cs="Segoe UI"/>
                <w:b/>
                <w:bCs/>
                <w:i w:val="0"/>
                <w:color w:val="000000"/>
                <w:sz w:val="22"/>
                <w:szCs w:val="22"/>
                <w:u w:val="none"/>
              </w:rPr>
            </w:pPr>
            <w:r>
              <w:rPr>
                <w:rFonts w:hint="default" w:ascii="Segoe UI" w:hAnsi="Segoe UI" w:eastAsia="Segoe UI" w:cs="Segoe UI"/>
                <w:b/>
                <w:bCs/>
                <w:i w:val="0"/>
                <w:color w:val="000000"/>
                <w:kern w:val="0"/>
                <w:sz w:val="22"/>
                <w:szCs w:val="22"/>
                <w:u w:val="none"/>
                <w:lang w:val="en-US" w:eastAsia="zh-CN" w:bidi="ar"/>
              </w:rPr>
              <w:t>出口目的地</w:t>
            </w:r>
          </w:p>
        </w:tc>
        <w:tc>
          <w:tcPr>
            <w:tcW w:w="2070" w:type="dxa"/>
            <w:tcBorders>
              <w:top w:val="single" w:color="000000" w:sz="8" w:space="0"/>
              <w:left w:val="single" w:color="000000" w:sz="8" w:space="0"/>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default" w:ascii="Segoe UI" w:hAnsi="Segoe UI" w:eastAsia="Segoe UI" w:cs="Segoe UI"/>
                <w:b/>
                <w:bCs/>
                <w:i w:val="0"/>
                <w:color w:val="000000"/>
                <w:sz w:val="22"/>
                <w:szCs w:val="22"/>
                <w:u w:val="none"/>
              </w:rPr>
            </w:pPr>
            <w:r>
              <w:rPr>
                <w:rFonts w:hint="default" w:ascii="Segoe UI" w:hAnsi="Segoe UI" w:eastAsia="Segoe UI" w:cs="Segoe UI"/>
                <w:b/>
                <w:bCs/>
                <w:i w:val="0"/>
                <w:color w:val="000000"/>
                <w:kern w:val="0"/>
                <w:sz w:val="22"/>
                <w:szCs w:val="22"/>
                <w:u w:val="none"/>
                <w:lang w:val="en-US" w:eastAsia="zh-CN" w:bidi="ar"/>
              </w:rPr>
              <w:t>数量（吨）</w:t>
            </w:r>
          </w:p>
        </w:tc>
        <w:tc>
          <w:tcPr>
            <w:tcW w:w="2760" w:type="dxa"/>
            <w:tcBorders>
              <w:top w:val="single" w:color="000000" w:sz="8" w:space="0"/>
              <w:left w:val="single" w:color="000000" w:sz="8" w:space="0"/>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default" w:ascii="Segoe UI" w:hAnsi="Segoe UI" w:eastAsia="Segoe UI" w:cs="Segoe UI"/>
                <w:b/>
                <w:bCs/>
                <w:i w:val="0"/>
                <w:color w:val="000000"/>
                <w:sz w:val="22"/>
                <w:szCs w:val="22"/>
                <w:u w:val="none"/>
              </w:rPr>
            </w:pPr>
            <w:r>
              <w:rPr>
                <w:rFonts w:hint="default" w:ascii="Segoe UI" w:hAnsi="Segoe UI" w:eastAsia="Segoe UI" w:cs="Segoe UI"/>
                <w:b/>
                <w:bCs/>
                <w:i w:val="0"/>
                <w:color w:val="000000"/>
                <w:kern w:val="0"/>
                <w:sz w:val="22"/>
                <w:szCs w:val="22"/>
                <w:u w:val="none"/>
                <w:lang w:val="en-US" w:eastAsia="zh-CN" w:bidi="ar"/>
              </w:rPr>
              <w:t>出口金额（美元）</w:t>
            </w:r>
          </w:p>
        </w:tc>
        <w:tc>
          <w:tcPr>
            <w:tcW w:w="2760" w:type="dxa"/>
            <w:tcBorders>
              <w:top w:val="single" w:color="000000" w:sz="8" w:space="0"/>
              <w:left w:val="single" w:color="000000" w:sz="8" w:space="0"/>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default" w:ascii="Segoe UI" w:hAnsi="Segoe UI" w:eastAsia="Segoe UI" w:cs="Segoe UI"/>
                <w:b/>
                <w:bCs/>
                <w:i w:val="0"/>
                <w:color w:val="000000"/>
                <w:sz w:val="22"/>
                <w:szCs w:val="22"/>
                <w:u w:val="none"/>
              </w:rPr>
            </w:pPr>
            <w:r>
              <w:rPr>
                <w:rFonts w:hint="default" w:ascii="Segoe UI" w:hAnsi="Segoe UI" w:eastAsia="Segoe UI" w:cs="Segoe UI"/>
                <w:b/>
                <w:bCs/>
                <w:i w:val="0"/>
                <w:color w:val="000000"/>
                <w:kern w:val="0"/>
                <w:sz w:val="22"/>
                <w:szCs w:val="22"/>
                <w:u w:val="none"/>
                <w:lang w:val="en-US" w:eastAsia="zh-CN" w:bidi="ar"/>
              </w:rPr>
              <w:t>出口均价（美元/吨）</w:t>
            </w:r>
          </w:p>
        </w:tc>
      </w:tr>
      <w:tr>
        <w:tblPrEx>
          <w:tblCellMar>
            <w:top w:w="0" w:type="dxa"/>
            <w:left w:w="0" w:type="dxa"/>
            <w:bottom w:w="0" w:type="dxa"/>
            <w:right w:w="0" w:type="dxa"/>
          </w:tblCellMar>
        </w:tblPrEx>
        <w:trPr>
          <w:trHeight w:val="345" w:hRule="atLeast"/>
        </w:trPr>
        <w:tc>
          <w:tcPr>
            <w:tcW w:w="196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巴基斯坦</w:t>
            </w:r>
          </w:p>
        </w:tc>
        <w:tc>
          <w:tcPr>
            <w:tcW w:w="207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107000</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38326450</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358.19</w:t>
            </w:r>
          </w:p>
        </w:tc>
      </w:tr>
      <w:tr>
        <w:tblPrEx>
          <w:tblCellMar>
            <w:top w:w="0" w:type="dxa"/>
            <w:left w:w="0" w:type="dxa"/>
            <w:bottom w:w="0" w:type="dxa"/>
            <w:right w:w="0" w:type="dxa"/>
          </w:tblCellMar>
        </w:tblPrEx>
        <w:trPr>
          <w:trHeight w:val="345" w:hRule="atLeast"/>
        </w:trPr>
        <w:tc>
          <w:tcPr>
            <w:tcW w:w="196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菲律宾</w:t>
            </w:r>
          </w:p>
        </w:tc>
        <w:tc>
          <w:tcPr>
            <w:tcW w:w="207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205480.8</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79011236</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384.52</w:t>
            </w:r>
          </w:p>
        </w:tc>
      </w:tr>
      <w:tr>
        <w:tblPrEx>
          <w:tblCellMar>
            <w:top w:w="0" w:type="dxa"/>
            <w:left w:w="0" w:type="dxa"/>
            <w:bottom w:w="0" w:type="dxa"/>
            <w:right w:w="0" w:type="dxa"/>
          </w:tblCellMar>
        </w:tblPrEx>
        <w:trPr>
          <w:trHeight w:val="345" w:hRule="atLeast"/>
        </w:trPr>
        <w:tc>
          <w:tcPr>
            <w:tcW w:w="196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马来西亚</w:t>
            </w:r>
          </w:p>
        </w:tc>
        <w:tc>
          <w:tcPr>
            <w:tcW w:w="207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100056.6</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38793849</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387.72</w:t>
            </w:r>
          </w:p>
        </w:tc>
      </w:tr>
      <w:tr>
        <w:tblPrEx>
          <w:tblCellMar>
            <w:top w:w="0" w:type="dxa"/>
            <w:left w:w="0" w:type="dxa"/>
            <w:bottom w:w="0" w:type="dxa"/>
            <w:right w:w="0" w:type="dxa"/>
          </w:tblCellMar>
        </w:tblPrEx>
        <w:trPr>
          <w:trHeight w:val="345" w:hRule="atLeast"/>
        </w:trPr>
        <w:tc>
          <w:tcPr>
            <w:tcW w:w="196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蒙古</w:t>
            </w:r>
          </w:p>
        </w:tc>
        <w:tc>
          <w:tcPr>
            <w:tcW w:w="207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4924.38</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2049005</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416.09</w:t>
            </w:r>
          </w:p>
        </w:tc>
      </w:tr>
      <w:tr>
        <w:tblPrEx>
          <w:tblCellMar>
            <w:top w:w="0" w:type="dxa"/>
            <w:left w:w="0" w:type="dxa"/>
            <w:bottom w:w="0" w:type="dxa"/>
            <w:right w:w="0" w:type="dxa"/>
          </w:tblCellMar>
        </w:tblPrEx>
        <w:trPr>
          <w:trHeight w:val="345" w:hRule="atLeast"/>
        </w:trPr>
        <w:tc>
          <w:tcPr>
            <w:tcW w:w="196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缅甸</w:t>
            </w:r>
          </w:p>
        </w:tc>
        <w:tc>
          <w:tcPr>
            <w:tcW w:w="207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6183.15</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2371622</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383.56</w:t>
            </w:r>
          </w:p>
        </w:tc>
      </w:tr>
      <w:tr>
        <w:tblPrEx>
          <w:tblCellMar>
            <w:top w:w="0" w:type="dxa"/>
            <w:left w:w="0" w:type="dxa"/>
            <w:bottom w:w="0" w:type="dxa"/>
            <w:right w:w="0" w:type="dxa"/>
          </w:tblCellMar>
        </w:tblPrEx>
        <w:trPr>
          <w:trHeight w:val="345" w:hRule="atLeast"/>
        </w:trPr>
        <w:tc>
          <w:tcPr>
            <w:tcW w:w="196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墨西哥</w:t>
            </w:r>
          </w:p>
        </w:tc>
        <w:tc>
          <w:tcPr>
            <w:tcW w:w="207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71100.49</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27201080</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382.57</w:t>
            </w:r>
          </w:p>
        </w:tc>
      </w:tr>
      <w:tr>
        <w:tblPrEx>
          <w:tblCellMar>
            <w:top w:w="0" w:type="dxa"/>
            <w:left w:w="0" w:type="dxa"/>
            <w:bottom w:w="0" w:type="dxa"/>
            <w:right w:w="0" w:type="dxa"/>
          </w:tblCellMar>
        </w:tblPrEx>
        <w:trPr>
          <w:trHeight w:val="345" w:hRule="atLeast"/>
        </w:trPr>
        <w:tc>
          <w:tcPr>
            <w:tcW w:w="196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尼日利亚</w:t>
            </w:r>
          </w:p>
        </w:tc>
        <w:tc>
          <w:tcPr>
            <w:tcW w:w="207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37000</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12417200</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335.6</w:t>
            </w:r>
          </w:p>
        </w:tc>
      </w:tr>
      <w:tr>
        <w:tblPrEx>
          <w:tblCellMar>
            <w:top w:w="0" w:type="dxa"/>
            <w:left w:w="0" w:type="dxa"/>
            <w:bottom w:w="0" w:type="dxa"/>
            <w:right w:w="0" w:type="dxa"/>
          </w:tblCellMar>
        </w:tblPrEx>
        <w:trPr>
          <w:trHeight w:val="345" w:hRule="atLeast"/>
        </w:trPr>
        <w:tc>
          <w:tcPr>
            <w:tcW w:w="196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日本</w:t>
            </w:r>
          </w:p>
        </w:tc>
        <w:tc>
          <w:tcPr>
            <w:tcW w:w="207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29487.86</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4279507</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145.13</w:t>
            </w:r>
          </w:p>
        </w:tc>
      </w:tr>
      <w:tr>
        <w:tblPrEx>
          <w:tblCellMar>
            <w:top w:w="0" w:type="dxa"/>
            <w:left w:w="0" w:type="dxa"/>
            <w:bottom w:w="0" w:type="dxa"/>
            <w:right w:w="0" w:type="dxa"/>
          </w:tblCellMar>
        </w:tblPrEx>
        <w:trPr>
          <w:trHeight w:val="345" w:hRule="atLeast"/>
        </w:trPr>
        <w:tc>
          <w:tcPr>
            <w:tcW w:w="196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新加坡</w:t>
            </w:r>
          </w:p>
        </w:tc>
        <w:tc>
          <w:tcPr>
            <w:tcW w:w="207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530001</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191074668</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360.52</w:t>
            </w:r>
          </w:p>
        </w:tc>
      </w:tr>
      <w:tr>
        <w:tblPrEx>
          <w:tblCellMar>
            <w:top w:w="0" w:type="dxa"/>
            <w:left w:w="0" w:type="dxa"/>
            <w:bottom w:w="0" w:type="dxa"/>
            <w:right w:w="0" w:type="dxa"/>
          </w:tblCellMar>
        </w:tblPrEx>
        <w:trPr>
          <w:trHeight w:val="345" w:hRule="atLeast"/>
        </w:trPr>
        <w:tc>
          <w:tcPr>
            <w:tcW w:w="196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印度尼西亚</w:t>
            </w:r>
          </w:p>
        </w:tc>
        <w:tc>
          <w:tcPr>
            <w:tcW w:w="207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68690.13</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25883116</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376.81</w:t>
            </w:r>
          </w:p>
        </w:tc>
      </w:tr>
      <w:tr>
        <w:tblPrEx>
          <w:tblCellMar>
            <w:top w:w="0" w:type="dxa"/>
            <w:left w:w="0" w:type="dxa"/>
            <w:bottom w:w="0" w:type="dxa"/>
            <w:right w:w="0" w:type="dxa"/>
          </w:tblCellMar>
        </w:tblPrEx>
        <w:trPr>
          <w:trHeight w:val="345" w:hRule="atLeast"/>
        </w:trPr>
        <w:tc>
          <w:tcPr>
            <w:tcW w:w="196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中国澳门</w:t>
            </w:r>
          </w:p>
        </w:tc>
        <w:tc>
          <w:tcPr>
            <w:tcW w:w="207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5619.836</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2048146</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364.45</w:t>
            </w:r>
          </w:p>
        </w:tc>
      </w:tr>
    </w:tbl>
    <w:p>
      <w:pPr>
        <w:rPr>
          <w:rFonts w:hint="eastAsia"/>
        </w:rPr>
      </w:pPr>
    </w:p>
    <w:p>
      <w:pPr>
        <w:rPr>
          <w:rFonts w:hint="eastAsia"/>
        </w:rPr>
      </w:pPr>
    </w:p>
    <w:p>
      <w:pPr>
        <w:rPr>
          <w:rFonts w:hint="eastAsia"/>
        </w:rPr>
      </w:pPr>
    </w:p>
    <w:p>
      <w:pPr>
        <w:pStyle w:val="3"/>
        <w:spacing w:before="120" w:after="120" w:line="240" w:lineRule="auto"/>
        <w:rPr>
          <w:rFonts w:hint="eastAsia" w:ascii="宋体" w:hAnsi="宋体"/>
          <w:b/>
          <w:sz w:val="30"/>
          <w:szCs w:val="30"/>
        </w:rPr>
      </w:pPr>
      <w:bookmarkStart w:id="17" w:name="_Toc20292"/>
      <w:r>
        <w:rPr>
          <w:rFonts w:hint="eastAsia" w:ascii="宋体" w:hAnsi="宋体"/>
          <w:b/>
          <w:sz w:val="30"/>
          <w:szCs w:val="30"/>
        </w:rPr>
        <w:t>4.2 201</w:t>
      </w:r>
      <w:r>
        <w:rPr>
          <w:rFonts w:hint="eastAsia" w:ascii="宋体" w:hAnsi="宋体"/>
          <w:b/>
          <w:sz w:val="30"/>
          <w:szCs w:val="30"/>
          <w:lang w:val="en-US" w:eastAsia="zh-CN"/>
        </w:rPr>
        <w:t>8</w:t>
      </w:r>
      <w:r>
        <w:rPr>
          <w:rFonts w:hint="eastAsia" w:ascii="宋体" w:hAnsi="宋体"/>
          <w:b/>
          <w:sz w:val="30"/>
          <w:szCs w:val="30"/>
        </w:rPr>
        <w:t>年1</w:t>
      </w:r>
      <w:r>
        <w:rPr>
          <w:rFonts w:hint="eastAsia" w:ascii="宋体" w:hAnsi="宋体"/>
          <w:b/>
          <w:sz w:val="30"/>
          <w:szCs w:val="30"/>
          <w:lang w:val="en-US" w:eastAsia="zh-CN"/>
        </w:rPr>
        <w:t>1</w:t>
      </w:r>
      <w:r>
        <w:rPr>
          <w:rFonts w:hint="eastAsia" w:ascii="宋体" w:hAnsi="宋体"/>
          <w:b/>
          <w:sz w:val="30"/>
          <w:szCs w:val="30"/>
        </w:rPr>
        <w:t>月份全国轻柴油进出口统计数据</w:t>
      </w:r>
      <w:bookmarkEnd w:id="17"/>
    </w:p>
    <w:p>
      <w:pPr>
        <w:rPr>
          <w:bCs/>
          <w:szCs w:val="21"/>
        </w:rPr>
      </w:pPr>
      <w:r>
        <w:rPr>
          <w:rFonts w:hint="eastAsia"/>
          <w:bCs/>
          <w:szCs w:val="21"/>
        </w:rPr>
        <w:t>单位：</w:t>
      </w:r>
      <w:r>
        <w:rPr>
          <w:rFonts w:hint="eastAsia"/>
          <w:bCs/>
          <w:szCs w:val="21"/>
          <w:lang w:eastAsia="zh-CN"/>
        </w:rPr>
        <w:t>吨</w:t>
      </w:r>
      <w:r>
        <w:rPr>
          <w:rFonts w:hint="eastAsia"/>
          <w:bCs/>
          <w:szCs w:val="21"/>
        </w:rPr>
        <w:t>，美元</w:t>
      </w:r>
    </w:p>
    <w:tbl>
      <w:tblPr>
        <w:tblStyle w:val="24"/>
        <w:tblW w:w="9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0"/>
        <w:gridCol w:w="1726"/>
        <w:gridCol w:w="1726"/>
        <w:gridCol w:w="1882"/>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shd w:val="clear" w:color="auto" w:fill="00CC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B0F0"/>
                <w:szCs w:val="21"/>
              </w:rPr>
            </w:pPr>
            <w:r>
              <w:rPr>
                <w:rFonts w:hint="eastAsia" w:asciiTheme="minorEastAsia" w:hAnsiTheme="minorEastAsia" w:eastAsiaTheme="minorEastAsia" w:cstheme="minorEastAsia"/>
                <w:b/>
                <w:i w:val="0"/>
                <w:color w:val="191919"/>
                <w:kern w:val="0"/>
                <w:sz w:val="21"/>
                <w:szCs w:val="21"/>
                <w:u w:val="none"/>
                <w:lang w:val="en-US" w:eastAsia="zh-CN" w:bidi="ar"/>
              </w:rPr>
              <w:t>产销国</w:t>
            </w:r>
          </w:p>
        </w:tc>
        <w:tc>
          <w:tcPr>
            <w:tcW w:w="1726" w:type="dxa"/>
            <w:shd w:val="clear" w:color="auto" w:fill="00CC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i w:val="0"/>
                <w:color w:val="191919"/>
                <w:kern w:val="0"/>
                <w:sz w:val="21"/>
                <w:szCs w:val="21"/>
                <w:u w:val="none"/>
                <w:lang w:val="en-US" w:eastAsia="zh-CN" w:bidi="ar"/>
              </w:rPr>
              <w:t>进口数量</w:t>
            </w:r>
          </w:p>
        </w:tc>
        <w:tc>
          <w:tcPr>
            <w:tcW w:w="1726" w:type="dxa"/>
            <w:shd w:val="clear" w:color="auto" w:fill="00CC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i w:val="0"/>
                <w:color w:val="191919"/>
                <w:kern w:val="0"/>
                <w:sz w:val="21"/>
                <w:szCs w:val="21"/>
                <w:u w:val="none"/>
                <w:lang w:val="en-US" w:eastAsia="zh-CN" w:bidi="ar"/>
              </w:rPr>
              <w:t>进口美元</w:t>
            </w:r>
          </w:p>
        </w:tc>
        <w:tc>
          <w:tcPr>
            <w:tcW w:w="1882" w:type="dxa"/>
            <w:shd w:val="clear" w:color="auto" w:fill="00CC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i w:val="0"/>
                <w:color w:val="191919"/>
                <w:kern w:val="0"/>
                <w:sz w:val="21"/>
                <w:szCs w:val="21"/>
                <w:u w:val="none"/>
                <w:lang w:val="en-US" w:eastAsia="zh-CN" w:bidi="ar"/>
              </w:rPr>
              <w:t>出口数量</w:t>
            </w:r>
          </w:p>
        </w:tc>
        <w:tc>
          <w:tcPr>
            <w:tcW w:w="1688" w:type="dxa"/>
            <w:shd w:val="clear" w:color="auto" w:fill="00CC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i w:val="0"/>
                <w:color w:val="191919"/>
                <w:kern w:val="0"/>
                <w:sz w:val="21"/>
                <w:szCs w:val="21"/>
                <w:u w:val="none"/>
                <w:lang w:val="en-US" w:eastAsia="zh-CN" w:bidi="ar"/>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孟加拉国</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105125.293</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69892814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缅甸</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18170.052</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12976857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塞浦路斯</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966.84</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759340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香港</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262963.309</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179445201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印度尼西亚</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99.5</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64576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日本</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397.4</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327750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老挝</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63.913</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47224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澳门</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6847.894</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4588089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马来西亚</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3995.198</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2556927</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94.515</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77748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巴基斯坦</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74.2</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61438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菲律宾</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175973.373</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119332061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新加坡</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499.536</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399629</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270770.818</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188315354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韩国</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49882.569</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34382246</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173054.409</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117620635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泰国</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82.765</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72922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土耳其</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32.8</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27060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越南</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41937</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28282001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台澎金马关税区</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188.9</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156577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利比里亚</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4541.022</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3624752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多哥</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25</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20750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比利时</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139.8</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125261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丹麦</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509.5</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423410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英国</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981.955</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787173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意大利</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180</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130290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荷兰</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40755.789</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26653192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希腊</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384.8</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313417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葡萄牙</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224.073</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156493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直布罗陀</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114.5</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82350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马耳他</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1318.39</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1072844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挪威</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216.847</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165273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摩尔多瓦</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367.5</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294000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俄罗斯联邦</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90</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72475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克罗地亚</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20</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安提瓜和巴布达</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263.103</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206211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巴哈马</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506.059</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397552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伯利兹</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20</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多米尼克</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170</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136400</w:t>
            </w:r>
          </w:p>
        </w:tc>
      </w:tr>
    </w:tbl>
    <w:p>
      <w:pPr>
        <w:pStyle w:val="3"/>
        <w:spacing w:before="120" w:after="120" w:line="240" w:lineRule="auto"/>
        <w:rPr>
          <w:rFonts w:hint="eastAsia" w:ascii="宋体" w:hAnsi="宋体"/>
          <w:b/>
          <w:sz w:val="30"/>
          <w:szCs w:val="30"/>
        </w:rPr>
      </w:pPr>
      <w:bookmarkStart w:id="18" w:name="_Toc533771879"/>
    </w:p>
    <w:p>
      <w:pPr>
        <w:pStyle w:val="3"/>
        <w:spacing w:before="120" w:after="120" w:line="240" w:lineRule="auto"/>
        <w:rPr>
          <w:rFonts w:hint="eastAsia" w:ascii="宋体" w:hAnsi="宋体"/>
          <w:b/>
          <w:sz w:val="30"/>
          <w:szCs w:val="30"/>
        </w:rPr>
      </w:pPr>
    </w:p>
    <w:p>
      <w:pPr>
        <w:pStyle w:val="3"/>
        <w:spacing w:before="120" w:after="120" w:line="240" w:lineRule="auto"/>
        <w:rPr>
          <w:rFonts w:hint="eastAsia" w:ascii="宋体" w:hAnsi="宋体"/>
          <w:b/>
          <w:sz w:val="30"/>
          <w:szCs w:val="30"/>
        </w:rPr>
      </w:pPr>
      <w:bookmarkStart w:id="19" w:name="_Toc31298"/>
      <w:bookmarkStart w:id="20" w:name="_Toc19589"/>
      <w:r>
        <w:rPr>
          <w:rFonts w:hint="eastAsia" w:ascii="宋体" w:hAnsi="宋体"/>
          <w:b/>
          <w:sz w:val="30"/>
          <w:szCs w:val="30"/>
        </w:rPr>
        <w:t>4.3 20</w:t>
      </w:r>
      <w:r>
        <w:rPr>
          <w:rFonts w:hint="eastAsia" w:ascii="宋体" w:hAnsi="宋体"/>
          <w:b/>
          <w:sz w:val="30"/>
          <w:szCs w:val="30"/>
          <w:lang w:val="en-US" w:eastAsia="zh-CN"/>
        </w:rPr>
        <w:t>20</w:t>
      </w:r>
      <w:r>
        <w:rPr>
          <w:rFonts w:hint="eastAsia" w:ascii="宋体" w:hAnsi="宋体"/>
          <w:b/>
          <w:sz w:val="30"/>
          <w:szCs w:val="30"/>
        </w:rPr>
        <w:t>年</w:t>
      </w:r>
      <w:r>
        <w:rPr>
          <w:rFonts w:hint="eastAsia" w:ascii="宋体" w:hAnsi="宋体"/>
          <w:b/>
          <w:sz w:val="30"/>
          <w:szCs w:val="30"/>
          <w:lang w:val="en-US" w:eastAsia="zh-CN"/>
        </w:rPr>
        <w:t>9</w:t>
      </w:r>
      <w:r>
        <w:rPr>
          <w:rFonts w:hint="eastAsia" w:ascii="宋体" w:hAnsi="宋体"/>
          <w:b/>
          <w:sz w:val="30"/>
          <w:szCs w:val="30"/>
        </w:rPr>
        <w:t>月份全国原油进出口统计数据</w:t>
      </w:r>
      <w:bookmarkEnd w:id="19"/>
    </w:p>
    <w:p>
      <w:pPr>
        <w:rPr>
          <w:rFonts w:hint="eastAsia"/>
          <w:bCs/>
          <w:szCs w:val="21"/>
        </w:rPr>
      </w:pPr>
    </w:p>
    <w:p>
      <w:pPr>
        <w:rPr>
          <w:rFonts w:hint="eastAsia"/>
          <w:bCs/>
          <w:szCs w:val="21"/>
        </w:rPr>
      </w:pPr>
      <w:r>
        <w:rPr>
          <w:rFonts w:hint="eastAsia"/>
          <w:bCs/>
          <w:szCs w:val="21"/>
        </w:rPr>
        <w:t>单位：</w:t>
      </w:r>
      <w:r>
        <w:rPr>
          <w:rFonts w:hint="eastAsia"/>
          <w:bCs/>
          <w:szCs w:val="21"/>
          <w:lang w:eastAsia="zh-CN"/>
        </w:rPr>
        <w:t>吨</w:t>
      </w:r>
      <w:r>
        <w:rPr>
          <w:rFonts w:hint="eastAsia"/>
          <w:bCs/>
          <w:szCs w:val="21"/>
        </w:rPr>
        <w:t>，美元</w:t>
      </w:r>
    </w:p>
    <w:p>
      <w:pPr>
        <w:rPr>
          <w:rFonts w:hint="eastAsia"/>
          <w:bCs/>
          <w:szCs w:val="21"/>
        </w:rPr>
      </w:pPr>
    </w:p>
    <w:tbl>
      <w:tblPr>
        <w:tblStyle w:val="24"/>
        <w:tblW w:w="5298" w:type="pct"/>
        <w:tblInd w:w="0" w:type="dxa"/>
        <w:tblLayout w:type="fixed"/>
        <w:tblCellMar>
          <w:top w:w="0" w:type="dxa"/>
          <w:left w:w="108" w:type="dxa"/>
          <w:bottom w:w="0" w:type="dxa"/>
          <w:right w:w="108" w:type="dxa"/>
        </w:tblCellMar>
      </w:tblPr>
      <w:tblGrid>
        <w:gridCol w:w="452"/>
        <w:gridCol w:w="989"/>
        <w:gridCol w:w="780"/>
        <w:gridCol w:w="1491"/>
        <w:gridCol w:w="1530"/>
        <w:gridCol w:w="2025"/>
        <w:gridCol w:w="1485"/>
        <w:gridCol w:w="1690"/>
      </w:tblGrid>
      <w:tr>
        <w:tblPrEx>
          <w:tblCellMar>
            <w:top w:w="0" w:type="dxa"/>
            <w:left w:w="108" w:type="dxa"/>
            <w:bottom w:w="0" w:type="dxa"/>
            <w:right w:w="108" w:type="dxa"/>
          </w:tblCellMar>
        </w:tblPrEx>
        <w:trPr>
          <w:trHeight w:val="1230" w:hRule="atLeast"/>
        </w:trPr>
        <w:tc>
          <w:tcPr>
            <w:tcW w:w="216" w:type="pct"/>
            <w:tcBorders>
              <w:top w:val="single" w:color="333333" w:sz="8" w:space="0"/>
              <w:left w:val="nil"/>
              <w:bottom w:val="single" w:color="333333" w:sz="8" w:space="0"/>
              <w:right w:val="single" w:color="333333" w:sz="8" w:space="0"/>
            </w:tcBorders>
            <w:shd w:val="clear" w:color="000000" w:fill="00B0F0"/>
            <w:noWrap w:val="0"/>
            <w:vAlign w:val="bottom"/>
          </w:tcPr>
          <w:p>
            <w:pPr>
              <w:widowControl/>
              <w:jc w:val="center"/>
              <w:rPr>
                <w:rFonts w:hint="eastAsia" w:asciiTheme="minorEastAsia" w:hAnsiTheme="minorEastAsia" w:eastAsiaTheme="minorEastAsia" w:cstheme="minorEastAsia"/>
                <w:b/>
                <w:bCs/>
                <w:color w:val="191919"/>
                <w:kern w:val="0"/>
                <w:sz w:val="21"/>
                <w:szCs w:val="21"/>
              </w:rPr>
            </w:pPr>
            <w:r>
              <w:rPr>
                <w:rFonts w:hint="eastAsia" w:asciiTheme="minorEastAsia" w:hAnsiTheme="minorEastAsia" w:eastAsiaTheme="minorEastAsia" w:cstheme="minorEastAsia"/>
                <w:b/>
                <w:bCs/>
                <w:color w:val="191919"/>
                <w:kern w:val="0"/>
                <w:sz w:val="21"/>
                <w:szCs w:val="21"/>
              </w:rPr>
              <w:t>产品</w:t>
            </w:r>
          </w:p>
        </w:tc>
        <w:tc>
          <w:tcPr>
            <w:tcW w:w="473" w:type="pct"/>
            <w:tcBorders>
              <w:top w:val="single" w:color="333333" w:sz="8" w:space="0"/>
              <w:left w:val="nil"/>
              <w:bottom w:val="single" w:color="333333" w:sz="8" w:space="0"/>
              <w:right w:val="single" w:color="333333" w:sz="8" w:space="0"/>
            </w:tcBorders>
            <w:shd w:val="clear" w:color="000000" w:fill="00B0F0"/>
            <w:noWrap w:val="0"/>
            <w:vAlign w:val="bottom"/>
          </w:tcPr>
          <w:p>
            <w:pPr>
              <w:widowControl/>
              <w:jc w:val="center"/>
              <w:rPr>
                <w:rFonts w:hint="eastAsia" w:asciiTheme="minorEastAsia" w:hAnsiTheme="minorEastAsia" w:eastAsiaTheme="minorEastAsia" w:cstheme="minorEastAsia"/>
                <w:b/>
                <w:bCs/>
                <w:color w:val="191919"/>
                <w:kern w:val="0"/>
                <w:sz w:val="21"/>
                <w:szCs w:val="21"/>
              </w:rPr>
            </w:pPr>
            <w:r>
              <w:rPr>
                <w:rFonts w:hint="eastAsia" w:asciiTheme="minorEastAsia" w:hAnsiTheme="minorEastAsia" w:eastAsiaTheme="minorEastAsia" w:cstheme="minorEastAsia"/>
                <w:b/>
                <w:bCs/>
                <w:color w:val="191919"/>
                <w:kern w:val="0"/>
                <w:sz w:val="21"/>
                <w:szCs w:val="21"/>
              </w:rPr>
              <w:t>年度</w:t>
            </w:r>
          </w:p>
        </w:tc>
        <w:tc>
          <w:tcPr>
            <w:tcW w:w="373" w:type="pct"/>
            <w:tcBorders>
              <w:top w:val="single" w:color="333333" w:sz="8" w:space="0"/>
              <w:left w:val="nil"/>
              <w:bottom w:val="single" w:color="333333" w:sz="8" w:space="0"/>
              <w:right w:val="single" w:color="333333" w:sz="8" w:space="0"/>
            </w:tcBorders>
            <w:shd w:val="clear" w:color="000000" w:fill="00B0F0"/>
            <w:noWrap w:val="0"/>
            <w:vAlign w:val="bottom"/>
          </w:tcPr>
          <w:p>
            <w:pPr>
              <w:widowControl/>
              <w:jc w:val="center"/>
              <w:rPr>
                <w:rFonts w:hint="eastAsia" w:asciiTheme="minorEastAsia" w:hAnsiTheme="minorEastAsia" w:eastAsiaTheme="minorEastAsia" w:cstheme="minorEastAsia"/>
                <w:b/>
                <w:bCs/>
                <w:color w:val="191919"/>
                <w:kern w:val="0"/>
                <w:sz w:val="21"/>
                <w:szCs w:val="21"/>
              </w:rPr>
            </w:pPr>
            <w:r>
              <w:rPr>
                <w:rFonts w:hint="eastAsia" w:asciiTheme="minorEastAsia" w:hAnsiTheme="minorEastAsia" w:eastAsiaTheme="minorEastAsia" w:cstheme="minorEastAsia"/>
                <w:b/>
                <w:bCs/>
                <w:color w:val="191919"/>
                <w:kern w:val="0"/>
                <w:sz w:val="21"/>
                <w:szCs w:val="21"/>
              </w:rPr>
              <w:t>月份</w:t>
            </w:r>
          </w:p>
        </w:tc>
        <w:tc>
          <w:tcPr>
            <w:tcW w:w="713" w:type="pct"/>
            <w:tcBorders>
              <w:top w:val="single" w:color="333333" w:sz="8" w:space="0"/>
              <w:left w:val="nil"/>
              <w:bottom w:val="single" w:color="333333" w:sz="8" w:space="0"/>
              <w:right w:val="single" w:color="333333" w:sz="8" w:space="0"/>
            </w:tcBorders>
            <w:shd w:val="clear" w:color="000000" w:fill="00B0F0"/>
            <w:noWrap w:val="0"/>
            <w:vAlign w:val="bottom"/>
          </w:tcPr>
          <w:p>
            <w:pPr>
              <w:widowControl/>
              <w:jc w:val="center"/>
              <w:rPr>
                <w:rFonts w:hint="eastAsia" w:asciiTheme="minorEastAsia" w:hAnsiTheme="minorEastAsia" w:eastAsiaTheme="minorEastAsia" w:cstheme="minorEastAsia"/>
                <w:b/>
                <w:bCs/>
                <w:color w:val="191919"/>
                <w:kern w:val="0"/>
                <w:sz w:val="21"/>
                <w:szCs w:val="21"/>
              </w:rPr>
            </w:pPr>
            <w:r>
              <w:rPr>
                <w:rFonts w:hint="eastAsia" w:asciiTheme="minorEastAsia" w:hAnsiTheme="minorEastAsia" w:eastAsiaTheme="minorEastAsia" w:cstheme="minorEastAsia"/>
                <w:b/>
                <w:bCs/>
                <w:color w:val="191919"/>
                <w:kern w:val="0"/>
                <w:sz w:val="24"/>
                <w:szCs w:val="24"/>
              </w:rPr>
              <w:t>产销国</w:t>
            </w:r>
          </w:p>
        </w:tc>
        <w:tc>
          <w:tcPr>
            <w:tcW w:w="732" w:type="pct"/>
            <w:tcBorders>
              <w:top w:val="single" w:color="333333" w:sz="8" w:space="0"/>
              <w:left w:val="nil"/>
              <w:bottom w:val="single" w:color="333333" w:sz="8" w:space="0"/>
              <w:right w:val="single" w:color="333333" w:sz="8" w:space="0"/>
            </w:tcBorders>
            <w:shd w:val="clear" w:color="000000" w:fill="00B0F0"/>
            <w:noWrap w:val="0"/>
            <w:vAlign w:val="bottom"/>
          </w:tcPr>
          <w:p>
            <w:pPr>
              <w:widowControl/>
              <w:jc w:val="center"/>
              <w:rPr>
                <w:rFonts w:hint="eastAsia" w:asciiTheme="minorEastAsia" w:hAnsiTheme="minorEastAsia" w:eastAsiaTheme="minorEastAsia" w:cstheme="minorEastAsia"/>
                <w:b/>
                <w:bCs/>
                <w:color w:val="191919"/>
                <w:kern w:val="0"/>
                <w:sz w:val="21"/>
                <w:szCs w:val="21"/>
              </w:rPr>
            </w:pPr>
            <w:r>
              <w:rPr>
                <w:rFonts w:hint="eastAsia" w:asciiTheme="minorEastAsia" w:hAnsiTheme="minorEastAsia" w:eastAsiaTheme="minorEastAsia" w:cstheme="minorEastAsia"/>
                <w:b/>
                <w:bCs/>
                <w:color w:val="191919"/>
                <w:kern w:val="0"/>
                <w:sz w:val="21"/>
                <w:szCs w:val="21"/>
              </w:rPr>
              <w:t>进口数量/吨</w:t>
            </w:r>
          </w:p>
        </w:tc>
        <w:tc>
          <w:tcPr>
            <w:tcW w:w="969" w:type="pct"/>
            <w:tcBorders>
              <w:top w:val="single" w:color="333333" w:sz="8" w:space="0"/>
              <w:left w:val="nil"/>
              <w:bottom w:val="single" w:color="333333" w:sz="8" w:space="0"/>
              <w:right w:val="single" w:color="333333" w:sz="8" w:space="0"/>
            </w:tcBorders>
            <w:shd w:val="clear" w:color="000000" w:fill="00B0F0"/>
            <w:noWrap w:val="0"/>
            <w:vAlign w:val="bottom"/>
          </w:tcPr>
          <w:p>
            <w:pPr>
              <w:widowControl/>
              <w:jc w:val="center"/>
              <w:rPr>
                <w:rFonts w:hint="eastAsia" w:asciiTheme="minorEastAsia" w:hAnsiTheme="minorEastAsia" w:eastAsiaTheme="minorEastAsia" w:cstheme="minorEastAsia"/>
                <w:b/>
                <w:bCs/>
                <w:color w:val="191919"/>
                <w:kern w:val="0"/>
                <w:sz w:val="21"/>
                <w:szCs w:val="21"/>
              </w:rPr>
            </w:pPr>
            <w:r>
              <w:rPr>
                <w:rFonts w:hint="eastAsia" w:asciiTheme="minorEastAsia" w:hAnsiTheme="minorEastAsia" w:eastAsiaTheme="minorEastAsia" w:cstheme="minorEastAsia"/>
                <w:b/>
                <w:bCs/>
                <w:color w:val="191919"/>
                <w:kern w:val="0"/>
                <w:sz w:val="21"/>
                <w:szCs w:val="21"/>
              </w:rPr>
              <w:t>进口金额/美元</w:t>
            </w:r>
          </w:p>
        </w:tc>
        <w:tc>
          <w:tcPr>
            <w:tcW w:w="711" w:type="pct"/>
            <w:tcBorders>
              <w:top w:val="single" w:color="333333" w:sz="8" w:space="0"/>
              <w:left w:val="nil"/>
              <w:bottom w:val="single" w:color="333333" w:sz="8" w:space="0"/>
              <w:right w:val="single" w:color="333333" w:sz="8" w:space="0"/>
            </w:tcBorders>
            <w:shd w:val="clear" w:color="000000" w:fill="00B0F0"/>
            <w:noWrap w:val="0"/>
            <w:vAlign w:val="bottom"/>
          </w:tcPr>
          <w:p>
            <w:pPr>
              <w:widowControl/>
              <w:jc w:val="center"/>
              <w:rPr>
                <w:rFonts w:hint="eastAsia" w:asciiTheme="minorEastAsia" w:hAnsiTheme="minorEastAsia" w:eastAsiaTheme="minorEastAsia" w:cstheme="minorEastAsia"/>
                <w:b/>
                <w:bCs/>
                <w:color w:val="191919"/>
                <w:kern w:val="0"/>
                <w:sz w:val="21"/>
                <w:szCs w:val="21"/>
              </w:rPr>
            </w:pPr>
            <w:r>
              <w:rPr>
                <w:rFonts w:hint="eastAsia" w:asciiTheme="minorEastAsia" w:hAnsiTheme="minorEastAsia" w:eastAsiaTheme="minorEastAsia" w:cstheme="minorEastAsia"/>
                <w:b/>
                <w:bCs/>
                <w:color w:val="191919"/>
                <w:kern w:val="0"/>
                <w:sz w:val="21"/>
                <w:szCs w:val="21"/>
              </w:rPr>
              <w:t>出口数量/吨</w:t>
            </w:r>
          </w:p>
        </w:tc>
        <w:tc>
          <w:tcPr>
            <w:tcW w:w="809" w:type="pct"/>
            <w:tcBorders>
              <w:top w:val="single" w:color="333333" w:sz="8" w:space="0"/>
              <w:left w:val="nil"/>
              <w:bottom w:val="single" w:color="333333" w:sz="8" w:space="0"/>
              <w:right w:val="single" w:color="333333" w:sz="8" w:space="0"/>
            </w:tcBorders>
            <w:shd w:val="clear" w:color="000000" w:fill="00B0F0"/>
            <w:noWrap w:val="0"/>
            <w:vAlign w:val="bottom"/>
          </w:tcPr>
          <w:p>
            <w:pPr>
              <w:widowControl/>
              <w:jc w:val="center"/>
              <w:rPr>
                <w:rFonts w:hint="eastAsia" w:asciiTheme="minorEastAsia" w:hAnsiTheme="minorEastAsia" w:eastAsiaTheme="minorEastAsia" w:cstheme="minorEastAsia"/>
                <w:b/>
                <w:bCs/>
                <w:color w:val="191919"/>
                <w:kern w:val="0"/>
                <w:sz w:val="21"/>
                <w:szCs w:val="21"/>
              </w:rPr>
            </w:pPr>
            <w:r>
              <w:rPr>
                <w:rFonts w:hint="eastAsia" w:asciiTheme="minorEastAsia" w:hAnsiTheme="minorEastAsia" w:eastAsiaTheme="minorEastAsia" w:cstheme="minorEastAsia"/>
                <w:b/>
                <w:bCs/>
                <w:color w:val="191919"/>
                <w:kern w:val="0"/>
                <w:sz w:val="21"/>
                <w:szCs w:val="21"/>
              </w:rPr>
              <w:t>出口金额/美元</w:t>
            </w:r>
          </w:p>
        </w:tc>
      </w:tr>
      <w:tr>
        <w:tblPrEx>
          <w:tblCellMar>
            <w:top w:w="0" w:type="dxa"/>
            <w:left w:w="108" w:type="dxa"/>
            <w:bottom w:w="0" w:type="dxa"/>
            <w:right w:w="108" w:type="dxa"/>
          </w:tblCellMar>
        </w:tblPrEx>
        <w:trPr>
          <w:trHeight w:val="485" w:hRule="atLeast"/>
        </w:trPr>
        <w:tc>
          <w:tcPr>
            <w:tcW w:w="216" w:type="pct"/>
            <w:vMerge w:val="restart"/>
            <w:tcBorders>
              <w:top w:val="nil"/>
              <w:left w:val="single" w:color="333333" w:sz="8" w:space="0"/>
              <w:bottom w:val="nil"/>
              <w:right w:val="single" w:color="333333" w:sz="8" w:space="0"/>
            </w:tcBorders>
            <w:shd w:val="clear" w:color="auto" w:fill="auto"/>
            <w:noWrap w:val="0"/>
            <w:vAlign w:val="bottom"/>
          </w:tcPr>
          <w:p>
            <w:pPr>
              <w:widowControl/>
              <w:jc w:val="center"/>
              <w:rPr>
                <w:rFonts w:hint="eastAsia" w:asciiTheme="minorEastAsia" w:hAnsiTheme="minorEastAsia" w:eastAsiaTheme="minorEastAsia" w:cstheme="minorEastAsia"/>
                <w:b/>
                <w:bCs/>
                <w:color w:val="191919"/>
                <w:kern w:val="0"/>
                <w:sz w:val="21"/>
                <w:szCs w:val="21"/>
              </w:rPr>
            </w:pPr>
            <w:r>
              <w:rPr>
                <w:rFonts w:hint="eastAsia" w:asciiTheme="minorEastAsia" w:hAnsiTheme="minorEastAsia" w:eastAsiaTheme="minorEastAsia" w:cstheme="minorEastAsia"/>
                <w:b/>
                <w:bCs/>
                <w:color w:val="191919"/>
                <w:kern w:val="0"/>
                <w:sz w:val="21"/>
                <w:szCs w:val="21"/>
              </w:rPr>
              <w:t>石油原油(包括从沥青矿物提取的原油)</w:t>
            </w:r>
          </w:p>
        </w:tc>
        <w:tc>
          <w:tcPr>
            <w:tcW w:w="47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阿联酋</w:t>
            </w:r>
          </w:p>
        </w:tc>
        <w:tc>
          <w:tcPr>
            <w:tcW w:w="732"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3490125.04</w:t>
            </w:r>
          </w:p>
        </w:tc>
        <w:tc>
          <w:tcPr>
            <w:tcW w:w="969"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1101288882.00</w:t>
            </w:r>
          </w:p>
        </w:tc>
        <w:tc>
          <w:tcPr>
            <w:tcW w:w="711"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809"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410"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阿曼</w:t>
            </w:r>
          </w:p>
        </w:tc>
        <w:tc>
          <w:tcPr>
            <w:tcW w:w="732"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3645857.68</w:t>
            </w:r>
          </w:p>
        </w:tc>
        <w:tc>
          <w:tcPr>
            <w:tcW w:w="969"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1215753839.00</w:t>
            </w:r>
          </w:p>
        </w:tc>
        <w:tc>
          <w:tcPr>
            <w:tcW w:w="711"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809"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380"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阿塞拜疆</w:t>
            </w:r>
          </w:p>
        </w:tc>
        <w:tc>
          <w:tcPr>
            <w:tcW w:w="732"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275539.32</w:t>
            </w:r>
          </w:p>
        </w:tc>
        <w:tc>
          <w:tcPr>
            <w:tcW w:w="969"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103384138.00</w:t>
            </w:r>
          </w:p>
        </w:tc>
        <w:tc>
          <w:tcPr>
            <w:tcW w:w="711"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809"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335"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安哥拉</w:t>
            </w:r>
          </w:p>
        </w:tc>
        <w:tc>
          <w:tcPr>
            <w:tcW w:w="732"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3347155.38</w:t>
            </w:r>
          </w:p>
        </w:tc>
        <w:tc>
          <w:tcPr>
            <w:tcW w:w="969"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1096450734.00</w:t>
            </w:r>
          </w:p>
        </w:tc>
        <w:tc>
          <w:tcPr>
            <w:tcW w:w="711"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809"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335"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巴西</w:t>
            </w:r>
          </w:p>
        </w:tc>
        <w:tc>
          <w:tcPr>
            <w:tcW w:w="732"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4494925.54</w:t>
            </w:r>
          </w:p>
        </w:tc>
        <w:tc>
          <w:tcPr>
            <w:tcW w:w="969"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1437832292.00</w:t>
            </w:r>
          </w:p>
        </w:tc>
        <w:tc>
          <w:tcPr>
            <w:tcW w:w="711"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809"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329"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赤道几内亚</w:t>
            </w:r>
          </w:p>
        </w:tc>
        <w:tc>
          <w:tcPr>
            <w:tcW w:w="732"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137928.67</w:t>
            </w:r>
          </w:p>
        </w:tc>
        <w:tc>
          <w:tcPr>
            <w:tcW w:w="969"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53229022.00</w:t>
            </w:r>
          </w:p>
        </w:tc>
        <w:tc>
          <w:tcPr>
            <w:tcW w:w="711"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809"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305"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俄罗斯联邦</w:t>
            </w:r>
          </w:p>
        </w:tc>
        <w:tc>
          <w:tcPr>
            <w:tcW w:w="732"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7478331.11</w:t>
            </w:r>
          </w:p>
        </w:tc>
        <w:tc>
          <w:tcPr>
            <w:tcW w:w="969"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2414208600.00</w:t>
            </w:r>
          </w:p>
        </w:tc>
        <w:tc>
          <w:tcPr>
            <w:tcW w:w="711"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809"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380"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厄瓜多尔</w:t>
            </w:r>
          </w:p>
        </w:tc>
        <w:tc>
          <w:tcPr>
            <w:tcW w:w="732"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401131.98</w:t>
            </w:r>
          </w:p>
        </w:tc>
        <w:tc>
          <w:tcPr>
            <w:tcW w:w="969"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123972980.00</w:t>
            </w:r>
          </w:p>
        </w:tc>
        <w:tc>
          <w:tcPr>
            <w:tcW w:w="711"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809"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365"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刚果(布)</w:t>
            </w:r>
          </w:p>
        </w:tc>
        <w:tc>
          <w:tcPr>
            <w:tcW w:w="732"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643117.92</w:t>
            </w:r>
          </w:p>
        </w:tc>
        <w:tc>
          <w:tcPr>
            <w:tcW w:w="96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220792245.00</w:t>
            </w:r>
          </w:p>
        </w:tc>
        <w:tc>
          <w:tcPr>
            <w:tcW w:w="71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c>
          <w:tcPr>
            <w:tcW w:w="80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r>
      <w:tr>
        <w:tblPrEx>
          <w:tblCellMar>
            <w:top w:w="0" w:type="dxa"/>
            <w:left w:w="108" w:type="dxa"/>
            <w:bottom w:w="0" w:type="dxa"/>
            <w:right w:w="108" w:type="dxa"/>
          </w:tblCellMar>
        </w:tblPrEx>
        <w:trPr>
          <w:trHeight w:val="365"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哥伦比亚</w:t>
            </w:r>
          </w:p>
        </w:tc>
        <w:tc>
          <w:tcPr>
            <w:tcW w:w="732"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983959.23</w:t>
            </w:r>
          </w:p>
        </w:tc>
        <w:tc>
          <w:tcPr>
            <w:tcW w:w="96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289918815.00</w:t>
            </w:r>
          </w:p>
        </w:tc>
        <w:tc>
          <w:tcPr>
            <w:tcW w:w="71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c>
          <w:tcPr>
            <w:tcW w:w="80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r>
      <w:tr>
        <w:tblPrEx>
          <w:tblCellMar>
            <w:top w:w="0" w:type="dxa"/>
            <w:left w:w="108" w:type="dxa"/>
            <w:bottom w:w="0" w:type="dxa"/>
            <w:right w:w="108" w:type="dxa"/>
          </w:tblCellMar>
        </w:tblPrEx>
        <w:trPr>
          <w:trHeight w:val="340"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圭亚那</w:t>
            </w:r>
          </w:p>
        </w:tc>
        <w:tc>
          <w:tcPr>
            <w:tcW w:w="732"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131475.87</w:t>
            </w:r>
          </w:p>
        </w:tc>
        <w:tc>
          <w:tcPr>
            <w:tcW w:w="96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44051884.00</w:t>
            </w:r>
          </w:p>
        </w:tc>
        <w:tc>
          <w:tcPr>
            <w:tcW w:w="71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c>
          <w:tcPr>
            <w:tcW w:w="80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r>
      <w:tr>
        <w:tblPrEx>
          <w:tblCellMar>
            <w:top w:w="0" w:type="dxa"/>
            <w:left w:w="108" w:type="dxa"/>
            <w:bottom w:w="0" w:type="dxa"/>
            <w:right w:w="108" w:type="dxa"/>
          </w:tblCellMar>
        </w:tblPrEx>
        <w:trPr>
          <w:trHeight w:val="365"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哈萨克斯坦</w:t>
            </w:r>
          </w:p>
        </w:tc>
        <w:tc>
          <w:tcPr>
            <w:tcW w:w="732"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16286.69</w:t>
            </w:r>
          </w:p>
        </w:tc>
        <w:tc>
          <w:tcPr>
            <w:tcW w:w="96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4727484.00</w:t>
            </w:r>
          </w:p>
        </w:tc>
        <w:tc>
          <w:tcPr>
            <w:tcW w:w="71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c>
          <w:tcPr>
            <w:tcW w:w="80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r>
      <w:tr>
        <w:tblPrEx>
          <w:tblCellMar>
            <w:top w:w="0" w:type="dxa"/>
            <w:left w:w="108" w:type="dxa"/>
            <w:bottom w:w="0" w:type="dxa"/>
            <w:right w:w="108" w:type="dxa"/>
          </w:tblCellMar>
        </w:tblPrEx>
        <w:trPr>
          <w:trHeight w:val="290"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韩国</w:t>
            </w:r>
          </w:p>
        </w:tc>
        <w:tc>
          <w:tcPr>
            <w:tcW w:w="732"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129956.08</w:t>
            </w:r>
          </w:p>
        </w:tc>
        <w:tc>
          <w:tcPr>
            <w:tcW w:w="96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46063866.00</w:t>
            </w:r>
          </w:p>
        </w:tc>
        <w:tc>
          <w:tcPr>
            <w:tcW w:w="71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96389.44</w:t>
            </w:r>
          </w:p>
        </w:tc>
        <w:tc>
          <w:tcPr>
            <w:tcW w:w="80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26004847.00</w:t>
            </w:r>
          </w:p>
        </w:tc>
      </w:tr>
      <w:tr>
        <w:tblPrEx>
          <w:tblCellMar>
            <w:top w:w="0" w:type="dxa"/>
            <w:left w:w="108" w:type="dxa"/>
            <w:bottom w:w="0" w:type="dxa"/>
            <w:right w:w="108" w:type="dxa"/>
          </w:tblCellMar>
        </w:tblPrEx>
        <w:trPr>
          <w:trHeight w:val="335"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加拿大</w:t>
            </w:r>
          </w:p>
        </w:tc>
        <w:tc>
          <w:tcPr>
            <w:tcW w:w="732"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297250.52</w:t>
            </w:r>
          </w:p>
        </w:tc>
        <w:tc>
          <w:tcPr>
            <w:tcW w:w="96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61055948.00</w:t>
            </w:r>
          </w:p>
        </w:tc>
        <w:tc>
          <w:tcPr>
            <w:tcW w:w="71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c>
          <w:tcPr>
            <w:tcW w:w="80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r>
      <w:tr>
        <w:tblPrEx>
          <w:tblCellMar>
            <w:top w:w="0" w:type="dxa"/>
            <w:left w:w="108" w:type="dxa"/>
            <w:bottom w:w="0" w:type="dxa"/>
            <w:right w:w="108" w:type="dxa"/>
          </w:tblCellMar>
        </w:tblPrEx>
        <w:trPr>
          <w:trHeight w:val="380"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加纳</w:t>
            </w:r>
          </w:p>
        </w:tc>
        <w:tc>
          <w:tcPr>
            <w:tcW w:w="732"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258219.50</w:t>
            </w:r>
          </w:p>
        </w:tc>
        <w:tc>
          <w:tcPr>
            <w:tcW w:w="96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89304513.00</w:t>
            </w:r>
          </w:p>
        </w:tc>
        <w:tc>
          <w:tcPr>
            <w:tcW w:w="71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c>
          <w:tcPr>
            <w:tcW w:w="80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r>
      <w:tr>
        <w:tblPrEx>
          <w:tblCellMar>
            <w:top w:w="0" w:type="dxa"/>
            <w:left w:w="108" w:type="dxa"/>
            <w:bottom w:w="0" w:type="dxa"/>
            <w:right w:w="108" w:type="dxa"/>
          </w:tblCellMar>
        </w:tblPrEx>
        <w:trPr>
          <w:trHeight w:val="380"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加蓬</w:t>
            </w:r>
          </w:p>
        </w:tc>
        <w:tc>
          <w:tcPr>
            <w:tcW w:w="732"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608468.49</w:t>
            </w:r>
          </w:p>
        </w:tc>
        <w:tc>
          <w:tcPr>
            <w:tcW w:w="96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202319027.00</w:t>
            </w:r>
          </w:p>
        </w:tc>
        <w:tc>
          <w:tcPr>
            <w:tcW w:w="71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c>
          <w:tcPr>
            <w:tcW w:w="80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r>
      <w:tr>
        <w:tblPrEx>
          <w:tblCellMar>
            <w:top w:w="0" w:type="dxa"/>
            <w:left w:w="108" w:type="dxa"/>
            <w:bottom w:w="0" w:type="dxa"/>
            <w:right w:w="108" w:type="dxa"/>
          </w:tblCellMar>
        </w:tblPrEx>
        <w:trPr>
          <w:trHeight w:val="350"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喀麦隆</w:t>
            </w:r>
          </w:p>
        </w:tc>
        <w:tc>
          <w:tcPr>
            <w:tcW w:w="732"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267269.83</w:t>
            </w:r>
          </w:p>
        </w:tc>
        <w:tc>
          <w:tcPr>
            <w:tcW w:w="96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86174262.00</w:t>
            </w:r>
          </w:p>
        </w:tc>
        <w:tc>
          <w:tcPr>
            <w:tcW w:w="71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c>
          <w:tcPr>
            <w:tcW w:w="80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r>
      <w:tr>
        <w:tblPrEx>
          <w:tblCellMar>
            <w:top w:w="0" w:type="dxa"/>
            <w:left w:w="108" w:type="dxa"/>
            <w:bottom w:w="0" w:type="dxa"/>
            <w:right w:w="108" w:type="dxa"/>
          </w:tblCellMar>
        </w:tblPrEx>
        <w:trPr>
          <w:trHeight w:val="350"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卡塔尔</w:t>
            </w:r>
          </w:p>
        </w:tc>
        <w:tc>
          <w:tcPr>
            <w:tcW w:w="732"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1305815.77</w:t>
            </w:r>
          </w:p>
        </w:tc>
        <w:tc>
          <w:tcPr>
            <w:tcW w:w="96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454206428.00</w:t>
            </w:r>
          </w:p>
        </w:tc>
        <w:tc>
          <w:tcPr>
            <w:tcW w:w="71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c>
          <w:tcPr>
            <w:tcW w:w="80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r>
      <w:tr>
        <w:tblPrEx>
          <w:tblCellMar>
            <w:top w:w="0" w:type="dxa"/>
            <w:left w:w="108" w:type="dxa"/>
            <w:bottom w:w="0" w:type="dxa"/>
            <w:right w:w="108" w:type="dxa"/>
          </w:tblCellMar>
        </w:tblPrEx>
        <w:trPr>
          <w:trHeight w:val="305"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科威特</w:t>
            </w:r>
          </w:p>
        </w:tc>
        <w:tc>
          <w:tcPr>
            <w:tcW w:w="732"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1807302.00</w:t>
            </w:r>
          </w:p>
        </w:tc>
        <w:tc>
          <w:tcPr>
            <w:tcW w:w="96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595666871.00</w:t>
            </w:r>
          </w:p>
        </w:tc>
        <w:tc>
          <w:tcPr>
            <w:tcW w:w="71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c>
          <w:tcPr>
            <w:tcW w:w="80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r>
      <w:tr>
        <w:tblPrEx>
          <w:tblCellMar>
            <w:top w:w="0" w:type="dxa"/>
            <w:left w:w="108" w:type="dxa"/>
            <w:bottom w:w="0" w:type="dxa"/>
            <w:right w:w="108" w:type="dxa"/>
          </w:tblCellMar>
        </w:tblPrEx>
        <w:trPr>
          <w:trHeight w:val="335"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马来西亚</w:t>
            </w:r>
          </w:p>
        </w:tc>
        <w:tc>
          <w:tcPr>
            <w:tcW w:w="732"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441526.81</w:t>
            </w:r>
          </w:p>
        </w:tc>
        <w:tc>
          <w:tcPr>
            <w:tcW w:w="96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150735546.00</w:t>
            </w:r>
          </w:p>
        </w:tc>
        <w:tc>
          <w:tcPr>
            <w:tcW w:w="71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c>
          <w:tcPr>
            <w:tcW w:w="80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r>
      <w:tr>
        <w:tblPrEx>
          <w:tblCellMar>
            <w:top w:w="0" w:type="dxa"/>
            <w:left w:w="108" w:type="dxa"/>
            <w:bottom w:w="0" w:type="dxa"/>
            <w:right w:w="108" w:type="dxa"/>
          </w:tblCellMar>
        </w:tblPrEx>
        <w:trPr>
          <w:trHeight w:val="260"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美国</w:t>
            </w:r>
          </w:p>
        </w:tc>
        <w:tc>
          <w:tcPr>
            <w:tcW w:w="732"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3897357.30</w:t>
            </w:r>
          </w:p>
        </w:tc>
        <w:tc>
          <w:tcPr>
            <w:tcW w:w="96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1349931395.00</w:t>
            </w:r>
          </w:p>
        </w:tc>
        <w:tc>
          <w:tcPr>
            <w:tcW w:w="71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95485.18</w:t>
            </w:r>
          </w:p>
        </w:tc>
        <w:tc>
          <w:tcPr>
            <w:tcW w:w="80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17743024.00</w:t>
            </w:r>
          </w:p>
        </w:tc>
      </w:tr>
      <w:tr>
        <w:tblPrEx>
          <w:tblCellMar>
            <w:top w:w="0" w:type="dxa"/>
            <w:left w:w="108" w:type="dxa"/>
            <w:bottom w:w="0" w:type="dxa"/>
            <w:right w:w="108" w:type="dxa"/>
          </w:tblCellMar>
        </w:tblPrEx>
        <w:trPr>
          <w:trHeight w:val="290"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蒙古</w:t>
            </w:r>
          </w:p>
        </w:tc>
        <w:tc>
          <w:tcPr>
            <w:tcW w:w="732"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75492.62</w:t>
            </w:r>
          </w:p>
        </w:tc>
        <w:tc>
          <w:tcPr>
            <w:tcW w:w="96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17382864.00</w:t>
            </w:r>
          </w:p>
        </w:tc>
        <w:tc>
          <w:tcPr>
            <w:tcW w:w="71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c>
          <w:tcPr>
            <w:tcW w:w="80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r>
      <w:tr>
        <w:tblPrEx>
          <w:tblCellMar>
            <w:top w:w="0" w:type="dxa"/>
            <w:left w:w="108" w:type="dxa"/>
            <w:bottom w:w="0" w:type="dxa"/>
            <w:right w:w="108" w:type="dxa"/>
          </w:tblCellMar>
        </w:tblPrEx>
        <w:trPr>
          <w:trHeight w:val="350"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南苏丹共和国</w:t>
            </w:r>
          </w:p>
        </w:tc>
        <w:tc>
          <w:tcPr>
            <w:tcW w:w="732"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333948.20</w:t>
            </w:r>
          </w:p>
        </w:tc>
        <w:tc>
          <w:tcPr>
            <w:tcW w:w="96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115786264.00</w:t>
            </w:r>
          </w:p>
        </w:tc>
        <w:tc>
          <w:tcPr>
            <w:tcW w:w="71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c>
          <w:tcPr>
            <w:tcW w:w="80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r>
      <w:tr>
        <w:tblPrEx>
          <w:tblCellMar>
            <w:top w:w="0" w:type="dxa"/>
            <w:left w:w="108" w:type="dxa"/>
            <w:bottom w:w="0" w:type="dxa"/>
            <w:right w:w="108" w:type="dxa"/>
          </w:tblCellMar>
        </w:tblPrEx>
        <w:trPr>
          <w:trHeight w:val="350"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尼日利亚</w:t>
            </w:r>
          </w:p>
        </w:tc>
        <w:tc>
          <w:tcPr>
            <w:tcW w:w="732"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316481.14</w:t>
            </w:r>
          </w:p>
        </w:tc>
        <w:tc>
          <w:tcPr>
            <w:tcW w:w="96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95093821.00</w:t>
            </w:r>
          </w:p>
        </w:tc>
        <w:tc>
          <w:tcPr>
            <w:tcW w:w="71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c>
          <w:tcPr>
            <w:tcW w:w="80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r>
      <w:tr>
        <w:tblPrEx>
          <w:tblCellMar>
            <w:top w:w="0" w:type="dxa"/>
            <w:left w:w="108" w:type="dxa"/>
            <w:bottom w:w="0" w:type="dxa"/>
            <w:right w:w="108" w:type="dxa"/>
          </w:tblCellMar>
        </w:tblPrEx>
        <w:trPr>
          <w:trHeight w:val="380"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挪威</w:t>
            </w:r>
          </w:p>
        </w:tc>
        <w:tc>
          <w:tcPr>
            <w:tcW w:w="732"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806188.04</w:t>
            </w:r>
          </w:p>
        </w:tc>
        <w:tc>
          <w:tcPr>
            <w:tcW w:w="96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230623480.00</w:t>
            </w:r>
          </w:p>
        </w:tc>
        <w:tc>
          <w:tcPr>
            <w:tcW w:w="71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c>
          <w:tcPr>
            <w:tcW w:w="80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r>
      <w:tr>
        <w:tblPrEx>
          <w:tblCellMar>
            <w:top w:w="0" w:type="dxa"/>
            <w:left w:w="108" w:type="dxa"/>
            <w:bottom w:w="0" w:type="dxa"/>
            <w:right w:w="108" w:type="dxa"/>
          </w:tblCellMar>
        </w:tblPrEx>
        <w:trPr>
          <w:trHeight w:val="380"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沙特阿拉伯</w:t>
            </w:r>
          </w:p>
        </w:tc>
        <w:tc>
          <w:tcPr>
            <w:tcW w:w="732"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7784322.93</w:t>
            </w:r>
          </w:p>
        </w:tc>
        <w:tc>
          <w:tcPr>
            <w:tcW w:w="96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2633840412.00</w:t>
            </w:r>
          </w:p>
        </w:tc>
        <w:tc>
          <w:tcPr>
            <w:tcW w:w="71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c>
          <w:tcPr>
            <w:tcW w:w="80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r>
      <w:tr>
        <w:tblPrEx>
          <w:tblCellMar>
            <w:top w:w="0" w:type="dxa"/>
            <w:left w:w="108" w:type="dxa"/>
            <w:bottom w:w="0" w:type="dxa"/>
            <w:right w:w="108" w:type="dxa"/>
          </w:tblCellMar>
        </w:tblPrEx>
        <w:trPr>
          <w:trHeight w:val="350"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伊拉克</w:t>
            </w:r>
          </w:p>
        </w:tc>
        <w:tc>
          <w:tcPr>
            <w:tcW w:w="732"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3653974.55</w:t>
            </w:r>
          </w:p>
        </w:tc>
        <w:tc>
          <w:tcPr>
            <w:tcW w:w="96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1202928668.00</w:t>
            </w:r>
          </w:p>
        </w:tc>
        <w:tc>
          <w:tcPr>
            <w:tcW w:w="71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c>
          <w:tcPr>
            <w:tcW w:w="80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r>
      <w:tr>
        <w:tblPrEx>
          <w:tblCellMar>
            <w:top w:w="0" w:type="dxa"/>
            <w:left w:w="108" w:type="dxa"/>
            <w:bottom w:w="0" w:type="dxa"/>
            <w:right w:w="108" w:type="dxa"/>
          </w:tblCellMar>
        </w:tblPrEx>
        <w:trPr>
          <w:trHeight w:val="404"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伊朗</w:t>
            </w:r>
          </w:p>
        </w:tc>
        <w:tc>
          <w:tcPr>
            <w:tcW w:w="732"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678132.75</w:t>
            </w:r>
          </w:p>
        </w:tc>
        <w:tc>
          <w:tcPr>
            <w:tcW w:w="96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224625079.00</w:t>
            </w:r>
          </w:p>
        </w:tc>
        <w:tc>
          <w:tcPr>
            <w:tcW w:w="71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c>
          <w:tcPr>
            <w:tcW w:w="80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r>
      <w:tr>
        <w:tblPrEx>
          <w:tblCellMar>
            <w:top w:w="0" w:type="dxa"/>
            <w:left w:w="108" w:type="dxa"/>
            <w:bottom w:w="0" w:type="dxa"/>
            <w:right w:w="108" w:type="dxa"/>
          </w:tblCellMar>
        </w:tblPrEx>
        <w:trPr>
          <w:trHeight w:val="455"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印度尼西亚</w:t>
            </w:r>
          </w:p>
        </w:tc>
        <w:tc>
          <w:tcPr>
            <w:tcW w:w="732"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142819.39</w:t>
            </w:r>
          </w:p>
        </w:tc>
        <w:tc>
          <w:tcPr>
            <w:tcW w:w="96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48657022.00</w:t>
            </w:r>
          </w:p>
        </w:tc>
        <w:tc>
          <w:tcPr>
            <w:tcW w:w="71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c>
          <w:tcPr>
            <w:tcW w:w="80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r>
      <w:tr>
        <w:tblPrEx>
          <w:tblCellMar>
            <w:top w:w="0" w:type="dxa"/>
            <w:left w:w="108" w:type="dxa"/>
            <w:bottom w:w="0" w:type="dxa"/>
            <w:right w:w="108" w:type="dxa"/>
          </w:tblCellMar>
        </w:tblPrEx>
        <w:trPr>
          <w:trHeight w:val="425"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越南</w:t>
            </w:r>
          </w:p>
        </w:tc>
        <w:tc>
          <w:tcPr>
            <w:tcW w:w="732"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361242.82</w:t>
            </w:r>
          </w:p>
        </w:tc>
        <w:tc>
          <w:tcPr>
            <w:tcW w:w="96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137363915.00</w:t>
            </w:r>
          </w:p>
        </w:tc>
        <w:tc>
          <w:tcPr>
            <w:tcW w:w="71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c>
          <w:tcPr>
            <w:tcW w:w="80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r>
      <w:tr>
        <w:tblPrEx>
          <w:tblCellMar>
            <w:top w:w="0" w:type="dxa"/>
            <w:left w:w="108" w:type="dxa"/>
            <w:bottom w:w="0" w:type="dxa"/>
            <w:right w:w="108" w:type="dxa"/>
          </w:tblCellMar>
        </w:tblPrEx>
        <w:trPr>
          <w:trHeight w:val="380"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乍得</w:t>
            </w:r>
          </w:p>
        </w:tc>
        <w:tc>
          <w:tcPr>
            <w:tcW w:w="732"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270039.30</w:t>
            </w:r>
          </w:p>
        </w:tc>
        <w:tc>
          <w:tcPr>
            <w:tcW w:w="96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85753769.00</w:t>
            </w:r>
          </w:p>
        </w:tc>
        <w:tc>
          <w:tcPr>
            <w:tcW w:w="71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c>
          <w:tcPr>
            <w:tcW w:w="80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r>
      <w:tr>
        <w:tblPrEx>
          <w:tblCellMar>
            <w:top w:w="0" w:type="dxa"/>
            <w:left w:w="108" w:type="dxa"/>
            <w:bottom w:w="0" w:type="dxa"/>
            <w:right w:w="108" w:type="dxa"/>
          </w:tblCellMar>
        </w:tblPrEx>
        <w:trPr>
          <w:trHeight w:val="295"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缅甸</w:t>
            </w:r>
          </w:p>
        </w:tc>
        <w:tc>
          <w:tcPr>
            <w:tcW w:w="732"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c>
          <w:tcPr>
            <w:tcW w:w="96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c>
          <w:tcPr>
            <w:tcW w:w="71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130095.74</w:t>
            </w:r>
          </w:p>
        </w:tc>
        <w:tc>
          <w:tcPr>
            <w:tcW w:w="80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38664142.00</w:t>
            </w:r>
          </w:p>
        </w:tc>
      </w:tr>
      <w:tr>
        <w:tblPrEx>
          <w:tblCellMar>
            <w:top w:w="0" w:type="dxa"/>
            <w:left w:w="108" w:type="dxa"/>
            <w:bottom w:w="0" w:type="dxa"/>
            <w:right w:w="108" w:type="dxa"/>
          </w:tblCellMar>
        </w:tblPrEx>
        <w:trPr>
          <w:trHeight w:val="405" w:hRule="atLeast"/>
        </w:trPr>
        <w:tc>
          <w:tcPr>
            <w:tcW w:w="1777" w:type="pct"/>
            <w:gridSpan w:val="4"/>
            <w:tcBorders>
              <w:top w:val="single" w:color="333333" w:sz="8" w:space="0"/>
              <w:left w:val="nil"/>
              <w:bottom w:val="single" w:color="333333" w:sz="8" w:space="0"/>
              <w:right w:val="single" w:color="333333" w:sz="8" w:space="0"/>
            </w:tcBorders>
            <w:shd w:val="clear" w:color="auto" w:fill="00B0F0"/>
            <w:noWrap w:val="0"/>
            <w:vAlign w:val="bottom"/>
          </w:tcPr>
          <w:p>
            <w:pPr>
              <w:widowControl/>
              <w:jc w:val="center"/>
              <w:rPr>
                <w:rFonts w:hint="eastAsia" w:asciiTheme="minorEastAsia" w:hAnsiTheme="minorEastAsia" w:eastAsiaTheme="minorEastAsia" w:cstheme="minorEastAsia"/>
                <w:b/>
                <w:bCs/>
                <w:color w:val="333333"/>
                <w:kern w:val="0"/>
                <w:sz w:val="21"/>
                <w:szCs w:val="21"/>
              </w:rPr>
            </w:pPr>
            <w:r>
              <w:rPr>
                <w:rFonts w:hint="eastAsia" w:asciiTheme="minorEastAsia" w:hAnsiTheme="minorEastAsia" w:eastAsiaTheme="minorEastAsia" w:cstheme="minorEastAsia"/>
                <w:b/>
                <w:bCs/>
                <w:color w:val="333333"/>
                <w:kern w:val="0"/>
                <w:sz w:val="21"/>
                <w:szCs w:val="21"/>
              </w:rPr>
              <w:t>2020年9月合计</w:t>
            </w:r>
          </w:p>
        </w:tc>
        <w:tc>
          <w:tcPr>
            <w:tcW w:w="732" w:type="pct"/>
            <w:tcBorders>
              <w:top w:val="nil"/>
              <w:left w:val="nil"/>
              <w:bottom w:val="single" w:color="333333" w:sz="8" w:space="0"/>
              <w:right w:val="single" w:color="333333" w:sz="8" w:space="0"/>
            </w:tcBorders>
            <w:shd w:val="clear" w:color="auto" w:fill="00B0F0"/>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48481642.44</w:t>
            </w:r>
          </w:p>
        </w:tc>
        <w:tc>
          <w:tcPr>
            <w:tcW w:w="969" w:type="pct"/>
            <w:tcBorders>
              <w:top w:val="nil"/>
              <w:left w:val="nil"/>
              <w:bottom w:val="single" w:color="333333" w:sz="8" w:space="0"/>
              <w:right w:val="single" w:color="333333" w:sz="8" w:space="0"/>
            </w:tcBorders>
            <w:shd w:val="clear" w:color="auto" w:fill="00B0F0"/>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15933124065.00</w:t>
            </w:r>
          </w:p>
        </w:tc>
        <w:tc>
          <w:tcPr>
            <w:tcW w:w="711" w:type="pct"/>
            <w:tcBorders>
              <w:top w:val="nil"/>
              <w:left w:val="nil"/>
              <w:bottom w:val="single" w:color="333333" w:sz="8" w:space="0"/>
              <w:right w:val="single" w:color="333333" w:sz="8" w:space="0"/>
            </w:tcBorders>
            <w:shd w:val="clear" w:color="auto" w:fill="00B0F0"/>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321970.35</w:t>
            </w:r>
          </w:p>
        </w:tc>
        <w:tc>
          <w:tcPr>
            <w:tcW w:w="809" w:type="pct"/>
            <w:tcBorders>
              <w:top w:val="nil"/>
              <w:left w:val="nil"/>
              <w:bottom w:val="single" w:color="333333" w:sz="8" w:space="0"/>
              <w:right w:val="single" w:color="333333" w:sz="8" w:space="0"/>
            </w:tcBorders>
            <w:shd w:val="clear" w:color="auto" w:fill="00B0F0"/>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82412013.00</w:t>
            </w:r>
          </w:p>
        </w:tc>
      </w:tr>
    </w:tbl>
    <w:p>
      <w:pPr>
        <w:jc w:val="center"/>
        <w:rPr>
          <w:rFonts w:hint="eastAsia"/>
          <w:bCs/>
          <w:szCs w:val="21"/>
        </w:rPr>
      </w:pPr>
    </w:p>
    <w:p>
      <w:pPr>
        <w:pStyle w:val="3"/>
        <w:spacing w:before="120" w:after="120" w:line="240" w:lineRule="auto"/>
        <w:rPr>
          <w:rFonts w:hint="eastAsia" w:ascii="宋体" w:hAnsi="宋体"/>
          <w:b/>
          <w:sz w:val="30"/>
          <w:szCs w:val="30"/>
        </w:rPr>
      </w:pPr>
      <w:r>
        <w:rPr>
          <w:rFonts w:hint="eastAsia" w:ascii="宋体" w:hAnsi="宋体"/>
          <w:b/>
          <w:sz w:val="30"/>
          <w:szCs w:val="30"/>
        </w:rPr>
        <w:t>4.4 20</w:t>
      </w:r>
      <w:r>
        <w:rPr>
          <w:rFonts w:hint="eastAsia" w:ascii="宋体" w:hAnsi="宋体"/>
          <w:b/>
          <w:sz w:val="30"/>
          <w:szCs w:val="30"/>
          <w:lang w:val="en-US" w:eastAsia="zh-CN"/>
        </w:rPr>
        <w:t>20</w:t>
      </w:r>
      <w:r>
        <w:rPr>
          <w:rFonts w:hint="eastAsia" w:ascii="宋体" w:hAnsi="宋体"/>
          <w:b/>
          <w:sz w:val="30"/>
          <w:szCs w:val="30"/>
        </w:rPr>
        <w:t>年</w:t>
      </w:r>
      <w:r>
        <w:rPr>
          <w:rFonts w:hint="eastAsia" w:ascii="宋体" w:hAnsi="宋体"/>
          <w:b/>
          <w:sz w:val="30"/>
          <w:szCs w:val="30"/>
          <w:lang w:val="en-US" w:eastAsia="zh-CN"/>
        </w:rPr>
        <w:t>9</w:t>
      </w:r>
      <w:r>
        <w:rPr>
          <w:rFonts w:hint="eastAsia" w:ascii="宋体" w:hAnsi="宋体"/>
          <w:b/>
          <w:sz w:val="30"/>
          <w:szCs w:val="30"/>
        </w:rPr>
        <w:t>月份全国航空煤油进出口统计数据</w:t>
      </w:r>
      <w:bookmarkEnd w:id="20"/>
    </w:p>
    <w:p>
      <w:pPr>
        <w:ind w:firstLine="420" w:firstLineChars="200"/>
        <w:jc w:val="left"/>
        <w:rPr>
          <w:rFonts w:hint="eastAsia" w:ascii="宋体" w:hAnsi="宋体"/>
          <w:b/>
          <w:sz w:val="30"/>
          <w:szCs w:val="30"/>
        </w:rPr>
      </w:pPr>
      <w:r>
        <w:rPr>
          <w:rFonts w:hint="eastAsia" w:ascii="宋体" w:hAnsi="宋体"/>
        </w:rPr>
        <w:t>单位：</w:t>
      </w:r>
      <w:r>
        <w:rPr>
          <w:rFonts w:hint="eastAsia" w:ascii="宋体" w:hAnsi="宋体"/>
          <w:lang w:eastAsia="zh-CN"/>
        </w:rPr>
        <w:t>吨</w:t>
      </w:r>
      <w:r>
        <w:rPr>
          <w:rFonts w:hint="eastAsia" w:ascii="宋体" w:hAnsi="宋体"/>
        </w:rPr>
        <w:t>，美元</w:t>
      </w:r>
    </w:p>
    <w:bookmarkEnd w:id="18"/>
    <w:tbl>
      <w:tblPr>
        <w:tblStyle w:val="24"/>
        <w:tblW w:w="10054" w:type="dxa"/>
        <w:tblInd w:w="0" w:type="dxa"/>
        <w:shd w:val="clear" w:color="auto" w:fill="auto"/>
        <w:tblLayout w:type="autofit"/>
        <w:tblCellMar>
          <w:top w:w="0" w:type="dxa"/>
          <w:left w:w="0" w:type="dxa"/>
          <w:bottom w:w="0" w:type="dxa"/>
          <w:right w:w="0" w:type="dxa"/>
        </w:tblCellMar>
      </w:tblPr>
      <w:tblGrid>
        <w:gridCol w:w="1594"/>
        <w:gridCol w:w="1920"/>
        <w:gridCol w:w="1755"/>
        <w:gridCol w:w="2340"/>
        <w:gridCol w:w="2445"/>
      </w:tblGrid>
      <w:tr>
        <w:tblPrEx>
          <w:shd w:val="clear" w:color="auto" w:fill="auto"/>
          <w:tblCellMar>
            <w:top w:w="0" w:type="dxa"/>
            <w:left w:w="0" w:type="dxa"/>
            <w:bottom w:w="0" w:type="dxa"/>
            <w:right w:w="0" w:type="dxa"/>
          </w:tblCellMar>
        </w:tblPrEx>
        <w:trPr>
          <w:trHeight w:val="535" w:hRule="atLeast"/>
        </w:trPr>
        <w:tc>
          <w:tcPr>
            <w:tcW w:w="1594" w:type="dxa"/>
            <w:tcBorders>
              <w:top w:val="single" w:color="333333" w:sz="8" w:space="0"/>
              <w:left w:val="nil"/>
              <w:bottom w:val="single" w:color="333333" w:sz="8" w:space="0"/>
              <w:right w:val="single" w:color="333333"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191919"/>
                <w:sz w:val="20"/>
                <w:szCs w:val="20"/>
                <w:u w:val="none"/>
              </w:rPr>
            </w:pPr>
            <w:r>
              <w:rPr>
                <w:rFonts w:hint="eastAsia" w:asciiTheme="minorEastAsia" w:hAnsiTheme="minorEastAsia" w:eastAsiaTheme="minorEastAsia" w:cstheme="minorEastAsia"/>
                <w:b/>
                <w:i w:val="0"/>
                <w:color w:val="191919"/>
                <w:kern w:val="0"/>
                <w:sz w:val="20"/>
                <w:szCs w:val="20"/>
                <w:u w:val="none"/>
                <w:lang w:val="en-US" w:eastAsia="zh-CN" w:bidi="ar"/>
              </w:rPr>
              <w:t>国家</w:t>
            </w:r>
          </w:p>
        </w:tc>
        <w:tc>
          <w:tcPr>
            <w:tcW w:w="1920" w:type="dxa"/>
            <w:tcBorders>
              <w:top w:val="single" w:color="333333" w:sz="8" w:space="0"/>
              <w:left w:val="nil"/>
              <w:bottom w:val="single" w:color="333333" w:sz="8" w:space="0"/>
              <w:right w:val="single" w:color="333333"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191919"/>
                <w:sz w:val="20"/>
                <w:szCs w:val="20"/>
                <w:u w:val="none"/>
              </w:rPr>
            </w:pPr>
            <w:r>
              <w:rPr>
                <w:rFonts w:hint="eastAsia" w:asciiTheme="minorEastAsia" w:hAnsiTheme="minorEastAsia" w:eastAsiaTheme="minorEastAsia" w:cstheme="minorEastAsia"/>
                <w:b/>
                <w:i w:val="0"/>
                <w:color w:val="191919"/>
                <w:kern w:val="0"/>
                <w:sz w:val="20"/>
                <w:szCs w:val="20"/>
                <w:u w:val="none"/>
                <w:lang w:val="en-US" w:eastAsia="zh-CN" w:bidi="ar"/>
              </w:rPr>
              <w:t>进口数量/吨</w:t>
            </w:r>
          </w:p>
        </w:tc>
        <w:tc>
          <w:tcPr>
            <w:tcW w:w="1755" w:type="dxa"/>
            <w:tcBorders>
              <w:top w:val="single" w:color="333333" w:sz="8" w:space="0"/>
              <w:left w:val="nil"/>
              <w:bottom w:val="single" w:color="333333" w:sz="8" w:space="0"/>
              <w:right w:val="single" w:color="333333"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191919"/>
                <w:sz w:val="20"/>
                <w:szCs w:val="20"/>
                <w:u w:val="none"/>
              </w:rPr>
            </w:pPr>
            <w:r>
              <w:rPr>
                <w:rFonts w:hint="eastAsia" w:asciiTheme="minorEastAsia" w:hAnsiTheme="minorEastAsia" w:eastAsiaTheme="minorEastAsia" w:cstheme="minorEastAsia"/>
                <w:b/>
                <w:i w:val="0"/>
                <w:color w:val="191919"/>
                <w:kern w:val="0"/>
                <w:sz w:val="20"/>
                <w:szCs w:val="20"/>
                <w:u w:val="none"/>
                <w:lang w:val="en-US" w:eastAsia="zh-CN" w:bidi="ar"/>
              </w:rPr>
              <w:t>进口金额/美元</w:t>
            </w:r>
          </w:p>
        </w:tc>
        <w:tc>
          <w:tcPr>
            <w:tcW w:w="2340" w:type="dxa"/>
            <w:tcBorders>
              <w:top w:val="single" w:color="333333" w:sz="8" w:space="0"/>
              <w:left w:val="nil"/>
              <w:bottom w:val="single" w:color="333333" w:sz="8" w:space="0"/>
              <w:right w:val="single" w:color="333333"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191919"/>
                <w:sz w:val="20"/>
                <w:szCs w:val="20"/>
                <w:u w:val="none"/>
              </w:rPr>
            </w:pPr>
            <w:r>
              <w:rPr>
                <w:rFonts w:hint="eastAsia" w:asciiTheme="minorEastAsia" w:hAnsiTheme="minorEastAsia" w:eastAsiaTheme="minorEastAsia" w:cstheme="minorEastAsia"/>
                <w:b/>
                <w:i w:val="0"/>
                <w:color w:val="191919"/>
                <w:kern w:val="0"/>
                <w:sz w:val="20"/>
                <w:szCs w:val="20"/>
                <w:u w:val="none"/>
                <w:lang w:val="en-US" w:eastAsia="zh-CN" w:bidi="ar"/>
              </w:rPr>
              <w:t>出口数量/吨</w:t>
            </w:r>
          </w:p>
        </w:tc>
        <w:tc>
          <w:tcPr>
            <w:tcW w:w="2445" w:type="dxa"/>
            <w:tcBorders>
              <w:top w:val="single" w:color="333333" w:sz="8" w:space="0"/>
              <w:left w:val="nil"/>
              <w:bottom w:val="single" w:color="333333" w:sz="8" w:space="0"/>
              <w:right w:val="single" w:color="333333"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191919"/>
                <w:sz w:val="20"/>
                <w:szCs w:val="20"/>
                <w:u w:val="none"/>
              </w:rPr>
            </w:pPr>
            <w:r>
              <w:rPr>
                <w:rFonts w:hint="eastAsia" w:asciiTheme="minorEastAsia" w:hAnsiTheme="minorEastAsia" w:eastAsiaTheme="minorEastAsia" w:cstheme="minorEastAsia"/>
                <w:b/>
                <w:i w:val="0"/>
                <w:color w:val="191919"/>
                <w:kern w:val="0"/>
                <w:sz w:val="20"/>
                <w:szCs w:val="20"/>
                <w:u w:val="none"/>
                <w:lang w:val="en-US" w:eastAsia="zh-CN" w:bidi="ar"/>
              </w:rPr>
              <w:t>出口金额/美元</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阿联酋</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2744.672</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1234961</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阿塞拜疆</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2717.443</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1264127</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埃及</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15.722</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7172</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埃塞俄比亚</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3318.957</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1538869</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澳大利亚</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79519.516</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39356889</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巴基斯坦</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319.065</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151825</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比利时</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4571.891</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2144597</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朝鲜</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7.363</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3359</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丹麦</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45.982</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22071</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德国</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2700.689</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1235522</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俄罗斯联邦</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9167.364</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3891614</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法国</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231.726</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93932</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菲律宾</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13797.583</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4582306</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芬兰</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410.528</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188931</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哈萨克斯坦</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231.837</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96791</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韩国</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187565.403</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64580585</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11999.295</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3518461</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荷兰</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4208.956</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1919326</w:t>
            </w:r>
          </w:p>
        </w:tc>
      </w:tr>
      <w:tr>
        <w:tblPrEx>
          <w:tblCellMar>
            <w:top w:w="0" w:type="dxa"/>
            <w:left w:w="0" w:type="dxa"/>
            <w:bottom w:w="0" w:type="dxa"/>
            <w:right w:w="0" w:type="dxa"/>
          </w:tblCellMar>
        </w:tblPrEx>
        <w:trPr>
          <w:trHeight w:val="49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吉尔吉斯斯坦</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353.326</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108146</w:t>
            </w:r>
          </w:p>
        </w:tc>
      </w:tr>
      <w:tr>
        <w:tblPrEx>
          <w:tblCellMar>
            <w:top w:w="0" w:type="dxa"/>
            <w:left w:w="0" w:type="dxa"/>
            <w:bottom w:w="0" w:type="dxa"/>
            <w:right w:w="0" w:type="dxa"/>
          </w:tblCellMar>
        </w:tblPrEx>
        <w:trPr>
          <w:trHeight w:val="49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加拿大</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634.516</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289609</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柬埔寨</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6.194</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2973</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卡塔尔</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12161.421</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4672017</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拉脱维亚</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86.498</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41519</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卢森堡</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15721.127</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7644926</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马来西亚</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471.021</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217515</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美国</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18905.84</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7748597</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孟加拉国</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9663.311</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2331757</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秘鲁</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44.073</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21155</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缅甸</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1429.284</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501250</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墨西哥</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108.233</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33128</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日本</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3527.845</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1569438</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瑞典</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7.616</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3497</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瑞士</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721.8</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326174</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斯里兰卡</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106.467</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48782</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塔吉克斯坦</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81.509</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24948</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泰国</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318.319</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146544</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土耳其</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2557.88</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1165454</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文莱</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4.344</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2042</w:t>
            </w:r>
          </w:p>
        </w:tc>
      </w:tr>
      <w:tr>
        <w:tblPrEx>
          <w:tblCellMar>
            <w:top w:w="0" w:type="dxa"/>
            <w:left w:w="0" w:type="dxa"/>
            <w:bottom w:w="0" w:type="dxa"/>
            <w:right w:w="0" w:type="dxa"/>
          </w:tblCellMar>
        </w:tblPrEx>
        <w:trPr>
          <w:trHeight w:val="49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乌兹别克斯坦</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692.444</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292519</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西班牙</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68.945</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33094</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新加坡</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150.037</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53432</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6537.146</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3132036</w:t>
            </w:r>
          </w:p>
        </w:tc>
      </w:tr>
      <w:tr>
        <w:tblPrEx>
          <w:tblCellMar>
            <w:top w:w="0" w:type="dxa"/>
            <w:left w:w="0" w:type="dxa"/>
            <w:bottom w:w="0" w:type="dxa"/>
            <w:right w:w="0" w:type="dxa"/>
          </w:tblCellMar>
        </w:tblPrEx>
        <w:trPr>
          <w:trHeight w:val="49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新西兰</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1323.043</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610836</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伊朗</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969.216</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401760</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意大利</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818.17</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313228</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印度尼西亚</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133.739</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62990</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英国</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28870.184</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12110264</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越南</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8586.323</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1486437</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中国澳门</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103.405</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47488</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中国台湾</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971.601</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423659</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中国香港</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6974.191</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2726924</w:t>
            </w:r>
          </w:p>
        </w:tc>
      </w:tr>
      <w:tr>
        <w:tblPrEx>
          <w:tblCellMar>
            <w:top w:w="0" w:type="dxa"/>
            <w:left w:w="0" w:type="dxa"/>
            <w:bottom w:w="0" w:type="dxa"/>
            <w:right w:w="0" w:type="dxa"/>
          </w:tblCellMar>
        </w:tblPrEx>
        <w:trPr>
          <w:trHeight w:val="285" w:hRule="atLeast"/>
        </w:trPr>
        <w:tc>
          <w:tcPr>
            <w:tcW w:w="1594" w:type="dxa"/>
            <w:tcBorders>
              <w:top w:val="single" w:color="000000" w:sz="8" w:space="0"/>
              <w:left w:val="single" w:color="000000" w:sz="8" w:space="0"/>
              <w:bottom w:val="single" w:color="000000" w:sz="8" w:space="0"/>
              <w:right w:val="single" w:color="000000" w:sz="8" w:space="0"/>
            </w:tcBorders>
            <w:shd w:val="clear" w:color="auto" w:fill="00B0F0"/>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合计</w:t>
            </w:r>
          </w:p>
        </w:tc>
        <w:tc>
          <w:tcPr>
            <w:tcW w:w="1920" w:type="dxa"/>
            <w:tcBorders>
              <w:top w:val="nil"/>
              <w:left w:val="nil"/>
              <w:bottom w:val="single" w:color="333333" w:sz="8" w:space="0"/>
              <w:right w:val="single" w:color="333333"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187715.44</w:t>
            </w:r>
          </w:p>
        </w:tc>
        <w:tc>
          <w:tcPr>
            <w:tcW w:w="1755" w:type="dxa"/>
            <w:tcBorders>
              <w:top w:val="nil"/>
              <w:left w:val="nil"/>
              <w:bottom w:val="single" w:color="333333" w:sz="8" w:space="0"/>
              <w:right w:val="single" w:color="333333"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64634017</w:t>
            </w:r>
          </w:p>
        </w:tc>
        <w:tc>
          <w:tcPr>
            <w:tcW w:w="2340" w:type="dxa"/>
            <w:tcBorders>
              <w:top w:val="nil"/>
              <w:left w:val="nil"/>
              <w:bottom w:val="single" w:color="333333" w:sz="8" w:space="0"/>
              <w:right w:val="single" w:color="333333"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258967.62</w:t>
            </w:r>
          </w:p>
        </w:tc>
        <w:tc>
          <w:tcPr>
            <w:tcW w:w="2445" w:type="dxa"/>
            <w:tcBorders>
              <w:top w:val="nil"/>
              <w:left w:val="nil"/>
              <w:bottom w:val="single" w:color="333333" w:sz="8" w:space="0"/>
              <w:right w:val="single" w:color="333333"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109791459</w:t>
            </w:r>
          </w:p>
        </w:tc>
      </w:tr>
    </w:tbl>
    <w:p/>
    <w:sectPr>
      <w:headerReference r:id="rId5" w:type="first"/>
      <w:headerReference r:id="rId3" w:type="default"/>
      <w:headerReference r:id="rId4" w:type="even"/>
      <w:pgSz w:w="11906" w:h="16838"/>
      <w:pgMar w:top="1416" w:right="1134" w:bottom="1440" w:left="1134" w:header="468"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MS Gothic">
    <w:panose1 w:val="020B06090702050802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A00002EF" w:usb1="4000004B" w:usb2="00000000" w:usb3="00000000" w:csb0="200000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Segoe UI">
    <w:panose1 w:val="020B0502040204020203"/>
    <w:charset w:val="00"/>
    <w:family w:val="auto"/>
    <w:pitch w:val="default"/>
    <w:sig w:usb0="E10022FF" w:usb1="C000E47F" w:usb2="00000029" w:usb3="00000000" w:csb0="200001DF" w:csb1="20000000"/>
  </w:font>
  <w:font w:name="华文仿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left="-359" w:leftChars="-171"/>
    </w:pP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7553325" cy="10696575"/>
          <wp:effectExtent l="0" t="0" r="9525" b="9525"/>
          <wp:wrapNone/>
          <wp:docPr id="5" name="WordPictureWatermark3"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3"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7553325" cy="10696575"/>
          <wp:effectExtent l="0" t="0" r="9525" b="9525"/>
          <wp:wrapNone/>
          <wp:docPr id="6" name="WordPictureWatermark2"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2"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7553325" cy="10696575"/>
          <wp:effectExtent l="0" t="0" r="9525" b="9525"/>
          <wp:wrapNone/>
          <wp:docPr id="4" name="WordPictureWatermark1"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C2E1A6"/>
    <w:multiLevelType w:val="singleLevel"/>
    <w:tmpl w:val="B6C2E1A6"/>
    <w:lvl w:ilvl="0" w:tentative="0">
      <w:start w:val="3"/>
      <w:numFmt w:val="decimal"/>
      <w:lvlText w:val="%1."/>
      <w:lvlJc w:val="left"/>
      <w:pPr>
        <w:tabs>
          <w:tab w:val="left" w:pos="312"/>
        </w:tabs>
      </w:pPr>
    </w:lvl>
  </w:abstractNum>
  <w:abstractNum w:abstractNumId="1">
    <w:nsid w:val="C05F4C3B"/>
    <w:multiLevelType w:val="singleLevel"/>
    <w:tmpl w:val="C05F4C3B"/>
    <w:lvl w:ilvl="0" w:tentative="0">
      <w:start w:val="2"/>
      <w:numFmt w:val="decimal"/>
      <w:suff w:val="nothing"/>
      <w:lvlText w:val="（%1）"/>
      <w:lvlJc w:val="left"/>
    </w:lvl>
  </w:abstractNum>
  <w:abstractNum w:abstractNumId="2">
    <w:nsid w:val="DD852283"/>
    <w:multiLevelType w:val="singleLevel"/>
    <w:tmpl w:val="DD852283"/>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1D5"/>
    <w:rsid w:val="00000001"/>
    <w:rsid w:val="00000E2B"/>
    <w:rsid w:val="00001EBA"/>
    <w:rsid w:val="00002437"/>
    <w:rsid w:val="00002997"/>
    <w:rsid w:val="00002F3E"/>
    <w:rsid w:val="00004542"/>
    <w:rsid w:val="00004A29"/>
    <w:rsid w:val="00005391"/>
    <w:rsid w:val="00005D8F"/>
    <w:rsid w:val="00005D97"/>
    <w:rsid w:val="000061A0"/>
    <w:rsid w:val="000062CE"/>
    <w:rsid w:val="0000681C"/>
    <w:rsid w:val="00006B29"/>
    <w:rsid w:val="00007094"/>
    <w:rsid w:val="00007B25"/>
    <w:rsid w:val="00007B73"/>
    <w:rsid w:val="000107BF"/>
    <w:rsid w:val="0001419C"/>
    <w:rsid w:val="00014957"/>
    <w:rsid w:val="00014C18"/>
    <w:rsid w:val="0001671E"/>
    <w:rsid w:val="000173C4"/>
    <w:rsid w:val="000178C3"/>
    <w:rsid w:val="00017CC7"/>
    <w:rsid w:val="0002004D"/>
    <w:rsid w:val="000200C7"/>
    <w:rsid w:val="00020D95"/>
    <w:rsid w:val="000211FB"/>
    <w:rsid w:val="0002143E"/>
    <w:rsid w:val="000214FF"/>
    <w:rsid w:val="00021DC4"/>
    <w:rsid w:val="00021E92"/>
    <w:rsid w:val="0002290F"/>
    <w:rsid w:val="00022911"/>
    <w:rsid w:val="00024B10"/>
    <w:rsid w:val="000258A5"/>
    <w:rsid w:val="00025BB2"/>
    <w:rsid w:val="000261E4"/>
    <w:rsid w:val="00026323"/>
    <w:rsid w:val="00026B40"/>
    <w:rsid w:val="0002776E"/>
    <w:rsid w:val="000278B2"/>
    <w:rsid w:val="00027D07"/>
    <w:rsid w:val="000307CA"/>
    <w:rsid w:val="00030D45"/>
    <w:rsid w:val="000311A2"/>
    <w:rsid w:val="0003292B"/>
    <w:rsid w:val="00032F7C"/>
    <w:rsid w:val="000333A9"/>
    <w:rsid w:val="00034091"/>
    <w:rsid w:val="0003487C"/>
    <w:rsid w:val="00034C76"/>
    <w:rsid w:val="00034D87"/>
    <w:rsid w:val="000350F8"/>
    <w:rsid w:val="000351B3"/>
    <w:rsid w:val="00035B2E"/>
    <w:rsid w:val="000365DA"/>
    <w:rsid w:val="0003678B"/>
    <w:rsid w:val="000371F1"/>
    <w:rsid w:val="00037335"/>
    <w:rsid w:val="000378D2"/>
    <w:rsid w:val="0003793F"/>
    <w:rsid w:val="00037BE1"/>
    <w:rsid w:val="0004014C"/>
    <w:rsid w:val="000408A0"/>
    <w:rsid w:val="00040979"/>
    <w:rsid w:val="00040C7D"/>
    <w:rsid w:val="00040E39"/>
    <w:rsid w:val="000414B3"/>
    <w:rsid w:val="00041567"/>
    <w:rsid w:val="00041645"/>
    <w:rsid w:val="0004193C"/>
    <w:rsid w:val="00042A15"/>
    <w:rsid w:val="0004317C"/>
    <w:rsid w:val="00044335"/>
    <w:rsid w:val="0004451D"/>
    <w:rsid w:val="000450D2"/>
    <w:rsid w:val="000455F4"/>
    <w:rsid w:val="00046E70"/>
    <w:rsid w:val="00047259"/>
    <w:rsid w:val="00047DBB"/>
    <w:rsid w:val="00050E51"/>
    <w:rsid w:val="00051443"/>
    <w:rsid w:val="00051A09"/>
    <w:rsid w:val="00051DD5"/>
    <w:rsid w:val="00051E83"/>
    <w:rsid w:val="00052AAE"/>
    <w:rsid w:val="000530F9"/>
    <w:rsid w:val="000533E0"/>
    <w:rsid w:val="00054176"/>
    <w:rsid w:val="00054429"/>
    <w:rsid w:val="00054B8C"/>
    <w:rsid w:val="00054FF9"/>
    <w:rsid w:val="000550CF"/>
    <w:rsid w:val="00055C14"/>
    <w:rsid w:val="00055D8E"/>
    <w:rsid w:val="00056B34"/>
    <w:rsid w:val="00056E02"/>
    <w:rsid w:val="0005709B"/>
    <w:rsid w:val="00057C7F"/>
    <w:rsid w:val="000600F1"/>
    <w:rsid w:val="0006025C"/>
    <w:rsid w:val="0006030A"/>
    <w:rsid w:val="00060CDF"/>
    <w:rsid w:val="00060FE3"/>
    <w:rsid w:val="000614AA"/>
    <w:rsid w:val="000616C7"/>
    <w:rsid w:val="000622A6"/>
    <w:rsid w:val="00063461"/>
    <w:rsid w:val="00063524"/>
    <w:rsid w:val="00063D65"/>
    <w:rsid w:val="000641DA"/>
    <w:rsid w:val="00064635"/>
    <w:rsid w:val="000647DD"/>
    <w:rsid w:val="000661BB"/>
    <w:rsid w:val="00067D25"/>
    <w:rsid w:val="00071AB9"/>
    <w:rsid w:val="00071D20"/>
    <w:rsid w:val="00072B8A"/>
    <w:rsid w:val="00072D55"/>
    <w:rsid w:val="00072FD1"/>
    <w:rsid w:val="000730CF"/>
    <w:rsid w:val="00073486"/>
    <w:rsid w:val="0007371F"/>
    <w:rsid w:val="00073A1E"/>
    <w:rsid w:val="000745EA"/>
    <w:rsid w:val="00076A59"/>
    <w:rsid w:val="00076D7A"/>
    <w:rsid w:val="000770E7"/>
    <w:rsid w:val="00080E3E"/>
    <w:rsid w:val="000816B9"/>
    <w:rsid w:val="000818F5"/>
    <w:rsid w:val="00081BB1"/>
    <w:rsid w:val="00082283"/>
    <w:rsid w:val="000829B8"/>
    <w:rsid w:val="00083416"/>
    <w:rsid w:val="000837CC"/>
    <w:rsid w:val="00083A7A"/>
    <w:rsid w:val="00084686"/>
    <w:rsid w:val="00084795"/>
    <w:rsid w:val="00086799"/>
    <w:rsid w:val="00087018"/>
    <w:rsid w:val="000873E9"/>
    <w:rsid w:val="00087A5E"/>
    <w:rsid w:val="00087FB0"/>
    <w:rsid w:val="00090691"/>
    <w:rsid w:val="000908E5"/>
    <w:rsid w:val="00090993"/>
    <w:rsid w:val="00090EB0"/>
    <w:rsid w:val="0009139C"/>
    <w:rsid w:val="000915F9"/>
    <w:rsid w:val="00092D67"/>
    <w:rsid w:val="0009306B"/>
    <w:rsid w:val="00094101"/>
    <w:rsid w:val="00094976"/>
    <w:rsid w:val="000950DB"/>
    <w:rsid w:val="00095556"/>
    <w:rsid w:val="0009706E"/>
    <w:rsid w:val="00097831"/>
    <w:rsid w:val="00097A8A"/>
    <w:rsid w:val="000A04CA"/>
    <w:rsid w:val="000A089A"/>
    <w:rsid w:val="000A08E0"/>
    <w:rsid w:val="000A1177"/>
    <w:rsid w:val="000A1814"/>
    <w:rsid w:val="000A1F70"/>
    <w:rsid w:val="000A2479"/>
    <w:rsid w:val="000A28C2"/>
    <w:rsid w:val="000A2A3A"/>
    <w:rsid w:val="000A34DE"/>
    <w:rsid w:val="000A35E6"/>
    <w:rsid w:val="000A35EB"/>
    <w:rsid w:val="000A420D"/>
    <w:rsid w:val="000A4ABE"/>
    <w:rsid w:val="000A4CA3"/>
    <w:rsid w:val="000A53C0"/>
    <w:rsid w:val="000A5A29"/>
    <w:rsid w:val="000A5D6A"/>
    <w:rsid w:val="000A6CD8"/>
    <w:rsid w:val="000A731B"/>
    <w:rsid w:val="000A7E49"/>
    <w:rsid w:val="000B0145"/>
    <w:rsid w:val="000B02C2"/>
    <w:rsid w:val="000B0464"/>
    <w:rsid w:val="000B07D8"/>
    <w:rsid w:val="000B117C"/>
    <w:rsid w:val="000B1354"/>
    <w:rsid w:val="000B18CA"/>
    <w:rsid w:val="000B1CBE"/>
    <w:rsid w:val="000B278F"/>
    <w:rsid w:val="000B2F60"/>
    <w:rsid w:val="000B3F65"/>
    <w:rsid w:val="000B438B"/>
    <w:rsid w:val="000B4A4B"/>
    <w:rsid w:val="000B4B63"/>
    <w:rsid w:val="000B577A"/>
    <w:rsid w:val="000B6E8C"/>
    <w:rsid w:val="000B6EF1"/>
    <w:rsid w:val="000C045B"/>
    <w:rsid w:val="000C0765"/>
    <w:rsid w:val="000C1522"/>
    <w:rsid w:val="000C23BE"/>
    <w:rsid w:val="000C2AF8"/>
    <w:rsid w:val="000C2C0D"/>
    <w:rsid w:val="000C390B"/>
    <w:rsid w:val="000C519B"/>
    <w:rsid w:val="000C7E9B"/>
    <w:rsid w:val="000D017E"/>
    <w:rsid w:val="000D1403"/>
    <w:rsid w:val="000D19C8"/>
    <w:rsid w:val="000D1EDF"/>
    <w:rsid w:val="000D23EE"/>
    <w:rsid w:val="000D2454"/>
    <w:rsid w:val="000D2F34"/>
    <w:rsid w:val="000D5070"/>
    <w:rsid w:val="000D54B6"/>
    <w:rsid w:val="000D5A72"/>
    <w:rsid w:val="000D606E"/>
    <w:rsid w:val="000D6CDE"/>
    <w:rsid w:val="000D77A0"/>
    <w:rsid w:val="000D78B6"/>
    <w:rsid w:val="000E02F8"/>
    <w:rsid w:val="000E08E9"/>
    <w:rsid w:val="000E09E1"/>
    <w:rsid w:val="000E0BE6"/>
    <w:rsid w:val="000E0C68"/>
    <w:rsid w:val="000E119C"/>
    <w:rsid w:val="000E11CC"/>
    <w:rsid w:val="000E2177"/>
    <w:rsid w:val="000E236C"/>
    <w:rsid w:val="000E2AB6"/>
    <w:rsid w:val="000E3068"/>
    <w:rsid w:val="000E3797"/>
    <w:rsid w:val="000E47BE"/>
    <w:rsid w:val="000E5148"/>
    <w:rsid w:val="000E6069"/>
    <w:rsid w:val="000E675A"/>
    <w:rsid w:val="000E6D52"/>
    <w:rsid w:val="000E6D82"/>
    <w:rsid w:val="000E6FF4"/>
    <w:rsid w:val="000E70FD"/>
    <w:rsid w:val="000E7B4B"/>
    <w:rsid w:val="000F0302"/>
    <w:rsid w:val="000F1424"/>
    <w:rsid w:val="000F18AD"/>
    <w:rsid w:val="000F22B3"/>
    <w:rsid w:val="000F26ED"/>
    <w:rsid w:val="000F28B0"/>
    <w:rsid w:val="000F3134"/>
    <w:rsid w:val="000F3569"/>
    <w:rsid w:val="000F35E1"/>
    <w:rsid w:val="000F3D99"/>
    <w:rsid w:val="000F4030"/>
    <w:rsid w:val="000F660F"/>
    <w:rsid w:val="000F68C8"/>
    <w:rsid w:val="000F756F"/>
    <w:rsid w:val="000F7799"/>
    <w:rsid w:val="000F7FC3"/>
    <w:rsid w:val="001000F4"/>
    <w:rsid w:val="001017C9"/>
    <w:rsid w:val="00101ECB"/>
    <w:rsid w:val="001020D5"/>
    <w:rsid w:val="00102A5C"/>
    <w:rsid w:val="001035B8"/>
    <w:rsid w:val="001036E7"/>
    <w:rsid w:val="00103E6C"/>
    <w:rsid w:val="00104105"/>
    <w:rsid w:val="001048FA"/>
    <w:rsid w:val="001057B4"/>
    <w:rsid w:val="00105C49"/>
    <w:rsid w:val="00106EF3"/>
    <w:rsid w:val="001070FC"/>
    <w:rsid w:val="00107AE3"/>
    <w:rsid w:val="00107B0B"/>
    <w:rsid w:val="00107E46"/>
    <w:rsid w:val="00110A50"/>
    <w:rsid w:val="00111114"/>
    <w:rsid w:val="00111756"/>
    <w:rsid w:val="00111A3D"/>
    <w:rsid w:val="00111D2D"/>
    <w:rsid w:val="00112543"/>
    <w:rsid w:val="0011275B"/>
    <w:rsid w:val="0011324A"/>
    <w:rsid w:val="00113675"/>
    <w:rsid w:val="00114954"/>
    <w:rsid w:val="00114A6C"/>
    <w:rsid w:val="001150AE"/>
    <w:rsid w:val="00115A3C"/>
    <w:rsid w:val="00115EFA"/>
    <w:rsid w:val="001172F7"/>
    <w:rsid w:val="00117BF6"/>
    <w:rsid w:val="001209FD"/>
    <w:rsid w:val="0012159B"/>
    <w:rsid w:val="00121C71"/>
    <w:rsid w:val="00122283"/>
    <w:rsid w:val="00122331"/>
    <w:rsid w:val="00122541"/>
    <w:rsid w:val="00122BC1"/>
    <w:rsid w:val="00122EB5"/>
    <w:rsid w:val="00123F25"/>
    <w:rsid w:val="00124010"/>
    <w:rsid w:val="00125FBE"/>
    <w:rsid w:val="00126307"/>
    <w:rsid w:val="00126DAE"/>
    <w:rsid w:val="00127938"/>
    <w:rsid w:val="00127F97"/>
    <w:rsid w:val="001304A1"/>
    <w:rsid w:val="00130E8D"/>
    <w:rsid w:val="00131D92"/>
    <w:rsid w:val="00131FF7"/>
    <w:rsid w:val="001325BA"/>
    <w:rsid w:val="0013325C"/>
    <w:rsid w:val="00133446"/>
    <w:rsid w:val="00133D58"/>
    <w:rsid w:val="00133E2E"/>
    <w:rsid w:val="00134A56"/>
    <w:rsid w:val="00134B33"/>
    <w:rsid w:val="00134D69"/>
    <w:rsid w:val="00135100"/>
    <w:rsid w:val="00135379"/>
    <w:rsid w:val="001355D3"/>
    <w:rsid w:val="0013634F"/>
    <w:rsid w:val="001363D5"/>
    <w:rsid w:val="001371D9"/>
    <w:rsid w:val="0013781A"/>
    <w:rsid w:val="00137F23"/>
    <w:rsid w:val="00140809"/>
    <w:rsid w:val="00141D19"/>
    <w:rsid w:val="00141F5D"/>
    <w:rsid w:val="001424DC"/>
    <w:rsid w:val="00142B27"/>
    <w:rsid w:val="00142B40"/>
    <w:rsid w:val="001439DC"/>
    <w:rsid w:val="00143B71"/>
    <w:rsid w:val="00144675"/>
    <w:rsid w:val="001447D7"/>
    <w:rsid w:val="00145608"/>
    <w:rsid w:val="001462C5"/>
    <w:rsid w:val="00146B81"/>
    <w:rsid w:val="00147639"/>
    <w:rsid w:val="0014780F"/>
    <w:rsid w:val="00150A9C"/>
    <w:rsid w:val="00150C89"/>
    <w:rsid w:val="00151179"/>
    <w:rsid w:val="0015132D"/>
    <w:rsid w:val="0015143A"/>
    <w:rsid w:val="00152074"/>
    <w:rsid w:val="00152F02"/>
    <w:rsid w:val="00153599"/>
    <w:rsid w:val="00153AAD"/>
    <w:rsid w:val="00153C29"/>
    <w:rsid w:val="001543B5"/>
    <w:rsid w:val="0015441A"/>
    <w:rsid w:val="0015450C"/>
    <w:rsid w:val="00156455"/>
    <w:rsid w:val="0015706A"/>
    <w:rsid w:val="001572FE"/>
    <w:rsid w:val="001577CB"/>
    <w:rsid w:val="00157805"/>
    <w:rsid w:val="001607B0"/>
    <w:rsid w:val="00160FE2"/>
    <w:rsid w:val="00161305"/>
    <w:rsid w:val="00161385"/>
    <w:rsid w:val="00162336"/>
    <w:rsid w:val="001628AC"/>
    <w:rsid w:val="001636A2"/>
    <w:rsid w:val="0016370D"/>
    <w:rsid w:val="00164043"/>
    <w:rsid w:val="00164712"/>
    <w:rsid w:val="001647F8"/>
    <w:rsid w:val="00164E56"/>
    <w:rsid w:val="0016504D"/>
    <w:rsid w:val="0016550B"/>
    <w:rsid w:val="00165658"/>
    <w:rsid w:val="00166055"/>
    <w:rsid w:val="001665E7"/>
    <w:rsid w:val="00166C96"/>
    <w:rsid w:val="00166FF0"/>
    <w:rsid w:val="00167F99"/>
    <w:rsid w:val="00170077"/>
    <w:rsid w:val="00170C4C"/>
    <w:rsid w:val="00171407"/>
    <w:rsid w:val="00171AA5"/>
    <w:rsid w:val="00171AD1"/>
    <w:rsid w:val="001730F6"/>
    <w:rsid w:val="001735AC"/>
    <w:rsid w:val="00173BD0"/>
    <w:rsid w:val="00175478"/>
    <w:rsid w:val="001756E8"/>
    <w:rsid w:val="001759C1"/>
    <w:rsid w:val="00175AF7"/>
    <w:rsid w:val="00176B82"/>
    <w:rsid w:val="00177443"/>
    <w:rsid w:val="00177B3C"/>
    <w:rsid w:val="00180049"/>
    <w:rsid w:val="001801E7"/>
    <w:rsid w:val="0018076A"/>
    <w:rsid w:val="00181417"/>
    <w:rsid w:val="00181F7D"/>
    <w:rsid w:val="00182970"/>
    <w:rsid w:val="00182C5C"/>
    <w:rsid w:val="00182FF9"/>
    <w:rsid w:val="00183E9B"/>
    <w:rsid w:val="00184879"/>
    <w:rsid w:val="00185521"/>
    <w:rsid w:val="00185DB1"/>
    <w:rsid w:val="00186131"/>
    <w:rsid w:val="00187F57"/>
    <w:rsid w:val="00187FFE"/>
    <w:rsid w:val="00190E5F"/>
    <w:rsid w:val="00191153"/>
    <w:rsid w:val="001913DE"/>
    <w:rsid w:val="001915C6"/>
    <w:rsid w:val="001917BD"/>
    <w:rsid w:val="0019180C"/>
    <w:rsid w:val="00191DDC"/>
    <w:rsid w:val="00191FDA"/>
    <w:rsid w:val="00192E12"/>
    <w:rsid w:val="00192FAB"/>
    <w:rsid w:val="001933C2"/>
    <w:rsid w:val="00193E58"/>
    <w:rsid w:val="001943E0"/>
    <w:rsid w:val="00194C41"/>
    <w:rsid w:val="0019534C"/>
    <w:rsid w:val="001954C9"/>
    <w:rsid w:val="001963B6"/>
    <w:rsid w:val="00197544"/>
    <w:rsid w:val="00197BE6"/>
    <w:rsid w:val="00197CDD"/>
    <w:rsid w:val="001A1372"/>
    <w:rsid w:val="001A1DC2"/>
    <w:rsid w:val="001A2421"/>
    <w:rsid w:val="001A3469"/>
    <w:rsid w:val="001A38D6"/>
    <w:rsid w:val="001A3FCF"/>
    <w:rsid w:val="001A4131"/>
    <w:rsid w:val="001A41EB"/>
    <w:rsid w:val="001A4597"/>
    <w:rsid w:val="001A47B4"/>
    <w:rsid w:val="001A526F"/>
    <w:rsid w:val="001A5C33"/>
    <w:rsid w:val="001A63E5"/>
    <w:rsid w:val="001A6847"/>
    <w:rsid w:val="001A6A7A"/>
    <w:rsid w:val="001A6B24"/>
    <w:rsid w:val="001A7A90"/>
    <w:rsid w:val="001A7DA2"/>
    <w:rsid w:val="001B0470"/>
    <w:rsid w:val="001B13C9"/>
    <w:rsid w:val="001B146C"/>
    <w:rsid w:val="001B2164"/>
    <w:rsid w:val="001B21FA"/>
    <w:rsid w:val="001B2308"/>
    <w:rsid w:val="001B2348"/>
    <w:rsid w:val="001B2401"/>
    <w:rsid w:val="001B411B"/>
    <w:rsid w:val="001B4639"/>
    <w:rsid w:val="001B4C20"/>
    <w:rsid w:val="001B525E"/>
    <w:rsid w:val="001B57AE"/>
    <w:rsid w:val="001B5A2F"/>
    <w:rsid w:val="001B5A48"/>
    <w:rsid w:val="001B747D"/>
    <w:rsid w:val="001B7717"/>
    <w:rsid w:val="001C0088"/>
    <w:rsid w:val="001C070E"/>
    <w:rsid w:val="001C0993"/>
    <w:rsid w:val="001C0AFC"/>
    <w:rsid w:val="001C1004"/>
    <w:rsid w:val="001C17B3"/>
    <w:rsid w:val="001C1A48"/>
    <w:rsid w:val="001C1F33"/>
    <w:rsid w:val="001C31CB"/>
    <w:rsid w:val="001C34AF"/>
    <w:rsid w:val="001C43BC"/>
    <w:rsid w:val="001C4B99"/>
    <w:rsid w:val="001C5330"/>
    <w:rsid w:val="001C65CA"/>
    <w:rsid w:val="001C6E28"/>
    <w:rsid w:val="001C7020"/>
    <w:rsid w:val="001D1437"/>
    <w:rsid w:val="001D16CD"/>
    <w:rsid w:val="001D198D"/>
    <w:rsid w:val="001D1D16"/>
    <w:rsid w:val="001D1E9C"/>
    <w:rsid w:val="001D3A41"/>
    <w:rsid w:val="001D5E98"/>
    <w:rsid w:val="001D670F"/>
    <w:rsid w:val="001D6EAA"/>
    <w:rsid w:val="001D79D7"/>
    <w:rsid w:val="001E0203"/>
    <w:rsid w:val="001E1FED"/>
    <w:rsid w:val="001E22C5"/>
    <w:rsid w:val="001E2D18"/>
    <w:rsid w:val="001E372F"/>
    <w:rsid w:val="001E38F1"/>
    <w:rsid w:val="001E4640"/>
    <w:rsid w:val="001E4675"/>
    <w:rsid w:val="001E4C78"/>
    <w:rsid w:val="001E52D5"/>
    <w:rsid w:val="001E672C"/>
    <w:rsid w:val="001E696E"/>
    <w:rsid w:val="001E71E9"/>
    <w:rsid w:val="001E74A2"/>
    <w:rsid w:val="001E7C42"/>
    <w:rsid w:val="001E7E1D"/>
    <w:rsid w:val="001F027C"/>
    <w:rsid w:val="001F0F0B"/>
    <w:rsid w:val="001F11AD"/>
    <w:rsid w:val="001F14EB"/>
    <w:rsid w:val="001F1692"/>
    <w:rsid w:val="001F2362"/>
    <w:rsid w:val="001F2F77"/>
    <w:rsid w:val="001F34FE"/>
    <w:rsid w:val="001F37EE"/>
    <w:rsid w:val="001F4213"/>
    <w:rsid w:val="001F42E1"/>
    <w:rsid w:val="001F43B8"/>
    <w:rsid w:val="001F47B8"/>
    <w:rsid w:val="001F4E58"/>
    <w:rsid w:val="001F5358"/>
    <w:rsid w:val="001F5364"/>
    <w:rsid w:val="001F67B5"/>
    <w:rsid w:val="001F6ADF"/>
    <w:rsid w:val="001F6E69"/>
    <w:rsid w:val="001F77EC"/>
    <w:rsid w:val="001F787D"/>
    <w:rsid w:val="002003E3"/>
    <w:rsid w:val="00201242"/>
    <w:rsid w:val="002024E9"/>
    <w:rsid w:val="00202569"/>
    <w:rsid w:val="002029FE"/>
    <w:rsid w:val="00202F24"/>
    <w:rsid w:val="00202F56"/>
    <w:rsid w:val="0020334B"/>
    <w:rsid w:val="00203835"/>
    <w:rsid w:val="00203C18"/>
    <w:rsid w:val="00203DF4"/>
    <w:rsid w:val="0020429F"/>
    <w:rsid w:val="00204DEB"/>
    <w:rsid w:val="0020547E"/>
    <w:rsid w:val="002056E1"/>
    <w:rsid w:val="00205776"/>
    <w:rsid w:val="002061AA"/>
    <w:rsid w:val="00206217"/>
    <w:rsid w:val="00206961"/>
    <w:rsid w:val="00206C10"/>
    <w:rsid w:val="00206C94"/>
    <w:rsid w:val="002070CC"/>
    <w:rsid w:val="00207B54"/>
    <w:rsid w:val="0021005A"/>
    <w:rsid w:val="00210072"/>
    <w:rsid w:val="00211B52"/>
    <w:rsid w:val="00212027"/>
    <w:rsid w:val="00212CC1"/>
    <w:rsid w:val="002135EF"/>
    <w:rsid w:val="002142FE"/>
    <w:rsid w:val="0021554A"/>
    <w:rsid w:val="0021599C"/>
    <w:rsid w:val="00215EF0"/>
    <w:rsid w:val="00215FAC"/>
    <w:rsid w:val="00216EA1"/>
    <w:rsid w:val="00220932"/>
    <w:rsid w:val="00221323"/>
    <w:rsid w:val="0022135B"/>
    <w:rsid w:val="00221417"/>
    <w:rsid w:val="00221AE1"/>
    <w:rsid w:val="002228D8"/>
    <w:rsid w:val="00222DD4"/>
    <w:rsid w:val="00223EB5"/>
    <w:rsid w:val="0022465B"/>
    <w:rsid w:val="00224AA2"/>
    <w:rsid w:val="00224F32"/>
    <w:rsid w:val="00225411"/>
    <w:rsid w:val="00225AFC"/>
    <w:rsid w:val="0022625C"/>
    <w:rsid w:val="002263F5"/>
    <w:rsid w:val="00226DD7"/>
    <w:rsid w:val="0022737F"/>
    <w:rsid w:val="0022761E"/>
    <w:rsid w:val="0022783A"/>
    <w:rsid w:val="00227FA2"/>
    <w:rsid w:val="0023070F"/>
    <w:rsid w:val="00232EBE"/>
    <w:rsid w:val="0023343F"/>
    <w:rsid w:val="0023357D"/>
    <w:rsid w:val="00233D2E"/>
    <w:rsid w:val="002342FE"/>
    <w:rsid w:val="00234CBD"/>
    <w:rsid w:val="00235DEF"/>
    <w:rsid w:val="00236788"/>
    <w:rsid w:val="002373A1"/>
    <w:rsid w:val="002373B6"/>
    <w:rsid w:val="00237757"/>
    <w:rsid w:val="00237E28"/>
    <w:rsid w:val="002403AF"/>
    <w:rsid w:val="002407CB"/>
    <w:rsid w:val="0024194C"/>
    <w:rsid w:val="00241E99"/>
    <w:rsid w:val="002423BF"/>
    <w:rsid w:val="00242403"/>
    <w:rsid w:val="002424D9"/>
    <w:rsid w:val="00242629"/>
    <w:rsid w:val="00242908"/>
    <w:rsid w:val="00243C0D"/>
    <w:rsid w:val="0024452A"/>
    <w:rsid w:val="0024488C"/>
    <w:rsid w:val="0024498B"/>
    <w:rsid w:val="00245526"/>
    <w:rsid w:val="00246BAA"/>
    <w:rsid w:val="00247A6B"/>
    <w:rsid w:val="002501F7"/>
    <w:rsid w:val="0025061E"/>
    <w:rsid w:val="00250679"/>
    <w:rsid w:val="002508C0"/>
    <w:rsid w:val="00251CCD"/>
    <w:rsid w:val="0025213B"/>
    <w:rsid w:val="00252244"/>
    <w:rsid w:val="002527E4"/>
    <w:rsid w:val="002527F4"/>
    <w:rsid w:val="002531A3"/>
    <w:rsid w:val="002535DA"/>
    <w:rsid w:val="00253DA0"/>
    <w:rsid w:val="00254D9A"/>
    <w:rsid w:val="00254DD6"/>
    <w:rsid w:val="00255253"/>
    <w:rsid w:val="0025566E"/>
    <w:rsid w:val="00255876"/>
    <w:rsid w:val="00256A9F"/>
    <w:rsid w:val="00257852"/>
    <w:rsid w:val="00260B93"/>
    <w:rsid w:val="002611A8"/>
    <w:rsid w:val="002615CB"/>
    <w:rsid w:val="00261720"/>
    <w:rsid w:val="002621A1"/>
    <w:rsid w:val="002626CD"/>
    <w:rsid w:val="00263132"/>
    <w:rsid w:val="00263B51"/>
    <w:rsid w:val="00263D44"/>
    <w:rsid w:val="0026494F"/>
    <w:rsid w:val="00265630"/>
    <w:rsid w:val="00265B4A"/>
    <w:rsid w:val="00265D2E"/>
    <w:rsid w:val="0026611B"/>
    <w:rsid w:val="00266365"/>
    <w:rsid w:val="00266E24"/>
    <w:rsid w:val="00267928"/>
    <w:rsid w:val="00267EBD"/>
    <w:rsid w:val="00267F52"/>
    <w:rsid w:val="00272586"/>
    <w:rsid w:val="00272AEF"/>
    <w:rsid w:val="00272E81"/>
    <w:rsid w:val="002733D1"/>
    <w:rsid w:val="002735EA"/>
    <w:rsid w:val="0027399B"/>
    <w:rsid w:val="00273A6E"/>
    <w:rsid w:val="00275339"/>
    <w:rsid w:val="00276071"/>
    <w:rsid w:val="00276DAA"/>
    <w:rsid w:val="0027737D"/>
    <w:rsid w:val="00277E52"/>
    <w:rsid w:val="00277F10"/>
    <w:rsid w:val="00280CB2"/>
    <w:rsid w:val="002812B1"/>
    <w:rsid w:val="0028229A"/>
    <w:rsid w:val="00282B29"/>
    <w:rsid w:val="00282EBD"/>
    <w:rsid w:val="0028398A"/>
    <w:rsid w:val="00284E6E"/>
    <w:rsid w:val="002851EA"/>
    <w:rsid w:val="00286775"/>
    <w:rsid w:val="00290C35"/>
    <w:rsid w:val="0029197D"/>
    <w:rsid w:val="00292058"/>
    <w:rsid w:val="00292636"/>
    <w:rsid w:val="00292B6A"/>
    <w:rsid w:val="00292E46"/>
    <w:rsid w:val="0029415B"/>
    <w:rsid w:val="0029508C"/>
    <w:rsid w:val="0029513D"/>
    <w:rsid w:val="0029588A"/>
    <w:rsid w:val="00297057"/>
    <w:rsid w:val="00297D15"/>
    <w:rsid w:val="002A0087"/>
    <w:rsid w:val="002A0123"/>
    <w:rsid w:val="002A12B3"/>
    <w:rsid w:val="002A158F"/>
    <w:rsid w:val="002A1699"/>
    <w:rsid w:val="002A16C0"/>
    <w:rsid w:val="002A2D8F"/>
    <w:rsid w:val="002A30AB"/>
    <w:rsid w:val="002A30DC"/>
    <w:rsid w:val="002A3B17"/>
    <w:rsid w:val="002A428E"/>
    <w:rsid w:val="002A4B92"/>
    <w:rsid w:val="002A4C92"/>
    <w:rsid w:val="002A4EBE"/>
    <w:rsid w:val="002A5128"/>
    <w:rsid w:val="002A51CE"/>
    <w:rsid w:val="002A59DF"/>
    <w:rsid w:val="002A5E88"/>
    <w:rsid w:val="002A6036"/>
    <w:rsid w:val="002A60C7"/>
    <w:rsid w:val="002A60D7"/>
    <w:rsid w:val="002A625D"/>
    <w:rsid w:val="002A65A7"/>
    <w:rsid w:val="002A7311"/>
    <w:rsid w:val="002A7333"/>
    <w:rsid w:val="002A77CB"/>
    <w:rsid w:val="002A7980"/>
    <w:rsid w:val="002A7995"/>
    <w:rsid w:val="002A7B63"/>
    <w:rsid w:val="002A7E1F"/>
    <w:rsid w:val="002B1BFE"/>
    <w:rsid w:val="002B2062"/>
    <w:rsid w:val="002B24F8"/>
    <w:rsid w:val="002B2E00"/>
    <w:rsid w:val="002B3214"/>
    <w:rsid w:val="002B3526"/>
    <w:rsid w:val="002B3535"/>
    <w:rsid w:val="002B4454"/>
    <w:rsid w:val="002B4981"/>
    <w:rsid w:val="002B5689"/>
    <w:rsid w:val="002B57C4"/>
    <w:rsid w:val="002B6C9D"/>
    <w:rsid w:val="002B76B9"/>
    <w:rsid w:val="002B7713"/>
    <w:rsid w:val="002B7956"/>
    <w:rsid w:val="002B7ED1"/>
    <w:rsid w:val="002C042C"/>
    <w:rsid w:val="002C0504"/>
    <w:rsid w:val="002C209D"/>
    <w:rsid w:val="002C27D5"/>
    <w:rsid w:val="002C2A79"/>
    <w:rsid w:val="002C2D64"/>
    <w:rsid w:val="002C31F0"/>
    <w:rsid w:val="002C3A1E"/>
    <w:rsid w:val="002C3C8F"/>
    <w:rsid w:val="002C45B8"/>
    <w:rsid w:val="002C5251"/>
    <w:rsid w:val="002C5450"/>
    <w:rsid w:val="002C5765"/>
    <w:rsid w:val="002C60AF"/>
    <w:rsid w:val="002C60CC"/>
    <w:rsid w:val="002C6922"/>
    <w:rsid w:val="002C6D02"/>
    <w:rsid w:val="002D006F"/>
    <w:rsid w:val="002D00AF"/>
    <w:rsid w:val="002D0181"/>
    <w:rsid w:val="002D0C6C"/>
    <w:rsid w:val="002D278F"/>
    <w:rsid w:val="002D27E8"/>
    <w:rsid w:val="002D2976"/>
    <w:rsid w:val="002D2CC2"/>
    <w:rsid w:val="002D366A"/>
    <w:rsid w:val="002D3858"/>
    <w:rsid w:val="002D4536"/>
    <w:rsid w:val="002D48EA"/>
    <w:rsid w:val="002D4D82"/>
    <w:rsid w:val="002D4E5E"/>
    <w:rsid w:val="002D58F8"/>
    <w:rsid w:val="002D5C5E"/>
    <w:rsid w:val="002D6171"/>
    <w:rsid w:val="002D686D"/>
    <w:rsid w:val="002D6B3B"/>
    <w:rsid w:val="002D6EEB"/>
    <w:rsid w:val="002E0572"/>
    <w:rsid w:val="002E06B2"/>
    <w:rsid w:val="002E0830"/>
    <w:rsid w:val="002E08F0"/>
    <w:rsid w:val="002E0F08"/>
    <w:rsid w:val="002E16FA"/>
    <w:rsid w:val="002E190B"/>
    <w:rsid w:val="002E1BB4"/>
    <w:rsid w:val="002E2E2E"/>
    <w:rsid w:val="002E30A1"/>
    <w:rsid w:val="002E32FD"/>
    <w:rsid w:val="002E3B50"/>
    <w:rsid w:val="002E3B93"/>
    <w:rsid w:val="002E3E20"/>
    <w:rsid w:val="002E4814"/>
    <w:rsid w:val="002E5087"/>
    <w:rsid w:val="002E5878"/>
    <w:rsid w:val="002E6A7C"/>
    <w:rsid w:val="002E6F62"/>
    <w:rsid w:val="002E745C"/>
    <w:rsid w:val="002E7FE5"/>
    <w:rsid w:val="002F0632"/>
    <w:rsid w:val="002F0A70"/>
    <w:rsid w:val="002F0C77"/>
    <w:rsid w:val="002F1017"/>
    <w:rsid w:val="002F18DF"/>
    <w:rsid w:val="002F27B1"/>
    <w:rsid w:val="002F386F"/>
    <w:rsid w:val="002F38A6"/>
    <w:rsid w:val="002F3B28"/>
    <w:rsid w:val="002F4692"/>
    <w:rsid w:val="002F46BF"/>
    <w:rsid w:val="002F4BFE"/>
    <w:rsid w:val="002F547C"/>
    <w:rsid w:val="002F5524"/>
    <w:rsid w:val="002F5D9E"/>
    <w:rsid w:val="002F667D"/>
    <w:rsid w:val="002F6CBA"/>
    <w:rsid w:val="002F6EC6"/>
    <w:rsid w:val="002F6F59"/>
    <w:rsid w:val="002F7289"/>
    <w:rsid w:val="00300282"/>
    <w:rsid w:val="0030079C"/>
    <w:rsid w:val="00300A33"/>
    <w:rsid w:val="00300A7C"/>
    <w:rsid w:val="00300E10"/>
    <w:rsid w:val="00301517"/>
    <w:rsid w:val="00301F2C"/>
    <w:rsid w:val="00301F60"/>
    <w:rsid w:val="00301FF7"/>
    <w:rsid w:val="00302CDC"/>
    <w:rsid w:val="00302FEA"/>
    <w:rsid w:val="0030338B"/>
    <w:rsid w:val="00304253"/>
    <w:rsid w:val="00304A88"/>
    <w:rsid w:val="00305288"/>
    <w:rsid w:val="003052FD"/>
    <w:rsid w:val="0030593F"/>
    <w:rsid w:val="00305E34"/>
    <w:rsid w:val="00305F0E"/>
    <w:rsid w:val="00305FF5"/>
    <w:rsid w:val="003071C8"/>
    <w:rsid w:val="003106F6"/>
    <w:rsid w:val="00310B34"/>
    <w:rsid w:val="00310D4A"/>
    <w:rsid w:val="003115A0"/>
    <w:rsid w:val="003117A0"/>
    <w:rsid w:val="00311CC5"/>
    <w:rsid w:val="0031243B"/>
    <w:rsid w:val="00312B13"/>
    <w:rsid w:val="00312CD2"/>
    <w:rsid w:val="003133A1"/>
    <w:rsid w:val="00313DF6"/>
    <w:rsid w:val="00313F77"/>
    <w:rsid w:val="003156D8"/>
    <w:rsid w:val="00315D0E"/>
    <w:rsid w:val="00316111"/>
    <w:rsid w:val="00316725"/>
    <w:rsid w:val="00316CCF"/>
    <w:rsid w:val="00317903"/>
    <w:rsid w:val="00317AEC"/>
    <w:rsid w:val="00320584"/>
    <w:rsid w:val="00321097"/>
    <w:rsid w:val="00321472"/>
    <w:rsid w:val="00323CA8"/>
    <w:rsid w:val="00323F8A"/>
    <w:rsid w:val="0032434D"/>
    <w:rsid w:val="003245DA"/>
    <w:rsid w:val="00324BDF"/>
    <w:rsid w:val="00324DFC"/>
    <w:rsid w:val="003254E8"/>
    <w:rsid w:val="00325513"/>
    <w:rsid w:val="00325578"/>
    <w:rsid w:val="00325A4E"/>
    <w:rsid w:val="003267AF"/>
    <w:rsid w:val="003274F2"/>
    <w:rsid w:val="00327822"/>
    <w:rsid w:val="003279F1"/>
    <w:rsid w:val="00327E2A"/>
    <w:rsid w:val="003305E4"/>
    <w:rsid w:val="003309CA"/>
    <w:rsid w:val="00330CAB"/>
    <w:rsid w:val="003313D5"/>
    <w:rsid w:val="0033198D"/>
    <w:rsid w:val="003324A5"/>
    <w:rsid w:val="00332A57"/>
    <w:rsid w:val="00332DF5"/>
    <w:rsid w:val="00333305"/>
    <w:rsid w:val="0033382F"/>
    <w:rsid w:val="003339C7"/>
    <w:rsid w:val="00333EDA"/>
    <w:rsid w:val="00334612"/>
    <w:rsid w:val="003348AD"/>
    <w:rsid w:val="00334CCC"/>
    <w:rsid w:val="0033519C"/>
    <w:rsid w:val="00335497"/>
    <w:rsid w:val="0033582E"/>
    <w:rsid w:val="00335BC5"/>
    <w:rsid w:val="00335CDA"/>
    <w:rsid w:val="00336349"/>
    <w:rsid w:val="003370D4"/>
    <w:rsid w:val="0034056B"/>
    <w:rsid w:val="003405AD"/>
    <w:rsid w:val="003405F0"/>
    <w:rsid w:val="00341821"/>
    <w:rsid w:val="0034261C"/>
    <w:rsid w:val="00342712"/>
    <w:rsid w:val="0034271B"/>
    <w:rsid w:val="00342FCA"/>
    <w:rsid w:val="003433E8"/>
    <w:rsid w:val="003434DD"/>
    <w:rsid w:val="00343DD4"/>
    <w:rsid w:val="00344900"/>
    <w:rsid w:val="00344B61"/>
    <w:rsid w:val="0034742B"/>
    <w:rsid w:val="0034783C"/>
    <w:rsid w:val="0035030E"/>
    <w:rsid w:val="0035051A"/>
    <w:rsid w:val="00350625"/>
    <w:rsid w:val="0035137B"/>
    <w:rsid w:val="00351BE0"/>
    <w:rsid w:val="00351EE0"/>
    <w:rsid w:val="003526BC"/>
    <w:rsid w:val="00354001"/>
    <w:rsid w:val="0035450B"/>
    <w:rsid w:val="00356EB3"/>
    <w:rsid w:val="0035730D"/>
    <w:rsid w:val="003573DB"/>
    <w:rsid w:val="00357938"/>
    <w:rsid w:val="00357AF5"/>
    <w:rsid w:val="00361BDA"/>
    <w:rsid w:val="0036206C"/>
    <w:rsid w:val="003639E6"/>
    <w:rsid w:val="00364089"/>
    <w:rsid w:val="00364BC4"/>
    <w:rsid w:val="003652F6"/>
    <w:rsid w:val="003653FA"/>
    <w:rsid w:val="003663B3"/>
    <w:rsid w:val="00366549"/>
    <w:rsid w:val="00366E89"/>
    <w:rsid w:val="0036756A"/>
    <w:rsid w:val="00367969"/>
    <w:rsid w:val="00370129"/>
    <w:rsid w:val="003701E7"/>
    <w:rsid w:val="0037042C"/>
    <w:rsid w:val="003714A4"/>
    <w:rsid w:val="00371597"/>
    <w:rsid w:val="00371BCD"/>
    <w:rsid w:val="00371F45"/>
    <w:rsid w:val="00371FF1"/>
    <w:rsid w:val="0037349F"/>
    <w:rsid w:val="00374C12"/>
    <w:rsid w:val="00375319"/>
    <w:rsid w:val="003754DD"/>
    <w:rsid w:val="00375B5A"/>
    <w:rsid w:val="00376F8F"/>
    <w:rsid w:val="00377447"/>
    <w:rsid w:val="003775A4"/>
    <w:rsid w:val="003778FE"/>
    <w:rsid w:val="00377D04"/>
    <w:rsid w:val="00377E04"/>
    <w:rsid w:val="00380466"/>
    <w:rsid w:val="00380648"/>
    <w:rsid w:val="00380E21"/>
    <w:rsid w:val="0038138E"/>
    <w:rsid w:val="0038144A"/>
    <w:rsid w:val="0038195E"/>
    <w:rsid w:val="00382223"/>
    <w:rsid w:val="00382791"/>
    <w:rsid w:val="00382C31"/>
    <w:rsid w:val="00383349"/>
    <w:rsid w:val="003835FD"/>
    <w:rsid w:val="0038460C"/>
    <w:rsid w:val="0038537B"/>
    <w:rsid w:val="00385AE3"/>
    <w:rsid w:val="00385F56"/>
    <w:rsid w:val="00387503"/>
    <w:rsid w:val="00387719"/>
    <w:rsid w:val="00390A1C"/>
    <w:rsid w:val="003911DD"/>
    <w:rsid w:val="00391DFF"/>
    <w:rsid w:val="00391EF6"/>
    <w:rsid w:val="00391F06"/>
    <w:rsid w:val="0039273D"/>
    <w:rsid w:val="00392C23"/>
    <w:rsid w:val="00392E7D"/>
    <w:rsid w:val="0039323D"/>
    <w:rsid w:val="003933DB"/>
    <w:rsid w:val="003937FB"/>
    <w:rsid w:val="00393BD2"/>
    <w:rsid w:val="00394005"/>
    <w:rsid w:val="0039416D"/>
    <w:rsid w:val="003943F2"/>
    <w:rsid w:val="003946FA"/>
    <w:rsid w:val="00394DFC"/>
    <w:rsid w:val="00394F63"/>
    <w:rsid w:val="003950D0"/>
    <w:rsid w:val="003954E4"/>
    <w:rsid w:val="00395E8E"/>
    <w:rsid w:val="0039618E"/>
    <w:rsid w:val="00396246"/>
    <w:rsid w:val="003964A7"/>
    <w:rsid w:val="0039711A"/>
    <w:rsid w:val="003972F5"/>
    <w:rsid w:val="003A006B"/>
    <w:rsid w:val="003A0784"/>
    <w:rsid w:val="003A12BE"/>
    <w:rsid w:val="003A2AB5"/>
    <w:rsid w:val="003A2C91"/>
    <w:rsid w:val="003A2EB5"/>
    <w:rsid w:val="003A337E"/>
    <w:rsid w:val="003A34E0"/>
    <w:rsid w:val="003A3D68"/>
    <w:rsid w:val="003A44AA"/>
    <w:rsid w:val="003A46A1"/>
    <w:rsid w:val="003A4D02"/>
    <w:rsid w:val="003A5788"/>
    <w:rsid w:val="003A5B63"/>
    <w:rsid w:val="003A5C74"/>
    <w:rsid w:val="003A5D2E"/>
    <w:rsid w:val="003A659A"/>
    <w:rsid w:val="003A67CF"/>
    <w:rsid w:val="003A6D4D"/>
    <w:rsid w:val="003A72B1"/>
    <w:rsid w:val="003A77FC"/>
    <w:rsid w:val="003A7C83"/>
    <w:rsid w:val="003B0048"/>
    <w:rsid w:val="003B0B7F"/>
    <w:rsid w:val="003B18D8"/>
    <w:rsid w:val="003B1D97"/>
    <w:rsid w:val="003B1DE4"/>
    <w:rsid w:val="003B233B"/>
    <w:rsid w:val="003B373A"/>
    <w:rsid w:val="003B3908"/>
    <w:rsid w:val="003B4215"/>
    <w:rsid w:val="003B4CBF"/>
    <w:rsid w:val="003B530F"/>
    <w:rsid w:val="003B5406"/>
    <w:rsid w:val="003B5EA3"/>
    <w:rsid w:val="003B603A"/>
    <w:rsid w:val="003B624F"/>
    <w:rsid w:val="003B6467"/>
    <w:rsid w:val="003B6679"/>
    <w:rsid w:val="003B6EC9"/>
    <w:rsid w:val="003B6F27"/>
    <w:rsid w:val="003B6FA2"/>
    <w:rsid w:val="003B7202"/>
    <w:rsid w:val="003B73C7"/>
    <w:rsid w:val="003C00BF"/>
    <w:rsid w:val="003C06F6"/>
    <w:rsid w:val="003C13CE"/>
    <w:rsid w:val="003C210C"/>
    <w:rsid w:val="003C212E"/>
    <w:rsid w:val="003C2326"/>
    <w:rsid w:val="003C3161"/>
    <w:rsid w:val="003C337C"/>
    <w:rsid w:val="003C39BF"/>
    <w:rsid w:val="003C3F0F"/>
    <w:rsid w:val="003C461B"/>
    <w:rsid w:val="003C5915"/>
    <w:rsid w:val="003C5985"/>
    <w:rsid w:val="003C6072"/>
    <w:rsid w:val="003C74D4"/>
    <w:rsid w:val="003C7AC3"/>
    <w:rsid w:val="003C7C69"/>
    <w:rsid w:val="003C7DE2"/>
    <w:rsid w:val="003D0520"/>
    <w:rsid w:val="003D13DE"/>
    <w:rsid w:val="003D1554"/>
    <w:rsid w:val="003D1E6C"/>
    <w:rsid w:val="003D1FD6"/>
    <w:rsid w:val="003D238E"/>
    <w:rsid w:val="003D2C13"/>
    <w:rsid w:val="003D34DB"/>
    <w:rsid w:val="003D3C65"/>
    <w:rsid w:val="003D3E14"/>
    <w:rsid w:val="003D4281"/>
    <w:rsid w:val="003D4B61"/>
    <w:rsid w:val="003D4E3A"/>
    <w:rsid w:val="003D5062"/>
    <w:rsid w:val="003D5BF1"/>
    <w:rsid w:val="003D5F2E"/>
    <w:rsid w:val="003D5F51"/>
    <w:rsid w:val="003D6627"/>
    <w:rsid w:val="003D6748"/>
    <w:rsid w:val="003D6A27"/>
    <w:rsid w:val="003D6F30"/>
    <w:rsid w:val="003D7710"/>
    <w:rsid w:val="003E015D"/>
    <w:rsid w:val="003E018D"/>
    <w:rsid w:val="003E07FE"/>
    <w:rsid w:val="003E0FFE"/>
    <w:rsid w:val="003E107B"/>
    <w:rsid w:val="003E1909"/>
    <w:rsid w:val="003E22B3"/>
    <w:rsid w:val="003E2F41"/>
    <w:rsid w:val="003E3598"/>
    <w:rsid w:val="003E35E7"/>
    <w:rsid w:val="003E38F4"/>
    <w:rsid w:val="003E390D"/>
    <w:rsid w:val="003E4207"/>
    <w:rsid w:val="003E46D4"/>
    <w:rsid w:val="003E4D19"/>
    <w:rsid w:val="003E5070"/>
    <w:rsid w:val="003E52DF"/>
    <w:rsid w:val="003E5EBC"/>
    <w:rsid w:val="003E60C8"/>
    <w:rsid w:val="003E684C"/>
    <w:rsid w:val="003E6B32"/>
    <w:rsid w:val="003E7046"/>
    <w:rsid w:val="003E70F9"/>
    <w:rsid w:val="003E75FF"/>
    <w:rsid w:val="003E7AB0"/>
    <w:rsid w:val="003E7AF1"/>
    <w:rsid w:val="003E7D91"/>
    <w:rsid w:val="003F04A6"/>
    <w:rsid w:val="003F05A0"/>
    <w:rsid w:val="003F0F12"/>
    <w:rsid w:val="003F156A"/>
    <w:rsid w:val="003F17F8"/>
    <w:rsid w:val="003F38AD"/>
    <w:rsid w:val="003F4545"/>
    <w:rsid w:val="003F513F"/>
    <w:rsid w:val="003F5CDB"/>
    <w:rsid w:val="003F5D05"/>
    <w:rsid w:val="003F6451"/>
    <w:rsid w:val="003F7489"/>
    <w:rsid w:val="003F76F7"/>
    <w:rsid w:val="003F7868"/>
    <w:rsid w:val="003F79ED"/>
    <w:rsid w:val="00400594"/>
    <w:rsid w:val="00400BCB"/>
    <w:rsid w:val="004013C0"/>
    <w:rsid w:val="00401A6D"/>
    <w:rsid w:val="004030BE"/>
    <w:rsid w:val="00403B1A"/>
    <w:rsid w:val="00404452"/>
    <w:rsid w:val="0040472A"/>
    <w:rsid w:val="004052AE"/>
    <w:rsid w:val="0040555C"/>
    <w:rsid w:val="0040609C"/>
    <w:rsid w:val="00406D2B"/>
    <w:rsid w:val="00406E4C"/>
    <w:rsid w:val="0040714B"/>
    <w:rsid w:val="00410074"/>
    <w:rsid w:val="004104BB"/>
    <w:rsid w:val="00412829"/>
    <w:rsid w:val="00412C01"/>
    <w:rsid w:val="004131E5"/>
    <w:rsid w:val="004133B5"/>
    <w:rsid w:val="00414601"/>
    <w:rsid w:val="00414B8F"/>
    <w:rsid w:val="0041595D"/>
    <w:rsid w:val="004160A4"/>
    <w:rsid w:val="004168DA"/>
    <w:rsid w:val="00416D9B"/>
    <w:rsid w:val="00417224"/>
    <w:rsid w:val="0042136F"/>
    <w:rsid w:val="00421BFF"/>
    <w:rsid w:val="004226D4"/>
    <w:rsid w:val="004233D3"/>
    <w:rsid w:val="004237B9"/>
    <w:rsid w:val="0042479E"/>
    <w:rsid w:val="00424A28"/>
    <w:rsid w:val="00424F25"/>
    <w:rsid w:val="004251C6"/>
    <w:rsid w:val="00425F25"/>
    <w:rsid w:val="0042655B"/>
    <w:rsid w:val="00427072"/>
    <w:rsid w:val="00427809"/>
    <w:rsid w:val="00430537"/>
    <w:rsid w:val="00430538"/>
    <w:rsid w:val="004306BD"/>
    <w:rsid w:val="0043119E"/>
    <w:rsid w:val="00431290"/>
    <w:rsid w:val="0043484A"/>
    <w:rsid w:val="0043527C"/>
    <w:rsid w:val="00436648"/>
    <w:rsid w:val="00436749"/>
    <w:rsid w:val="00436ACB"/>
    <w:rsid w:val="004377E6"/>
    <w:rsid w:val="00437F48"/>
    <w:rsid w:val="00440979"/>
    <w:rsid w:val="00440CC3"/>
    <w:rsid w:val="004416AB"/>
    <w:rsid w:val="00442589"/>
    <w:rsid w:val="00442FBD"/>
    <w:rsid w:val="0044324B"/>
    <w:rsid w:val="00443823"/>
    <w:rsid w:val="00443929"/>
    <w:rsid w:val="004439C4"/>
    <w:rsid w:val="004439C6"/>
    <w:rsid w:val="0044412E"/>
    <w:rsid w:val="00445441"/>
    <w:rsid w:val="00445515"/>
    <w:rsid w:val="004469BB"/>
    <w:rsid w:val="004469BE"/>
    <w:rsid w:val="00446B62"/>
    <w:rsid w:val="00447882"/>
    <w:rsid w:val="00447D23"/>
    <w:rsid w:val="00447F96"/>
    <w:rsid w:val="00450B6B"/>
    <w:rsid w:val="00450FF2"/>
    <w:rsid w:val="00451017"/>
    <w:rsid w:val="004515D5"/>
    <w:rsid w:val="0045187E"/>
    <w:rsid w:val="00451949"/>
    <w:rsid w:val="00451E7F"/>
    <w:rsid w:val="00452565"/>
    <w:rsid w:val="00452951"/>
    <w:rsid w:val="00452C43"/>
    <w:rsid w:val="00452DBE"/>
    <w:rsid w:val="00453180"/>
    <w:rsid w:val="0045404F"/>
    <w:rsid w:val="00454148"/>
    <w:rsid w:val="00454205"/>
    <w:rsid w:val="00454BAC"/>
    <w:rsid w:val="0045536E"/>
    <w:rsid w:val="00455473"/>
    <w:rsid w:val="0045549A"/>
    <w:rsid w:val="00456358"/>
    <w:rsid w:val="004569F2"/>
    <w:rsid w:val="00456BD3"/>
    <w:rsid w:val="00457020"/>
    <w:rsid w:val="00457425"/>
    <w:rsid w:val="00460813"/>
    <w:rsid w:val="00460AC3"/>
    <w:rsid w:val="004611A7"/>
    <w:rsid w:val="00461923"/>
    <w:rsid w:val="00462B87"/>
    <w:rsid w:val="00462DEC"/>
    <w:rsid w:val="0046346F"/>
    <w:rsid w:val="00463A45"/>
    <w:rsid w:val="004641E5"/>
    <w:rsid w:val="00464BC6"/>
    <w:rsid w:val="00465C1B"/>
    <w:rsid w:val="00465DC2"/>
    <w:rsid w:val="00466071"/>
    <w:rsid w:val="0046609A"/>
    <w:rsid w:val="00466C19"/>
    <w:rsid w:val="004672EA"/>
    <w:rsid w:val="004703A8"/>
    <w:rsid w:val="0047046D"/>
    <w:rsid w:val="004708F7"/>
    <w:rsid w:val="004709C0"/>
    <w:rsid w:val="00470BAC"/>
    <w:rsid w:val="0047119D"/>
    <w:rsid w:val="004716B8"/>
    <w:rsid w:val="0047190B"/>
    <w:rsid w:val="00471E7A"/>
    <w:rsid w:val="004729F2"/>
    <w:rsid w:val="00472C50"/>
    <w:rsid w:val="00472F8E"/>
    <w:rsid w:val="004731EE"/>
    <w:rsid w:val="0047346A"/>
    <w:rsid w:val="00473FF2"/>
    <w:rsid w:val="00474935"/>
    <w:rsid w:val="00474D28"/>
    <w:rsid w:val="00475271"/>
    <w:rsid w:val="00475414"/>
    <w:rsid w:val="00475442"/>
    <w:rsid w:val="004754B0"/>
    <w:rsid w:val="00475CC8"/>
    <w:rsid w:val="0047623D"/>
    <w:rsid w:val="0047642E"/>
    <w:rsid w:val="004764DD"/>
    <w:rsid w:val="004800D5"/>
    <w:rsid w:val="004805FB"/>
    <w:rsid w:val="00480DF9"/>
    <w:rsid w:val="00480F85"/>
    <w:rsid w:val="0048260A"/>
    <w:rsid w:val="00482B9B"/>
    <w:rsid w:val="00482D31"/>
    <w:rsid w:val="0048376C"/>
    <w:rsid w:val="004837D0"/>
    <w:rsid w:val="00483B7D"/>
    <w:rsid w:val="00483B9B"/>
    <w:rsid w:val="0048574E"/>
    <w:rsid w:val="00485776"/>
    <w:rsid w:val="00485BBB"/>
    <w:rsid w:val="004861E7"/>
    <w:rsid w:val="00486C93"/>
    <w:rsid w:val="00486C95"/>
    <w:rsid w:val="00487564"/>
    <w:rsid w:val="00487793"/>
    <w:rsid w:val="00487EB5"/>
    <w:rsid w:val="00490CFB"/>
    <w:rsid w:val="004913F5"/>
    <w:rsid w:val="0049155F"/>
    <w:rsid w:val="004918D0"/>
    <w:rsid w:val="0049194A"/>
    <w:rsid w:val="00491F0B"/>
    <w:rsid w:val="004922D2"/>
    <w:rsid w:val="004926C7"/>
    <w:rsid w:val="0049280B"/>
    <w:rsid w:val="00492CFE"/>
    <w:rsid w:val="00492E1F"/>
    <w:rsid w:val="004931AD"/>
    <w:rsid w:val="00493584"/>
    <w:rsid w:val="00493A5D"/>
    <w:rsid w:val="00493C9D"/>
    <w:rsid w:val="00493EBC"/>
    <w:rsid w:val="0049455E"/>
    <w:rsid w:val="0049464F"/>
    <w:rsid w:val="00495B3E"/>
    <w:rsid w:val="00496017"/>
    <w:rsid w:val="00497269"/>
    <w:rsid w:val="00497407"/>
    <w:rsid w:val="0049766C"/>
    <w:rsid w:val="004A0D73"/>
    <w:rsid w:val="004A1B89"/>
    <w:rsid w:val="004A2621"/>
    <w:rsid w:val="004A290C"/>
    <w:rsid w:val="004A42DE"/>
    <w:rsid w:val="004A42E2"/>
    <w:rsid w:val="004A5721"/>
    <w:rsid w:val="004A5B88"/>
    <w:rsid w:val="004A6339"/>
    <w:rsid w:val="004A6365"/>
    <w:rsid w:val="004A64DA"/>
    <w:rsid w:val="004A667C"/>
    <w:rsid w:val="004A674E"/>
    <w:rsid w:val="004A6B1E"/>
    <w:rsid w:val="004A6D64"/>
    <w:rsid w:val="004B05E2"/>
    <w:rsid w:val="004B0BDC"/>
    <w:rsid w:val="004B1866"/>
    <w:rsid w:val="004B1C15"/>
    <w:rsid w:val="004B3AD4"/>
    <w:rsid w:val="004B3D16"/>
    <w:rsid w:val="004B4050"/>
    <w:rsid w:val="004B4148"/>
    <w:rsid w:val="004B42AA"/>
    <w:rsid w:val="004B593B"/>
    <w:rsid w:val="004B5C4E"/>
    <w:rsid w:val="004B5F8B"/>
    <w:rsid w:val="004B66A5"/>
    <w:rsid w:val="004B6E4A"/>
    <w:rsid w:val="004B721B"/>
    <w:rsid w:val="004B72C7"/>
    <w:rsid w:val="004B77E4"/>
    <w:rsid w:val="004C0469"/>
    <w:rsid w:val="004C0839"/>
    <w:rsid w:val="004C0BC4"/>
    <w:rsid w:val="004C1032"/>
    <w:rsid w:val="004C1A16"/>
    <w:rsid w:val="004C25F8"/>
    <w:rsid w:val="004C2A38"/>
    <w:rsid w:val="004C3243"/>
    <w:rsid w:val="004C382A"/>
    <w:rsid w:val="004C43A2"/>
    <w:rsid w:val="004C4C11"/>
    <w:rsid w:val="004C4CEB"/>
    <w:rsid w:val="004C4D93"/>
    <w:rsid w:val="004C53BA"/>
    <w:rsid w:val="004C5BE3"/>
    <w:rsid w:val="004C5F61"/>
    <w:rsid w:val="004C6903"/>
    <w:rsid w:val="004C6FAD"/>
    <w:rsid w:val="004C7166"/>
    <w:rsid w:val="004C7AF1"/>
    <w:rsid w:val="004D0301"/>
    <w:rsid w:val="004D071A"/>
    <w:rsid w:val="004D076F"/>
    <w:rsid w:val="004D077D"/>
    <w:rsid w:val="004D07B0"/>
    <w:rsid w:val="004D1EB5"/>
    <w:rsid w:val="004D1F14"/>
    <w:rsid w:val="004D2598"/>
    <w:rsid w:val="004D2D9B"/>
    <w:rsid w:val="004D2DC4"/>
    <w:rsid w:val="004D39E6"/>
    <w:rsid w:val="004D3D0A"/>
    <w:rsid w:val="004D44B0"/>
    <w:rsid w:val="004D4A72"/>
    <w:rsid w:val="004D55EA"/>
    <w:rsid w:val="004D5B19"/>
    <w:rsid w:val="004D6BC3"/>
    <w:rsid w:val="004D7701"/>
    <w:rsid w:val="004D7737"/>
    <w:rsid w:val="004D7D9E"/>
    <w:rsid w:val="004D7E63"/>
    <w:rsid w:val="004E09A9"/>
    <w:rsid w:val="004E0EEC"/>
    <w:rsid w:val="004E2273"/>
    <w:rsid w:val="004E29C7"/>
    <w:rsid w:val="004E2BBF"/>
    <w:rsid w:val="004E31E5"/>
    <w:rsid w:val="004E37D2"/>
    <w:rsid w:val="004E3B62"/>
    <w:rsid w:val="004E3C66"/>
    <w:rsid w:val="004E4411"/>
    <w:rsid w:val="004E4E7F"/>
    <w:rsid w:val="004E4FED"/>
    <w:rsid w:val="004E5AD5"/>
    <w:rsid w:val="004E5E34"/>
    <w:rsid w:val="004E5FFC"/>
    <w:rsid w:val="004E63D0"/>
    <w:rsid w:val="004E65DC"/>
    <w:rsid w:val="004E70E7"/>
    <w:rsid w:val="004E72A1"/>
    <w:rsid w:val="004E7C24"/>
    <w:rsid w:val="004E7EEE"/>
    <w:rsid w:val="004F01E6"/>
    <w:rsid w:val="004F06E8"/>
    <w:rsid w:val="004F09D3"/>
    <w:rsid w:val="004F0CB4"/>
    <w:rsid w:val="004F0E4B"/>
    <w:rsid w:val="004F0F8F"/>
    <w:rsid w:val="004F11F9"/>
    <w:rsid w:val="004F1324"/>
    <w:rsid w:val="004F1675"/>
    <w:rsid w:val="004F1A20"/>
    <w:rsid w:val="004F1D82"/>
    <w:rsid w:val="004F2341"/>
    <w:rsid w:val="004F261F"/>
    <w:rsid w:val="004F539E"/>
    <w:rsid w:val="004F56B1"/>
    <w:rsid w:val="004F5B11"/>
    <w:rsid w:val="004F63DB"/>
    <w:rsid w:val="004F6BC7"/>
    <w:rsid w:val="004F7290"/>
    <w:rsid w:val="004F73F2"/>
    <w:rsid w:val="004F7B30"/>
    <w:rsid w:val="004F7F5E"/>
    <w:rsid w:val="0050028A"/>
    <w:rsid w:val="00500623"/>
    <w:rsid w:val="00500B3B"/>
    <w:rsid w:val="00501081"/>
    <w:rsid w:val="00501F00"/>
    <w:rsid w:val="00502E9E"/>
    <w:rsid w:val="00503F96"/>
    <w:rsid w:val="0050449B"/>
    <w:rsid w:val="00504831"/>
    <w:rsid w:val="00505322"/>
    <w:rsid w:val="005053AD"/>
    <w:rsid w:val="00505F56"/>
    <w:rsid w:val="0050646F"/>
    <w:rsid w:val="005101A0"/>
    <w:rsid w:val="00510B92"/>
    <w:rsid w:val="00511411"/>
    <w:rsid w:val="005115B2"/>
    <w:rsid w:val="00511FA7"/>
    <w:rsid w:val="0051279F"/>
    <w:rsid w:val="00512B9F"/>
    <w:rsid w:val="0051360F"/>
    <w:rsid w:val="00513C32"/>
    <w:rsid w:val="00514860"/>
    <w:rsid w:val="00514B57"/>
    <w:rsid w:val="00514D9B"/>
    <w:rsid w:val="0051502A"/>
    <w:rsid w:val="00515599"/>
    <w:rsid w:val="005156A0"/>
    <w:rsid w:val="00515E03"/>
    <w:rsid w:val="005163BE"/>
    <w:rsid w:val="00517DE0"/>
    <w:rsid w:val="00520516"/>
    <w:rsid w:val="0052056F"/>
    <w:rsid w:val="00520932"/>
    <w:rsid w:val="00520B83"/>
    <w:rsid w:val="00520C67"/>
    <w:rsid w:val="00520CAC"/>
    <w:rsid w:val="00520E60"/>
    <w:rsid w:val="00520F92"/>
    <w:rsid w:val="00521238"/>
    <w:rsid w:val="00521571"/>
    <w:rsid w:val="005218D5"/>
    <w:rsid w:val="005225DC"/>
    <w:rsid w:val="0052285D"/>
    <w:rsid w:val="00522ACF"/>
    <w:rsid w:val="00523338"/>
    <w:rsid w:val="005239DC"/>
    <w:rsid w:val="0052548C"/>
    <w:rsid w:val="005254BF"/>
    <w:rsid w:val="0052709E"/>
    <w:rsid w:val="00527A2A"/>
    <w:rsid w:val="00527B89"/>
    <w:rsid w:val="00527BAB"/>
    <w:rsid w:val="00527C63"/>
    <w:rsid w:val="0053071C"/>
    <w:rsid w:val="00530B09"/>
    <w:rsid w:val="005310D1"/>
    <w:rsid w:val="005322F7"/>
    <w:rsid w:val="005323C8"/>
    <w:rsid w:val="005326D6"/>
    <w:rsid w:val="00532C3A"/>
    <w:rsid w:val="0053379B"/>
    <w:rsid w:val="00533A75"/>
    <w:rsid w:val="00533B9C"/>
    <w:rsid w:val="005345F5"/>
    <w:rsid w:val="00534EF8"/>
    <w:rsid w:val="005353AE"/>
    <w:rsid w:val="00535D6D"/>
    <w:rsid w:val="005360D7"/>
    <w:rsid w:val="005366F6"/>
    <w:rsid w:val="00536AD6"/>
    <w:rsid w:val="00537BDA"/>
    <w:rsid w:val="005428AB"/>
    <w:rsid w:val="00542988"/>
    <w:rsid w:val="00544E2E"/>
    <w:rsid w:val="005451BA"/>
    <w:rsid w:val="0054587E"/>
    <w:rsid w:val="00545F9C"/>
    <w:rsid w:val="00546766"/>
    <w:rsid w:val="00547BE7"/>
    <w:rsid w:val="00550815"/>
    <w:rsid w:val="00552C99"/>
    <w:rsid w:val="005535FD"/>
    <w:rsid w:val="00553681"/>
    <w:rsid w:val="00553A2D"/>
    <w:rsid w:val="00553C76"/>
    <w:rsid w:val="005547CF"/>
    <w:rsid w:val="0055516D"/>
    <w:rsid w:val="005557C7"/>
    <w:rsid w:val="0055632C"/>
    <w:rsid w:val="00556E8F"/>
    <w:rsid w:val="00557EB9"/>
    <w:rsid w:val="00561A0A"/>
    <w:rsid w:val="00561A79"/>
    <w:rsid w:val="005625B1"/>
    <w:rsid w:val="00563190"/>
    <w:rsid w:val="00563EBF"/>
    <w:rsid w:val="00564AE1"/>
    <w:rsid w:val="00565674"/>
    <w:rsid w:val="00565857"/>
    <w:rsid w:val="00565A56"/>
    <w:rsid w:val="00565F4F"/>
    <w:rsid w:val="005662D2"/>
    <w:rsid w:val="005662E0"/>
    <w:rsid w:val="00566998"/>
    <w:rsid w:val="00567990"/>
    <w:rsid w:val="00567E7C"/>
    <w:rsid w:val="0057006A"/>
    <w:rsid w:val="0057047B"/>
    <w:rsid w:val="00570CEF"/>
    <w:rsid w:val="00571170"/>
    <w:rsid w:val="00571BC9"/>
    <w:rsid w:val="005727CF"/>
    <w:rsid w:val="005729CC"/>
    <w:rsid w:val="00572A1F"/>
    <w:rsid w:val="00572D36"/>
    <w:rsid w:val="00573220"/>
    <w:rsid w:val="00573718"/>
    <w:rsid w:val="005739B4"/>
    <w:rsid w:val="0057419E"/>
    <w:rsid w:val="0057516D"/>
    <w:rsid w:val="00575E05"/>
    <w:rsid w:val="005761F0"/>
    <w:rsid w:val="00576C7D"/>
    <w:rsid w:val="00576DAF"/>
    <w:rsid w:val="00577AA5"/>
    <w:rsid w:val="00577D7F"/>
    <w:rsid w:val="005804D2"/>
    <w:rsid w:val="0058055F"/>
    <w:rsid w:val="005809D9"/>
    <w:rsid w:val="00581580"/>
    <w:rsid w:val="0058183E"/>
    <w:rsid w:val="00581887"/>
    <w:rsid w:val="005818AD"/>
    <w:rsid w:val="00581DC7"/>
    <w:rsid w:val="00582218"/>
    <w:rsid w:val="00582CDE"/>
    <w:rsid w:val="005834C0"/>
    <w:rsid w:val="00583534"/>
    <w:rsid w:val="005843A0"/>
    <w:rsid w:val="00584960"/>
    <w:rsid w:val="00584C76"/>
    <w:rsid w:val="00584D6A"/>
    <w:rsid w:val="0058554C"/>
    <w:rsid w:val="00585712"/>
    <w:rsid w:val="00585B90"/>
    <w:rsid w:val="00585DCF"/>
    <w:rsid w:val="00585EB9"/>
    <w:rsid w:val="00586350"/>
    <w:rsid w:val="00586497"/>
    <w:rsid w:val="00586B26"/>
    <w:rsid w:val="00586CE5"/>
    <w:rsid w:val="00586F3B"/>
    <w:rsid w:val="00587098"/>
    <w:rsid w:val="00590650"/>
    <w:rsid w:val="00590DB3"/>
    <w:rsid w:val="00590E9C"/>
    <w:rsid w:val="005910EF"/>
    <w:rsid w:val="00591112"/>
    <w:rsid w:val="00591362"/>
    <w:rsid w:val="0059190A"/>
    <w:rsid w:val="00591C19"/>
    <w:rsid w:val="0059215C"/>
    <w:rsid w:val="00592487"/>
    <w:rsid w:val="00593AFC"/>
    <w:rsid w:val="00593F35"/>
    <w:rsid w:val="00594188"/>
    <w:rsid w:val="005945F8"/>
    <w:rsid w:val="00594F83"/>
    <w:rsid w:val="00595A81"/>
    <w:rsid w:val="00595B84"/>
    <w:rsid w:val="0059619C"/>
    <w:rsid w:val="00596386"/>
    <w:rsid w:val="00597161"/>
    <w:rsid w:val="005976C1"/>
    <w:rsid w:val="005976E9"/>
    <w:rsid w:val="00597ACB"/>
    <w:rsid w:val="00597F8C"/>
    <w:rsid w:val="005A0A9C"/>
    <w:rsid w:val="005A12B3"/>
    <w:rsid w:val="005A184E"/>
    <w:rsid w:val="005A19B4"/>
    <w:rsid w:val="005A2270"/>
    <w:rsid w:val="005A27F5"/>
    <w:rsid w:val="005A2C48"/>
    <w:rsid w:val="005A2DDE"/>
    <w:rsid w:val="005A354F"/>
    <w:rsid w:val="005A3579"/>
    <w:rsid w:val="005A3AB1"/>
    <w:rsid w:val="005A421D"/>
    <w:rsid w:val="005A4C17"/>
    <w:rsid w:val="005A5673"/>
    <w:rsid w:val="005A5D37"/>
    <w:rsid w:val="005A62C2"/>
    <w:rsid w:val="005A6858"/>
    <w:rsid w:val="005A78D5"/>
    <w:rsid w:val="005A798F"/>
    <w:rsid w:val="005B0197"/>
    <w:rsid w:val="005B0636"/>
    <w:rsid w:val="005B0FF6"/>
    <w:rsid w:val="005B2544"/>
    <w:rsid w:val="005B28A2"/>
    <w:rsid w:val="005B3E7B"/>
    <w:rsid w:val="005B41B0"/>
    <w:rsid w:val="005B4676"/>
    <w:rsid w:val="005B4840"/>
    <w:rsid w:val="005B4CB9"/>
    <w:rsid w:val="005B5254"/>
    <w:rsid w:val="005B5C9B"/>
    <w:rsid w:val="005B5F92"/>
    <w:rsid w:val="005B6554"/>
    <w:rsid w:val="005B6835"/>
    <w:rsid w:val="005C0407"/>
    <w:rsid w:val="005C053D"/>
    <w:rsid w:val="005C189F"/>
    <w:rsid w:val="005C1A3D"/>
    <w:rsid w:val="005C1D5C"/>
    <w:rsid w:val="005C2851"/>
    <w:rsid w:val="005C2B0C"/>
    <w:rsid w:val="005C3202"/>
    <w:rsid w:val="005C38B6"/>
    <w:rsid w:val="005C47D6"/>
    <w:rsid w:val="005C4C4A"/>
    <w:rsid w:val="005C5771"/>
    <w:rsid w:val="005C6239"/>
    <w:rsid w:val="005C6407"/>
    <w:rsid w:val="005C6470"/>
    <w:rsid w:val="005C68DC"/>
    <w:rsid w:val="005C7BD2"/>
    <w:rsid w:val="005C7D98"/>
    <w:rsid w:val="005D0660"/>
    <w:rsid w:val="005D068E"/>
    <w:rsid w:val="005D06C3"/>
    <w:rsid w:val="005D165B"/>
    <w:rsid w:val="005D27B3"/>
    <w:rsid w:val="005D2B43"/>
    <w:rsid w:val="005D4A40"/>
    <w:rsid w:val="005D4F10"/>
    <w:rsid w:val="005D4F84"/>
    <w:rsid w:val="005D576E"/>
    <w:rsid w:val="005D6180"/>
    <w:rsid w:val="005D68F1"/>
    <w:rsid w:val="005D6B73"/>
    <w:rsid w:val="005D7CC8"/>
    <w:rsid w:val="005E0510"/>
    <w:rsid w:val="005E140F"/>
    <w:rsid w:val="005E1609"/>
    <w:rsid w:val="005E22DF"/>
    <w:rsid w:val="005E2CE6"/>
    <w:rsid w:val="005E2CFD"/>
    <w:rsid w:val="005E33B9"/>
    <w:rsid w:val="005E33D7"/>
    <w:rsid w:val="005E46DA"/>
    <w:rsid w:val="005E4A30"/>
    <w:rsid w:val="005E576C"/>
    <w:rsid w:val="005E5CA5"/>
    <w:rsid w:val="005E6949"/>
    <w:rsid w:val="005E6AB8"/>
    <w:rsid w:val="005E6B3E"/>
    <w:rsid w:val="005E6F35"/>
    <w:rsid w:val="005E7605"/>
    <w:rsid w:val="005E7D38"/>
    <w:rsid w:val="005E7F0B"/>
    <w:rsid w:val="005F0F39"/>
    <w:rsid w:val="005F1E18"/>
    <w:rsid w:val="005F1E61"/>
    <w:rsid w:val="005F1F9D"/>
    <w:rsid w:val="005F2B8C"/>
    <w:rsid w:val="005F2C40"/>
    <w:rsid w:val="005F32D1"/>
    <w:rsid w:val="005F3560"/>
    <w:rsid w:val="005F4C26"/>
    <w:rsid w:val="005F5051"/>
    <w:rsid w:val="005F6117"/>
    <w:rsid w:val="005F634D"/>
    <w:rsid w:val="005F6897"/>
    <w:rsid w:val="005F69AE"/>
    <w:rsid w:val="005F7A11"/>
    <w:rsid w:val="005F7DB0"/>
    <w:rsid w:val="00600326"/>
    <w:rsid w:val="006006A1"/>
    <w:rsid w:val="00600946"/>
    <w:rsid w:val="00601207"/>
    <w:rsid w:val="00601387"/>
    <w:rsid w:val="00602648"/>
    <w:rsid w:val="00602B66"/>
    <w:rsid w:val="00602B8B"/>
    <w:rsid w:val="006039A1"/>
    <w:rsid w:val="006046CF"/>
    <w:rsid w:val="006047F1"/>
    <w:rsid w:val="00604BBC"/>
    <w:rsid w:val="00604EE5"/>
    <w:rsid w:val="00607076"/>
    <w:rsid w:val="00607305"/>
    <w:rsid w:val="006100BC"/>
    <w:rsid w:val="006101E5"/>
    <w:rsid w:val="00610204"/>
    <w:rsid w:val="00611188"/>
    <w:rsid w:val="0061196C"/>
    <w:rsid w:val="00611D69"/>
    <w:rsid w:val="0061231E"/>
    <w:rsid w:val="00612B4F"/>
    <w:rsid w:val="00612B7E"/>
    <w:rsid w:val="00612BB2"/>
    <w:rsid w:val="0061438A"/>
    <w:rsid w:val="0061480B"/>
    <w:rsid w:val="006149FE"/>
    <w:rsid w:val="00614F44"/>
    <w:rsid w:val="006150AC"/>
    <w:rsid w:val="006154A4"/>
    <w:rsid w:val="0061563D"/>
    <w:rsid w:val="0061579B"/>
    <w:rsid w:val="00615AFD"/>
    <w:rsid w:val="00615DCE"/>
    <w:rsid w:val="00615FD9"/>
    <w:rsid w:val="006164C8"/>
    <w:rsid w:val="00616596"/>
    <w:rsid w:val="00616B92"/>
    <w:rsid w:val="006176E1"/>
    <w:rsid w:val="00617EA8"/>
    <w:rsid w:val="0062011B"/>
    <w:rsid w:val="006212E0"/>
    <w:rsid w:val="00621613"/>
    <w:rsid w:val="00621A2A"/>
    <w:rsid w:val="00621B44"/>
    <w:rsid w:val="00622228"/>
    <w:rsid w:val="006224BC"/>
    <w:rsid w:val="00622DB1"/>
    <w:rsid w:val="006235DF"/>
    <w:rsid w:val="00623B8F"/>
    <w:rsid w:val="00623D03"/>
    <w:rsid w:val="006248C0"/>
    <w:rsid w:val="00624B71"/>
    <w:rsid w:val="00624D5E"/>
    <w:rsid w:val="00624DB9"/>
    <w:rsid w:val="006253C0"/>
    <w:rsid w:val="00625CAE"/>
    <w:rsid w:val="00625EB8"/>
    <w:rsid w:val="006262AF"/>
    <w:rsid w:val="00627CE1"/>
    <w:rsid w:val="00630742"/>
    <w:rsid w:val="006317DB"/>
    <w:rsid w:val="00631BAE"/>
    <w:rsid w:val="00631FD6"/>
    <w:rsid w:val="006320EA"/>
    <w:rsid w:val="00632302"/>
    <w:rsid w:val="0063245A"/>
    <w:rsid w:val="00633199"/>
    <w:rsid w:val="00633273"/>
    <w:rsid w:val="00633A9A"/>
    <w:rsid w:val="00633D9C"/>
    <w:rsid w:val="00633FE1"/>
    <w:rsid w:val="00634AF2"/>
    <w:rsid w:val="00635502"/>
    <w:rsid w:val="00635DB5"/>
    <w:rsid w:val="00636B1A"/>
    <w:rsid w:val="00636BE7"/>
    <w:rsid w:val="00636C92"/>
    <w:rsid w:val="006373AB"/>
    <w:rsid w:val="00637813"/>
    <w:rsid w:val="00637904"/>
    <w:rsid w:val="006408C3"/>
    <w:rsid w:val="006408E5"/>
    <w:rsid w:val="006409DB"/>
    <w:rsid w:val="006413A8"/>
    <w:rsid w:val="0064160E"/>
    <w:rsid w:val="00641B2E"/>
    <w:rsid w:val="00641C8D"/>
    <w:rsid w:val="006420C7"/>
    <w:rsid w:val="00642528"/>
    <w:rsid w:val="00642EFA"/>
    <w:rsid w:val="00642FB7"/>
    <w:rsid w:val="00643619"/>
    <w:rsid w:val="00645002"/>
    <w:rsid w:val="00645105"/>
    <w:rsid w:val="00646035"/>
    <w:rsid w:val="006467A8"/>
    <w:rsid w:val="0064773F"/>
    <w:rsid w:val="00647A2C"/>
    <w:rsid w:val="00650E66"/>
    <w:rsid w:val="00650F32"/>
    <w:rsid w:val="00651040"/>
    <w:rsid w:val="0065231A"/>
    <w:rsid w:val="006524AA"/>
    <w:rsid w:val="00652997"/>
    <w:rsid w:val="00653F22"/>
    <w:rsid w:val="00654872"/>
    <w:rsid w:val="00654D95"/>
    <w:rsid w:val="00655E3D"/>
    <w:rsid w:val="0065674E"/>
    <w:rsid w:val="00656816"/>
    <w:rsid w:val="00657771"/>
    <w:rsid w:val="006608A8"/>
    <w:rsid w:val="006611D6"/>
    <w:rsid w:val="006613E4"/>
    <w:rsid w:val="006618C2"/>
    <w:rsid w:val="00661C1B"/>
    <w:rsid w:val="006620CF"/>
    <w:rsid w:val="00662C46"/>
    <w:rsid w:val="00663054"/>
    <w:rsid w:val="006658DE"/>
    <w:rsid w:val="00665E82"/>
    <w:rsid w:val="0066627F"/>
    <w:rsid w:val="006667E7"/>
    <w:rsid w:val="00666B5D"/>
    <w:rsid w:val="0066749C"/>
    <w:rsid w:val="00670475"/>
    <w:rsid w:val="006708CB"/>
    <w:rsid w:val="00670E30"/>
    <w:rsid w:val="0067219A"/>
    <w:rsid w:val="00672415"/>
    <w:rsid w:val="00672EBD"/>
    <w:rsid w:val="0067339B"/>
    <w:rsid w:val="006736A7"/>
    <w:rsid w:val="006736F1"/>
    <w:rsid w:val="00673EB3"/>
    <w:rsid w:val="00673F84"/>
    <w:rsid w:val="0067431E"/>
    <w:rsid w:val="006747EA"/>
    <w:rsid w:val="00675184"/>
    <w:rsid w:val="00675297"/>
    <w:rsid w:val="006754B0"/>
    <w:rsid w:val="006757DB"/>
    <w:rsid w:val="00675BFE"/>
    <w:rsid w:val="006762AA"/>
    <w:rsid w:val="006762F8"/>
    <w:rsid w:val="006776FA"/>
    <w:rsid w:val="00677F28"/>
    <w:rsid w:val="00680136"/>
    <w:rsid w:val="0068064E"/>
    <w:rsid w:val="006807D2"/>
    <w:rsid w:val="00681153"/>
    <w:rsid w:val="00681231"/>
    <w:rsid w:val="0068175D"/>
    <w:rsid w:val="00683DE2"/>
    <w:rsid w:val="00683F6E"/>
    <w:rsid w:val="00684033"/>
    <w:rsid w:val="00684675"/>
    <w:rsid w:val="006847F8"/>
    <w:rsid w:val="006849DF"/>
    <w:rsid w:val="00684BFF"/>
    <w:rsid w:val="0068682D"/>
    <w:rsid w:val="006869D1"/>
    <w:rsid w:val="00687477"/>
    <w:rsid w:val="0069047D"/>
    <w:rsid w:val="00691123"/>
    <w:rsid w:val="0069154C"/>
    <w:rsid w:val="006917F3"/>
    <w:rsid w:val="0069260F"/>
    <w:rsid w:val="00693197"/>
    <w:rsid w:val="006937A1"/>
    <w:rsid w:val="00693E5F"/>
    <w:rsid w:val="00694DB0"/>
    <w:rsid w:val="00695BF3"/>
    <w:rsid w:val="00696AF3"/>
    <w:rsid w:val="0069704B"/>
    <w:rsid w:val="00697515"/>
    <w:rsid w:val="00697C71"/>
    <w:rsid w:val="006A033A"/>
    <w:rsid w:val="006A06B7"/>
    <w:rsid w:val="006A0B42"/>
    <w:rsid w:val="006A0BBF"/>
    <w:rsid w:val="006A0D8B"/>
    <w:rsid w:val="006A1417"/>
    <w:rsid w:val="006A1833"/>
    <w:rsid w:val="006A1E99"/>
    <w:rsid w:val="006A29A6"/>
    <w:rsid w:val="006A2AE5"/>
    <w:rsid w:val="006A2EDD"/>
    <w:rsid w:val="006A303C"/>
    <w:rsid w:val="006A3CB1"/>
    <w:rsid w:val="006A4276"/>
    <w:rsid w:val="006A4406"/>
    <w:rsid w:val="006A4410"/>
    <w:rsid w:val="006A4D32"/>
    <w:rsid w:val="006A4DAC"/>
    <w:rsid w:val="006A4FF9"/>
    <w:rsid w:val="006A5789"/>
    <w:rsid w:val="006A5C9E"/>
    <w:rsid w:val="006A64E2"/>
    <w:rsid w:val="006A6B0C"/>
    <w:rsid w:val="006A6DFB"/>
    <w:rsid w:val="006A781F"/>
    <w:rsid w:val="006A7D4F"/>
    <w:rsid w:val="006A7F29"/>
    <w:rsid w:val="006B0476"/>
    <w:rsid w:val="006B089E"/>
    <w:rsid w:val="006B155C"/>
    <w:rsid w:val="006B1C7F"/>
    <w:rsid w:val="006B24C7"/>
    <w:rsid w:val="006B30B0"/>
    <w:rsid w:val="006B3453"/>
    <w:rsid w:val="006B3589"/>
    <w:rsid w:val="006B3B79"/>
    <w:rsid w:val="006B4358"/>
    <w:rsid w:val="006B44A7"/>
    <w:rsid w:val="006B44DB"/>
    <w:rsid w:val="006B4959"/>
    <w:rsid w:val="006B4D87"/>
    <w:rsid w:val="006B5227"/>
    <w:rsid w:val="006B5EFA"/>
    <w:rsid w:val="006B6BF2"/>
    <w:rsid w:val="006B6D08"/>
    <w:rsid w:val="006B713E"/>
    <w:rsid w:val="006B7441"/>
    <w:rsid w:val="006B76D2"/>
    <w:rsid w:val="006C04BA"/>
    <w:rsid w:val="006C07EA"/>
    <w:rsid w:val="006C0A0A"/>
    <w:rsid w:val="006C0B60"/>
    <w:rsid w:val="006C10D3"/>
    <w:rsid w:val="006C1401"/>
    <w:rsid w:val="006C1A76"/>
    <w:rsid w:val="006C2EE0"/>
    <w:rsid w:val="006C2EEC"/>
    <w:rsid w:val="006C3C5E"/>
    <w:rsid w:val="006C420A"/>
    <w:rsid w:val="006C6D35"/>
    <w:rsid w:val="006C7502"/>
    <w:rsid w:val="006C7CC0"/>
    <w:rsid w:val="006D01CE"/>
    <w:rsid w:val="006D1336"/>
    <w:rsid w:val="006D18EA"/>
    <w:rsid w:val="006D1E65"/>
    <w:rsid w:val="006D1ED8"/>
    <w:rsid w:val="006D2BAA"/>
    <w:rsid w:val="006D3000"/>
    <w:rsid w:val="006D36FF"/>
    <w:rsid w:val="006D3944"/>
    <w:rsid w:val="006D39CE"/>
    <w:rsid w:val="006D4241"/>
    <w:rsid w:val="006D5810"/>
    <w:rsid w:val="006D5E1E"/>
    <w:rsid w:val="006D6215"/>
    <w:rsid w:val="006D6C93"/>
    <w:rsid w:val="006D6D74"/>
    <w:rsid w:val="006D739A"/>
    <w:rsid w:val="006D789A"/>
    <w:rsid w:val="006E014F"/>
    <w:rsid w:val="006E01D5"/>
    <w:rsid w:val="006E06F8"/>
    <w:rsid w:val="006E08DA"/>
    <w:rsid w:val="006E0982"/>
    <w:rsid w:val="006E0DCA"/>
    <w:rsid w:val="006E1249"/>
    <w:rsid w:val="006E17AF"/>
    <w:rsid w:val="006E19DE"/>
    <w:rsid w:val="006E1B3B"/>
    <w:rsid w:val="006E4787"/>
    <w:rsid w:val="006E4C78"/>
    <w:rsid w:val="006E5115"/>
    <w:rsid w:val="006E676F"/>
    <w:rsid w:val="006E697F"/>
    <w:rsid w:val="006E7B30"/>
    <w:rsid w:val="006F14F2"/>
    <w:rsid w:val="006F15B5"/>
    <w:rsid w:val="006F1D17"/>
    <w:rsid w:val="006F2609"/>
    <w:rsid w:val="006F3079"/>
    <w:rsid w:val="006F336A"/>
    <w:rsid w:val="006F3F9B"/>
    <w:rsid w:val="006F4425"/>
    <w:rsid w:val="006F44D0"/>
    <w:rsid w:val="006F48B5"/>
    <w:rsid w:val="006F4A1D"/>
    <w:rsid w:val="006F4CE5"/>
    <w:rsid w:val="006F73FF"/>
    <w:rsid w:val="006F7EE7"/>
    <w:rsid w:val="00700060"/>
    <w:rsid w:val="00701F4D"/>
    <w:rsid w:val="0070217A"/>
    <w:rsid w:val="00702E61"/>
    <w:rsid w:val="00703940"/>
    <w:rsid w:val="00703B88"/>
    <w:rsid w:val="0070414A"/>
    <w:rsid w:val="007048E5"/>
    <w:rsid w:val="00704B15"/>
    <w:rsid w:val="00704E7D"/>
    <w:rsid w:val="00705069"/>
    <w:rsid w:val="00706E65"/>
    <w:rsid w:val="007070AF"/>
    <w:rsid w:val="00707470"/>
    <w:rsid w:val="00707B1F"/>
    <w:rsid w:val="00710370"/>
    <w:rsid w:val="00710766"/>
    <w:rsid w:val="00710A7B"/>
    <w:rsid w:val="00710C47"/>
    <w:rsid w:val="00711C9D"/>
    <w:rsid w:val="0071207F"/>
    <w:rsid w:val="00712239"/>
    <w:rsid w:val="007128E2"/>
    <w:rsid w:val="0071291E"/>
    <w:rsid w:val="007138C9"/>
    <w:rsid w:val="00713F28"/>
    <w:rsid w:val="00714371"/>
    <w:rsid w:val="00716949"/>
    <w:rsid w:val="00716E16"/>
    <w:rsid w:val="0071767F"/>
    <w:rsid w:val="00717D8A"/>
    <w:rsid w:val="00720190"/>
    <w:rsid w:val="0072164C"/>
    <w:rsid w:val="00721A12"/>
    <w:rsid w:val="00721F0A"/>
    <w:rsid w:val="0072259C"/>
    <w:rsid w:val="007230AB"/>
    <w:rsid w:val="007240F5"/>
    <w:rsid w:val="00724229"/>
    <w:rsid w:val="00724761"/>
    <w:rsid w:val="00724CF2"/>
    <w:rsid w:val="007263EF"/>
    <w:rsid w:val="00727157"/>
    <w:rsid w:val="00730AC7"/>
    <w:rsid w:val="00730EF0"/>
    <w:rsid w:val="007311A1"/>
    <w:rsid w:val="00731359"/>
    <w:rsid w:val="0073168D"/>
    <w:rsid w:val="00731DB5"/>
    <w:rsid w:val="00732178"/>
    <w:rsid w:val="0073338F"/>
    <w:rsid w:val="00733B6B"/>
    <w:rsid w:val="0073431B"/>
    <w:rsid w:val="0073434A"/>
    <w:rsid w:val="00734A45"/>
    <w:rsid w:val="00734CAE"/>
    <w:rsid w:val="00734D26"/>
    <w:rsid w:val="00735540"/>
    <w:rsid w:val="00735E5B"/>
    <w:rsid w:val="0074008D"/>
    <w:rsid w:val="007406A8"/>
    <w:rsid w:val="007407F7"/>
    <w:rsid w:val="0074106A"/>
    <w:rsid w:val="0074158B"/>
    <w:rsid w:val="007417CD"/>
    <w:rsid w:val="00741A29"/>
    <w:rsid w:val="00742328"/>
    <w:rsid w:val="0074260F"/>
    <w:rsid w:val="007426A3"/>
    <w:rsid w:val="00742BC8"/>
    <w:rsid w:val="00743D00"/>
    <w:rsid w:val="007447F0"/>
    <w:rsid w:val="00744C6B"/>
    <w:rsid w:val="00745529"/>
    <w:rsid w:val="00745622"/>
    <w:rsid w:val="00746440"/>
    <w:rsid w:val="00746ABA"/>
    <w:rsid w:val="0074774D"/>
    <w:rsid w:val="007478D2"/>
    <w:rsid w:val="00747A21"/>
    <w:rsid w:val="00747BC5"/>
    <w:rsid w:val="0075022D"/>
    <w:rsid w:val="0075081D"/>
    <w:rsid w:val="00750C94"/>
    <w:rsid w:val="00750FB9"/>
    <w:rsid w:val="007514BB"/>
    <w:rsid w:val="0075163E"/>
    <w:rsid w:val="007517C1"/>
    <w:rsid w:val="00751F53"/>
    <w:rsid w:val="00754CF0"/>
    <w:rsid w:val="00754ED0"/>
    <w:rsid w:val="00755667"/>
    <w:rsid w:val="00755988"/>
    <w:rsid w:val="00755A8C"/>
    <w:rsid w:val="00755D86"/>
    <w:rsid w:val="00756428"/>
    <w:rsid w:val="00756979"/>
    <w:rsid w:val="00757351"/>
    <w:rsid w:val="00760F8B"/>
    <w:rsid w:val="00761028"/>
    <w:rsid w:val="007611B8"/>
    <w:rsid w:val="007611CA"/>
    <w:rsid w:val="00761290"/>
    <w:rsid w:val="00761360"/>
    <w:rsid w:val="0076141C"/>
    <w:rsid w:val="00761639"/>
    <w:rsid w:val="00761653"/>
    <w:rsid w:val="0076205B"/>
    <w:rsid w:val="007626B9"/>
    <w:rsid w:val="00762AE5"/>
    <w:rsid w:val="00763553"/>
    <w:rsid w:val="007645F9"/>
    <w:rsid w:val="00764AA0"/>
    <w:rsid w:val="0076501B"/>
    <w:rsid w:val="007658A9"/>
    <w:rsid w:val="00765B67"/>
    <w:rsid w:val="00766425"/>
    <w:rsid w:val="007677FF"/>
    <w:rsid w:val="00767C20"/>
    <w:rsid w:val="00767E99"/>
    <w:rsid w:val="00767F5B"/>
    <w:rsid w:val="007707BD"/>
    <w:rsid w:val="0077083A"/>
    <w:rsid w:val="007713F2"/>
    <w:rsid w:val="007716AE"/>
    <w:rsid w:val="00772A62"/>
    <w:rsid w:val="00772F64"/>
    <w:rsid w:val="00773144"/>
    <w:rsid w:val="0077364D"/>
    <w:rsid w:val="00773CD7"/>
    <w:rsid w:val="007754F9"/>
    <w:rsid w:val="007764D8"/>
    <w:rsid w:val="0077669F"/>
    <w:rsid w:val="00777D74"/>
    <w:rsid w:val="00780157"/>
    <w:rsid w:val="00780444"/>
    <w:rsid w:val="007812C2"/>
    <w:rsid w:val="007817E4"/>
    <w:rsid w:val="00782879"/>
    <w:rsid w:val="007831D4"/>
    <w:rsid w:val="0078383A"/>
    <w:rsid w:val="00783C26"/>
    <w:rsid w:val="007842F2"/>
    <w:rsid w:val="00784A0C"/>
    <w:rsid w:val="00784CC3"/>
    <w:rsid w:val="00784F08"/>
    <w:rsid w:val="00785B52"/>
    <w:rsid w:val="007860AA"/>
    <w:rsid w:val="007865A7"/>
    <w:rsid w:val="0078666A"/>
    <w:rsid w:val="007868E5"/>
    <w:rsid w:val="00786ABE"/>
    <w:rsid w:val="00787641"/>
    <w:rsid w:val="0078794A"/>
    <w:rsid w:val="00787F6D"/>
    <w:rsid w:val="00790D21"/>
    <w:rsid w:val="007917DA"/>
    <w:rsid w:val="007918DE"/>
    <w:rsid w:val="0079259B"/>
    <w:rsid w:val="00792B29"/>
    <w:rsid w:val="007936A5"/>
    <w:rsid w:val="00793AE4"/>
    <w:rsid w:val="00793E70"/>
    <w:rsid w:val="00793F89"/>
    <w:rsid w:val="007941F7"/>
    <w:rsid w:val="007943CF"/>
    <w:rsid w:val="00794C71"/>
    <w:rsid w:val="00794F9F"/>
    <w:rsid w:val="00795402"/>
    <w:rsid w:val="00795705"/>
    <w:rsid w:val="007958C8"/>
    <w:rsid w:val="00795D2A"/>
    <w:rsid w:val="00795DF3"/>
    <w:rsid w:val="00796060"/>
    <w:rsid w:val="0079660A"/>
    <w:rsid w:val="007966FF"/>
    <w:rsid w:val="007968B8"/>
    <w:rsid w:val="00797383"/>
    <w:rsid w:val="00797390"/>
    <w:rsid w:val="0079762B"/>
    <w:rsid w:val="00797ED2"/>
    <w:rsid w:val="007A01BE"/>
    <w:rsid w:val="007A06E0"/>
    <w:rsid w:val="007A0E1C"/>
    <w:rsid w:val="007A0EC4"/>
    <w:rsid w:val="007A11E1"/>
    <w:rsid w:val="007A1E27"/>
    <w:rsid w:val="007A23A1"/>
    <w:rsid w:val="007A27D3"/>
    <w:rsid w:val="007A2C9E"/>
    <w:rsid w:val="007A35B5"/>
    <w:rsid w:val="007A3E60"/>
    <w:rsid w:val="007A432C"/>
    <w:rsid w:val="007A6763"/>
    <w:rsid w:val="007A78AE"/>
    <w:rsid w:val="007B0B49"/>
    <w:rsid w:val="007B1438"/>
    <w:rsid w:val="007B1771"/>
    <w:rsid w:val="007B1B91"/>
    <w:rsid w:val="007B2376"/>
    <w:rsid w:val="007B25FB"/>
    <w:rsid w:val="007B2C37"/>
    <w:rsid w:val="007B427E"/>
    <w:rsid w:val="007B4555"/>
    <w:rsid w:val="007B5518"/>
    <w:rsid w:val="007B559F"/>
    <w:rsid w:val="007B732F"/>
    <w:rsid w:val="007B75EE"/>
    <w:rsid w:val="007C005B"/>
    <w:rsid w:val="007C03C1"/>
    <w:rsid w:val="007C0676"/>
    <w:rsid w:val="007C0BB9"/>
    <w:rsid w:val="007C1B66"/>
    <w:rsid w:val="007C2641"/>
    <w:rsid w:val="007C2A95"/>
    <w:rsid w:val="007C4248"/>
    <w:rsid w:val="007C4CB5"/>
    <w:rsid w:val="007C5B5B"/>
    <w:rsid w:val="007C7338"/>
    <w:rsid w:val="007C7E54"/>
    <w:rsid w:val="007C7EA2"/>
    <w:rsid w:val="007D0B1F"/>
    <w:rsid w:val="007D1204"/>
    <w:rsid w:val="007D1707"/>
    <w:rsid w:val="007D2F75"/>
    <w:rsid w:val="007D38FE"/>
    <w:rsid w:val="007D3E10"/>
    <w:rsid w:val="007D414E"/>
    <w:rsid w:val="007D4C34"/>
    <w:rsid w:val="007D4F92"/>
    <w:rsid w:val="007D53CC"/>
    <w:rsid w:val="007D5569"/>
    <w:rsid w:val="007D5C25"/>
    <w:rsid w:val="007D6139"/>
    <w:rsid w:val="007D621E"/>
    <w:rsid w:val="007D6247"/>
    <w:rsid w:val="007D6323"/>
    <w:rsid w:val="007D665D"/>
    <w:rsid w:val="007D6F51"/>
    <w:rsid w:val="007D74BB"/>
    <w:rsid w:val="007D7A1D"/>
    <w:rsid w:val="007D7B47"/>
    <w:rsid w:val="007E0A3C"/>
    <w:rsid w:val="007E0B59"/>
    <w:rsid w:val="007E18F5"/>
    <w:rsid w:val="007E198D"/>
    <w:rsid w:val="007E1C35"/>
    <w:rsid w:val="007E1CC3"/>
    <w:rsid w:val="007E231D"/>
    <w:rsid w:val="007E24EA"/>
    <w:rsid w:val="007E2835"/>
    <w:rsid w:val="007E37EF"/>
    <w:rsid w:val="007E49DE"/>
    <w:rsid w:val="007E51AA"/>
    <w:rsid w:val="007E545F"/>
    <w:rsid w:val="007E616A"/>
    <w:rsid w:val="007E63C6"/>
    <w:rsid w:val="007E7489"/>
    <w:rsid w:val="007E775B"/>
    <w:rsid w:val="007F0B38"/>
    <w:rsid w:val="007F1CB3"/>
    <w:rsid w:val="007F24CF"/>
    <w:rsid w:val="007F2535"/>
    <w:rsid w:val="007F2801"/>
    <w:rsid w:val="007F2847"/>
    <w:rsid w:val="007F426C"/>
    <w:rsid w:val="007F467E"/>
    <w:rsid w:val="007F4932"/>
    <w:rsid w:val="007F4D6D"/>
    <w:rsid w:val="007F52A2"/>
    <w:rsid w:val="007F5320"/>
    <w:rsid w:val="007F5758"/>
    <w:rsid w:val="007F58E9"/>
    <w:rsid w:val="007F6093"/>
    <w:rsid w:val="007F6143"/>
    <w:rsid w:val="007F6492"/>
    <w:rsid w:val="007F6AD7"/>
    <w:rsid w:val="007F6BF4"/>
    <w:rsid w:val="0080007C"/>
    <w:rsid w:val="00800574"/>
    <w:rsid w:val="0080106C"/>
    <w:rsid w:val="00801360"/>
    <w:rsid w:val="008028C6"/>
    <w:rsid w:val="00802E28"/>
    <w:rsid w:val="00803329"/>
    <w:rsid w:val="00803996"/>
    <w:rsid w:val="00804620"/>
    <w:rsid w:val="00806231"/>
    <w:rsid w:val="00806703"/>
    <w:rsid w:val="00806C67"/>
    <w:rsid w:val="00807058"/>
    <w:rsid w:val="00807151"/>
    <w:rsid w:val="008079FE"/>
    <w:rsid w:val="008107EB"/>
    <w:rsid w:val="008110A3"/>
    <w:rsid w:val="0081145A"/>
    <w:rsid w:val="00811A00"/>
    <w:rsid w:val="00811EAE"/>
    <w:rsid w:val="008124F9"/>
    <w:rsid w:val="00812ADA"/>
    <w:rsid w:val="00814AF3"/>
    <w:rsid w:val="00814B9D"/>
    <w:rsid w:val="00814BBE"/>
    <w:rsid w:val="00814E40"/>
    <w:rsid w:val="00814F55"/>
    <w:rsid w:val="00814FF8"/>
    <w:rsid w:val="00815EF6"/>
    <w:rsid w:val="00815F97"/>
    <w:rsid w:val="00816210"/>
    <w:rsid w:val="00816427"/>
    <w:rsid w:val="008164ED"/>
    <w:rsid w:val="008201E4"/>
    <w:rsid w:val="00820671"/>
    <w:rsid w:val="00820A1D"/>
    <w:rsid w:val="008211BD"/>
    <w:rsid w:val="008223F0"/>
    <w:rsid w:val="0082277A"/>
    <w:rsid w:val="008227BD"/>
    <w:rsid w:val="00822AB6"/>
    <w:rsid w:val="00822CE4"/>
    <w:rsid w:val="00823125"/>
    <w:rsid w:val="008236B5"/>
    <w:rsid w:val="00823A9B"/>
    <w:rsid w:val="00824D59"/>
    <w:rsid w:val="00825137"/>
    <w:rsid w:val="008256C9"/>
    <w:rsid w:val="008275C3"/>
    <w:rsid w:val="008278E4"/>
    <w:rsid w:val="00830F8B"/>
    <w:rsid w:val="0083122B"/>
    <w:rsid w:val="008312EA"/>
    <w:rsid w:val="00831A18"/>
    <w:rsid w:val="00831DAE"/>
    <w:rsid w:val="008327CD"/>
    <w:rsid w:val="00832DEA"/>
    <w:rsid w:val="00833BBF"/>
    <w:rsid w:val="00833F9A"/>
    <w:rsid w:val="00835088"/>
    <w:rsid w:val="00835D2B"/>
    <w:rsid w:val="00837207"/>
    <w:rsid w:val="00837C1A"/>
    <w:rsid w:val="00837C3F"/>
    <w:rsid w:val="0084014D"/>
    <w:rsid w:val="008401B4"/>
    <w:rsid w:val="00840698"/>
    <w:rsid w:val="00841234"/>
    <w:rsid w:val="008412B5"/>
    <w:rsid w:val="00841302"/>
    <w:rsid w:val="00841319"/>
    <w:rsid w:val="00841FAF"/>
    <w:rsid w:val="0084354B"/>
    <w:rsid w:val="00843A76"/>
    <w:rsid w:val="00844053"/>
    <w:rsid w:val="0084411B"/>
    <w:rsid w:val="008442EF"/>
    <w:rsid w:val="008448A3"/>
    <w:rsid w:val="008449F3"/>
    <w:rsid w:val="00844CEA"/>
    <w:rsid w:val="00844F62"/>
    <w:rsid w:val="00845AEC"/>
    <w:rsid w:val="00845EA3"/>
    <w:rsid w:val="00845F97"/>
    <w:rsid w:val="0084755F"/>
    <w:rsid w:val="00847D04"/>
    <w:rsid w:val="0085029B"/>
    <w:rsid w:val="00850D40"/>
    <w:rsid w:val="00851A38"/>
    <w:rsid w:val="00851A9E"/>
    <w:rsid w:val="00851B7D"/>
    <w:rsid w:val="0085238D"/>
    <w:rsid w:val="00852DA6"/>
    <w:rsid w:val="00853157"/>
    <w:rsid w:val="00853463"/>
    <w:rsid w:val="00853513"/>
    <w:rsid w:val="00853930"/>
    <w:rsid w:val="00854645"/>
    <w:rsid w:val="00854955"/>
    <w:rsid w:val="00855FDE"/>
    <w:rsid w:val="0085616B"/>
    <w:rsid w:val="00856173"/>
    <w:rsid w:val="008564A7"/>
    <w:rsid w:val="00856B94"/>
    <w:rsid w:val="00856CF6"/>
    <w:rsid w:val="00857BAD"/>
    <w:rsid w:val="0086002E"/>
    <w:rsid w:val="0086036C"/>
    <w:rsid w:val="00860780"/>
    <w:rsid w:val="00860A23"/>
    <w:rsid w:val="00860BD3"/>
    <w:rsid w:val="00860C82"/>
    <w:rsid w:val="00860DFE"/>
    <w:rsid w:val="00861E05"/>
    <w:rsid w:val="0086222B"/>
    <w:rsid w:val="008622BD"/>
    <w:rsid w:val="008627CF"/>
    <w:rsid w:val="008628AC"/>
    <w:rsid w:val="008629EF"/>
    <w:rsid w:val="00862AD2"/>
    <w:rsid w:val="00863680"/>
    <w:rsid w:val="0086388F"/>
    <w:rsid w:val="00863F4A"/>
    <w:rsid w:val="00864784"/>
    <w:rsid w:val="00864C3E"/>
    <w:rsid w:val="008654AB"/>
    <w:rsid w:val="0086743C"/>
    <w:rsid w:val="00867521"/>
    <w:rsid w:val="00870409"/>
    <w:rsid w:val="008708B3"/>
    <w:rsid w:val="00870A9E"/>
    <w:rsid w:val="00871621"/>
    <w:rsid w:val="00871BCD"/>
    <w:rsid w:val="00871D74"/>
    <w:rsid w:val="00872D19"/>
    <w:rsid w:val="008730AB"/>
    <w:rsid w:val="0087390A"/>
    <w:rsid w:val="0087499D"/>
    <w:rsid w:val="008749E1"/>
    <w:rsid w:val="008750CD"/>
    <w:rsid w:val="00875338"/>
    <w:rsid w:val="0087544B"/>
    <w:rsid w:val="008755E5"/>
    <w:rsid w:val="0087578F"/>
    <w:rsid w:val="008773E4"/>
    <w:rsid w:val="00877DC1"/>
    <w:rsid w:val="00880721"/>
    <w:rsid w:val="00880C3C"/>
    <w:rsid w:val="00881174"/>
    <w:rsid w:val="00881481"/>
    <w:rsid w:val="00881BE0"/>
    <w:rsid w:val="0088297E"/>
    <w:rsid w:val="0088304E"/>
    <w:rsid w:val="00883383"/>
    <w:rsid w:val="008836F2"/>
    <w:rsid w:val="00883C40"/>
    <w:rsid w:val="00884153"/>
    <w:rsid w:val="00884852"/>
    <w:rsid w:val="00885C1A"/>
    <w:rsid w:val="00885F97"/>
    <w:rsid w:val="008868BC"/>
    <w:rsid w:val="00887018"/>
    <w:rsid w:val="0088708C"/>
    <w:rsid w:val="00887A99"/>
    <w:rsid w:val="00890064"/>
    <w:rsid w:val="008901D5"/>
    <w:rsid w:val="0089188A"/>
    <w:rsid w:val="00891FA0"/>
    <w:rsid w:val="00892219"/>
    <w:rsid w:val="008924CE"/>
    <w:rsid w:val="0089285B"/>
    <w:rsid w:val="00893BF1"/>
    <w:rsid w:val="00893CDC"/>
    <w:rsid w:val="00894FCC"/>
    <w:rsid w:val="0089560E"/>
    <w:rsid w:val="0089609C"/>
    <w:rsid w:val="0089646A"/>
    <w:rsid w:val="00896BBC"/>
    <w:rsid w:val="00896BD2"/>
    <w:rsid w:val="008970A4"/>
    <w:rsid w:val="00897B0C"/>
    <w:rsid w:val="00897B3E"/>
    <w:rsid w:val="008A0711"/>
    <w:rsid w:val="008A2075"/>
    <w:rsid w:val="008A28BC"/>
    <w:rsid w:val="008A29CA"/>
    <w:rsid w:val="008A3180"/>
    <w:rsid w:val="008A3A83"/>
    <w:rsid w:val="008A4257"/>
    <w:rsid w:val="008A4C0E"/>
    <w:rsid w:val="008A6029"/>
    <w:rsid w:val="008A68DD"/>
    <w:rsid w:val="008A722E"/>
    <w:rsid w:val="008B05CD"/>
    <w:rsid w:val="008B2438"/>
    <w:rsid w:val="008B2629"/>
    <w:rsid w:val="008B2EB7"/>
    <w:rsid w:val="008B3413"/>
    <w:rsid w:val="008B36D8"/>
    <w:rsid w:val="008B511C"/>
    <w:rsid w:val="008B5583"/>
    <w:rsid w:val="008B5885"/>
    <w:rsid w:val="008B5AF0"/>
    <w:rsid w:val="008B61D9"/>
    <w:rsid w:val="008B68F5"/>
    <w:rsid w:val="008B7302"/>
    <w:rsid w:val="008B73D6"/>
    <w:rsid w:val="008B7EB8"/>
    <w:rsid w:val="008B7FDA"/>
    <w:rsid w:val="008C03E3"/>
    <w:rsid w:val="008C08AF"/>
    <w:rsid w:val="008C0B41"/>
    <w:rsid w:val="008C0C7D"/>
    <w:rsid w:val="008C0D44"/>
    <w:rsid w:val="008C1880"/>
    <w:rsid w:val="008C18EA"/>
    <w:rsid w:val="008C18F6"/>
    <w:rsid w:val="008C1BAF"/>
    <w:rsid w:val="008C20C0"/>
    <w:rsid w:val="008C23EA"/>
    <w:rsid w:val="008C23F6"/>
    <w:rsid w:val="008C311C"/>
    <w:rsid w:val="008C3358"/>
    <w:rsid w:val="008C34C9"/>
    <w:rsid w:val="008C3539"/>
    <w:rsid w:val="008C3D1C"/>
    <w:rsid w:val="008C48AC"/>
    <w:rsid w:val="008C4BAC"/>
    <w:rsid w:val="008C53CA"/>
    <w:rsid w:val="008C56F0"/>
    <w:rsid w:val="008C588C"/>
    <w:rsid w:val="008C5B9A"/>
    <w:rsid w:val="008C5E6C"/>
    <w:rsid w:val="008C67E9"/>
    <w:rsid w:val="008C7B32"/>
    <w:rsid w:val="008C7B46"/>
    <w:rsid w:val="008C7FB7"/>
    <w:rsid w:val="008D11DA"/>
    <w:rsid w:val="008D137D"/>
    <w:rsid w:val="008D146E"/>
    <w:rsid w:val="008D1BB2"/>
    <w:rsid w:val="008D1F9D"/>
    <w:rsid w:val="008D1FD4"/>
    <w:rsid w:val="008D2D16"/>
    <w:rsid w:val="008D357A"/>
    <w:rsid w:val="008D5167"/>
    <w:rsid w:val="008D5199"/>
    <w:rsid w:val="008D5CD8"/>
    <w:rsid w:val="008D63B8"/>
    <w:rsid w:val="008D6BA1"/>
    <w:rsid w:val="008D6D00"/>
    <w:rsid w:val="008D7002"/>
    <w:rsid w:val="008D7235"/>
    <w:rsid w:val="008D7AF2"/>
    <w:rsid w:val="008D7CB1"/>
    <w:rsid w:val="008D7E73"/>
    <w:rsid w:val="008E07E0"/>
    <w:rsid w:val="008E1A2A"/>
    <w:rsid w:val="008E1D8C"/>
    <w:rsid w:val="008E237E"/>
    <w:rsid w:val="008E32DE"/>
    <w:rsid w:val="008E3753"/>
    <w:rsid w:val="008E37BB"/>
    <w:rsid w:val="008E3B2E"/>
    <w:rsid w:val="008E46B1"/>
    <w:rsid w:val="008E4A25"/>
    <w:rsid w:val="008E5728"/>
    <w:rsid w:val="008E64B1"/>
    <w:rsid w:val="008E66AD"/>
    <w:rsid w:val="008E756C"/>
    <w:rsid w:val="008E7CAB"/>
    <w:rsid w:val="008E7E4A"/>
    <w:rsid w:val="008F0237"/>
    <w:rsid w:val="008F0C46"/>
    <w:rsid w:val="008F0CA7"/>
    <w:rsid w:val="008F120E"/>
    <w:rsid w:val="008F125B"/>
    <w:rsid w:val="008F1546"/>
    <w:rsid w:val="008F15B0"/>
    <w:rsid w:val="008F16DA"/>
    <w:rsid w:val="008F1A77"/>
    <w:rsid w:val="008F1DA6"/>
    <w:rsid w:val="008F1E92"/>
    <w:rsid w:val="008F2E8E"/>
    <w:rsid w:val="008F2F67"/>
    <w:rsid w:val="008F3B87"/>
    <w:rsid w:val="008F41F5"/>
    <w:rsid w:val="008F49F3"/>
    <w:rsid w:val="008F4BBE"/>
    <w:rsid w:val="008F4CE1"/>
    <w:rsid w:val="008F57C3"/>
    <w:rsid w:val="008F5ABD"/>
    <w:rsid w:val="008F5D95"/>
    <w:rsid w:val="008F62F3"/>
    <w:rsid w:val="008F6643"/>
    <w:rsid w:val="008F694D"/>
    <w:rsid w:val="008F7980"/>
    <w:rsid w:val="009004EF"/>
    <w:rsid w:val="0090072A"/>
    <w:rsid w:val="00900783"/>
    <w:rsid w:val="00901997"/>
    <w:rsid w:val="00901BB1"/>
    <w:rsid w:val="00902314"/>
    <w:rsid w:val="0090239B"/>
    <w:rsid w:val="0090332B"/>
    <w:rsid w:val="009035EA"/>
    <w:rsid w:val="00903B5A"/>
    <w:rsid w:val="00903F8D"/>
    <w:rsid w:val="00904115"/>
    <w:rsid w:val="0090440C"/>
    <w:rsid w:val="009045E3"/>
    <w:rsid w:val="00904B4E"/>
    <w:rsid w:val="00904D75"/>
    <w:rsid w:val="00905040"/>
    <w:rsid w:val="00905BF5"/>
    <w:rsid w:val="00905F7F"/>
    <w:rsid w:val="00906742"/>
    <w:rsid w:val="00906862"/>
    <w:rsid w:val="00906B82"/>
    <w:rsid w:val="009074CD"/>
    <w:rsid w:val="00907D4F"/>
    <w:rsid w:val="00907D59"/>
    <w:rsid w:val="0091076A"/>
    <w:rsid w:val="009113BC"/>
    <w:rsid w:val="00911B32"/>
    <w:rsid w:val="00911B4F"/>
    <w:rsid w:val="00911F05"/>
    <w:rsid w:val="00912057"/>
    <w:rsid w:val="0091283E"/>
    <w:rsid w:val="00912EA4"/>
    <w:rsid w:val="00914D0D"/>
    <w:rsid w:val="009154C8"/>
    <w:rsid w:val="009154F9"/>
    <w:rsid w:val="0091578C"/>
    <w:rsid w:val="00916125"/>
    <w:rsid w:val="0091630F"/>
    <w:rsid w:val="00916689"/>
    <w:rsid w:val="009166D4"/>
    <w:rsid w:val="00916C29"/>
    <w:rsid w:val="009177F1"/>
    <w:rsid w:val="0092049E"/>
    <w:rsid w:val="00920516"/>
    <w:rsid w:val="0092087B"/>
    <w:rsid w:val="009219C3"/>
    <w:rsid w:val="009227E1"/>
    <w:rsid w:val="009233B5"/>
    <w:rsid w:val="00923B4A"/>
    <w:rsid w:val="00924147"/>
    <w:rsid w:val="00924443"/>
    <w:rsid w:val="009245E4"/>
    <w:rsid w:val="009246B0"/>
    <w:rsid w:val="009246DE"/>
    <w:rsid w:val="00925599"/>
    <w:rsid w:val="00925B51"/>
    <w:rsid w:val="0092601F"/>
    <w:rsid w:val="009261DE"/>
    <w:rsid w:val="009265AB"/>
    <w:rsid w:val="00926DF2"/>
    <w:rsid w:val="0092703D"/>
    <w:rsid w:val="0092716D"/>
    <w:rsid w:val="009271D8"/>
    <w:rsid w:val="009272C4"/>
    <w:rsid w:val="00930255"/>
    <w:rsid w:val="009306E9"/>
    <w:rsid w:val="0093085C"/>
    <w:rsid w:val="00930F25"/>
    <w:rsid w:val="00931A70"/>
    <w:rsid w:val="00932416"/>
    <w:rsid w:val="009325FD"/>
    <w:rsid w:val="00933092"/>
    <w:rsid w:val="009338D4"/>
    <w:rsid w:val="00934C7B"/>
    <w:rsid w:val="009359A5"/>
    <w:rsid w:val="00935ABC"/>
    <w:rsid w:val="00936165"/>
    <w:rsid w:val="009362B9"/>
    <w:rsid w:val="00936430"/>
    <w:rsid w:val="00936DA8"/>
    <w:rsid w:val="00937500"/>
    <w:rsid w:val="00937832"/>
    <w:rsid w:val="0094028C"/>
    <w:rsid w:val="00940CEA"/>
    <w:rsid w:val="00941D2B"/>
    <w:rsid w:val="00941EF8"/>
    <w:rsid w:val="00942694"/>
    <w:rsid w:val="00943321"/>
    <w:rsid w:val="009445E9"/>
    <w:rsid w:val="00944CDA"/>
    <w:rsid w:val="00944DC1"/>
    <w:rsid w:val="00944EB5"/>
    <w:rsid w:val="00944EF0"/>
    <w:rsid w:val="00945093"/>
    <w:rsid w:val="00945902"/>
    <w:rsid w:val="00945CA1"/>
    <w:rsid w:val="00945DFF"/>
    <w:rsid w:val="0094782C"/>
    <w:rsid w:val="00947853"/>
    <w:rsid w:val="00950B73"/>
    <w:rsid w:val="00951996"/>
    <w:rsid w:val="00951DBC"/>
    <w:rsid w:val="00952777"/>
    <w:rsid w:val="00953105"/>
    <w:rsid w:val="00953635"/>
    <w:rsid w:val="00953D08"/>
    <w:rsid w:val="009540CE"/>
    <w:rsid w:val="00954BDD"/>
    <w:rsid w:val="00955236"/>
    <w:rsid w:val="0095584A"/>
    <w:rsid w:val="00955B9F"/>
    <w:rsid w:val="00955CC7"/>
    <w:rsid w:val="00955D5F"/>
    <w:rsid w:val="009565A9"/>
    <w:rsid w:val="0095697E"/>
    <w:rsid w:val="00957032"/>
    <w:rsid w:val="00957365"/>
    <w:rsid w:val="009573CB"/>
    <w:rsid w:val="009604FC"/>
    <w:rsid w:val="009608E6"/>
    <w:rsid w:val="009616D4"/>
    <w:rsid w:val="00961A10"/>
    <w:rsid w:val="0096391E"/>
    <w:rsid w:val="00963CE4"/>
    <w:rsid w:val="009640DA"/>
    <w:rsid w:val="009643B3"/>
    <w:rsid w:val="00964936"/>
    <w:rsid w:val="00964999"/>
    <w:rsid w:val="00964C18"/>
    <w:rsid w:val="009653CE"/>
    <w:rsid w:val="00965F61"/>
    <w:rsid w:val="0096603D"/>
    <w:rsid w:val="00966B07"/>
    <w:rsid w:val="00966E3B"/>
    <w:rsid w:val="00967993"/>
    <w:rsid w:val="009705D6"/>
    <w:rsid w:val="00970F5A"/>
    <w:rsid w:val="009710B5"/>
    <w:rsid w:val="00972014"/>
    <w:rsid w:val="00972ABE"/>
    <w:rsid w:val="0097313C"/>
    <w:rsid w:val="009731EA"/>
    <w:rsid w:val="0097395A"/>
    <w:rsid w:val="00973ED2"/>
    <w:rsid w:val="0097430E"/>
    <w:rsid w:val="00974648"/>
    <w:rsid w:val="009748ED"/>
    <w:rsid w:val="009749B8"/>
    <w:rsid w:val="00974DD1"/>
    <w:rsid w:val="00974F8D"/>
    <w:rsid w:val="009756EF"/>
    <w:rsid w:val="009758F9"/>
    <w:rsid w:val="00975B0C"/>
    <w:rsid w:val="00975EBA"/>
    <w:rsid w:val="00976A66"/>
    <w:rsid w:val="00976DC1"/>
    <w:rsid w:val="00976F28"/>
    <w:rsid w:val="00977064"/>
    <w:rsid w:val="0097715A"/>
    <w:rsid w:val="009776B0"/>
    <w:rsid w:val="00977927"/>
    <w:rsid w:val="009800E4"/>
    <w:rsid w:val="00981538"/>
    <w:rsid w:val="00981B82"/>
    <w:rsid w:val="00982DCD"/>
    <w:rsid w:val="0098321F"/>
    <w:rsid w:val="009833F9"/>
    <w:rsid w:val="00983458"/>
    <w:rsid w:val="009837C3"/>
    <w:rsid w:val="00984C58"/>
    <w:rsid w:val="00985C27"/>
    <w:rsid w:val="0098618E"/>
    <w:rsid w:val="00986438"/>
    <w:rsid w:val="00986964"/>
    <w:rsid w:val="00986B6D"/>
    <w:rsid w:val="00986E33"/>
    <w:rsid w:val="00987722"/>
    <w:rsid w:val="009902AE"/>
    <w:rsid w:val="00990A45"/>
    <w:rsid w:val="00991B1E"/>
    <w:rsid w:val="009920A7"/>
    <w:rsid w:val="00992301"/>
    <w:rsid w:val="00992533"/>
    <w:rsid w:val="009928FB"/>
    <w:rsid w:val="00992985"/>
    <w:rsid w:val="00992E37"/>
    <w:rsid w:val="009930C5"/>
    <w:rsid w:val="009934B4"/>
    <w:rsid w:val="009936D0"/>
    <w:rsid w:val="0099378A"/>
    <w:rsid w:val="00993EC6"/>
    <w:rsid w:val="00994C05"/>
    <w:rsid w:val="00995281"/>
    <w:rsid w:val="009959F6"/>
    <w:rsid w:val="00995FA7"/>
    <w:rsid w:val="00996A9C"/>
    <w:rsid w:val="00996CD2"/>
    <w:rsid w:val="00996DD1"/>
    <w:rsid w:val="009A04E5"/>
    <w:rsid w:val="009A0A0D"/>
    <w:rsid w:val="009A0ACF"/>
    <w:rsid w:val="009A1365"/>
    <w:rsid w:val="009A19BE"/>
    <w:rsid w:val="009A1B8F"/>
    <w:rsid w:val="009A2CC0"/>
    <w:rsid w:val="009A4056"/>
    <w:rsid w:val="009A46B5"/>
    <w:rsid w:val="009A48EC"/>
    <w:rsid w:val="009A58B0"/>
    <w:rsid w:val="009A5EA8"/>
    <w:rsid w:val="009A5F71"/>
    <w:rsid w:val="009A6100"/>
    <w:rsid w:val="009A677E"/>
    <w:rsid w:val="009A6A93"/>
    <w:rsid w:val="009A70A4"/>
    <w:rsid w:val="009A75FD"/>
    <w:rsid w:val="009A7B5F"/>
    <w:rsid w:val="009A7DEA"/>
    <w:rsid w:val="009B0302"/>
    <w:rsid w:val="009B044C"/>
    <w:rsid w:val="009B04F2"/>
    <w:rsid w:val="009B05B5"/>
    <w:rsid w:val="009B06AF"/>
    <w:rsid w:val="009B0CCD"/>
    <w:rsid w:val="009B0E3A"/>
    <w:rsid w:val="009B1396"/>
    <w:rsid w:val="009B1D3A"/>
    <w:rsid w:val="009B1E85"/>
    <w:rsid w:val="009B1EC3"/>
    <w:rsid w:val="009B1EF0"/>
    <w:rsid w:val="009B2301"/>
    <w:rsid w:val="009B29C5"/>
    <w:rsid w:val="009B2D1C"/>
    <w:rsid w:val="009B327D"/>
    <w:rsid w:val="009B3349"/>
    <w:rsid w:val="009B33D4"/>
    <w:rsid w:val="009B395B"/>
    <w:rsid w:val="009B50A7"/>
    <w:rsid w:val="009B54CF"/>
    <w:rsid w:val="009B5F6D"/>
    <w:rsid w:val="009B60D8"/>
    <w:rsid w:val="009B7B17"/>
    <w:rsid w:val="009C084E"/>
    <w:rsid w:val="009C0996"/>
    <w:rsid w:val="009C0AA3"/>
    <w:rsid w:val="009C0BFE"/>
    <w:rsid w:val="009C0DA7"/>
    <w:rsid w:val="009C1655"/>
    <w:rsid w:val="009C191C"/>
    <w:rsid w:val="009C1A07"/>
    <w:rsid w:val="009C1FA6"/>
    <w:rsid w:val="009C270D"/>
    <w:rsid w:val="009C28CD"/>
    <w:rsid w:val="009C30E0"/>
    <w:rsid w:val="009C4131"/>
    <w:rsid w:val="009C4158"/>
    <w:rsid w:val="009C42B8"/>
    <w:rsid w:val="009C48C7"/>
    <w:rsid w:val="009C4A97"/>
    <w:rsid w:val="009C4DC4"/>
    <w:rsid w:val="009C4F95"/>
    <w:rsid w:val="009C5104"/>
    <w:rsid w:val="009C588F"/>
    <w:rsid w:val="009C58B9"/>
    <w:rsid w:val="009C6218"/>
    <w:rsid w:val="009C67E8"/>
    <w:rsid w:val="009C6DA5"/>
    <w:rsid w:val="009C7675"/>
    <w:rsid w:val="009C7778"/>
    <w:rsid w:val="009D0661"/>
    <w:rsid w:val="009D10E2"/>
    <w:rsid w:val="009D196D"/>
    <w:rsid w:val="009D19E4"/>
    <w:rsid w:val="009D243F"/>
    <w:rsid w:val="009D271F"/>
    <w:rsid w:val="009D2AAD"/>
    <w:rsid w:val="009D37F4"/>
    <w:rsid w:val="009D3D79"/>
    <w:rsid w:val="009D3FB6"/>
    <w:rsid w:val="009D43B6"/>
    <w:rsid w:val="009D4EE0"/>
    <w:rsid w:val="009D5FA8"/>
    <w:rsid w:val="009D636C"/>
    <w:rsid w:val="009D6503"/>
    <w:rsid w:val="009D6AE7"/>
    <w:rsid w:val="009D6DAC"/>
    <w:rsid w:val="009D71E0"/>
    <w:rsid w:val="009D724B"/>
    <w:rsid w:val="009D74E8"/>
    <w:rsid w:val="009D7B7D"/>
    <w:rsid w:val="009E0046"/>
    <w:rsid w:val="009E05AD"/>
    <w:rsid w:val="009E0870"/>
    <w:rsid w:val="009E15D0"/>
    <w:rsid w:val="009E1DEF"/>
    <w:rsid w:val="009E1F03"/>
    <w:rsid w:val="009E245C"/>
    <w:rsid w:val="009E2640"/>
    <w:rsid w:val="009E2A93"/>
    <w:rsid w:val="009E2F16"/>
    <w:rsid w:val="009E33E9"/>
    <w:rsid w:val="009E38CF"/>
    <w:rsid w:val="009E3BF8"/>
    <w:rsid w:val="009E549E"/>
    <w:rsid w:val="009E56FE"/>
    <w:rsid w:val="009E5A0B"/>
    <w:rsid w:val="009E5E18"/>
    <w:rsid w:val="009E6787"/>
    <w:rsid w:val="009E69AE"/>
    <w:rsid w:val="009F0EBB"/>
    <w:rsid w:val="009F1435"/>
    <w:rsid w:val="009F26D9"/>
    <w:rsid w:val="009F34E2"/>
    <w:rsid w:val="009F4E00"/>
    <w:rsid w:val="009F544E"/>
    <w:rsid w:val="009F5ADF"/>
    <w:rsid w:val="009F5EB3"/>
    <w:rsid w:val="009F6FF9"/>
    <w:rsid w:val="009F7D3C"/>
    <w:rsid w:val="00A001FD"/>
    <w:rsid w:val="00A009B5"/>
    <w:rsid w:val="00A01135"/>
    <w:rsid w:val="00A013B1"/>
    <w:rsid w:val="00A01AFE"/>
    <w:rsid w:val="00A01B19"/>
    <w:rsid w:val="00A01F00"/>
    <w:rsid w:val="00A029D6"/>
    <w:rsid w:val="00A03209"/>
    <w:rsid w:val="00A032E4"/>
    <w:rsid w:val="00A03371"/>
    <w:rsid w:val="00A03AE9"/>
    <w:rsid w:val="00A042B6"/>
    <w:rsid w:val="00A04B9E"/>
    <w:rsid w:val="00A04C16"/>
    <w:rsid w:val="00A04EEE"/>
    <w:rsid w:val="00A052C3"/>
    <w:rsid w:val="00A05CA0"/>
    <w:rsid w:val="00A05EE6"/>
    <w:rsid w:val="00A069EB"/>
    <w:rsid w:val="00A06D61"/>
    <w:rsid w:val="00A07305"/>
    <w:rsid w:val="00A073C2"/>
    <w:rsid w:val="00A074EC"/>
    <w:rsid w:val="00A07A77"/>
    <w:rsid w:val="00A07B06"/>
    <w:rsid w:val="00A07BDB"/>
    <w:rsid w:val="00A07C5F"/>
    <w:rsid w:val="00A10533"/>
    <w:rsid w:val="00A10867"/>
    <w:rsid w:val="00A112AF"/>
    <w:rsid w:val="00A119B0"/>
    <w:rsid w:val="00A130B5"/>
    <w:rsid w:val="00A13585"/>
    <w:rsid w:val="00A139CA"/>
    <w:rsid w:val="00A14334"/>
    <w:rsid w:val="00A1468D"/>
    <w:rsid w:val="00A14E32"/>
    <w:rsid w:val="00A155F4"/>
    <w:rsid w:val="00A15D61"/>
    <w:rsid w:val="00A172DC"/>
    <w:rsid w:val="00A20106"/>
    <w:rsid w:val="00A224E9"/>
    <w:rsid w:val="00A2260F"/>
    <w:rsid w:val="00A2270F"/>
    <w:rsid w:val="00A227E9"/>
    <w:rsid w:val="00A22903"/>
    <w:rsid w:val="00A22D94"/>
    <w:rsid w:val="00A22F56"/>
    <w:rsid w:val="00A2304D"/>
    <w:rsid w:val="00A2422E"/>
    <w:rsid w:val="00A24859"/>
    <w:rsid w:val="00A2499E"/>
    <w:rsid w:val="00A250D2"/>
    <w:rsid w:val="00A255EC"/>
    <w:rsid w:val="00A26055"/>
    <w:rsid w:val="00A263F3"/>
    <w:rsid w:val="00A268F3"/>
    <w:rsid w:val="00A26B38"/>
    <w:rsid w:val="00A27C20"/>
    <w:rsid w:val="00A3022A"/>
    <w:rsid w:val="00A30516"/>
    <w:rsid w:val="00A30E62"/>
    <w:rsid w:val="00A30FBE"/>
    <w:rsid w:val="00A31802"/>
    <w:rsid w:val="00A320C0"/>
    <w:rsid w:val="00A32F92"/>
    <w:rsid w:val="00A33231"/>
    <w:rsid w:val="00A3348E"/>
    <w:rsid w:val="00A3362A"/>
    <w:rsid w:val="00A33ABD"/>
    <w:rsid w:val="00A33C52"/>
    <w:rsid w:val="00A34B0C"/>
    <w:rsid w:val="00A3524D"/>
    <w:rsid w:val="00A358DA"/>
    <w:rsid w:val="00A35A30"/>
    <w:rsid w:val="00A35C1B"/>
    <w:rsid w:val="00A364A3"/>
    <w:rsid w:val="00A364BD"/>
    <w:rsid w:val="00A36553"/>
    <w:rsid w:val="00A36C25"/>
    <w:rsid w:val="00A379E0"/>
    <w:rsid w:val="00A37C1F"/>
    <w:rsid w:val="00A40405"/>
    <w:rsid w:val="00A41066"/>
    <w:rsid w:val="00A4113F"/>
    <w:rsid w:val="00A413EC"/>
    <w:rsid w:val="00A42F10"/>
    <w:rsid w:val="00A43217"/>
    <w:rsid w:val="00A443F8"/>
    <w:rsid w:val="00A446D8"/>
    <w:rsid w:val="00A447D4"/>
    <w:rsid w:val="00A44E89"/>
    <w:rsid w:val="00A4568E"/>
    <w:rsid w:val="00A46011"/>
    <w:rsid w:val="00A466DE"/>
    <w:rsid w:val="00A46C51"/>
    <w:rsid w:val="00A47048"/>
    <w:rsid w:val="00A4716C"/>
    <w:rsid w:val="00A4747B"/>
    <w:rsid w:val="00A475E7"/>
    <w:rsid w:val="00A476AF"/>
    <w:rsid w:val="00A47792"/>
    <w:rsid w:val="00A47F60"/>
    <w:rsid w:val="00A50FF4"/>
    <w:rsid w:val="00A51367"/>
    <w:rsid w:val="00A5144C"/>
    <w:rsid w:val="00A523A2"/>
    <w:rsid w:val="00A524A3"/>
    <w:rsid w:val="00A53176"/>
    <w:rsid w:val="00A53277"/>
    <w:rsid w:val="00A53305"/>
    <w:rsid w:val="00A5452D"/>
    <w:rsid w:val="00A545C3"/>
    <w:rsid w:val="00A549D6"/>
    <w:rsid w:val="00A5513F"/>
    <w:rsid w:val="00A55176"/>
    <w:rsid w:val="00A560CF"/>
    <w:rsid w:val="00A56185"/>
    <w:rsid w:val="00A56188"/>
    <w:rsid w:val="00A56733"/>
    <w:rsid w:val="00A570A3"/>
    <w:rsid w:val="00A570AF"/>
    <w:rsid w:val="00A57366"/>
    <w:rsid w:val="00A5763A"/>
    <w:rsid w:val="00A57955"/>
    <w:rsid w:val="00A57EC1"/>
    <w:rsid w:val="00A6035C"/>
    <w:rsid w:val="00A60702"/>
    <w:rsid w:val="00A608F2"/>
    <w:rsid w:val="00A60BD2"/>
    <w:rsid w:val="00A61503"/>
    <w:rsid w:val="00A61850"/>
    <w:rsid w:val="00A61E4E"/>
    <w:rsid w:val="00A623C2"/>
    <w:rsid w:val="00A62B6D"/>
    <w:rsid w:val="00A62C2A"/>
    <w:rsid w:val="00A62F63"/>
    <w:rsid w:val="00A63408"/>
    <w:rsid w:val="00A63D62"/>
    <w:rsid w:val="00A64214"/>
    <w:rsid w:val="00A64699"/>
    <w:rsid w:val="00A647FE"/>
    <w:rsid w:val="00A64E84"/>
    <w:rsid w:val="00A6584D"/>
    <w:rsid w:val="00A662D7"/>
    <w:rsid w:val="00A6653D"/>
    <w:rsid w:val="00A668E9"/>
    <w:rsid w:val="00A66A13"/>
    <w:rsid w:val="00A66D8D"/>
    <w:rsid w:val="00A66F81"/>
    <w:rsid w:val="00A71AF3"/>
    <w:rsid w:val="00A72357"/>
    <w:rsid w:val="00A72489"/>
    <w:rsid w:val="00A73927"/>
    <w:rsid w:val="00A739F6"/>
    <w:rsid w:val="00A73AC2"/>
    <w:rsid w:val="00A741E6"/>
    <w:rsid w:val="00A74733"/>
    <w:rsid w:val="00A74B77"/>
    <w:rsid w:val="00A75048"/>
    <w:rsid w:val="00A75F68"/>
    <w:rsid w:val="00A76649"/>
    <w:rsid w:val="00A767D9"/>
    <w:rsid w:val="00A768A5"/>
    <w:rsid w:val="00A7732D"/>
    <w:rsid w:val="00A809F6"/>
    <w:rsid w:val="00A80FF4"/>
    <w:rsid w:val="00A81170"/>
    <w:rsid w:val="00A813F1"/>
    <w:rsid w:val="00A81862"/>
    <w:rsid w:val="00A8242F"/>
    <w:rsid w:val="00A824AE"/>
    <w:rsid w:val="00A82E11"/>
    <w:rsid w:val="00A840F8"/>
    <w:rsid w:val="00A84E61"/>
    <w:rsid w:val="00A84E8E"/>
    <w:rsid w:val="00A85354"/>
    <w:rsid w:val="00A8646D"/>
    <w:rsid w:val="00A870F9"/>
    <w:rsid w:val="00A87588"/>
    <w:rsid w:val="00A87A6C"/>
    <w:rsid w:val="00A87B76"/>
    <w:rsid w:val="00A9028C"/>
    <w:rsid w:val="00A9139E"/>
    <w:rsid w:val="00A915BB"/>
    <w:rsid w:val="00A91722"/>
    <w:rsid w:val="00A91A66"/>
    <w:rsid w:val="00A9243C"/>
    <w:rsid w:val="00A928C9"/>
    <w:rsid w:val="00A93074"/>
    <w:rsid w:val="00A93AAE"/>
    <w:rsid w:val="00A93D06"/>
    <w:rsid w:val="00A9462D"/>
    <w:rsid w:val="00A94D73"/>
    <w:rsid w:val="00A94E65"/>
    <w:rsid w:val="00A94EC5"/>
    <w:rsid w:val="00A95762"/>
    <w:rsid w:val="00A95A08"/>
    <w:rsid w:val="00A95F4E"/>
    <w:rsid w:val="00A96386"/>
    <w:rsid w:val="00A96938"/>
    <w:rsid w:val="00A97423"/>
    <w:rsid w:val="00A97ECD"/>
    <w:rsid w:val="00AA0083"/>
    <w:rsid w:val="00AA0A89"/>
    <w:rsid w:val="00AA0C5A"/>
    <w:rsid w:val="00AA1A68"/>
    <w:rsid w:val="00AA1A8E"/>
    <w:rsid w:val="00AA1B22"/>
    <w:rsid w:val="00AA1EC8"/>
    <w:rsid w:val="00AA2250"/>
    <w:rsid w:val="00AA2455"/>
    <w:rsid w:val="00AA2642"/>
    <w:rsid w:val="00AA28F2"/>
    <w:rsid w:val="00AA33E1"/>
    <w:rsid w:val="00AA3BB3"/>
    <w:rsid w:val="00AA3BF2"/>
    <w:rsid w:val="00AA41DD"/>
    <w:rsid w:val="00AA5A2C"/>
    <w:rsid w:val="00AA6C60"/>
    <w:rsid w:val="00AA750A"/>
    <w:rsid w:val="00AA79BB"/>
    <w:rsid w:val="00AB018D"/>
    <w:rsid w:val="00AB047E"/>
    <w:rsid w:val="00AB10B1"/>
    <w:rsid w:val="00AB11BF"/>
    <w:rsid w:val="00AB1597"/>
    <w:rsid w:val="00AB16E2"/>
    <w:rsid w:val="00AB1E81"/>
    <w:rsid w:val="00AB1FB2"/>
    <w:rsid w:val="00AB27BF"/>
    <w:rsid w:val="00AB2DDF"/>
    <w:rsid w:val="00AB2E83"/>
    <w:rsid w:val="00AB37A4"/>
    <w:rsid w:val="00AB450D"/>
    <w:rsid w:val="00AB4A56"/>
    <w:rsid w:val="00AB5405"/>
    <w:rsid w:val="00AB5FC6"/>
    <w:rsid w:val="00AB67C1"/>
    <w:rsid w:val="00AB6FCF"/>
    <w:rsid w:val="00AB772B"/>
    <w:rsid w:val="00AB787F"/>
    <w:rsid w:val="00AC1790"/>
    <w:rsid w:val="00AC250E"/>
    <w:rsid w:val="00AC32E2"/>
    <w:rsid w:val="00AC42E0"/>
    <w:rsid w:val="00AC45D6"/>
    <w:rsid w:val="00AC4B5C"/>
    <w:rsid w:val="00AC572E"/>
    <w:rsid w:val="00AC581E"/>
    <w:rsid w:val="00AC5BE5"/>
    <w:rsid w:val="00AC5D44"/>
    <w:rsid w:val="00AC63DE"/>
    <w:rsid w:val="00AC6AD9"/>
    <w:rsid w:val="00AC6D18"/>
    <w:rsid w:val="00AC7824"/>
    <w:rsid w:val="00AC78D8"/>
    <w:rsid w:val="00AD0718"/>
    <w:rsid w:val="00AD09CC"/>
    <w:rsid w:val="00AD11FE"/>
    <w:rsid w:val="00AD1ACB"/>
    <w:rsid w:val="00AD1B0B"/>
    <w:rsid w:val="00AD2731"/>
    <w:rsid w:val="00AD2CD9"/>
    <w:rsid w:val="00AD3C19"/>
    <w:rsid w:val="00AD61C9"/>
    <w:rsid w:val="00AD6AF9"/>
    <w:rsid w:val="00AD6E00"/>
    <w:rsid w:val="00AD7600"/>
    <w:rsid w:val="00AD7B6E"/>
    <w:rsid w:val="00AD7EF2"/>
    <w:rsid w:val="00AD7EF3"/>
    <w:rsid w:val="00AE0B03"/>
    <w:rsid w:val="00AE0F55"/>
    <w:rsid w:val="00AE107F"/>
    <w:rsid w:val="00AE1867"/>
    <w:rsid w:val="00AE186A"/>
    <w:rsid w:val="00AE1891"/>
    <w:rsid w:val="00AE228D"/>
    <w:rsid w:val="00AE27AE"/>
    <w:rsid w:val="00AE3241"/>
    <w:rsid w:val="00AE3ECA"/>
    <w:rsid w:val="00AE5066"/>
    <w:rsid w:val="00AE621E"/>
    <w:rsid w:val="00AE6687"/>
    <w:rsid w:val="00AE68CE"/>
    <w:rsid w:val="00AE6D1D"/>
    <w:rsid w:val="00AE7429"/>
    <w:rsid w:val="00AE7690"/>
    <w:rsid w:val="00AE76C2"/>
    <w:rsid w:val="00AE76CB"/>
    <w:rsid w:val="00AE7C6B"/>
    <w:rsid w:val="00AE7F0B"/>
    <w:rsid w:val="00AF0141"/>
    <w:rsid w:val="00AF109C"/>
    <w:rsid w:val="00AF2752"/>
    <w:rsid w:val="00AF2FF1"/>
    <w:rsid w:val="00AF3C62"/>
    <w:rsid w:val="00AF44D5"/>
    <w:rsid w:val="00AF47B0"/>
    <w:rsid w:val="00AF4F05"/>
    <w:rsid w:val="00AF5EDB"/>
    <w:rsid w:val="00AF7992"/>
    <w:rsid w:val="00AF7B10"/>
    <w:rsid w:val="00AF7E4F"/>
    <w:rsid w:val="00B00C61"/>
    <w:rsid w:val="00B00CF7"/>
    <w:rsid w:val="00B01744"/>
    <w:rsid w:val="00B0214C"/>
    <w:rsid w:val="00B0255D"/>
    <w:rsid w:val="00B0280D"/>
    <w:rsid w:val="00B02D4B"/>
    <w:rsid w:val="00B02D57"/>
    <w:rsid w:val="00B03A82"/>
    <w:rsid w:val="00B03CCE"/>
    <w:rsid w:val="00B03D36"/>
    <w:rsid w:val="00B04211"/>
    <w:rsid w:val="00B0434F"/>
    <w:rsid w:val="00B047C4"/>
    <w:rsid w:val="00B0508E"/>
    <w:rsid w:val="00B0566C"/>
    <w:rsid w:val="00B0622E"/>
    <w:rsid w:val="00B07256"/>
    <w:rsid w:val="00B0764C"/>
    <w:rsid w:val="00B0772D"/>
    <w:rsid w:val="00B07819"/>
    <w:rsid w:val="00B103DC"/>
    <w:rsid w:val="00B1048B"/>
    <w:rsid w:val="00B110F2"/>
    <w:rsid w:val="00B11880"/>
    <w:rsid w:val="00B119FD"/>
    <w:rsid w:val="00B12DB9"/>
    <w:rsid w:val="00B13A71"/>
    <w:rsid w:val="00B13C2F"/>
    <w:rsid w:val="00B14336"/>
    <w:rsid w:val="00B14BED"/>
    <w:rsid w:val="00B15196"/>
    <w:rsid w:val="00B157A0"/>
    <w:rsid w:val="00B17289"/>
    <w:rsid w:val="00B17DB9"/>
    <w:rsid w:val="00B17E52"/>
    <w:rsid w:val="00B20614"/>
    <w:rsid w:val="00B206C7"/>
    <w:rsid w:val="00B20948"/>
    <w:rsid w:val="00B209AF"/>
    <w:rsid w:val="00B20E4C"/>
    <w:rsid w:val="00B21357"/>
    <w:rsid w:val="00B22C20"/>
    <w:rsid w:val="00B23088"/>
    <w:rsid w:val="00B23109"/>
    <w:rsid w:val="00B24EE2"/>
    <w:rsid w:val="00B27407"/>
    <w:rsid w:val="00B27ADC"/>
    <w:rsid w:val="00B302DF"/>
    <w:rsid w:val="00B30528"/>
    <w:rsid w:val="00B30DDC"/>
    <w:rsid w:val="00B3231A"/>
    <w:rsid w:val="00B32FC8"/>
    <w:rsid w:val="00B34FE2"/>
    <w:rsid w:val="00B35B85"/>
    <w:rsid w:val="00B35C4B"/>
    <w:rsid w:val="00B3634B"/>
    <w:rsid w:val="00B365B9"/>
    <w:rsid w:val="00B366BE"/>
    <w:rsid w:val="00B36A9F"/>
    <w:rsid w:val="00B40205"/>
    <w:rsid w:val="00B4072C"/>
    <w:rsid w:val="00B40908"/>
    <w:rsid w:val="00B413EA"/>
    <w:rsid w:val="00B41D7C"/>
    <w:rsid w:val="00B4354A"/>
    <w:rsid w:val="00B46BC4"/>
    <w:rsid w:val="00B47094"/>
    <w:rsid w:val="00B5011C"/>
    <w:rsid w:val="00B50358"/>
    <w:rsid w:val="00B5049F"/>
    <w:rsid w:val="00B517E9"/>
    <w:rsid w:val="00B52833"/>
    <w:rsid w:val="00B528B4"/>
    <w:rsid w:val="00B52A09"/>
    <w:rsid w:val="00B52DC8"/>
    <w:rsid w:val="00B54389"/>
    <w:rsid w:val="00B545E1"/>
    <w:rsid w:val="00B54675"/>
    <w:rsid w:val="00B5467F"/>
    <w:rsid w:val="00B55391"/>
    <w:rsid w:val="00B5724A"/>
    <w:rsid w:val="00B578C7"/>
    <w:rsid w:val="00B60FA0"/>
    <w:rsid w:val="00B61351"/>
    <w:rsid w:val="00B618FE"/>
    <w:rsid w:val="00B625F2"/>
    <w:rsid w:val="00B642E1"/>
    <w:rsid w:val="00B642E7"/>
    <w:rsid w:val="00B64F83"/>
    <w:rsid w:val="00B657A5"/>
    <w:rsid w:val="00B659DC"/>
    <w:rsid w:val="00B66282"/>
    <w:rsid w:val="00B67BB9"/>
    <w:rsid w:val="00B70708"/>
    <w:rsid w:val="00B70A86"/>
    <w:rsid w:val="00B70CB5"/>
    <w:rsid w:val="00B70FF1"/>
    <w:rsid w:val="00B71743"/>
    <w:rsid w:val="00B71804"/>
    <w:rsid w:val="00B71909"/>
    <w:rsid w:val="00B71DFC"/>
    <w:rsid w:val="00B72717"/>
    <w:rsid w:val="00B72948"/>
    <w:rsid w:val="00B730AE"/>
    <w:rsid w:val="00B739F2"/>
    <w:rsid w:val="00B7409A"/>
    <w:rsid w:val="00B745BC"/>
    <w:rsid w:val="00B76295"/>
    <w:rsid w:val="00B76880"/>
    <w:rsid w:val="00B770C0"/>
    <w:rsid w:val="00B772B0"/>
    <w:rsid w:val="00B7753D"/>
    <w:rsid w:val="00B777AB"/>
    <w:rsid w:val="00B77E84"/>
    <w:rsid w:val="00B77F89"/>
    <w:rsid w:val="00B80960"/>
    <w:rsid w:val="00B81B3B"/>
    <w:rsid w:val="00B81DDC"/>
    <w:rsid w:val="00B82CEB"/>
    <w:rsid w:val="00B82FBF"/>
    <w:rsid w:val="00B831AB"/>
    <w:rsid w:val="00B83636"/>
    <w:rsid w:val="00B837FA"/>
    <w:rsid w:val="00B83E9B"/>
    <w:rsid w:val="00B841CB"/>
    <w:rsid w:val="00B85093"/>
    <w:rsid w:val="00B8558F"/>
    <w:rsid w:val="00B855B6"/>
    <w:rsid w:val="00B865F4"/>
    <w:rsid w:val="00B867B0"/>
    <w:rsid w:val="00B86B34"/>
    <w:rsid w:val="00B8721A"/>
    <w:rsid w:val="00B9094E"/>
    <w:rsid w:val="00B919DC"/>
    <w:rsid w:val="00B9224A"/>
    <w:rsid w:val="00B9296B"/>
    <w:rsid w:val="00B93DA5"/>
    <w:rsid w:val="00B94081"/>
    <w:rsid w:val="00B940E8"/>
    <w:rsid w:val="00B94400"/>
    <w:rsid w:val="00B94BC0"/>
    <w:rsid w:val="00B95D9B"/>
    <w:rsid w:val="00B964FD"/>
    <w:rsid w:val="00B96A93"/>
    <w:rsid w:val="00B96EA9"/>
    <w:rsid w:val="00B96ECD"/>
    <w:rsid w:val="00BA0122"/>
    <w:rsid w:val="00BA030B"/>
    <w:rsid w:val="00BA03B6"/>
    <w:rsid w:val="00BA0A5D"/>
    <w:rsid w:val="00BA1586"/>
    <w:rsid w:val="00BA1603"/>
    <w:rsid w:val="00BA1B5A"/>
    <w:rsid w:val="00BA20AD"/>
    <w:rsid w:val="00BA2320"/>
    <w:rsid w:val="00BA29C4"/>
    <w:rsid w:val="00BA2F6B"/>
    <w:rsid w:val="00BA3095"/>
    <w:rsid w:val="00BA3950"/>
    <w:rsid w:val="00BA3CAC"/>
    <w:rsid w:val="00BA4886"/>
    <w:rsid w:val="00BA4C31"/>
    <w:rsid w:val="00BA57F5"/>
    <w:rsid w:val="00BA5A43"/>
    <w:rsid w:val="00BA5AA1"/>
    <w:rsid w:val="00BA5D2C"/>
    <w:rsid w:val="00BA6946"/>
    <w:rsid w:val="00BA6CCC"/>
    <w:rsid w:val="00BA6D35"/>
    <w:rsid w:val="00BA6DD9"/>
    <w:rsid w:val="00BA74BD"/>
    <w:rsid w:val="00BA7850"/>
    <w:rsid w:val="00BB00D4"/>
    <w:rsid w:val="00BB019E"/>
    <w:rsid w:val="00BB0A80"/>
    <w:rsid w:val="00BB0ECA"/>
    <w:rsid w:val="00BB1737"/>
    <w:rsid w:val="00BB1DD2"/>
    <w:rsid w:val="00BB2030"/>
    <w:rsid w:val="00BB219A"/>
    <w:rsid w:val="00BB26B0"/>
    <w:rsid w:val="00BB273C"/>
    <w:rsid w:val="00BB277F"/>
    <w:rsid w:val="00BB2CC6"/>
    <w:rsid w:val="00BB2DD7"/>
    <w:rsid w:val="00BB36A4"/>
    <w:rsid w:val="00BB3917"/>
    <w:rsid w:val="00BB3E09"/>
    <w:rsid w:val="00BB4281"/>
    <w:rsid w:val="00BB42F3"/>
    <w:rsid w:val="00BB430C"/>
    <w:rsid w:val="00BB4E02"/>
    <w:rsid w:val="00BB6055"/>
    <w:rsid w:val="00BB6274"/>
    <w:rsid w:val="00BB7463"/>
    <w:rsid w:val="00BC0161"/>
    <w:rsid w:val="00BC08BD"/>
    <w:rsid w:val="00BC0A1B"/>
    <w:rsid w:val="00BC0A65"/>
    <w:rsid w:val="00BC1466"/>
    <w:rsid w:val="00BC1602"/>
    <w:rsid w:val="00BC18F4"/>
    <w:rsid w:val="00BC1F20"/>
    <w:rsid w:val="00BC2E87"/>
    <w:rsid w:val="00BC3B5E"/>
    <w:rsid w:val="00BC3D0A"/>
    <w:rsid w:val="00BC4028"/>
    <w:rsid w:val="00BC43C1"/>
    <w:rsid w:val="00BC4551"/>
    <w:rsid w:val="00BC4DB1"/>
    <w:rsid w:val="00BC54BE"/>
    <w:rsid w:val="00BC5A70"/>
    <w:rsid w:val="00BC62E8"/>
    <w:rsid w:val="00BC69DA"/>
    <w:rsid w:val="00BC6FAB"/>
    <w:rsid w:val="00BC70A1"/>
    <w:rsid w:val="00BC70B3"/>
    <w:rsid w:val="00BC70C1"/>
    <w:rsid w:val="00BC77E4"/>
    <w:rsid w:val="00BC7FAF"/>
    <w:rsid w:val="00BD0258"/>
    <w:rsid w:val="00BD0389"/>
    <w:rsid w:val="00BD03E3"/>
    <w:rsid w:val="00BD07DC"/>
    <w:rsid w:val="00BD086F"/>
    <w:rsid w:val="00BD1277"/>
    <w:rsid w:val="00BD12CC"/>
    <w:rsid w:val="00BD12F0"/>
    <w:rsid w:val="00BD1515"/>
    <w:rsid w:val="00BD1C8F"/>
    <w:rsid w:val="00BD2299"/>
    <w:rsid w:val="00BD25E5"/>
    <w:rsid w:val="00BD29F2"/>
    <w:rsid w:val="00BD2ED9"/>
    <w:rsid w:val="00BD2F09"/>
    <w:rsid w:val="00BD316E"/>
    <w:rsid w:val="00BD3F2C"/>
    <w:rsid w:val="00BD43EB"/>
    <w:rsid w:val="00BD4846"/>
    <w:rsid w:val="00BD49FC"/>
    <w:rsid w:val="00BD527F"/>
    <w:rsid w:val="00BD5DF8"/>
    <w:rsid w:val="00BD6849"/>
    <w:rsid w:val="00BD7054"/>
    <w:rsid w:val="00BD7797"/>
    <w:rsid w:val="00BD7C93"/>
    <w:rsid w:val="00BD7D06"/>
    <w:rsid w:val="00BD7D6A"/>
    <w:rsid w:val="00BE226D"/>
    <w:rsid w:val="00BE23EE"/>
    <w:rsid w:val="00BE24CF"/>
    <w:rsid w:val="00BE2839"/>
    <w:rsid w:val="00BE29EB"/>
    <w:rsid w:val="00BE3469"/>
    <w:rsid w:val="00BE3509"/>
    <w:rsid w:val="00BE3FC2"/>
    <w:rsid w:val="00BE4A0F"/>
    <w:rsid w:val="00BE53D2"/>
    <w:rsid w:val="00BE5BE2"/>
    <w:rsid w:val="00BE6002"/>
    <w:rsid w:val="00BE615C"/>
    <w:rsid w:val="00BE6BDC"/>
    <w:rsid w:val="00BE7049"/>
    <w:rsid w:val="00BE78F0"/>
    <w:rsid w:val="00BF00F3"/>
    <w:rsid w:val="00BF012A"/>
    <w:rsid w:val="00BF0BA1"/>
    <w:rsid w:val="00BF0FF6"/>
    <w:rsid w:val="00BF13C8"/>
    <w:rsid w:val="00BF1706"/>
    <w:rsid w:val="00BF17C6"/>
    <w:rsid w:val="00BF22D9"/>
    <w:rsid w:val="00BF29B2"/>
    <w:rsid w:val="00BF5E08"/>
    <w:rsid w:val="00BF62E6"/>
    <w:rsid w:val="00BF638B"/>
    <w:rsid w:val="00BF63FD"/>
    <w:rsid w:val="00BF689A"/>
    <w:rsid w:val="00BF6CBA"/>
    <w:rsid w:val="00BF6CF7"/>
    <w:rsid w:val="00BF7722"/>
    <w:rsid w:val="00C000F2"/>
    <w:rsid w:val="00C00990"/>
    <w:rsid w:val="00C00BAF"/>
    <w:rsid w:val="00C00FA5"/>
    <w:rsid w:val="00C01452"/>
    <w:rsid w:val="00C01B35"/>
    <w:rsid w:val="00C02195"/>
    <w:rsid w:val="00C02397"/>
    <w:rsid w:val="00C02ACF"/>
    <w:rsid w:val="00C02C33"/>
    <w:rsid w:val="00C0316E"/>
    <w:rsid w:val="00C0560C"/>
    <w:rsid w:val="00C0673A"/>
    <w:rsid w:val="00C06E5D"/>
    <w:rsid w:val="00C06F21"/>
    <w:rsid w:val="00C07236"/>
    <w:rsid w:val="00C0781D"/>
    <w:rsid w:val="00C07843"/>
    <w:rsid w:val="00C07AAF"/>
    <w:rsid w:val="00C07B9E"/>
    <w:rsid w:val="00C07C5C"/>
    <w:rsid w:val="00C1064D"/>
    <w:rsid w:val="00C106A3"/>
    <w:rsid w:val="00C10B2C"/>
    <w:rsid w:val="00C1104A"/>
    <w:rsid w:val="00C11082"/>
    <w:rsid w:val="00C114AD"/>
    <w:rsid w:val="00C114B4"/>
    <w:rsid w:val="00C116B1"/>
    <w:rsid w:val="00C1182D"/>
    <w:rsid w:val="00C119BC"/>
    <w:rsid w:val="00C121E8"/>
    <w:rsid w:val="00C127F5"/>
    <w:rsid w:val="00C12EBA"/>
    <w:rsid w:val="00C13A0C"/>
    <w:rsid w:val="00C13B34"/>
    <w:rsid w:val="00C1438D"/>
    <w:rsid w:val="00C14897"/>
    <w:rsid w:val="00C156D3"/>
    <w:rsid w:val="00C166E7"/>
    <w:rsid w:val="00C16B62"/>
    <w:rsid w:val="00C175D7"/>
    <w:rsid w:val="00C17600"/>
    <w:rsid w:val="00C17E38"/>
    <w:rsid w:val="00C2010C"/>
    <w:rsid w:val="00C2017D"/>
    <w:rsid w:val="00C20639"/>
    <w:rsid w:val="00C237BE"/>
    <w:rsid w:val="00C23EEF"/>
    <w:rsid w:val="00C24412"/>
    <w:rsid w:val="00C254DF"/>
    <w:rsid w:val="00C25911"/>
    <w:rsid w:val="00C25BC8"/>
    <w:rsid w:val="00C260C2"/>
    <w:rsid w:val="00C2634F"/>
    <w:rsid w:val="00C26D23"/>
    <w:rsid w:val="00C272FF"/>
    <w:rsid w:val="00C276BB"/>
    <w:rsid w:val="00C27D6B"/>
    <w:rsid w:val="00C27DE2"/>
    <w:rsid w:val="00C30677"/>
    <w:rsid w:val="00C31011"/>
    <w:rsid w:val="00C31A6B"/>
    <w:rsid w:val="00C31A7E"/>
    <w:rsid w:val="00C31B13"/>
    <w:rsid w:val="00C331FC"/>
    <w:rsid w:val="00C33729"/>
    <w:rsid w:val="00C3402B"/>
    <w:rsid w:val="00C3419D"/>
    <w:rsid w:val="00C34541"/>
    <w:rsid w:val="00C3501D"/>
    <w:rsid w:val="00C364E2"/>
    <w:rsid w:val="00C372CE"/>
    <w:rsid w:val="00C378FC"/>
    <w:rsid w:val="00C37EE0"/>
    <w:rsid w:val="00C401A4"/>
    <w:rsid w:val="00C404FA"/>
    <w:rsid w:val="00C4053D"/>
    <w:rsid w:val="00C407AC"/>
    <w:rsid w:val="00C407FB"/>
    <w:rsid w:val="00C40875"/>
    <w:rsid w:val="00C40C16"/>
    <w:rsid w:val="00C40C6E"/>
    <w:rsid w:val="00C41319"/>
    <w:rsid w:val="00C418E8"/>
    <w:rsid w:val="00C41C39"/>
    <w:rsid w:val="00C41D71"/>
    <w:rsid w:val="00C4235F"/>
    <w:rsid w:val="00C43ACE"/>
    <w:rsid w:val="00C44B08"/>
    <w:rsid w:val="00C4511A"/>
    <w:rsid w:val="00C4520B"/>
    <w:rsid w:val="00C452E1"/>
    <w:rsid w:val="00C46618"/>
    <w:rsid w:val="00C46DD2"/>
    <w:rsid w:val="00C470BC"/>
    <w:rsid w:val="00C50314"/>
    <w:rsid w:val="00C50E0E"/>
    <w:rsid w:val="00C50E54"/>
    <w:rsid w:val="00C51CBE"/>
    <w:rsid w:val="00C53736"/>
    <w:rsid w:val="00C5377D"/>
    <w:rsid w:val="00C5385C"/>
    <w:rsid w:val="00C548A9"/>
    <w:rsid w:val="00C54E9D"/>
    <w:rsid w:val="00C54F26"/>
    <w:rsid w:val="00C55858"/>
    <w:rsid w:val="00C55ABE"/>
    <w:rsid w:val="00C55D60"/>
    <w:rsid w:val="00C56289"/>
    <w:rsid w:val="00C56748"/>
    <w:rsid w:val="00C571BA"/>
    <w:rsid w:val="00C574F3"/>
    <w:rsid w:val="00C57CDD"/>
    <w:rsid w:val="00C57CF6"/>
    <w:rsid w:val="00C601B1"/>
    <w:rsid w:val="00C6037C"/>
    <w:rsid w:val="00C6094B"/>
    <w:rsid w:val="00C60F65"/>
    <w:rsid w:val="00C61355"/>
    <w:rsid w:val="00C6160B"/>
    <w:rsid w:val="00C61646"/>
    <w:rsid w:val="00C617D8"/>
    <w:rsid w:val="00C6236D"/>
    <w:rsid w:val="00C63568"/>
    <w:rsid w:val="00C63AB0"/>
    <w:rsid w:val="00C64121"/>
    <w:rsid w:val="00C64554"/>
    <w:rsid w:val="00C65974"/>
    <w:rsid w:val="00C65AFD"/>
    <w:rsid w:val="00C661B7"/>
    <w:rsid w:val="00C6625C"/>
    <w:rsid w:val="00C665E8"/>
    <w:rsid w:val="00C66922"/>
    <w:rsid w:val="00C70468"/>
    <w:rsid w:val="00C704A5"/>
    <w:rsid w:val="00C708C9"/>
    <w:rsid w:val="00C71866"/>
    <w:rsid w:val="00C728E2"/>
    <w:rsid w:val="00C7304E"/>
    <w:rsid w:val="00C733B0"/>
    <w:rsid w:val="00C73757"/>
    <w:rsid w:val="00C74656"/>
    <w:rsid w:val="00C74680"/>
    <w:rsid w:val="00C747CE"/>
    <w:rsid w:val="00C74B80"/>
    <w:rsid w:val="00C7539D"/>
    <w:rsid w:val="00C7663D"/>
    <w:rsid w:val="00C7769C"/>
    <w:rsid w:val="00C77BA4"/>
    <w:rsid w:val="00C802E3"/>
    <w:rsid w:val="00C805FE"/>
    <w:rsid w:val="00C808F1"/>
    <w:rsid w:val="00C80E3F"/>
    <w:rsid w:val="00C81651"/>
    <w:rsid w:val="00C82D97"/>
    <w:rsid w:val="00C836A8"/>
    <w:rsid w:val="00C83DA7"/>
    <w:rsid w:val="00C84023"/>
    <w:rsid w:val="00C84D5E"/>
    <w:rsid w:val="00C867A2"/>
    <w:rsid w:val="00C86995"/>
    <w:rsid w:val="00C8722D"/>
    <w:rsid w:val="00C8744F"/>
    <w:rsid w:val="00C87475"/>
    <w:rsid w:val="00C878DA"/>
    <w:rsid w:val="00C879DB"/>
    <w:rsid w:val="00C87B31"/>
    <w:rsid w:val="00C90FE4"/>
    <w:rsid w:val="00C9100A"/>
    <w:rsid w:val="00C9130E"/>
    <w:rsid w:val="00C91F2C"/>
    <w:rsid w:val="00C9229C"/>
    <w:rsid w:val="00C9389F"/>
    <w:rsid w:val="00C957CD"/>
    <w:rsid w:val="00C960B9"/>
    <w:rsid w:val="00CA0423"/>
    <w:rsid w:val="00CA1AA5"/>
    <w:rsid w:val="00CA1CB0"/>
    <w:rsid w:val="00CA32B7"/>
    <w:rsid w:val="00CA3355"/>
    <w:rsid w:val="00CA3A4E"/>
    <w:rsid w:val="00CA3ADB"/>
    <w:rsid w:val="00CA3C0E"/>
    <w:rsid w:val="00CA40C0"/>
    <w:rsid w:val="00CA43B5"/>
    <w:rsid w:val="00CA4CE5"/>
    <w:rsid w:val="00CA5178"/>
    <w:rsid w:val="00CA621E"/>
    <w:rsid w:val="00CB0780"/>
    <w:rsid w:val="00CB07A1"/>
    <w:rsid w:val="00CB086D"/>
    <w:rsid w:val="00CB0D4A"/>
    <w:rsid w:val="00CB1B5A"/>
    <w:rsid w:val="00CB2240"/>
    <w:rsid w:val="00CB2427"/>
    <w:rsid w:val="00CB2452"/>
    <w:rsid w:val="00CB24C9"/>
    <w:rsid w:val="00CB307A"/>
    <w:rsid w:val="00CB3223"/>
    <w:rsid w:val="00CB3D3D"/>
    <w:rsid w:val="00CB40A5"/>
    <w:rsid w:val="00CB46D8"/>
    <w:rsid w:val="00CB4932"/>
    <w:rsid w:val="00CB49BA"/>
    <w:rsid w:val="00CB49D7"/>
    <w:rsid w:val="00CB4B99"/>
    <w:rsid w:val="00CB58AA"/>
    <w:rsid w:val="00CB5983"/>
    <w:rsid w:val="00CB598D"/>
    <w:rsid w:val="00CB623B"/>
    <w:rsid w:val="00CB6515"/>
    <w:rsid w:val="00CB690F"/>
    <w:rsid w:val="00CB6C7C"/>
    <w:rsid w:val="00CB7401"/>
    <w:rsid w:val="00CB779A"/>
    <w:rsid w:val="00CB79DD"/>
    <w:rsid w:val="00CC0546"/>
    <w:rsid w:val="00CC06C3"/>
    <w:rsid w:val="00CC0D29"/>
    <w:rsid w:val="00CC208F"/>
    <w:rsid w:val="00CC22F5"/>
    <w:rsid w:val="00CC2F85"/>
    <w:rsid w:val="00CC341F"/>
    <w:rsid w:val="00CC35F3"/>
    <w:rsid w:val="00CC3B25"/>
    <w:rsid w:val="00CC3E5C"/>
    <w:rsid w:val="00CC4386"/>
    <w:rsid w:val="00CC4C1E"/>
    <w:rsid w:val="00CC4E36"/>
    <w:rsid w:val="00CC50CE"/>
    <w:rsid w:val="00CC5132"/>
    <w:rsid w:val="00CC52BA"/>
    <w:rsid w:val="00CC53FC"/>
    <w:rsid w:val="00CC555A"/>
    <w:rsid w:val="00CC55EF"/>
    <w:rsid w:val="00CC5991"/>
    <w:rsid w:val="00CC66EE"/>
    <w:rsid w:val="00CC6FC6"/>
    <w:rsid w:val="00CC77EE"/>
    <w:rsid w:val="00CC7C47"/>
    <w:rsid w:val="00CC7DCC"/>
    <w:rsid w:val="00CC7FEA"/>
    <w:rsid w:val="00CD03BC"/>
    <w:rsid w:val="00CD0A0A"/>
    <w:rsid w:val="00CD256F"/>
    <w:rsid w:val="00CD361D"/>
    <w:rsid w:val="00CD3692"/>
    <w:rsid w:val="00CD44E8"/>
    <w:rsid w:val="00CD4E6F"/>
    <w:rsid w:val="00CD5028"/>
    <w:rsid w:val="00CD652B"/>
    <w:rsid w:val="00CD6A92"/>
    <w:rsid w:val="00CD7621"/>
    <w:rsid w:val="00CD7769"/>
    <w:rsid w:val="00CE085C"/>
    <w:rsid w:val="00CE0C09"/>
    <w:rsid w:val="00CE0CE1"/>
    <w:rsid w:val="00CE0DBD"/>
    <w:rsid w:val="00CE1C02"/>
    <w:rsid w:val="00CE2AC4"/>
    <w:rsid w:val="00CE3456"/>
    <w:rsid w:val="00CE355F"/>
    <w:rsid w:val="00CE37E2"/>
    <w:rsid w:val="00CE3AD4"/>
    <w:rsid w:val="00CE4CA9"/>
    <w:rsid w:val="00CE594E"/>
    <w:rsid w:val="00CE66C3"/>
    <w:rsid w:val="00CE6878"/>
    <w:rsid w:val="00CE75EA"/>
    <w:rsid w:val="00CE7D06"/>
    <w:rsid w:val="00CF0CCE"/>
    <w:rsid w:val="00CF288E"/>
    <w:rsid w:val="00CF3B36"/>
    <w:rsid w:val="00CF3C59"/>
    <w:rsid w:val="00CF459F"/>
    <w:rsid w:val="00CF47D1"/>
    <w:rsid w:val="00CF4C31"/>
    <w:rsid w:val="00CF56EA"/>
    <w:rsid w:val="00CF5D78"/>
    <w:rsid w:val="00CF6396"/>
    <w:rsid w:val="00CF6C30"/>
    <w:rsid w:val="00CF6DB2"/>
    <w:rsid w:val="00CF6EF2"/>
    <w:rsid w:val="00CF788A"/>
    <w:rsid w:val="00CF7D67"/>
    <w:rsid w:val="00D01BDB"/>
    <w:rsid w:val="00D01C91"/>
    <w:rsid w:val="00D023E7"/>
    <w:rsid w:val="00D02A02"/>
    <w:rsid w:val="00D038E6"/>
    <w:rsid w:val="00D03C3B"/>
    <w:rsid w:val="00D04529"/>
    <w:rsid w:val="00D045DA"/>
    <w:rsid w:val="00D04E96"/>
    <w:rsid w:val="00D055EC"/>
    <w:rsid w:val="00D06017"/>
    <w:rsid w:val="00D068A4"/>
    <w:rsid w:val="00D07533"/>
    <w:rsid w:val="00D07DC6"/>
    <w:rsid w:val="00D10650"/>
    <w:rsid w:val="00D10906"/>
    <w:rsid w:val="00D11370"/>
    <w:rsid w:val="00D115E3"/>
    <w:rsid w:val="00D1175F"/>
    <w:rsid w:val="00D11F22"/>
    <w:rsid w:val="00D12369"/>
    <w:rsid w:val="00D12771"/>
    <w:rsid w:val="00D129B1"/>
    <w:rsid w:val="00D12F9D"/>
    <w:rsid w:val="00D1362F"/>
    <w:rsid w:val="00D13964"/>
    <w:rsid w:val="00D13F57"/>
    <w:rsid w:val="00D14443"/>
    <w:rsid w:val="00D14813"/>
    <w:rsid w:val="00D156F0"/>
    <w:rsid w:val="00D15724"/>
    <w:rsid w:val="00D158F3"/>
    <w:rsid w:val="00D15D7F"/>
    <w:rsid w:val="00D16469"/>
    <w:rsid w:val="00D1664E"/>
    <w:rsid w:val="00D16E95"/>
    <w:rsid w:val="00D20242"/>
    <w:rsid w:val="00D2070C"/>
    <w:rsid w:val="00D207C8"/>
    <w:rsid w:val="00D20B88"/>
    <w:rsid w:val="00D2185F"/>
    <w:rsid w:val="00D21A83"/>
    <w:rsid w:val="00D221B1"/>
    <w:rsid w:val="00D2245F"/>
    <w:rsid w:val="00D22A10"/>
    <w:rsid w:val="00D22A8F"/>
    <w:rsid w:val="00D2301C"/>
    <w:rsid w:val="00D23892"/>
    <w:rsid w:val="00D2468C"/>
    <w:rsid w:val="00D250C5"/>
    <w:rsid w:val="00D2545F"/>
    <w:rsid w:val="00D269A4"/>
    <w:rsid w:val="00D26BFC"/>
    <w:rsid w:val="00D2711F"/>
    <w:rsid w:val="00D27173"/>
    <w:rsid w:val="00D2753D"/>
    <w:rsid w:val="00D27967"/>
    <w:rsid w:val="00D27E7E"/>
    <w:rsid w:val="00D30314"/>
    <w:rsid w:val="00D312CD"/>
    <w:rsid w:val="00D31B94"/>
    <w:rsid w:val="00D31DFD"/>
    <w:rsid w:val="00D321E0"/>
    <w:rsid w:val="00D32538"/>
    <w:rsid w:val="00D32569"/>
    <w:rsid w:val="00D32C9F"/>
    <w:rsid w:val="00D32FD7"/>
    <w:rsid w:val="00D33199"/>
    <w:rsid w:val="00D3391F"/>
    <w:rsid w:val="00D34B2C"/>
    <w:rsid w:val="00D34BDC"/>
    <w:rsid w:val="00D35236"/>
    <w:rsid w:val="00D3558E"/>
    <w:rsid w:val="00D3559D"/>
    <w:rsid w:val="00D35E69"/>
    <w:rsid w:val="00D35FA9"/>
    <w:rsid w:val="00D36290"/>
    <w:rsid w:val="00D3633C"/>
    <w:rsid w:val="00D36734"/>
    <w:rsid w:val="00D36ABE"/>
    <w:rsid w:val="00D3783D"/>
    <w:rsid w:val="00D37C6D"/>
    <w:rsid w:val="00D4010E"/>
    <w:rsid w:val="00D40927"/>
    <w:rsid w:val="00D40B78"/>
    <w:rsid w:val="00D42DCC"/>
    <w:rsid w:val="00D42DFC"/>
    <w:rsid w:val="00D43D98"/>
    <w:rsid w:val="00D43E0E"/>
    <w:rsid w:val="00D443FC"/>
    <w:rsid w:val="00D4441C"/>
    <w:rsid w:val="00D4453A"/>
    <w:rsid w:val="00D47B01"/>
    <w:rsid w:val="00D511DB"/>
    <w:rsid w:val="00D52720"/>
    <w:rsid w:val="00D53631"/>
    <w:rsid w:val="00D53FDC"/>
    <w:rsid w:val="00D54702"/>
    <w:rsid w:val="00D5492A"/>
    <w:rsid w:val="00D54F5A"/>
    <w:rsid w:val="00D560C8"/>
    <w:rsid w:val="00D562FA"/>
    <w:rsid w:val="00D568BC"/>
    <w:rsid w:val="00D56BA7"/>
    <w:rsid w:val="00D57566"/>
    <w:rsid w:val="00D600FB"/>
    <w:rsid w:val="00D60273"/>
    <w:rsid w:val="00D6036F"/>
    <w:rsid w:val="00D604E0"/>
    <w:rsid w:val="00D6081F"/>
    <w:rsid w:val="00D60F88"/>
    <w:rsid w:val="00D61D07"/>
    <w:rsid w:val="00D61F21"/>
    <w:rsid w:val="00D625B7"/>
    <w:rsid w:val="00D62701"/>
    <w:rsid w:val="00D62839"/>
    <w:rsid w:val="00D62A19"/>
    <w:rsid w:val="00D62B02"/>
    <w:rsid w:val="00D62CD0"/>
    <w:rsid w:val="00D6397A"/>
    <w:rsid w:val="00D63C46"/>
    <w:rsid w:val="00D6400A"/>
    <w:rsid w:val="00D64977"/>
    <w:rsid w:val="00D65155"/>
    <w:rsid w:val="00D651A3"/>
    <w:rsid w:val="00D65241"/>
    <w:rsid w:val="00D656E5"/>
    <w:rsid w:val="00D660A8"/>
    <w:rsid w:val="00D66254"/>
    <w:rsid w:val="00D6644E"/>
    <w:rsid w:val="00D664C3"/>
    <w:rsid w:val="00D66C8F"/>
    <w:rsid w:val="00D675D7"/>
    <w:rsid w:val="00D676AE"/>
    <w:rsid w:val="00D67819"/>
    <w:rsid w:val="00D67E48"/>
    <w:rsid w:val="00D67ED1"/>
    <w:rsid w:val="00D707DF"/>
    <w:rsid w:val="00D711B9"/>
    <w:rsid w:val="00D71ADF"/>
    <w:rsid w:val="00D720C0"/>
    <w:rsid w:val="00D72E4E"/>
    <w:rsid w:val="00D74BE3"/>
    <w:rsid w:val="00D76336"/>
    <w:rsid w:val="00D768D7"/>
    <w:rsid w:val="00D77554"/>
    <w:rsid w:val="00D81B47"/>
    <w:rsid w:val="00D825DF"/>
    <w:rsid w:val="00D83223"/>
    <w:rsid w:val="00D83354"/>
    <w:rsid w:val="00D838FA"/>
    <w:rsid w:val="00D84C52"/>
    <w:rsid w:val="00D85203"/>
    <w:rsid w:val="00D85571"/>
    <w:rsid w:val="00D85825"/>
    <w:rsid w:val="00D85919"/>
    <w:rsid w:val="00D85A86"/>
    <w:rsid w:val="00D86621"/>
    <w:rsid w:val="00D87F65"/>
    <w:rsid w:val="00D902EB"/>
    <w:rsid w:val="00D909A0"/>
    <w:rsid w:val="00D91909"/>
    <w:rsid w:val="00D91DBF"/>
    <w:rsid w:val="00D91FAE"/>
    <w:rsid w:val="00D93269"/>
    <w:rsid w:val="00D93B4F"/>
    <w:rsid w:val="00D942C2"/>
    <w:rsid w:val="00D9446F"/>
    <w:rsid w:val="00D9449A"/>
    <w:rsid w:val="00D94A05"/>
    <w:rsid w:val="00D9582F"/>
    <w:rsid w:val="00D95881"/>
    <w:rsid w:val="00D95930"/>
    <w:rsid w:val="00D9612A"/>
    <w:rsid w:val="00D961D5"/>
    <w:rsid w:val="00D9655C"/>
    <w:rsid w:val="00D96769"/>
    <w:rsid w:val="00D97937"/>
    <w:rsid w:val="00D97A63"/>
    <w:rsid w:val="00DA01F8"/>
    <w:rsid w:val="00DA1013"/>
    <w:rsid w:val="00DA176A"/>
    <w:rsid w:val="00DA205B"/>
    <w:rsid w:val="00DA2325"/>
    <w:rsid w:val="00DA2C13"/>
    <w:rsid w:val="00DA3441"/>
    <w:rsid w:val="00DA3E0F"/>
    <w:rsid w:val="00DA4733"/>
    <w:rsid w:val="00DA4E41"/>
    <w:rsid w:val="00DA5106"/>
    <w:rsid w:val="00DA62F6"/>
    <w:rsid w:val="00DA6CFD"/>
    <w:rsid w:val="00DA7335"/>
    <w:rsid w:val="00DA7EDB"/>
    <w:rsid w:val="00DB02D3"/>
    <w:rsid w:val="00DB097E"/>
    <w:rsid w:val="00DB12EF"/>
    <w:rsid w:val="00DB175A"/>
    <w:rsid w:val="00DB31C6"/>
    <w:rsid w:val="00DB31F3"/>
    <w:rsid w:val="00DB5627"/>
    <w:rsid w:val="00DB60F7"/>
    <w:rsid w:val="00DB60FC"/>
    <w:rsid w:val="00DB6C5C"/>
    <w:rsid w:val="00DC03DC"/>
    <w:rsid w:val="00DC0887"/>
    <w:rsid w:val="00DC11C7"/>
    <w:rsid w:val="00DC1354"/>
    <w:rsid w:val="00DC1457"/>
    <w:rsid w:val="00DC1D9D"/>
    <w:rsid w:val="00DC1DB1"/>
    <w:rsid w:val="00DC1FC9"/>
    <w:rsid w:val="00DC2397"/>
    <w:rsid w:val="00DC2C0B"/>
    <w:rsid w:val="00DC2EE4"/>
    <w:rsid w:val="00DC2F53"/>
    <w:rsid w:val="00DC3499"/>
    <w:rsid w:val="00DC3754"/>
    <w:rsid w:val="00DC37C9"/>
    <w:rsid w:val="00DC391E"/>
    <w:rsid w:val="00DC4E22"/>
    <w:rsid w:val="00DC5383"/>
    <w:rsid w:val="00DC5B1B"/>
    <w:rsid w:val="00DC721C"/>
    <w:rsid w:val="00DD03C4"/>
    <w:rsid w:val="00DD110D"/>
    <w:rsid w:val="00DD20D4"/>
    <w:rsid w:val="00DD2C8F"/>
    <w:rsid w:val="00DD2DFC"/>
    <w:rsid w:val="00DD2E1D"/>
    <w:rsid w:val="00DD30AD"/>
    <w:rsid w:val="00DD3CD5"/>
    <w:rsid w:val="00DD42B4"/>
    <w:rsid w:val="00DD48C0"/>
    <w:rsid w:val="00DD49B1"/>
    <w:rsid w:val="00DD516C"/>
    <w:rsid w:val="00DD516F"/>
    <w:rsid w:val="00DD53DC"/>
    <w:rsid w:val="00DD5699"/>
    <w:rsid w:val="00DD59F8"/>
    <w:rsid w:val="00DD5B78"/>
    <w:rsid w:val="00DD5EEE"/>
    <w:rsid w:val="00DD5F2E"/>
    <w:rsid w:val="00DD6266"/>
    <w:rsid w:val="00DD6CCB"/>
    <w:rsid w:val="00DD747A"/>
    <w:rsid w:val="00DD7EFF"/>
    <w:rsid w:val="00DE0025"/>
    <w:rsid w:val="00DE05AE"/>
    <w:rsid w:val="00DE0C0B"/>
    <w:rsid w:val="00DE0F08"/>
    <w:rsid w:val="00DE13D8"/>
    <w:rsid w:val="00DE18A1"/>
    <w:rsid w:val="00DE2092"/>
    <w:rsid w:val="00DE2B5D"/>
    <w:rsid w:val="00DE3546"/>
    <w:rsid w:val="00DE363F"/>
    <w:rsid w:val="00DE3865"/>
    <w:rsid w:val="00DE40F8"/>
    <w:rsid w:val="00DE4172"/>
    <w:rsid w:val="00DE473E"/>
    <w:rsid w:val="00DE4CAA"/>
    <w:rsid w:val="00DE59AC"/>
    <w:rsid w:val="00DE5A55"/>
    <w:rsid w:val="00DE5C18"/>
    <w:rsid w:val="00DE6217"/>
    <w:rsid w:val="00DE799E"/>
    <w:rsid w:val="00DE7B46"/>
    <w:rsid w:val="00DE7FA7"/>
    <w:rsid w:val="00DF016A"/>
    <w:rsid w:val="00DF21BF"/>
    <w:rsid w:val="00DF3894"/>
    <w:rsid w:val="00DF3BBE"/>
    <w:rsid w:val="00DF4251"/>
    <w:rsid w:val="00DF4722"/>
    <w:rsid w:val="00DF4A10"/>
    <w:rsid w:val="00DF4D83"/>
    <w:rsid w:val="00DF5961"/>
    <w:rsid w:val="00DF5B62"/>
    <w:rsid w:val="00DF5F48"/>
    <w:rsid w:val="00DF61C3"/>
    <w:rsid w:val="00E00221"/>
    <w:rsid w:val="00E002CE"/>
    <w:rsid w:val="00E003EE"/>
    <w:rsid w:val="00E00560"/>
    <w:rsid w:val="00E00601"/>
    <w:rsid w:val="00E00F30"/>
    <w:rsid w:val="00E016DA"/>
    <w:rsid w:val="00E02C37"/>
    <w:rsid w:val="00E02EBE"/>
    <w:rsid w:val="00E0328A"/>
    <w:rsid w:val="00E037D9"/>
    <w:rsid w:val="00E03A0F"/>
    <w:rsid w:val="00E040C2"/>
    <w:rsid w:val="00E04F1A"/>
    <w:rsid w:val="00E05EFE"/>
    <w:rsid w:val="00E06A52"/>
    <w:rsid w:val="00E06B1C"/>
    <w:rsid w:val="00E06C6C"/>
    <w:rsid w:val="00E07058"/>
    <w:rsid w:val="00E0716A"/>
    <w:rsid w:val="00E1108C"/>
    <w:rsid w:val="00E1124E"/>
    <w:rsid w:val="00E11B15"/>
    <w:rsid w:val="00E11C71"/>
    <w:rsid w:val="00E14195"/>
    <w:rsid w:val="00E145BA"/>
    <w:rsid w:val="00E14610"/>
    <w:rsid w:val="00E14A16"/>
    <w:rsid w:val="00E15146"/>
    <w:rsid w:val="00E15AFF"/>
    <w:rsid w:val="00E15F1E"/>
    <w:rsid w:val="00E17209"/>
    <w:rsid w:val="00E1724E"/>
    <w:rsid w:val="00E1761A"/>
    <w:rsid w:val="00E176E3"/>
    <w:rsid w:val="00E20089"/>
    <w:rsid w:val="00E2055E"/>
    <w:rsid w:val="00E206DE"/>
    <w:rsid w:val="00E223E5"/>
    <w:rsid w:val="00E227B8"/>
    <w:rsid w:val="00E22B13"/>
    <w:rsid w:val="00E22CEC"/>
    <w:rsid w:val="00E23D54"/>
    <w:rsid w:val="00E23EC8"/>
    <w:rsid w:val="00E23F81"/>
    <w:rsid w:val="00E24100"/>
    <w:rsid w:val="00E241CD"/>
    <w:rsid w:val="00E244D0"/>
    <w:rsid w:val="00E24803"/>
    <w:rsid w:val="00E25FF5"/>
    <w:rsid w:val="00E26799"/>
    <w:rsid w:val="00E26B03"/>
    <w:rsid w:val="00E26F72"/>
    <w:rsid w:val="00E271CD"/>
    <w:rsid w:val="00E277EF"/>
    <w:rsid w:val="00E27DE4"/>
    <w:rsid w:val="00E27F4F"/>
    <w:rsid w:val="00E30660"/>
    <w:rsid w:val="00E31540"/>
    <w:rsid w:val="00E319A2"/>
    <w:rsid w:val="00E31BE5"/>
    <w:rsid w:val="00E31D89"/>
    <w:rsid w:val="00E31FA6"/>
    <w:rsid w:val="00E32261"/>
    <w:rsid w:val="00E32484"/>
    <w:rsid w:val="00E329D9"/>
    <w:rsid w:val="00E32EAE"/>
    <w:rsid w:val="00E338AD"/>
    <w:rsid w:val="00E3393B"/>
    <w:rsid w:val="00E33E49"/>
    <w:rsid w:val="00E34227"/>
    <w:rsid w:val="00E34E3B"/>
    <w:rsid w:val="00E3597F"/>
    <w:rsid w:val="00E35E4D"/>
    <w:rsid w:val="00E3798B"/>
    <w:rsid w:val="00E37AD8"/>
    <w:rsid w:val="00E4049C"/>
    <w:rsid w:val="00E404C1"/>
    <w:rsid w:val="00E41B0C"/>
    <w:rsid w:val="00E4292A"/>
    <w:rsid w:val="00E42B14"/>
    <w:rsid w:val="00E43CD9"/>
    <w:rsid w:val="00E44CFC"/>
    <w:rsid w:val="00E45170"/>
    <w:rsid w:val="00E4552D"/>
    <w:rsid w:val="00E45F96"/>
    <w:rsid w:val="00E462FF"/>
    <w:rsid w:val="00E501AA"/>
    <w:rsid w:val="00E51022"/>
    <w:rsid w:val="00E51763"/>
    <w:rsid w:val="00E5185B"/>
    <w:rsid w:val="00E51944"/>
    <w:rsid w:val="00E51CCC"/>
    <w:rsid w:val="00E527BA"/>
    <w:rsid w:val="00E52C9A"/>
    <w:rsid w:val="00E53CD8"/>
    <w:rsid w:val="00E53F40"/>
    <w:rsid w:val="00E54498"/>
    <w:rsid w:val="00E55454"/>
    <w:rsid w:val="00E55CDF"/>
    <w:rsid w:val="00E55E88"/>
    <w:rsid w:val="00E56BD7"/>
    <w:rsid w:val="00E56F9C"/>
    <w:rsid w:val="00E57223"/>
    <w:rsid w:val="00E61626"/>
    <w:rsid w:val="00E617C4"/>
    <w:rsid w:val="00E62FB8"/>
    <w:rsid w:val="00E633E8"/>
    <w:rsid w:val="00E6457B"/>
    <w:rsid w:val="00E64851"/>
    <w:rsid w:val="00E65014"/>
    <w:rsid w:val="00E66EDD"/>
    <w:rsid w:val="00E6767D"/>
    <w:rsid w:val="00E6776F"/>
    <w:rsid w:val="00E6782D"/>
    <w:rsid w:val="00E70043"/>
    <w:rsid w:val="00E70265"/>
    <w:rsid w:val="00E70D26"/>
    <w:rsid w:val="00E7120A"/>
    <w:rsid w:val="00E7159C"/>
    <w:rsid w:val="00E72552"/>
    <w:rsid w:val="00E72801"/>
    <w:rsid w:val="00E72B2E"/>
    <w:rsid w:val="00E735E5"/>
    <w:rsid w:val="00E738C4"/>
    <w:rsid w:val="00E73C14"/>
    <w:rsid w:val="00E742B6"/>
    <w:rsid w:val="00E74529"/>
    <w:rsid w:val="00E750A9"/>
    <w:rsid w:val="00E752B6"/>
    <w:rsid w:val="00E7636F"/>
    <w:rsid w:val="00E76DFD"/>
    <w:rsid w:val="00E80294"/>
    <w:rsid w:val="00E805DB"/>
    <w:rsid w:val="00E810B5"/>
    <w:rsid w:val="00E812E1"/>
    <w:rsid w:val="00E81878"/>
    <w:rsid w:val="00E81E33"/>
    <w:rsid w:val="00E820A8"/>
    <w:rsid w:val="00E83348"/>
    <w:rsid w:val="00E83397"/>
    <w:rsid w:val="00E837CB"/>
    <w:rsid w:val="00E83B3F"/>
    <w:rsid w:val="00E83D16"/>
    <w:rsid w:val="00E8453D"/>
    <w:rsid w:val="00E849E5"/>
    <w:rsid w:val="00E84B7F"/>
    <w:rsid w:val="00E86328"/>
    <w:rsid w:val="00E86D5B"/>
    <w:rsid w:val="00E8761E"/>
    <w:rsid w:val="00E90935"/>
    <w:rsid w:val="00E90A34"/>
    <w:rsid w:val="00E90D70"/>
    <w:rsid w:val="00E918B4"/>
    <w:rsid w:val="00E92BF1"/>
    <w:rsid w:val="00E92E70"/>
    <w:rsid w:val="00E93753"/>
    <w:rsid w:val="00E93BCE"/>
    <w:rsid w:val="00E94C12"/>
    <w:rsid w:val="00E94D17"/>
    <w:rsid w:val="00E95475"/>
    <w:rsid w:val="00E9601E"/>
    <w:rsid w:val="00E96266"/>
    <w:rsid w:val="00E96A36"/>
    <w:rsid w:val="00E970AF"/>
    <w:rsid w:val="00E973BE"/>
    <w:rsid w:val="00E97D4C"/>
    <w:rsid w:val="00E97FBA"/>
    <w:rsid w:val="00EA0154"/>
    <w:rsid w:val="00EA0470"/>
    <w:rsid w:val="00EA0896"/>
    <w:rsid w:val="00EA08F0"/>
    <w:rsid w:val="00EA1178"/>
    <w:rsid w:val="00EA19F6"/>
    <w:rsid w:val="00EA1BFA"/>
    <w:rsid w:val="00EA23AC"/>
    <w:rsid w:val="00EA278C"/>
    <w:rsid w:val="00EA2B3B"/>
    <w:rsid w:val="00EA3260"/>
    <w:rsid w:val="00EA3EB2"/>
    <w:rsid w:val="00EA431E"/>
    <w:rsid w:val="00EA4685"/>
    <w:rsid w:val="00EA4B21"/>
    <w:rsid w:val="00EA5C7B"/>
    <w:rsid w:val="00EA60F8"/>
    <w:rsid w:val="00EA6946"/>
    <w:rsid w:val="00EA69FD"/>
    <w:rsid w:val="00EA6A36"/>
    <w:rsid w:val="00EA6A47"/>
    <w:rsid w:val="00EA6C1C"/>
    <w:rsid w:val="00EA6D86"/>
    <w:rsid w:val="00EA7716"/>
    <w:rsid w:val="00EA7D0F"/>
    <w:rsid w:val="00EB01A0"/>
    <w:rsid w:val="00EB0229"/>
    <w:rsid w:val="00EB02E8"/>
    <w:rsid w:val="00EB1103"/>
    <w:rsid w:val="00EB12E9"/>
    <w:rsid w:val="00EB28FE"/>
    <w:rsid w:val="00EB3627"/>
    <w:rsid w:val="00EB381D"/>
    <w:rsid w:val="00EB3AAC"/>
    <w:rsid w:val="00EB3E77"/>
    <w:rsid w:val="00EB4397"/>
    <w:rsid w:val="00EB4829"/>
    <w:rsid w:val="00EB4A10"/>
    <w:rsid w:val="00EB4DCE"/>
    <w:rsid w:val="00EB4E46"/>
    <w:rsid w:val="00EB4F5A"/>
    <w:rsid w:val="00EB5ABC"/>
    <w:rsid w:val="00EB5CCA"/>
    <w:rsid w:val="00EB64E9"/>
    <w:rsid w:val="00EB68F9"/>
    <w:rsid w:val="00EB6922"/>
    <w:rsid w:val="00EB73A3"/>
    <w:rsid w:val="00EB7488"/>
    <w:rsid w:val="00EB7A52"/>
    <w:rsid w:val="00EC07A8"/>
    <w:rsid w:val="00EC0A8F"/>
    <w:rsid w:val="00EC1A51"/>
    <w:rsid w:val="00EC1EEE"/>
    <w:rsid w:val="00EC41E9"/>
    <w:rsid w:val="00EC4310"/>
    <w:rsid w:val="00EC4B36"/>
    <w:rsid w:val="00EC4CEE"/>
    <w:rsid w:val="00EC5344"/>
    <w:rsid w:val="00EC5A71"/>
    <w:rsid w:val="00EC5D6C"/>
    <w:rsid w:val="00EC5F66"/>
    <w:rsid w:val="00EC6952"/>
    <w:rsid w:val="00EC6CA0"/>
    <w:rsid w:val="00EC7769"/>
    <w:rsid w:val="00ED0093"/>
    <w:rsid w:val="00ED023D"/>
    <w:rsid w:val="00ED155B"/>
    <w:rsid w:val="00ED15E5"/>
    <w:rsid w:val="00ED25D4"/>
    <w:rsid w:val="00ED2800"/>
    <w:rsid w:val="00ED2905"/>
    <w:rsid w:val="00ED2C35"/>
    <w:rsid w:val="00ED2E55"/>
    <w:rsid w:val="00ED3183"/>
    <w:rsid w:val="00ED34D9"/>
    <w:rsid w:val="00ED3E59"/>
    <w:rsid w:val="00ED3E6A"/>
    <w:rsid w:val="00ED40F1"/>
    <w:rsid w:val="00ED43EF"/>
    <w:rsid w:val="00ED4AC3"/>
    <w:rsid w:val="00ED4D1C"/>
    <w:rsid w:val="00ED4F15"/>
    <w:rsid w:val="00ED4F6A"/>
    <w:rsid w:val="00ED5021"/>
    <w:rsid w:val="00ED5C48"/>
    <w:rsid w:val="00ED6079"/>
    <w:rsid w:val="00ED6107"/>
    <w:rsid w:val="00ED6264"/>
    <w:rsid w:val="00ED6655"/>
    <w:rsid w:val="00ED6C6B"/>
    <w:rsid w:val="00ED6F2A"/>
    <w:rsid w:val="00ED71E9"/>
    <w:rsid w:val="00ED7213"/>
    <w:rsid w:val="00EE0343"/>
    <w:rsid w:val="00EE0B26"/>
    <w:rsid w:val="00EE108E"/>
    <w:rsid w:val="00EE1198"/>
    <w:rsid w:val="00EE291C"/>
    <w:rsid w:val="00EE4120"/>
    <w:rsid w:val="00EE58E9"/>
    <w:rsid w:val="00EE5B83"/>
    <w:rsid w:val="00EE620F"/>
    <w:rsid w:val="00EE634E"/>
    <w:rsid w:val="00EE653C"/>
    <w:rsid w:val="00EE65A2"/>
    <w:rsid w:val="00EE689C"/>
    <w:rsid w:val="00EE69FB"/>
    <w:rsid w:val="00EE6CA1"/>
    <w:rsid w:val="00EE7531"/>
    <w:rsid w:val="00EE78BA"/>
    <w:rsid w:val="00EF046F"/>
    <w:rsid w:val="00EF09B5"/>
    <w:rsid w:val="00EF15DC"/>
    <w:rsid w:val="00EF1EE6"/>
    <w:rsid w:val="00EF2094"/>
    <w:rsid w:val="00EF242B"/>
    <w:rsid w:val="00EF2A6E"/>
    <w:rsid w:val="00EF3314"/>
    <w:rsid w:val="00EF399C"/>
    <w:rsid w:val="00EF39F5"/>
    <w:rsid w:val="00EF3A52"/>
    <w:rsid w:val="00EF3F23"/>
    <w:rsid w:val="00EF408F"/>
    <w:rsid w:val="00EF4644"/>
    <w:rsid w:val="00EF578D"/>
    <w:rsid w:val="00EF5C7C"/>
    <w:rsid w:val="00EF6874"/>
    <w:rsid w:val="00EF6F14"/>
    <w:rsid w:val="00EF71CD"/>
    <w:rsid w:val="00EF727B"/>
    <w:rsid w:val="00EF7B7B"/>
    <w:rsid w:val="00F005EC"/>
    <w:rsid w:val="00F0061F"/>
    <w:rsid w:val="00F00737"/>
    <w:rsid w:val="00F00AD0"/>
    <w:rsid w:val="00F018F5"/>
    <w:rsid w:val="00F028DE"/>
    <w:rsid w:val="00F02DA1"/>
    <w:rsid w:val="00F02E5E"/>
    <w:rsid w:val="00F034D7"/>
    <w:rsid w:val="00F035B3"/>
    <w:rsid w:val="00F0368E"/>
    <w:rsid w:val="00F03BCA"/>
    <w:rsid w:val="00F03E23"/>
    <w:rsid w:val="00F03EEB"/>
    <w:rsid w:val="00F03F7B"/>
    <w:rsid w:val="00F04245"/>
    <w:rsid w:val="00F05393"/>
    <w:rsid w:val="00F05D74"/>
    <w:rsid w:val="00F06386"/>
    <w:rsid w:val="00F06E42"/>
    <w:rsid w:val="00F10EFA"/>
    <w:rsid w:val="00F11011"/>
    <w:rsid w:val="00F1105B"/>
    <w:rsid w:val="00F1117B"/>
    <w:rsid w:val="00F11701"/>
    <w:rsid w:val="00F1238D"/>
    <w:rsid w:val="00F12767"/>
    <w:rsid w:val="00F12C7C"/>
    <w:rsid w:val="00F12FD4"/>
    <w:rsid w:val="00F130A0"/>
    <w:rsid w:val="00F13B4C"/>
    <w:rsid w:val="00F14C6C"/>
    <w:rsid w:val="00F14E11"/>
    <w:rsid w:val="00F15B8D"/>
    <w:rsid w:val="00F1660C"/>
    <w:rsid w:val="00F16F93"/>
    <w:rsid w:val="00F172BB"/>
    <w:rsid w:val="00F1755E"/>
    <w:rsid w:val="00F2017D"/>
    <w:rsid w:val="00F20DE2"/>
    <w:rsid w:val="00F21142"/>
    <w:rsid w:val="00F21E03"/>
    <w:rsid w:val="00F21FD1"/>
    <w:rsid w:val="00F2290A"/>
    <w:rsid w:val="00F22959"/>
    <w:rsid w:val="00F22E9D"/>
    <w:rsid w:val="00F233CF"/>
    <w:rsid w:val="00F2385D"/>
    <w:rsid w:val="00F239D4"/>
    <w:rsid w:val="00F241B3"/>
    <w:rsid w:val="00F24BAB"/>
    <w:rsid w:val="00F24BC1"/>
    <w:rsid w:val="00F254BA"/>
    <w:rsid w:val="00F25545"/>
    <w:rsid w:val="00F257C7"/>
    <w:rsid w:val="00F2607C"/>
    <w:rsid w:val="00F2634B"/>
    <w:rsid w:val="00F267FC"/>
    <w:rsid w:val="00F26CED"/>
    <w:rsid w:val="00F26E1E"/>
    <w:rsid w:val="00F2706B"/>
    <w:rsid w:val="00F273A9"/>
    <w:rsid w:val="00F27C4A"/>
    <w:rsid w:val="00F27EBA"/>
    <w:rsid w:val="00F300AB"/>
    <w:rsid w:val="00F302A0"/>
    <w:rsid w:val="00F30C5B"/>
    <w:rsid w:val="00F315AC"/>
    <w:rsid w:val="00F3331D"/>
    <w:rsid w:val="00F338CA"/>
    <w:rsid w:val="00F33982"/>
    <w:rsid w:val="00F3551F"/>
    <w:rsid w:val="00F35A94"/>
    <w:rsid w:val="00F35C83"/>
    <w:rsid w:val="00F35DE2"/>
    <w:rsid w:val="00F36230"/>
    <w:rsid w:val="00F379B9"/>
    <w:rsid w:val="00F41B91"/>
    <w:rsid w:val="00F41C9C"/>
    <w:rsid w:val="00F45B06"/>
    <w:rsid w:val="00F45E4C"/>
    <w:rsid w:val="00F45F30"/>
    <w:rsid w:val="00F468CE"/>
    <w:rsid w:val="00F46BE8"/>
    <w:rsid w:val="00F50974"/>
    <w:rsid w:val="00F514C0"/>
    <w:rsid w:val="00F52364"/>
    <w:rsid w:val="00F525ED"/>
    <w:rsid w:val="00F52A58"/>
    <w:rsid w:val="00F52D85"/>
    <w:rsid w:val="00F53498"/>
    <w:rsid w:val="00F5487F"/>
    <w:rsid w:val="00F5489C"/>
    <w:rsid w:val="00F54951"/>
    <w:rsid w:val="00F54A14"/>
    <w:rsid w:val="00F54BAA"/>
    <w:rsid w:val="00F54CD5"/>
    <w:rsid w:val="00F54EF2"/>
    <w:rsid w:val="00F555B2"/>
    <w:rsid w:val="00F571B6"/>
    <w:rsid w:val="00F57F64"/>
    <w:rsid w:val="00F60086"/>
    <w:rsid w:val="00F6062B"/>
    <w:rsid w:val="00F60F70"/>
    <w:rsid w:val="00F61AA2"/>
    <w:rsid w:val="00F621EA"/>
    <w:rsid w:val="00F623CF"/>
    <w:rsid w:val="00F62585"/>
    <w:rsid w:val="00F628E5"/>
    <w:rsid w:val="00F629BD"/>
    <w:rsid w:val="00F62CC6"/>
    <w:rsid w:val="00F6313F"/>
    <w:rsid w:val="00F63521"/>
    <w:rsid w:val="00F64882"/>
    <w:rsid w:val="00F6522E"/>
    <w:rsid w:val="00F6587A"/>
    <w:rsid w:val="00F65AC5"/>
    <w:rsid w:val="00F6701B"/>
    <w:rsid w:val="00F67217"/>
    <w:rsid w:val="00F677C0"/>
    <w:rsid w:val="00F6795D"/>
    <w:rsid w:val="00F702B6"/>
    <w:rsid w:val="00F70EA7"/>
    <w:rsid w:val="00F714D8"/>
    <w:rsid w:val="00F71A6D"/>
    <w:rsid w:val="00F71D27"/>
    <w:rsid w:val="00F71E1B"/>
    <w:rsid w:val="00F72736"/>
    <w:rsid w:val="00F72AEA"/>
    <w:rsid w:val="00F7341A"/>
    <w:rsid w:val="00F736D8"/>
    <w:rsid w:val="00F7497A"/>
    <w:rsid w:val="00F751B0"/>
    <w:rsid w:val="00F766B0"/>
    <w:rsid w:val="00F76E39"/>
    <w:rsid w:val="00F77E8D"/>
    <w:rsid w:val="00F80E03"/>
    <w:rsid w:val="00F810F9"/>
    <w:rsid w:val="00F81C5B"/>
    <w:rsid w:val="00F822F6"/>
    <w:rsid w:val="00F824E8"/>
    <w:rsid w:val="00F82BA6"/>
    <w:rsid w:val="00F83582"/>
    <w:rsid w:val="00F8375B"/>
    <w:rsid w:val="00F83789"/>
    <w:rsid w:val="00F83948"/>
    <w:rsid w:val="00F83A69"/>
    <w:rsid w:val="00F83E08"/>
    <w:rsid w:val="00F8422C"/>
    <w:rsid w:val="00F84AB4"/>
    <w:rsid w:val="00F85FD3"/>
    <w:rsid w:val="00F86009"/>
    <w:rsid w:val="00F8648E"/>
    <w:rsid w:val="00F867E7"/>
    <w:rsid w:val="00F8691E"/>
    <w:rsid w:val="00F87003"/>
    <w:rsid w:val="00F909DC"/>
    <w:rsid w:val="00F90C74"/>
    <w:rsid w:val="00F90DF1"/>
    <w:rsid w:val="00F914F0"/>
    <w:rsid w:val="00F91502"/>
    <w:rsid w:val="00F91587"/>
    <w:rsid w:val="00F91C42"/>
    <w:rsid w:val="00F9229A"/>
    <w:rsid w:val="00F925B9"/>
    <w:rsid w:val="00F925BA"/>
    <w:rsid w:val="00F927C0"/>
    <w:rsid w:val="00F943ED"/>
    <w:rsid w:val="00F94764"/>
    <w:rsid w:val="00F947CE"/>
    <w:rsid w:val="00F95528"/>
    <w:rsid w:val="00F95DEE"/>
    <w:rsid w:val="00F96877"/>
    <w:rsid w:val="00F96D82"/>
    <w:rsid w:val="00F96DEE"/>
    <w:rsid w:val="00FA0187"/>
    <w:rsid w:val="00FA04B5"/>
    <w:rsid w:val="00FA0F8F"/>
    <w:rsid w:val="00FA152D"/>
    <w:rsid w:val="00FA1FCB"/>
    <w:rsid w:val="00FA26F4"/>
    <w:rsid w:val="00FA2733"/>
    <w:rsid w:val="00FA2741"/>
    <w:rsid w:val="00FA27B9"/>
    <w:rsid w:val="00FA27BD"/>
    <w:rsid w:val="00FA2D45"/>
    <w:rsid w:val="00FA3F94"/>
    <w:rsid w:val="00FA48D5"/>
    <w:rsid w:val="00FA4BC5"/>
    <w:rsid w:val="00FA528B"/>
    <w:rsid w:val="00FA59B9"/>
    <w:rsid w:val="00FA5D4F"/>
    <w:rsid w:val="00FA62F8"/>
    <w:rsid w:val="00FA6887"/>
    <w:rsid w:val="00FA693A"/>
    <w:rsid w:val="00FA6ACA"/>
    <w:rsid w:val="00FA6BE2"/>
    <w:rsid w:val="00FA7341"/>
    <w:rsid w:val="00FA7B83"/>
    <w:rsid w:val="00FA7F60"/>
    <w:rsid w:val="00FB0080"/>
    <w:rsid w:val="00FB0490"/>
    <w:rsid w:val="00FB07F9"/>
    <w:rsid w:val="00FB11BC"/>
    <w:rsid w:val="00FB18A0"/>
    <w:rsid w:val="00FB192B"/>
    <w:rsid w:val="00FB212E"/>
    <w:rsid w:val="00FB2EA9"/>
    <w:rsid w:val="00FB33A0"/>
    <w:rsid w:val="00FB343D"/>
    <w:rsid w:val="00FB3707"/>
    <w:rsid w:val="00FB4B4C"/>
    <w:rsid w:val="00FB4D14"/>
    <w:rsid w:val="00FB53D2"/>
    <w:rsid w:val="00FB6179"/>
    <w:rsid w:val="00FB693D"/>
    <w:rsid w:val="00FB6D8D"/>
    <w:rsid w:val="00FB7D40"/>
    <w:rsid w:val="00FB7F9A"/>
    <w:rsid w:val="00FC0542"/>
    <w:rsid w:val="00FC06EA"/>
    <w:rsid w:val="00FC0839"/>
    <w:rsid w:val="00FC0858"/>
    <w:rsid w:val="00FC1924"/>
    <w:rsid w:val="00FC1A0A"/>
    <w:rsid w:val="00FC2438"/>
    <w:rsid w:val="00FC285D"/>
    <w:rsid w:val="00FC2F46"/>
    <w:rsid w:val="00FC361F"/>
    <w:rsid w:val="00FC5144"/>
    <w:rsid w:val="00FC62A4"/>
    <w:rsid w:val="00FC6B61"/>
    <w:rsid w:val="00FC6D92"/>
    <w:rsid w:val="00FC7045"/>
    <w:rsid w:val="00FC77B3"/>
    <w:rsid w:val="00FC77F6"/>
    <w:rsid w:val="00FC7936"/>
    <w:rsid w:val="00FD09D6"/>
    <w:rsid w:val="00FD0B73"/>
    <w:rsid w:val="00FD19C8"/>
    <w:rsid w:val="00FD1FC4"/>
    <w:rsid w:val="00FD230B"/>
    <w:rsid w:val="00FD261B"/>
    <w:rsid w:val="00FD27CC"/>
    <w:rsid w:val="00FD2A25"/>
    <w:rsid w:val="00FD333B"/>
    <w:rsid w:val="00FD4755"/>
    <w:rsid w:val="00FD4F44"/>
    <w:rsid w:val="00FD5071"/>
    <w:rsid w:val="00FD50E1"/>
    <w:rsid w:val="00FD5359"/>
    <w:rsid w:val="00FD5A56"/>
    <w:rsid w:val="00FD5C0D"/>
    <w:rsid w:val="00FD66FD"/>
    <w:rsid w:val="00FD7030"/>
    <w:rsid w:val="00FD72DE"/>
    <w:rsid w:val="00FD75A2"/>
    <w:rsid w:val="00FD7AB5"/>
    <w:rsid w:val="00FE1AFF"/>
    <w:rsid w:val="00FE1DDF"/>
    <w:rsid w:val="00FE2000"/>
    <w:rsid w:val="00FE2017"/>
    <w:rsid w:val="00FE2BFF"/>
    <w:rsid w:val="00FE2CFF"/>
    <w:rsid w:val="00FE3590"/>
    <w:rsid w:val="00FE374B"/>
    <w:rsid w:val="00FE3920"/>
    <w:rsid w:val="00FE3BA2"/>
    <w:rsid w:val="00FE5416"/>
    <w:rsid w:val="00FE54F7"/>
    <w:rsid w:val="00FE5523"/>
    <w:rsid w:val="00FE58C0"/>
    <w:rsid w:val="00FE5E72"/>
    <w:rsid w:val="00FE6255"/>
    <w:rsid w:val="00FE7EE0"/>
    <w:rsid w:val="00FF0218"/>
    <w:rsid w:val="00FF0493"/>
    <w:rsid w:val="00FF0881"/>
    <w:rsid w:val="00FF0F14"/>
    <w:rsid w:val="00FF1550"/>
    <w:rsid w:val="00FF235C"/>
    <w:rsid w:val="00FF282D"/>
    <w:rsid w:val="00FF2986"/>
    <w:rsid w:val="00FF2C45"/>
    <w:rsid w:val="00FF36A6"/>
    <w:rsid w:val="00FF37DB"/>
    <w:rsid w:val="00FF4130"/>
    <w:rsid w:val="00FF42EF"/>
    <w:rsid w:val="00FF4BAC"/>
    <w:rsid w:val="00FF4FD3"/>
    <w:rsid w:val="00FF5294"/>
    <w:rsid w:val="00FF578F"/>
    <w:rsid w:val="00FF5794"/>
    <w:rsid w:val="00FF5D16"/>
    <w:rsid w:val="00FF75DA"/>
    <w:rsid w:val="00FF7A37"/>
    <w:rsid w:val="00FF7F72"/>
    <w:rsid w:val="010000CE"/>
    <w:rsid w:val="01533173"/>
    <w:rsid w:val="0174199B"/>
    <w:rsid w:val="018C042F"/>
    <w:rsid w:val="019139BB"/>
    <w:rsid w:val="01A95B6A"/>
    <w:rsid w:val="01BD1D63"/>
    <w:rsid w:val="01ED4894"/>
    <w:rsid w:val="01FE2CFE"/>
    <w:rsid w:val="02526173"/>
    <w:rsid w:val="029A6633"/>
    <w:rsid w:val="029F2908"/>
    <w:rsid w:val="02AC60AA"/>
    <w:rsid w:val="02B87E06"/>
    <w:rsid w:val="02D71373"/>
    <w:rsid w:val="02D85611"/>
    <w:rsid w:val="02FE589D"/>
    <w:rsid w:val="031B1C80"/>
    <w:rsid w:val="03211A1D"/>
    <w:rsid w:val="0324523D"/>
    <w:rsid w:val="03331E75"/>
    <w:rsid w:val="034407FB"/>
    <w:rsid w:val="034F6246"/>
    <w:rsid w:val="03562125"/>
    <w:rsid w:val="035F2635"/>
    <w:rsid w:val="036D5E24"/>
    <w:rsid w:val="037413B6"/>
    <w:rsid w:val="03A57F11"/>
    <w:rsid w:val="03C968EE"/>
    <w:rsid w:val="040707FC"/>
    <w:rsid w:val="042972F1"/>
    <w:rsid w:val="044E5434"/>
    <w:rsid w:val="045E1E00"/>
    <w:rsid w:val="04684ED7"/>
    <w:rsid w:val="048101D3"/>
    <w:rsid w:val="048C7CAA"/>
    <w:rsid w:val="04987F00"/>
    <w:rsid w:val="04A45D71"/>
    <w:rsid w:val="04B04E89"/>
    <w:rsid w:val="04BF7371"/>
    <w:rsid w:val="04C829A7"/>
    <w:rsid w:val="04E22C17"/>
    <w:rsid w:val="04F36106"/>
    <w:rsid w:val="04F4133B"/>
    <w:rsid w:val="05021B01"/>
    <w:rsid w:val="05292B71"/>
    <w:rsid w:val="052C0D66"/>
    <w:rsid w:val="05314FD7"/>
    <w:rsid w:val="053B1A3D"/>
    <w:rsid w:val="05500555"/>
    <w:rsid w:val="0558720E"/>
    <w:rsid w:val="057F2A2A"/>
    <w:rsid w:val="05894C8A"/>
    <w:rsid w:val="05993019"/>
    <w:rsid w:val="05C01E8E"/>
    <w:rsid w:val="05D708A6"/>
    <w:rsid w:val="06002DF6"/>
    <w:rsid w:val="06153E6E"/>
    <w:rsid w:val="0618444D"/>
    <w:rsid w:val="062A6CB4"/>
    <w:rsid w:val="06300679"/>
    <w:rsid w:val="063E0E8C"/>
    <w:rsid w:val="06471306"/>
    <w:rsid w:val="06762765"/>
    <w:rsid w:val="067746D4"/>
    <w:rsid w:val="069C6A8D"/>
    <w:rsid w:val="06B9287B"/>
    <w:rsid w:val="06DA3028"/>
    <w:rsid w:val="06E3294D"/>
    <w:rsid w:val="06F31CB3"/>
    <w:rsid w:val="06F93008"/>
    <w:rsid w:val="0718687A"/>
    <w:rsid w:val="071A60E7"/>
    <w:rsid w:val="07252677"/>
    <w:rsid w:val="076C6634"/>
    <w:rsid w:val="07820AB4"/>
    <w:rsid w:val="079B346A"/>
    <w:rsid w:val="07CC2D78"/>
    <w:rsid w:val="07CC4016"/>
    <w:rsid w:val="07D15C8A"/>
    <w:rsid w:val="07E76A1F"/>
    <w:rsid w:val="080158C0"/>
    <w:rsid w:val="0809715C"/>
    <w:rsid w:val="080A4814"/>
    <w:rsid w:val="0820276D"/>
    <w:rsid w:val="082F1BCD"/>
    <w:rsid w:val="08573B5A"/>
    <w:rsid w:val="086F6B65"/>
    <w:rsid w:val="08A4401C"/>
    <w:rsid w:val="08A55AD2"/>
    <w:rsid w:val="08CD17C0"/>
    <w:rsid w:val="0918731F"/>
    <w:rsid w:val="091D1431"/>
    <w:rsid w:val="09223CDC"/>
    <w:rsid w:val="09371EEF"/>
    <w:rsid w:val="093F6B95"/>
    <w:rsid w:val="09524755"/>
    <w:rsid w:val="095B63CA"/>
    <w:rsid w:val="09701692"/>
    <w:rsid w:val="09717916"/>
    <w:rsid w:val="098251C0"/>
    <w:rsid w:val="0984738F"/>
    <w:rsid w:val="09853CE2"/>
    <w:rsid w:val="098C4592"/>
    <w:rsid w:val="098C467A"/>
    <w:rsid w:val="09915D75"/>
    <w:rsid w:val="0996332C"/>
    <w:rsid w:val="09BE1AF4"/>
    <w:rsid w:val="09E0028A"/>
    <w:rsid w:val="09E31010"/>
    <w:rsid w:val="09F11ACB"/>
    <w:rsid w:val="09FB6243"/>
    <w:rsid w:val="0A047BEC"/>
    <w:rsid w:val="0A06506B"/>
    <w:rsid w:val="0A0A6618"/>
    <w:rsid w:val="0A29795D"/>
    <w:rsid w:val="0A2A7E86"/>
    <w:rsid w:val="0A2D68BE"/>
    <w:rsid w:val="0A3C22BA"/>
    <w:rsid w:val="0A3D34F3"/>
    <w:rsid w:val="0A557C07"/>
    <w:rsid w:val="0A5B4AF5"/>
    <w:rsid w:val="0A75433E"/>
    <w:rsid w:val="0A796F7C"/>
    <w:rsid w:val="0A7B7455"/>
    <w:rsid w:val="0AA33DAF"/>
    <w:rsid w:val="0AB608CB"/>
    <w:rsid w:val="0AC60296"/>
    <w:rsid w:val="0AD32487"/>
    <w:rsid w:val="0AD50553"/>
    <w:rsid w:val="0AE31AD5"/>
    <w:rsid w:val="0B017D09"/>
    <w:rsid w:val="0B0715B1"/>
    <w:rsid w:val="0B0F0B26"/>
    <w:rsid w:val="0B400CB2"/>
    <w:rsid w:val="0B421176"/>
    <w:rsid w:val="0B4B49C1"/>
    <w:rsid w:val="0B721C38"/>
    <w:rsid w:val="0B860805"/>
    <w:rsid w:val="0B945C54"/>
    <w:rsid w:val="0BB16187"/>
    <w:rsid w:val="0BCE6861"/>
    <w:rsid w:val="0BDC4FBC"/>
    <w:rsid w:val="0BDF0A5F"/>
    <w:rsid w:val="0C08318F"/>
    <w:rsid w:val="0C1E7ABD"/>
    <w:rsid w:val="0C270CC3"/>
    <w:rsid w:val="0C586B50"/>
    <w:rsid w:val="0C586E44"/>
    <w:rsid w:val="0C7F402D"/>
    <w:rsid w:val="0C822A19"/>
    <w:rsid w:val="0C930A24"/>
    <w:rsid w:val="0C9F5640"/>
    <w:rsid w:val="0CB81916"/>
    <w:rsid w:val="0CD123E3"/>
    <w:rsid w:val="0CE32FB8"/>
    <w:rsid w:val="0CE44838"/>
    <w:rsid w:val="0D206C21"/>
    <w:rsid w:val="0D731CA1"/>
    <w:rsid w:val="0D775B07"/>
    <w:rsid w:val="0D8323A4"/>
    <w:rsid w:val="0D893BAC"/>
    <w:rsid w:val="0D952410"/>
    <w:rsid w:val="0D9F3354"/>
    <w:rsid w:val="0DA370DA"/>
    <w:rsid w:val="0DA7099A"/>
    <w:rsid w:val="0DB01CE1"/>
    <w:rsid w:val="0DBA1705"/>
    <w:rsid w:val="0DC46B30"/>
    <w:rsid w:val="0DC9706D"/>
    <w:rsid w:val="0DD115AA"/>
    <w:rsid w:val="0DEA06F6"/>
    <w:rsid w:val="0E01030B"/>
    <w:rsid w:val="0E04318C"/>
    <w:rsid w:val="0E274301"/>
    <w:rsid w:val="0E31785B"/>
    <w:rsid w:val="0E357D47"/>
    <w:rsid w:val="0E5C0982"/>
    <w:rsid w:val="0E730195"/>
    <w:rsid w:val="0E803657"/>
    <w:rsid w:val="0E8B35C9"/>
    <w:rsid w:val="0E9742FB"/>
    <w:rsid w:val="0EAF107B"/>
    <w:rsid w:val="0EB4347F"/>
    <w:rsid w:val="0EBE27AA"/>
    <w:rsid w:val="0EC1627E"/>
    <w:rsid w:val="0ED36950"/>
    <w:rsid w:val="0EED0FC5"/>
    <w:rsid w:val="0EF07619"/>
    <w:rsid w:val="0EF248CA"/>
    <w:rsid w:val="0EFB4176"/>
    <w:rsid w:val="0F034AA6"/>
    <w:rsid w:val="0F08360E"/>
    <w:rsid w:val="0F125E7D"/>
    <w:rsid w:val="0F1F0D30"/>
    <w:rsid w:val="0F26373F"/>
    <w:rsid w:val="0F446A41"/>
    <w:rsid w:val="0F4A18F4"/>
    <w:rsid w:val="0F5808CC"/>
    <w:rsid w:val="0F666559"/>
    <w:rsid w:val="0F6B3E79"/>
    <w:rsid w:val="0F790BDF"/>
    <w:rsid w:val="0F7D42FE"/>
    <w:rsid w:val="0F820E85"/>
    <w:rsid w:val="0F8A41FA"/>
    <w:rsid w:val="0F9B4E2A"/>
    <w:rsid w:val="0FB045CC"/>
    <w:rsid w:val="0FC910AB"/>
    <w:rsid w:val="0FD23F99"/>
    <w:rsid w:val="0FE34C1B"/>
    <w:rsid w:val="0FEF79AA"/>
    <w:rsid w:val="101C7D06"/>
    <w:rsid w:val="1024515A"/>
    <w:rsid w:val="1046198D"/>
    <w:rsid w:val="105F3A71"/>
    <w:rsid w:val="106D475B"/>
    <w:rsid w:val="10BA0A0E"/>
    <w:rsid w:val="10CE39DE"/>
    <w:rsid w:val="10FA6B68"/>
    <w:rsid w:val="10FF5E5F"/>
    <w:rsid w:val="11190B98"/>
    <w:rsid w:val="11365062"/>
    <w:rsid w:val="11422692"/>
    <w:rsid w:val="11590029"/>
    <w:rsid w:val="117F7F48"/>
    <w:rsid w:val="1265739D"/>
    <w:rsid w:val="12662947"/>
    <w:rsid w:val="12BE2ADE"/>
    <w:rsid w:val="12D8263D"/>
    <w:rsid w:val="130B16E4"/>
    <w:rsid w:val="13267B35"/>
    <w:rsid w:val="134A6D86"/>
    <w:rsid w:val="13594CF7"/>
    <w:rsid w:val="135A728A"/>
    <w:rsid w:val="1367698A"/>
    <w:rsid w:val="13772D89"/>
    <w:rsid w:val="138744BB"/>
    <w:rsid w:val="13AA18EC"/>
    <w:rsid w:val="13B45FC3"/>
    <w:rsid w:val="13DB164D"/>
    <w:rsid w:val="13E7373B"/>
    <w:rsid w:val="13FE142E"/>
    <w:rsid w:val="14176463"/>
    <w:rsid w:val="144B6D3F"/>
    <w:rsid w:val="14546EAA"/>
    <w:rsid w:val="147759A4"/>
    <w:rsid w:val="147A75E5"/>
    <w:rsid w:val="149C7CF0"/>
    <w:rsid w:val="14BC21CE"/>
    <w:rsid w:val="14BE2339"/>
    <w:rsid w:val="14BF4DCE"/>
    <w:rsid w:val="14D14395"/>
    <w:rsid w:val="14D56BF6"/>
    <w:rsid w:val="14E36C24"/>
    <w:rsid w:val="14F32D76"/>
    <w:rsid w:val="14F5216B"/>
    <w:rsid w:val="14FE7778"/>
    <w:rsid w:val="15060A70"/>
    <w:rsid w:val="151B73F8"/>
    <w:rsid w:val="15211EFF"/>
    <w:rsid w:val="15353F74"/>
    <w:rsid w:val="154F205D"/>
    <w:rsid w:val="15615E0F"/>
    <w:rsid w:val="156D2843"/>
    <w:rsid w:val="15701AB8"/>
    <w:rsid w:val="15892652"/>
    <w:rsid w:val="159001BC"/>
    <w:rsid w:val="15B939D5"/>
    <w:rsid w:val="15D83B2E"/>
    <w:rsid w:val="15DD70EA"/>
    <w:rsid w:val="15E11AB3"/>
    <w:rsid w:val="15E25134"/>
    <w:rsid w:val="15E8785D"/>
    <w:rsid w:val="16113EF1"/>
    <w:rsid w:val="16116F4B"/>
    <w:rsid w:val="162E280E"/>
    <w:rsid w:val="164206BE"/>
    <w:rsid w:val="16446BD7"/>
    <w:rsid w:val="16600954"/>
    <w:rsid w:val="16734EEE"/>
    <w:rsid w:val="1691331C"/>
    <w:rsid w:val="16D82413"/>
    <w:rsid w:val="16E22B33"/>
    <w:rsid w:val="16F85570"/>
    <w:rsid w:val="17116BE2"/>
    <w:rsid w:val="17194D7A"/>
    <w:rsid w:val="172078E9"/>
    <w:rsid w:val="172D12A6"/>
    <w:rsid w:val="173C1948"/>
    <w:rsid w:val="17464B66"/>
    <w:rsid w:val="175B5D81"/>
    <w:rsid w:val="17652D76"/>
    <w:rsid w:val="177742FF"/>
    <w:rsid w:val="177778D5"/>
    <w:rsid w:val="177C4324"/>
    <w:rsid w:val="179E41EC"/>
    <w:rsid w:val="17BD7A6D"/>
    <w:rsid w:val="182A5943"/>
    <w:rsid w:val="18704C74"/>
    <w:rsid w:val="18AD026B"/>
    <w:rsid w:val="18CA4E8D"/>
    <w:rsid w:val="18FC46F8"/>
    <w:rsid w:val="191B1724"/>
    <w:rsid w:val="19254E9B"/>
    <w:rsid w:val="194573ED"/>
    <w:rsid w:val="195D29F2"/>
    <w:rsid w:val="196465FF"/>
    <w:rsid w:val="196B6E10"/>
    <w:rsid w:val="198154A5"/>
    <w:rsid w:val="19850C75"/>
    <w:rsid w:val="198A3D94"/>
    <w:rsid w:val="198F27F8"/>
    <w:rsid w:val="199C5ECD"/>
    <w:rsid w:val="19B1121F"/>
    <w:rsid w:val="19E14ABD"/>
    <w:rsid w:val="19F07148"/>
    <w:rsid w:val="1A031971"/>
    <w:rsid w:val="1A051BC1"/>
    <w:rsid w:val="1A110D84"/>
    <w:rsid w:val="1A2B0F11"/>
    <w:rsid w:val="1A2C43DF"/>
    <w:rsid w:val="1A372CD4"/>
    <w:rsid w:val="1A555BDB"/>
    <w:rsid w:val="1A660755"/>
    <w:rsid w:val="1A703BC4"/>
    <w:rsid w:val="1A7262E8"/>
    <w:rsid w:val="1A882B3D"/>
    <w:rsid w:val="1ABE2D20"/>
    <w:rsid w:val="1ACC4B7F"/>
    <w:rsid w:val="1AD34CD1"/>
    <w:rsid w:val="1AD417D6"/>
    <w:rsid w:val="1AE72378"/>
    <w:rsid w:val="1AE7665A"/>
    <w:rsid w:val="1B111CB0"/>
    <w:rsid w:val="1B393D9E"/>
    <w:rsid w:val="1B743284"/>
    <w:rsid w:val="1B816F9A"/>
    <w:rsid w:val="1B8175D6"/>
    <w:rsid w:val="1B9C1B61"/>
    <w:rsid w:val="1BB46A20"/>
    <w:rsid w:val="1BBD6973"/>
    <w:rsid w:val="1BE24098"/>
    <w:rsid w:val="1BE81B85"/>
    <w:rsid w:val="1BFE2971"/>
    <w:rsid w:val="1C01336C"/>
    <w:rsid w:val="1C021382"/>
    <w:rsid w:val="1C081DD0"/>
    <w:rsid w:val="1C1669BA"/>
    <w:rsid w:val="1C1C3102"/>
    <w:rsid w:val="1C2230E8"/>
    <w:rsid w:val="1C2E2C8D"/>
    <w:rsid w:val="1C6C7614"/>
    <w:rsid w:val="1CB31F52"/>
    <w:rsid w:val="1CC609D9"/>
    <w:rsid w:val="1CDC7753"/>
    <w:rsid w:val="1CEC4A0D"/>
    <w:rsid w:val="1D1712A0"/>
    <w:rsid w:val="1D2B7B9F"/>
    <w:rsid w:val="1D305274"/>
    <w:rsid w:val="1D3F5714"/>
    <w:rsid w:val="1D466011"/>
    <w:rsid w:val="1D487015"/>
    <w:rsid w:val="1D547E28"/>
    <w:rsid w:val="1D606070"/>
    <w:rsid w:val="1D655DB6"/>
    <w:rsid w:val="1D980258"/>
    <w:rsid w:val="1D9C1F14"/>
    <w:rsid w:val="1DB113DA"/>
    <w:rsid w:val="1DFB4E0B"/>
    <w:rsid w:val="1E196DA1"/>
    <w:rsid w:val="1E2278F4"/>
    <w:rsid w:val="1E4062B7"/>
    <w:rsid w:val="1E5542CC"/>
    <w:rsid w:val="1E6D6ABE"/>
    <w:rsid w:val="1E755624"/>
    <w:rsid w:val="1E8C73FA"/>
    <w:rsid w:val="1E9E3D33"/>
    <w:rsid w:val="1EAA616E"/>
    <w:rsid w:val="1EB15364"/>
    <w:rsid w:val="1EB20356"/>
    <w:rsid w:val="1EBE2AB5"/>
    <w:rsid w:val="1EC81089"/>
    <w:rsid w:val="1EDD703F"/>
    <w:rsid w:val="1F092A2D"/>
    <w:rsid w:val="1F1162FE"/>
    <w:rsid w:val="1F1C0B32"/>
    <w:rsid w:val="1F352B32"/>
    <w:rsid w:val="1F4A096C"/>
    <w:rsid w:val="1F6B3A34"/>
    <w:rsid w:val="1F751CBE"/>
    <w:rsid w:val="1F7D6B10"/>
    <w:rsid w:val="1F963D6D"/>
    <w:rsid w:val="1F98363F"/>
    <w:rsid w:val="1FA70F8C"/>
    <w:rsid w:val="1FBF488C"/>
    <w:rsid w:val="1FCD7675"/>
    <w:rsid w:val="1FD377B1"/>
    <w:rsid w:val="1FEF77E1"/>
    <w:rsid w:val="1FFC155B"/>
    <w:rsid w:val="20010BD0"/>
    <w:rsid w:val="20137C9A"/>
    <w:rsid w:val="20261774"/>
    <w:rsid w:val="202A3AEF"/>
    <w:rsid w:val="203A4D2E"/>
    <w:rsid w:val="204030A0"/>
    <w:rsid w:val="205B78B2"/>
    <w:rsid w:val="205C4184"/>
    <w:rsid w:val="206558CE"/>
    <w:rsid w:val="206901B1"/>
    <w:rsid w:val="2078018B"/>
    <w:rsid w:val="209323D8"/>
    <w:rsid w:val="20AD55FF"/>
    <w:rsid w:val="20C12FDC"/>
    <w:rsid w:val="20C55A62"/>
    <w:rsid w:val="211001E9"/>
    <w:rsid w:val="21147D43"/>
    <w:rsid w:val="2119067D"/>
    <w:rsid w:val="21216F1B"/>
    <w:rsid w:val="214F55E4"/>
    <w:rsid w:val="215A4604"/>
    <w:rsid w:val="217C7ED4"/>
    <w:rsid w:val="21862B07"/>
    <w:rsid w:val="21973788"/>
    <w:rsid w:val="219A3406"/>
    <w:rsid w:val="21A70D61"/>
    <w:rsid w:val="21B2244C"/>
    <w:rsid w:val="21C30EF9"/>
    <w:rsid w:val="21D956E3"/>
    <w:rsid w:val="21EF7C0A"/>
    <w:rsid w:val="221551D8"/>
    <w:rsid w:val="224441F7"/>
    <w:rsid w:val="224E7428"/>
    <w:rsid w:val="2261560B"/>
    <w:rsid w:val="227918A6"/>
    <w:rsid w:val="22944164"/>
    <w:rsid w:val="229674ED"/>
    <w:rsid w:val="22AC485D"/>
    <w:rsid w:val="22D174A6"/>
    <w:rsid w:val="22E67532"/>
    <w:rsid w:val="230F16FC"/>
    <w:rsid w:val="231C2E7E"/>
    <w:rsid w:val="232A4048"/>
    <w:rsid w:val="233344E4"/>
    <w:rsid w:val="23850BE5"/>
    <w:rsid w:val="238E2690"/>
    <w:rsid w:val="239015CD"/>
    <w:rsid w:val="23B946BE"/>
    <w:rsid w:val="23C01773"/>
    <w:rsid w:val="23EF13A7"/>
    <w:rsid w:val="23F7720B"/>
    <w:rsid w:val="24086432"/>
    <w:rsid w:val="240F1052"/>
    <w:rsid w:val="242A187D"/>
    <w:rsid w:val="24310987"/>
    <w:rsid w:val="24322A62"/>
    <w:rsid w:val="24554136"/>
    <w:rsid w:val="245C2B3F"/>
    <w:rsid w:val="24836E94"/>
    <w:rsid w:val="24867974"/>
    <w:rsid w:val="248945E2"/>
    <w:rsid w:val="24974A9D"/>
    <w:rsid w:val="24990AB6"/>
    <w:rsid w:val="24A21A55"/>
    <w:rsid w:val="24BC74B9"/>
    <w:rsid w:val="24BE33B8"/>
    <w:rsid w:val="250D3E66"/>
    <w:rsid w:val="252754C5"/>
    <w:rsid w:val="252D3F69"/>
    <w:rsid w:val="2547370A"/>
    <w:rsid w:val="25585795"/>
    <w:rsid w:val="25740BBD"/>
    <w:rsid w:val="25955E96"/>
    <w:rsid w:val="259B6E31"/>
    <w:rsid w:val="259E33E1"/>
    <w:rsid w:val="25B677AD"/>
    <w:rsid w:val="25B904A8"/>
    <w:rsid w:val="25FD0304"/>
    <w:rsid w:val="261447E7"/>
    <w:rsid w:val="26162D47"/>
    <w:rsid w:val="26417898"/>
    <w:rsid w:val="26442276"/>
    <w:rsid w:val="26444B63"/>
    <w:rsid w:val="264D7096"/>
    <w:rsid w:val="26552532"/>
    <w:rsid w:val="269F6889"/>
    <w:rsid w:val="26AD0D8B"/>
    <w:rsid w:val="26C17431"/>
    <w:rsid w:val="26C545A4"/>
    <w:rsid w:val="26C94300"/>
    <w:rsid w:val="26DF7D7C"/>
    <w:rsid w:val="26EE1723"/>
    <w:rsid w:val="26F154C7"/>
    <w:rsid w:val="26FD7030"/>
    <w:rsid w:val="27080E2E"/>
    <w:rsid w:val="270D21C6"/>
    <w:rsid w:val="277F5A23"/>
    <w:rsid w:val="27A7464B"/>
    <w:rsid w:val="28011EB5"/>
    <w:rsid w:val="28092464"/>
    <w:rsid w:val="282C5A3A"/>
    <w:rsid w:val="283F32F7"/>
    <w:rsid w:val="2855423F"/>
    <w:rsid w:val="285E5BE3"/>
    <w:rsid w:val="28611CC2"/>
    <w:rsid w:val="286D2B55"/>
    <w:rsid w:val="28721E59"/>
    <w:rsid w:val="28892109"/>
    <w:rsid w:val="28A325B7"/>
    <w:rsid w:val="28AB052C"/>
    <w:rsid w:val="28B71571"/>
    <w:rsid w:val="28BA104F"/>
    <w:rsid w:val="28C132F2"/>
    <w:rsid w:val="28D133DE"/>
    <w:rsid w:val="28D37B64"/>
    <w:rsid w:val="28EF11D1"/>
    <w:rsid w:val="290566C3"/>
    <w:rsid w:val="295C2D51"/>
    <w:rsid w:val="29A81CD2"/>
    <w:rsid w:val="29A90232"/>
    <w:rsid w:val="29A92B3A"/>
    <w:rsid w:val="29C804D1"/>
    <w:rsid w:val="29CB1410"/>
    <w:rsid w:val="29D84ABC"/>
    <w:rsid w:val="29F5410D"/>
    <w:rsid w:val="2A1503FE"/>
    <w:rsid w:val="2A194990"/>
    <w:rsid w:val="2A215E5E"/>
    <w:rsid w:val="2A252C4C"/>
    <w:rsid w:val="2A3E7B5A"/>
    <w:rsid w:val="2A6B55C6"/>
    <w:rsid w:val="2A8475EE"/>
    <w:rsid w:val="2A951C8C"/>
    <w:rsid w:val="2A953E86"/>
    <w:rsid w:val="2A9B26F1"/>
    <w:rsid w:val="2AB25451"/>
    <w:rsid w:val="2AC063B7"/>
    <w:rsid w:val="2ACB5B48"/>
    <w:rsid w:val="2ACD0874"/>
    <w:rsid w:val="2AD267B8"/>
    <w:rsid w:val="2AD8059C"/>
    <w:rsid w:val="2B0A5818"/>
    <w:rsid w:val="2B0D737C"/>
    <w:rsid w:val="2B0F004D"/>
    <w:rsid w:val="2B154A20"/>
    <w:rsid w:val="2B380E7B"/>
    <w:rsid w:val="2B574357"/>
    <w:rsid w:val="2B6638DE"/>
    <w:rsid w:val="2B84406F"/>
    <w:rsid w:val="2B8F58E2"/>
    <w:rsid w:val="2BA07FAD"/>
    <w:rsid w:val="2BBF0DDA"/>
    <w:rsid w:val="2BE5055C"/>
    <w:rsid w:val="2BED5A7C"/>
    <w:rsid w:val="2BF858F4"/>
    <w:rsid w:val="2BFC6315"/>
    <w:rsid w:val="2BFD5564"/>
    <w:rsid w:val="2C4C1107"/>
    <w:rsid w:val="2C7C5CC5"/>
    <w:rsid w:val="2C811341"/>
    <w:rsid w:val="2C823F4E"/>
    <w:rsid w:val="2CAD067B"/>
    <w:rsid w:val="2CFD0FC0"/>
    <w:rsid w:val="2D050EBF"/>
    <w:rsid w:val="2D2A25A1"/>
    <w:rsid w:val="2D4D17E5"/>
    <w:rsid w:val="2D6F58D8"/>
    <w:rsid w:val="2D892B5C"/>
    <w:rsid w:val="2DB328B9"/>
    <w:rsid w:val="2DC6450C"/>
    <w:rsid w:val="2DD85082"/>
    <w:rsid w:val="2DE11692"/>
    <w:rsid w:val="2DF24F64"/>
    <w:rsid w:val="2DF5641D"/>
    <w:rsid w:val="2DF644E3"/>
    <w:rsid w:val="2E0D40F5"/>
    <w:rsid w:val="2E2F56E6"/>
    <w:rsid w:val="2E4A7323"/>
    <w:rsid w:val="2E98229F"/>
    <w:rsid w:val="2EA56E95"/>
    <w:rsid w:val="2EA673C9"/>
    <w:rsid w:val="2ECA710C"/>
    <w:rsid w:val="2ED4404D"/>
    <w:rsid w:val="2ED50475"/>
    <w:rsid w:val="2EE365C8"/>
    <w:rsid w:val="2F090AB4"/>
    <w:rsid w:val="2F13732E"/>
    <w:rsid w:val="2F336BA3"/>
    <w:rsid w:val="2F5621A6"/>
    <w:rsid w:val="2F66411F"/>
    <w:rsid w:val="2F9E2267"/>
    <w:rsid w:val="2FA5716E"/>
    <w:rsid w:val="2FBE7D06"/>
    <w:rsid w:val="2FD85581"/>
    <w:rsid w:val="2FE513F6"/>
    <w:rsid w:val="2FE91ED2"/>
    <w:rsid w:val="2FF22D62"/>
    <w:rsid w:val="30037E76"/>
    <w:rsid w:val="300B0CEC"/>
    <w:rsid w:val="301B31E2"/>
    <w:rsid w:val="302909D7"/>
    <w:rsid w:val="30320AA9"/>
    <w:rsid w:val="30427218"/>
    <w:rsid w:val="30664FDE"/>
    <w:rsid w:val="309E4811"/>
    <w:rsid w:val="30A00CB5"/>
    <w:rsid w:val="30AF5F22"/>
    <w:rsid w:val="30C14186"/>
    <w:rsid w:val="30D71496"/>
    <w:rsid w:val="30E73B0D"/>
    <w:rsid w:val="30FC61C2"/>
    <w:rsid w:val="30FD55E0"/>
    <w:rsid w:val="31030DD2"/>
    <w:rsid w:val="310F6F60"/>
    <w:rsid w:val="311333E6"/>
    <w:rsid w:val="311467EF"/>
    <w:rsid w:val="31162712"/>
    <w:rsid w:val="31363ABC"/>
    <w:rsid w:val="314614BA"/>
    <w:rsid w:val="31490B7D"/>
    <w:rsid w:val="3153679E"/>
    <w:rsid w:val="315F2471"/>
    <w:rsid w:val="3177458F"/>
    <w:rsid w:val="3189708E"/>
    <w:rsid w:val="318B1F3D"/>
    <w:rsid w:val="319434F7"/>
    <w:rsid w:val="31994D00"/>
    <w:rsid w:val="31A65E57"/>
    <w:rsid w:val="31AD16EF"/>
    <w:rsid w:val="31AE660C"/>
    <w:rsid w:val="31B05A1F"/>
    <w:rsid w:val="31B17EF2"/>
    <w:rsid w:val="31E155AC"/>
    <w:rsid w:val="31FC35FB"/>
    <w:rsid w:val="32010D04"/>
    <w:rsid w:val="320A7836"/>
    <w:rsid w:val="324163CA"/>
    <w:rsid w:val="32574FD8"/>
    <w:rsid w:val="325C547C"/>
    <w:rsid w:val="326C29F6"/>
    <w:rsid w:val="327C3888"/>
    <w:rsid w:val="32945DAC"/>
    <w:rsid w:val="329C631F"/>
    <w:rsid w:val="32AB0897"/>
    <w:rsid w:val="32CB3A84"/>
    <w:rsid w:val="32CE45BC"/>
    <w:rsid w:val="32D9201A"/>
    <w:rsid w:val="32E42D0F"/>
    <w:rsid w:val="32E779A4"/>
    <w:rsid w:val="330D4D94"/>
    <w:rsid w:val="33435E16"/>
    <w:rsid w:val="335F11B3"/>
    <w:rsid w:val="337B12FB"/>
    <w:rsid w:val="339C5454"/>
    <w:rsid w:val="33DD1D83"/>
    <w:rsid w:val="33FC5F9C"/>
    <w:rsid w:val="34005D95"/>
    <w:rsid w:val="34173060"/>
    <w:rsid w:val="342451AA"/>
    <w:rsid w:val="3425323C"/>
    <w:rsid w:val="342E5EA7"/>
    <w:rsid w:val="343E0BAC"/>
    <w:rsid w:val="34474FF1"/>
    <w:rsid w:val="344B3651"/>
    <w:rsid w:val="34555269"/>
    <w:rsid w:val="34B63281"/>
    <w:rsid w:val="34C105B0"/>
    <w:rsid w:val="34CA39B2"/>
    <w:rsid w:val="34D564C3"/>
    <w:rsid w:val="34DC79C0"/>
    <w:rsid w:val="34EC4B86"/>
    <w:rsid w:val="351321CB"/>
    <w:rsid w:val="355E299F"/>
    <w:rsid w:val="355E6D49"/>
    <w:rsid w:val="35671EE7"/>
    <w:rsid w:val="3572663B"/>
    <w:rsid w:val="357D4C50"/>
    <w:rsid w:val="35925B04"/>
    <w:rsid w:val="35963717"/>
    <w:rsid w:val="35AF3549"/>
    <w:rsid w:val="35CA49CB"/>
    <w:rsid w:val="35DA5213"/>
    <w:rsid w:val="35EE7B1B"/>
    <w:rsid w:val="35F65FAD"/>
    <w:rsid w:val="36202050"/>
    <w:rsid w:val="364A7C84"/>
    <w:rsid w:val="36605016"/>
    <w:rsid w:val="366B7A53"/>
    <w:rsid w:val="368259EE"/>
    <w:rsid w:val="3689301E"/>
    <w:rsid w:val="36B523AB"/>
    <w:rsid w:val="36C76D40"/>
    <w:rsid w:val="36F44E23"/>
    <w:rsid w:val="371D2966"/>
    <w:rsid w:val="373062E8"/>
    <w:rsid w:val="375C1AC9"/>
    <w:rsid w:val="37785098"/>
    <w:rsid w:val="377E7331"/>
    <w:rsid w:val="37A6234C"/>
    <w:rsid w:val="37AF1535"/>
    <w:rsid w:val="37CA63F2"/>
    <w:rsid w:val="37CB57CA"/>
    <w:rsid w:val="37D337D1"/>
    <w:rsid w:val="37DD56C2"/>
    <w:rsid w:val="37F16302"/>
    <w:rsid w:val="38372548"/>
    <w:rsid w:val="38781C56"/>
    <w:rsid w:val="38C30240"/>
    <w:rsid w:val="38CF65F7"/>
    <w:rsid w:val="38D30895"/>
    <w:rsid w:val="38E95212"/>
    <w:rsid w:val="391C1C7A"/>
    <w:rsid w:val="39465968"/>
    <w:rsid w:val="394D1A3B"/>
    <w:rsid w:val="39600E80"/>
    <w:rsid w:val="399B72BC"/>
    <w:rsid w:val="39A95A0D"/>
    <w:rsid w:val="39E779C9"/>
    <w:rsid w:val="3A01261A"/>
    <w:rsid w:val="3A1A4CEB"/>
    <w:rsid w:val="3A204DEA"/>
    <w:rsid w:val="3A247020"/>
    <w:rsid w:val="3A34341C"/>
    <w:rsid w:val="3A366570"/>
    <w:rsid w:val="3A41027E"/>
    <w:rsid w:val="3A446ABC"/>
    <w:rsid w:val="3A481E25"/>
    <w:rsid w:val="3A562007"/>
    <w:rsid w:val="3A632ED3"/>
    <w:rsid w:val="3A693A23"/>
    <w:rsid w:val="3A6F255F"/>
    <w:rsid w:val="3A6F6832"/>
    <w:rsid w:val="3A90237F"/>
    <w:rsid w:val="3B0A7991"/>
    <w:rsid w:val="3B100A85"/>
    <w:rsid w:val="3B18283A"/>
    <w:rsid w:val="3B336F2F"/>
    <w:rsid w:val="3B567019"/>
    <w:rsid w:val="3B691338"/>
    <w:rsid w:val="3B6B36CF"/>
    <w:rsid w:val="3BA60160"/>
    <w:rsid w:val="3BB46CD1"/>
    <w:rsid w:val="3BB6128D"/>
    <w:rsid w:val="3BD11411"/>
    <w:rsid w:val="3BD837A5"/>
    <w:rsid w:val="3BED4242"/>
    <w:rsid w:val="3C317DDD"/>
    <w:rsid w:val="3C336F35"/>
    <w:rsid w:val="3C3D3F09"/>
    <w:rsid w:val="3C457CDF"/>
    <w:rsid w:val="3C742BEB"/>
    <w:rsid w:val="3C857740"/>
    <w:rsid w:val="3C8E02B7"/>
    <w:rsid w:val="3CB004C5"/>
    <w:rsid w:val="3CB35047"/>
    <w:rsid w:val="3CB47F7E"/>
    <w:rsid w:val="3CB603EF"/>
    <w:rsid w:val="3CD82621"/>
    <w:rsid w:val="3CDD69B2"/>
    <w:rsid w:val="3CEA693F"/>
    <w:rsid w:val="3D0D55A5"/>
    <w:rsid w:val="3D354C10"/>
    <w:rsid w:val="3D475AFB"/>
    <w:rsid w:val="3D4C43AF"/>
    <w:rsid w:val="3D502422"/>
    <w:rsid w:val="3D5275CE"/>
    <w:rsid w:val="3D5404DD"/>
    <w:rsid w:val="3D6341E4"/>
    <w:rsid w:val="3D6A48AA"/>
    <w:rsid w:val="3D6D23E3"/>
    <w:rsid w:val="3D7C1281"/>
    <w:rsid w:val="3D8D1DDC"/>
    <w:rsid w:val="3D995C7E"/>
    <w:rsid w:val="3DD2333F"/>
    <w:rsid w:val="3DEC316F"/>
    <w:rsid w:val="3E000E38"/>
    <w:rsid w:val="3E037731"/>
    <w:rsid w:val="3E0F09D9"/>
    <w:rsid w:val="3E1646C1"/>
    <w:rsid w:val="3E247488"/>
    <w:rsid w:val="3E305EE4"/>
    <w:rsid w:val="3E3D25F5"/>
    <w:rsid w:val="3E4E6762"/>
    <w:rsid w:val="3E70166E"/>
    <w:rsid w:val="3E752011"/>
    <w:rsid w:val="3E8270FA"/>
    <w:rsid w:val="3E8E2505"/>
    <w:rsid w:val="3E8F0C9A"/>
    <w:rsid w:val="3E9953AC"/>
    <w:rsid w:val="3E9D3F84"/>
    <w:rsid w:val="3E9F3605"/>
    <w:rsid w:val="3EEC1C8D"/>
    <w:rsid w:val="3F0C0C5D"/>
    <w:rsid w:val="3F310E2B"/>
    <w:rsid w:val="3F3E5B85"/>
    <w:rsid w:val="3F4D19AF"/>
    <w:rsid w:val="3F691A99"/>
    <w:rsid w:val="3F837DDF"/>
    <w:rsid w:val="3FA21405"/>
    <w:rsid w:val="3FA96E5D"/>
    <w:rsid w:val="3FC04528"/>
    <w:rsid w:val="3FCB012B"/>
    <w:rsid w:val="3FD27B2E"/>
    <w:rsid w:val="3FEE1DE8"/>
    <w:rsid w:val="3FFE5EFF"/>
    <w:rsid w:val="40171145"/>
    <w:rsid w:val="402104DC"/>
    <w:rsid w:val="40480E8F"/>
    <w:rsid w:val="40662C29"/>
    <w:rsid w:val="40742438"/>
    <w:rsid w:val="40791098"/>
    <w:rsid w:val="40932E75"/>
    <w:rsid w:val="40A70377"/>
    <w:rsid w:val="40BC5D67"/>
    <w:rsid w:val="40D775A2"/>
    <w:rsid w:val="40EE33BE"/>
    <w:rsid w:val="40F61783"/>
    <w:rsid w:val="4100601D"/>
    <w:rsid w:val="410D75D5"/>
    <w:rsid w:val="411E3000"/>
    <w:rsid w:val="41402C24"/>
    <w:rsid w:val="414E7345"/>
    <w:rsid w:val="41696F7F"/>
    <w:rsid w:val="417240B9"/>
    <w:rsid w:val="417C0D06"/>
    <w:rsid w:val="418B25AA"/>
    <w:rsid w:val="418E56CE"/>
    <w:rsid w:val="41925E9B"/>
    <w:rsid w:val="419B1BC4"/>
    <w:rsid w:val="419D7C05"/>
    <w:rsid w:val="41A739EA"/>
    <w:rsid w:val="41B3371C"/>
    <w:rsid w:val="41B4302C"/>
    <w:rsid w:val="41DA3C01"/>
    <w:rsid w:val="41E3266D"/>
    <w:rsid w:val="41F604FA"/>
    <w:rsid w:val="41FE6085"/>
    <w:rsid w:val="42013C9E"/>
    <w:rsid w:val="420F24CA"/>
    <w:rsid w:val="421C0994"/>
    <w:rsid w:val="424F02B6"/>
    <w:rsid w:val="42683145"/>
    <w:rsid w:val="427133C0"/>
    <w:rsid w:val="42715180"/>
    <w:rsid w:val="4277762F"/>
    <w:rsid w:val="429D7D7D"/>
    <w:rsid w:val="42B23DF0"/>
    <w:rsid w:val="42B45768"/>
    <w:rsid w:val="42DD7341"/>
    <w:rsid w:val="42E637C3"/>
    <w:rsid w:val="42FD1410"/>
    <w:rsid w:val="43184FA0"/>
    <w:rsid w:val="431F563A"/>
    <w:rsid w:val="432D0CD2"/>
    <w:rsid w:val="4348259E"/>
    <w:rsid w:val="434C0977"/>
    <w:rsid w:val="434D5EB2"/>
    <w:rsid w:val="43705840"/>
    <w:rsid w:val="437E6752"/>
    <w:rsid w:val="43AF6845"/>
    <w:rsid w:val="43D44FF8"/>
    <w:rsid w:val="441557E3"/>
    <w:rsid w:val="44286453"/>
    <w:rsid w:val="444B4817"/>
    <w:rsid w:val="444C54FC"/>
    <w:rsid w:val="44615639"/>
    <w:rsid w:val="44762FC6"/>
    <w:rsid w:val="4488431A"/>
    <w:rsid w:val="448F5706"/>
    <w:rsid w:val="44944331"/>
    <w:rsid w:val="449A539D"/>
    <w:rsid w:val="44A538D4"/>
    <w:rsid w:val="44B05905"/>
    <w:rsid w:val="44B67F0B"/>
    <w:rsid w:val="451317C4"/>
    <w:rsid w:val="45252A65"/>
    <w:rsid w:val="45575AD5"/>
    <w:rsid w:val="457E0115"/>
    <w:rsid w:val="459B774E"/>
    <w:rsid w:val="45B72AB1"/>
    <w:rsid w:val="45CF5AD4"/>
    <w:rsid w:val="45DD06D9"/>
    <w:rsid w:val="460D21F2"/>
    <w:rsid w:val="460E0469"/>
    <w:rsid w:val="460E0A15"/>
    <w:rsid w:val="4635298E"/>
    <w:rsid w:val="46355D58"/>
    <w:rsid w:val="464050BB"/>
    <w:rsid w:val="466B6702"/>
    <w:rsid w:val="466F037A"/>
    <w:rsid w:val="467737E1"/>
    <w:rsid w:val="46A075FA"/>
    <w:rsid w:val="46A359DC"/>
    <w:rsid w:val="46A54FB3"/>
    <w:rsid w:val="46D7121E"/>
    <w:rsid w:val="46E07671"/>
    <w:rsid w:val="46FF57CE"/>
    <w:rsid w:val="47154F60"/>
    <w:rsid w:val="47700BCB"/>
    <w:rsid w:val="47732DB6"/>
    <w:rsid w:val="47C254B8"/>
    <w:rsid w:val="47DF082A"/>
    <w:rsid w:val="47EB5003"/>
    <w:rsid w:val="48081128"/>
    <w:rsid w:val="480D3EC3"/>
    <w:rsid w:val="48144FED"/>
    <w:rsid w:val="483A31DC"/>
    <w:rsid w:val="484715CC"/>
    <w:rsid w:val="485D616F"/>
    <w:rsid w:val="4873370F"/>
    <w:rsid w:val="48942C25"/>
    <w:rsid w:val="4898666C"/>
    <w:rsid w:val="489B75DE"/>
    <w:rsid w:val="489F44D2"/>
    <w:rsid w:val="48B5305A"/>
    <w:rsid w:val="48B63FE7"/>
    <w:rsid w:val="48C71061"/>
    <w:rsid w:val="48CC7D6E"/>
    <w:rsid w:val="48DD5408"/>
    <w:rsid w:val="48EB5A5C"/>
    <w:rsid w:val="490B579F"/>
    <w:rsid w:val="4920208E"/>
    <w:rsid w:val="492A1C6E"/>
    <w:rsid w:val="492C7D33"/>
    <w:rsid w:val="493A79B5"/>
    <w:rsid w:val="4969605D"/>
    <w:rsid w:val="496D1F2A"/>
    <w:rsid w:val="497C7394"/>
    <w:rsid w:val="498A3B85"/>
    <w:rsid w:val="49AE3287"/>
    <w:rsid w:val="49C65C46"/>
    <w:rsid w:val="49D021B0"/>
    <w:rsid w:val="49D61F4B"/>
    <w:rsid w:val="49D7375C"/>
    <w:rsid w:val="49EC64E1"/>
    <w:rsid w:val="4A11668C"/>
    <w:rsid w:val="4A3546EB"/>
    <w:rsid w:val="4A443774"/>
    <w:rsid w:val="4A4A48A6"/>
    <w:rsid w:val="4A524812"/>
    <w:rsid w:val="4A526073"/>
    <w:rsid w:val="4A56215E"/>
    <w:rsid w:val="4A5D4A40"/>
    <w:rsid w:val="4A63534F"/>
    <w:rsid w:val="4A6C1B50"/>
    <w:rsid w:val="4A7E40F2"/>
    <w:rsid w:val="4A8561F1"/>
    <w:rsid w:val="4A943BC6"/>
    <w:rsid w:val="4AAF17A9"/>
    <w:rsid w:val="4AE74F60"/>
    <w:rsid w:val="4AFF5CC6"/>
    <w:rsid w:val="4B1D3A51"/>
    <w:rsid w:val="4B280F1E"/>
    <w:rsid w:val="4B3D4E30"/>
    <w:rsid w:val="4B413D26"/>
    <w:rsid w:val="4B8B446D"/>
    <w:rsid w:val="4BB317A2"/>
    <w:rsid w:val="4BC27F8D"/>
    <w:rsid w:val="4BC97047"/>
    <w:rsid w:val="4BCC6CCE"/>
    <w:rsid w:val="4BE44E6C"/>
    <w:rsid w:val="4BF446B8"/>
    <w:rsid w:val="4C061338"/>
    <w:rsid w:val="4C497215"/>
    <w:rsid w:val="4C4F5F99"/>
    <w:rsid w:val="4C5474C5"/>
    <w:rsid w:val="4C5D0817"/>
    <w:rsid w:val="4C5E08E0"/>
    <w:rsid w:val="4C7C64A4"/>
    <w:rsid w:val="4CBF4AE9"/>
    <w:rsid w:val="4D0A349B"/>
    <w:rsid w:val="4D0D2E78"/>
    <w:rsid w:val="4D0F04ED"/>
    <w:rsid w:val="4D384A7C"/>
    <w:rsid w:val="4D3A0411"/>
    <w:rsid w:val="4D427C91"/>
    <w:rsid w:val="4D7706F2"/>
    <w:rsid w:val="4DBE12C2"/>
    <w:rsid w:val="4DCE6ED3"/>
    <w:rsid w:val="4E095444"/>
    <w:rsid w:val="4E0E40E2"/>
    <w:rsid w:val="4E333BBB"/>
    <w:rsid w:val="4E4E04E5"/>
    <w:rsid w:val="4E665F7B"/>
    <w:rsid w:val="4E6A06E9"/>
    <w:rsid w:val="4E776B87"/>
    <w:rsid w:val="4E8E5857"/>
    <w:rsid w:val="4EC206BE"/>
    <w:rsid w:val="4EC46EFB"/>
    <w:rsid w:val="4EC951FF"/>
    <w:rsid w:val="4ED04B02"/>
    <w:rsid w:val="4EDD6EFA"/>
    <w:rsid w:val="4EE96853"/>
    <w:rsid w:val="4F105F02"/>
    <w:rsid w:val="4F121BEA"/>
    <w:rsid w:val="4F172396"/>
    <w:rsid w:val="4F3F03C1"/>
    <w:rsid w:val="4F4C2971"/>
    <w:rsid w:val="4F566ACF"/>
    <w:rsid w:val="4F704BBC"/>
    <w:rsid w:val="4F8028EE"/>
    <w:rsid w:val="4F8435B4"/>
    <w:rsid w:val="4FAD0DF7"/>
    <w:rsid w:val="4FBC1F04"/>
    <w:rsid w:val="4FBD361C"/>
    <w:rsid w:val="4FBE1CEA"/>
    <w:rsid w:val="4FC15F00"/>
    <w:rsid w:val="4FF17370"/>
    <w:rsid w:val="50200CEA"/>
    <w:rsid w:val="502E1CFA"/>
    <w:rsid w:val="50371519"/>
    <w:rsid w:val="503D6ACE"/>
    <w:rsid w:val="505A0A75"/>
    <w:rsid w:val="509E2BD3"/>
    <w:rsid w:val="50C04426"/>
    <w:rsid w:val="50C95413"/>
    <w:rsid w:val="50CA58C9"/>
    <w:rsid w:val="50ED0D36"/>
    <w:rsid w:val="50F462DA"/>
    <w:rsid w:val="510B317F"/>
    <w:rsid w:val="51130AD6"/>
    <w:rsid w:val="51147068"/>
    <w:rsid w:val="511B4097"/>
    <w:rsid w:val="512452DA"/>
    <w:rsid w:val="515029F4"/>
    <w:rsid w:val="51777BA1"/>
    <w:rsid w:val="517A1ADB"/>
    <w:rsid w:val="517C1302"/>
    <w:rsid w:val="51901189"/>
    <w:rsid w:val="51952A88"/>
    <w:rsid w:val="51B661F2"/>
    <w:rsid w:val="51BB2EED"/>
    <w:rsid w:val="51E51BA8"/>
    <w:rsid w:val="51EE27E3"/>
    <w:rsid w:val="52101F45"/>
    <w:rsid w:val="52125E5B"/>
    <w:rsid w:val="5213342A"/>
    <w:rsid w:val="52163344"/>
    <w:rsid w:val="52217FFE"/>
    <w:rsid w:val="5234477C"/>
    <w:rsid w:val="52515077"/>
    <w:rsid w:val="52806E8B"/>
    <w:rsid w:val="52B118DE"/>
    <w:rsid w:val="52C52078"/>
    <w:rsid w:val="52CB6EC0"/>
    <w:rsid w:val="52D061DA"/>
    <w:rsid w:val="52D211F8"/>
    <w:rsid w:val="52F26F28"/>
    <w:rsid w:val="53031E61"/>
    <w:rsid w:val="5315442E"/>
    <w:rsid w:val="533907AA"/>
    <w:rsid w:val="5341530E"/>
    <w:rsid w:val="534326DA"/>
    <w:rsid w:val="53434396"/>
    <w:rsid w:val="534D112E"/>
    <w:rsid w:val="53761C93"/>
    <w:rsid w:val="537B0A8C"/>
    <w:rsid w:val="5393301A"/>
    <w:rsid w:val="53971518"/>
    <w:rsid w:val="5399073D"/>
    <w:rsid w:val="539E3677"/>
    <w:rsid w:val="53A84C2D"/>
    <w:rsid w:val="53AB2CD5"/>
    <w:rsid w:val="53AF23D8"/>
    <w:rsid w:val="53B31343"/>
    <w:rsid w:val="53B91D8C"/>
    <w:rsid w:val="53CE2D5A"/>
    <w:rsid w:val="53D82514"/>
    <w:rsid w:val="53E56E6E"/>
    <w:rsid w:val="53EB2495"/>
    <w:rsid w:val="53F17662"/>
    <w:rsid w:val="54010C17"/>
    <w:rsid w:val="540366C1"/>
    <w:rsid w:val="542C2C82"/>
    <w:rsid w:val="543F012A"/>
    <w:rsid w:val="54635F00"/>
    <w:rsid w:val="54661F54"/>
    <w:rsid w:val="546C3F2D"/>
    <w:rsid w:val="547F46DA"/>
    <w:rsid w:val="54944893"/>
    <w:rsid w:val="549F75FE"/>
    <w:rsid w:val="54A51CC5"/>
    <w:rsid w:val="54DD78BD"/>
    <w:rsid w:val="54E06144"/>
    <w:rsid w:val="54F52367"/>
    <w:rsid w:val="550A393D"/>
    <w:rsid w:val="555E54FB"/>
    <w:rsid w:val="556D2811"/>
    <w:rsid w:val="55767F46"/>
    <w:rsid w:val="55CE1AD5"/>
    <w:rsid w:val="55ED37B8"/>
    <w:rsid w:val="55F04C52"/>
    <w:rsid w:val="55F35D23"/>
    <w:rsid w:val="56281CBC"/>
    <w:rsid w:val="56333685"/>
    <w:rsid w:val="567B7B50"/>
    <w:rsid w:val="568F0DF7"/>
    <w:rsid w:val="56A332D5"/>
    <w:rsid w:val="56C325A5"/>
    <w:rsid w:val="56E709F8"/>
    <w:rsid w:val="56F10A56"/>
    <w:rsid w:val="56FB32FA"/>
    <w:rsid w:val="570703AF"/>
    <w:rsid w:val="572D602C"/>
    <w:rsid w:val="57364D30"/>
    <w:rsid w:val="573D71D1"/>
    <w:rsid w:val="57574216"/>
    <w:rsid w:val="57A21363"/>
    <w:rsid w:val="57A54C20"/>
    <w:rsid w:val="57B06D46"/>
    <w:rsid w:val="57B937A9"/>
    <w:rsid w:val="57BB4E50"/>
    <w:rsid w:val="57C34B39"/>
    <w:rsid w:val="57DE1F69"/>
    <w:rsid w:val="57E116B4"/>
    <w:rsid w:val="580C0140"/>
    <w:rsid w:val="580F431F"/>
    <w:rsid w:val="587B6F7C"/>
    <w:rsid w:val="58A22BE9"/>
    <w:rsid w:val="58BD6FD7"/>
    <w:rsid w:val="58E44026"/>
    <w:rsid w:val="58E67C57"/>
    <w:rsid w:val="58E94F10"/>
    <w:rsid w:val="58F965E6"/>
    <w:rsid w:val="58FA15B8"/>
    <w:rsid w:val="58FF06B6"/>
    <w:rsid w:val="59046596"/>
    <w:rsid w:val="591C3F4A"/>
    <w:rsid w:val="591F1CBF"/>
    <w:rsid w:val="593E6CC6"/>
    <w:rsid w:val="59404EE0"/>
    <w:rsid w:val="594B0A62"/>
    <w:rsid w:val="594E1B0E"/>
    <w:rsid w:val="594F32F2"/>
    <w:rsid w:val="595461B1"/>
    <w:rsid w:val="59591BB8"/>
    <w:rsid w:val="595C743E"/>
    <w:rsid w:val="59760077"/>
    <w:rsid w:val="59820786"/>
    <w:rsid w:val="59A774F2"/>
    <w:rsid w:val="59AD15AB"/>
    <w:rsid w:val="59CE313C"/>
    <w:rsid w:val="59E474BD"/>
    <w:rsid w:val="59E869EC"/>
    <w:rsid w:val="59FC6B89"/>
    <w:rsid w:val="5A143012"/>
    <w:rsid w:val="5A261D0E"/>
    <w:rsid w:val="5A2E6A84"/>
    <w:rsid w:val="5A412A61"/>
    <w:rsid w:val="5A527BDD"/>
    <w:rsid w:val="5A905E59"/>
    <w:rsid w:val="5A9311E7"/>
    <w:rsid w:val="5AA72593"/>
    <w:rsid w:val="5AD0373D"/>
    <w:rsid w:val="5AF81B7B"/>
    <w:rsid w:val="5AF86253"/>
    <w:rsid w:val="5B047A73"/>
    <w:rsid w:val="5B081862"/>
    <w:rsid w:val="5B1C3DCA"/>
    <w:rsid w:val="5B24355B"/>
    <w:rsid w:val="5B340596"/>
    <w:rsid w:val="5B3F26B3"/>
    <w:rsid w:val="5B467F94"/>
    <w:rsid w:val="5B4B70AC"/>
    <w:rsid w:val="5B8A7522"/>
    <w:rsid w:val="5BA53E1C"/>
    <w:rsid w:val="5BA92AAB"/>
    <w:rsid w:val="5BB41290"/>
    <w:rsid w:val="5BC50503"/>
    <w:rsid w:val="5BCC4827"/>
    <w:rsid w:val="5BF50EB6"/>
    <w:rsid w:val="5BF92128"/>
    <w:rsid w:val="5BFA7DB5"/>
    <w:rsid w:val="5BFB1F01"/>
    <w:rsid w:val="5C075DA6"/>
    <w:rsid w:val="5C1D7D30"/>
    <w:rsid w:val="5C275BD4"/>
    <w:rsid w:val="5C491EC9"/>
    <w:rsid w:val="5C5028D7"/>
    <w:rsid w:val="5C790A6A"/>
    <w:rsid w:val="5C81109C"/>
    <w:rsid w:val="5C9E10E9"/>
    <w:rsid w:val="5C9E40DE"/>
    <w:rsid w:val="5CA11D7F"/>
    <w:rsid w:val="5CAF4CE5"/>
    <w:rsid w:val="5CDA6371"/>
    <w:rsid w:val="5CFC64A7"/>
    <w:rsid w:val="5D1516BF"/>
    <w:rsid w:val="5D1569ED"/>
    <w:rsid w:val="5D1B2A4F"/>
    <w:rsid w:val="5D2E6665"/>
    <w:rsid w:val="5D4F34F7"/>
    <w:rsid w:val="5D623C65"/>
    <w:rsid w:val="5D810CA8"/>
    <w:rsid w:val="5D8C1819"/>
    <w:rsid w:val="5DC477E0"/>
    <w:rsid w:val="5DD05318"/>
    <w:rsid w:val="5DE97207"/>
    <w:rsid w:val="5DEF6C2B"/>
    <w:rsid w:val="5DF22741"/>
    <w:rsid w:val="5DFE50F6"/>
    <w:rsid w:val="5E026A9A"/>
    <w:rsid w:val="5E186B89"/>
    <w:rsid w:val="5E2D7C7A"/>
    <w:rsid w:val="5E4E3F80"/>
    <w:rsid w:val="5E5F4BD4"/>
    <w:rsid w:val="5E852B0D"/>
    <w:rsid w:val="5E8A7777"/>
    <w:rsid w:val="5E932264"/>
    <w:rsid w:val="5EA1268E"/>
    <w:rsid w:val="5ED20F44"/>
    <w:rsid w:val="5EE7073E"/>
    <w:rsid w:val="5EF67A22"/>
    <w:rsid w:val="5EFB4ED5"/>
    <w:rsid w:val="5F123BC6"/>
    <w:rsid w:val="5F184877"/>
    <w:rsid w:val="5F1A7A37"/>
    <w:rsid w:val="5F2E3F46"/>
    <w:rsid w:val="5F406402"/>
    <w:rsid w:val="5F474C09"/>
    <w:rsid w:val="5F475D4B"/>
    <w:rsid w:val="5F63419E"/>
    <w:rsid w:val="5F736746"/>
    <w:rsid w:val="5F880842"/>
    <w:rsid w:val="5FD95A66"/>
    <w:rsid w:val="5FDF7A00"/>
    <w:rsid w:val="5FE12AC5"/>
    <w:rsid w:val="5FF309C7"/>
    <w:rsid w:val="5FFC4765"/>
    <w:rsid w:val="60046C0F"/>
    <w:rsid w:val="600E4F7F"/>
    <w:rsid w:val="60131685"/>
    <w:rsid w:val="601327BB"/>
    <w:rsid w:val="60245068"/>
    <w:rsid w:val="60255BE3"/>
    <w:rsid w:val="602717FC"/>
    <w:rsid w:val="602A62F8"/>
    <w:rsid w:val="602C01A9"/>
    <w:rsid w:val="603B1B21"/>
    <w:rsid w:val="60504051"/>
    <w:rsid w:val="607F2EF2"/>
    <w:rsid w:val="60842FF2"/>
    <w:rsid w:val="60AF5E00"/>
    <w:rsid w:val="60B54161"/>
    <w:rsid w:val="60D43BFA"/>
    <w:rsid w:val="60E16AB6"/>
    <w:rsid w:val="60E40C2C"/>
    <w:rsid w:val="610D2A7D"/>
    <w:rsid w:val="61111BF1"/>
    <w:rsid w:val="61175A9A"/>
    <w:rsid w:val="612129FE"/>
    <w:rsid w:val="61375BEC"/>
    <w:rsid w:val="614A2305"/>
    <w:rsid w:val="614E4437"/>
    <w:rsid w:val="615F1F60"/>
    <w:rsid w:val="6182631E"/>
    <w:rsid w:val="61BC217C"/>
    <w:rsid w:val="61D9772A"/>
    <w:rsid w:val="61DA1B5D"/>
    <w:rsid w:val="61DB33CF"/>
    <w:rsid w:val="61EF0933"/>
    <w:rsid w:val="61F2327B"/>
    <w:rsid w:val="61F64176"/>
    <w:rsid w:val="61F6471A"/>
    <w:rsid w:val="62413765"/>
    <w:rsid w:val="625A4915"/>
    <w:rsid w:val="625E2011"/>
    <w:rsid w:val="626E5BD1"/>
    <w:rsid w:val="627803DA"/>
    <w:rsid w:val="62921FA4"/>
    <w:rsid w:val="62A06349"/>
    <w:rsid w:val="62BF1D8B"/>
    <w:rsid w:val="62C83DFB"/>
    <w:rsid w:val="62DC2379"/>
    <w:rsid w:val="62EF16C5"/>
    <w:rsid w:val="63077DCD"/>
    <w:rsid w:val="63196725"/>
    <w:rsid w:val="631F3FB6"/>
    <w:rsid w:val="63356B20"/>
    <w:rsid w:val="633B4FC0"/>
    <w:rsid w:val="63647D08"/>
    <w:rsid w:val="63B47AD6"/>
    <w:rsid w:val="63BD1F88"/>
    <w:rsid w:val="63F34E27"/>
    <w:rsid w:val="63FD53D7"/>
    <w:rsid w:val="642E2D6E"/>
    <w:rsid w:val="642F141D"/>
    <w:rsid w:val="6439179D"/>
    <w:rsid w:val="643A7D3D"/>
    <w:rsid w:val="644845EE"/>
    <w:rsid w:val="644C43F2"/>
    <w:rsid w:val="645E071A"/>
    <w:rsid w:val="64611864"/>
    <w:rsid w:val="6465357A"/>
    <w:rsid w:val="64704226"/>
    <w:rsid w:val="647E3F09"/>
    <w:rsid w:val="64870014"/>
    <w:rsid w:val="64B76AA3"/>
    <w:rsid w:val="64C61C82"/>
    <w:rsid w:val="64D124DB"/>
    <w:rsid w:val="65233DA8"/>
    <w:rsid w:val="652A1A84"/>
    <w:rsid w:val="652A5D21"/>
    <w:rsid w:val="65480BBE"/>
    <w:rsid w:val="6554639C"/>
    <w:rsid w:val="65687D20"/>
    <w:rsid w:val="657B264C"/>
    <w:rsid w:val="65933B3C"/>
    <w:rsid w:val="65B955CA"/>
    <w:rsid w:val="65BE6C54"/>
    <w:rsid w:val="65CC3546"/>
    <w:rsid w:val="65CE71FF"/>
    <w:rsid w:val="65EE73B7"/>
    <w:rsid w:val="661A0E12"/>
    <w:rsid w:val="66214D7C"/>
    <w:rsid w:val="6624580B"/>
    <w:rsid w:val="66356B67"/>
    <w:rsid w:val="667B6C3F"/>
    <w:rsid w:val="66933BD2"/>
    <w:rsid w:val="66B40E42"/>
    <w:rsid w:val="66B56D61"/>
    <w:rsid w:val="66B56D68"/>
    <w:rsid w:val="66E9392A"/>
    <w:rsid w:val="66EA1480"/>
    <w:rsid w:val="67056631"/>
    <w:rsid w:val="6745249B"/>
    <w:rsid w:val="674672D3"/>
    <w:rsid w:val="676E6425"/>
    <w:rsid w:val="67770DB9"/>
    <w:rsid w:val="67776ADD"/>
    <w:rsid w:val="6779797F"/>
    <w:rsid w:val="6789047F"/>
    <w:rsid w:val="67A720F6"/>
    <w:rsid w:val="67AC1398"/>
    <w:rsid w:val="67E7540E"/>
    <w:rsid w:val="67EA1736"/>
    <w:rsid w:val="67FC02AC"/>
    <w:rsid w:val="68006207"/>
    <w:rsid w:val="68070E08"/>
    <w:rsid w:val="682D2C3F"/>
    <w:rsid w:val="682D432C"/>
    <w:rsid w:val="68382592"/>
    <w:rsid w:val="684A32DA"/>
    <w:rsid w:val="68524FFC"/>
    <w:rsid w:val="68784674"/>
    <w:rsid w:val="687C00C8"/>
    <w:rsid w:val="687C4042"/>
    <w:rsid w:val="68A742AD"/>
    <w:rsid w:val="68B87F12"/>
    <w:rsid w:val="68C25CFA"/>
    <w:rsid w:val="68C731B8"/>
    <w:rsid w:val="68D536DE"/>
    <w:rsid w:val="69044A5D"/>
    <w:rsid w:val="691052CA"/>
    <w:rsid w:val="69194464"/>
    <w:rsid w:val="691D05F7"/>
    <w:rsid w:val="69312B59"/>
    <w:rsid w:val="69446209"/>
    <w:rsid w:val="69726337"/>
    <w:rsid w:val="698B1B24"/>
    <w:rsid w:val="6994580C"/>
    <w:rsid w:val="69B75241"/>
    <w:rsid w:val="69BB0755"/>
    <w:rsid w:val="69FB0A5B"/>
    <w:rsid w:val="6A115C81"/>
    <w:rsid w:val="6A22015C"/>
    <w:rsid w:val="6A7A60F7"/>
    <w:rsid w:val="6A7E417E"/>
    <w:rsid w:val="6AAC2E76"/>
    <w:rsid w:val="6AD73CE6"/>
    <w:rsid w:val="6AEE1969"/>
    <w:rsid w:val="6B0A125F"/>
    <w:rsid w:val="6B23484A"/>
    <w:rsid w:val="6B30457A"/>
    <w:rsid w:val="6B3B1CB3"/>
    <w:rsid w:val="6B43702A"/>
    <w:rsid w:val="6B524C27"/>
    <w:rsid w:val="6B5A1EC9"/>
    <w:rsid w:val="6B7308B4"/>
    <w:rsid w:val="6B744505"/>
    <w:rsid w:val="6B7B26EC"/>
    <w:rsid w:val="6B990784"/>
    <w:rsid w:val="6BA2498F"/>
    <w:rsid w:val="6BB93C93"/>
    <w:rsid w:val="6BBC51E6"/>
    <w:rsid w:val="6BBF609A"/>
    <w:rsid w:val="6BCA0F7D"/>
    <w:rsid w:val="6BDE4DDD"/>
    <w:rsid w:val="6BE07242"/>
    <w:rsid w:val="6BE82C3E"/>
    <w:rsid w:val="6BE972DB"/>
    <w:rsid w:val="6BFE0452"/>
    <w:rsid w:val="6C0F2440"/>
    <w:rsid w:val="6C176418"/>
    <w:rsid w:val="6C392A9F"/>
    <w:rsid w:val="6C452784"/>
    <w:rsid w:val="6C4D097B"/>
    <w:rsid w:val="6C531367"/>
    <w:rsid w:val="6C5973BD"/>
    <w:rsid w:val="6C5F452A"/>
    <w:rsid w:val="6C762792"/>
    <w:rsid w:val="6C7D1213"/>
    <w:rsid w:val="6C801375"/>
    <w:rsid w:val="6C822E35"/>
    <w:rsid w:val="6CA714E6"/>
    <w:rsid w:val="6CEF6EBD"/>
    <w:rsid w:val="6CF01C95"/>
    <w:rsid w:val="6CF542B7"/>
    <w:rsid w:val="6CFA3A07"/>
    <w:rsid w:val="6D0071CD"/>
    <w:rsid w:val="6D18295E"/>
    <w:rsid w:val="6D1A13F6"/>
    <w:rsid w:val="6D1F12FA"/>
    <w:rsid w:val="6D206AE2"/>
    <w:rsid w:val="6D5941BB"/>
    <w:rsid w:val="6D5B0CBD"/>
    <w:rsid w:val="6D73256C"/>
    <w:rsid w:val="6D8A08D8"/>
    <w:rsid w:val="6D961017"/>
    <w:rsid w:val="6DCE3EDB"/>
    <w:rsid w:val="6DD23F1E"/>
    <w:rsid w:val="6DDB4275"/>
    <w:rsid w:val="6DEE2081"/>
    <w:rsid w:val="6E0135EB"/>
    <w:rsid w:val="6E210E7D"/>
    <w:rsid w:val="6E336938"/>
    <w:rsid w:val="6E360304"/>
    <w:rsid w:val="6E4C0EF4"/>
    <w:rsid w:val="6E565A56"/>
    <w:rsid w:val="6E5C1E9E"/>
    <w:rsid w:val="6E5D68D3"/>
    <w:rsid w:val="6E682450"/>
    <w:rsid w:val="6E7251F0"/>
    <w:rsid w:val="6E757524"/>
    <w:rsid w:val="6E7934F3"/>
    <w:rsid w:val="6E9C5623"/>
    <w:rsid w:val="6E9E05A5"/>
    <w:rsid w:val="6EAD6286"/>
    <w:rsid w:val="6EB24C59"/>
    <w:rsid w:val="6EBD3CCD"/>
    <w:rsid w:val="6EC9468F"/>
    <w:rsid w:val="6ECD60E1"/>
    <w:rsid w:val="6EDB6C60"/>
    <w:rsid w:val="6F2428C0"/>
    <w:rsid w:val="6F433285"/>
    <w:rsid w:val="6F591B5D"/>
    <w:rsid w:val="6F7E65DB"/>
    <w:rsid w:val="6F7F6D3A"/>
    <w:rsid w:val="6F981073"/>
    <w:rsid w:val="6FA172A4"/>
    <w:rsid w:val="6FF72D78"/>
    <w:rsid w:val="6FFF65EB"/>
    <w:rsid w:val="702D3A00"/>
    <w:rsid w:val="70341230"/>
    <w:rsid w:val="70342FAD"/>
    <w:rsid w:val="7034472B"/>
    <w:rsid w:val="705A14E5"/>
    <w:rsid w:val="705A4D1B"/>
    <w:rsid w:val="705F37D3"/>
    <w:rsid w:val="708B108A"/>
    <w:rsid w:val="709143C4"/>
    <w:rsid w:val="70930271"/>
    <w:rsid w:val="70DB5146"/>
    <w:rsid w:val="70E51B6F"/>
    <w:rsid w:val="70FA4092"/>
    <w:rsid w:val="70FC3C7A"/>
    <w:rsid w:val="71075B1A"/>
    <w:rsid w:val="710E7F44"/>
    <w:rsid w:val="71193089"/>
    <w:rsid w:val="71211292"/>
    <w:rsid w:val="71243B68"/>
    <w:rsid w:val="712776C4"/>
    <w:rsid w:val="714344B4"/>
    <w:rsid w:val="71654226"/>
    <w:rsid w:val="7181738B"/>
    <w:rsid w:val="71820038"/>
    <w:rsid w:val="718B1478"/>
    <w:rsid w:val="71990145"/>
    <w:rsid w:val="719E164B"/>
    <w:rsid w:val="71C90ED8"/>
    <w:rsid w:val="71D72430"/>
    <w:rsid w:val="71E12038"/>
    <w:rsid w:val="720A6753"/>
    <w:rsid w:val="720F4AFB"/>
    <w:rsid w:val="72112B83"/>
    <w:rsid w:val="72143F3C"/>
    <w:rsid w:val="721F61D9"/>
    <w:rsid w:val="723D42BE"/>
    <w:rsid w:val="72412901"/>
    <w:rsid w:val="72553DBC"/>
    <w:rsid w:val="72887B37"/>
    <w:rsid w:val="72910320"/>
    <w:rsid w:val="72A53302"/>
    <w:rsid w:val="72B3410C"/>
    <w:rsid w:val="72BD6DA9"/>
    <w:rsid w:val="72CB01B8"/>
    <w:rsid w:val="72D95B00"/>
    <w:rsid w:val="72F66709"/>
    <w:rsid w:val="730554B3"/>
    <w:rsid w:val="73092FAA"/>
    <w:rsid w:val="732C3102"/>
    <w:rsid w:val="73413694"/>
    <w:rsid w:val="734608F5"/>
    <w:rsid w:val="736D4BAC"/>
    <w:rsid w:val="736F1AFC"/>
    <w:rsid w:val="739B5B15"/>
    <w:rsid w:val="73B36872"/>
    <w:rsid w:val="73BA58B5"/>
    <w:rsid w:val="73CA3FB8"/>
    <w:rsid w:val="73E63732"/>
    <w:rsid w:val="73EC345F"/>
    <w:rsid w:val="73FD1118"/>
    <w:rsid w:val="74090510"/>
    <w:rsid w:val="740E2D2D"/>
    <w:rsid w:val="7410282D"/>
    <w:rsid w:val="741752A2"/>
    <w:rsid w:val="74223A5C"/>
    <w:rsid w:val="746B6757"/>
    <w:rsid w:val="74780C44"/>
    <w:rsid w:val="7479294A"/>
    <w:rsid w:val="747B5C9D"/>
    <w:rsid w:val="747F1177"/>
    <w:rsid w:val="748028C0"/>
    <w:rsid w:val="74A471EE"/>
    <w:rsid w:val="74C111AB"/>
    <w:rsid w:val="74C768EE"/>
    <w:rsid w:val="74CA493F"/>
    <w:rsid w:val="74E97F38"/>
    <w:rsid w:val="74F13E40"/>
    <w:rsid w:val="750B1697"/>
    <w:rsid w:val="752A3F7B"/>
    <w:rsid w:val="7533655A"/>
    <w:rsid w:val="75444F15"/>
    <w:rsid w:val="75485488"/>
    <w:rsid w:val="75733C39"/>
    <w:rsid w:val="758516A2"/>
    <w:rsid w:val="759A2104"/>
    <w:rsid w:val="75B35E00"/>
    <w:rsid w:val="75CD1343"/>
    <w:rsid w:val="75EB2F64"/>
    <w:rsid w:val="761D1573"/>
    <w:rsid w:val="765B6CE9"/>
    <w:rsid w:val="765D3DA8"/>
    <w:rsid w:val="766740C2"/>
    <w:rsid w:val="766852F0"/>
    <w:rsid w:val="766A6521"/>
    <w:rsid w:val="766C7968"/>
    <w:rsid w:val="766E7DAC"/>
    <w:rsid w:val="76936F16"/>
    <w:rsid w:val="76993FC0"/>
    <w:rsid w:val="76A64EB2"/>
    <w:rsid w:val="76BC1014"/>
    <w:rsid w:val="77025DC3"/>
    <w:rsid w:val="772354E1"/>
    <w:rsid w:val="77276E30"/>
    <w:rsid w:val="772C68C6"/>
    <w:rsid w:val="776C53FF"/>
    <w:rsid w:val="776E3681"/>
    <w:rsid w:val="777E5705"/>
    <w:rsid w:val="7781654E"/>
    <w:rsid w:val="779231D8"/>
    <w:rsid w:val="77A618BC"/>
    <w:rsid w:val="77B92312"/>
    <w:rsid w:val="7827423F"/>
    <w:rsid w:val="78386307"/>
    <w:rsid w:val="78493B6B"/>
    <w:rsid w:val="7850391E"/>
    <w:rsid w:val="78597E32"/>
    <w:rsid w:val="78703EBE"/>
    <w:rsid w:val="78805A36"/>
    <w:rsid w:val="78830880"/>
    <w:rsid w:val="78A51D8F"/>
    <w:rsid w:val="78AE0946"/>
    <w:rsid w:val="78D1727E"/>
    <w:rsid w:val="78D17516"/>
    <w:rsid w:val="78D96E40"/>
    <w:rsid w:val="7911644D"/>
    <w:rsid w:val="792078D7"/>
    <w:rsid w:val="79331EC1"/>
    <w:rsid w:val="79404911"/>
    <w:rsid w:val="794D0D3C"/>
    <w:rsid w:val="7986601A"/>
    <w:rsid w:val="7993616D"/>
    <w:rsid w:val="799D69BF"/>
    <w:rsid w:val="79AE14B2"/>
    <w:rsid w:val="79B1687C"/>
    <w:rsid w:val="79B22738"/>
    <w:rsid w:val="79CE4B72"/>
    <w:rsid w:val="79FE0269"/>
    <w:rsid w:val="7A055366"/>
    <w:rsid w:val="7A292C38"/>
    <w:rsid w:val="7A49541C"/>
    <w:rsid w:val="7A5F22B4"/>
    <w:rsid w:val="7A680094"/>
    <w:rsid w:val="7A7508D5"/>
    <w:rsid w:val="7A80455C"/>
    <w:rsid w:val="7A81102C"/>
    <w:rsid w:val="7AA37ECA"/>
    <w:rsid w:val="7AB16073"/>
    <w:rsid w:val="7ABB5514"/>
    <w:rsid w:val="7AC2458A"/>
    <w:rsid w:val="7ADE3222"/>
    <w:rsid w:val="7AF04DB0"/>
    <w:rsid w:val="7B0D28AD"/>
    <w:rsid w:val="7B133363"/>
    <w:rsid w:val="7B1C1737"/>
    <w:rsid w:val="7B2F5379"/>
    <w:rsid w:val="7B322761"/>
    <w:rsid w:val="7B3C2640"/>
    <w:rsid w:val="7B4443D1"/>
    <w:rsid w:val="7BB151FD"/>
    <w:rsid w:val="7BB43296"/>
    <w:rsid w:val="7BDE6C84"/>
    <w:rsid w:val="7BE07A81"/>
    <w:rsid w:val="7BE81B8B"/>
    <w:rsid w:val="7BE97D38"/>
    <w:rsid w:val="7C272B3E"/>
    <w:rsid w:val="7C471D4F"/>
    <w:rsid w:val="7C5A71C2"/>
    <w:rsid w:val="7C7A6596"/>
    <w:rsid w:val="7CA76A22"/>
    <w:rsid w:val="7CB167D6"/>
    <w:rsid w:val="7CCC4E54"/>
    <w:rsid w:val="7CEB2ACD"/>
    <w:rsid w:val="7CEF6F65"/>
    <w:rsid w:val="7CF41D8D"/>
    <w:rsid w:val="7D2745EF"/>
    <w:rsid w:val="7D2D2CA0"/>
    <w:rsid w:val="7D5C29E8"/>
    <w:rsid w:val="7D7A7BC6"/>
    <w:rsid w:val="7D995EB0"/>
    <w:rsid w:val="7DBB08B6"/>
    <w:rsid w:val="7DBC7173"/>
    <w:rsid w:val="7DD90B59"/>
    <w:rsid w:val="7DEF15A6"/>
    <w:rsid w:val="7DFC511B"/>
    <w:rsid w:val="7E0565F6"/>
    <w:rsid w:val="7E221AFC"/>
    <w:rsid w:val="7E2A514E"/>
    <w:rsid w:val="7E2C4E20"/>
    <w:rsid w:val="7E2D20BE"/>
    <w:rsid w:val="7E4306A6"/>
    <w:rsid w:val="7E5733E1"/>
    <w:rsid w:val="7E660C33"/>
    <w:rsid w:val="7E6637F7"/>
    <w:rsid w:val="7E707801"/>
    <w:rsid w:val="7E733B66"/>
    <w:rsid w:val="7E8A121F"/>
    <w:rsid w:val="7EA36680"/>
    <w:rsid w:val="7EC12AAE"/>
    <w:rsid w:val="7EC52141"/>
    <w:rsid w:val="7EC73D34"/>
    <w:rsid w:val="7ED12FEE"/>
    <w:rsid w:val="7EFD03F7"/>
    <w:rsid w:val="7F1648D6"/>
    <w:rsid w:val="7F21639D"/>
    <w:rsid w:val="7F23784E"/>
    <w:rsid w:val="7F442E56"/>
    <w:rsid w:val="7F457080"/>
    <w:rsid w:val="7F486BDC"/>
    <w:rsid w:val="7F4C71A0"/>
    <w:rsid w:val="7F5124CE"/>
    <w:rsid w:val="7F5653E5"/>
    <w:rsid w:val="7F6347A3"/>
    <w:rsid w:val="7F7B4335"/>
    <w:rsid w:val="7F8805ED"/>
    <w:rsid w:val="7FB745D2"/>
    <w:rsid w:val="7FC4182D"/>
    <w:rsid w:val="7FC459AC"/>
    <w:rsid w:val="7FD55C75"/>
    <w:rsid w:val="7FF37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6" w:lineRule="auto"/>
      <w:outlineLvl w:val="0"/>
    </w:pPr>
    <w:rPr>
      <w:bCs/>
      <w:kern w:val="44"/>
      <w:sz w:val="30"/>
      <w:szCs w:val="44"/>
    </w:rPr>
  </w:style>
  <w:style w:type="paragraph" w:styleId="3">
    <w:name w:val="heading 2"/>
    <w:basedOn w:val="1"/>
    <w:next w:val="1"/>
    <w:link w:val="43"/>
    <w:qFormat/>
    <w:uiPriority w:val="0"/>
    <w:pPr>
      <w:keepNext/>
      <w:keepLines/>
      <w:spacing w:before="260" w:after="260" w:line="415" w:lineRule="auto"/>
      <w:outlineLvl w:val="1"/>
    </w:pPr>
    <w:rPr>
      <w:rFonts w:ascii="Arial" w:hAnsi="Arial"/>
      <w:bCs/>
      <w:sz w:val="28"/>
      <w:szCs w:val="32"/>
    </w:rPr>
  </w:style>
  <w:style w:type="paragraph" w:styleId="4">
    <w:name w:val="heading 3"/>
    <w:basedOn w:val="1"/>
    <w:next w:val="1"/>
    <w:link w:val="46"/>
    <w:qFormat/>
    <w:uiPriority w:val="0"/>
    <w:pPr>
      <w:keepNext/>
      <w:keepLines/>
      <w:spacing w:before="260" w:after="260" w:line="416" w:lineRule="auto"/>
      <w:outlineLvl w:val="2"/>
    </w:pPr>
    <w:rPr>
      <w:bCs/>
      <w:sz w:val="24"/>
      <w:szCs w:val="32"/>
    </w:rPr>
  </w:style>
  <w:style w:type="character" w:default="1" w:styleId="27">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ind w:left="1260"/>
      <w:jc w:val="left"/>
    </w:pPr>
    <w:rPr>
      <w:sz w:val="18"/>
      <w:szCs w:val="18"/>
    </w:rPr>
  </w:style>
  <w:style w:type="paragraph" w:styleId="6">
    <w:name w:val="Document Map"/>
    <w:basedOn w:val="1"/>
    <w:qFormat/>
    <w:uiPriority w:val="0"/>
    <w:rPr>
      <w:rFonts w:ascii="宋体"/>
      <w:sz w:val="18"/>
      <w:szCs w:val="18"/>
    </w:rPr>
  </w:style>
  <w:style w:type="paragraph" w:styleId="7">
    <w:name w:val="Body Text Indent"/>
    <w:basedOn w:val="1"/>
    <w:qFormat/>
    <w:uiPriority w:val="0"/>
    <w:pPr>
      <w:autoSpaceDE w:val="0"/>
      <w:autoSpaceDN w:val="0"/>
      <w:adjustRightInd w:val="0"/>
      <w:ind w:firstLine="420" w:firstLineChars="200"/>
      <w:jc w:val="left"/>
    </w:pPr>
    <w:rPr>
      <w:rFonts w:ascii="宋体"/>
      <w:kern w:val="0"/>
      <w:szCs w:val="20"/>
      <w:lang w:val="zh-CN"/>
    </w:rPr>
  </w:style>
  <w:style w:type="paragraph" w:styleId="8">
    <w:name w:val="toc 5"/>
    <w:basedOn w:val="1"/>
    <w:next w:val="1"/>
    <w:semiHidden/>
    <w:qFormat/>
    <w:uiPriority w:val="0"/>
    <w:pPr>
      <w:ind w:left="840"/>
      <w:jc w:val="left"/>
    </w:pPr>
    <w:rPr>
      <w:sz w:val="18"/>
      <w:szCs w:val="18"/>
    </w:rPr>
  </w:style>
  <w:style w:type="paragraph" w:styleId="9">
    <w:name w:val="toc 3"/>
    <w:basedOn w:val="1"/>
    <w:next w:val="1"/>
    <w:semiHidden/>
    <w:qFormat/>
    <w:uiPriority w:val="0"/>
    <w:pPr>
      <w:ind w:left="840" w:leftChars="400"/>
    </w:pPr>
  </w:style>
  <w:style w:type="paragraph" w:styleId="10">
    <w:name w:val="toc 8"/>
    <w:basedOn w:val="1"/>
    <w:next w:val="1"/>
    <w:semiHidden/>
    <w:qFormat/>
    <w:uiPriority w:val="0"/>
    <w:pPr>
      <w:ind w:left="1470"/>
      <w:jc w:val="left"/>
    </w:pPr>
    <w:rPr>
      <w:sz w:val="18"/>
      <w:szCs w:val="18"/>
    </w:rPr>
  </w:style>
  <w:style w:type="paragraph" w:styleId="11">
    <w:name w:val="Date"/>
    <w:basedOn w:val="1"/>
    <w:next w:val="1"/>
    <w:qFormat/>
    <w:uiPriority w:val="0"/>
    <w:pPr>
      <w:ind w:left="100" w:leftChars="2500"/>
    </w:pPr>
    <w:rPr>
      <w:rFonts w:ascii="宋体"/>
      <w:kern w:val="0"/>
      <w:sz w:val="20"/>
      <w:szCs w:val="20"/>
      <w:lang w:val="zh-CN"/>
    </w:rPr>
  </w:style>
  <w:style w:type="paragraph" w:styleId="12">
    <w:name w:val="Body Text Indent 2"/>
    <w:basedOn w:val="1"/>
    <w:qFormat/>
    <w:uiPriority w:val="0"/>
    <w:pPr>
      <w:tabs>
        <w:tab w:val="left" w:pos="2520"/>
      </w:tabs>
      <w:ind w:firstLine="435"/>
    </w:pPr>
  </w:style>
  <w:style w:type="paragraph" w:styleId="13">
    <w:name w:val="Balloon Text"/>
    <w:basedOn w:val="1"/>
    <w:link w:val="407"/>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9170"/>
      </w:tabs>
      <w:spacing w:before="120" w:after="120"/>
      <w:jc w:val="left"/>
    </w:pPr>
    <w:rPr>
      <w:rFonts w:ascii="宋体" w:hAnsi="宋体"/>
      <w:b/>
      <w:bCs/>
      <w:caps/>
      <w:color w:val="000080"/>
      <w:sz w:val="20"/>
      <w:szCs w:val="20"/>
    </w:rPr>
  </w:style>
  <w:style w:type="paragraph" w:styleId="17">
    <w:name w:val="toc 4"/>
    <w:basedOn w:val="1"/>
    <w:next w:val="1"/>
    <w:semiHidden/>
    <w:qFormat/>
    <w:uiPriority w:val="0"/>
    <w:pPr>
      <w:ind w:left="630"/>
      <w:jc w:val="left"/>
    </w:pPr>
    <w:rPr>
      <w:sz w:val="18"/>
      <w:szCs w:val="18"/>
    </w:rPr>
  </w:style>
  <w:style w:type="paragraph" w:styleId="18">
    <w:name w:val="toc 6"/>
    <w:basedOn w:val="1"/>
    <w:next w:val="1"/>
    <w:semiHidden/>
    <w:qFormat/>
    <w:uiPriority w:val="0"/>
    <w:pPr>
      <w:ind w:left="1050"/>
      <w:jc w:val="left"/>
    </w:pPr>
    <w:rPr>
      <w:sz w:val="18"/>
      <w:szCs w:val="18"/>
    </w:rPr>
  </w:style>
  <w:style w:type="paragraph" w:styleId="19">
    <w:name w:val="Body Text Indent 3"/>
    <w:basedOn w:val="1"/>
    <w:qFormat/>
    <w:uiPriority w:val="0"/>
    <w:pPr>
      <w:autoSpaceDE w:val="0"/>
      <w:autoSpaceDN w:val="0"/>
      <w:adjustRightInd w:val="0"/>
      <w:spacing w:line="360" w:lineRule="auto"/>
      <w:ind w:firstLine="630" w:firstLineChars="300"/>
      <w:jc w:val="left"/>
    </w:pPr>
    <w:rPr>
      <w:color w:val="000000"/>
      <w:kern w:val="0"/>
      <w:szCs w:val="21"/>
    </w:rPr>
  </w:style>
  <w:style w:type="paragraph" w:styleId="20">
    <w:name w:val="toc 2"/>
    <w:basedOn w:val="1"/>
    <w:next w:val="1"/>
    <w:qFormat/>
    <w:uiPriority w:val="39"/>
    <w:pPr>
      <w:tabs>
        <w:tab w:val="right" w:leader="dot" w:pos="9170"/>
      </w:tabs>
      <w:spacing w:line="360" w:lineRule="auto"/>
      <w:ind w:left="210"/>
      <w:jc w:val="left"/>
    </w:pPr>
    <w:rPr>
      <w:smallCaps/>
      <w:color w:val="FF0000"/>
      <w:sz w:val="20"/>
      <w:szCs w:val="20"/>
    </w:rPr>
  </w:style>
  <w:style w:type="paragraph" w:styleId="21">
    <w:name w:val="toc 9"/>
    <w:basedOn w:val="1"/>
    <w:next w:val="1"/>
    <w:semiHidden/>
    <w:qFormat/>
    <w:uiPriority w:val="0"/>
    <w:pPr>
      <w:ind w:left="1680"/>
      <w:jc w:val="left"/>
    </w:pPr>
    <w:rPr>
      <w:sz w:val="18"/>
      <w:szCs w:val="18"/>
    </w:rPr>
  </w:style>
  <w:style w:type="paragraph" w:styleId="2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styleId="23">
    <w:name w:val="Normal (Web)"/>
    <w:basedOn w:val="1"/>
    <w:link w:val="50"/>
    <w:qFormat/>
    <w:uiPriority w:val="99"/>
    <w:pPr>
      <w:widowControl/>
      <w:spacing w:before="100" w:beforeAutospacing="1" w:after="100" w:afterAutospacing="1"/>
      <w:jc w:val="left"/>
    </w:pPr>
    <w:rPr>
      <w:rFonts w:ascii="宋体" w:hAnsi="宋体" w:cs="宋体"/>
      <w:kern w:val="0"/>
      <w:sz w:val="24"/>
    </w:rPr>
  </w:style>
  <w:style w:type="table" w:styleId="25">
    <w:name w:val="Table Grid"/>
    <w:basedOn w:val="2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26">
    <w:name w:val="Table Theme"/>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22"/>
    <w:rPr>
      <w:b/>
      <w:bCs/>
    </w:rPr>
  </w:style>
  <w:style w:type="character" w:styleId="29">
    <w:name w:val="page number"/>
    <w:basedOn w:val="27"/>
    <w:qFormat/>
    <w:uiPriority w:val="0"/>
  </w:style>
  <w:style w:type="character" w:styleId="30">
    <w:name w:val="FollowedHyperlink"/>
    <w:qFormat/>
    <w:uiPriority w:val="99"/>
    <w:rPr>
      <w:color w:val="800080"/>
      <w:u w:val="single"/>
    </w:rPr>
  </w:style>
  <w:style w:type="character" w:styleId="31">
    <w:name w:val="Hyperlink"/>
    <w:qFormat/>
    <w:uiPriority w:val="99"/>
    <w:rPr>
      <w:color w:val="0000FF"/>
      <w:u w:val="single"/>
    </w:rPr>
  </w:style>
  <w:style w:type="character" w:customStyle="1" w:styleId="32">
    <w:name w:val="font31"/>
    <w:qFormat/>
    <w:uiPriority w:val="0"/>
    <w:rPr>
      <w:rFonts w:hint="eastAsia" w:ascii="宋体" w:hAnsi="宋体" w:eastAsia="宋体" w:cs="宋体"/>
      <w:color w:val="000000"/>
      <w:sz w:val="20"/>
      <w:szCs w:val="20"/>
      <w:u w:val="none"/>
    </w:rPr>
  </w:style>
  <w:style w:type="character" w:customStyle="1" w:styleId="33">
    <w:name w:val="font41"/>
    <w:qFormat/>
    <w:uiPriority w:val="0"/>
    <w:rPr>
      <w:rFonts w:ascii="MS Gothic" w:hAnsi="MS Gothic" w:eastAsia="MS Gothic" w:cs="MS Gothic"/>
      <w:color w:val="000000"/>
      <w:sz w:val="20"/>
      <w:szCs w:val="20"/>
      <w:u w:val="none"/>
    </w:rPr>
  </w:style>
  <w:style w:type="character" w:customStyle="1" w:styleId="34">
    <w:name w:val="普通 (Web) Char Char1"/>
    <w:qFormat/>
    <w:locked/>
    <w:uiPriority w:val="0"/>
    <w:rPr>
      <w:rFonts w:ascii="宋体" w:hAnsi="宋体" w:eastAsia="宋体" w:cs="宋体"/>
      <w:sz w:val="24"/>
      <w:szCs w:val="24"/>
      <w:lang w:val="en-US" w:eastAsia="zh-CN" w:bidi="ar-SA"/>
    </w:rPr>
  </w:style>
  <w:style w:type="character" w:customStyle="1" w:styleId="35">
    <w:name w:val="f41"/>
    <w:qFormat/>
    <w:uiPriority w:val="0"/>
    <w:rPr>
      <w:rFonts w:hint="eastAsia" w:ascii="宋体" w:hAnsi="宋体" w:eastAsia="宋体"/>
      <w:sz w:val="18"/>
      <w:szCs w:val="18"/>
    </w:rPr>
  </w:style>
  <w:style w:type="character" w:customStyle="1" w:styleId="36">
    <w:name w:val="f21"/>
    <w:qFormat/>
    <w:uiPriority w:val="0"/>
    <w:rPr>
      <w:rFonts w:hint="eastAsia" w:ascii="宋体" w:hAnsi="宋体" w:eastAsia="宋体"/>
      <w:sz w:val="21"/>
      <w:szCs w:val="21"/>
    </w:rPr>
  </w:style>
  <w:style w:type="character" w:customStyle="1" w:styleId="37">
    <w:name w:val="showtext"/>
    <w:basedOn w:val="27"/>
    <w:qFormat/>
    <w:uiPriority w:val="0"/>
  </w:style>
  <w:style w:type="character" w:customStyle="1" w:styleId="38">
    <w:name w:val="标题 2 Char"/>
    <w:qFormat/>
    <w:uiPriority w:val="0"/>
    <w:rPr>
      <w:rFonts w:ascii="Arial" w:hAnsi="Arial" w:eastAsia="黑体"/>
      <w:b/>
      <w:bCs/>
      <w:kern w:val="2"/>
      <w:sz w:val="32"/>
      <w:szCs w:val="32"/>
      <w:lang w:val="en-US" w:eastAsia="zh-CN" w:bidi="ar-SA"/>
    </w:rPr>
  </w:style>
  <w:style w:type="character" w:customStyle="1" w:styleId="39">
    <w:name w:val="f31"/>
    <w:qFormat/>
    <w:uiPriority w:val="0"/>
    <w:rPr>
      <w:rFonts w:hint="default" w:ascii="ˎ̥" w:hAnsi="ˎ̥"/>
      <w:color w:val="999999"/>
      <w:sz w:val="16"/>
      <w:szCs w:val="16"/>
    </w:rPr>
  </w:style>
  <w:style w:type="character" w:customStyle="1" w:styleId="40">
    <w:name w:val="style171"/>
    <w:qFormat/>
    <w:uiPriority w:val="0"/>
    <w:rPr>
      <w:sz w:val="21"/>
      <w:szCs w:val="21"/>
    </w:rPr>
  </w:style>
  <w:style w:type="character" w:customStyle="1" w:styleId="41">
    <w:name w:val="标题 3 Char1"/>
    <w:qFormat/>
    <w:uiPriority w:val="0"/>
    <w:rPr>
      <w:rFonts w:eastAsia="宋体"/>
      <w:b/>
      <w:bCs/>
      <w:kern w:val="2"/>
      <w:sz w:val="32"/>
      <w:szCs w:val="32"/>
      <w:lang w:val="en-US" w:eastAsia="zh-CN" w:bidi="ar-SA"/>
    </w:rPr>
  </w:style>
  <w:style w:type="character" w:customStyle="1" w:styleId="42">
    <w:name w:val="普通 (Web) Char Char"/>
    <w:qFormat/>
    <w:locked/>
    <w:uiPriority w:val="0"/>
    <w:rPr>
      <w:rFonts w:ascii="宋体" w:hAnsi="宋体" w:eastAsia="宋体" w:cs="宋体"/>
      <w:sz w:val="24"/>
      <w:szCs w:val="24"/>
      <w:lang w:val="en-US" w:eastAsia="zh-CN" w:bidi="ar-SA"/>
    </w:rPr>
  </w:style>
  <w:style w:type="character" w:customStyle="1" w:styleId="43">
    <w:name w:val="标题 2 Char1"/>
    <w:link w:val="3"/>
    <w:qFormat/>
    <w:uiPriority w:val="0"/>
    <w:rPr>
      <w:rFonts w:ascii="Arial" w:hAnsi="Arial" w:eastAsia="宋体"/>
      <w:bCs/>
      <w:kern w:val="2"/>
      <w:sz w:val="28"/>
      <w:szCs w:val="32"/>
      <w:lang w:val="en-US" w:eastAsia="zh-CN" w:bidi="ar-SA"/>
    </w:rPr>
  </w:style>
  <w:style w:type="character" w:customStyle="1" w:styleId="44">
    <w:name w:val="style161"/>
    <w:qFormat/>
    <w:uiPriority w:val="0"/>
    <w:rPr>
      <w:sz w:val="24"/>
      <w:szCs w:val="24"/>
    </w:rPr>
  </w:style>
  <w:style w:type="character" w:customStyle="1" w:styleId="45">
    <w:name w:val="标题 3 Char"/>
    <w:qFormat/>
    <w:uiPriority w:val="0"/>
    <w:rPr>
      <w:rFonts w:eastAsia="宋体"/>
      <w:b/>
      <w:bCs/>
      <w:kern w:val="2"/>
      <w:sz w:val="32"/>
      <w:szCs w:val="32"/>
      <w:lang w:val="en-US" w:eastAsia="zh-CN" w:bidi="ar-SA"/>
    </w:rPr>
  </w:style>
  <w:style w:type="character" w:customStyle="1" w:styleId="46">
    <w:name w:val="标题 3 Char2"/>
    <w:link w:val="4"/>
    <w:qFormat/>
    <w:uiPriority w:val="0"/>
    <w:rPr>
      <w:rFonts w:eastAsia="宋体"/>
      <w:bCs/>
      <w:kern w:val="2"/>
      <w:sz w:val="24"/>
      <w:szCs w:val="32"/>
      <w:lang w:val="en-US" w:eastAsia="zh-CN" w:bidi="ar-SA"/>
    </w:rPr>
  </w:style>
  <w:style w:type="character" w:customStyle="1" w:styleId="47">
    <w:name w:val="Heading 1 Char"/>
    <w:qFormat/>
    <w:locked/>
    <w:uiPriority w:val="0"/>
    <w:rPr>
      <w:rFonts w:ascii="Calibri" w:hAnsi="Calibri" w:eastAsia="宋体"/>
      <w:b/>
      <w:bCs/>
      <w:kern w:val="44"/>
      <w:sz w:val="44"/>
      <w:szCs w:val="44"/>
      <w:lang w:val="en-US" w:eastAsia="zh-CN" w:bidi="ar-SA"/>
    </w:rPr>
  </w:style>
  <w:style w:type="character" w:customStyle="1" w:styleId="48">
    <w:name w:val="apple-converted-space"/>
    <w:basedOn w:val="27"/>
    <w:qFormat/>
    <w:uiPriority w:val="0"/>
  </w:style>
  <w:style w:type="character" w:customStyle="1" w:styleId="49">
    <w:name w:val="标题 1 Char"/>
    <w:link w:val="2"/>
    <w:qFormat/>
    <w:uiPriority w:val="0"/>
    <w:rPr>
      <w:bCs/>
      <w:kern w:val="44"/>
      <w:sz w:val="30"/>
      <w:szCs w:val="44"/>
    </w:rPr>
  </w:style>
  <w:style w:type="character" w:customStyle="1" w:styleId="50">
    <w:name w:val="普通(网站) Char"/>
    <w:link w:val="23"/>
    <w:qFormat/>
    <w:locked/>
    <w:uiPriority w:val="0"/>
    <w:rPr>
      <w:rFonts w:ascii="宋体" w:hAnsi="宋体" w:eastAsia="宋体" w:cs="宋体"/>
      <w:sz w:val="24"/>
      <w:szCs w:val="24"/>
      <w:lang w:val="en-US" w:eastAsia="zh-CN" w:bidi="ar-SA"/>
    </w:rPr>
  </w:style>
  <w:style w:type="paragraph" w:customStyle="1" w:styleId="51">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2">
    <w:name w:val="TOC Heading"/>
    <w:basedOn w:val="2"/>
    <w:next w:val="1"/>
    <w:qFormat/>
    <w:uiPriority w:val="39"/>
    <w:pPr>
      <w:widowControl/>
      <w:spacing w:before="480" w:after="0" w:line="276" w:lineRule="auto"/>
      <w:jc w:val="left"/>
      <w:outlineLvl w:val="9"/>
    </w:pPr>
    <w:rPr>
      <w:rFonts w:ascii="Cambria" w:hAnsi="Cambria"/>
      <w:b/>
      <w:color w:val="365F91"/>
      <w:kern w:val="0"/>
      <w:sz w:val="28"/>
      <w:szCs w:val="28"/>
    </w:rPr>
  </w:style>
  <w:style w:type="paragraph" w:customStyle="1" w:styleId="53">
    <w:name w:val="xl57"/>
    <w:basedOn w:val="1"/>
    <w:qFormat/>
    <w:uiPriority w:val="0"/>
    <w:pPr>
      <w:widowControl/>
      <w:spacing w:before="100" w:beforeAutospacing="1" w:after="100" w:afterAutospacing="1"/>
      <w:jc w:val="left"/>
      <w:textAlignment w:val="top"/>
    </w:pPr>
    <w:rPr>
      <w:kern w:val="0"/>
      <w:sz w:val="20"/>
      <w:szCs w:val="20"/>
    </w:rPr>
  </w:style>
  <w:style w:type="paragraph" w:customStyle="1" w:styleId="54">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55">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56">
    <w:name w:val="stedit1"/>
    <w:basedOn w:val="1"/>
    <w:qFormat/>
    <w:uiPriority w:val="0"/>
    <w:pPr>
      <w:widowControl/>
      <w:pBdr>
        <w:top w:val="single" w:color="000000" w:sz="6" w:space="0"/>
        <w:left w:val="single" w:color="000000" w:sz="6" w:space="0"/>
        <w:bottom w:val="single" w:color="000000" w:sz="6" w:space="0"/>
        <w:right w:val="single" w:color="000000" w:sz="6" w:space="0"/>
      </w:pBdr>
      <w:shd w:val="clear" w:color="auto" w:fill="C0C0C0"/>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57">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olor w:val="000000"/>
      <w:kern w:val="0"/>
      <w:sz w:val="20"/>
      <w:szCs w:val="20"/>
    </w:rPr>
  </w:style>
  <w:style w:type="paragraph" w:customStyle="1" w:styleId="58">
    <w:name w:val="xl2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9">
    <w:name w:val="xl72"/>
    <w:basedOn w:val="1"/>
    <w:qFormat/>
    <w:uiPriority w:val="0"/>
    <w:pPr>
      <w:widowControl/>
      <w:pBdr>
        <w:bottom w:val="single" w:color="auto" w:sz="4" w:space="0"/>
        <w:right w:val="single" w:color="auto" w:sz="4" w:space="0"/>
      </w:pBdr>
      <w:spacing w:before="100" w:beforeAutospacing="1" w:after="100" w:afterAutospacing="1"/>
      <w:jc w:val="center"/>
    </w:pPr>
    <w:rPr>
      <w:kern w:val="0"/>
      <w:sz w:val="20"/>
      <w:szCs w:val="20"/>
    </w:rPr>
  </w:style>
  <w:style w:type="paragraph" w:customStyle="1" w:styleId="60">
    <w:name w:val="table302"/>
    <w:basedOn w:val="1"/>
    <w:qFormat/>
    <w:uiPriority w:val="0"/>
    <w:pPr>
      <w:widowControl/>
      <w:pBdr>
        <w:top w:val="single" w:color="2E72B1" w:sz="6" w:space="0"/>
        <w:left w:val="single" w:color="2E72B1" w:sz="6" w:space="0"/>
        <w:bottom w:val="single" w:color="2E72B1" w:sz="6" w:space="0"/>
        <w:right w:val="single" w:color="2E72B1"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61">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62">
    <w:name w:val="xl98"/>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6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64">
    <w:name w:val="xl2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66">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7">
    <w:name w:val="font11"/>
    <w:basedOn w:val="1"/>
    <w:qFormat/>
    <w:uiPriority w:val="0"/>
    <w:pPr>
      <w:widowControl/>
      <w:spacing w:before="100" w:beforeAutospacing="1" w:after="100" w:afterAutospacing="1"/>
      <w:jc w:val="left"/>
    </w:pPr>
    <w:rPr>
      <w:b/>
      <w:bCs/>
      <w:color w:val="FFFFFF"/>
      <w:kern w:val="0"/>
      <w:sz w:val="18"/>
      <w:szCs w:val="18"/>
    </w:rPr>
  </w:style>
  <w:style w:type="paragraph" w:customStyle="1" w:styleId="68">
    <w:name w:val="f5"/>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69">
    <w:name w:val="xl2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0">
    <w:name w:val="xl93"/>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71">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2">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73">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4">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5">
    <w:name w:val="xl3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6">
    <w:name w:val="font9"/>
    <w:basedOn w:val="1"/>
    <w:qFormat/>
    <w:uiPriority w:val="0"/>
    <w:pPr>
      <w:widowControl/>
      <w:spacing w:before="100" w:beforeAutospacing="1" w:after="100" w:afterAutospacing="1"/>
      <w:jc w:val="left"/>
    </w:pPr>
    <w:rPr>
      <w:kern w:val="0"/>
      <w:sz w:val="20"/>
      <w:szCs w:val="20"/>
    </w:rPr>
  </w:style>
  <w:style w:type="paragraph" w:customStyle="1" w:styleId="77">
    <w:name w:val="stedit"/>
    <w:basedOn w:val="1"/>
    <w:qFormat/>
    <w:uiPriority w:val="0"/>
    <w:pPr>
      <w:widowControl/>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78">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9">
    <w:name w:val="xl3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0">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81">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2">
    <w:name w:val="font10"/>
    <w:basedOn w:val="1"/>
    <w:qFormat/>
    <w:uiPriority w:val="0"/>
    <w:pPr>
      <w:widowControl/>
      <w:spacing w:before="100" w:beforeAutospacing="1" w:after="100" w:afterAutospacing="1"/>
      <w:jc w:val="left"/>
    </w:pPr>
    <w:rPr>
      <w:rFonts w:hint="eastAsia" w:ascii="宋体" w:hAnsi="宋体"/>
      <w:b/>
      <w:bCs/>
      <w:color w:val="FFFFFF"/>
      <w:kern w:val="0"/>
      <w:sz w:val="18"/>
      <w:szCs w:val="18"/>
    </w:rPr>
  </w:style>
  <w:style w:type="paragraph" w:customStyle="1" w:styleId="83">
    <w:name w:val="xl3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4">
    <w:name w:val="font7"/>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85">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6600"/>
      <w:kern w:val="0"/>
      <w:sz w:val="20"/>
      <w:szCs w:val="20"/>
    </w:rPr>
  </w:style>
  <w:style w:type="paragraph" w:customStyle="1" w:styleId="86">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7">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89">
    <w:name w:val="xl3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0">
    <w:name w:val="f8"/>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91">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2">
    <w:name w:val="xl2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3">
    <w:name w:val="xl2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4">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95">
    <w:name w:val="xl2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6">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7">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8">
    <w:name w:val="xl2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9">
    <w:name w:val="xl2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0">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0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03">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4">
    <w:name w:val="xl2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6">
    <w:name w:val="font5"/>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107">
    <w:name w:val="xl3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8">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110">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1">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12">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3">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4">
    <w:name w:val="xl2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5">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6">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117">
    <w:name w:val="xl2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8">
    <w:name w:val="custtext"/>
    <w:basedOn w:val="1"/>
    <w:qFormat/>
    <w:uiPriority w:val="0"/>
    <w:pPr>
      <w:widowControl/>
      <w:pBdr>
        <w:top w:val="single" w:color="C0C0C0" w:sz="6" w:space="0"/>
        <w:left w:val="single" w:color="C0C0C0" w:sz="6" w:space="0"/>
        <w:bottom w:val="single" w:color="C0C0C0" w:sz="6" w:space="0"/>
        <w:right w:val="single" w:color="C0C0C0" w:sz="6" w:space="0"/>
      </w:pBdr>
      <w:shd w:val="clear" w:color="auto" w:fill="F2F8FF"/>
      <w:spacing w:before="100" w:beforeAutospacing="1" w:after="100" w:afterAutospacing="1" w:line="330" w:lineRule="atLeast"/>
      <w:jc w:val="left"/>
    </w:pPr>
    <w:rPr>
      <w:rFonts w:hint="eastAsia" w:ascii="宋体" w:hAnsi="宋体" w:cs="Arial Unicode MS"/>
      <w:color w:val="054B92"/>
      <w:kern w:val="0"/>
      <w:sz w:val="18"/>
      <w:szCs w:val="18"/>
    </w:rPr>
  </w:style>
  <w:style w:type="paragraph" w:customStyle="1" w:styleId="119">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0">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1">
    <w:name w:val="xl2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2">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23">
    <w:name w:val="xl2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4">
    <w:name w:val="xl2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5">
    <w:name w:val="xl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6">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7">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8">
    <w:name w:val="xl3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9">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30">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1">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132">
    <w:name w:val="xl2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3">
    <w:name w:val="xl3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4">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36">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7">
    <w:name w:val="xl2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8">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40">
    <w:name w:val="xl113"/>
    <w:basedOn w:val="1"/>
    <w:qFormat/>
    <w:uiPriority w:val="0"/>
    <w:pPr>
      <w:widowControl/>
      <w:pBdr>
        <w:left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1">
    <w:name w:val="xl74"/>
    <w:basedOn w:val="1"/>
    <w:qFormat/>
    <w:uiPriority w:val="0"/>
    <w:pPr>
      <w:widowControl/>
      <w:pBdr>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42">
    <w:name w:val="font8"/>
    <w:basedOn w:val="1"/>
    <w:qFormat/>
    <w:uiPriority w:val="0"/>
    <w:pPr>
      <w:widowControl/>
      <w:spacing w:before="100" w:beforeAutospacing="1" w:after="100" w:afterAutospacing="1"/>
      <w:jc w:val="left"/>
    </w:pPr>
    <w:rPr>
      <w:rFonts w:ascii="Tahoma" w:hAnsi="Tahoma" w:cs="Tahoma"/>
      <w:kern w:val="0"/>
      <w:sz w:val="20"/>
      <w:szCs w:val="20"/>
    </w:rPr>
  </w:style>
  <w:style w:type="paragraph" w:customStyle="1" w:styleId="143">
    <w:name w:val="xl11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4">
    <w:name w:val="xl3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5">
    <w:name w:val="xl2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6">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47">
    <w:name w:val="xl2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8">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9">
    <w:name w:val="f7"/>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150">
    <w:name w:val="xl87"/>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2">
    <w:name w:val="fgj01"/>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153">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54">
    <w:name w:val="xl94"/>
    <w:basedOn w:val="1"/>
    <w:qFormat/>
    <w:uiPriority w:val="0"/>
    <w:pPr>
      <w:widowControl/>
      <w:pBdr>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5">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6">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7">
    <w:name w:val="xl78"/>
    <w:basedOn w:val="1"/>
    <w:qFormat/>
    <w:uiPriority w:val="0"/>
    <w:pPr>
      <w:widowControl/>
      <w:pBdr>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5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159">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0">
    <w:name w:val="xl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1">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62">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3">
    <w:name w:val="xl2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4">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165">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6">
    <w:name w:val="xl3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7">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8">
    <w:name w:val="xl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170">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1">
    <w:name w:val="xl73"/>
    <w:basedOn w:val="1"/>
    <w:qFormat/>
    <w:uiPriority w:val="0"/>
    <w:pPr>
      <w:widowControl/>
      <w:pBdr>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72">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74">
    <w:name w:val="table305"/>
    <w:basedOn w:val="1"/>
    <w:qFormat/>
    <w:uiPriority w:val="0"/>
    <w:pPr>
      <w:widowControl/>
      <w:pBdr>
        <w:top w:val="single" w:color="C0C0C0" w:sz="6" w:space="0"/>
        <w:left w:val="single" w:color="C0C0C0" w:sz="2" w:space="0"/>
        <w:bottom w:val="single" w:color="C0C0C0" w:sz="2" w:space="0"/>
        <w:right w:val="single" w:color="C0C0C0" w:sz="2" w:space="0"/>
      </w:pBdr>
      <w:shd w:val="clear" w:color="auto" w:fill="E9E9E9"/>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75">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6">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7">
    <w:name w:val="xl2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9">
    <w:name w:val="xl2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0">
    <w:name w:val="f0"/>
    <w:basedOn w:val="1"/>
    <w:qFormat/>
    <w:uiPriority w:val="0"/>
    <w:pPr>
      <w:widowControl/>
      <w:spacing w:before="100" w:beforeAutospacing="1" w:after="100" w:afterAutospacing="1" w:line="270" w:lineRule="atLeast"/>
      <w:jc w:val="left"/>
    </w:pPr>
    <w:rPr>
      <w:rFonts w:hint="eastAsia" w:ascii="宋体" w:hAnsi="宋体" w:cs="Arial Unicode MS"/>
      <w:color w:val="000000"/>
      <w:kern w:val="0"/>
      <w:sz w:val="18"/>
      <w:szCs w:val="18"/>
    </w:rPr>
  </w:style>
  <w:style w:type="paragraph" w:customStyle="1" w:styleId="181">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2">
    <w:name w:val="xl2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3">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84">
    <w:name w:val="xl2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5">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6">
    <w:name w:val="xl56"/>
    <w:basedOn w:val="1"/>
    <w:qFormat/>
    <w:uiPriority w:val="0"/>
    <w:pPr>
      <w:widowControl/>
      <w:spacing w:before="100" w:beforeAutospacing="1" w:after="100" w:afterAutospacing="1"/>
      <w:jc w:val="center"/>
      <w:textAlignment w:val="bottom"/>
    </w:pPr>
    <w:rPr>
      <w:kern w:val="0"/>
      <w:sz w:val="20"/>
      <w:szCs w:val="20"/>
    </w:rPr>
  </w:style>
  <w:style w:type="paragraph" w:customStyle="1" w:styleId="187">
    <w:name w:val="xl2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8">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89">
    <w:name w:val="xl71"/>
    <w:basedOn w:val="1"/>
    <w:qFormat/>
    <w:uiPriority w:val="0"/>
    <w:pPr>
      <w:widowControl/>
      <w:pBdr>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90">
    <w:name w:val="table301"/>
    <w:basedOn w:val="1"/>
    <w:qFormat/>
    <w:uiPriority w:val="0"/>
    <w:pPr>
      <w:widowControl/>
      <w:pBdr>
        <w:top w:val="single" w:color="898989" w:sz="2" w:space="0"/>
        <w:left w:val="single" w:color="898989" w:sz="6" w:space="0"/>
        <w:bottom w:val="single" w:color="898989" w:sz="6" w:space="0"/>
        <w:right w:val="single" w:color="898989"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91">
    <w:name w:val="xl2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2">
    <w:name w:val="xl3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3">
    <w:name w:val="xl3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4">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5">
    <w:name w:val="xl3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6">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7">
    <w:name w:val="xl2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8">
    <w:name w:val="xl2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9">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0">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1">
    <w:name w:val="xl3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2">
    <w:name w:val="buttons02"/>
    <w:basedOn w:val="1"/>
    <w:qFormat/>
    <w:uiPriority w:val="0"/>
    <w:pPr>
      <w:widowControl/>
      <w:shd w:val="clear" w:color="auto" w:fill="D2E4FC"/>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03">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4">
    <w:name w:val="xl2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5">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6">
    <w:name w:val="xl3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7">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8">
    <w:name w:val="fgj02"/>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209">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0">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2">
    <w:name w:val="xl2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3">
    <w:name w:val="xl3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4">
    <w:name w:val="xl2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5">
    <w:name w:val="xl97"/>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1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17">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8">
    <w:name w:val="xl2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9">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0">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1">
    <w:name w:val="xl2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2">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23">
    <w:name w:val="xl3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4">
    <w:name w:val="xl11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5">
    <w:name w:val="xl2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6">
    <w:name w:val="xl88"/>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8">
    <w:name w:val="f6"/>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229">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0">
    <w:name w:val="xl2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2">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23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234">
    <w:name w:val="xl3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5">
    <w:name w:val="xl3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6">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7">
    <w:name w:val="xl64"/>
    <w:basedOn w:val="1"/>
    <w:qFormat/>
    <w:uiPriority w:val="0"/>
    <w:pPr>
      <w:widowControl/>
      <w:spacing w:before="100" w:beforeAutospacing="1" w:after="100" w:afterAutospacing="1"/>
      <w:jc w:val="left"/>
      <w:textAlignment w:val="bottom"/>
    </w:pPr>
    <w:rPr>
      <w:kern w:val="0"/>
      <w:sz w:val="20"/>
      <w:szCs w:val="20"/>
    </w:rPr>
  </w:style>
  <w:style w:type="paragraph" w:customStyle="1" w:styleId="238">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239">
    <w:name w:val="xl2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0">
    <w:name w:val="xl3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1">
    <w:name w:val="xl2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2">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243">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4">
    <w:name w:val="xl3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5">
    <w:name w:val="xl3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6">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7">
    <w:name w:val="xl95"/>
    <w:basedOn w:val="1"/>
    <w:qFormat/>
    <w:uiPriority w:val="0"/>
    <w:pPr>
      <w:widowControl/>
      <w:pBdr>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48">
    <w:name w:val="xl44"/>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249">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250">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1">
    <w:name w:val="xl2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52">
    <w:name w:val="xl3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3">
    <w:name w:val="xl2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4">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5">
    <w:name w:val="xl3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6">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7">
    <w:name w:val="f10"/>
    <w:basedOn w:val="1"/>
    <w:qFormat/>
    <w:uiPriority w:val="0"/>
    <w:pPr>
      <w:widowControl/>
      <w:spacing w:before="100" w:beforeAutospacing="1" w:after="100" w:afterAutospacing="1" w:line="300" w:lineRule="atLeast"/>
      <w:jc w:val="left"/>
    </w:pPr>
    <w:rPr>
      <w:rFonts w:hint="eastAsia" w:ascii="宋体" w:hAnsi="宋体" w:cs="Arial Unicode MS"/>
      <w:color w:val="000000"/>
      <w:kern w:val="0"/>
      <w:sz w:val="18"/>
      <w:szCs w:val="18"/>
    </w:rPr>
  </w:style>
  <w:style w:type="paragraph" w:customStyle="1" w:styleId="258">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9">
    <w:name w:val="table304"/>
    <w:basedOn w:val="1"/>
    <w:qFormat/>
    <w:uiPriority w:val="0"/>
    <w:pPr>
      <w:widowControl/>
      <w:pBdr>
        <w:top w:val="single" w:color="636363" w:sz="2" w:space="0"/>
        <w:left w:val="single" w:color="636363" w:sz="6" w:space="0"/>
        <w:bottom w:val="single" w:color="636363" w:sz="6" w:space="0"/>
        <w:right w:val="single" w:color="636363"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60">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61">
    <w:name w:val="xl2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2">
    <w:name w:val="xl2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4">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6">
    <w:name w:val="xl2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7">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8">
    <w:name w:val="xl3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9">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0">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72">
    <w:name w:val="xl3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3">
    <w:name w:val="xl3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4">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75">
    <w:name w:val="xl2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6">
    <w:name w:val="xl2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7">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kern w:val="0"/>
      <w:sz w:val="20"/>
      <w:szCs w:val="20"/>
    </w:rPr>
  </w:style>
  <w:style w:type="paragraph" w:customStyle="1" w:styleId="278">
    <w:name w:val="xl58"/>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279">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0">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1">
    <w:name w:val="xl92"/>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2">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3">
    <w:name w:val="f3"/>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6"/>
      <w:szCs w:val="16"/>
    </w:rPr>
  </w:style>
  <w:style w:type="paragraph" w:customStyle="1" w:styleId="28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5">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6">
    <w:name w:val="xl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7">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8">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9">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0">
    <w:name w:val="xl60"/>
    <w:basedOn w:val="1"/>
    <w:qFormat/>
    <w:uiPriority w:val="0"/>
    <w:pPr>
      <w:widowControl/>
      <w:spacing w:before="100" w:beforeAutospacing="1" w:after="100" w:afterAutospacing="1"/>
      <w:jc w:val="center"/>
      <w:textAlignment w:val="bottom"/>
    </w:pPr>
    <w:rPr>
      <w:color w:val="0000FF"/>
      <w:kern w:val="0"/>
      <w:sz w:val="20"/>
      <w:szCs w:val="20"/>
    </w:rPr>
  </w:style>
  <w:style w:type="paragraph" w:customStyle="1" w:styleId="291">
    <w:name w:val="f1"/>
    <w:basedOn w:val="1"/>
    <w:qFormat/>
    <w:uiPriority w:val="0"/>
    <w:pPr>
      <w:widowControl/>
      <w:spacing w:before="100" w:beforeAutospacing="1" w:after="100" w:afterAutospacing="1" w:line="330" w:lineRule="atLeast"/>
      <w:jc w:val="left"/>
    </w:pPr>
    <w:rPr>
      <w:rFonts w:hint="eastAsia" w:ascii="宋体" w:hAnsi="宋体"/>
      <w:color w:val="000000"/>
      <w:kern w:val="0"/>
      <w:sz w:val="18"/>
      <w:szCs w:val="18"/>
    </w:rPr>
  </w:style>
  <w:style w:type="paragraph" w:customStyle="1" w:styleId="292">
    <w:name w:val="xl3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3">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4">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95">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6">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7">
    <w:name w:val="xl2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8">
    <w:name w:val="xl3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9">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300">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01">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2">
    <w:name w:val="xl2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03">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4">
    <w:name w:val="xl8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05">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6">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FF"/>
      <w:kern w:val="0"/>
      <w:sz w:val="20"/>
      <w:szCs w:val="20"/>
    </w:rPr>
  </w:style>
  <w:style w:type="paragraph" w:customStyle="1" w:styleId="307">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8">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9">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0">
    <w:name w:val="xl3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11">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2">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3">
    <w:name w:val="xl81"/>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1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15">
    <w:name w:val="xl2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6">
    <w:name w:val="xl2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7">
    <w:name w:val="xl8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8">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9">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0">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1">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22">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3">
    <w:name w:val="xl2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4">
    <w:name w:val="xl3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25">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6">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7">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328">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29">
    <w:name w:val="f2"/>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330">
    <w:name w:val="xl2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1">
    <w:name w:val="xl2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2">
    <w:name w:val="unnamed1"/>
    <w:basedOn w:val="1"/>
    <w:qFormat/>
    <w:uiPriority w:val="0"/>
    <w:pPr>
      <w:widowControl/>
      <w:spacing w:line="330" w:lineRule="atLeast"/>
      <w:jc w:val="left"/>
    </w:pPr>
    <w:rPr>
      <w:rFonts w:ascii="宋体" w:hAnsi="宋体" w:cs="宋体"/>
      <w:kern w:val="0"/>
      <w:szCs w:val="21"/>
    </w:rPr>
  </w:style>
  <w:style w:type="paragraph" w:customStyle="1" w:styleId="33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4">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5">
    <w:name w:val="xl110"/>
    <w:basedOn w:val="1"/>
    <w:qFormat/>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336">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38">
    <w:name w:val="xl77"/>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color w:val="000000"/>
      <w:kern w:val="0"/>
      <w:sz w:val="20"/>
      <w:szCs w:val="20"/>
    </w:rPr>
  </w:style>
  <w:style w:type="paragraph" w:customStyle="1" w:styleId="339">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0">
    <w:name w:val="xl2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1">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2">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FF6600"/>
      <w:kern w:val="0"/>
      <w:sz w:val="20"/>
      <w:szCs w:val="20"/>
    </w:rPr>
  </w:style>
  <w:style w:type="paragraph" w:customStyle="1" w:styleId="343">
    <w:name w:val="xl2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4">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5">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6">
    <w:name w:val="xl3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348">
    <w:name w:val="xl2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9">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0">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51">
    <w:name w:val="f8-hg"/>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35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53">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5">
    <w:name w:val="xl3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6">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7">
    <w:name w:val="xl2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8">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59">
    <w:name w:val="xl3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0">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1">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2">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363">
    <w:name w:val="xl3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4">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5">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366">
    <w:name w:val="xl2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7">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8">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9">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0">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1">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2">
    <w:name w:val="xl7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7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74">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75">
    <w:name w:val="xl2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6">
    <w:name w:val="xl2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7">
    <w:name w:val="xl76"/>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7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Arial Unicode MS" w:eastAsia="黑体" w:cs="Arial Unicode MS"/>
      <w:kern w:val="0"/>
      <w:sz w:val="20"/>
      <w:szCs w:val="20"/>
    </w:rPr>
  </w:style>
  <w:style w:type="paragraph" w:customStyle="1" w:styleId="379">
    <w:name w:val="xl96"/>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80">
    <w:name w:val="xl3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1">
    <w:name w:val="xl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2">
    <w:name w:val="xl3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3">
    <w:name w:val="f4"/>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384">
    <w:name w:val="xl2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5">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6">
    <w:name w:val="xl2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8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89">
    <w:name w:val="xl2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0">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1">
    <w:name w:val="xl3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2">
    <w:name w:val="Default"/>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 w:type="paragraph" w:customStyle="1" w:styleId="393">
    <w:name w:val="xl3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4">
    <w:name w:val="xl2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5">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6">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7">
    <w:name w:val="xl2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8">
    <w:name w:val="xl2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9">
    <w:name w:val="xl23"/>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宋体" w:hAnsi="宋体" w:cs="宋体"/>
      <w:color w:val="000000"/>
      <w:kern w:val="0"/>
      <w:sz w:val="24"/>
    </w:rPr>
  </w:style>
  <w:style w:type="paragraph" w:customStyle="1" w:styleId="400">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1">
    <w:name w:val="table303"/>
    <w:basedOn w:val="1"/>
    <w:qFormat/>
    <w:uiPriority w:val="0"/>
    <w:pPr>
      <w:widowControl/>
      <w:pBdr>
        <w:top w:val="single" w:color="000000" w:sz="6" w:space="0"/>
        <w:left w:val="single" w:color="000000" w:sz="6" w:space="0"/>
        <w:bottom w:val="single" w:color="000000" w:sz="6" w:space="0"/>
        <w:right w:val="single" w:color="000000"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402">
    <w:name w:val="xl79"/>
    <w:basedOn w:val="1"/>
    <w:qFormat/>
    <w:uiPriority w:val="0"/>
    <w:pPr>
      <w:widowControl/>
      <w:pBdr>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403">
    <w:name w:val="xl65"/>
    <w:basedOn w:val="1"/>
    <w:qFormat/>
    <w:uiPriority w:val="0"/>
    <w:pPr>
      <w:widowControl/>
      <w:spacing w:before="100" w:beforeAutospacing="1" w:after="100" w:afterAutospacing="1"/>
      <w:jc w:val="left"/>
      <w:textAlignment w:val="top"/>
    </w:pPr>
    <w:rPr>
      <w:rFonts w:ascii="宋体" w:hAnsi="宋体" w:cs="宋体"/>
      <w:kern w:val="0"/>
      <w:sz w:val="20"/>
      <w:szCs w:val="20"/>
    </w:rPr>
  </w:style>
  <w:style w:type="paragraph" w:customStyle="1" w:styleId="40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05">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6">
    <w:name w:val="xl89"/>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character" w:customStyle="1" w:styleId="407">
    <w:name w:val="批注框文本 Char"/>
    <w:basedOn w:val="27"/>
    <w:link w:val="13"/>
    <w:qFormat/>
    <w:uiPriority w:val="0"/>
    <w:rPr>
      <w:kern w:val="2"/>
      <w:sz w:val="18"/>
      <w:szCs w:val="18"/>
    </w:rPr>
  </w:style>
  <w:style w:type="character" w:customStyle="1" w:styleId="408">
    <w:name w:val="font01"/>
    <w:basedOn w:val="27"/>
    <w:qFormat/>
    <w:uiPriority w:val="0"/>
    <w:rPr>
      <w:rFonts w:ascii="Tahoma" w:hAnsi="Tahoma" w:eastAsia="Tahoma" w:cs="Tahoma"/>
      <w:color w:val="000000"/>
      <w:sz w:val="18"/>
      <w:szCs w:val="18"/>
      <w:u w:val="none"/>
    </w:rPr>
  </w:style>
  <w:style w:type="character" w:customStyle="1" w:styleId="409">
    <w:name w:val="font51"/>
    <w:basedOn w:val="27"/>
    <w:qFormat/>
    <w:uiPriority w:val="0"/>
    <w:rPr>
      <w:rFonts w:ascii="Tahoma" w:hAnsi="Tahoma" w:eastAsia="Tahoma" w:cs="Tahoma"/>
      <w:color w:val="000000"/>
      <w:sz w:val="18"/>
      <w:szCs w:val="18"/>
      <w:u w:val="none"/>
    </w:rPr>
  </w:style>
  <w:style w:type="character" w:customStyle="1" w:styleId="410">
    <w:name w:val="font21"/>
    <w:basedOn w:val="2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Pages>
  <Words>4005</Words>
  <Characters>22834</Characters>
  <Lines>190</Lines>
  <Paragraphs>53</Paragraphs>
  <TotalTime>47</TotalTime>
  <ScaleCrop>false</ScaleCrop>
  <LinksUpToDate>false</LinksUpToDate>
  <CharactersWithSpaces>26786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2017-11-23T08:10:00Z</dcterms:created>
  <dc:creator>MC SYSTEM</dc:creator>
  <cp:lastModifiedBy>Administrator</cp:lastModifiedBy>
  <dcterms:modified xsi:type="dcterms:W3CDTF">2020-11-12T07:58:44Z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vt:lpwstr>6</vt:lpwstr>
  </property>
  <property fmtid="{D5CDD505-2E9C-101B-9397-08002B2CF9AE}" pid="3" name="KSOProductBuildVer">
    <vt:lpwstr>2052-11.1.0.10132</vt:lpwstr>
  </property>
</Properties>
</file>