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-902335</wp:posOffset>
            </wp:positionH>
            <wp:positionV relativeFrom="paragraph">
              <wp:posOffset>-923925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11.5</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rPr>
          <w:color w:val="auto"/>
          <w:highlight w:val="none"/>
        </w:rPr>
      </w:pPr>
      <w:r>
        <w:rPr>
          <w:b w:val="0"/>
          <w:color w:val="auto"/>
          <w:sz w:val="24"/>
          <w:szCs w:val="24"/>
          <w:highlight w:val="none"/>
        </w:rPr>
        <w:fldChar w:fldCharType="begin"/>
      </w:r>
      <w:r>
        <w:rPr>
          <w:b w:val="0"/>
          <w:color w:val="auto"/>
          <w:sz w:val="24"/>
          <w:szCs w:val="24"/>
          <w:highlight w:val="none"/>
        </w:rPr>
        <w:instrText xml:space="preserve"> TOC \o "1-3" \h \z </w:instrText>
      </w:r>
      <w:r>
        <w:rPr>
          <w:b w:val="0"/>
          <w:color w:val="auto"/>
          <w:sz w:val="24"/>
          <w:szCs w:val="24"/>
          <w:highlight w:val="none"/>
        </w:rPr>
        <w:fldChar w:fldCharType="separate"/>
      </w:r>
      <w:r>
        <w:rPr>
          <w:color w:val="auto"/>
          <w:szCs w:val="24"/>
          <w:highlight w:val="none"/>
        </w:rPr>
        <w:fldChar w:fldCharType="begin"/>
      </w:r>
      <w:r>
        <w:rPr>
          <w:color w:val="auto"/>
          <w:szCs w:val="24"/>
          <w:highlight w:val="none"/>
        </w:rPr>
        <w:instrText xml:space="preserve"> HYPERLINK \l _Toc28204 </w:instrText>
      </w:r>
      <w:r>
        <w:rPr>
          <w:color w:val="auto"/>
          <w:szCs w:val="24"/>
          <w:highlight w:val="none"/>
        </w:rPr>
        <w:fldChar w:fldCharType="separate"/>
      </w:r>
      <w:r>
        <w:rPr>
          <w:rFonts w:hint="eastAsia"/>
          <w:color w:val="auto"/>
          <w:highlight w:val="none"/>
        </w:rPr>
        <w:t>一、国际原油市场回顾 </w:t>
      </w:r>
      <w:r>
        <w:rPr>
          <w:color w:val="auto"/>
          <w:highlight w:val="none"/>
        </w:rPr>
        <w:tab/>
      </w:r>
      <w:r>
        <w:rPr>
          <w:color w:val="auto"/>
          <w:highlight w:val="none"/>
        </w:rPr>
        <w:fldChar w:fldCharType="begin"/>
      </w:r>
      <w:r>
        <w:rPr>
          <w:color w:val="auto"/>
          <w:highlight w:val="none"/>
        </w:rPr>
        <w:instrText xml:space="preserve"> PAGEREF _Toc28204 </w:instrText>
      </w:r>
      <w:r>
        <w:rPr>
          <w:color w:val="auto"/>
          <w:highlight w:val="none"/>
        </w:rPr>
        <w:fldChar w:fldCharType="separate"/>
      </w:r>
      <w:r>
        <w:rPr>
          <w:color w:val="auto"/>
          <w:highlight w:val="none"/>
        </w:rPr>
        <w:t>3</w:t>
      </w:r>
      <w:r>
        <w:rPr>
          <w:color w:val="auto"/>
          <w:highlight w:val="none"/>
        </w:rPr>
        <w:fldChar w:fldCharType="end"/>
      </w:r>
      <w:r>
        <w:rPr>
          <w:color w:val="auto"/>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_Toc31041 </w:instrText>
      </w:r>
      <w:r>
        <w:rPr>
          <w:rFonts w:ascii="宋体" w:hAnsi="宋体"/>
          <w:color w:val="auto"/>
          <w:kern w:val="2"/>
          <w:szCs w:val="24"/>
          <w:highlight w:val="none"/>
        </w:rPr>
        <w:fldChar w:fldCharType="separate"/>
      </w:r>
      <w:r>
        <w:rPr>
          <w:rFonts w:hint="eastAsia" w:ascii="宋体" w:hAnsi="宋体"/>
          <w:color w:val="auto"/>
          <w:szCs w:val="30"/>
          <w:highlight w:val="none"/>
        </w:rPr>
        <w:t>1.1国际原油收盘价涨跌情况（单位：美元/桶）</w:t>
      </w:r>
      <w:r>
        <w:rPr>
          <w:color w:val="auto"/>
          <w:highlight w:val="none"/>
        </w:rPr>
        <w:tab/>
      </w:r>
      <w:r>
        <w:rPr>
          <w:color w:val="auto"/>
          <w:highlight w:val="none"/>
        </w:rPr>
        <w:fldChar w:fldCharType="begin"/>
      </w:r>
      <w:r>
        <w:rPr>
          <w:color w:val="auto"/>
          <w:highlight w:val="none"/>
        </w:rPr>
        <w:instrText xml:space="preserve"> PAGEREF _Toc31041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_Toc13265 </w:instrText>
      </w:r>
      <w:r>
        <w:rPr>
          <w:rFonts w:ascii="宋体" w:hAnsi="宋体"/>
          <w:color w:val="auto"/>
          <w:kern w:val="2"/>
          <w:szCs w:val="24"/>
          <w:highlight w:val="none"/>
        </w:rPr>
        <w:fldChar w:fldCharType="separate"/>
      </w:r>
      <w:r>
        <w:rPr>
          <w:rFonts w:hint="eastAsia" w:ascii="宋体" w:hAnsi="宋体"/>
          <w:color w:val="auto"/>
          <w:szCs w:val="30"/>
          <w:highlight w:val="none"/>
        </w:rPr>
        <w:t>1.</w:t>
      </w:r>
      <w:r>
        <w:rPr>
          <w:rFonts w:ascii="宋体" w:hAnsi="宋体"/>
          <w:color w:val="auto"/>
          <w:szCs w:val="30"/>
          <w:highlight w:val="none"/>
        </w:rPr>
        <w:t>2</w:t>
      </w:r>
      <w:r>
        <w:rPr>
          <w:rFonts w:hint="eastAsia" w:ascii="宋体" w:hAnsi="宋体"/>
          <w:color w:val="auto"/>
          <w:szCs w:val="30"/>
          <w:highlight w:val="none"/>
        </w:rPr>
        <w:t xml:space="preserve"> </w:t>
      </w:r>
      <w:r>
        <w:rPr>
          <w:rFonts w:ascii="宋体" w:hAnsi="宋体"/>
          <w:color w:val="auto"/>
          <w:szCs w:val="30"/>
          <w:highlight w:val="none"/>
        </w:rPr>
        <w:t>20</w:t>
      </w:r>
      <w:r>
        <w:rPr>
          <w:rFonts w:hint="eastAsia" w:ascii="宋体" w:hAnsi="宋体"/>
          <w:color w:val="auto"/>
          <w:szCs w:val="30"/>
          <w:highlight w:val="none"/>
          <w:lang w:val="en-US" w:eastAsia="zh-CN"/>
        </w:rPr>
        <w:t>20</w:t>
      </w:r>
      <w:r>
        <w:rPr>
          <w:rFonts w:ascii="宋体" w:hAnsi="宋体"/>
          <w:color w:val="auto"/>
          <w:szCs w:val="30"/>
          <w:highlight w:val="none"/>
        </w:rPr>
        <w:t>年</w:t>
      </w:r>
      <w:r>
        <w:rPr>
          <w:rFonts w:hint="eastAsia" w:ascii="宋体" w:hAnsi="宋体"/>
          <w:color w:val="auto"/>
          <w:szCs w:val="30"/>
          <w:highlight w:val="none"/>
        </w:rPr>
        <w:t>国际</w:t>
      </w:r>
      <w:r>
        <w:rPr>
          <w:rFonts w:ascii="宋体" w:hAnsi="宋体"/>
          <w:color w:val="auto"/>
          <w:szCs w:val="30"/>
          <w:highlight w:val="none"/>
        </w:rPr>
        <w:t>原油价格走势图</w:t>
      </w:r>
      <w:r>
        <w:rPr>
          <w:color w:val="auto"/>
          <w:highlight w:val="none"/>
        </w:rPr>
        <w:tab/>
      </w:r>
      <w:r>
        <w:rPr>
          <w:color w:val="auto"/>
          <w:highlight w:val="none"/>
        </w:rPr>
        <w:fldChar w:fldCharType="begin"/>
      </w:r>
      <w:r>
        <w:rPr>
          <w:color w:val="auto"/>
          <w:highlight w:val="none"/>
        </w:rPr>
        <w:instrText xml:space="preserve"> PAGEREF _Toc13265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_Toc11108 </w:instrText>
      </w:r>
      <w:r>
        <w:rPr>
          <w:rFonts w:ascii="宋体" w:hAnsi="宋体"/>
          <w:color w:val="auto"/>
          <w:kern w:val="2"/>
          <w:szCs w:val="24"/>
          <w:highlight w:val="none"/>
        </w:rPr>
        <w:fldChar w:fldCharType="separate"/>
      </w:r>
      <w:r>
        <w:rPr>
          <w:rFonts w:hint="eastAsia"/>
          <w:color w:val="auto"/>
          <w:highlight w:val="none"/>
        </w:rPr>
        <w:t>二、 近期影响国际原油市场的主要因素</w:t>
      </w:r>
      <w:r>
        <w:rPr>
          <w:color w:val="auto"/>
          <w:highlight w:val="none"/>
        </w:rPr>
        <w:tab/>
      </w:r>
      <w:r>
        <w:rPr>
          <w:color w:val="auto"/>
          <w:highlight w:val="none"/>
        </w:rPr>
        <w:fldChar w:fldCharType="begin"/>
      </w:r>
      <w:r>
        <w:rPr>
          <w:color w:val="auto"/>
          <w:highlight w:val="none"/>
        </w:rPr>
        <w:instrText xml:space="preserve"> PAGEREF _Toc11108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_Toc24274 </w:instrText>
      </w:r>
      <w:r>
        <w:rPr>
          <w:rFonts w:ascii="宋体" w:hAnsi="宋体"/>
          <w:color w:val="auto"/>
          <w:kern w:val="2"/>
          <w:szCs w:val="24"/>
          <w:highlight w:val="none"/>
        </w:rPr>
        <w:fldChar w:fldCharType="separate"/>
      </w:r>
      <w:r>
        <w:rPr>
          <w:rFonts w:hint="eastAsia" w:ascii="宋体" w:hAnsi="宋体"/>
          <w:color w:val="auto"/>
          <w:szCs w:val="30"/>
          <w:highlight w:val="none"/>
        </w:rPr>
        <w:t>2.1影响国际原油市场的主要因素</w:t>
      </w:r>
      <w:r>
        <w:rPr>
          <w:color w:val="auto"/>
          <w:highlight w:val="none"/>
        </w:rPr>
        <w:tab/>
      </w:r>
      <w:r>
        <w:rPr>
          <w:color w:val="auto"/>
          <w:highlight w:val="none"/>
        </w:rPr>
        <w:fldChar w:fldCharType="begin"/>
      </w:r>
      <w:r>
        <w:rPr>
          <w:color w:val="auto"/>
          <w:highlight w:val="none"/>
        </w:rPr>
        <w:instrText xml:space="preserve"> PAGEREF _Toc24274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_Toc1606 </w:instrText>
      </w:r>
      <w:r>
        <w:rPr>
          <w:rFonts w:ascii="宋体" w:hAnsi="宋体"/>
          <w:color w:val="auto"/>
          <w:kern w:val="2"/>
          <w:szCs w:val="24"/>
          <w:highlight w:val="none"/>
        </w:rPr>
        <w:fldChar w:fldCharType="separate"/>
      </w:r>
      <w:r>
        <w:rPr>
          <w:rFonts w:hint="eastAsia" w:ascii="宋体" w:hAnsi="宋体"/>
          <w:color w:val="auto"/>
          <w:szCs w:val="30"/>
          <w:highlight w:val="none"/>
        </w:rPr>
        <w:t>2.2国际市场MTBE价格</w:t>
      </w:r>
      <w:r>
        <w:rPr>
          <w:color w:val="auto"/>
          <w:highlight w:val="none"/>
        </w:rPr>
        <w:tab/>
      </w:r>
      <w:r>
        <w:rPr>
          <w:color w:val="auto"/>
          <w:highlight w:val="none"/>
        </w:rPr>
        <w:fldChar w:fldCharType="begin"/>
      </w:r>
      <w:r>
        <w:rPr>
          <w:color w:val="auto"/>
          <w:highlight w:val="none"/>
        </w:rPr>
        <w:instrText xml:space="preserve"> PAGEREF _Toc1606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_Toc23075 </w:instrText>
      </w:r>
      <w:r>
        <w:rPr>
          <w:rFonts w:ascii="宋体" w:hAnsi="宋体"/>
          <w:color w:val="auto"/>
          <w:kern w:val="2"/>
          <w:szCs w:val="24"/>
          <w:highlight w:val="none"/>
        </w:rPr>
        <w:fldChar w:fldCharType="separate"/>
      </w:r>
      <w:r>
        <w:rPr>
          <w:rFonts w:hint="eastAsia"/>
          <w:color w:val="auto"/>
          <w:highlight w:val="none"/>
        </w:rPr>
        <w:t>三、 本周国内市场</w:t>
      </w:r>
      <w:r>
        <w:rPr>
          <w:color w:val="auto"/>
          <w:highlight w:val="none"/>
        </w:rPr>
        <w:tab/>
      </w:r>
      <w:r>
        <w:rPr>
          <w:color w:val="auto"/>
          <w:highlight w:val="none"/>
        </w:rPr>
        <w:fldChar w:fldCharType="begin"/>
      </w:r>
      <w:r>
        <w:rPr>
          <w:color w:val="auto"/>
          <w:highlight w:val="none"/>
        </w:rPr>
        <w:instrText xml:space="preserve"> PAGEREF _Toc23075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_Toc4499 </w:instrText>
      </w:r>
      <w:r>
        <w:rPr>
          <w:rFonts w:ascii="宋体" w:hAnsi="宋体"/>
          <w:color w:val="auto"/>
          <w:kern w:val="2"/>
          <w:szCs w:val="24"/>
          <w:highlight w:val="none"/>
        </w:rPr>
        <w:fldChar w:fldCharType="separate"/>
      </w:r>
      <w:r>
        <w:rPr>
          <w:rFonts w:hint="eastAsia" w:ascii="宋体" w:hAnsi="宋体"/>
          <w:color w:val="auto"/>
          <w:szCs w:val="30"/>
          <w:highlight w:val="none"/>
        </w:rPr>
        <w:t>3.1 国内炼厂装置运行情况</w:t>
      </w:r>
      <w:r>
        <w:rPr>
          <w:color w:val="auto"/>
          <w:highlight w:val="none"/>
        </w:rPr>
        <w:tab/>
      </w:r>
      <w:r>
        <w:rPr>
          <w:color w:val="auto"/>
          <w:highlight w:val="none"/>
        </w:rPr>
        <w:fldChar w:fldCharType="begin"/>
      </w:r>
      <w:r>
        <w:rPr>
          <w:color w:val="auto"/>
          <w:highlight w:val="none"/>
        </w:rPr>
        <w:instrText xml:space="preserve"> PAGEREF _Toc4499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_Toc23841 </w:instrText>
      </w:r>
      <w:r>
        <w:rPr>
          <w:rFonts w:ascii="宋体" w:hAnsi="宋体"/>
          <w:color w:val="auto"/>
          <w:kern w:val="2"/>
          <w:szCs w:val="24"/>
          <w:highlight w:val="none"/>
        </w:rPr>
        <w:fldChar w:fldCharType="separate"/>
      </w:r>
      <w:r>
        <w:rPr>
          <w:rFonts w:hint="eastAsia" w:ascii="宋体" w:hAnsi="宋体"/>
          <w:color w:val="auto"/>
          <w:szCs w:val="30"/>
          <w:highlight w:val="none"/>
        </w:rPr>
        <w:t>3.2本周成品油市场行情</w:t>
      </w:r>
      <w:r>
        <w:rPr>
          <w:color w:val="auto"/>
          <w:highlight w:val="none"/>
        </w:rPr>
        <w:tab/>
      </w:r>
      <w:r>
        <w:rPr>
          <w:color w:val="auto"/>
          <w:highlight w:val="none"/>
        </w:rPr>
        <w:fldChar w:fldCharType="begin"/>
      </w:r>
      <w:r>
        <w:rPr>
          <w:color w:val="auto"/>
          <w:highlight w:val="none"/>
        </w:rPr>
        <w:instrText xml:space="preserve"> PAGEREF _Toc23841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_Toc17420 </w:instrText>
      </w:r>
      <w:r>
        <w:rPr>
          <w:rFonts w:ascii="宋体" w:hAnsi="宋体"/>
          <w:color w:val="auto"/>
          <w:kern w:val="2"/>
          <w:szCs w:val="24"/>
          <w:highlight w:val="none"/>
        </w:rPr>
        <w:fldChar w:fldCharType="separate"/>
      </w:r>
      <w:r>
        <w:rPr>
          <w:rFonts w:hint="eastAsia" w:ascii="宋体" w:hAnsi="宋体"/>
          <w:color w:val="auto"/>
          <w:szCs w:val="30"/>
          <w:highlight w:val="none"/>
        </w:rPr>
        <w:t>3.3 国内汽油价格周报</w:t>
      </w:r>
      <w:r>
        <w:rPr>
          <w:color w:val="auto"/>
          <w:highlight w:val="none"/>
        </w:rPr>
        <w:tab/>
      </w:r>
      <w:r>
        <w:rPr>
          <w:color w:val="auto"/>
          <w:highlight w:val="none"/>
        </w:rPr>
        <w:fldChar w:fldCharType="begin"/>
      </w:r>
      <w:r>
        <w:rPr>
          <w:color w:val="auto"/>
          <w:highlight w:val="none"/>
        </w:rPr>
        <w:instrText xml:space="preserve"> PAGEREF _Toc17420 </w:instrText>
      </w:r>
      <w:r>
        <w:rPr>
          <w:color w:val="auto"/>
          <w:highlight w:val="none"/>
        </w:rPr>
        <w:fldChar w:fldCharType="separate"/>
      </w:r>
      <w:r>
        <w:rPr>
          <w:color w:val="auto"/>
          <w:highlight w:val="none"/>
        </w:rPr>
        <w:t>21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_Toc5370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3.4国内柴油价格周报</w:t>
      </w:r>
      <w:r>
        <w:rPr>
          <w:color w:val="auto"/>
          <w:highlight w:val="none"/>
        </w:rPr>
        <w:tab/>
      </w:r>
      <w:r>
        <w:rPr>
          <w:color w:val="auto"/>
          <w:highlight w:val="none"/>
        </w:rPr>
        <w:fldChar w:fldCharType="begin"/>
      </w:r>
      <w:r>
        <w:rPr>
          <w:color w:val="auto"/>
          <w:highlight w:val="none"/>
        </w:rPr>
        <w:instrText xml:space="preserve"> PAGEREF _Toc5370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_Toc10709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3.5 山东地炼汽油出厂价格周报</w:t>
      </w:r>
      <w:r>
        <w:rPr>
          <w:color w:val="auto"/>
          <w:highlight w:val="none"/>
        </w:rPr>
        <w:tab/>
      </w:r>
      <w:r>
        <w:rPr>
          <w:color w:val="auto"/>
          <w:highlight w:val="none"/>
        </w:rPr>
        <w:fldChar w:fldCharType="begin"/>
      </w:r>
      <w:r>
        <w:rPr>
          <w:color w:val="auto"/>
          <w:highlight w:val="none"/>
        </w:rPr>
        <w:instrText xml:space="preserve"> PAGEREF _Toc10709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_Toc19013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3.6 山东地炼柴油出厂价格周报</w:t>
      </w:r>
      <w:r>
        <w:rPr>
          <w:color w:val="auto"/>
          <w:highlight w:val="none"/>
        </w:rPr>
        <w:tab/>
      </w:r>
      <w:r>
        <w:rPr>
          <w:color w:val="auto"/>
          <w:highlight w:val="none"/>
        </w:rPr>
        <w:fldChar w:fldCharType="begin"/>
      </w:r>
      <w:r>
        <w:rPr>
          <w:color w:val="auto"/>
          <w:highlight w:val="none"/>
        </w:rPr>
        <w:instrText xml:space="preserve"> PAGEREF _Toc19013 </w:instrText>
      </w:r>
      <w:r>
        <w:rPr>
          <w:color w:val="auto"/>
          <w:highlight w:val="none"/>
        </w:rPr>
        <w:fldChar w:fldCharType="separate"/>
      </w:r>
      <w:r>
        <w:rPr>
          <w:color w:val="auto"/>
          <w:highlight w:val="none"/>
        </w:rPr>
        <w:t>29</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_Toc10784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四、2020年9月份进出口统计数据</w:t>
      </w:r>
      <w:r>
        <w:rPr>
          <w:color w:val="auto"/>
          <w:highlight w:val="none"/>
        </w:rPr>
        <w:tab/>
      </w:r>
      <w:r>
        <w:rPr>
          <w:color w:val="auto"/>
          <w:highlight w:val="none"/>
        </w:rPr>
        <w:fldChar w:fldCharType="begin"/>
      </w:r>
      <w:r>
        <w:rPr>
          <w:color w:val="auto"/>
          <w:highlight w:val="none"/>
        </w:rPr>
        <w:instrText xml:space="preserve"> PAGEREF _Toc10784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_Toc27774 </w:instrText>
      </w:r>
      <w:r>
        <w:rPr>
          <w:rFonts w:ascii="宋体" w:hAnsi="宋体"/>
          <w:color w:val="auto"/>
          <w:kern w:val="2"/>
          <w:szCs w:val="24"/>
          <w:highlight w:val="none"/>
        </w:rPr>
        <w:fldChar w:fldCharType="separate"/>
      </w:r>
      <w:r>
        <w:rPr>
          <w:rFonts w:hint="eastAsia" w:ascii="宋体" w:hAnsi="宋体"/>
          <w:color w:val="auto"/>
          <w:szCs w:val="30"/>
          <w:highlight w:val="none"/>
        </w:rPr>
        <w:t>4.1 20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9</w:t>
      </w:r>
      <w:r>
        <w:rPr>
          <w:rFonts w:hint="eastAsia" w:ascii="宋体" w:hAnsi="宋体"/>
          <w:color w:val="auto"/>
          <w:szCs w:val="30"/>
          <w:highlight w:val="none"/>
        </w:rPr>
        <w:t>份全国车用汽油和航空汽油进出口统计数据</w:t>
      </w:r>
      <w:r>
        <w:rPr>
          <w:color w:val="auto"/>
          <w:highlight w:val="none"/>
        </w:rPr>
        <w:tab/>
      </w:r>
      <w:r>
        <w:rPr>
          <w:color w:val="auto"/>
          <w:highlight w:val="none"/>
        </w:rPr>
        <w:fldChar w:fldCharType="begin"/>
      </w:r>
      <w:r>
        <w:rPr>
          <w:color w:val="auto"/>
          <w:highlight w:val="none"/>
        </w:rPr>
        <w:instrText xml:space="preserve"> PAGEREF _Toc27774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_Toc20292 </w:instrText>
      </w:r>
      <w:r>
        <w:rPr>
          <w:rFonts w:ascii="宋体" w:hAnsi="宋体"/>
          <w:color w:val="auto"/>
          <w:kern w:val="2"/>
          <w:szCs w:val="24"/>
          <w:highlight w:val="none"/>
        </w:rPr>
        <w:fldChar w:fldCharType="separate"/>
      </w:r>
      <w:r>
        <w:rPr>
          <w:rFonts w:hint="eastAsia" w:ascii="宋体" w:hAnsi="宋体"/>
          <w:color w:val="auto"/>
          <w:szCs w:val="30"/>
          <w:highlight w:val="none"/>
        </w:rPr>
        <w:t>4.2 201</w:t>
      </w:r>
      <w:r>
        <w:rPr>
          <w:rFonts w:hint="eastAsia" w:ascii="宋体" w:hAnsi="宋体"/>
          <w:color w:val="auto"/>
          <w:szCs w:val="30"/>
          <w:highlight w:val="none"/>
          <w:lang w:val="en-US" w:eastAsia="zh-CN"/>
        </w:rPr>
        <w:t>8</w:t>
      </w:r>
      <w:r>
        <w:rPr>
          <w:rFonts w:hint="eastAsia" w:ascii="宋体" w:hAnsi="宋体"/>
          <w:color w:val="auto"/>
          <w:szCs w:val="30"/>
          <w:highlight w:val="none"/>
        </w:rPr>
        <w:t>年1</w:t>
      </w:r>
      <w:r>
        <w:rPr>
          <w:rFonts w:hint="eastAsia" w:ascii="宋体" w:hAnsi="宋体"/>
          <w:color w:val="auto"/>
          <w:szCs w:val="30"/>
          <w:highlight w:val="none"/>
          <w:lang w:val="en-US" w:eastAsia="zh-CN"/>
        </w:rPr>
        <w:t>1</w:t>
      </w:r>
      <w:r>
        <w:rPr>
          <w:rFonts w:hint="eastAsia" w:ascii="宋体" w:hAnsi="宋体"/>
          <w:color w:val="auto"/>
          <w:szCs w:val="30"/>
          <w:highlight w:val="none"/>
        </w:rPr>
        <w:t>月份全国轻柴油进出口统计数据</w:t>
      </w:r>
      <w:r>
        <w:rPr>
          <w:color w:val="auto"/>
          <w:highlight w:val="none"/>
        </w:rPr>
        <w:tab/>
      </w:r>
      <w:r>
        <w:rPr>
          <w:color w:val="auto"/>
          <w:highlight w:val="none"/>
        </w:rPr>
        <w:fldChar w:fldCharType="begin"/>
      </w:r>
      <w:r>
        <w:rPr>
          <w:color w:val="auto"/>
          <w:highlight w:val="none"/>
        </w:rPr>
        <w:instrText xml:space="preserve"> PAGEREF _Toc20292 </w:instrText>
      </w:r>
      <w:r>
        <w:rPr>
          <w:color w:val="auto"/>
          <w:highlight w:val="none"/>
        </w:rPr>
        <w:fldChar w:fldCharType="separate"/>
      </w:r>
      <w:r>
        <w:rPr>
          <w:color w:val="auto"/>
          <w:highlight w:val="none"/>
        </w:rPr>
        <w:t>32</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_Toc31298 </w:instrText>
      </w:r>
      <w:r>
        <w:rPr>
          <w:rFonts w:ascii="宋体" w:hAnsi="宋体"/>
          <w:color w:val="auto"/>
          <w:kern w:val="2"/>
          <w:szCs w:val="24"/>
          <w:highlight w:val="none"/>
        </w:rPr>
        <w:fldChar w:fldCharType="separate"/>
      </w:r>
      <w:r>
        <w:rPr>
          <w:rFonts w:hint="eastAsia" w:ascii="宋体" w:hAnsi="宋体"/>
          <w:color w:val="auto"/>
          <w:szCs w:val="30"/>
          <w:highlight w:val="none"/>
        </w:rPr>
        <w:t>4.3 20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8</w:t>
      </w:r>
      <w:r>
        <w:rPr>
          <w:rFonts w:hint="eastAsia" w:ascii="宋体" w:hAnsi="宋体"/>
          <w:color w:val="auto"/>
          <w:szCs w:val="30"/>
          <w:highlight w:val="none"/>
        </w:rPr>
        <w:t>月份全国原油进出口统计数据</w:t>
      </w:r>
      <w:r>
        <w:rPr>
          <w:color w:val="auto"/>
          <w:highlight w:val="none"/>
        </w:rPr>
        <w:tab/>
      </w:r>
      <w:r>
        <w:rPr>
          <w:color w:val="auto"/>
          <w:highlight w:val="none"/>
        </w:rPr>
        <w:fldChar w:fldCharType="begin"/>
      </w:r>
      <w:r>
        <w:rPr>
          <w:color w:val="auto"/>
          <w:highlight w:val="none"/>
        </w:rPr>
        <w:instrText xml:space="preserve"> PAGEREF _Toc31298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_Toc19589 </w:instrText>
      </w:r>
      <w:r>
        <w:rPr>
          <w:rFonts w:ascii="宋体" w:hAnsi="宋体"/>
          <w:color w:val="auto"/>
          <w:kern w:val="2"/>
          <w:szCs w:val="24"/>
          <w:highlight w:val="none"/>
        </w:rPr>
        <w:fldChar w:fldCharType="separate"/>
      </w:r>
      <w:r>
        <w:rPr>
          <w:rFonts w:hint="eastAsia" w:ascii="宋体" w:hAnsi="宋体"/>
          <w:color w:val="auto"/>
          <w:szCs w:val="30"/>
          <w:highlight w:val="none"/>
        </w:rPr>
        <w:t>4.4 20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9</w:t>
      </w:r>
      <w:r>
        <w:rPr>
          <w:rFonts w:hint="eastAsia" w:ascii="宋体" w:hAnsi="宋体"/>
          <w:color w:val="auto"/>
          <w:szCs w:val="30"/>
          <w:highlight w:val="none"/>
        </w:rPr>
        <w:t>月份全国航空煤油进出口统计数据</w:t>
      </w:r>
      <w:r>
        <w:rPr>
          <w:color w:val="auto"/>
          <w:highlight w:val="none"/>
        </w:rPr>
        <w:tab/>
      </w:r>
      <w:r>
        <w:rPr>
          <w:color w:val="auto"/>
          <w:highlight w:val="none"/>
        </w:rPr>
        <w:fldChar w:fldCharType="begin"/>
      </w:r>
      <w:r>
        <w:rPr>
          <w:color w:val="auto"/>
          <w:highlight w:val="none"/>
        </w:rPr>
        <w:instrText xml:space="preserve"> PAGEREF _Toc19589 </w:instrText>
      </w:r>
      <w:r>
        <w:rPr>
          <w:color w:val="auto"/>
          <w:highlight w:val="none"/>
        </w:rPr>
        <w:fldChar w:fldCharType="separate"/>
      </w:r>
      <w:r>
        <w:rPr>
          <w:color w:val="auto"/>
          <w:highlight w:val="none"/>
        </w:rPr>
        <w:t>34</w:t>
      </w:r>
      <w:r>
        <w:rPr>
          <w:color w:val="auto"/>
          <w:highlight w:val="none"/>
        </w:rPr>
        <w:fldChar w:fldCharType="end"/>
      </w:r>
      <w:r>
        <w:rPr>
          <w:rFonts w:ascii="宋体" w:hAnsi="宋体"/>
          <w:color w:val="auto"/>
          <w:kern w:val="2"/>
          <w:szCs w:val="24"/>
          <w:highlight w:val="none"/>
        </w:rPr>
        <w:fldChar w:fldCharType="end"/>
      </w:r>
    </w:p>
    <w:p>
      <w:pPr>
        <w:pStyle w:val="2"/>
        <w:spacing w:before="120" w:after="0" w:line="240" w:lineRule="auto"/>
        <w:rPr>
          <w:rFonts w:ascii="宋体" w:hAnsi="宋体"/>
          <w:b/>
          <w:color w:val="auto"/>
          <w:sz w:val="24"/>
          <w:szCs w:val="24"/>
          <w:highlight w:val="none"/>
        </w:rPr>
      </w:pPr>
      <w:r>
        <w:rPr>
          <w:rFonts w:ascii="宋体" w:hAnsi="宋体"/>
          <w:color w:val="auto"/>
          <w:kern w:val="2"/>
          <w:szCs w:val="24"/>
          <w:highlight w:val="none"/>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820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31041"/>
      <w:r>
        <w:rPr>
          <w:rFonts w:hint="eastAsia" w:ascii="宋体" w:hAnsi="宋体"/>
          <w:b/>
          <w:sz w:val="30"/>
          <w:szCs w:val="30"/>
        </w:rPr>
        <w:t>1.1国际原油收盘价涨跌情况（单位：美元/桶）</w:t>
      </w:r>
      <w:bookmarkEnd w:id="1"/>
    </w:p>
    <w:tbl>
      <w:tblPr>
        <w:tblStyle w:val="24"/>
        <w:tblW w:w="9613" w:type="dxa"/>
        <w:tblInd w:w="0" w:type="dxa"/>
        <w:tblLayout w:type="fixed"/>
        <w:tblCellMar>
          <w:top w:w="15" w:type="dxa"/>
          <w:left w:w="15" w:type="dxa"/>
          <w:bottom w:w="15" w:type="dxa"/>
          <w:right w:w="15" w:type="dxa"/>
        </w:tblCellMar>
      </w:tblPr>
      <w:tblGrid>
        <w:gridCol w:w="1528"/>
        <w:gridCol w:w="990"/>
        <w:gridCol w:w="1005"/>
        <w:gridCol w:w="6090"/>
      </w:tblGrid>
      <w:tr>
        <w:tblPrEx>
          <w:tblCellMar>
            <w:top w:w="15" w:type="dxa"/>
            <w:left w:w="15" w:type="dxa"/>
            <w:bottom w:w="15" w:type="dxa"/>
            <w:right w:w="15" w:type="dxa"/>
          </w:tblCellMar>
        </w:tblPrEx>
        <w:trPr>
          <w:trHeight w:val="286" w:hRule="atLeast"/>
        </w:trPr>
        <w:tc>
          <w:tcPr>
            <w:tcW w:w="152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日期</w:t>
            </w:r>
          </w:p>
        </w:tc>
        <w:tc>
          <w:tcPr>
            <w:tcW w:w="99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纽交所</w:t>
            </w:r>
          </w:p>
        </w:tc>
        <w:tc>
          <w:tcPr>
            <w:tcW w:w="100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伦交所</w:t>
            </w:r>
          </w:p>
        </w:tc>
        <w:tc>
          <w:tcPr>
            <w:tcW w:w="609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影响因素</w:t>
            </w:r>
          </w:p>
        </w:tc>
      </w:tr>
      <w:tr>
        <w:tblPrEx>
          <w:tblCellMar>
            <w:top w:w="15" w:type="dxa"/>
            <w:left w:w="15" w:type="dxa"/>
            <w:bottom w:w="15" w:type="dxa"/>
            <w:right w:w="15" w:type="dxa"/>
          </w:tblCellMar>
        </w:tblPrEx>
        <w:trPr>
          <w:trHeight w:val="60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2020/10/29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36.17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37.65</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原油期货价格下跌。欧美国家冠状病毒感染病例数激增，欧洲采取更严格防疫限制措施以限制病毒传播，加重了市场对美国及全球经济复苏的担忧。</w:t>
            </w:r>
          </w:p>
        </w:tc>
      </w:tr>
      <w:tr>
        <w:tblPrEx>
          <w:tblCellMar>
            <w:top w:w="15" w:type="dxa"/>
            <w:left w:w="15" w:type="dxa"/>
            <w:bottom w:w="15" w:type="dxa"/>
            <w:right w:w="15" w:type="dxa"/>
          </w:tblCellMar>
        </w:tblPrEx>
        <w:trPr>
          <w:trHeight w:val="54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2020/10/30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35.79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37.46</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原油期货价格下跌。海外疫情严重，欧洲短期内实施严格防疫限制措施的可能性很大，令油价承压下行。</w:t>
            </w:r>
          </w:p>
        </w:tc>
      </w:tr>
      <w:tr>
        <w:tblPrEx>
          <w:tblCellMar>
            <w:top w:w="15" w:type="dxa"/>
            <w:left w:w="15" w:type="dxa"/>
            <w:bottom w:w="15" w:type="dxa"/>
            <w:right w:w="15" w:type="dxa"/>
          </w:tblCellMar>
        </w:tblPrEx>
        <w:trPr>
          <w:trHeight w:val="570" w:hRule="atLeast"/>
        </w:trPr>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2020/11/2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36.81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38.97</w:t>
            </w:r>
          </w:p>
        </w:tc>
        <w:tc>
          <w:tcPr>
            <w:tcW w:w="6090"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原油期货价格上涨。美国总统大选前的市场情绪紧张，选举结果仍存在不确定性，市场预期OPEC+可能延长限产计划。</w:t>
            </w:r>
          </w:p>
        </w:tc>
      </w:tr>
      <w:tr>
        <w:tblPrEx>
          <w:tblCellMar>
            <w:top w:w="15" w:type="dxa"/>
            <w:left w:w="15" w:type="dxa"/>
            <w:bottom w:w="15" w:type="dxa"/>
            <w:right w:w="15" w:type="dxa"/>
          </w:tblCellMar>
        </w:tblPrEx>
        <w:trPr>
          <w:trHeight w:val="43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37.66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39.71</w:t>
            </w:r>
          </w:p>
        </w:tc>
        <w:tc>
          <w:tcPr>
            <w:tcW w:w="6090"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当前美国大选正在进行，其结果的不确定性仍然存在，加之OPEC+主要产油国有望延缓增产，油价获得支撑。</w:t>
            </w:r>
          </w:p>
        </w:tc>
      </w:tr>
      <w:tr>
        <w:tblPrEx>
          <w:tblCellMar>
            <w:top w:w="15" w:type="dxa"/>
            <w:left w:w="15" w:type="dxa"/>
            <w:bottom w:w="15" w:type="dxa"/>
            <w:right w:w="15" w:type="dxa"/>
          </w:tblCellMar>
        </w:tblPrEx>
        <w:trPr>
          <w:trHeight w:val="555" w:hRule="atLeast"/>
        </w:trPr>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2020/11/4</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39.15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41.23</w:t>
            </w:r>
          </w:p>
        </w:tc>
        <w:tc>
          <w:tcPr>
            <w:tcW w:w="6090"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EIA原油库存超市场预期大幅下降提振油价上涨，且OPEC有望延长减产的预期也利好油价。此外，备受市场关注的美国大选仍处于胶着状态。</w:t>
            </w:r>
          </w:p>
        </w:tc>
      </w:tr>
    </w:tbl>
    <w:p>
      <w:pPr>
        <w:jc w:val="center"/>
        <w:rPr>
          <w:rFonts w:hint="eastAsia"/>
        </w:rPr>
      </w:pPr>
    </w:p>
    <w:p>
      <w:pPr>
        <w:pStyle w:val="3"/>
        <w:spacing w:before="120" w:after="120" w:line="240" w:lineRule="auto"/>
        <w:rPr>
          <w:rFonts w:hint="eastAsia" w:ascii="宋体" w:hAnsi="宋体"/>
          <w:b/>
          <w:sz w:val="30"/>
          <w:szCs w:val="30"/>
        </w:rPr>
      </w:pPr>
      <w:bookmarkStart w:id="2" w:name="_Toc13265"/>
      <w:r>
        <w:rPr>
          <w:rFonts w:hint="eastAsia" w:ascii="宋体" w:hAnsi="宋体"/>
          <w:b/>
          <w:sz w:val="30"/>
          <w:szCs w:val="30"/>
        </w:rPr>
        <w:t>1.2 20</w:t>
      </w:r>
      <w:r>
        <w:rPr>
          <w:rFonts w:hint="eastAsia" w:ascii="宋体" w:hAnsi="宋体"/>
          <w:b/>
          <w:sz w:val="30"/>
          <w:szCs w:val="30"/>
          <w:lang w:val="en-US" w:eastAsia="zh-CN"/>
        </w:rPr>
        <w:t>20</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770880" cy="3789680"/>
            <wp:effectExtent l="0" t="0" r="12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70880" cy="3789680"/>
                    </a:xfrm>
                    <a:prstGeom prst="rect">
                      <a:avLst/>
                    </a:prstGeom>
                    <a:noFill/>
                    <a:ln>
                      <a:noFill/>
                    </a:ln>
                  </pic:spPr>
                </pic:pic>
              </a:graphicData>
            </a:graphic>
          </wp:inline>
        </w:drawing>
      </w:r>
    </w:p>
    <w:p>
      <w:pPr>
        <w:widowControl/>
        <w:wordWrap w:val="0"/>
        <w:spacing w:after="90" w:line="288" w:lineRule="auto"/>
        <w:jc w:val="left"/>
        <w:rPr>
          <w:rFonts w:hint="eastAsia" w:ascii="宋体" w:hAnsi="宋体" w:cs="Arial"/>
          <w:b/>
          <w:kern w:val="0"/>
          <w:sz w:val="30"/>
          <w:szCs w:val="30"/>
        </w:rPr>
      </w:pPr>
    </w:p>
    <w:p>
      <w:pPr>
        <w:rPr>
          <w:rFonts w:hint="eastAsia" w:ascii="宋体" w:hAnsi="宋体" w:cs="Arial"/>
          <w:b/>
          <w:kern w:val="0"/>
          <w:sz w:val="30"/>
          <w:szCs w:val="30"/>
        </w:rPr>
      </w:pPr>
    </w:p>
    <w:p>
      <w:pPr>
        <w:pStyle w:val="2"/>
        <w:numPr>
          <w:ilvl w:val="0"/>
          <w:numId w:val="1"/>
        </w:numPr>
        <w:spacing w:before="120" w:after="0" w:line="240" w:lineRule="auto"/>
      </w:pPr>
      <w:bookmarkStart w:id="3" w:name="_Toc11108"/>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24274"/>
      <w:r>
        <w:rPr>
          <w:rFonts w:hint="eastAsia" w:ascii="宋体" w:hAnsi="宋体"/>
          <w:b/>
          <w:sz w:val="30"/>
          <w:szCs w:val="30"/>
        </w:rPr>
        <w:t>2.1影响国际原油市场的主要因素</w:t>
      </w:r>
      <w:bookmarkEnd w:id="4"/>
    </w:p>
    <w:p>
      <w:pPr>
        <w:ind w:firstLine="551" w:firstLineChars="196"/>
        <w:outlineLvl w:val="1"/>
        <w:rPr>
          <w:rFonts w:hint="eastAsia" w:asciiTheme="minorEastAsia" w:hAnsiTheme="minorEastAsia" w:eastAsiaTheme="minorEastAsia" w:cstheme="minorEastAsia"/>
          <w:b/>
          <w:color w:val="000000"/>
          <w:sz w:val="28"/>
          <w:szCs w:val="28"/>
        </w:rPr>
      </w:pPr>
      <w:bookmarkStart w:id="5" w:name="_Toc55461786"/>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库存数据显示供给过剩状况正日趋严重、美国能源信息署(EIA)公布报告显示，截至10月23日当周美国原油库存增加432万桶至4.952亿桶,预期增加150万桶,前值减少100.2万桶;汽油库存减少89.2万桶,预期减少58.7万桶,前值增加189.5万桶;精炼油库存减少449.1万桶,连续6周下降,预期减少175.8万桶,前值减少383.2万桶;俄克拉荷马州库欣原油库存减少42.2万桶,连续5周增长后首度下滑,且创8月21日当周以来新低,前值增加97.5万桶。美国石油协会(API)发布的数据显现，美国截至10月23日当周API原油库存增加457.7万桶，预期增加111万桶;汽油库存增加225.2万桶;精炼油库存减少533.3万桶。</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55461787"/>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5日凌晨，美股周三大涨，科技股飙升推动纳指上涨超过3.8%。投资者关注2020年美国大选结果，目前尚无明确迹象表明谁能胜出。特朗普讲话称他正在赢得胜利。拜登团队则称拜登即将成为美国下一任总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道指涨367.63点，或1.34%，报27847.66点;纳指涨430.21点，或3.85%，报11590.78点;标普500指数涨74.28点，或2.20%，报3443.44点。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在整个疫情期间，由于经济前景的不确定性，科技股一直都是投资者的避风港。</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债券市场上，美国长期国债收益率下跌，回吐了过去几周的大部分涨幅。美国10年期国债收益率回落至80个基点以下，因为出现拜登入主白宫、民主党控制参众两院、从而轻易出台大规模政府开支法案的预期落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巴克莱美国股票现金交易董事总经理Mike Lewis表示：“我认为目前对市场的重大消息是，至少从初步来看，没有出现预期中的蓝色浪潮(即拜登入主白宫、民主党控制参众两院)。我认为，未来市场的前景将更多地与政策和美联储有关，而不是与政治有关，这对市场是件好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瑞银财富管理分析师称，现时美国大选选情胶着、胜负未决，预计在选情进一步明朗之前，市场可能较为动荡。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瑞银财富管全球首席投资总监Mark Haefele表示：“无论谁当选，美国的债务规模都可能成为市场关注焦点，而且美元相较于其他主要货币也不再具有息差优势。一旦全球经济开始复苏，市场可能青睐风险更高的机会(比如欧元和英镑)，而瑞郎和和日圆则可能成为更佳的避险选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美国大选选情胶着 民主党控制参院希望渺茫</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美国大选后的计票程序仍在继续，迄今为止的结果表明大选结果尚难逆料。未来数日，包括宾夕法尼亚州在内的许多重要战场州的选举结果仍难以确定。</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据媒体报道，截至美国东部时间凌晨4：45，前副总统乔-拜登获得了238张选举人票，美国现任总统特朗普获得了213张选举人票。候选人需要获得270张选举人票，才能确定成为总统选举的获胜者。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特朗普获得的选举人票来自肯塔基州、西弗吉尼亚州、南卡罗莱纳州、阿拉巴马州、密西西比州、田纳西州、俄克拉荷马州、印第安纳州、北达科他州、南达科他州、怀俄明州、路易斯安那州、内布拉斯加州(5张选举人票中的4张)、堪萨斯州、密苏里州、爱达荷州、犹他州、俄亥俄州、艾奥瓦州、蒙大拿州、佛罗里达州、德克萨斯州。</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拜登获得的选举人票来自佛蒙特州、弗吉尼亚州、康涅狄格州、特拉华州、伊利诺伊州、马里兰州、马萨诸塞州、新泽西州、罗得岛州、纽约州、新墨西哥州、华盛顿哥伦比亚特区、科罗拉多州、新罕布什尔州、加利福尼亚州、俄勒冈州、华盛顿州、夏威夷州、明尼苏达州、亚利桑那州、缅因州(4张选举人票中的3张)。</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目前出票已接近尾声，最新消息显示，拜登在威斯康辛州的票数领先，目前开票率已经达到95%;目前拜登得票率为49.38%，特朗普为49.14%，该州拥有10票选举人票。除去几大摇摆州仍在激烈竞争以外，其他州基本大局已定。</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选情胶着的摇摆州有密歇根州、宾州、北卡罗来纳州和佐治亚州，且四州均是特朗普占据领先优势，而内达华州拜登赢面较大，特朗普周三凌晨讲话宣布胜利，而拜登团队亦称自己获胜。</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总统大选目前仍无明显的获胜者，特朗普已经赢得佛罗里达州的选票，此前许多专家预测拜登将在该州获胜。而在2016年特朗普获胜的亚利桑那州，今年则将选举人票投给了拜登。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参议院的选战仍未结束，周三早间，美国民主党在参议院仅赢得一个净席位，而该党至少需要净增加三个席位才能获得对参议院的多数控制权。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这意味着美国民主党希望借助大选掌控参议院的希望逐渐破灭，几位地位并不牢固的共和党现任议员，包括爱荷华州的Joni Ernst和蒙大拿州的Steve Daines成功地抵挡驻了财力雄厚的民主党人的挑战。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众议院选举方面，民主党似乎会维持多数地位，但领先幅度可能缩小，尽管大选前预计该党可进一步获得至少15个席位。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特朗普深夜讲话称正赢得胜利 拜登竞选团队经理称拜登将获胜</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特朗普深夜在白宫发表讲话，提前声称他已赢得大选。当地时间4日凌晨，现任美国总统、共和党总统候选人特朗普在白宫发表讲话，称选举结果“惊人”。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他表示，一群“非常可悲的人”正试图在总统大选中“剥夺”选民的权利。他还表示，他在宾夕法尼亚州正遥遥领先，“就我而言，我们已经赢了。”</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国会山报》报道，特朗普在“宣布胜利”的同时，还称选举是一场骗局，将诉诸最高法院。特朗普说：“这是对美国共和国的欺诈。这是我们的国耻。我们正准备赢得这次选举。坦白说，我们确实赢得了这次选举。”</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而美东时间周三上午10点左右，拜登竞选团队召开简报会表示：“结果表明，今天下午我们正在通往胜利的明确道路上。”</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拜登竞选团队经理Jen O’Malley Dillon在现场简报会中表示，拜登即将成为美国下一任总统。另据英国《镜报》报道，Dillon表示，“如果现在停止计数，拜登将成为总统。”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Dillon表示：“我们相信，到今天下午，我们正在通往胜利的明确道路上，我们预计(前)副总统(指拜登)将在一些州领先，今天他将获得270张选举人票。(前)副总统将获得比历史上任何总统候选人都多的选票，我们还在计算中。他赢得了超过50%的选票。我们有望在密歇根州获胜，比特朗普在2016年赢得的还要多。(拜登)在威斯康辛州的成绩将比特朗普在2016年赢的还要多。(拜登)在宾夕法尼亚州的成绩也将比特朗普在2016年赢的还要多。我们还在他的一个州翻盘，那就是亚利桑那州。”</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特朗普此前曾质疑邮寄投票的真实性。他表示，他将就选举结果“向美国最高法院提起诉讼”，这使得美国大选有可能发展成为市场参与者此前担心的长期悬而不决的、有争议性的结果。拜登的竞选团队表示，愿意在法庭上与特朗普作斗争。</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德意志银行分析师Jim Reid在隔夜报告中表示，迄今为止，市场“一直非常平静，令人吃惊的是，其定价并没有反映出太多风险因素，也没有反映出令人担忧的长期角逐。目前看来，财政刺激措施出台的可能性比昨晚更低一些了。”</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其他专家警告说，选举结果的不确定性，可能会在未来几天引发市场持续动荡。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贝莱德投资研究所(BlackRock Investment Institute)的分析师在周三的研报中写道：“选举结果可能需要几天甚至更长的时间才能确定，这可能会造成市场波动，并有可能引发有争议的结果。我们建议忽略市场波动，即使出现风险资产抛售，也要对仓位保持高度信心。在此期间，市场成交量可能清淡，市场走势可能会放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美国疫情形势严峻 单日确诊病例超9万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在等待美国总统大选结果的同时，美国的疫情形势日益严峻。据《纽约时报》报道，周一美国报告单日新增确诊冠状病毒病例超过9.3万例，为美国病毒疫情爆发以来的第二高水平。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自疫情爆发以来，美国的总确诊病例数已超过900万例，死亡病例数超过23万。疫情对美国经济造成了严重打击，自疫情爆发以来美国已失去1100万个工作岗位，失业率仍处在接近8%的高位。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美国原油期货价格周三录得连续第三个交易日上涨。美国上周原油库存减少800万桶，令油价得到支撑。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投资者同时还在等待美国总统大选结果出炉，并权衡了OPEC+在1月份推迟增产行动的前景。</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分析师称，拜登和特朗普的能源政策显然有极大的不同，我们会观察总统职位鹿死谁手。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除此之外，OPEC+从2021年第一季度起继续执行其现行限产措施的可能性也越来越大。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在这种背景下，周三纽约商品交易所12月份交割的西德州中质原油(WTI)期货价格上涨1.49美元，涨幅4%，收于每桶39.15美元。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ind w:firstLine="643" w:firstLineChars="200"/>
        <w:outlineLvl w:val="1"/>
        <w:rPr>
          <w:rFonts w:hint="eastAsia" w:asciiTheme="minorEastAsia" w:hAnsiTheme="minorEastAsia" w:eastAsiaTheme="minorEastAsia" w:cstheme="minorEastAsia"/>
          <w:b/>
          <w:bCs/>
          <w:sz w:val="32"/>
          <w:szCs w:val="32"/>
        </w:rPr>
      </w:pPr>
      <w:bookmarkStart w:id="7" w:name="_Toc55461788"/>
      <w:r>
        <w:rPr>
          <w:rFonts w:hint="eastAsia" w:asciiTheme="minorEastAsia" w:hAnsiTheme="minorEastAsia" w:eastAsiaTheme="minorEastAsia" w:cstheme="minorEastAsia"/>
          <w:b/>
          <w:bCs/>
          <w:sz w:val="32"/>
          <w:szCs w:val="32"/>
        </w:rPr>
        <w:t>3.世界经济形势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第三届中国国际进口博览会4号晚在上海开幕，在开幕式上发表视频致辞的多国领导人和国际组织负责人认为，进博会如期举行彰显中国经济已率先复苏，并将为全球经济走出低谷增添动力和信心。</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南非总统拉马福萨当天在视频致辞中对中国如期举办进博会表示了感谢。他说，对非洲大陆而言，进博会这个平台具有重要意义。“感谢中国在世界面临严峻挑战的情况下如期举办第三届中国国际进口博览会。后疫情时代，全球投资和贸易对推动世界经济复苏的作用显得尤为重要。”</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巴布亚新几内亚总理马拉佩用“及时”“关键”两个词表达了对中国如期举办进博会的赞赏。“2020年是特殊的一年，中方在此关键时刻举办进博会，非常及时，尤为关键。”</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对新冠肺炎疫情大流行给世界经济带来的不稳定不确定因素，进一步加强国际合作成为多国领导人的共识。乌兹别克斯坦总统米尔济约耶夫表示，进博会将为各国提供更多新机遇，增强世界与中国共同发展的信心。“举办进博会这样大型的活动，充分证明中国经济已成功复苏，也说明加强国际经贸合作的必要性。类似的国际平台能够在发展国际经济合作，以及尽快解决新冠肺炎疫情引起的全球社会经济问题中发挥重要作用。”</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国际货币基金组织的预测，中国将成为今年唯一一个实现正增长的主要经济体。联合国贸易和发展会议秘书长穆希萨·基图伊当天表示，在未来全球经济充满不确定性的情况下，中国已成为世界经济的稳定之源，并为全球经济复苏注入强劲动力。“目前大多数国家都面临着几代人以来最严重的经济冲击，而中国对各国商品持续增长的进口需求无异于一颗定心丸。联合国贸发会议最新数据显示，虽然全球贸易预计今年降幅将达到7%到9%，但中国在第三季度的进口量同比增长13%，这些令人鼓舞的‘绿芽’给人们带来了希望。我们有理由相信全球需求也将很快以更可持续和更有弹性的方式开始复苏。”</w:t>
      </w:r>
    </w:p>
    <w:p>
      <w:pPr>
        <w:pStyle w:val="23"/>
        <w:numPr>
          <w:ilvl w:val="0"/>
          <w:numId w:val="0"/>
        </w:numPr>
        <w:rPr>
          <w:rFonts w:hint="eastAsia" w:ascii="黑体" w:eastAsia="黑体"/>
          <w:b/>
          <w:sz w:val="28"/>
          <w:szCs w:val="28"/>
        </w:rPr>
      </w:pP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w:t>
      </w:r>
      <w:r>
        <w:rPr>
          <w:rFonts w:hint="eastAsia" w:ascii="黑体" w:eastAsia="黑体"/>
          <w:b/>
          <w:sz w:val="28"/>
          <w:szCs w:val="28"/>
        </w:rPr>
        <w:t>后市预测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WTI原油原油价格在35.79-39.15美元/桶。布伦特原油价格在37.46-41.23美元/桶震荡。周内国际油价小幅震荡走势。因欧佩克和俄罗斯正在考虑明年初更大幅度减产，而美国两大权威机构公布的数据均显示美国上周原油库存数据大幅低于预期，油价周三(11月4日)录得三连阳。然而鉴于美国大选局势并不是很明朗，投资者担心美国大选会变成持久战，这不利于美国经济复苏，限制了油价的上行动能。截至发稿，美国WTI原油12月期货收涨1.49美元，涨幅3.95%，报39.15美元/桶;布伦特原油1月期货收涨1.52美元，涨幅3.83%，报41.23美元/桶，本周布油累计已上涨10.06%。基本面利好因素：1.北京时间周三晚23:30，美国能源信息署(EIA)公布的数据显示，截至10月30日当周，美国除却战略储备的商业原油库存减少799.80万桶，预期增加120万桶，前值增加432万桶;上周美国国内原油产量减少60万桶至1050万桶/日，原油出口减少119.5万桶/日至226.5万桶/日;美国精炼油库存变化值连续7周录得下滑。美国原油库存变化值创9月4日当周以来新低。美国原油产品四周平均供应量为1889.5万桶/日，较去年同期减少10.9%。2.北京时间周三凌晨05:30，美国石油协会(API)公布的数据显示，截至10月30日当周，原油库存减少800.1万桶，预期增加196.4万桶。知名金融博客零对冲表示，油价延续反弹势头，美油重回38美元/桶上方，因美元走软，以及有迹象表明欧佩克+可能推迟原定的增产计划。3.两位行业消息人士表示，俄罗斯石油公司的高管及俄罗斯能源部长诺瓦克(Alexander Novak)于周一讨论了将石油限产协议延长至2021年第一季。欧佩克和俄罗斯在4月实施创纪录的减产，以支持油价，因新冠疫情打压需求。消息人士表示，俄罗斯石油公司和诺瓦克于周一讨论了三个选项。其中一个选项是把当前的减产协议延长至2021年第一季。另两个选项是按计划在1月增加石油产量，或什至进一步减产。另一名行业消息人士表示，欧佩克+有可能达成延长三个月的协议，因为担心第二波疫情冲击。4.欧佩克秘书长巴尔金都表示，疫情复发令石油需求持续承压，欧佩克及其盟友将通过在下一次会议上做出的决定，“加快”石油市场的复苏。巴尔金都称，“我们将继续面临阻碍，需求正在复苏，全球经济也在反弹，但是速度非常缓慢。”他还称，最新一轮疫情“几乎肯定会打压我们在第三季度积累的势头”。即便中国和印度的燃油需求回到今年疫情爆发前的水平，但上述情况令明年蒙上阴影。欧佩克+将于11月30日和12月1日会面，外界预计其将维持当前的供应限制不变，目前的减产规模相当于近800万桶/日。基本面利空因素：1.渣打银行周二报告称，预计今年第四季全球石油需求同比将下降873万桶/日，比其两周前的预期多了100万桶/日，因欧洲新冠疫情卷土重来。11月全球需求料将环比下降217万桶/日至9051万桶/日，主要是由于欧洲消费量下降。11月欧洲需求料环比下滑201万桶/日至1058万桶/日，随后在12月和明年1月料回升到1178万桶/日和1251万桶/日。2.据Worldometers世界实时统计数据显示，截至北京时间11月4日8时35分，全球新冠肺炎累计确诊病例超过4782万例，达到47,827,815例，累计死亡病例超过121.9万例，达到1,219,619例。美国新冠肺炎累计确诊病例全球最多，超过969万例，达到9,690,098例;累计死亡病例超过23.8万例，达到238,628例。分析指出，欧洲多国重启封锁措施，使欧元区整体经济前景不确定性大增，对欧元形成压力，并令欧洲经济复苏的希望再次蒙上阴影。欧洲央行行长拉加德也在上周表示，疫情给欧洲经济增长带来了新的挑战，经济复苏失去动力的速度将会比预期的要更快，近期经济前景已经“明显恶化”。3.美国现任总统特朗普的竞选团队周三表示，他们已经提起诉讼，要求暂停密歇根州和宾夕法尼亚州的计票工作，因为他们要求让更多的人能够在这两个摇摆州的多个地点观察计票过程。特朗普的竞选团队还表示，他们的诉讼要求允许他们的竞选团队在密歇根州“审查那些在我们无法有意义地获得准入权的情况下已公开和清点的选票。”</w:t>
      </w:r>
    </w:p>
    <w:p>
      <w:pPr>
        <w:pStyle w:val="23"/>
        <w:spacing w:line="360" w:lineRule="auto"/>
        <w:ind w:firstLine="560" w:firstLineChars="200"/>
        <w:rPr>
          <w:rFonts w:hint="eastAsia" w:ascii="黑体" w:eastAsia="黑体"/>
          <w:b/>
          <w:sz w:val="28"/>
          <w:szCs w:val="28"/>
          <w:lang w:eastAsia="zh-CN"/>
        </w:rPr>
      </w:pPr>
      <w:r>
        <w:rPr>
          <w:rFonts w:hint="eastAsia" w:asciiTheme="minorEastAsia" w:hAnsiTheme="minorEastAsia" w:eastAsiaTheme="minorEastAsia" w:cstheme="minorEastAsia"/>
          <w:color w:val="333335"/>
          <w:kern w:val="2"/>
          <w:sz w:val="28"/>
          <w:szCs w:val="28"/>
          <w:shd w:val="clear" w:color="auto" w:fill="FFFFFF"/>
        </w:rPr>
        <w:t>预测下周WTI油价将触及34-40美元/桶，布油在之后几个月触及36-42美元/桶。</w:t>
      </w:r>
    </w:p>
    <w:p>
      <w:pPr>
        <w:pStyle w:val="3"/>
        <w:spacing w:before="120" w:after="120" w:line="240" w:lineRule="auto"/>
        <w:rPr>
          <w:rFonts w:hint="eastAsia" w:ascii="宋体" w:hAnsi="宋体"/>
          <w:b/>
          <w:sz w:val="30"/>
          <w:szCs w:val="30"/>
          <w:highlight w:val="none"/>
        </w:rPr>
      </w:pPr>
      <w:bookmarkStart w:id="8" w:name="_Toc1606"/>
      <w:r>
        <w:rPr>
          <w:rFonts w:hint="eastAsia" w:ascii="宋体" w:hAnsi="宋体"/>
          <w:b/>
          <w:sz w:val="30"/>
          <w:szCs w:val="30"/>
          <w:highlight w:val="none"/>
        </w:rPr>
        <w:t>2.2国际市场MTBE价格</w:t>
      </w:r>
      <w:bookmarkEnd w:id="8"/>
    </w:p>
    <w:tbl>
      <w:tblPr>
        <w:tblStyle w:val="24"/>
        <w:tblW w:w="8938" w:type="dxa"/>
        <w:tblInd w:w="0" w:type="dxa"/>
        <w:shd w:val="clear" w:color="auto" w:fill="auto"/>
        <w:tblLayout w:type="autofit"/>
        <w:tblCellMar>
          <w:top w:w="0" w:type="dxa"/>
          <w:left w:w="0" w:type="dxa"/>
          <w:bottom w:w="0" w:type="dxa"/>
          <w:right w:w="0" w:type="dxa"/>
        </w:tblCellMar>
      </w:tblPr>
      <w:tblGrid>
        <w:gridCol w:w="1687"/>
        <w:gridCol w:w="2578"/>
        <w:gridCol w:w="2411"/>
        <w:gridCol w:w="2262"/>
      </w:tblGrid>
      <w:tr>
        <w:tblPrEx>
          <w:shd w:val="clear" w:color="auto" w:fill="auto"/>
          <w:tblCellMar>
            <w:top w:w="0" w:type="dxa"/>
            <w:left w:w="0" w:type="dxa"/>
            <w:bottom w:w="0" w:type="dxa"/>
            <w:right w:w="0" w:type="dxa"/>
          </w:tblCellMar>
        </w:tblPrEx>
        <w:trPr>
          <w:trHeight w:val="564" w:hRule="atLeast"/>
        </w:trPr>
        <w:tc>
          <w:tcPr>
            <w:tcW w:w="1687"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23075"/>
            <w:r>
              <w:rPr>
                <w:rFonts w:hint="eastAsia" w:ascii="宋体" w:hAnsi="宋体" w:eastAsia="宋体" w:cs="宋体"/>
                <w:i w:val="0"/>
                <w:color w:val="000000"/>
                <w:kern w:val="0"/>
                <w:sz w:val="20"/>
                <w:szCs w:val="20"/>
                <w:u w:val="none"/>
                <w:lang w:val="en-US" w:eastAsia="zh-CN" w:bidi="ar"/>
              </w:rPr>
              <w:t>日期</w:t>
            </w:r>
          </w:p>
        </w:tc>
        <w:tc>
          <w:tcPr>
            <w:tcW w:w="2578"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2411"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2262"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5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11月4日</w:t>
            </w:r>
          </w:p>
        </w:tc>
        <w:tc>
          <w:tcPr>
            <w:tcW w:w="25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 </w:t>
            </w:r>
          </w:p>
        </w:tc>
        <w:tc>
          <w:tcPr>
            <w:tcW w:w="24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118.81 </w:t>
            </w:r>
          </w:p>
        </w:tc>
        <w:tc>
          <w:tcPr>
            <w:tcW w:w="22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388.75 </w:t>
            </w:r>
          </w:p>
        </w:tc>
      </w:tr>
      <w:tr>
        <w:tblPrEx>
          <w:tblCellMar>
            <w:top w:w="0" w:type="dxa"/>
            <w:left w:w="0" w:type="dxa"/>
            <w:bottom w:w="0" w:type="dxa"/>
            <w:right w:w="0" w:type="dxa"/>
          </w:tblCellMar>
        </w:tblPrEx>
        <w:trPr>
          <w:trHeight w:val="5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11月3日</w:t>
            </w:r>
          </w:p>
        </w:tc>
        <w:tc>
          <w:tcPr>
            <w:tcW w:w="25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 </w:t>
            </w:r>
          </w:p>
        </w:tc>
        <w:tc>
          <w:tcPr>
            <w:tcW w:w="24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118.35 </w:t>
            </w:r>
          </w:p>
        </w:tc>
        <w:tc>
          <w:tcPr>
            <w:tcW w:w="22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385.00 </w:t>
            </w:r>
          </w:p>
        </w:tc>
      </w:tr>
      <w:tr>
        <w:tblPrEx>
          <w:tblCellMar>
            <w:top w:w="0" w:type="dxa"/>
            <w:left w:w="0" w:type="dxa"/>
            <w:bottom w:w="0" w:type="dxa"/>
            <w:right w:w="0" w:type="dxa"/>
          </w:tblCellMar>
        </w:tblPrEx>
        <w:trPr>
          <w:trHeight w:val="5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11月2日</w:t>
            </w:r>
          </w:p>
        </w:tc>
        <w:tc>
          <w:tcPr>
            <w:tcW w:w="25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370.00 </w:t>
            </w:r>
          </w:p>
        </w:tc>
        <w:tc>
          <w:tcPr>
            <w:tcW w:w="24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115.86 </w:t>
            </w:r>
          </w:p>
        </w:tc>
        <w:tc>
          <w:tcPr>
            <w:tcW w:w="22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378.00 </w:t>
            </w:r>
          </w:p>
        </w:tc>
      </w:tr>
      <w:tr>
        <w:tblPrEx>
          <w:tblCellMar>
            <w:top w:w="0" w:type="dxa"/>
            <w:left w:w="0" w:type="dxa"/>
            <w:bottom w:w="0" w:type="dxa"/>
            <w:right w:w="0" w:type="dxa"/>
          </w:tblCellMar>
        </w:tblPrEx>
        <w:trPr>
          <w:trHeight w:val="5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10月30日</w:t>
            </w:r>
          </w:p>
        </w:tc>
        <w:tc>
          <w:tcPr>
            <w:tcW w:w="25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369.00 </w:t>
            </w:r>
          </w:p>
        </w:tc>
        <w:tc>
          <w:tcPr>
            <w:tcW w:w="24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113.88 </w:t>
            </w:r>
          </w:p>
        </w:tc>
        <w:tc>
          <w:tcPr>
            <w:tcW w:w="22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377.00 </w:t>
            </w:r>
          </w:p>
        </w:tc>
      </w:tr>
      <w:tr>
        <w:tblPrEx>
          <w:tblCellMar>
            <w:top w:w="0" w:type="dxa"/>
            <w:left w:w="0" w:type="dxa"/>
            <w:bottom w:w="0" w:type="dxa"/>
            <w:right w:w="0"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10月29日</w:t>
            </w:r>
          </w:p>
        </w:tc>
        <w:tc>
          <w:tcPr>
            <w:tcW w:w="25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372.90 </w:t>
            </w:r>
          </w:p>
        </w:tc>
        <w:tc>
          <w:tcPr>
            <w:tcW w:w="24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113.46 </w:t>
            </w:r>
          </w:p>
        </w:tc>
        <w:tc>
          <w:tcPr>
            <w:tcW w:w="22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365.50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4499"/>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69"/>
        <w:gridCol w:w="1627"/>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56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炼厂名称</w:t>
            </w:r>
          </w:p>
        </w:tc>
        <w:tc>
          <w:tcPr>
            <w:tcW w:w="162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2020年7月中旬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北海炼化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天津石化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齐鲁石化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2020年9中上旬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武汉石化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青岛石化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大连石化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广西石化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宁夏石化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云南石化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2021年1月底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锦西石化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惠州炼厂</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4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检修延至2021年2月-4月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中海油气(泰州)</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bl>
    <w:p>
      <w:pPr>
        <w:numPr>
          <w:ilvl w:val="0"/>
          <w:numId w:val="0"/>
        </w:numPr>
        <w:rPr>
          <w:rFonts w:hint="eastAsia" w:ascii="宋体" w:hAnsi="宋体"/>
          <w:sz w:val="28"/>
          <w:szCs w:val="28"/>
          <w:highlight w:val="none"/>
        </w:rPr>
      </w:pPr>
    </w:p>
    <w:p>
      <w:pPr>
        <w:numPr>
          <w:ilvl w:val="0"/>
          <w:numId w:val="2"/>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522"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277"/>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2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计划2020年9月份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2020年9月13日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中海东营石化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2020年9月3日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齐成石化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0"/>
                <w:szCs w:val="20"/>
                <w:u w:val="none"/>
                <w:lang w:val="en-US" w:eastAsia="zh-CN" w:bidi="ar"/>
              </w:rPr>
              <w:t>计划2020年11月中旬</w:t>
            </w: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3841"/>
      <w:r>
        <w:rPr>
          <w:rFonts w:hint="eastAsia" w:ascii="宋体" w:hAnsi="宋体"/>
          <w:b/>
          <w:sz w:val="30"/>
          <w:szCs w:val="30"/>
          <w:highlight w:val="none"/>
        </w:rPr>
        <w:t>3.2本周成品油市场行情</w:t>
      </w:r>
      <w:bookmarkEnd w:id="11"/>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12" w:name="_Toc17420"/>
      <w:r>
        <w:rPr>
          <w:rFonts w:hint="eastAsia" w:asciiTheme="minorEastAsia" w:hAnsiTheme="minorEastAsia" w:eastAsiaTheme="minorEastAsia" w:cstheme="minorEastAsia"/>
          <w:color w:val="333335"/>
          <w:kern w:val="2"/>
          <w:sz w:val="28"/>
          <w:szCs w:val="28"/>
          <w:shd w:val="clear" w:color="auto" w:fill="FFFFFF"/>
        </w:rPr>
        <w:t>本周(10月30日-11月5日)，国际原油期货先抑后扬，据测算第十个工作日参考原油变化率为-6.16%。受此影响，国内成品油市场购销氛围清淡，各地主营汽柴油销售执行优惠政策。与此同时，山东地炼汽油行情弱势盘整，柴油行情则温和上行，区内炼厂流成交保持100元/吨左右优惠。具体来看出货方面：周初，原油弱势利空业者心态，买卖双方操作谨慎，市场观望气氛浓厚。临近周末，外盘油价续涨提振油市，中下游商家入市采购积极性提升，其中柴油成交表现相对汽油较好。因此近期地炼整体出货表现尚可，平均产销比在90-100%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30日-11月5日)，华中地区成品油行情稳中下跌，市场观望情绪为主，整体成交氛围清淡。具体来看，周内国际油价连续上涨，消息面利好因素主导，但原油变化率为负向走势。与此同时，山东地炼汽柴油均价柴涨汽跌，业者逢低补货，成交氛围浓厚。区内大部分主营单位保持挺价政策，个别主营单位下调汽柴油价格，跌幅在30-150元/吨不等，加之本轮零售价下调预</w:t>
      </w:r>
      <w:bookmarkStart w:id="21" w:name="_GoBack"/>
      <w:r>
        <w:rPr>
          <w:rFonts w:hint="eastAsia" w:asciiTheme="minorEastAsia" w:hAnsiTheme="minorEastAsia" w:eastAsiaTheme="minorEastAsia" w:cstheme="minorEastAsia"/>
          <w:color w:val="333335"/>
          <w:kern w:val="2"/>
          <w:sz w:val="28"/>
          <w:szCs w:val="28"/>
          <w:shd w:val="clear" w:color="auto" w:fill="FFFFFF"/>
        </w:rPr>
        <w:t>期显现，市场观望情绪浓厚，下游业者入市补货按需，成交仍小单为主，故市</w:t>
      </w:r>
      <w:bookmarkEnd w:id="21"/>
      <w:r>
        <w:rPr>
          <w:rFonts w:hint="eastAsia" w:asciiTheme="minorEastAsia" w:hAnsiTheme="minorEastAsia" w:eastAsiaTheme="minorEastAsia" w:cstheme="minorEastAsia"/>
          <w:color w:val="333335"/>
          <w:kern w:val="2"/>
          <w:sz w:val="28"/>
          <w:szCs w:val="28"/>
          <w:shd w:val="clear" w:color="auto" w:fill="FFFFFF"/>
        </w:rPr>
        <w:t>场整体成交氛围清淡不已。后期来看，国际原油或保持震荡，消息面或存有一定支撑，部分主营为赶冲当月销售任务，销售政策或保持高挂低卖，故预计短期内华东地区成品油价格或稳中上扬。</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30日-11月5日)需求表现不佳，华东地区油价弱势下滑，周内国际油价先抑后扬，但原油参考均价仍触发40美元/桶的调价红线，不过高于40美元/桶的对应下调幅度仍将于今日零时如期兑现，消息面难寻支撑。进入新一周销售，区内主营多数侧重促销赶量，汽柴价格弱势下滑，部分单位侧重保利，消化客存，挂牌价格相对坚挺，但对于即提订单均存较大商谈空间。其中因柴油需求尚可，跌势稍缓。下游入市心态难有改善，入市操作以刚需为主，市场成交提升乏力。后市来看，美国总统大选期间，国际油价或相对平稳，新一轮变化率有望正向小幅开端，不过零售价刚刚兑现下调，消息面或指引有限。市场需求面短期暂无利好提振，预计下周区内主营成品油价格或维持窄幅波动走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29日-11月5日)，华南地区汽柴油市场整体呈现跌后上涨走势，业者观望气氛浓厚，交投面维持清淡。具体来看，周内国际原油市场连续三日推涨，对国内油价形成利好支撑，主营单位坚挺守稳走势，中海油销售公司价格试探性回涨，不过成品油下调预期抑制市场，业者看跌情绪浓厚，操作依旧谨慎，实际成交价格上涨承压。福建地区周初价格震荡回落，下游终端需求面维持清淡局面，主营单位多保持量大优惠政策，贸易商购进热情不高，成交量有限。预计本轮成品油下调窗口落实后，主营下调意愿有限，相反受国际原油连续走高支撑，市场挺价推涨的可能性较大，但由于终端市场需求情况清淡，市场动力不足，大单操作谨慎，依旧维持刚需为主，成交仍保持量大优惠政策。</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30日-11月5日)，本周内国际油价走势震荡上涨，国内调价变化率维持低位，市场消息面支撑受限，下游入市心态不高。月初原油走势回落，本轮下调预期继续拉宽，消息面支撑疲软，华北主营单位挺价心态乏力，实际成交多延续优惠，市场明稳暗跌现象明显。其中天津、山东地区报价走跌50-100元/吨，河北、河南主营报价小幅调整，成交重心变化不大，山西石化成交优惠加深，下游多小单逢低补货，成交气氛维持淡稳。周四原油走势迎来“三连涨”，但临近计价周期末变化率影响受限，下调预期如期落实，部分单位小幅推涨，下游追涨气氛不高，成交气氛整体清淡。后市而言，受原油连涨影响，新一轮计价期初始挂靠油种均价重新站上40美元/桶，且变化率维持正向，消息面暂时得以好转，因此在下调预期落实后区内油价下调幅度受限，因华北市场负号柴油资源陆续上市，且市场需要仍存，预计柴油价格走势相对坚挺，但汽油需求偏弱，价格走势或继续下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30日-11月5日)，西北地炼汽柴行情略有松动，市场成交提升有限。分析来看：国际原油期价跌后反弹，但零售价下调仍如期兑现，消息面指向偏空。销售公司汽柴价格略有下滑，其中，汽油下调100元/吨，柴油下调50元/吨。虽然工程基建等行业积极赶工，且“双十一”活动启动，物流运输活跃，柴油需求较有支撑。随着成交价格回落，业者入市适量补货，市场成交稍有改善;汽油方面，下游需求一般，业者刚需补货为主，市场成交仍显清淡。就后市而言，美国大选期间，国际油价或维持窄幅波动为主，新一轮成品油零售价搁浅及小涨概率并存，消息面对市场指引有限，业者按需补货为主，市场成交难有明显提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(10月30日-11月5日)，西南地区汽柴行情维持跌势，市场购销两淡。分析来看：周内国际油价涨后反弹，但变化率维持负向较大区间运行，本轮零售价下调仍如期兑现，消息面对市场难有支撑。主营单位出货不畅，部分地区价格回落，但考虑到成本因素，下跌空间较为有限。虽然柴油需求逐步提升，下游库存消耗进度加快，但业者前期备货较多，近期补货仍显谨慎，市场成交仍显平淡;汽油需求缺乏利好支撑，业者刚需补货为主，市场成交寥寥。主营单位出货一般，大单成交按量议价为主。就后市而言，随着零售下调兑现，部分地区主营价格或有所跟跌。不过，在美国大选期间，如果没有新消息面的出台，原油市场或保持相对稳定的波动态势，消息面对市场缺乏明确指引。业者操作心态谨慎，市场成交刚需为主。预计短线西南地区汽柴行情跌后趋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进入下周，在美国大选期间，如果没有新消息面的出台，原油市场或保持相对稳定的波动态势。以WTI为例，主流运行区间在36-42(均值39)美元/桶之间，环比上涨1.88美元/桶或5.06%。在消息面持续利好刺激下，山东地区成品油行情有望保持涨势，建议下游买家可适当买进，但切记盲目大量囤货。综上所述，预计山东地炼汽柴油价格稳中上涨，涨幅在100元/吨。</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2020/11/5</w:t>
            </w:r>
          </w:p>
        </w:tc>
        <w:tc>
          <w:tcPr>
            <w:tcW w:w="12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2020/10/29</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bl>
    <w:p>
      <w:pPr>
        <w:rPr>
          <w:rFonts w:hint="eastAsia"/>
        </w:rPr>
      </w:pPr>
    </w:p>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70"/>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W w:w="9675" w:type="dxa"/>
        <w:tblInd w:w="0" w:type="dxa"/>
        <w:shd w:val="clear"/>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2020/11/5</w:t>
            </w:r>
          </w:p>
        </w:tc>
        <w:tc>
          <w:tcPr>
            <w:tcW w:w="15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2020/10/29</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709"/>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p>
      <w:pPr>
        <w:rPr>
          <w:rFonts w:hint="eastAsia"/>
          <w:bCs/>
          <w:szCs w:val="21"/>
          <w:lang w:val="en-US" w:eastAsia="zh-CN"/>
        </w:rPr>
      </w:pPr>
    </w:p>
    <w:tbl>
      <w:tblPr>
        <w:tblW w:w="9705" w:type="dxa"/>
        <w:tblInd w:w="0" w:type="dxa"/>
        <w:shd w:val="clear"/>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2020/11/5</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2020/10/29</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5225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5213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5284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5293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5467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3.6 山东地炼柴油出厂价格周报</w:t>
      </w:r>
    </w:p>
    <w:p>
      <w:pPr>
        <w:rPr>
          <w:rFonts w:hint="eastAsia" w:ascii="宋体" w:hAnsi="宋体"/>
          <w:b/>
          <w:sz w:val="10"/>
          <w:szCs w:val="10"/>
          <w:lang w:val="en-US" w:eastAsia="zh-CN"/>
        </w:rPr>
      </w:pPr>
      <w:r>
        <w:rPr>
          <w:rFonts w:hint="eastAsia"/>
          <w:bCs/>
          <w:szCs w:val="21"/>
          <w:lang w:val="en-US" w:eastAsia="zh-CN"/>
        </w:rPr>
        <w:t>单位：元/吨</w:t>
      </w:r>
    </w:p>
    <w:tbl>
      <w:tblPr>
        <w:tblW w:w="9630" w:type="dxa"/>
        <w:tblInd w:w="0" w:type="dxa"/>
        <w:shd w:val="clear"/>
        <w:tblLayout w:type="autofit"/>
        <w:tblCellMar>
          <w:top w:w="0" w:type="dxa"/>
          <w:left w:w="0" w:type="dxa"/>
          <w:bottom w:w="0" w:type="dxa"/>
          <w:right w:w="0" w:type="dxa"/>
        </w:tblCellMar>
      </w:tblPr>
      <w:tblGrid>
        <w:gridCol w:w="675"/>
        <w:gridCol w:w="1875"/>
        <w:gridCol w:w="1080"/>
        <w:gridCol w:w="1080"/>
        <w:gridCol w:w="1080"/>
        <w:gridCol w:w="1080"/>
        <w:gridCol w:w="1380"/>
        <w:gridCol w:w="1380"/>
      </w:tblGrid>
      <w:tr>
        <w:tblPrEx>
          <w:shd w:val="clear"/>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2020/11/5</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2020/10/29</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4540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4540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4300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5" w:name="_Toc10784"/>
      <w:r>
        <w:rPr>
          <w:rFonts w:hint="eastAsia" w:ascii="宋体" w:hAnsi="宋体"/>
          <w:b/>
          <w:sz w:val="30"/>
          <w:szCs w:val="30"/>
          <w:lang w:val="en-US" w:eastAsia="zh-CN"/>
        </w:rPr>
        <w:t>四、2020年9月份进出口统计数据</w:t>
      </w:r>
      <w:bookmarkEnd w:id="15"/>
    </w:p>
    <w:p>
      <w:pPr>
        <w:rPr>
          <w:rFonts w:hint="eastAsia"/>
        </w:rPr>
      </w:pPr>
    </w:p>
    <w:p>
      <w:pPr>
        <w:pStyle w:val="3"/>
        <w:spacing w:before="120" w:after="120" w:line="240" w:lineRule="auto"/>
        <w:rPr>
          <w:rFonts w:hint="eastAsia" w:ascii="宋体" w:hAnsi="宋体"/>
          <w:b/>
          <w:sz w:val="30"/>
          <w:szCs w:val="30"/>
        </w:rPr>
      </w:pPr>
      <w:bookmarkStart w:id="16" w:name="_Toc27774"/>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份全国车用汽油和航空汽油进出口统计数据</w:t>
      </w:r>
      <w:bookmarkEnd w:id="16"/>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555" w:type="dxa"/>
        <w:tblInd w:w="0" w:type="dxa"/>
        <w:shd w:val="clear" w:color="auto" w:fill="auto"/>
        <w:tblLayout w:type="autofit"/>
        <w:tblCellMar>
          <w:top w:w="0" w:type="dxa"/>
          <w:left w:w="0" w:type="dxa"/>
          <w:bottom w:w="0" w:type="dxa"/>
          <w:right w:w="0" w:type="dxa"/>
        </w:tblCellMar>
      </w:tblPr>
      <w:tblGrid>
        <w:gridCol w:w="1965"/>
        <w:gridCol w:w="2070"/>
        <w:gridCol w:w="2760"/>
        <w:gridCol w:w="2760"/>
      </w:tblGrid>
      <w:tr>
        <w:tblPrEx>
          <w:shd w:val="clear" w:color="auto" w:fill="auto"/>
          <w:tblCellMar>
            <w:top w:w="0" w:type="dxa"/>
            <w:left w:w="0" w:type="dxa"/>
            <w:bottom w:w="0" w:type="dxa"/>
            <w:right w:w="0" w:type="dxa"/>
          </w:tblCellMar>
        </w:tblPrEx>
        <w:trPr>
          <w:trHeight w:val="540" w:hRule="atLeast"/>
        </w:trPr>
        <w:tc>
          <w:tcPr>
            <w:tcW w:w="196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出口目的地</w:t>
            </w:r>
          </w:p>
        </w:tc>
        <w:tc>
          <w:tcPr>
            <w:tcW w:w="20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数量（吨）</w:t>
            </w:r>
          </w:p>
        </w:tc>
        <w:tc>
          <w:tcPr>
            <w:tcW w:w="27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出口金额（美元）</w:t>
            </w:r>
          </w:p>
        </w:tc>
        <w:tc>
          <w:tcPr>
            <w:tcW w:w="27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出口均价（美元/吨）</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巴基斯坦</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107000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38326450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358.19</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菲律宾</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205480.8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79011236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384.52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马来西亚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100056.6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38793849</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387.72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蒙古</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4924.38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2049005</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416.09</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缅甸</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6183.15</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2371622</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383.56</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墨西哥</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71100.49</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27201080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382.57</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尼日利亚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37000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12417200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335.6</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日本</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29487.86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4279507</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145.13</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新加坡</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530001</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191074668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360.52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印度尼西亚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68690.13</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25883116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376.81</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中国澳门</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5619.836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2048146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364.45</w:t>
            </w:r>
          </w:p>
        </w:tc>
      </w:tr>
    </w:tbl>
    <w:p>
      <w:pPr>
        <w:rPr>
          <w:rFonts w:hint="eastAsia"/>
        </w:rPr>
      </w:pPr>
    </w:p>
    <w:p>
      <w:pPr>
        <w:rPr>
          <w:rFonts w:hint="eastAsia"/>
        </w:rPr>
      </w:pPr>
    </w:p>
    <w:p>
      <w:pPr>
        <w:rPr>
          <w:rFonts w:hint="eastAsia"/>
        </w:rPr>
      </w:pPr>
    </w:p>
    <w:p>
      <w:pPr>
        <w:pStyle w:val="3"/>
        <w:spacing w:before="120" w:after="120" w:line="240" w:lineRule="auto"/>
        <w:rPr>
          <w:rFonts w:hint="eastAsia" w:ascii="宋体" w:hAnsi="宋体"/>
          <w:b/>
          <w:sz w:val="30"/>
          <w:szCs w:val="30"/>
        </w:rPr>
      </w:pPr>
      <w:bookmarkStart w:id="17" w:name="_Toc20292"/>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7"/>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B0F0"/>
                <w:szCs w:val="21"/>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8" w:name="_Toc533771879"/>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19" w:name="_Toc31298"/>
      <w:bookmarkStart w:id="20" w:name="_Toc19589"/>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5298" w:type="pct"/>
        <w:tblInd w:w="0" w:type="dxa"/>
        <w:tblLayout w:type="fixed"/>
        <w:tblCellMar>
          <w:top w:w="0" w:type="dxa"/>
          <w:left w:w="108" w:type="dxa"/>
          <w:bottom w:w="0" w:type="dxa"/>
          <w:right w:w="108" w:type="dxa"/>
        </w:tblCellMar>
      </w:tblPr>
      <w:tblGrid>
        <w:gridCol w:w="452"/>
        <w:gridCol w:w="989"/>
        <w:gridCol w:w="780"/>
        <w:gridCol w:w="1491"/>
        <w:gridCol w:w="1530"/>
        <w:gridCol w:w="2025"/>
        <w:gridCol w:w="1485"/>
        <w:gridCol w:w="1690"/>
      </w:tblGrid>
      <w:tr>
        <w:tblPrEx>
          <w:tblCellMar>
            <w:top w:w="0" w:type="dxa"/>
            <w:left w:w="108" w:type="dxa"/>
            <w:bottom w:w="0" w:type="dxa"/>
            <w:right w:w="108" w:type="dxa"/>
          </w:tblCellMar>
        </w:tblPrEx>
        <w:trPr>
          <w:trHeight w:val="1230" w:hRule="atLeast"/>
        </w:trPr>
        <w:tc>
          <w:tcPr>
            <w:tcW w:w="216"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产品</w:t>
            </w:r>
          </w:p>
        </w:tc>
        <w:tc>
          <w:tcPr>
            <w:tcW w:w="47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年度</w:t>
            </w:r>
          </w:p>
        </w:tc>
        <w:tc>
          <w:tcPr>
            <w:tcW w:w="37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月份</w:t>
            </w:r>
          </w:p>
        </w:tc>
        <w:tc>
          <w:tcPr>
            <w:tcW w:w="71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4"/>
                <w:szCs w:val="24"/>
              </w:rPr>
              <w:t>产销国</w:t>
            </w:r>
          </w:p>
        </w:tc>
        <w:tc>
          <w:tcPr>
            <w:tcW w:w="732"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进口数量/吨</w:t>
            </w:r>
          </w:p>
        </w:tc>
        <w:tc>
          <w:tcPr>
            <w:tcW w:w="969"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进口金额/美元</w:t>
            </w:r>
          </w:p>
        </w:tc>
        <w:tc>
          <w:tcPr>
            <w:tcW w:w="711"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出口数量/吨</w:t>
            </w:r>
          </w:p>
        </w:tc>
        <w:tc>
          <w:tcPr>
            <w:tcW w:w="809"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出口金额/美元</w:t>
            </w:r>
          </w:p>
        </w:tc>
      </w:tr>
      <w:tr>
        <w:tblPrEx>
          <w:tblCellMar>
            <w:top w:w="0" w:type="dxa"/>
            <w:left w:w="108" w:type="dxa"/>
            <w:bottom w:w="0" w:type="dxa"/>
            <w:right w:w="108" w:type="dxa"/>
          </w:tblCellMar>
        </w:tblPrEx>
        <w:trPr>
          <w:trHeight w:val="485" w:hRule="atLeast"/>
        </w:trPr>
        <w:tc>
          <w:tcPr>
            <w:tcW w:w="216" w:type="pct"/>
            <w:vMerge w:val="restart"/>
            <w:tcBorders>
              <w:top w:val="nil"/>
              <w:left w:val="single" w:color="333333" w:sz="8" w:space="0"/>
              <w:bottom w:val="nil"/>
              <w:right w:val="single" w:color="333333" w:sz="8" w:space="0"/>
            </w:tcBorders>
            <w:shd w:val="clear" w:color="auto" w:fill="auto"/>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石油原油(包括从沥青矿物提取的原油)</w:t>
            </w: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阿联酋</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3490125.04</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1101288882.00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1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阿曼</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3645857.68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1215753839.00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阿塞拜疆</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275539.32</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103384138.00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安哥拉</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3347155.38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1096450734.00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巴西</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4494925.54</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1437832292.00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29"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赤道几内亚</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137928.67</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53229022.00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0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7478331.11</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2414208600.00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厄瓜多尔</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401131.98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123972980.00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刚果(布)</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643117.92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220792245.00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哥伦比亚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983959.23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289918815.00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4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圭亚那</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131475.87</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44051884.00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哈萨克斯坦</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16286.69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4727484.00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9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韩国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129956.08</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46063866.00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96389.44</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26004847.00</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加拿大</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297250.52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61055948.00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加纳</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258219.50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89304513.00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加蓬</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608468.49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202319027.00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喀麦隆</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267269.83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86174262.00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卡塔尔</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1305815.77</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454206428.00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0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科威特</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1807302.00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595666871.00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马来西亚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441526.81</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150735546.00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6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美国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3897357.30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1349931395.00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95485.18</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17743024.00</w:t>
            </w:r>
          </w:p>
        </w:tc>
      </w:tr>
      <w:tr>
        <w:tblPrEx>
          <w:tblCellMar>
            <w:top w:w="0" w:type="dxa"/>
            <w:left w:w="108" w:type="dxa"/>
            <w:bottom w:w="0" w:type="dxa"/>
            <w:right w:w="108" w:type="dxa"/>
          </w:tblCellMar>
        </w:tblPrEx>
        <w:trPr>
          <w:trHeight w:val="29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蒙古</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75492.62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17382864.00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南苏丹共和国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333948.20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115786264.00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尼日利亚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316481.14</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95093821.00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挪威</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806188.04</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230623480.00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沙特阿拉伯</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7784322.93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2633840412.00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伊拉克</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3653974.55</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1202928668.00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04"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伊朗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678132.75</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224625079.00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5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印度尼西亚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142819.39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48657022.00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2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越南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361242.82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137363915.00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乍得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270039.30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85753769.00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9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缅甸</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130095.74</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38664142.00</w:t>
            </w:r>
          </w:p>
        </w:tc>
      </w:tr>
      <w:tr>
        <w:tblPrEx>
          <w:tblCellMar>
            <w:top w:w="0" w:type="dxa"/>
            <w:left w:w="108" w:type="dxa"/>
            <w:bottom w:w="0" w:type="dxa"/>
            <w:right w:w="108" w:type="dxa"/>
          </w:tblCellMar>
        </w:tblPrEx>
        <w:trPr>
          <w:trHeight w:val="405" w:hRule="atLeast"/>
        </w:trPr>
        <w:tc>
          <w:tcPr>
            <w:tcW w:w="1777" w:type="pct"/>
            <w:gridSpan w:val="4"/>
            <w:tcBorders>
              <w:top w:val="single" w:color="333333" w:sz="8" w:space="0"/>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b/>
                <w:bCs/>
                <w:color w:val="333333"/>
                <w:kern w:val="0"/>
                <w:sz w:val="21"/>
                <w:szCs w:val="21"/>
              </w:rPr>
            </w:pPr>
            <w:r>
              <w:rPr>
                <w:rFonts w:hint="eastAsia" w:asciiTheme="minorEastAsia" w:hAnsiTheme="minorEastAsia" w:eastAsiaTheme="minorEastAsia" w:cstheme="minorEastAsia"/>
                <w:b/>
                <w:bCs/>
                <w:color w:val="333333"/>
                <w:kern w:val="0"/>
                <w:sz w:val="21"/>
                <w:szCs w:val="21"/>
              </w:rPr>
              <w:t>2020年9月合计</w:t>
            </w:r>
          </w:p>
        </w:tc>
        <w:tc>
          <w:tcPr>
            <w:tcW w:w="732"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48481642.44</w:t>
            </w:r>
          </w:p>
        </w:tc>
        <w:tc>
          <w:tcPr>
            <w:tcW w:w="969"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15933124065.00</w:t>
            </w:r>
          </w:p>
        </w:tc>
        <w:tc>
          <w:tcPr>
            <w:tcW w:w="711"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321970.35</w:t>
            </w:r>
          </w:p>
        </w:tc>
        <w:tc>
          <w:tcPr>
            <w:tcW w:w="809"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82412013.00</w:t>
            </w:r>
          </w:p>
        </w:tc>
      </w:tr>
    </w:tbl>
    <w:p>
      <w:pPr>
        <w:jc w:val="center"/>
        <w:rPr>
          <w:rFonts w:hint="eastAsia"/>
          <w:bCs/>
          <w:szCs w:val="21"/>
        </w:rPr>
      </w:pP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月份全国航空煤油进出口统计数据</w:t>
      </w:r>
      <w:bookmarkEnd w:id="20"/>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8"/>
    <w:tbl>
      <w:tblPr>
        <w:tblStyle w:val="24"/>
        <w:tblW w:w="10054" w:type="dxa"/>
        <w:tblInd w:w="0" w:type="dxa"/>
        <w:shd w:val="clear" w:color="auto" w:fill="auto"/>
        <w:tblLayout w:type="autofit"/>
        <w:tblCellMar>
          <w:top w:w="0" w:type="dxa"/>
          <w:left w:w="0" w:type="dxa"/>
          <w:bottom w:w="0" w:type="dxa"/>
          <w:right w:w="0" w:type="dxa"/>
        </w:tblCellMar>
      </w:tblPr>
      <w:tblGrid>
        <w:gridCol w:w="1594"/>
        <w:gridCol w:w="1920"/>
        <w:gridCol w:w="1755"/>
        <w:gridCol w:w="2340"/>
        <w:gridCol w:w="2445"/>
      </w:tblGrid>
      <w:tr>
        <w:tblPrEx>
          <w:shd w:val="clear" w:color="auto" w:fill="auto"/>
          <w:tblCellMar>
            <w:top w:w="0" w:type="dxa"/>
            <w:left w:w="0" w:type="dxa"/>
            <w:bottom w:w="0" w:type="dxa"/>
            <w:right w:w="0" w:type="dxa"/>
          </w:tblCellMar>
        </w:tblPrEx>
        <w:trPr>
          <w:trHeight w:val="535" w:hRule="atLeast"/>
        </w:trPr>
        <w:tc>
          <w:tcPr>
            <w:tcW w:w="1594"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国家</w:t>
            </w:r>
          </w:p>
        </w:tc>
        <w:tc>
          <w:tcPr>
            <w:tcW w:w="192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进口数量/吨</w:t>
            </w:r>
          </w:p>
        </w:tc>
        <w:tc>
          <w:tcPr>
            <w:tcW w:w="175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进口金额/美元</w:t>
            </w:r>
          </w:p>
        </w:tc>
        <w:tc>
          <w:tcPr>
            <w:tcW w:w="234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出口数量/吨</w:t>
            </w:r>
          </w:p>
        </w:tc>
        <w:tc>
          <w:tcPr>
            <w:tcW w:w="244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出口金额/美元</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阿联酋</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2744.672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1234961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阿塞拜疆</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2717.443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1264127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埃及</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7172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埃塞俄比亚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3318.957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1538869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澳大利亚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79519.516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39356889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巴基斯坦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319.065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151825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比利时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4571.891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2144597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朝鲜</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7.363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丹麦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45.982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22071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德国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2700.689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1235522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俄罗斯联邦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9167.364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3891614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法国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231.726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93932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菲律宾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13797.583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4582306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芬兰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410.528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188931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哈萨克斯坦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231.837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96791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韩国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187565.403</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64580585</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11999.295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3518461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荷兰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4208.956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1919326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吉尔吉斯斯坦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353.326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108146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加拿大</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634.516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289609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柬埔寨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6.194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2973</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卡塔尔</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12161.421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4672017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拉脱维亚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86.498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卢森堡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15721.127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7644926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马来西亚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471.021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217515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美国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18905.84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7748597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孟加拉国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9663.311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2331757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秘鲁</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44.073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21155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缅甸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1429.284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501250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墨西哥</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108.233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日本</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3527.845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1569438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3497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瑞士</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721.8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326174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斯里兰卡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106.467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48782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塔吉克斯坦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81.509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24948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泰国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318.319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146544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土耳其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2557.88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1165454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文莱</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4.344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2042</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乌兹别克斯坦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692.444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292519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西班牙</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68.945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33094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新加坡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150.037</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53432</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6537.146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3132036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新西兰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1323.043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610836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伊朗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969.216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401760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意大利</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818.17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印度尼西亚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133.739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62990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英国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28870.184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12110264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越南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8586.323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1486437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中国澳门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103.405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47488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中国台湾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971.601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423659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中国香港</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6974.191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2726924</w:t>
            </w:r>
          </w:p>
        </w:tc>
      </w:tr>
      <w:tr>
        <w:tblPrEx>
          <w:tblCellMar>
            <w:top w:w="0" w:type="dxa"/>
            <w:left w:w="0" w:type="dxa"/>
            <w:bottom w:w="0" w:type="dxa"/>
            <w:right w:w="0" w:type="dxa"/>
          </w:tblCellMar>
        </w:tblPrEx>
        <w:trPr>
          <w:trHeight w:val="285" w:hRule="atLeast"/>
        </w:trPr>
        <w:tc>
          <w:tcPr>
            <w:tcW w:w="1594" w:type="dxa"/>
            <w:tcBorders>
              <w:top w:val="single" w:color="000000" w:sz="8" w:space="0"/>
              <w:left w:val="single" w:color="000000" w:sz="8" w:space="0"/>
              <w:bottom w:val="single" w:color="000000" w:sz="8" w:space="0"/>
              <w:right w:val="single" w:color="000000" w:sz="8"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合计</w:t>
            </w:r>
          </w:p>
        </w:tc>
        <w:tc>
          <w:tcPr>
            <w:tcW w:w="192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187715.44</w:t>
            </w:r>
          </w:p>
        </w:tc>
        <w:tc>
          <w:tcPr>
            <w:tcW w:w="175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64634017</w:t>
            </w:r>
          </w:p>
        </w:tc>
        <w:tc>
          <w:tcPr>
            <w:tcW w:w="234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258967.62</w:t>
            </w:r>
          </w:p>
        </w:tc>
        <w:tc>
          <w:tcPr>
            <w:tcW w:w="244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109791459</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E2CFE"/>
    <w:rsid w:val="02526173"/>
    <w:rsid w:val="029A6633"/>
    <w:rsid w:val="029F2908"/>
    <w:rsid w:val="02AC60AA"/>
    <w:rsid w:val="02B87E06"/>
    <w:rsid w:val="02D71373"/>
    <w:rsid w:val="02D85611"/>
    <w:rsid w:val="02FE589D"/>
    <w:rsid w:val="031B1C80"/>
    <w:rsid w:val="03211A1D"/>
    <w:rsid w:val="0324523D"/>
    <w:rsid w:val="03331E75"/>
    <w:rsid w:val="034407FB"/>
    <w:rsid w:val="034F6246"/>
    <w:rsid w:val="03562125"/>
    <w:rsid w:val="035F2635"/>
    <w:rsid w:val="036D5E24"/>
    <w:rsid w:val="037413B6"/>
    <w:rsid w:val="03A57F11"/>
    <w:rsid w:val="03C968EE"/>
    <w:rsid w:val="040707FC"/>
    <w:rsid w:val="042972F1"/>
    <w:rsid w:val="044E5434"/>
    <w:rsid w:val="045E1E00"/>
    <w:rsid w:val="04684ED7"/>
    <w:rsid w:val="048101D3"/>
    <w:rsid w:val="048C7CAA"/>
    <w:rsid w:val="04987F00"/>
    <w:rsid w:val="04A45D71"/>
    <w:rsid w:val="04B04E89"/>
    <w:rsid w:val="04BF7371"/>
    <w:rsid w:val="04C829A7"/>
    <w:rsid w:val="04E22C17"/>
    <w:rsid w:val="04F36106"/>
    <w:rsid w:val="04F4133B"/>
    <w:rsid w:val="05021B01"/>
    <w:rsid w:val="05292B71"/>
    <w:rsid w:val="052C0D66"/>
    <w:rsid w:val="05314FD7"/>
    <w:rsid w:val="053B1A3D"/>
    <w:rsid w:val="05500555"/>
    <w:rsid w:val="0558720E"/>
    <w:rsid w:val="057F2A2A"/>
    <w:rsid w:val="05894C8A"/>
    <w:rsid w:val="05993019"/>
    <w:rsid w:val="05C01E8E"/>
    <w:rsid w:val="05D708A6"/>
    <w:rsid w:val="06002DF6"/>
    <w:rsid w:val="06153E6E"/>
    <w:rsid w:val="0618444D"/>
    <w:rsid w:val="062A6CB4"/>
    <w:rsid w:val="06300679"/>
    <w:rsid w:val="067746D4"/>
    <w:rsid w:val="069C6A8D"/>
    <w:rsid w:val="06B9287B"/>
    <w:rsid w:val="06DA3028"/>
    <w:rsid w:val="06E3294D"/>
    <w:rsid w:val="06F31CB3"/>
    <w:rsid w:val="06F93008"/>
    <w:rsid w:val="0718687A"/>
    <w:rsid w:val="071A60E7"/>
    <w:rsid w:val="07252677"/>
    <w:rsid w:val="076C6634"/>
    <w:rsid w:val="07820AB4"/>
    <w:rsid w:val="079B346A"/>
    <w:rsid w:val="07CC2D78"/>
    <w:rsid w:val="07CC4016"/>
    <w:rsid w:val="07D15C8A"/>
    <w:rsid w:val="07E76A1F"/>
    <w:rsid w:val="080158C0"/>
    <w:rsid w:val="0809715C"/>
    <w:rsid w:val="080A4814"/>
    <w:rsid w:val="0820276D"/>
    <w:rsid w:val="082F1BCD"/>
    <w:rsid w:val="08573B5A"/>
    <w:rsid w:val="086F6B65"/>
    <w:rsid w:val="08A4401C"/>
    <w:rsid w:val="08A55AD2"/>
    <w:rsid w:val="08CD17C0"/>
    <w:rsid w:val="0918731F"/>
    <w:rsid w:val="091D1431"/>
    <w:rsid w:val="09223CDC"/>
    <w:rsid w:val="09371EEF"/>
    <w:rsid w:val="093F6B95"/>
    <w:rsid w:val="09524755"/>
    <w:rsid w:val="095B63CA"/>
    <w:rsid w:val="09701692"/>
    <w:rsid w:val="09717916"/>
    <w:rsid w:val="098251C0"/>
    <w:rsid w:val="0984738F"/>
    <w:rsid w:val="098C4592"/>
    <w:rsid w:val="098C467A"/>
    <w:rsid w:val="09915D75"/>
    <w:rsid w:val="0996332C"/>
    <w:rsid w:val="09BE1AF4"/>
    <w:rsid w:val="09E0028A"/>
    <w:rsid w:val="09E31010"/>
    <w:rsid w:val="09F11ACB"/>
    <w:rsid w:val="09FB6243"/>
    <w:rsid w:val="0A047BEC"/>
    <w:rsid w:val="0A06506B"/>
    <w:rsid w:val="0A0A6618"/>
    <w:rsid w:val="0A29795D"/>
    <w:rsid w:val="0A2A7E86"/>
    <w:rsid w:val="0A2D68BE"/>
    <w:rsid w:val="0A3C22BA"/>
    <w:rsid w:val="0A3D34F3"/>
    <w:rsid w:val="0A557C07"/>
    <w:rsid w:val="0A5B4AF5"/>
    <w:rsid w:val="0A75433E"/>
    <w:rsid w:val="0A796F7C"/>
    <w:rsid w:val="0A7B7455"/>
    <w:rsid w:val="0AA33DAF"/>
    <w:rsid w:val="0AB608CB"/>
    <w:rsid w:val="0AC60296"/>
    <w:rsid w:val="0AD32487"/>
    <w:rsid w:val="0AE31AD5"/>
    <w:rsid w:val="0B017D09"/>
    <w:rsid w:val="0B0715B1"/>
    <w:rsid w:val="0B0F0B26"/>
    <w:rsid w:val="0B400CB2"/>
    <w:rsid w:val="0B421176"/>
    <w:rsid w:val="0B4B49C1"/>
    <w:rsid w:val="0B721C38"/>
    <w:rsid w:val="0B860805"/>
    <w:rsid w:val="0B945C54"/>
    <w:rsid w:val="0BB16187"/>
    <w:rsid w:val="0BCE6861"/>
    <w:rsid w:val="0BDC4FBC"/>
    <w:rsid w:val="0BDF0A5F"/>
    <w:rsid w:val="0C08318F"/>
    <w:rsid w:val="0C1E7ABD"/>
    <w:rsid w:val="0C270CC3"/>
    <w:rsid w:val="0C586B50"/>
    <w:rsid w:val="0C586E44"/>
    <w:rsid w:val="0C7F402D"/>
    <w:rsid w:val="0C822A19"/>
    <w:rsid w:val="0C930A24"/>
    <w:rsid w:val="0CB81916"/>
    <w:rsid w:val="0CD123E3"/>
    <w:rsid w:val="0CE32FB8"/>
    <w:rsid w:val="0CE44838"/>
    <w:rsid w:val="0D206C21"/>
    <w:rsid w:val="0D731CA1"/>
    <w:rsid w:val="0D775B07"/>
    <w:rsid w:val="0D893BAC"/>
    <w:rsid w:val="0D952410"/>
    <w:rsid w:val="0DA370DA"/>
    <w:rsid w:val="0DA7099A"/>
    <w:rsid w:val="0DB01CE1"/>
    <w:rsid w:val="0DBA1705"/>
    <w:rsid w:val="0DC46B30"/>
    <w:rsid w:val="0DC9706D"/>
    <w:rsid w:val="0DD115AA"/>
    <w:rsid w:val="0DEA06F6"/>
    <w:rsid w:val="0E01030B"/>
    <w:rsid w:val="0E04318C"/>
    <w:rsid w:val="0E274301"/>
    <w:rsid w:val="0E31785B"/>
    <w:rsid w:val="0E5C0982"/>
    <w:rsid w:val="0E730195"/>
    <w:rsid w:val="0E803657"/>
    <w:rsid w:val="0E8B35C9"/>
    <w:rsid w:val="0E9742FB"/>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5808CC"/>
    <w:rsid w:val="0F666559"/>
    <w:rsid w:val="0F790BDF"/>
    <w:rsid w:val="0F7D42FE"/>
    <w:rsid w:val="0F820E85"/>
    <w:rsid w:val="0F8A41FA"/>
    <w:rsid w:val="0F9B4E2A"/>
    <w:rsid w:val="0FB045CC"/>
    <w:rsid w:val="0FC910AB"/>
    <w:rsid w:val="0FD23F99"/>
    <w:rsid w:val="0FEF79AA"/>
    <w:rsid w:val="101C7D06"/>
    <w:rsid w:val="1024515A"/>
    <w:rsid w:val="1046198D"/>
    <w:rsid w:val="105F3A71"/>
    <w:rsid w:val="106D475B"/>
    <w:rsid w:val="10BA0A0E"/>
    <w:rsid w:val="10CE39DE"/>
    <w:rsid w:val="10FA6B68"/>
    <w:rsid w:val="10FF5E5F"/>
    <w:rsid w:val="11365062"/>
    <w:rsid w:val="11422692"/>
    <w:rsid w:val="11590029"/>
    <w:rsid w:val="117F7F48"/>
    <w:rsid w:val="1265739D"/>
    <w:rsid w:val="12662947"/>
    <w:rsid w:val="12BE2ADE"/>
    <w:rsid w:val="12D8263D"/>
    <w:rsid w:val="130B16E4"/>
    <w:rsid w:val="13267B35"/>
    <w:rsid w:val="134A6D86"/>
    <w:rsid w:val="13594CF7"/>
    <w:rsid w:val="135A728A"/>
    <w:rsid w:val="13772D89"/>
    <w:rsid w:val="138744BB"/>
    <w:rsid w:val="13B45FC3"/>
    <w:rsid w:val="13DB164D"/>
    <w:rsid w:val="13E7373B"/>
    <w:rsid w:val="13FE142E"/>
    <w:rsid w:val="14176463"/>
    <w:rsid w:val="144B6D3F"/>
    <w:rsid w:val="14546EAA"/>
    <w:rsid w:val="147759A4"/>
    <w:rsid w:val="147A75E5"/>
    <w:rsid w:val="149C7CF0"/>
    <w:rsid w:val="14BC21CE"/>
    <w:rsid w:val="14BE2339"/>
    <w:rsid w:val="14BF4DCE"/>
    <w:rsid w:val="14D56BF6"/>
    <w:rsid w:val="14E36C24"/>
    <w:rsid w:val="14F32D76"/>
    <w:rsid w:val="14F5216B"/>
    <w:rsid w:val="15060A70"/>
    <w:rsid w:val="151B73F8"/>
    <w:rsid w:val="15211EFF"/>
    <w:rsid w:val="15353F74"/>
    <w:rsid w:val="154F205D"/>
    <w:rsid w:val="15615E0F"/>
    <w:rsid w:val="156D2843"/>
    <w:rsid w:val="15701AB8"/>
    <w:rsid w:val="159001BC"/>
    <w:rsid w:val="15B939D5"/>
    <w:rsid w:val="15D83B2E"/>
    <w:rsid w:val="15DD70EA"/>
    <w:rsid w:val="15E11AB3"/>
    <w:rsid w:val="15E25134"/>
    <w:rsid w:val="15E8785D"/>
    <w:rsid w:val="16113EF1"/>
    <w:rsid w:val="16116F4B"/>
    <w:rsid w:val="162E280E"/>
    <w:rsid w:val="164206BE"/>
    <w:rsid w:val="16600954"/>
    <w:rsid w:val="16734EEE"/>
    <w:rsid w:val="1691331C"/>
    <w:rsid w:val="16D82413"/>
    <w:rsid w:val="16E22B33"/>
    <w:rsid w:val="16F85570"/>
    <w:rsid w:val="17116BE2"/>
    <w:rsid w:val="17194D7A"/>
    <w:rsid w:val="172078E9"/>
    <w:rsid w:val="172D12A6"/>
    <w:rsid w:val="173C1948"/>
    <w:rsid w:val="17464B66"/>
    <w:rsid w:val="175B5D81"/>
    <w:rsid w:val="17652D76"/>
    <w:rsid w:val="177742FF"/>
    <w:rsid w:val="177778D5"/>
    <w:rsid w:val="177C4324"/>
    <w:rsid w:val="179E41EC"/>
    <w:rsid w:val="17BD7A6D"/>
    <w:rsid w:val="182A5943"/>
    <w:rsid w:val="18704C74"/>
    <w:rsid w:val="18CA4E8D"/>
    <w:rsid w:val="18FC46F8"/>
    <w:rsid w:val="191B1724"/>
    <w:rsid w:val="194573ED"/>
    <w:rsid w:val="195D29F2"/>
    <w:rsid w:val="196465FF"/>
    <w:rsid w:val="196B6E10"/>
    <w:rsid w:val="198154A5"/>
    <w:rsid w:val="19850C75"/>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BE2D20"/>
    <w:rsid w:val="1ACC4B7F"/>
    <w:rsid w:val="1AD34CD1"/>
    <w:rsid w:val="1AD417D6"/>
    <w:rsid w:val="1AE7665A"/>
    <w:rsid w:val="1B393D9E"/>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C609D9"/>
    <w:rsid w:val="1CDC7753"/>
    <w:rsid w:val="1CEC4A0D"/>
    <w:rsid w:val="1D1712A0"/>
    <w:rsid w:val="1D2B7B9F"/>
    <w:rsid w:val="1D305274"/>
    <w:rsid w:val="1D3F5714"/>
    <w:rsid w:val="1D466011"/>
    <w:rsid w:val="1D487015"/>
    <w:rsid w:val="1D547E28"/>
    <w:rsid w:val="1D655DB6"/>
    <w:rsid w:val="1D980258"/>
    <w:rsid w:val="1D9C1F14"/>
    <w:rsid w:val="1DB113DA"/>
    <w:rsid w:val="1DFB4E0B"/>
    <w:rsid w:val="1E196DA1"/>
    <w:rsid w:val="1E2278F4"/>
    <w:rsid w:val="1E4062B7"/>
    <w:rsid w:val="1E5542C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6B3A34"/>
    <w:rsid w:val="1F751CBE"/>
    <w:rsid w:val="1F7D6B10"/>
    <w:rsid w:val="1F963D6D"/>
    <w:rsid w:val="1F98363F"/>
    <w:rsid w:val="1FA70F8C"/>
    <w:rsid w:val="1FBF488C"/>
    <w:rsid w:val="1FCD7675"/>
    <w:rsid w:val="1FD377B1"/>
    <w:rsid w:val="1FEF77E1"/>
    <w:rsid w:val="1FFC155B"/>
    <w:rsid w:val="20010BD0"/>
    <w:rsid w:val="20137C9A"/>
    <w:rsid w:val="20261774"/>
    <w:rsid w:val="202A3AEF"/>
    <w:rsid w:val="203A4D2E"/>
    <w:rsid w:val="204030A0"/>
    <w:rsid w:val="205B78B2"/>
    <w:rsid w:val="205C4184"/>
    <w:rsid w:val="206558CE"/>
    <w:rsid w:val="206901B1"/>
    <w:rsid w:val="2078018B"/>
    <w:rsid w:val="209323D8"/>
    <w:rsid w:val="20AD55FF"/>
    <w:rsid w:val="20C12FDC"/>
    <w:rsid w:val="20C55A62"/>
    <w:rsid w:val="211001E9"/>
    <w:rsid w:val="21147D43"/>
    <w:rsid w:val="2119067D"/>
    <w:rsid w:val="21216F1B"/>
    <w:rsid w:val="215A4604"/>
    <w:rsid w:val="217C7ED4"/>
    <w:rsid w:val="21862B07"/>
    <w:rsid w:val="21973788"/>
    <w:rsid w:val="219A3406"/>
    <w:rsid w:val="21A70D61"/>
    <w:rsid w:val="21B2244C"/>
    <w:rsid w:val="21C30EF9"/>
    <w:rsid w:val="21D956E3"/>
    <w:rsid w:val="21EF7C0A"/>
    <w:rsid w:val="221551D8"/>
    <w:rsid w:val="224E7428"/>
    <w:rsid w:val="2261560B"/>
    <w:rsid w:val="227918A6"/>
    <w:rsid w:val="22944164"/>
    <w:rsid w:val="229674ED"/>
    <w:rsid w:val="22AC485D"/>
    <w:rsid w:val="22D174A6"/>
    <w:rsid w:val="22E67532"/>
    <w:rsid w:val="230F16FC"/>
    <w:rsid w:val="231C2E7E"/>
    <w:rsid w:val="232A4048"/>
    <w:rsid w:val="233344E4"/>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50D3E66"/>
    <w:rsid w:val="252754C5"/>
    <w:rsid w:val="252D3F69"/>
    <w:rsid w:val="2547370A"/>
    <w:rsid w:val="25585795"/>
    <w:rsid w:val="25740BBD"/>
    <w:rsid w:val="25955E96"/>
    <w:rsid w:val="259B6E31"/>
    <w:rsid w:val="25B677AD"/>
    <w:rsid w:val="25B904A8"/>
    <w:rsid w:val="25FD0304"/>
    <w:rsid w:val="261447E7"/>
    <w:rsid w:val="26162D47"/>
    <w:rsid w:val="26417898"/>
    <w:rsid w:val="26442276"/>
    <w:rsid w:val="26552532"/>
    <w:rsid w:val="26AD0D8B"/>
    <w:rsid w:val="26C17431"/>
    <w:rsid w:val="26C545A4"/>
    <w:rsid w:val="26C94300"/>
    <w:rsid w:val="26DF7D7C"/>
    <w:rsid w:val="26EE1723"/>
    <w:rsid w:val="26F154C7"/>
    <w:rsid w:val="26FD7030"/>
    <w:rsid w:val="27080E2E"/>
    <w:rsid w:val="270D21C6"/>
    <w:rsid w:val="277F5A23"/>
    <w:rsid w:val="27A7464B"/>
    <w:rsid w:val="28011EB5"/>
    <w:rsid w:val="28092464"/>
    <w:rsid w:val="282C5A3A"/>
    <w:rsid w:val="283F32F7"/>
    <w:rsid w:val="2855423F"/>
    <w:rsid w:val="285E5BE3"/>
    <w:rsid w:val="28611CC2"/>
    <w:rsid w:val="286D2B55"/>
    <w:rsid w:val="28721E59"/>
    <w:rsid w:val="28892109"/>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84ABC"/>
    <w:rsid w:val="29F5410D"/>
    <w:rsid w:val="2A1503FE"/>
    <w:rsid w:val="2A194990"/>
    <w:rsid w:val="2A215E5E"/>
    <w:rsid w:val="2A252C4C"/>
    <w:rsid w:val="2A3E7B5A"/>
    <w:rsid w:val="2A6B55C6"/>
    <w:rsid w:val="2A8475EE"/>
    <w:rsid w:val="2A951C8C"/>
    <w:rsid w:val="2A953E86"/>
    <w:rsid w:val="2A9B26F1"/>
    <w:rsid w:val="2AB25451"/>
    <w:rsid w:val="2AC063B7"/>
    <w:rsid w:val="2ACB5B48"/>
    <w:rsid w:val="2ACD0874"/>
    <w:rsid w:val="2AD267B8"/>
    <w:rsid w:val="2AD8059C"/>
    <w:rsid w:val="2B0A5818"/>
    <w:rsid w:val="2B0D737C"/>
    <w:rsid w:val="2B0F004D"/>
    <w:rsid w:val="2B154A20"/>
    <w:rsid w:val="2B6638DE"/>
    <w:rsid w:val="2B84406F"/>
    <w:rsid w:val="2B8F58E2"/>
    <w:rsid w:val="2BA07FAD"/>
    <w:rsid w:val="2BBF0DDA"/>
    <w:rsid w:val="2BE5055C"/>
    <w:rsid w:val="2BED5A7C"/>
    <w:rsid w:val="2BF858F4"/>
    <w:rsid w:val="2BFC6315"/>
    <w:rsid w:val="2BFD5564"/>
    <w:rsid w:val="2C4C1107"/>
    <w:rsid w:val="2C7C5CC5"/>
    <w:rsid w:val="2C811341"/>
    <w:rsid w:val="2C823F4E"/>
    <w:rsid w:val="2CAD067B"/>
    <w:rsid w:val="2CFD0FC0"/>
    <w:rsid w:val="2D050EBF"/>
    <w:rsid w:val="2D2A25A1"/>
    <w:rsid w:val="2D4D17E5"/>
    <w:rsid w:val="2D6F58D8"/>
    <w:rsid w:val="2D892B5C"/>
    <w:rsid w:val="2DB328B9"/>
    <w:rsid w:val="2DC6450C"/>
    <w:rsid w:val="2DD85082"/>
    <w:rsid w:val="2DE11692"/>
    <w:rsid w:val="2DF24F64"/>
    <w:rsid w:val="2DF5641D"/>
    <w:rsid w:val="2DF644E3"/>
    <w:rsid w:val="2E0D40F5"/>
    <w:rsid w:val="2E2F56E6"/>
    <w:rsid w:val="2E4A7323"/>
    <w:rsid w:val="2E98229F"/>
    <w:rsid w:val="2EA56E95"/>
    <w:rsid w:val="2EA673C9"/>
    <w:rsid w:val="2ECA710C"/>
    <w:rsid w:val="2ED4404D"/>
    <w:rsid w:val="2ED50475"/>
    <w:rsid w:val="2EE365C8"/>
    <w:rsid w:val="2F090AB4"/>
    <w:rsid w:val="2F13732E"/>
    <w:rsid w:val="2F336BA3"/>
    <w:rsid w:val="2F5621A6"/>
    <w:rsid w:val="2F66411F"/>
    <w:rsid w:val="2F9E2267"/>
    <w:rsid w:val="2FA5716E"/>
    <w:rsid w:val="2FBE7D06"/>
    <w:rsid w:val="2FD85581"/>
    <w:rsid w:val="2FE513F6"/>
    <w:rsid w:val="2FE91ED2"/>
    <w:rsid w:val="2FF22D62"/>
    <w:rsid w:val="30037E76"/>
    <w:rsid w:val="300B0CEC"/>
    <w:rsid w:val="301B31E2"/>
    <w:rsid w:val="302909D7"/>
    <w:rsid w:val="30320AA9"/>
    <w:rsid w:val="30427218"/>
    <w:rsid w:val="30664FDE"/>
    <w:rsid w:val="30A00CB5"/>
    <w:rsid w:val="30AF5F22"/>
    <w:rsid w:val="30C14186"/>
    <w:rsid w:val="30D71496"/>
    <w:rsid w:val="30E73B0D"/>
    <w:rsid w:val="30FC61C2"/>
    <w:rsid w:val="30FD55E0"/>
    <w:rsid w:val="310F6F60"/>
    <w:rsid w:val="311333E6"/>
    <w:rsid w:val="311467EF"/>
    <w:rsid w:val="31363ABC"/>
    <w:rsid w:val="314614BA"/>
    <w:rsid w:val="31490B7D"/>
    <w:rsid w:val="3153679E"/>
    <w:rsid w:val="315F2471"/>
    <w:rsid w:val="3177458F"/>
    <w:rsid w:val="3189708E"/>
    <w:rsid w:val="318B1F3D"/>
    <w:rsid w:val="319434F7"/>
    <w:rsid w:val="31994D00"/>
    <w:rsid w:val="31A65E57"/>
    <w:rsid w:val="31AD16EF"/>
    <w:rsid w:val="31AE660C"/>
    <w:rsid w:val="31B05A1F"/>
    <w:rsid w:val="31B17EF2"/>
    <w:rsid w:val="31E155AC"/>
    <w:rsid w:val="31FC35FB"/>
    <w:rsid w:val="32010D04"/>
    <w:rsid w:val="320A7836"/>
    <w:rsid w:val="324163CA"/>
    <w:rsid w:val="32574FD8"/>
    <w:rsid w:val="325C547C"/>
    <w:rsid w:val="326C29F6"/>
    <w:rsid w:val="327C3888"/>
    <w:rsid w:val="32945DAC"/>
    <w:rsid w:val="329C631F"/>
    <w:rsid w:val="32AB0897"/>
    <w:rsid w:val="32CB3A84"/>
    <w:rsid w:val="32CE45BC"/>
    <w:rsid w:val="32D9201A"/>
    <w:rsid w:val="32E42D0F"/>
    <w:rsid w:val="32E779A4"/>
    <w:rsid w:val="330D4D94"/>
    <w:rsid w:val="33435E16"/>
    <w:rsid w:val="335F11B3"/>
    <w:rsid w:val="337B12FB"/>
    <w:rsid w:val="339C5454"/>
    <w:rsid w:val="33DD1D83"/>
    <w:rsid w:val="33FC5F9C"/>
    <w:rsid w:val="34005D95"/>
    <w:rsid w:val="34173060"/>
    <w:rsid w:val="3425323C"/>
    <w:rsid w:val="342E5EA7"/>
    <w:rsid w:val="343E0BAC"/>
    <w:rsid w:val="34474FF1"/>
    <w:rsid w:val="344B3651"/>
    <w:rsid w:val="34555269"/>
    <w:rsid w:val="34B63281"/>
    <w:rsid w:val="34C105B0"/>
    <w:rsid w:val="34CA39B2"/>
    <w:rsid w:val="34D564C3"/>
    <w:rsid w:val="34DC79C0"/>
    <w:rsid w:val="34EC4B86"/>
    <w:rsid w:val="355E6D49"/>
    <w:rsid w:val="35671EE7"/>
    <w:rsid w:val="3572663B"/>
    <w:rsid w:val="357D4C50"/>
    <w:rsid w:val="35925B04"/>
    <w:rsid w:val="35963717"/>
    <w:rsid w:val="35AF3549"/>
    <w:rsid w:val="35CA49CB"/>
    <w:rsid w:val="35DA5213"/>
    <w:rsid w:val="35EE7B1B"/>
    <w:rsid w:val="35F65FAD"/>
    <w:rsid w:val="36202050"/>
    <w:rsid w:val="364A7C84"/>
    <w:rsid w:val="36605016"/>
    <w:rsid w:val="366B7A53"/>
    <w:rsid w:val="368259EE"/>
    <w:rsid w:val="3689301E"/>
    <w:rsid w:val="36B523AB"/>
    <w:rsid w:val="36C76D40"/>
    <w:rsid w:val="36F44E23"/>
    <w:rsid w:val="371D2966"/>
    <w:rsid w:val="373062E8"/>
    <w:rsid w:val="375C1AC9"/>
    <w:rsid w:val="37785098"/>
    <w:rsid w:val="377E7331"/>
    <w:rsid w:val="37A6234C"/>
    <w:rsid w:val="37AF1535"/>
    <w:rsid w:val="37CA63F2"/>
    <w:rsid w:val="37CB57CA"/>
    <w:rsid w:val="37D337D1"/>
    <w:rsid w:val="37DD56C2"/>
    <w:rsid w:val="37F16302"/>
    <w:rsid w:val="38372548"/>
    <w:rsid w:val="38781C56"/>
    <w:rsid w:val="38C30240"/>
    <w:rsid w:val="38CF65F7"/>
    <w:rsid w:val="38D30895"/>
    <w:rsid w:val="38E95212"/>
    <w:rsid w:val="391C1C7A"/>
    <w:rsid w:val="39465968"/>
    <w:rsid w:val="394D1A3B"/>
    <w:rsid w:val="39600E80"/>
    <w:rsid w:val="399B72BC"/>
    <w:rsid w:val="39A95A0D"/>
    <w:rsid w:val="39E779C9"/>
    <w:rsid w:val="3A01261A"/>
    <w:rsid w:val="3A1A4CEB"/>
    <w:rsid w:val="3A204DEA"/>
    <w:rsid w:val="3A247020"/>
    <w:rsid w:val="3A34341C"/>
    <w:rsid w:val="3A366570"/>
    <w:rsid w:val="3A41027E"/>
    <w:rsid w:val="3A446ABC"/>
    <w:rsid w:val="3A481E25"/>
    <w:rsid w:val="3A562007"/>
    <w:rsid w:val="3A632ED3"/>
    <w:rsid w:val="3A693A23"/>
    <w:rsid w:val="3A6F255F"/>
    <w:rsid w:val="3A6F6832"/>
    <w:rsid w:val="3A90237F"/>
    <w:rsid w:val="3B0A7991"/>
    <w:rsid w:val="3B100A85"/>
    <w:rsid w:val="3B18283A"/>
    <w:rsid w:val="3B336F2F"/>
    <w:rsid w:val="3B567019"/>
    <w:rsid w:val="3B691338"/>
    <w:rsid w:val="3BA60160"/>
    <w:rsid w:val="3BB46CD1"/>
    <w:rsid w:val="3BB6128D"/>
    <w:rsid w:val="3BD11411"/>
    <w:rsid w:val="3BD837A5"/>
    <w:rsid w:val="3BED4242"/>
    <w:rsid w:val="3C317DDD"/>
    <w:rsid w:val="3C3D3F09"/>
    <w:rsid w:val="3C457CDF"/>
    <w:rsid w:val="3C742BEB"/>
    <w:rsid w:val="3C857740"/>
    <w:rsid w:val="3C8E02B7"/>
    <w:rsid w:val="3CB004C5"/>
    <w:rsid w:val="3CB35047"/>
    <w:rsid w:val="3CB47F7E"/>
    <w:rsid w:val="3CB603EF"/>
    <w:rsid w:val="3CD82621"/>
    <w:rsid w:val="3CDD69B2"/>
    <w:rsid w:val="3CEA693F"/>
    <w:rsid w:val="3D0D55A5"/>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D25F5"/>
    <w:rsid w:val="3E4E6762"/>
    <w:rsid w:val="3E70166E"/>
    <w:rsid w:val="3E752011"/>
    <w:rsid w:val="3E8270FA"/>
    <w:rsid w:val="3E8E2505"/>
    <w:rsid w:val="3E8F0C9A"/>
    <w:rsid w:val="3E9953AC"/>
    <w:rsid w:val="3E9D3F84"/>
    <w:rsid w:val="3E9F3605"/>
    <w:rsid w:val="3EEC1C8D"/>
    <w:rsid w:val="3F0C0C5D"/>
    <w:rsid w:val="3F310E2B"/>
    <w:rsid w:val="3F3E5B85"/>
    <w:rsid w:val="3F4D19AF"/>
    <w:rsid w:val="3F691A99"/>
    <w:rsid w:val="3F837DDF"/>
    <w:rsid w:val="3FA21405"/>
    <w:rsid w:val="3FC04528"/>
    <w:rsid w:val="3FCB012B"/>
    <w:rsid w:val="3FD27B2E"/>
    <w:rsid w:val="3FEE1DE8"/>
    <w:rsid w:val="3FFE5EFF"/>
    <w:rsid w:val="40171145"/>
    <w:rsid w:val="402104DC"/>
    <w:rsid w:val="40480E8F"/>
    <w:rsid w:val="40662C29"/>
    <w:rsid w:val="40742438"/>
    <w:rsid w:val="40791098"/>
    <w:rsid w:val="40932E75"/>
    <w:rsid w:val="40A70377"/>
    <w:rsid w:val="40BC5D67"/>
    <w:rsid w:val="40D775A2"/>
    <w:rsid w:val="40EE33BE"/>
    <w:rsid w:val="40F61783"/>
    <w:rsid w:val="4100601D"/>
    <w:rsid w:val="410D75D5"/>
    <w:rsid w:val="411E3000"/>
    <w:rsid w:val="41402C24"/>
    <w:rsid w:val="414E7345"/>
    <w:rsid w:val="41696F7F"/>
    <w:rsid w:val="417240B9"/>
    <w:rsid w:val="417C0D06"/>
    <w:rsid w:val="418B25AA"/>
    <w:rsid w:val="418E56CE"/>
    <w:rsid w:val="41925E9B"/>
    <w:rsid w:val="419B1BC4"/>
    <w:rsid w:val="419D7C05"/>
    <w:rsid w:val="41B3371C"/>
    <w:rsid w:val="41B4302C"/>
    <w:rsid w:val="41DA3C01"/>
    <w:rsid w:val="41E3266D"/>
    <w:rsid w:val="41F604FA"/>
    <w:rsid w:val="41FE6085"/>
    <w:rsid w:val="42013C9E"/>
    <w:rsid w:val="420F24CA"/>
    <w:rsid w:val="421C0994"/>
    <w:rsid w:val="424F02B6"/>
    <w:rsid w:val="42683145"/>
    <w:rsid w:val="427133C0"/>
    <w:rsid w:val="42715180"/>
    <w:rsid w:val="4277762F"/>
    <w:rsid w:val="429D7D7D"/>
    <w:rsid w:val="42B23DF0"/>
    <w:rsid w:val="42B45768"/>
    <w:rsid w:val="42DD7341"/>
    <w:rsid w:val="42E637C3"/>
    <w:rsid w:val="42FD1410"/>
    <w:rsid w:val="43184FA0"/>
    <w:rsid w:val="431F563A"/>
    <w:rsid w:val="432D0CD2"/>
    <w:rsid w:val="4348259E"/>
    <w:rsid w:val="434C0977"/>
    <w:rsid w:val="434D5EB2"/>
    <w:rsid w:val="43705840"/>
    <w:rsid w:val="43AF6845"/>
    <w:rsid w:val="43D44FF8"/>
    <w:rsid w:val="441557E3"/>
    <w:rsid w:val="44286453"/>
    <w:rsid w:val="444B4817"/>
    <w:rsid w:val="444C54FC"/>
    <w:rsid w:val="44615639"/>
    <w:rsid w:val="44762FC6"/>
    <w:rsid w:val="4488431A"/>
    <w:rsid w:val="448F5706"/>
    <w:rsid w:val="44944331"/>
    <w:rsid w:val="449A539D"/>
    <w:rsid w:val="44A538D4"/>
    <w:rsid w:val="44B05905"/>
    <w:rsid w:val="44B67F0B"/>
    <w:rsid w:val="451317C4"/>
    <w:rsid w:val="45575AD5"/>
    <w:rsid w:val="457E0115"/>
    <w:rsid w:val="459B774E"/>
    <w:rsid w:val="45B72AB1"/>
    <w:rsid w:val="45CF5AD4"/>
    <w:rsid w:val="45DD06D9"/>
    <w:rsid w:val="460D21F2"/>
    <w:rsid w:val="460E0469"/>
    <w:rsid w:val="460E0A15"/>
    <w:rsid w:val="4635298E"/>
    <w:rsid w:val="46355D58"/>
    <w:rsid w:val="464050BB"/>
    <w:rsid w:val="466B6702"/>
    <w:rsid w:val="466F037A"/>
    <w:rsid w:val="467737E1"/>
    <w:rsid w:val="46A075FA"/>
    <w:rsid w:val="46A359DC"/>
    <w:rsid w:val="46D7121E"/>
    <w:rsid w:val="46E07671"/>
    <w:rsid w:val="46FF57CE"/>
    <w:rsid w:val="47154F60"/>
    <w:rsid w:val="47700BCB"/>
    <w:rsid w:val="47732DB6"/>
    <w:rsid w:val="47C254B8"/>
    <w:rsid w:val="47DF082A"/>
    <w:rsid w:val="47EB5003"/>
    <w:rsid w:val="48081128"/>
    <w:rsid w:val="48144FED"/>
    <w:rsid w:val="483A31DC"/>
    <w:rsid w:val="484715CC"/>
    <w:rsid w:val="485D616F"/>
    <w:rsid w:val="4873370F"/>
    <w:rsid w:val="48942C25"/>
    <w:rsid w:val="4898666C"/>
    <w:rsid w:val="489B75DE"/>
    <w:rsid w:val="489F44D2"/>
    <w:rsid w:val="48B5305A"/>
    <w:rsid w:val="48B63FE7"/>
    <w:rsid w:val="48CC7D6E"/>
    <w:rsid w:val="48DD5408"/>
    <w:rsid w:val="48EB5A5C"/>
    <w:rsid w:val="490B579F"/>
    <w:rsid w:val="4920208E"/>
    <w:rsid w:val="492A1C6E"/>
    <w:rsid w:val="492C7D33"/>
    <w:rsid w:val="493A79B5"/>
    <w:rsid w:val="4969605D"/>
    <w:rsid w:val="496D1F2A"/>
    <w:rsid w:val="497C7394"/>
    <w:rsid w:val="498A3B85"/>
    <w:rsid w:val="49AE3287"/>
    <w:rsid w:val="49C65C46"/>
    <w:rsid w:val="49D021B0"/>
    <w:rsid w:val="49D61F4B"/>
    <w:rsid w:val="49D7375C"/>
    <w:rsid w:val="49EC64E1"/>
    <w:rsid w:val="4A11668C"/>
    <w:rsid w:val="4A3546EB"/>
    <w:rsid w:val="4A4A48A6"/>
    <w:rsid w:val="4A524812"/>
    <w:rsid w:val="4A526073"/>
    <w:rsid w:val="4A56215E"/>
    <w:rsid w:val="4A5D4A40"/>
    <w:rsid w:val="4A63534F"/>
    <w:rsid w:val="4A6C1B50"/>
    <w:rsid w:val="4A7E40F2"/>
    <w:rsid w:val="4A8561F1"/>
    <w:rsid w:val="4A943BC6"/>
    <w:rsid w:val="4AAF17A9"/>
    <w:rsid w:val="4AFF5CC6"/>
    <w:rsid w:val="4B1D3A51"/>
    <w:rsid w:val="4B280F1E"/>
    <w:rsid w:val="4B3D4E30"/>
    <w:rsid w:val="4B413D26"/>
    <w:rsid w:val="4B8B446D"/>
    <w:rsid w:val="4BB317A2"/>
    <w:rsid w:val="4BC27F8D"/>
    <w:rsid w:val="4BC97047"/>
    <w:rsid w:val="4BCC6CCE"/>
    <w:rsid w:val="4BE44E6C"/>
    <w:rsid w:val="4BF446B8"/>
    <w:rsid w:val="4C061338"/>
    <w:rsid w:val="4C497215"/>
    <w:rsid w:val="4C4F5F99"/>
    <w:rsid w:val="4C5474C5"/>
    <w:rsid w:val="4C5D0817"/>
    <w:rsid w:val="4C5E08E0"/>
    <w:rsid w:val="4C7C64A4"/>
    <w:rsid w:val="4CBF4AE9"/>
    <w:rsid w:val="4D0A349B"/>
    <w:rsid w:val="4D0D2E78"/>
    <w:rsid w:val="4D0F04ED"/>
    <w:rsid w:val="4D384A7C"/>
    <w:rsid w:val="4D3A0411"/>
    <w:rsid w:val="4D427C91"/>
    <w:rsid w:val="4D7706F2"/>
    <w:rsid w:val="4DBE12C2"/>
    <w:rsid w:val="4DCE6ED3"/>
    <w:rsid w:val="4E095444"/>
    <w:rsid w:val="4E0E40E2"/>
    <w:rsid w:val="4E333BBB"/>
    <w:rsid w:val="4E665F7B"/>
    <w:rsid w:val="4E6A06E9"/>
    <w:rsid w:val="4E8E5857"/>
    <w:rsid w:val="4EC206BE"/>
    <w:rsid w:val="4EC46EFB"/>
    <w:rsid w:val="4EC951FF"/>
    <w:rsid w:val="4ED04B02"/>
    <w:rsid w:val="4EDD6EFA"/>
    <w:rsid w:val="4EE96853"/>
    <w:rsid w:val="4F105F02"/>
    <w:rsid w:val="4F121BEA"/>
    <w:rsid w:val="4F172396"/>
    <w:rsid w:val="4F3F03C1"/>
    <w:rsid w:val="4F4C2971"/>
    <w:rsid w:val="4F566ACF"/>
    <w:rsid w:val="4F704BBC"/>
    <w:rsid w:val="4F8028EE"/>
    <w:rsid w:val="4FAD0DF7"/>
    <w:rsid w:val="4FBC1F04"/>
    <w:rsid w:val="4FBD361C"/>
    <w:rsid w:val="4FBE1CEA"/>
    <w:rsid w:val="4FC15F00"/>
    <w:rsid w:val="4FF17370"/>
    <w:rsid w:val="50200CEA"/>
    <w:rsid w:val="50371519"/>
    <w:rsid w:val="503D6ACE"/>
    <w:rsid w:val="505A0A75"/>
    <w:rsid w:val="509E2BD3"/>
    <w:rsid w:val="50C04426"/>
    <w:rsid w:val="50C95413"/>
    <w:rsid w:val="50CA58C9"/>
    <w:rsid w:val="50ED0D36"/>
    <w:rsid w:val="510B317F"/>
    <w:rsid w:val="51130AD6"/>
    <w:rsid w:val="51147068"/>
    <w:rsid w:val="511B4097"/>
    <w:rsid w:val="512452DA"/>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C52078"/>
    <w:rsid w:val="52CB6EC0"/>
    <w:rsid w:val="52D061DA"/>
    <w:rsid w:val="52D211F8"/>
    <w:rsid w:val="52F26F28"/>
    <w:rsid w:val="53031E61"/>
    <w:rsid w:val="5315442E"/>
    <w:rsid w:val="533907AA"/>
    <w:rsid w:val="5341530E"/>
    <w:rsid w:val="534326DA"/>
    <w:rsid w:val="53434396"/>
    <w:rsid w:val="534D112E"/>
    <w:rsid w:val="53761C93"/>
    <w:rsid w:val="537B0A8C"/>
    <w:rsid w:val="5393301A"/>
    <w:rsid w:val="53971518"/>
    <w:rsid w:val="5399073D"/>
    <w:rsid w:val="53A84C2D"/>
    <w:rsid w:val="53AB2CD5"/>
    <w:rsid w:val="53AF23D8"/>
    <w:rsid w:val="53B31343"/>
    <w:rsid w:val="53B91D8C"/>
    <w:rsid w:val="53D82514"/>
    <w:rsid w:val="53E56E6E"/>
    <w:rsid w:val="53EB2495"/>
    <w:rsid w:val="53F17662"/>
    <w:rsid w:val="54010C17"/>
    <w:rsid w:val="542C2C82"/>
    <w:rsid w:val="543F012A"/>
    <w:rsid w:val="54635F00"/>
    <w:rsid w:val="54661F54"/>
    <w:rsid w:val="546C3F2D"/>
    <w:rsid w:val="547F46DA"/>
    <w:rsid w:val="54944893"/>
    <w:rsid w:val="549F75FE"/>
    <w:rsid w:val="54A51CC5"/>
    <w:rsid w:val="54DD78BD"/>
    <w:rsid w:val="54E06144"/>
    <w:rsid w:val="550A393D"/>
    <w:rsid w:val="555E54FB"/>
    <w:rsid w:val="556D2811"/>
    <w:rsid w:val="55CE1AD5"/>
    <w:rsid w:val="55ED37B8"/>
    <w:rsid w:val="55F04C52"/>
    <w:rsid w:val="55F35D23"/>
    <w:rsid w:val="56281CBC"/>
    <w:rsid w:val="56333685"/>
    <w:rsid w:val="568F0DF7"/>
    <w:rsid w:val="56A332D5"/>
    <w:rsid w:val="56C325A5"/>
    <w:rsid w:val="56E709F8"/>
    <w:rsid w:val="56F10A56"/>
    <w:rsid w:val="56FB32FA"/>
    <w:rsid w:val="570703AF"/>
    <w:rsid w:val="572D602C"/>
    <w:rsid w:val="57364D30"/>
    <w:rsid w:val="573D71D1"/>
    <w:rsid w:val="57574216"/>
    <w:rsid w:val="57A21363"/>
    <w:rsid w:val="57A54C20"/>
    <w:rsid w:val="57B937A9"/>
    <w:rsid w:val="57BB4E50"/>
    <w:rsid w:val="57C34B39"/>
    <w:rsid w:val="57DE1F69"/>
    <w:rsid w:val="57E116B4"/>
    <w:rsid w:val="580C0140"/>
    <w:rsid w:val="580F431F"/>
    <w:rsid w:val="587B6F7C"/>
    <w:rsid w:val="58A22BE9"/>
    <w:rsid w:val="58BD6FD7"/>
    <w:rsid w:val="58E44026"/>
    <w:rsid w:val="58E67C57"/>
    <w:rsid w:val="58E94F10"/>
    <w:rsid w:val="58F965E6"/>
    <w:rsid w:val="58FA15B8"/>
    <w:rsid w:val="58FF06B6"/>
    <w:rsid w:val="59046596"/>
    <w:rsid w:val="591C3F4A"/>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412A61"/>
    <w:rsid w:val="5A527BDD"/>
    <w:rsid w:val="5A905E59"/>
    <w:rsid w:val="5A9311E7"/>
    <w:rsid w:val="5AA72593"/>
    <w:rsid w:val="5AD0373D"/>
    <w:rsid w:val="5AF81B7B"/>
    <w:rsid w:val="5AF86253"/>
    <w:rsid w:val="5B081862"/>
    <w:rsid w:val="5B1C3DCA"/>
    <w:rsid w:val="5B24355B"/>
    <w:rsid w:val="5B340596"/>
    <w:rsid w:val="5B3F26B3"/>
    <w:rsid w:val="5B467F94"/>
    <w:rsid w:val="5B4B70AC"/>
    <w:rsid w:val="5B8A7522"/>
    <w:rsid w:val="5BA53E1C"/>
    <w:rsid w:val="5BA92AAB"/>
    <w:rsid w:val="5BB41290"/>
    <w:rsid w:val="5BC50503"/>
    <w:rsid w:val="5BF50EB6"/>
    <w:rsid w:val="5BF92128"/>
    <w:rsid w:val="5BFA7DB5"/>
    <w:rsid w:val="5BFB1F01"/>
    <w:rsid w:val="5C075DA6"/>
    <w:rsid w:val="5C275BD4"/>
    <w:rsid w:val="5C491EC9"/>
    <w:rsid w:val="5C5028D7"/>
    <w:rsid w:val="5C790A6A"/>
    <w:rsid w:val="5C81109C"/>
    <w:rsid w:val="5C9E10E9"/>
    <w:rsid w:val="5C9E40DE"/>
    <w:rsid w:val="5CA11D7F"/>
    <w:rsid w:val="5CAF4CE5"/>
    <w:rsid w:val="5CDA6371"/>
    <w:rsid w:val="5CFC64A7"/>
    <w:rsid w:val="5D1516BF"/>
    <w:rsid w:val="5D1569ED"/>
    <w:rsid w:val="5D1B2A4F"/>
    <w:rsid w:val="5D2E6665"/>
    <w:rsid w:val="5D4F34F7"/>
    <w:rsid w:val="5D623C65"/>
    <w:rsid w:val="5D810CA8"/>
    <w:rsid w:val="5D8C1819"/>
    <w:rsid w:val="5DC477E0"/>
    <w:rsid w:val="5DD05318"/>
    <w:rsid w:val="5DE97207"/>
    <w:rsid w:val="5DEF6C2B"/>
    <w:rsid w:val="5DF22741"/>
    <w:rsid w:val="5DFE50F6"/>
    <w:rsid w:val="5E026A9A"/>
    <w:rsid w:val="5E186B89"/>
    <w:rsid w:val="5E2D7C7A"/>
    <w:rsid w:val="5E4E3F80"/>
    <w:rsid w:val="5E5F4BD4"/>
    <w:rsid w:val="5E852B0D"/>
    <w:rsid w:val="5E8A7777"/>
    <w:rsid w:val="5EA1268E"/>
    <w:rsid w:val="5ED20F44"/>
    <w:rsid w:val="5EE7073E"/>
    <w:rsid w:val="5EF67A22"/>
    <w:rsid w:val="5EFB4ED5"/>
    <w:rsid w:val="5F123BC6"/>
    <w:rsid w:val="5F184877"/>
    <w:rsid w:val="5F1A7A37"/>
    <w:rsid w:val="5F2E3F46"/>
    <w:rsid w:val="5F474C09"/>
    <w:rsid w:val="5F475D4B"/>
    <w:rsid w:val="5F63419E"/>
    <w:rsid w:val="5F736746"/>
    <w:rsid w:val="5F880842"/>
    <w:rsid w:val="5FD95A66"/>
    <w:rsid w:val="5FDF7A00"/>
    <w:rsid w:val="5FE12AC5"/>
    <w:rsid w:val="5FF309C7"/>
    <w:rsid w:val="5FFC4765"/>
    <w:rsid w:val="60046C0F"/>
    <w:rsid w:val="600E4F7F"/>
    <w:rsid w:val="601327BB"/>
    <w:rsid w:val="60245068"/>
    <w:rsid w:val="60255BE3"/>
    <w:rsid w:val="602717FC"/>
    <w:rsid w:val="602A62F8"/>
    <w:rsid w:val="602C01A9"/>
    <w:rsid w:val="603B1B21"/>
    <w:rsid w:val="60504051"/>
    <w:rsid w:val="607F2EF2"/>
    <w:rsid w:val="60842FF2"/>
    <w:rsid w:val="60AF5E00"/>
    <w:rsid w:val="60B54161"/>
    <w:rsid w:val="60D43BFA"/>
    <w:rsid w:val="60E16AB6"/>
    <w:rsid w:val="60E40C2C"/>
    <w:rsid w:val="610D2A7D"/>
    <w:rsid w:val="61111BF1"/>
    <w:rsid w:val="61175A9A"/>
    <w:rsid w:val="612129FE"/>
    <w:rsid w:val="61375BEC"/>
    <w:rsid w:val="614A2305"/>
    <w:rsid w:val="614E4437"/>
    <w:rsid w:val="615F1F60"/>
    <w:rsid w:val="6182631E"/>
    <w:rsid w:val="61BC217C"/>
    <w:rsid w:val="61D9772A"/>
    <w:rsid w:val="61DA1B5D"/>
    <w:rsid w:val="61DB33CF"/>
    <w:rsid w:val="61EF0933"/>
    <w:rsid w:val="61F2327B"/>
    <w:rsid w:val="61F64176"/>
    <w:rsid w:val="61F6471A"/>
    <w:rsid w:val="62413765"/>
    <w:rsid w:val="625A4915"/>
    <w:rsid w:val="625E2011"/>
    <w:rsid w:val="626E5BD1"/>
    <w:rsid w:val="627803DA"/>
    <w:rsid w:val="62921FA4"/>
    <w:rsid w:val="62A06349"/>
    <w:rsid w:val="62BF1D8B"/>
    <w:rsid w:val="62C83DFB"/>
    <w:rsid w:val="62DC2379"/>
    <w:rsid w:val="62EF16C5"/>
    <w:rsid w:val="63077DCD"/>
    <w:rsid w:val="63196725"/>
    <w:rsid w:val="631F3FB6"/>
    <w:rsid w:val="63356B20"/>
    <w:rsid w:val="633B4FC0"/>
    <w:rsid w:val="63647D08"/>
    <w:rsid w:val="63B47AD6"/>
    <w:rsid w:val="63BD1F88"/>
    <w:rsid w:val="63F34E27"/>
    <w:rsid w:val="63FD53D7"/>
    <w:rsid w:val="642E2D6E"/>
    <w:rsid w:val="642F141D"/>
    <w:rsid w:val="6439179D"/>
    <w:rsid w:val="643A7D3D"/>
    <w:rsid w:val="644845EE"/>
    <w:rsid w:val="644C43F2"/>
    <w:rsid w:val="645E071A"/>
    <w:rsid w:val="64611864"/>
    <w:rsid w:val="6465357A"/>
    <w:rsid w:val="64704226"/>
    <w:rsid w:val="647E3F09"/>
    <w:rsid w:val="64870014"/>
    <w:rsid w:val="64B76AA3"/>
    <w:rsid w:val="64C61C82"/>
    <w:rsid w:val="64D124DB"/>
    <w:rsid w:val="65233DA8"/>
    <w:rsid w:val="652A1A84"/>
    <w:rsid w:val="652A5D21"/>
    <w:rsid w:val="65480BBE"/>
    <w:rsid w:val="6554639C"/>
    <w:rsid w:val="65687D20"/>
    <w:rsid w:val="65933B3C"/>
    <w:rsid w:val="65B955CA"/>
    <w:rsid w:val="65BE6C54"/>
    <w:rsid w:val="65CC3546"/>
    <w:rsid w:val="65CE71FF"/>
    <w:rsid w:val="65EE73B7"/>
    <w:rsid w:val="661A0E12"/>
    <w:rsid w:val="66214D7C"/>
    <w:rsid w:val="6624580B"/>
    <w:rsid w:val="667B6C3F"/>
    <w:rsid w:val="66933BD2"/>
    <w:rsid w:val="66B40E42"/>
    <w:rsid w:val="66B56D61"/>
    <w:rsid w:val="66B56D68"/>
    <w:rsid w:val="66E9392A"/>
    <w:rsid w:val="66EA1480"/>
    <w:rsid w:val="67056631"/>
    <w:rsid w:val="674672D3"/>
    <w:rsid w:val="676E6425"/>
    <w:rsid w:val="67770DB9"/>
    <w:rsid w:val="67776ADD"/>
    <w:rsid w:val="6779797F"/>
    <w:rsid w:val="6789047F"/>
    <w:rsid w:val="67A720F6"/>
    <w:rsid w:val="67AC1398"/>
    <w:rsid w:val="67E7540E"/>
    <w:rsid w:val="67EA1736"/>
    <w:rsid w:val="67FC02AC"/>
    <w:rsid w:val="68006207"/>
    <w:rsid w:val="68070E08"/>
    <w:rsid w:val="682D2C3F"/>
    <w:rsid w:val="682D432C"/>
    <w:rsid w:val="68382592"/>
    <w:rsid w:val="684A32DA"/>
    <w:rsid w:val="68524FFC"/>
    <w:rsid w:val="68784674"/>
    <w:rsid w:val="687C00C8"/>
    <w:rsid w:val="687C4042"/>
    <w:rsid w:val="68A742AD"/>
    <w:rsid w:val="68B87F12"/>
    <w:rsid w:val="68C25CFA"/>
    <w:rsid w:val="68C731B8"/>
    <w:rsid w:val="68D536DE"/>
    <w:rsid w:val="69044A5D"/>
    <w:rsid w:val="691052CA"/>
    <w:rsid w:val="69194464"/>
    <w:rsid w:val="691D05F7"/>
    <w:rsid w:val="69312B59"/>
    <w:rsid w:val="69446209"/>
    <w:rsid w:val="69726337"/>
    <w:rsid w:val="698B1B24"/>
    <w:rsid w:val="6994580C"/>
    <w:rsid w:val="69B75241"/>
    <w:rsid w:val="69BB0755"/>
    <w:rsid w:val="69FB0A5B"/>
    <w:rsid w:val="6A115C81"/>
    <w:rsid w:val="6A7A60F7"/>
    <w:rsid w:val="6AAC2E76"/>
    <w:rsid w:val="6AEE1969"/>
    <w:rsid w:val="6B0A125F"/>
    <w:rsid w:val="6B23484A"/>
    <w:rsid w:val="6B30457A"/>
    <w:rsid w:val="6B3B1CB3"/>
    <w:rsid w:val="6B43702A"/>
    <w:rsid w:val="6B524C27"/>
    <w:rsid w:val="6B5A1EC9"/>
    <w:rsid w:val="6B7308B4"/>
    <w:rsid w:val="6B744505"/>
    <w:rsid w:val="6B990784"/>
    <w:rsid w:val="6BA2498F"/>
    <w:rsid w:val="6BB93C93"/>
    <w:rsid w:val="6BBC51E6"/>
    <w:rsid w:val="6BBF609A"/>
    <w:rsid w:val="6BCA0F7D"/>
    <w:rsid w:val="6BDE4DDD"/>
    <w:rsid w:val="6BE07242"/>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714E6"/>
    <w:rsid w:val="6CEF6EBD"/>
    <w:rsid w:val="6CF01C95"/>
    <w:rsid w:val="6CF542B7"/>
    <w:rsid w:val="6CFA3A07"/>
    <w:rsid w:val="6D0071CD"/>
    <w:rsid w:val="6D18295E"/>
    <w:rsid w:val="6D1A13F6"/>
    <w:rsid w:val="6D1F12FA"/>
    <w:rsid w:val="6D206AE2"/>
    <w:rsid w:val="6D5941BB"/>
    <w:rsid w:val="6D5B0CBD"/>
    <w:rsid w:val="6D8A08D8"/>
    <w:rsid w:val="6D961017"/>
    <w:rsid w:val="6DCE3EDB"/>
    <w:rsid w:val="6DD23F1E"/>
    <w:rsid w:val="6DDB4275"/>
    <w:rsid w:val="6DEE2081"/>
    <w:rsid w:val="6E0135EB"/>
    <w:rsid w:val="6E210E7D"/>
    <w:rsid w:val="6E336938"/>
    <w:rsid w:val="6E360304"/>
    <w:rsid w:val="6E565A56"/>
    <w:rsid w:val="6E5D68D3"/>
    <w:rsid w:val="6E682450"/>
    <w:rsid w:val="6E7251F0"/>
    <w:rsid w:val="6E757524"/>
    <w:rsid w:val="6E7934F3"/>
    <w:rsid w:val="6E9C5623"/>
    <w:rsid w:val="6E9E05A5"/>
    <w:rsid w:val="6EAD6286"/>
    <w:rsid w:val="6EB24C59"/>
    <w:rsid w:val="6EBD3CCD"/>
    <w:rsid w:val="6ECD60E1"/>
    <w:rsid w:val="6EDB6C60"/>
    <w:rsid w:val="6F2428C0"/>
    <w:rsid w:val="6F433285"/>
    <w:rsid w:val="6F591B5D"/>
    <w:rsid w:val="6F7E65DB"/>
    <w:rsid w:val="6F7F6D3A"/>
    <w:rsid w:val="6F981073"/>
    <w:rsid w:val="6FA172A4"/>
    <w:rsid w:val="6FF72D78"/>
    <w:rsid w:val="6FFF65EB"/>
    <w:rsid w:val="702D3A00"/>
    <w:rsid w:val="70341230"/>
    <w:rsid w:val="70342FAD"/>
    <w:rsid w:val="7034472B"/>
    <w:rsid w:val="705A14E5"/>
    <w:rsid w:val="705A4D1B"/>
    <w:rsid w:val="705F37D3"/>
    <w:rsid w:val="708B108A"/>
    <w:rsid w:val="709143C4"/>
    <w:rsid w:val="70930271"/>
    <w:rsid w:val="70DB5146"/>
    <w:rsid w:val="70E51B6F"/>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C90ED8"/>
    <w:rsid w:val="71D72430"/>
    <w:rsid w:val="71E12038"/>
    <w:rsid w:val="720A6753"/>
    <w:rsid w:val="720F4AFB"/>
    <w:rsid w:val="72112B83"/>
    <w:rsid w:val="72143F3C"/>
    <w:rsid w:val="721F61D9"/>
    <w:rsid w:val="723D42BE"/>
    <w:rsid w:val="72412901"/>
    <w:rsid w:val="72887B37"/>
    <w:rsid w:val="72910320"/>
    <w:rsid w:val="72A53302"/>
    <w:rsid w:val="72B3410C"/>
    <w:rsid w:val="72BD6DA9"/>
    <w:rsid w:val="72CB01B8"/>
    <w:rsid w:val="72D95B00"/>
    <w:rsid w:val="72F66709"/>
    <w:rsid w:val="730554B3"/>
    <w:rsid w:val="73092FAA"/>
    <w:rsid w:val="732C3102"/>
    <w:rsid w:val="73413694"/>
    <w:rsid w:val="734608F5"/>
    <w:rsid w:val="736D4BAC"/>
    <w:rsid w:val="736F1AFC"/>
    <w:rsid w:val="739B5B15"/>
    <w:rsid w:val="73BA58B5"/>
    <w:rsid w:val="73CA3FB8"/>
    <w:rsid w:val="73E63732"/>
    <w:rsid w:val="73EC345F"/>
    <w:rsid w:val="73FD1118"/>
    <w:rsid w:val="74090510"/>
    <w:rsid w:val="740E2D2D"/>
    <w:rsid w:val="7410282D"/>
    <w:rsid w:val="741752A2"/>
    <w:rsid w:val="74223A5C"/>
    <w:rsid w:val="746B6757"/>
    <w:rsid w:val="74780C44"/>
    <w:rsid w:val="7479294A"/>
    <w:rsid w:val="747B5C9D"/>
    <w:rsid w:val="747F1177"/>
    <w:rsid w:val="748028C0"/>
    <w:rsid w:val="74A471EE"/>
    <w:rsid w:val="74C768EE"/>
    <w:rsid w:val="74E97F38"/>
    <w:rsid w:val="74F13E40"/>
    <w:rsid w:val="750B1697"/>
    <w:rsid w:val="752A3F7B"/>
    <w:rsid w:val="7533655A"/>
    <w:rsid w:val="75444F15"/>
    <w:rsid w:val="75485488"/>
    <w:rsid w:val="75733C39"/>
    <w:rsid w:val="758516A2"/>
    <w:rsid w:val="759A2104"/>
    <w:rsid w:val="75B35E00"/>
    <w:rsid w:val="75CD1343"/>
    <w:rsid w:val="75EB2F64"/>
    <w:rsid w:val="761D1573"/>
    <w:rsid w:val="765B6CE9"/>
    <w:rsid w:val="765D3DA8"/>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A618BC"/>
    <w:rsid w:val="77B92312"/>
    <w:rsid w:val="7827423F"/>
    <w:rsid w:val="78386307"/>
    <w:rsid w:val="78493B6B"/>
    <w:rsid w:val="7850391E"/>
    <w:rsid w:val="78597E32"/>
    <w:rsid w:val="78703EBE"/>
    <w:rsid w:val="78805A36"/>
    <w:rsid w:val="78830880"/>
    <w:rsid w:val="78A51D8F"/>
    <w:rsid w:val="78AE0946"/>
    <w:rsid w:val="78D1727E"/>
    <w:rsid w:val="78D17516"/>
    <w:rsid w:val="78D96E40"/>
    <w:rsid w:val="7911644D"/>
    <w:rsid w:val="792078D7"/>
    <w:rsid w:val="79331EC1"/>
    <w:rsid w:val="79404911"/>
    <w:rsid w:val="794D0D3C"/>
    <w:rsid w:val="7986601A"/>
    <w:rsid w:val="7993616D"/>
    <w:rsid w:val="799D69BF"/>
    <w:rsid w:val="79AE14B2"/>
    <w:rsid w:val="79B1687C"/>
    <w:rsid w:val="79B22738"/>
    <w:rsid w:val="79CE4B72"/>
    <w:rsid w:val="7A055366"/>
    <w:rsid w:val="7A292C38"/>
    <w:rsid w:val="7A49541C"/>
    <w:rsid w:val="7A5F22B4"/>
    <w:rsid w:val="7A680094"/>
    <w:rsid w:val="7A7508D5"/>
    <w:rsid w:val="7A80455C"/>
    <w:rsid w:val="7A81102C"/>
    <w:rsid w:val="7AA37ECA"/>
    <w:rsid w:val="7AB16073"/>
    <w:rsid w:val="7ABB5514"/>
    <w:rsid w:val="7AC2458A"/>
    <w:rsid w:val="7ADE3222"/>
    <w:rsid w:val="7AF04DB0"/>
    <w:rsid w:val="7B0D28AD"/>
    <w:rsid w:val="7B133363"/>
    <w:rsid w:val="7B1C1737"/>
    <w:rsid w:val="7B322761"/>
    <w:rsid w:val="7B3C2640"/>
    <w:rsid w:val="7B4443D1"/>
    <w:rsid w:val="7BB151FD"/>
    <w:rsid w:val="7BB43296"/>
    <w:rsid w:val="7BDE6C84"/>
    <w:rsid w:val="7BE07A81"/>
    <w:rsid w:val="7BE81B8B"/>
    <w:rsid w:val="7BE97D38"/>
    <w:rsid w:val="7C272B3E"/>
    <w:rsid w:val="7C471D4F"/>
    <w:rsid w:val="7C5A71C2"/>
    <w:rsid w:val="7C7A6596"/>
    <w:rsid w:val="7CA76A22"/>
    <w:rsid w:val="7CCC4E54"/>
    <w:rsid w:val="7CEB2ACD"/>
    <w:rsid w:val="7CEF6F65"/>
    <w:rsid w:val="7CF41D8D"/>
    <w:rsid w:val="7D2745EF"/>
    <w:rsid w:val="7D2D2CA0"/>
    <w:rsid w:val="7D5C29E8"/>
    <w:rsid w:val="7D7A7BC6"/>
    <w:rsid w:val="7DBB08B6"/>
    <w:rsid w:val="7DBC7173"/>
    <w:rsid w:val="7DD90B59"/>
    <w:rsid w:val="7DEF15A6"/>
    <w:rsid w:val="7DFC511B"/>
    <w:rsid w:val="7E221AFC"/>
    <w:rsid w:val="7E2A514E"/>
    <w:rsid w:val="7E2C4E20"/>
    <w:rsid w:val="7E2D20BE"/>
    <w:rsid w:val="7E4306A6"/>
    <w:rsid w:val="7E5733E1"/>
    <w:rsid w:val="7E660C33"/>
    <w:rsid w:val="7E6637F7"/>
    <w:rsid w:val="7E707801"/>
    <w:rsid w:val="7E733B66"/>
    <w:rsid w:val="7E8A121F"/>
    <w:rsid w:val="7EA36680"/>
    <w:rsid w:val="7EC12AAE"/>
    <w:rsid w:val="7EC52141"/>
    <w:rsid w:val="7EC73D34"/>
    <w:rsid w:val="7ED12FEE"/>
    <w:rsid w:val="7F1648D6"/>
    <w:rsid w:val="7F21639D"/>
    <w:rsid w:val="7F23784E"/>
    <w:rsid w:val="7F442E56"/>
    <w:rsid w:val="7F457080"/>
    <w:rsid w:val="7F486BDC"/>
    <w:rsid w:val="7F4C71A0"/>
    <w:rsid w:val="7F5124CE"/>
    <w:rsid w:val="7F5653E5"/>
    <w:rsid w:val="7F6347A3"/>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24</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若相惜、卟弃-</cp:lastModifiedBy>
  <dcterms:modified xsi:type="dcterms:W3CDTF">2020-11-05T08:26:06Z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ies>
</file>