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-911860</wp:posOffset>
            </wp:positionH>
            <wp:positionV relativeFrom="paragraph">
              <wp:posOffset>-923925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10.9</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rPr>
          <w:color w:val="auto"/>
          <w:highlight w:val="none"/>
        </w:rPr>
      </w:pPr>
      <w:r>
        <w:rPr>
          <w:b w:val="0"/>
          <w:color w:val="auto"/>
          <w:sz w:val="24"/>
          <w:szCs w:val="24"/>
          <w:highlight w:val="none"/>
        </w:rPr>
        <w:fldChar w:fldCharType="begin"/>
      </w:r>
      <w:r>
        <w:rPr>
          <w:b w:val="0"/>
          <w:color w:val="auto"/>
          <w:sz w:val="24"/>
          <w:szCs w:val="24"/>
          <w:highlight w:val="none"/>
        </w:rPr>
        <w:instrText xml:space="preserve"> TOC \o "1-3" \h \z </w:instrText>
      </w:r>
      <w:r>
        <w:rPr>
          <w:b w:val="0"/>
          <w:color w:val="auto"/>
          <w:sz w:val="24"/>
          <w:szCs w:val="24"/>
          <w:highlight w:val="none"/>
        </w:rPr>
        <w:fldChar w:fldCharType="separate"/>
      </w:r>
      <w:r>
        <w:rPr>
          <w:color w:val="auto"/>
          <w:szCs w:val="24"/>
          <w:highlight w:val="none"/>
        </w:rPr>
        <w:fldChar w:fldCharType="begin"/>
      </w:r>
      <w:r>
        <w:rPr>
          <w:color w:val="auto"/>
          <w:szCs w:val="24"/>
          <w:highlight w:val="none"/>
        </w:rPr>
        <w:instrText xml:space="preserve"> HYPERLINK \l _Toc28204 </w:instrText>
      </w:r>
      <w:r>
        <w:rPr>
          <w:color w:val="auto"/>
          <w:szCs w:val="24"/>
          <w:highlight w:val="none"/>
        </w:rPr>
        <w:fldChar w:fldCharType="separate"/>
      </w:r>
      <w:r>
        <w:rPr>
          <w:rFonts w:hint="eastAsia"/>
          <w:color w:val="auto"/>
          <w:highlight w:val="none"/>
        </w:rPr>
        <w:t>一、国际原油市场回顾 </w:t>
      </w:r>
      <w:r>
        <w:rPr>
          <w:color w:val="auto"/>
          <w:highlight w:val="none"/>
        </w:rPr>
        <w:tab/>
      </w:r>
      <w:r>
        <w:rPr>
          <w:color w:val="auto"/>
          <w:highlight w:val="none"/>
        </w:rPr>
        <w:fldChar w:fldCharType="begin"/>
      </w:r>
      <w:r>
        <w:rPr>
          <w:color w:val="auto"/>
          <w:highlight w:val="none"/>
        </w:rPr>
        <w:instrText xml:space="preserve"> PAGEREF _Toc28204 </w:instrText>
      </w:r>
      <w:r>
        <w:rPr>
          <w:color w:val="auto"/>
          <w:highlight w:val="none"/>
        </w:rPr>
        <w:fldChar w:fldCharType="separate"/>
      </w:r>
      <w:r>
        <w:rPr>
          <w:color w:val="auto"/>
          <w:highlight w:val="none"/>
        </w:rPr>
        <w:t>3</w:t>
      </w:r>
      <w:r>
        <w:rPr>
          <w:color w:val="auto"/>
          <w:highlight w:val="none"/>
        </w:rPr>
        <w:fldChar w:fldCharType="end"/>
      </w:r>
      <w:r>
        <w:rPr>
          <w:color w:val="auto"/>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_Toc31041 </w:instrText>
      </w:r>
      <w:r>
        <w:rPr>
          <w:rFonts w:ascii="宋体" w:hAnsi="宋体"/>
          <w:color w:val="auto"/>
          <w:kern w:val="2"/>
          <w:szCs w:val="24"/>
          <w:highlight w:val="none"/>
        </w:rPr>
        <w:fldChar w:fldCharType="separate"/>
      </w:r>
      <w:r>
        <w:rPr>
          <w:rFonts w:hint="eastAsia" w:ascii="宋体" w:hAnsi="宋体"/>
          <w:color w:val="auto"/>
          <w:szCs w:val="30"/>
          <w:highlight w:val="none"/>
        </w:rPr>
        <w:t>1.1国际原油收盘价涨跌情况（单位：美元/桶）</w:t>
      </w:r>
      <w:r>
        <w:rPr>
          <w:color w:val="auto"/>
          <w:highlight w:val="none"/>
        </w:rPr>
        <w:tab/>
      </w:r>
      <w:r>
        <w:rPr>
          <w:color w:val="auto"/>
          <w:highlight w:val="none"/>
        </w:rPr>
        <w:fldChar w:fldCharType="begin"/>
      </w:r>
      <w:r>
        <w:rPr>
          <w:color w:val="auto"/>
          <w:highlight w:val="none"/>
        </w:rPr>
        <w:instrText xml:space="preserve"> PAGEREF _Toc31041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_Toc13265 </w:instrText>
      </w:r>
      <w:r>
        <w:rPr>
          <w:rFonts w:ascii="宋体" w:hAnsi="宋体"/>
          <w:color w:val="auto"/>
          <w:kern w:val="2"/>
          <w:szCs w:val="24"/>
          <w:highlight w:val="none"/>
        </w:rPr>
        <w:fldChar w:fldCharType="separate"/>
      </w:r>
      <w:r>
        <w:rPr>
          <w:rFonts w:hint="eastAsia" w:ascii="宋体" w:hAnsi="宋体"/>
          <w:color w:val="auto"/>
          <w:szCs w:val="30"/>
          <w:highlight w:val="none"/>
        </w:rPr>
        <w:t>1.</w:t>
      </w:r>
      <w:r>
        <w:rPr>
          <w:rFonts w:ascii="宋体" w:hAnsi="宋体"/>
          <w:color w:val="auto"/>
          <w:szCs w:val="30"/>
          <w:highlight w:val="none"/>
        </w:rPr>
        <w:t>2</w:t>
      </w:r>
      <w:r>
        <w:rPr>
          <w:rFonts w:hint="eastAsia" w:ascii="宋体" w:hAnsi="宋体"/>
          <w:color w:val="auto"/>
          <w:szCs w:val="30"/>
          <w:highlight w:val="none"/>
        </w:rPr>
        <w:t xml:space="preserve"> </w:t>
      </w:r>
      <w:r>
        <w:rPr>
          <w:rFonts w:ascii="宋体" w:hAnsi="宋体"/>
          <w:color w:val="auto"/>
          <w:szCs w:val="30"/>
          <w:highlight w:val="none"/>
        </w:rPr>
        <w:t>20</w:t>
      </w:r>
      <w:r>
        <w:rPr>
          <w:rFonts w:hint="eastAsia" w:ascii="宋体" w:hAnsi="宋体"/>
          <w:color w:val="auto"/>
          <w:szCs w:val="30"/>
          <w:highlight w:val="none"/>
          <w:lang w:val="en-US" w:eastAsia="zh-CN"/>
        </w:rPr>
        <w:t>20</w:t>
      </w:r>
      <w:r>
        <w:rPr>
          <w:rFonts w:ascii="宋体" w:hAnsi="宋体"/>
          <w:color w:val="auto"/>
          <w:szCs w:val="30"/>
          <w:highlight w:val="none"/>
        </w:rPr>
        <w:t>年</w:t>
      </w:r>
      <w:r>
        <w:rPr>
          <w:rFonts w:hint="eastAsia" w:ascii="宋体" w:hAnsi="宋体"/>
          <w:color w:val="auto"/>
          <w:szCs w:val="30"/>
          <w:highlight w:val="none"/>
        </w:rPr>
        <w:t>国际</w:t>
      </w:r>
      <w:r>
        <w:rPr>
          <w:rFonts w:ascii="宋体" w:hAnsi="宋体"/>
          <w:color w:val="auto"/>
          <w:szCs w:val="30"/>
          <w:highlight w:val="none"/>
        </w:rPr>
        <w:t>原油价格走势图</w:t>
      </w:r>
      <w:r>
        <w:rPr>
          <w:color w:val="auto"/>
          <w:highlight w:val="none"/>
        </w:rPr>
        <w:tab/>
      </w:r>
      <w:r>
        <w:rPr>
          <w:color w:val="auto"/>
          <w:highlight w:val="none"/>
        </w:rPr>
        <w:fldChar w:fldCharType="begin"/>
      </w:r>
      <w:r>
        <w:rPr>
          <w:color w:val="auto"/>
          <w:highlight w:val="none"/>
        </w:rPr>
        <w:instrText xml:space="preserve"> PAGEREF _Toc13265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_Toc11108 </w:instrText>
      </w:r>
      <w:r>
        <w:rPr>
          <w:rFonts w:ascii="宋体" w:hAnsi="宋体"/>
          <w:color w:val="auto"/>
          <w:kern w:val="2"/>
          <w:szCs w:val="24"/>
          <w:highlight w:val="none"/>
        </w:rPr>
        <w:fldChar w:fldCharType="separate"/>
      </w:r>
      <w:r>
        <w:rPr>
          <w:rFonts w:hint="eastAsia"/>
          <w:color w:val="auto"/>
          <w:highlight w:val="none"/>
        </w:rPr>
        <w:t>二、 近期影响国际原油市场的主要因素</w:t>
      </w:r>
      <w:r>
        <w:rPr>
          <w:color w:val="auto"/>
          <w:highlight w:val="none"/>
        </w:rPr>
        <w:tab/>
      </w:r>
      <w:r>
        <w:rPr>
          <w:color w:val="auto"/>
          <w:highlight w:val="none"/>
        </w:rPr>
        <w:fldChar w:fldCharType="begin"/>
      </w:r>
      <w:r>
        <w:rPr>
          <w:color w:val="auto"/>
          <w:highlight w:val="none"/>
        </w:rPr>
        <w:instrText xml:space="preserve"> PAGEREF _Toc11108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_Toc24274 </w:instrText>
      </w:r>
      <w:r>
        <w:rPr>
          <w:rFonts w:ascii="宋体" w:hAnsi="宋体"/>
          <w:color w:val="auto"/>
          <w:kern w:val="2"/>
          <w:szCs w:val="24"/>
          <w:highlight w:val="none"/>
        </w:rPr>
        <w:fldChar w:fldCharType="separate"/>
      </w:r>
      <w:r>
        <w:rPr>
          <w:rFonts w:hint="eastAsia" w:ascii="宋体" w:hAnsi="宋体"/>
          <w:color w:val="auto"/>
          <w:szCs w:val="30"/>
          <w:highlight w:val="none"/>
        </w:rPr>
        <w:t>2.1影响国际原油市场的主要因素</w:t>
      </w:r>
      <w:r>
        <w:rPr>
          <w:color w:val="auto"/>
          <w:highlight w:val="none"/>
        </w:rPr>
        <w:tab/>
      </w:r>
      <w:r>
        <w:rPr>
          <w:color w:val="auto"/>
          <w:highlight w:val="none"/>
        </w:rPr>
        <w:fldChar w:fldCharType="begin"/>
      </w:r>
      <w:r>
        <w:rPr>
          <w:color w:val="auto"/>
          <w:highlight w:val="none"/>
        </w:rPr>
        <w:instrText xml:space="preserve"> PAGEREF _Toc24274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_Toc1606 </w:instrText>
      </w:r>
      <w:r>
        <w:rPr>
          <w:rFonts w:ascii="宋体" w:hAnsi="宋体"/>
          <w:color w:val="auto"/>
          <w:kern w:val="2"/>
          <w:szCs w:val="24"/>
          <w:highlight w:val="none"/>
        </w:rPr>
        <w:fldChar w:fldCharType="separate"/>
      </w:r>
      <w:r>
        <w:rPr>
          <w:rFonts w:hint="eastAsia" w:ascii="宋体" w:hAnsi="宋体"/>
          <w:color w:val="auto"/>
          <w:szCs w:val="30"/>
          <w:highlight w:val="none"/>
        </w:rPr>
        <w:t>2.2国际市场MTBE价格</w:t>
      </w:r>
      <w:r>
        <w:rPr>
          <w:color w:val="auto"/>
          <w:highlight w:val="none"/>
        </w:rPr>
        <w:tab/>
      </w:r>
      <w:r>
        <w:rPr>
          <w:color w:val="auto"/>
          <w:highlight w:val="none"/>
        </w:rPr>
        <w:fldChar w:fldCharType="begin"/>
      </w:r>
      <w:r>
        <w:rPr>
          <w:color w:val="auto"/>
          <w:highlight w:val="none"/>
        </w:rPr>
        <w:instrText xml:space="preserve"> PAGEREF _Toc1606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_Toc23075 </w:instrText>
      </w:r>
      <w:r>
        <w:rPr>
          <w:rFonts w:ascii="宋体" w:hAnsi="宋体"/>
          <w:color w:val="auto"/>
          <w:kern w:val="2"/>
          <w:szCs w:val="24"/>
          <w:highlight w:val="none"/>
        </w:rPr>
        <w:fldChar w:fldCharType="separate"/>
      </w:r>
      <w:r>
        <w:rPr>
          <w:rFonts w:hint="eastAsia"/>
          <w:color w:val="auto"/>
          <w:highlight w:val="none"/>
        </w:rPr>
        <w:t>三、 本周国内市场</w:t>
      </w:r>
      <w:r>
        <w:rPr>
          <w:color w:val="auto"/>
          <w:highlight w:val="none"/>
        </w:rPr>
        <w:tab/>
      </w:r>
      <w:r>
        <w:rPr>
          <w:color w:val="auto"/>
          <w:highlight w:val="none"/>
        </w:rPr>
        <w:fldChar w:fldCharType="begin"/>
      </w:r>
      <w:r>
        <w:rPr>
          <w:color w:val="auto"/>
          <w:highlight w:val="none"/>
        </w:rPr>
        <w:instrText xml:space="preserve"> PAGEREF _Toc23075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_Toc4499 </w:instrText>
      </w:r>
      <w:r>
        <w:rPr>
          <w:rFonts w:ascii="宋体" w:hAnsi="宋体"/>
          <w:color w:val="auto"/>
          <w:kern w:val="2"/>
          <w:szCs w:val="24"/>
          <w:highlight w:val="none"/>
        </w:rPr>
        <w:fldChar w:fldCharType="separate"/>
      </w:r>
      <w:r>
        <w:rPr>
          <w:rFonts w:hint="eastAsia" w:ascii="宋体" w:hAnsi="宋体"/>
          <w:color w:val="auto"/>
          <w:szCs w:val="30"/>
          <w:highlight w:val="none"/>
        </w:rPr>
        <w:t>3.1 国内炼厂装置运行情况</w:t>
      </w:r>
      <w:r>
        <w:rPr>
          <w:color w:val="auto"/>
          <w:highlight w:val="none"/>
        </w:rPr>
        <w:tab/>
      </w:r>
      <w:r>
        <w:rPr>
          <w:color w:val="auto"/>
          <w:highlight w:val="none"/>
        </w:rPr>
        <w:fldChar w:fldCharType="begin"/>
      </w:r>
      <w:r>
        <w:rPr>
          <w:color w:val="auto"/>
          <w:highlight w:val="none"/>
        </w:rPr>
        <w:instrText xml:space="preserve"> PAGEREF _Toc4499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_Toc23841 </w:instrText>
      </w:r>
      <w:r>
        <w:rPr>
          <w:rFonts w:ascii="宋体" w:hAnsi="宋体"/>
          <w:color w:val="auto"/>
          <w:kern w:val="2"/>
          <w:szCs w:val="24"/>
          <w:highlight w:val="none"/>
        </w:rPr>
        <w:fldChar w:fldCharType="separate"/>
      </w:r>
      <w:r>
        <w:rPr>
          <w:rFonts w:hint="eastAsia" w:ascii="宋体" w:hAnsi="宋体"/>
          <w:color w:val="auto"/>
          <w:szCs w:val="30"/>
          <w:highlight w:val="none"/>
        </w:rPr>
        <w:t>3.2本周成品油市场行情</w:t>
      </w:r>
      <w:r>
        <w:rPr>
          <w:color w:val="auto"/>
          <w:highlight w:val="none"/>
        </w:rPr>
        <w:tab/>
      </w:r>
      <w:r>
        <w:rPr>
          <w:color w:val="auto"/>
          <w:highlight w:val="none"/>
        </w:rPr>
        <w:fldChar w:fldCharType="begin"/>
      </w:r>
      <w:r>
        <w:rPr>
          <w:color w:val="auto"/>
          <w:highlight w:val="none"/>
        </w:rPr>
        <w:instrText xml:space="preserve"> PAGEREF _Toc23841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_Toc17420 </w:instrText>
      </w:r>
      <w:r>
        <w:rPr>
          <w:rFonts w:ascii="宋体" w:hAnsi="宋体"/>
          <w:color w:val="auto"/>
          <w:kern w:val="2"/>
          <w:szCs w:val="24"/>
          <w:highlight w:val="none"/>
        </w:rPr>
        <w:fldChar w:fldCharType="separate"/>
      </w:r>
      <w:r>
        <w:rPr>
          <w:rFonts w:hint="eastAsia" w:ascii="宋体" w:hAnsi="宋体"/>
          <w:color w:val="auto"/>
          <w:szCs w:val="30"/>
          <w:highlight w:val="none"/>
        </w:rPr>
        <w:t>3.3 国内汽油价格周报</w:t>
      </w:r>
      <w:r>
        <w:rPr>
          <w:color w:val="auto"/>
          <w:highlight w:val="none"/>
        </w:rPr>
        <w:tab/>
      </w:r>
      <w:r>
        <w:rPr>
          <w:color w:val="auto"/>
          <w:highlight w:val="none"/>
        </w:rPr>
        <w:fldChar w:fldCharType="begin"/>
      </w:r>
      <w:r>
        <w:rPr>
          <w:color w:val="auto"/>
          <w:highlight w:val="none"/>
        </w:rPr>
        <w:instrText xml:space="preserve"> PAGEREF _Toc17420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_Toc5370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3.4国内柴油价格周报</w:t>
      </w:r>
      <w:r>
        <w:rPr>
          <w:color w:val="auto"/>
          <w:highlight w:val="none"/>
        </w:rPr>
        <w:tab/>
      </w:r>
      <w:r>
        <w:rPr>
          <w:color w:val="auto"/>
          <w:highlight w:val="none"/>
        </w:rPr>
        <w:fldChar w:fldCharType="begin"/>
      </w:r>
      <w:r>
        <w:rPr>
          <w:color w:val="auto"/>
          <w:highlight w:val="none"/>
        </w:rPr>
        <w:instrText xml:space="preserve"> PAGEREF _Toc5370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_Toc10709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3.5 山东地炼汽油出厂价格周报</w:t>
      </w:r>
      <w:r>
        <w:rPr>
          <w:color w:val="auto"/>
          <w:highlight w:val="none"/>
        </w:rPr>
        <w:tab/>
      </w:r>
      <w:r>
        <w:rPr>
          <w:color w:val="auto"/>
          <w:highlight w:val="none"/>
        </w:rPr>
        <w:fldChar w:fldCharType="begin"/>
      </w:r>
      <w:r>
        <w:rPr>
          <w:color w:val="auto"/>
          <w:highlight w:val="none"/>
        </w:rPr>
        <w:instrText xml:space="preserve"> PAGEREF _Toc10709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_Toc19013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3.6 山东地炼柴油出厂价格周报</w:t>
      </w:r>
      <w:r>
        <w:rPr>
          <w:color w:val="auto"/>
          <w:highlight w:val="none"/>
        </w:rPr>
        <w:tab/>
      </w:r>
      <w:r>
        <w:rPr>
          <w:color w:val="auto"/>
          <w:highlight w:val="none"/>
        </w:rPr>
        <w:fldChar w:fldCharType="begin"/>
      </w:r>
      <w:r>
        <w:rPr>
          <w:color w:val="auto"/>
          <w:highlight w:val="none"/>
        </w:rPr>
        <w:instrText xml:space="preserve"> PAGEREF _Toc19013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_Toc10784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四、2020年7月份进出口统计数据</w:t>
      </w:r>
      <w:r>
        <w:rPr>
          <w:color w:val="auto"/>
          <w:highlight w:val="none"/>
        </w:rPr>
        <w:tab/>
      </w:r>
      <w:r>
        <w:rPr>
          <w:color w:val="auto"/>
          <w:highlight w:val="none"/>
        </w:rPr>
        <w:fldChar w:fldCharType="begin"/>
      </w:r>
      <w:r>
        <w:rPr>
          <w:color w:val="auto"/>
          <w:highlight w:val="none"/>
        </w:rPr>
        <w:instrText xml:space="preserve"> PAGEREF _Toc10784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_Toc27774 </w:instrText>
      </w:r>
      <w:r>
        <w:rPr>
          <w:rFonts w:ascii="宋体" w:hAnsi="宋体"/>
          <w:color w:val="auto"/>
          <w:kern w:val="2"/>
          <w:szCs w:val="24"/>
          <w:highlight w:val="none"/>
        </w:rPr>
        <w:fldChar w:fldCharType="separate"/>
      </w:r>
      <w:r>
        <w:rPr>
          <w:rFonts w:hint="eastAsia" w:ascii="宋体" w:hAnsi="宋体"/>
          <w:color w:val="auto"/>
          <w:szCs w:val="30"/>
          <w:highlight w:val="none"/>
        </w:rPr>
        <w:t>4.1 20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7</w:t>
      </w:r>
      <w:r>
        <w:rPr>
          <w:rFonts w:hint="eastAsia" w:ascii="宋体" w:hAnsi="宋体"/>
          <w:color w:val="auto"/>
          <w:szCs w:val="30"/>
          <w:highlight w:val="none"/>
        </w:rPr>
        <w:t>份全国车用汽油和航空汽油进出口统计数据</w:t>
      </w:r>
      <w:r>
        <w:rPr>
          <w:color w:val="auto"/>
          <w:highlight w:val="none"/>
        </w:rPr>
        <w:tab/>
      </w:r>
      <w:r>
        <w:rPr>
          <w:color w:val="auto"/>
          <w:highlight w:val="none"/>
        </w:rPr>
        <w:fldChar w:fldCharType="begin"/>
      </w:r>
      <w:r>
        <w:rPr>
          <w:color w:val="auto"/>
          <w:highlight w:val="none"/>
        </w:rPr>
        <w:instrText xml:space="preserve"> PAGEREF _Toc27774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_Toc20292 </w:instrText>
      </w:r>
      <w:r>
        <w:rPr>
          <w:rFonts w:ascii="宋体" w:hAnsi="宋体"/>
          <w:color w:val="auto"/>
          <w:kern w:val="2"/>
          <w:szCs w:val="24"/>
          <w:highlight w:val="none"/>
        </w:rPr>
        <w:fldChar w:fldCharType="separate"/>
      </w:r>
      <w:r>
        <w:rPr>
          <w:rFonts w:hint="eastAsia" w:ascii="宋体" w:hAnsi="宋体"/>
          <w:color w:val="auto"/>
          <w:szCs w:val="30"/>
          <w:highlight w:val="none"/>
        </w:rPr>
        <w:t>4.2 201</w:t>
      </w:r>
      <w:r>
        <w:rPr>
          <w:rFonts w:hint="eastAsia" w:ascii="宋体" w:hAnsi="宋体"/>
          <w:color w:val="auto"/>
          <w:szCs w:val="30"/>
          <w:highlight w:val="none"/>
          <w:lang w:val="en-US" w:eastAsia="zh-CN"/>
        </w:rPr>
        <w:t>8</w:t>
      </w:r>
      <w:r>
        <w:rPr>
          <w:rFonts w:hint="eastAsia" w:ascii="宋体" w:hAnsi="宋体"/>
          <w:color w:val="auto"/>
          <w:szCs w:val="30"/>
          <w:highlight w:val="none"/>
        </w:rPr>
        <w:t>年1</w:t>
      </w:r>
      <w:r>
        <w:rPr>
          <w:rFonts w:hint="eastAsia" w:ascii="宋体" w:hAnsi="宋体"/>
          <w:color w:val="auto"/>
          <w:szCs w:val="30"/>
          <w:highlight w:val="none"/>
          <w:lang w:val="en-US" w:eastAsia="zh-CN"/>
        </w:rPr>
        <w:t>1</w:t>
      </w:r>
      <w:r>
        <w:rPr>
          <w:rFonts w:hint="eastAsia" w:ascii="宋体" w:hAnsi="宋体"/>
          <w:color w:val="auto"/>
          <w:szCs w:val="30"/>
          <w:highlight w:val="none"/>
        </w:rPr>
        <w:t>月份全国轻柴油进出口统计数据</w:t>
      </w:r>
      <w:r>
        <w:rPr>
          <w:color w:val="auto"/>
          <w:highlight w:val="none"/>
        </w:rPr>
        <w:tab/>
      </w:r>
      <w:r>
        <w:rPr>
          <w:color w:val="auto"/>
          <w:highlight w:val="none"/>
        </w:rPr>
        <w:fldChar w:fldCharType="begin"/>
      </w:r>
      <w:r>
        <w:rPr>
          <w:color w:val="auto"/>
          <w:highlight w:val="none"/>
        </w:rPr>
        <w:instrText xml:space="preserve"> PAGEREF _Toc20292 </w:instrText>
      </w:r>
      <w:r>
        <w:rPr>
          <w:color w:val="auto"/>
          <w:highlight w:val="none"/>
        </w:rPr>
        <w:fldChar w:fldCharType="separate"/>
      </w:r>
      <w:r>
        <w:rPr>
          <w:color w:val="auto"/>
          <w:highlight w:val="none"/>
        </w:rPr>
        <w:t>32</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_Toc31298 </w:instrText>
      </w:r>
      <w:r>
        <w:rPr>
          <w:rFonts w:ascii="宋体" w:hAnsi="宋体"/>
          <w:color w:val="auto"/>
          <w:kern w:val="2"/>
          <w:szCs w:val="24"/>
          <w:highlight w:val="none"/>
        </w:rPr>
        <w:fldChar w:fldCharType="separate"/>
      </w:r>
      <w:r>
        <w:rPr>
          <w:rFonts w:hint="eastAsia" w:ascii="宋体" w:hAnsi="宋体"/>
          <w:color w:val="auto"/>
          <w:szCs w:val="30"/>
          <w:highlight w:val="none"/>
        </w:rPr>
        <w:t>4.3 20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7</w:t>
      </w:r>
      <w:r>
        <w:rPr>
          <w:rFonts w:hint="eastAsia" w:ascii="宋体" w:hAnsi="宋体"/>
          <w:color w:val="auto"/>
          <w:szCs w:val="30"/>
          <w:highlight w:val="none"/>
        </w:rPr>
        <w:t>月份全国原油进出口统计数据</w:t>
      </w:r>
      <w:r>
        <w:rPr>
          <w:color w:val="auto"/>
          <w:highlight w:val="none"/>
        </w:rPr>
        <w:tab/>
      </w:r>
      <w:r>
        <w:rPr>
          <w:color w:val="auto"/>
          <w:highlight w:val="none"/>
        </w:rPr>
        <w:fldChar w:fldCharType="begin"/>
      </w:r>
      <w:r>
        <w:rPr>
          <w:color w:val="auto"/>
          <w:highlight w:val="none"/>
        </w:rPr>
        <w:instrText xml:space="preserve"> PAGEREF _Toc31298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_Toc19589 </w:instrText>
      </w:r>
      <w:r>
        <w:rPr>
          <w:rFonts w:ascii="宋体" w:hAnsi="宋体"/>
          <w:color w:val="auto"/>
          <w:kern w:val="2"/>
          <w:szCs w:val="24"/>
          <w:highlight w:val="none"/>
        </w:rPr>
        <w:fldChar w:fldCharType="separate"/>
      </w:r>
      <w:r>
        <w:rPr>
          <w:rFonts w:hint="eastAsia" w:ascii="宋体" w:hAnsi="宋体"/>
          <w:color w:val="auto"/>
          <w:szCs w:val="30"/>
          <w:highlight w:val="none"/>
        </w:rPr>
        <w:t>4.4 20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7</w:t>
      </w:r>
      <w:r>
        <w:rPr>
          <w:rFonts w:hint="eastAsia" w:ascii="宋体" w:hAnsi="宋体"/>
          <w:color w:val="auto"/>
          <w:szCs w:val="30"/>
          <w:highlight w:val="none"/>
        </w:rPr>
        <w:t>月份全国航空煤油进出口统计数据</w:t>
      </w:r>
      <w:r>
        <w:rPr>
          <w:color w:val="auto"/>
          <w:highlight w:val="none"/>
        </w:rPr>
        <w:tab/>
      </w:r>
      <w:r>
        <w:rPr>
          <w:color w:val="auto"/>
          <w:highlight w:val="none"/>
        </w:rPr>
        <w:fldChar w:fldCharType="begin"/>
      </w:r>
      <w:r>
        <w:rPr>
          <w:color w:val="auto"/>
          <w:highlight w:val="none"/>
        </w:rPr>
        <w:instrText xml:space="preserve"> PAGEREF _Toc19589 </w:instrText>
      </w:r>
      <w:r>
        <w:rPr>
          <w:color w:val="auto"/>
          <w:highlight w:val="none"/>
        </w:rPr>
        <w:fldChar w:fldCharType="separate"/>
      </w:r>
      <w:r>
        <w:rPr>
          <w:color w:val="auto"/>
          <w:highlight w:val="none"/>
        </w:rPr>
        <w:t>34</w:t>
      </w:r>
      <w:r>
        <w:rPr>
          <w:color w:val="auto"/>
          <w:highlight w:val="none"/>
        </w:rPr>
        <w:fldChar w:fldCharType="end"/>
      </w:r>
      <w:r>
        <w:rPr>
          <w:rFonts w:ascii="宋体" w:hAnsi="宋体"/>
          <w:color w:val="auto"/>
          <w:kern w:val="2"/>
          <w:szCs w:val="24"/>
          <w:highlight w:val="none"/>
        </w:rPr>
        <w:fldChar w:fldCharType="end"/>
      </w:r>
    </w:p>
    <w:p>
      <w:pPr>
        <w:pStyle w:val="2"/>
        <w:spacing w:before="120" w:after="0" w:line="240" w:lineRule="auto"/>
        <w:rPr>
          <w:rFonts w:ascii="宋体" w:hAnsi="宋体"/>
          <w:b/>
          <w:color w:val="auto"/>
          <w:sz w:val="24"/>
          <w:szCs w:val="24"/>
          <w:highlight w:val="none"/>
        </w:rPr>
      </w:pPr>
      <w:r>
        <w:rPr>
          <w:rFonts w:ascii="宋体" w:hAnsi="宋体"/>
          <w:color w:val="auto"/>
          <w:kern w:val="2"/>
          <w:szCs w:val="24"/>
          <w:highlight w:val="none"/>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820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31041"/>
      <w:r>
        <w:rPr>
          <w:rFonts w:hint="eastAsia" w:ascii="宋体" w:hAnsi="宋体"/>
          <w:b/>
          <w:sz w:val="30"/>
          <w:szCs w:val="30"/>
        </w:rPr>
        <w:t>1.1国际原油收盘价涨跌情况（单位：美元/桶）</w:t>
      </w:r>
      <w:bookmarkEnd w:id="1"/>
    </w:p>
    <w:tbl>
      <w:tblPr>
        <w:tblStyle w:val="24"/>
        <w:tblW w:w="9672" w:type="dxa"/>
        <w:tblInd w:w="0" w:type="dxa"/>
        <w:tblLayout w:type="fixed"/>
        <w:tblCellMar>
          <w:top w:w="15" w:type="dxa"/>
          <w:left w:w="15" w:type="dxa"/>
          <w:bottom w:w="15" w:type="dxa"/>
          <w:right w:w="15" w:type="dxa"/>
        </w:tblCellMar>
      </w:tblPr>
      <w:tblGrid>
        <w:gridCol w:w="1467"/>
        <w:gridCol w:w="840"/>
        <w:gridCol w:w="825"/>
        <w:gridCol w:w="6540"/>
      </w:tblGrid>
      <w:tr>
        <w:tblPrEx>
          <w:tblCellMar>
            <w:top w:w="15" w:type="dxa"/>
            <w:left w:w="15" w:type="dxa"/>
            <w:bottom w:w="15" w:type="dxa"/>
            <w:right w:w="15" w:type="dxa"/>
          </w:tblCellMar>
        </w:tblPrEx>
        <w:trPr>
          <w:trHeight w:val="286" w:hRule="atLeast"/>
        </w:trPr>
        <w:tc>
          <w:tcPr>
            <w:tcW w:w="1467"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日期</w:t>
            </w:r>
          </w:p>
        </w:tc>
        <w:tc>
          <w:tcPr>
            <w:tcW w:w="84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纽交所</w:t>
            </w:r>
          </w:p>
        </w:tc>
        <w:tc>
          <w:tcPr>
            <w:tcW w:w="82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伦交所</w:t>
            </w:r>
          </w:p>
        </w:tc>
        <w:tc>
          <w:tcPr>
            <w:tcW w:w="654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影响因素</w:t>
            </w:r>
          </w:p>
        </w:tc>
      </w:tr>
      <w:tr>
        <w:tblPrEx>
          <w:tblCellMar>
            <w:top w:w="15" w:type="dxa"/>
            <w:left w:w="15" w:type="dxa"/>
            <w:bottom w:w="15" w:type="dxa"/>
            <w:right w:w="15" w:type="dxa"/>
          </w:tblCellMar>
        </w:tblPrEx>
        <w:trPr>
          <w:trHeight w:val="600"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2020/10/2</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37.05</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39.27</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原油期货价格下跌。特朗普表示自己被检测出新冠病毒感染阳性而隔离，加剧市场对疫情恶化导致需求下滑的担忧，欧美原油期货遭遇抛盘。</w:t>
            </w:r>
          </w:p>
        </w:tc>
      </w:tr>
      <w:tr>
        <w:tblPrEx>
          <w:tblCellMar>
            <w:top w:w="15" w:type="dxa"/>
            <w:left w:w="15" w:type="dxa"/>
            <w:bottom w:w="15" w:type="dxa"/>
            <w:right w:w="15" w:type="dxa"/>
          </w:tblCellMar>
        </w:tblPrEx>
        <w:trPr>
          <w:trHeight w:val="540"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2020/10/5</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39.22</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41.29</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原油期货价格上涨。挪威原油产量下降，美国总统感染冠状病毒之后病情好转，提振了风险投资偏好。</w:t>
            </w:r>
          </w:p>
        </w:tc>
      </w:tr>
      <w:tr>
        <w:tblPrEx>
          <w:tblCellMar>
            <w:top w:w="15" w:type="dxa"/>
            <w:left w:w="15" w:type="dxa"/>
            <w:bottom w:w="15" w:type="dxa"/>
            <w:right w:w="15" w:type="dxa"/>
          </w:tblCellMar>
        </w:tblPrEx>
        <w:trPr>
          <w:trHeight w:val="570"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2020/10/6</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40.67</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42.65</w:t>
            </w:r>
          </w:p>
        </w:tc>
        <w:tc>
          <w:tcPr>
            <w:tcW w:w="654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原油期货价格上涨。因飓风接近墨西哥湾且挪威石油工人罢工预计将造成供应中断;不过，油市在盘后交易中收窄涨幅，此前美国总统特朗普叫停了与民主党议员的新冠救助议案谈判，直到大选结束。</w:t>
            </w:r>
          </w:p>
        </w:tc>
      </w:tr>
      <w:tr>
        <w:tblPrEx>
          <w:tblCellMar>
            <w:top w:w="15" w:type="dxa"/>
            <w:left w:w="15" w:type="dxa"/>
            <w:bottom w:w="15" w:type="dxa"/>
            <w:right w:w="15" w:type="dxa"/>
          </w:tblCellMar>
        </w:tblPrEx>
        <w:trPr>
          <w:trHeight w:val="435"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2020/10/7</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39.95</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41.99</w:t>
            </w:r>
          </w:p>
        </w:tc>
        <w:tc>
          <w:tcPr>
            <w:tcW w:w="6540"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原油期货价格下跌。EIA称美国上周原油库存增加，新一轮财政刺激措施面临不确定性，令油价承压。</w:t>
            </w:r>
          </w:p>
        </w:tc>
      </w:tr>
      <w:tr>
        <w:tblPrEx>
          <w:tblCellMar>
            <w:top w:w="15" w:type="dxa"/>
            <w:left w:w="15" w:type="dxa"/>
            <w:bottom w:w="15" w:type="dxa"/>
            <w:right w:w="15" w:type="dxa"/>
          </w:tblCellMar>
        </w:tblPrEx>
        <w:trPr>
          <w:trHeight w:val="555"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2020/10/8</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41.19</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43.34</w:t>
            </w:r>
          </w:p>
        </w:tc>
        <w:tc>
          <w:tcPr>
            <w:tcW w:w="6540"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原油期货价格上涨。飓风使墨西哥湾原油产量下降，挪威工人罢工原油产量下降，对油价有提振作用。</w:t>
            </w:r>
          </w:p>
        </w:tc>
      </w:tr>
    </w:tbl>
    <w:p>
      <w:pPr>
        <w:rPr>
          <w:rFonts w:hint="eastAsia"/>
        </w:rPr>
      </w:pPr>
    </w:p>
    <w:p>
      <w:pPr>
        <w:pStyle w:val="3"/>
        <w:spacing w:before="120" w:after="120" w:line="240" w:lineRule="auto"/>
        <w:rPr>
          <w:rFonts w:ascii="宋体" w:hAnsi="宋体"/>
          <w:b/>
          <w:sz w:val="30"/>
          <w:szCs w:val="30"/>
        </w:rPr>
      </w:pPr>
      <w:bookmarkStart w:id="2" w:name="_Toc13265"/>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999480" cy="48888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99480" cy="4888865"/>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11108"/>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24274"/>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53128406"/>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能源信息署(EIA)周三(9月23日)公布报告显示，截至9月18日当周美国原油库存、成品油库存均出现下滑。具体数据显示，截至9月18日当周，除却战略储备的商业原油库存减少163.9万桶至4.944亿桶，减少0.3%，此前分析师预期为减少230万桶。美国汽油库存减少402.5万桶，至2.27499亿桶，分析师预期为减少64.80万桶。精炼油库存减少336.3万桶，至1.75942亿桶，预期为增加100万桶，创3月13日当周(28周)以来新低。库欣原油库存在上周增加4,000桶。美国石油协会(API)公布的数据显示，美国截至9月25日当周API原油库存减少83.1万桶，预期增加140万桶;汽油库存增加162.3万桶;精炼油库存减少342.4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53128407"/>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9日凌晨，尽管备受关注的财政刺激谈判仍无进展，但美股周四依然小幅收涨，三大股指均创一个月来新高。美国众议院议长佩洛西拒绝独立的航空业救助方案，称其必须与全面经济刺激法案一起进行。美上周初请失业救济人数降至84万仍处高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道指涨122.05点，或0.43%，报28425.51点;纳指涨56.38点，或0.50%，报11420.98点;标普500指数涨27.38点，或0.80%，报3446.83点。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美国总统特朗普周四上午表示，政府和民主党“正在开始进行一些非常富有成果的会谈”。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美国众议院议长佩洛西发言人称，佩洛西和财政部长姆努钦周四就刺激计划进行了40分钟的交谈。但佩洛西表示，如果没有更大的援助计划，就没有独立的航空公司援助法案。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多位美联储官员继续发声，要求出台更多财政刺激措施以支持经济复苏。</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美国两党关于新一轮财政刺激方案的长期斗争一直都是市场焦点。但分析师称，影响本周股市动向的更大因素，或是民调结果表明11月大选结果前景更加明朗。</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投资者日益增长的共识是，最近美股反弹其实与财政刺激谈判的波折无关，而与未来总统大选结果争议性降低有关。市场普遍认为，财政刺激谈判不太可能在今年产生具体结果。</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荷兰合作银行(Rabobank)分析师说：“我们认为，美股上涨的最有说服力的解释不是总统大选结果本身，而是人们猜测大选结果已日益清晰。”</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们称，在民调显示民主党候选人乔-拜登大幅领先之前，投资者担心大量邮寄投票可能意味着选举结果要到11月3日之后几天才能确定。但如果拜登以明显多数票当选，就意味大选结果在选举日当天就能确定，这将推动大选之后风险资产价格上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美国众议院议长佩洛西周四否决了特朗普针对航空公司实施独立刺激法案的想法，称该法案必须与包括民主党优先事项在内的更全面的经济刺激法案一起进行。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佩洛西表示可以有独立刺激法案要求的内容，但前提是此内容只是作为经济刺激法案的一部分，而不是作为独立刺激法案的形式存在。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悉，特朗普曾在6日表示已告知其谈判代表停止就刺激法案与民主党领导人进行会谈。对此，佩洛西在每周一次的新闻发布会上严厉抨击特朗普这一行为，并质疑特朗普的决定甚至可能是在没有告知财政部长姆努钦和其他最高国会共和党人的情况下告知公众的。</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佩洛西说明：“特朗普的行为是让人费解的，民主党迫切希望就刺激法案继续对话并达成协议，因为刺激法案对于美国至关重要。”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朗普周二宣布叫停财政刺激谈判，随后他呼吁出台针对航空业与小型企业的独立救援措施，并支持向纳税人直接发放1200美元刺激支票。特朗普表示，众议院和参议院应当立即批准250亿美元用于航空业薪资救助，及1350亿美元用于小型企业的薪资保护计划。</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佩洛西和姆努钦周三重新开始了有关财政刺激方案的谈判，周四又继续进行了约40分钟的会谈。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分析认为，美国财政刺激方案的谈判重启，无疑提振了市场的风险情绪，进而促使股市等资产反弹。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佩洛西周三表示，她对通过一项专门为航空公司提供救济法案持开放态度。但她称，不同意授权向纳税人直接发放新一轮的1200美元支票，因为仅靠这笔支票不足以解决冠状病毒危机。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众议院民主党上周投票通过了规模更大的一揽子抗疫纾困财政开支计划，拟向美国经济的各个领域再注入2.2万亿美元的援助资金。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分析认为，关于一揽子刺激计划内容的分歧在短期内是无法克服的，预计国会在选举后才会达成妥协。其中一个原因是，参议院的共和党人正在忙于通过最高法院大法官提名事宜，而且将会忙得不可开交。他们寻求的一揽子方案甚至比白宫的规模小得多。</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美联储官员继续呼吁出台更多财政刺激来保障经济复苏</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美联储官员周四继续就实施更多财政刺激措施向华盛顿方面施压，他们称，如果近期不出台财政刺激措施，脆弱的经济复苏动力将被削弱。不过民主党与共和党达成协议的希望似乎仍很渺茫。</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波士顿联储行长罗森格伦周四称：“目前财政政策是合适的工具，我认为到现在还没实施是可悲的。”</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特朗普周二表示将叫停围绕全面刺激方案的谈判，但佩洛西拒绝了特朗普推动单项立法的要求。</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罗森格伦称：“看来要等大选之后。但希望无论谁当选，都会让国会通过一份大规模刺激方案。”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堪萨斯城联储行长艾斯特-乔治周四表示：“得益于大规模财政刺激，个人和小企业得以恢复了经济活动。在疫情没结束，前期纾困资金用完的情况，复苏可能会停滞不前。”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达拉斯联储行长罗伯特-卡普兰也表达了类似看法。他称：“美联储可以缓解金融状况。但我们无法弥补失去的收入。这是财政政策才能做到的事。”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卡普兰说：“在失业率保持较高水平之际--我们预计这将持续一段时间，某种形式的财政纾困很重要。”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在周三发布的9月货币政策会议纪要中表示：“许多与会者指出，他们对经济前景的预测是建立在国会出台额外财政支持措施的基础之上的，如果未来的财政支持规模小于预期，或到出台时间晚于他们的预期，那么，经济复苏的步伐可能会比预期的更慢。”</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美上周初请失业救济人数降至84万人 仍处高位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美国劳工部周四报告称，截至10月3日当周美国首次申请失业救济人数为84万人，高于市场预期的82.5万。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冠状病毒疫情给美国劳动力市场造成巨大冲击，3月和4月失业情况最为严重。随着美国经济重启，5月以来劳动力市场有所改善。但随着近期就业增长出现放缓，首次申请失业救济人数仍旧处于高位，约为疫情前平均水平的4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随着疫情仍未得到有效控制，以及美国政府的部分刺激政策到期，美国企业破产率逐步上升，就业增长普遍放缓，暂时性失业转变为永久性失业的情况正在增多。美联储主席鲍威尔此前就表示，要警惕失业救助给就业带来的冲击，造成美国民众难以返回就业岗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分析师指出，美国初请失业金人数连续第二周下降，但仍保持在高位，若联邦政府不采取进一步刺激措施，就业市场有进一步疲弱的风险，经济复苏前景堪忧。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原油期货价格周四收高。飓风德尔塔导致墨西哥湾90%以上的原油产能关闭。沙特据称考虑推迟OPEC组织的增产计划。</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挪威工人大罢工也使北海石油产量面临下降的风险。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据美国官方报道，随着飓风来临，截止周三，墨西哥湾区91.53%的原油产能与61.82%的天然气产能被迫关闭。</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与此同时，美国媒体报道称，沙特阿拉伯正在考虑将石油输出国组织(OPEC)明年初提高原油产量的计划推迟至明年第一季度末。</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沙特称，考虑推迟增产计划的原因是全球多地冠状病毒感染病例激增，以及利比亚重新恢复向世界供应原油。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周四，纽约商品交易所11月交割的西德州中质原油(WTI)期货价格上涨1.24美元，涨幅3.1%，收于每桶41.19美元。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伦敦洲际交易所12月布伦特原油期货价格上涨1.35美元，涨幅3.2%，收于每桶43.34美元。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643" w:firstLineChars="200"/>
        <w:outlineLvl w:val="1"/>
        <w:rPr>
          <w:rFonts w:hint="eastAsia" w:asciiTheme="minorEastAsia" w:hAnsiTheme="minorEastAsia" w:eastAsiaTheme="minorEastAsia" w:cstheme="minorEastAsia"/>
          <w:b/>
          <w:bCs/>
          <w:sz w:val="32"/>
          <w:szCs w:val="32"/>
        </w:rPr>
      </w:pPr>
      <w:bookmarkStart w:id="7" w:name="_Toc53128408"/>
      <w:r>
        <w:rPr>
          <w:rFonts w:hint="eastAsia" w:asciiTheme="minorEastAsia" w:hAnsiTheme="minorEastAsia" w:eastAsiaTheme="minorEastAsia" w:cstheme="minorEastAsia"/>
          <w:b/>
          <w:bCs/>
          <w:sz w:val="32"/>
          <w:szCs w:val="32"/>
        </w:rPr>
        <w:t>3.世界经济形势</w:t>
      </w:r>
      <w:bookmarkEnd w:id="7"/>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国际货币基金组织(IMF)总裁格奥尔基耶娃表示，全球经济的状况跟跟6月时相比“没那么可怕”，但如果各国政府过早结束财政和货币支持、未能控制疫情、并忽视新兴市场的债务问题，经济还有可能再次崩溃。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格奥尔基耶娃在伦敦政治经济学院的线上活动上表示，IMF下周将小幅上修其对全球经济产出的预测，并称：“我的关键信息是：全球经济正在从这场危机的深渊中复苏。”</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她补充称，“但这场灾难远未结束。所有国家现在都面临着我所说的‘漫长的攀行之路’，这是一场艰难的攀登，道路漫长、不平坦、不确定，而且容易遭遇挫折。”这场演讲将为她下周在IMF和世界银行年会中的发言“拉开帷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IMF在6月预测，新冠疫情相关停摆措施将使全球国内生产总值(GDP)萎缩4.9%，这将是自20世纪30年代大萧条以来的最严重萎缩，并呼吁各国政府和央行提供更多政策支持。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IMF将在下周成员国参加会议时公布修正后的预测，会议将主要以线上形式举行。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格奥尔基耶娃表示，IMF仍预计2021年的复苏将是“不完全且不均衡的”。今年6月，该组织预测2021年全球经济将增长5.4%。</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不过，她称，12万亿美元的财政支持，加上史无前例的货币宽松政策，使包括美国和欧元区在内的许多发达经济体得以避免受到疫情最严重的损害，且事实证明，一些商业部门更有能力在疫情中维持运营。中国的复苏速度也快于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这为新兴市场提供了一些积极的溢出效应，但格奥尔基耶娃敦促各国继续支持本国经济，并警告称，全球经济增长将在中期内保持低迷，“严重经济创伤”的风险很高。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“我们传达的信息非常清楚，不要过早撤回支持措施。”她说，“如果我们这样做，就会面临大规模破产和失业的风险。”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她称，新兴市场和低收入国家面临着岌岌可危的局面，卫生系统薄弱，外债居高不下，而且依赖于旅游业和大宗商品等受疫情影响最大的行业。</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格奥尔基耶娃表示：“低收入国家受到的冲击如此之大，以至于我们可能面临‘迷失的一代’。”她暗示，IMF和世界银行下周将大力推动为低收入国家提供更多债务减免。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她呼吁在2020年底之前暂停官方双边债务偿还的基础上，再迅速为低收入国家提供更多债务帮助。她称，如果没有更多的赠款、优惠信贷和债务减免，发展成果可能会付之东流。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“在某些情况下，在全球范围协调主权债务重组将是必要的，需要公共和民间债权人的全面参与。”她补充道。</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格奥尔基耶娃还敦促高负债国家在寻求债务重组的问题上不要等待，并表示有必要进行税制改革以获得所需的收入。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IMF执行董事会周一批准将28个获得该机构贷款的国家的偿债豁免再延期六个月，至2021年4月13日。此举将把这些债务偿还转移到由较富裕成员国出资成立的特别灾难救助基金。</w:t>
      </w:r>
    </w:p>
    <w:p>
      <w:pPr>
        <w:pStyle w:val="23"/>
        <w:numPr>
          <w:ilvl w:val="0"/>
          <w:numId w:val="0"/>
        </w:numPr>
        <w:rPr>
          <w:rFonts w:hint="eastAsia" w:ascii="黑体" w:eastAsia="黑体"/>
          <w:b/>
          <w:sz w:val="28"/>
          <w:szCs w:val="28"/>
        </w:rPr>
      </w:pP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w:t>
      </w:r>
      <w:r>
        <w:rPr>
          <w:rFonts w:hint="eastAsia" w:ascii="黑体" w:eastAsia="黑体"/>
          <w:b/>
          <w:sz w:val="28"/>
          <w:szCs w:val="28"/>
        </w:rPr>
        <w:t>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WTI原油原油价格在37.05-41.19美元/桶。布伦特原油价格在39.27-43.34美元/桶震荡。周内国际油价小幅震荡。石油工人在飓风“德尔塔”来袭之前撤离位于墨西哥湾的海上钻井平台，而美国对伊朗实施了新一轮的制裁，以及沙特阿拉伯和挪威可能减产的支撑下，油价周四(10月8日)飙升至逾两周高位：WTI原油11月期货收涨1.24美元，涨幅3.10%，报41.19美元/桶;布伦特原油12月期货收涨1.35美元，涨幅3.22%，报43.34美元/桶。此前交易日，美油11月期收跌72美分，跌幅1.77%，报39.95美元/桶;布收跌66美分，跌幅1.55%，报41.99美元/桶。基本面利好因素：1.美国在总统大选前几周开始扩大对伊朗施压。周四，美国财政部正式对伊朗18家银行实施制裁。此举实际上是将伊朗拒之全球金融业门外。伊朗外长扎里夫表示，美国的新制裁旨在摧毁我们对食品和药物的剩余支付渠道。美国重新对伊朗实施制裁，目标从石油销售到运输和金融活动无一幸免，不过食品、药品和其他人道主义物资除外。伊朗的重要收入来源——石油出口，今年稍早已降至数十年来最低水准。许多外国银行已经不敢与伊朗做生意，包括与人道主义有关的交易。2.沙特考虑推迟明年初的欧佩克增产计划。沙特高级石油顾问周四表示，随着全球多地新冠疫情重燃，以及利比亚原油供应重返市场，导致原油供应进一步过剩，沙特正考虑取消原定明年初实施的欧佩克增产计划;今年4月，欧佩克+同意进行创纪录的原油减产行动，并计划于明年1月起将减产规模缩小至580万桶/日，较目前的产量水平提高200万桶/日左右;沙特石油顾问表示，沙特正考虑将这一行动推迟到明年一季度末;沙特顾问表示，市场不能消化复产的200万桶/日的原油，欧佩克+将在11月30日-12月1日的欧佩克大会上作出最终决定;沙特能源部尚未对此置评。3.挪威油气巨头Equinor ASA的工人因薪资问题而不断升级罢工。挪威国家调解员称，挪威莱德恩工会计划在10月10日扩大石油罢工行动。挪威石油和天然气协会(Norwegian oil and Gas Association)说，挪威石油工人的罢工将使该国的日产能减少33万桶油当量，约占总产量的8%。路透社的计算显示，总降幅中约60%来自天然气，其余部分来自原油和液化天然气。4.美国国家飓风中心表示，飓风“德尔塔”穿过墨西哥湾西部向西北移动，预计将在周五给墨西哥湾北部部分地区带来危及生命的风暴。雪佛龙(Chevron)说，已经开始撤离该地区平台上的所有人员，并正在关闭设施。作为“德尔塔”飓风过境前的预防措施，墨西哥国家石油公司关闭了位于墨西哥湾的多个原油运输港口和所有海上原油生产平台，尽管大多数港口并不直接位于飓风过境的路径上。基本面利空因素：1.周四，欧佩克公布了《2020年世界石油展望》，该报告显示，全球石油需求将在本世纪30年代末趋于平稳，而且届时可能已开始下降。这是欧佩克的一个重大转变，同时也反映出疫情对经济和消费习惯的持久影响。与此同时，越来越多的分析认为，这场疫情可能会成为石油需求峰值的转折点。欧佩克称，2030年石油日消费量将从2020年的9070万桶增至1.072亿桶，较去年的预估低110万桶，较2007年对2030年需求的预估低逾1000万桶。2.据Worldometers实时统计数据显示，截至北京时间10月9日02时42分，美国新冠病毒确诊病例达780万例，新增26431例至7802655例，占全球确诊病例的近四分之一;死亡病例达21万例，新增472例至217253例，占全球死亡人数的近四分之一。3.北京时间周三晚22：30，美国能源信息署(EIA)公布的数据显示，截至10月2日当周，原油库存增加50.1万桶至4.929亿桶，高于路透调查分析师预估的增加29.4万桶。库欣原油库存增加47万桶。炼油厂原油日均上涨18.3万桶。炼油厂利用率上升1.3个百分点。美国汽油库存减少140万桶，至2.268亿桶，超过路透调查分析师预估的减少47.1万桶。馏分油库存减少96.2万桶，至1.718亿桶，此前预期为减少99.5万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预测下周WTI油价将触及36-42美元/桶，布油在之后几个月触及38-44美元/桶。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numPr>
          <w:ilvl w:val="0"/>
          <w:numId w:val="0"/>
        </w:numPr>
        <w:spacing w:line="360" w:lineRule="auto"/>
        <w:jc w:val="both"/>
        <w:rPr>
          <w:rFonts w:hint="eastAsia" w:ascii="黑体" w:eastAsia="黑体"/>
          <w:b/>
          <w:sz w:val="28"/>
          <w:szCs w:val="28"/>
          <w:lang w:eastAsia="zh-CN"/>
        </w:rPr>
      </w:pPr>
    </w:p>
    <w:p>
      <w:pPr>
        <w:pStyle w:val="3"/>
        <w:spacing w:before="120" w:after="120" w:line="240" w:lineRule="auto"/>
        <w:rPr>
          <w:rFonts w:hint="eastAsia" w:ascii="宋体" w:hAnsi="宋体"/>
          <w:b/>
          <w:sz w:val="30"/>
          <w:szCs w:val="30"/>
          <w:highlight w:val="none"/>
        </w:rPr>
      </w:pPr>
      <w:bookmarkStart w:id="8" w:name="_Toc1606"/>
      <w:r>
        <w:rPr>
          <w:rFonts w:hint="eastAsia" w:ascii="宋体" w:hAnsi="宋体"/>
          <w:b/>
          <w:sz w:val="30"/>
          <w:szCs w:val="30"/>
          <w:highlight w:val="none"/>
        </w:rPr>
        <w:t>2.2国际市场MTBE价格</w:t>
      </w:r>
      <w:bookmarkEnd w:id="8"/>
    </w:p>
    <w:tbl>
      <w:tblPr>
        <w:tblStyle w:val="24"/>
        <w:tblpPr w:leftFromText="180" w:rightFromText="180" w:vertAnchor="text" w:horzAnchor="page" w:tblpX="1326" w:tblpY="202"/>
        <w:tblOverlap w:val="never"/>
        <w:tblW w:w="8178" w:type="dxa"/>
        <w:tblInd w:w="0" w:type="dxa"/>
        <w:shd w:val="clear" w:color="auto" w:fill="auto"/>
        <w:tblLayout w:type="autofit"/>
        <w:tblCellMar>
          <w:top w:w="0" w:type="dxa"/>
          <w:left w:w="0" w:type="dxa"/>
          <w:bottom w:w="0" w:type="dxa"/>
          <w:right w:w="0" w:type="dxa"/>
        </w:tblCellMar>
      </w:tblPr>
      <w:tblGrid>
        <w:gridCol w:w="1544"/>
        <w:gridCol w:w="2358"/>
        <w:gridCol w:w="2206"/>
        <w:gridCol w:w="2070"/>
      </w:tblGrid>
      <w:tr>
        <w:tblPrEx>
          <w:shd w:val="clear" w:color="auto" w:fill="auto"/>
          <w:tblCellMar>
            <w:top w:w="0" w:type="dxa"/>
            <w:left w:w="0" w:type="dxa"/>
            <w:bottom w:w="0" w:type="dxa"/>
            <w:right w:w="0" w:type="dxa"/>
          </w:tblCellMar>
        </w:tblPrEx>
        <w:trPr>
          <w:trHeight w:val="463" w:hRule="atLeast"/>
        </w:trPr>
        <w:tc>
          <w:tcPr>
            <w:tcW w:w="1544"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358"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2206"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207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463"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10月8日</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413.70 </w:t>
            </w:r>
          </w:p>
        </w:tc>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133.61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448.00 </w:t>
            </w:r>
          </w:p>
        </w:tc>
      </w:tr>
      <w:tr>
        <w:tblPrEx>
          <w:tblCellMar>
            <w:top w:w="0" w:type="dxa"/>
            <w:left w:w="0" w:type="dxa"/>
            <w:bottom w:w="0" w:type="dxa"/>
            <w:right w:w="0" w:type="dxa"/>
          </w:tblCellMar>
        </w:tblPrEx>
        <w:trPr>
          <w:trHeight w:val="463" w:hRule="atLeast"/>
        </w:trPr>
        <w:tc>
          <w:tcPr>
            <w:tcW w:w="15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10月7日</w:t>
            </w:r>
          </w:p>
        </w:tc>
        <w:tc>
          <w:tcPr>
            <w:tcW w:w="23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411.50 </w:t>
            </w:r>
          </w:p>
        </w:tc>
        <w:tc>
          <w:tcPr>
            <w:tcW w:w="22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133.03 </w:t>
            </w: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430.00 </w:t>
            </w:r>
          </w:p>
        </w:tc>
      </w:tr>
      <w:tr>
        <w:tblPrEx>
          <w:tblCellMar>
            <w:top w:w="0" w:type="dxa"/>
            <w:left w:w="0" w:type="dxa"/>
            <w:bottom w:w="0" w:type="dxa"/>
            <w:right w:w="0" w:type="dxa"/>
          </w:tblCellMar>
        </w:tblPrEx>
        <w:trPr>
          <w:trHeight w:val="463"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10月6日</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405.00 </w:t>
            </w:r>
          </w:p>
        </w:tc>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136.45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450.25 </w:t>
            </w:r>
          </w:p>
        </w:tc>
      </w:tr>
      <w:tr>
        <w:tblPrEx>
          <w:tblCellMar>
            <w:top w:w="0" w:type="dxa"/>
            <w:left w:w="0" w:type="dxa"/>
            <w:bottom w:w="0" w:type="dxa"/>
            <w:right w:w="0" w:type="dxa"/>
          </w:tblCellMar>
        </w:tblPrEx>
        <w:trPr>
          <w:trHeight w:val="463"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10月5日</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401.00 </w:t>
            </w:r>
          </w:p>
        </w:tc>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133.87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445.00 </w:t>
            </w:r>
          </w:p>
        </w:tc>
      </w:tr>
      <w:tr>
        <w:tblPrEx>
          <w:tblCellMar>
            <w:top w:w="0" w:type="dxa"/>
            <w:left w:w="0" w:type="dxa"/>
            <w:bottom w:w="0" w:type="dxa"/>
            <w:right w:w="0" w:type="dxa"/>
          </w:tblCellMar>
        </w:tblPrEx>
        <w:trPr>
          <w:trHeight w:val="484"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10月2日</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399.70 </w:t>
            </w:r>
          </w:p>
        </w:tc>
        <w:tc>
          <w:tcPr>
            <w:tcW w:w="22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126.81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428.25 </w:t>
            </w:r>
          </w:p>
        </w:tc>
      </w:tr>
    </w:tbl>
    <w:p/>
    <w:p>
      <w:pPr>
        <w:pStyle w:val="2"/>
        <w:spacing w:before="120" w:after="0" w:line="240" w:lineRule="auto"/>
        <w:rPr>
          <w:rFonts w:hint="eastAsia"/>
        </w:rPr>
      </w:pPr>
    </w:p>
    <w:p>
      <w:pPr>
        <w:pStyle w:val="2"/>
        <w:numPr>
          <w:ilvl w:val="0"/>
          <w:numId w:val="0"/>
        </w:numPr>
        <w:spacing w:before="120" w:after="0" w:line="240" w:lineRule="auto"/>
        <w:rPr>
          <w:rFonts w:hint="eastAsia"/>
          <w:b/>
        </w:rPr>
      </w:pPr>
      <w:bookmarkStart w:id="9" w:name="_Toc23075"/>
    </w:p>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4499"/>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北海</w:t>
            </w:r>
            <w:r>
              <w:rPr>
                <w:rFonts w:hint="eastAsia" w:ascii="宋体" w:hAnsi="宋体" w:cs="宋体"/>
                <w:i w:val="0"/>
                <w:color w:val="000000"/>
                <w:kern w:val="0"/>
                <w:sz w:val="21"/>
                <w:szCs w:val="21"/>
                <w:u w:val="none"/>
                <w:lang w:val="en-US" w:eastAsia="zh-CN" w:bidi="ar"/>
              </w:rPr>
              <w:t>炼</w:t>
            </w:r>
            <w:r>
              <w:rPr>
                <w:rFonts w:hint="eastAsia" w:ascii="宋体" w:hAnsi="宋体" w:eastAsia="宋体" w:cs="宋体"/>
                <w:i w:val="0"/>
                <w:color w:val="000000"/>
                <w:kern w:val="0"/>
                <w:sz w:val="21"/>
                <w:szCs w:val="21"/>
                <w:u w:val="none"/>
                <w:lang w:val="en-US" w:eastAsia="zh-CN" w:bidi="ar"/>
              </w:rPr>
              <w:t>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w:t>
            </w:r>
            <w:r>
              <w:rPr>
                <w:rFonts w:hint="eastAsia" w:ascii="宋体" w:hAnsi="宋体" w:cs="宋体"/>
                <w:i w:val="0"/>
                <w:color w:val="000000"/>
                <w:kern w:val="0"/>
                <w:sz w:val="21"/>
                <w:szCs w:val="21"/>
                <w:u w:val="none"/>
                <w:lang w:val="en-US" w:eastAsia="zh-CN" w:bidi="ar"/>
              </w:rPr>
              <w:t>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云南</w:t>
            </w:r>
            <w:r>
              <w:rPr>
                <w:rFonts w:hint="eastAsia" w:ascii="宋体" w:hAnsi="宋体" w:eastAsia="宋体" w:cs="宋体"/>
                <w:i w:val="0"/>
                <w:color w:val="000000"/>
                <w:kern w:val="0"/>
                <w:sz w:val="21"/>
                <w:szCs w:val="21"/>
                <w:u w:val="none"/>
                <w:lang w:val="en-US" w:eastAsia="zh-CN" w:bidi="ar"/>
              </w:rPr>
              <w:t>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w:t>
            </w:r>
            <w:r>
              <w:rPr>
                <w:rFonts w:hint="eastAsia" w:ascii="宋体" w:hAnsi="宋体" w:cs="宋体"/>
                <w:i w:val="0"/>
                <w:color w:val="000000"/>
                <w:kern w:val="0"/>
                <w:sz w:val="21"/>
                <w:szCs w:val="21"/>
                <w:u w:val="none"/>
                <w:lang w:val="en-US" w:eastAsia="zh-CN" w:bidi="ar"/>
              </w:rPr>
              <w:t>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4月下旬</w:t>
            </w:r>
          </w:p>
        </w:tc>
      </w:tr>
    </w:tbl>
    <w:p>
      <w:pPr>
        <w:numPr>
          <w:ilvl w:val="0"/>
          <w:numId w:val="0"/>
        </w:numPr>
        <w:rPr>
          <w:rFonts w:hint="eastAsia" w:ascii="宋体" w:hAnsi="宋体"/>
          <w:sz w:val="28"/>
          <w:szCs w:val="28"/>
          <w:highlight w:val="none"/>
        </w:rPr>
      </w:pPr>
    </w:p>
    <w:p>
      <w:pPr>
        <w:numPr>
          <w:ilvl w:val="0"/>
          <w:numId w:val="2"/>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405"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计划2020年10月</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3841"/>
      <w:r>
        <w:rPr>
          <w:rFonts w:hint="eastAsia" w:ascii="宋体" w:hAnsi="宋体"/>
          <w:b/>
          <w:sz w:val="30"/>
          <w:szCs w:val="30"/>
          <w:highlight w:val="none"/>
        </w:rPr>
        <w:t>3.2本周成品油市场行情</w:t>
      </w:r>
      <w:bookmarkEnd w:id="11"/>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12" w:name="_Toc17420"/>
      <w:r>
        <w:rPr>
          <w:rFonts w:hint="eastAsia" w:asciiTheme="minorEastAsia" w:hAnsiTheme="minorEastAsia" w:eastAsiaTheme="minorEastAsia" w:cstheme="minorEastAsia"/>
          <w:color w:val="333335"/>
          <w:kern w:val="2"/>
          <w:sz w:val="28"/>
          <w:szCs w:val="28"/>
          <w:shd w:val="clear" w:color="auto" w:fill="FFFFFF"/>
        </w:rPr>
        <w:t>本周，国际原油期货震荡下行，据测算第十个工作日参考原油变化率为1.76%。受此影响，国内成品油市场购销氛围清淡，各地主营单位汽柴油价格涨跌互现。与此同时，山东地炼成品油行情弱势下行，部分炼厂报价理性回调，其成交优惠100元/吨左右。具体来看出货方面：节日前夕，原油走势震荡对油市指引有限，终端用户及贸易商适量补货，地炼油价波动不大。长假期间，外盘油价续跌打压油市，而道路运输不畅导致中下游买家多消库观望，地炼整体出货表现不佳，降价促销亦难以吸引买家入市。节后归来，原油反弹提振业者心态，道路运输恢复通畅促使中下游商家入市采购，市场交投气氛升温。近期地炼整体出货表现一般，平均产销比在70-80%。</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本周(9月25日-10月9日)零售价最终遭遇搁浅华中地区油价总体偏弱运行 具体分析如下，本周期内国际原油先抑后扬，变化率正向逐渐收窄，调价窗口最终未能开启，消息面较为震荡。本周期正逢新旧销售周期交接及国内双节假期，假期前主营挂牌价格以稳为主，部分欠量单位压价促销，或成交暗存较大优惠。国庆期间原油走势震荡，周边地炼价格先抑后扬，整体较节前小幅回落，主营外采成本面降低，节后归来区内主营依据自身情况汽柴油报价涨跌不一，不过总体趋势依然偏弱。业者节前备货充足，近期处于消库观望阶段，市场购销较为清淡。后市来看，短期内原油或仍有小幅上扬预期，新一轮变化率有望正向开端，消息面或向好指引。后期汽柴油终端需求有望延续向好，主营汽柴油价格或有望止跌，不过成交或仍存较大商谈优惠。</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24日-10月9日)，华南地区汽柴油市场整体维持稳中小跌走势，成交情况清淡。具体来看，正跨国庆节及中秋节双节假期，市场节前备货操作积极，华南地区部分市场有一定量的补仓，主营单位走货情况尚可，不过由于国际原油价格维持低位运行，成品油上调预期不断缩窄，消息面指导有限，加之临近月末，主营单位月底冲量为主，价格面推涨承压，整体维持震荡盘整走势，部分市场降价促销。节后归来，成品油上调窗口因不满足50元/吨的上调条件最终搁浅，市场观望待市心态明显，主营市场稳价盘整为主。福建地区汽柴油市场维持平稳走势，终端市场需求情况无明显改观，成交情况清淡，节前市场波动有限，节后福州中石化汽柴油价格零星推涨，但交投气氛平淡。新一轮成品油调价窗口呈现上涨预期，加之假期期间社会资源消耗殆尽，市场将适当补仓，预计整体行情将维持窄幅小涨为主，但推涨空间有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25日-10月9日)，本周横跨国庆假期，节前市场原油走势低迷，国内调价预期维持小涨，消息面支撑力度不足，下游节前备货普遍结束，继续大单囤货意向不高，多退市消耗库存。华北地区主营报价多维持稳定，个别单位优惠幅度拉宽刺激走量，实际成交可议价商谈，节前市场购销气氛清淡。假期内原油走势宽幅震荡，本轮调价最终搁浅，节后归来主营单位报价稳中调整，幅度多在30-80元/吨，虽新一轮计价期小涨预期对市场形成一定支撑，但考虑不确定性因素仍存，下游入市较为谨慎，成交气氛提升有限。后市而言，短期内原油受沙特有望推迟增产的提振仍有小涨可能，但全球疫情不乐观局势继续压制原油反弹，新一轮调价最终结果仍存不确定性。区内市场来看，下游节后入市心态较高，传统的“银十”效应仍存，主营单位短期内挺价心态依旧较重，预计区内油价走势稳中小幅推涨，但实际成交政策继续灵活，不排除月初提前促销走量的可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27日-10月9日)，华东地区成品油行情稳中走低，市场整体出货表现一般。具体来看，周内国际油价震荡上涨，消息面利好因素支撑，但本轮调价窗口大概率搁浅，市场信心难有提振，区内各主营纷纷下调汽柴油价格，下调幅度在50-200元/吨不等。与此同时，山东地炼汽柴油走势下滑，与主营汽柴油实际成交价格不断收窄，区间套利空间缩小。区内节前与节后时间跨度长，各主营单位优惠政策与幅度保持宽松，受黄金假期影响，各地区汽油消耗加快，汽油需求面向好态势不变，柴油受假期影响，走势疲软，需求未有提升，加之下游业者节前备货较为充足，节后进入新一轮销售周期，且本轮零售价调价窗口将再次搁浅，市场信心不足，业者入市补货谨慎操作，下游商家成交多按需小单，市场整体出货表现一般。后期来看，国际原油或震荡上行，消息面或利好支撑。区内成品油价格或借势小涨，加之汽柴油消耗速度加快，市场整体成交或有所改善。</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25日-10月9日)，西南地区汽柴行情震荡下行，整体交投氛围平淡。分析来看：本阶段适逢“双节”小长假，节前国际油价震荡走跌，且月底之前主营单位积极促销赶量，整体行情维持下行趋势。不过，随着业者补货到位，市场成交持续转淡。假期期间，下游库存得到一定消耗，并且，国际油价震荡走高，消息面向好，但本轮调价遭遇搁浅，市场观望气氛仍存。节后归来，业者补货心态仍显谨慎，市场成交提升有限。主营单位出货不畅，部分单位价格仍有松动。就后市而言，国际油价或维持震荡小涨，新一轮变化率正向区间波动，零售价存上调预期，消息面呈现利好指引。不过，节后汽油需求逐步趋于平淡，业者补货有限，整体行情存一定下行压力;“银十”效应仍存，柴油需求尚有支撑，预计整体行情相对坚挺，但缺乏大幅上涨动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(9月25日-10月9日)，西北地炼汽柴行情维持平稳运行，柴油成交逐步好转。分析来看：节前国际油价震荡走跌，消息面指向偏空。此外，随着国庆小长假临近，业者补货基本到位陆续退市消库，市场成交逐步转淡。假期内国际油价震荡走高，但本轮调价仍遭遇搁浅，消息面支撑力度有限，供需面占据市场主导。由于假期期间下游库存得到一定消耗，节后业者适量补货，但汽油需求逐步转淡，业者补货有限，市场成交仍显平淡;后期工程基建等行业全面赶工，且物流运输活跃，柴油需求较有支撑，业者补货意愿增加，市场成交略有好转。就后市而言，国际油价或维持震荡上行，新一轮零售价上调预期增加，消息面略有支撑。此外，柴油受需求面支撑，整体行情维持坚挺，存一定上涨空间;汽油方面，随着节日效应消散，汽油需求将转入平淡，整体行情存一定下行压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进入下周，国际原油期价仍有小幅走高的空间。以WTI为例，主流运行区间在39-43(均值41)美元/桶之间，环比上涨1.23美元/桶或3.09%。在消息面原油利好刺激下，山东地区成品油行情有望延续涨势，建议中下游商家按需采购，销售策略采取快进快出为易。综上所述，预计山东地炼汽柴油价格稳中上涨，涨幅在100元/吨左右。</w:t>
      </w:r>
    </w:p>
    <w:p>
      <w:pPr>
        <w:pStyle w:val="3"/>
        <w:spacing w:before="120" w:after="120" w:line="240" w:lineRule="auto"/>
        <w:rPr>
          <w:rFonts w:ascii="宋体" w:hAnsi="宋体"/>
          <w:b/>
          <w:sz w:val="30"/>
          <w:szCs w:val="30"/>
        </w:rPr>
      </w:pPr>
      <w:bookmarkStart w:id="22" w:name="_GoBack"/>
      <w:bookmarkEnd w:id="22"/>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涨跌</w:t>
            </w:r>
          </w:p>
        </w:tc>
        <w:tc>
          <w:tcPr>
            <w:tcW w:w="1260" w:type="dxa"/>
            <w:tcBorders>
              <w:top w:val="single" w:color="000000" w:sz="8" w:space="0"/>
              <w:left w:val="single" w:color="000000" w:sz="8" w:space="0"/>
              <w:bottom w:val="single" w:color="000000" w:sz="8" w:space="0"/>
              <w:right w:val="single" w:color="000000" w:sz="8"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2020/10/9</w:t>
            </w:r>
          </w:p>
        </w:tc>
        <w:tc>
          <w:tcPr>
            <w:tcW w:w="1260"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2020/9/30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6890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7380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6890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7380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6100</w:t>
            </w:r>
          </w:p>
        </w:tc>
      </w:tr>
    </w:tbl>
    <w:p>
      <w:pPr>
        <w:rPr>
          <w:rFonts w:hint="eastAsia"/>
        </w:rPr>
      </w:pPr>
    </w:p>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70"/>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涨跌</w:t>
            </w:r>
          </w:p>
        </w:tc>
        <w:tc>
          <w:tcPr>
            <w:tcW w:w="1515" w:type="dxa"/>
            <w:tcBorders>
              <w:top w:val="single" w:color="000000" w:sz="8" w:space="0"/>
              <w:left w:val="single" w:color="000000" w:sz="8" w:space="0"/>
              <w:bottom w:val="single" w:color="000000" w:sz="8" w:space="0"/>
              <w:right w:val="single" w:color="000000" w:sz="8"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2020/10/9</w:t>
            </w:r>
          </w:p>
        </w:tc>
        <w:tc>
          <w:tcPr>
            <w:tcW w:w="1515"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2020/9/30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5550</w:t>
            </w:r>
          </w:p>
        </w:tc>
      </w:tr>
    </w:tbl>
    <w:p>
      <w:pPr>
        <w:pStyle w:val="3"/>
        <w:spacing w:before="120" w:after="120" w:line="240" w:lineRule="auto"/>
        <w:rPr>
          <w:rFonts w:hint="eastAsia" w:ascii="宋体" w:hAnsi="宋体"/>
          <w:b/>
          <w:sz w:val="30"/>
          <w:szCs w:val="30"/>
          <w:lang w:val="en-US" w:eastAsia="zh-CN"/>
        </w:rPr>
      </w:pPr>
    </w:p>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709"/>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p>
      <w:pPr>
        <w:rPr>
          <w:rFonts w:hint="eastAsia"/>
          <w:bCs/>
          <w:szCs w:val="21"/>
          <w:lang w:val="en-US" w:eastAsia="zh-CN"/>
        </w:rPr>
      </w:pPr>
    </w:p>
    <w:tbl>
      <w:tblPr>
        <w:tblStyle w:val="24"/>
        <w:tblW w:w="9705" w:type="dxa"/>
        <w:tblInd w:w="0" w:type="dxa"/>
        <w:shd w:val="clear" w:color="auto" w:fill="auto"/>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2020/10/9</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2020/9/30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5425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5575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5605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5339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5339</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5645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5663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5680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5730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5180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5090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5180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5380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5710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5680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bookmarkStart w:id="15" w:name="_Toc1901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p>
      <w:pPr>
        <w:rPr>
          <w:rFonts w:hint="eastAsia"/>
          <w:bCs/>
          <w:szCs w:val="21"/>
          <w:lang w:val="en-US" w:eastAsia="zh-CN"/>
        </w:rPr>
      </w:pPr>
    </w:p>
    <w:p>
      <w:pPr>
        <w:pStyle w:val="3"/>
        <w:spacing w:before="120" w:after="120" w:line="240" w:lineRule="auto"/>
        <w:rPr>
          <w:rFonts w:hint="eastAsia" w:ascii="宋体" w:hAnsi="宋体"/>
          <w:b/>
          <w:sz w:val="10"/>
          <w:szCs w:val="10"/>
          <w:lang w:val="en-US" w:eastAsia="zh-CN"/>
        </w:rPr>
      </w:pPr>
    </w:p>
    <w:tbl>
      <w:tblPr>
        <w:tblStyle w:val="24"/>
        <w:tblW w:w="9300" w:type="dxa"/>
        <w:tblInd w:w="0" w:type="dxa"/>
        <w:shd w:val="clear" w:color="auto" w:fill="auto"/>
        <w:tblLayout w:type="autofit"/>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涨跌</w:t>
            </w:r>
          </w:p>
        </w:tc>
        <w:tc>
          <w:tcPr>
            <w:tcW w:w="1215" w:type="dxa"/>
            <w:tcBorders>
              <w:top w:val="single" w:color="000000" w:sz="8" w:space="0"/>
              <w:left w:val="single" w:color="000000" w:sz="8" w:space="0"/>
              <w:bottom w:val="single" w:color="000000" w:sz="8" w:space="0"/>
              <w:right w:val="single" w:color="000000" w:sz="8"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2020/10/9</w:t>
            </w:r>
          </w:p>
        </w:tc>
        <w:tc>
          <w:tcPr>
            <w:tcW w:w="1215"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2020/9/30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6" w:name="_Toc10784"/>
      <w:r>
        <w:rPr>
          <w:rFonts w:hint="eastAsia" w:ascii="宋体" w:hAnsi="宋体"/>
          <w:b/>
          <w:sz w:val="30"/>
          <w:szCs w:val="30"/>
          <w:lang w:val="en-US" w:eastAsia="zh-CN"/>
        </w:rPr>
        <w:t>四、2020年8月份进出口统计数据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7774"/>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8</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420" w:type="dxa"/>
        <w:tblInd w:w="0" w:type="dxa"/>
        <w:shd w:val="clear" w:color="auto" w:fill="auto"/>
        <w:tblLayout w:type="autofit"/>
        <w:tblCellMar>
          <w:top w:w="0" w:type="dxa"/>
          <w:left w:w="0" w:type="dxa"/>
          <w:bottom w:w="0" w:type="dxa"/>
          <w:right w:w="0" w:type="dxa"/>
        </w:tblCellMar>
      </w:tblPr>
      <w:tblGrid>
        <w:gridCol w:w="2595"/>
        <w:gridCol w:w="2190"/>
        <w:gridCol w:w="2370"/>
        <w:gridCol w:w="2265"/>
      </w:tblGrid>
      <w:tr>
        <w:tblPrEx>
          <w:shd w:val="clear" w:color="auto" w:fill="auto"/>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出口目的地</w:t>
            </w:r>
          </w:p>
        </w:tc>
        <w:tc>
          <w:tcPr>
            <w:tcW w:w="21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数量</w:t>
            </w:r>
          </w:p>
        </w:tc>
        <w:tc>
          <w:tcPr>
            <w:tcW w:w="23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单位</w:t>
            </w:r>
          </w:p>
        </w:tc>
        <w:tc>
          <w:tcPr>
            <w:tcW w:w="22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菲律宾</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211846.3</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76481326</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韩国</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65732.71</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19209181</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马来西亚</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211570</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75529697</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蒙古</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5390.671</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2165590</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缅甸</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6695.053</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2600022</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新加坡</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708097.7</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252477800</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越南</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5609</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2131420</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中国澳门</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4156.645</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1163860</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出口目的地</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数量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出口金额美元</w:t>
            </w:r>
          </w:p>
        </w:tc>
      </w:tr>
    </w:tbl>
    <w:p>
      <w:pPr>
        <w:rPr>
          <w:rFonts w:hint="eastAsia"/>
        </w:rPr>
      </w:pPr>
    </w:p>
    <w:p>
      <w:pPr>
        <w:rPr>
          <w:rFonts w:hint="eastAsia"/>
        </w:rPr>
      </w:pPr>
    </w:p>
    <w:p>
      <w:pPr>
        <w:rPr>
          <w:rFonts w:hint="eastAsia"/>
        </w:rPr>
      </w:pPr>
    </w:p>
    <w:p>
      <w:pPr>
        <w:pStyle w:val="3"/>
        <w:spacing w:before="120" w:after="120" w:line="240" w:lineRule="auto"/>
        <w:rPr>
          <w:rFonts w:hint="eastAsia" w:ascii="宋体" w:hAnsi="宋体"/>
          <w:b/>
          <w:sz w:val="30"/>
          <w:szCs w:val="30"/>
        </w:rPr>
      </w:pPr>
      <w:bookmarkStart w:id="18" w:name="_Toc20292"/>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9"/>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31298"/>
      <w:bookmarkStart w:id="21" w:name="_Toc19589"/>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5077" w:type="pct"/>
        <w:tblInd w:w="0" w:type="dxa"/>
        <w:tblLayout w:type="fixed"/>
        <w:tblCellMar>
          <w:top w:w="0" w:type="dxa"/>
          <w:left w:w="108" w:type="dxa"/>
          <w:bottom w:w="0" w:type="dxa"/>
          <w:right w:w="108" w:type="dxa"/>
        </w:tblCellMar>
      </w:tblPr>
      <w:tblGrid>
        <w:gridCol w:w="377"/>
        <w:gridCol w:w="1039"/>
        <w:gridCol w:w="544"/>
        <w:gridCol w:w="1451"/>
        <w:gridCol w:w="1798"/>
        <w:gridCol w:w="1698"/>
        <w:gridCol w:w="1408"/>
        <w:gridCol w:w="1691"/>
      </w:tblGrid>
      <w:tr>
        <w:tblPrEx>
          <w:tblCellMar>
            <w:top w:w="0" w:type="dxa"/>
            <w:left w:w="108" w:type="dxa"/>
            <w:bottom w:w="0" w:type="dxa"/>
            <w:right w:w="108" w:type="dxa"/>
          </w:tblCellMar>
        </w:tblPrEx>
        <w:trPr>
          <w:trHeight w:val="1230" w:hRule="atLeast"/>
        </w:trPr>
        <w:tc>
          <w:tcPr>
            <w:tcW w:w="188"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Theme="minorEastAsia" w:hAnsiTheme="minorEastAsia" w:eastAsiaTheme="minorEastAsia" w:cstheme="minorEastAsia"/>
                <w:b/>
                <w:bCs/>
                <w:color w:val="191919"/>
                <w:kern w:val="0"/>
                <w:sz w:val="18"/>
                <w:szCs w:val="18"/>
              </w:rPr>
            </w:pPr>
            <w:r>
              <w:rPr>
                <w:rFonts w:hint="eastAsia" w:asciiTheme="minorEastAsia" w:hAnsiTheme="minorEastAsia" w:eastAsiaTheme="minorEastAsia" w:cstheme="minorEastAsia"/>
                <w:b/>
                <w:bCs/>
                <w:color w:val="191919"/>
                <w:kern w:val="0"/>
                <w:sz w:val="18"/>
                <w:szCs w:val="18"/>
              </w:rPr>
              <w:t>产品</w:t>
            </w:r>
          </w:p>
        </w:tc>
        <w:tc>
          <w:tcPr>
            <w:tcW w:w="519"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年度</w:t>
            </w:r>
          </w:p>
        </w:tc>
        <w:tc>
          <w:tcPr>
            <w:tcW w:w="27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月份</w:t>
            </w:r>
          </w:p>
        </w:tc>
        <w:tc>
          <w:tcPr>
            <w:tcW w:w="72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产销国</w:t>
            </w:r>
          </w:p>
        </w:tc>
        <w:tc>
          <w:tcPr>
            <w:tcW w:w="89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进口数量/吨</w:t>
            </w:r>
          </w:p>
        </w:tc>
        <w:tc>
          <w:tcPr>
            <w:tcW w:w="84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进口金额/美元</w:t>
            </w:r>
          </w:p>
        </w:tc>
        <w:tc>
          <w:tcPr>
            <w:tcW w:w="703"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出口数量/吨</w:t>
            </w:r>
          </w:p>
        </w:tc>
        <w:tc>
          <w:tcPr>
            <w:tcW w:w="84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108" w:type="dxa"/>
            <w:bottom w:w="0" w:type="dxa"/>
            <w:right w:w="108" w:type="dxa"/>
          </w:tblCellMar>
        </w:tblPrEx>
        <w:trPr>
          <w:trHeight w:val="450" w:hRule="atLeast"/>
        </w:trPr>
        <w:tc>
          <w:tcPr>
            <w:tcW w:w="188" w:type="pct"/>
            <w:vMerge w:val="restart"/>
            <w:tcBorders>
              <w:top w:val="nil"/>
              <w:left w:val="single" w:color="333333" w:sz="8" w:space="0"/>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b/>
                <w:bCs/>
                <w:color w:val="191919"/>
                <w:kern w:val="0"/>
                <w:sz w:val="18"/>
                <w:szCs w:val="18"/>
              </w:rPr>
            </w:pPr>
            <w:r>
              <w:rPr>
                <w:rFonts w:hint="eastAsia" w:asciiTheme="minorEastAsia" w:hAnsiTheme="minorEastAsia" w:eastAsiaTheme="minorEastAsia" w:cstheme="minorEastAsia"/>
                <w:b/>
                <w:bCs/>
                <w:color w:val="191919"/>
                <w:kern w:val="0"/>
                <w:sz w:val="18"/>
                <w:szCs w:val="18"/>
              </w:rPr>
              <w:t>石油原油(包括从沥青矿物提取的原油)</w:t>
            </w: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阿联酋</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3534699.70</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1029590153.00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阿曼</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3441612.52</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922576676.00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安哥拉</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3602084.01</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1047634040.00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澳大利亚</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339272.32</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90896718.00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巴西</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4594977.86</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1256047368.00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赤道几内亚</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318086.80</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111885537.00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俄罗斯联邦</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7381559.93</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2170635046.00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厄瓜多尔</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506676.67</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127952294.00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菲律宾</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28772.22</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7983475.00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刚果(布)</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1155411.13</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334699162.00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哥伦比亚</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1372205.59</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335119639.00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哈萨克斯坦</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98935.60</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25098838.00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加拿大</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968039.52</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225328377.00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加纳</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524514.71</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172549236.00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加蓬</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788002.67</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252035789.00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喀麦隆</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133741.10</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38236488.00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卡塔尔</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560007.02</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164980343.00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科威特</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2161530.93</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580754648.00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利比亚</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115956.90</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35588191.00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马来西亚</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387791.66</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96742387.00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29366.15</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8098560.00</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美国</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3665838.11</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1036797134.00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蒙古</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61070.55</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13233075.00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南苏丹共和国</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422278.31</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131782540.00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尼日利亚</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1096632.97</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298412041.00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挪威</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1267005.59</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376245748.00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沙特阿拉伯</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5359704.71</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1429314337.00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泰国</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38247.92</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8163330.00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伊拉克</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5788136.36</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1545813264.00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伊朗</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498026.00</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133924675.00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印度尼西亚</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81061.00</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20345940.00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58396.80</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19250000.00</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英国</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614918.15</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193766389.00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45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越南</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252067.66</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84890244.00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39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乍得</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131812.00</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42328598.00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r>
      <w:tr>
        <w:tblPrEx>
          <w:tblCellMar>
            <w:top w:w="0" w:type="dxa"/>
            <w:left w:w="108" w:type="dxa"/>
            <w:bottom w:w="0" w:type="dxa"/>
            <w:right w:w="108" w:type="dxa"/>
          </w:tblCellMar>
        </w:tblPrEx>
        <w:trPr>
          <w:trHeight w:val="300" w:hRule="atLeast"/>
        </w:trPr>
        <w:tc>
          <w:tcPr>
            <w:tcW w:w="1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center"/>
              <w:rPr>
                <w:rFonts w:hint="eastAsia" w:asciiTheme="minorEastAsia" w:hAnsiTheme="minorEastAsia" w:eastAsiaTheme="minorEastAsia" w:cstheme="minorEastAsia"/>
                <w:b/>
                <w:bCs/>
                <w:color w:val="191919"/>
                <w:kern w:val="0"/>
                <w:sz w:val="18"/>
                <w:szCs w:val="18"/>
              </w:rPr>
            </w:pPr>
          </w:p>
        </w:tc>
        <w:tc>
          <w:tcPr>
            <w:tcW w:w="51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2020年</w:t>
            </w:r>
          </w:p>
        </w:tc>
        <w:tc>
          <w:tcPr>
            <w:tcW w:w="27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7月</w:t>
            </w:r>
          </w:p>
        </w:tc>
        <w:tc>
          <w:tcPr>
            <w:tcW w:w="725"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日本</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87962.55</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28996092.00</w:t>
            </w:r>
          </w:p>
        </w:tc>
      </w:tr>
      <w:tr>
        <w:tblPrEx>
          <w:tblCellMar>
            <w:top w:w="0" w:type="dxa"/>
            <w:left w:w="108" w:type="dxa"/>
            <w:bottom w:w="0" w:type="dxa"/>
            <w:right w:w="108" w:type="dxa"/>
          </w:tblCellMar>
        </w:tblPrEx>
        <w:trPr>
          <w:trHeight w:val="525" w:hRule="atLeast"/>
        </w:trPr>
        <w:tc>
          <w:tcPr>
            <w:tcW w:w="1704"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Theme="minorEastAsia" w:hAnsiTheme="minorEastAsia" w:eastAsiaTheme="minorEastAsia" w:cstheme="minorEastAsia"/>
                <w:b/>
                <w:bCs/>
                <w:color w:val="333333"/>
                <w:kern w:val="0"/>
                <w:sz w:val="18"/>
                <w:szCs w:val="18"/>
              </w:rPr>
            </w:pPr>
            <w:r>
              <w:rPr>
                <w:rFonts w:hint="eastAsia" w:asciiTheme="minorEastAsia" w:hAnsiTheme="minorEastAsia" w:eastAsiaTheme="minorEastAsia" w:cstheme="minorEastAsia"/>
                <w:b/>
                <w:bCs/>
                <w:color w:val="333333"/>
                <w:kern w:val="0"/>
                <w:sz w:val="18"/>
                <w:szCs w:val="18"/>
              </w:rPr>
              <w:t>2020年7月合计</w:t>
            </w:r>
          </w:p>
        </w:tc>
        <w:tc>
          <w:tcPr>
            <w:tcW w:w="89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51290678.18</w:t>
            </w:r>
          </w:p>
        </w:tc>
        <w:tc>
          <w:tcPr>
            <w:tcW w:w="848"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14341351720.00</w:t>
            </w:r>
          </w:p>
        </w:tc>
        <w:tc>
          <w:tcPr>
            <w:tcW w:w="70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175725.50</w:t>
            </w:r>
          </w:p>
        </w:tc>
        <w:tc>
          <w:tcPr>
            <w:tcW w:w="844"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18"/>
                <w:szCs w:val="18"/>
              </w:rPr>
            </w:pPr>
            <w:r>
              <w:rPr>
                <w:rFonts w:hint="eastAsia" w:asciiTheme="minorEastAsia" w:hAnsiTheme="minorEastAsia" w:eastAsiaTheme="minorEastAsia" w:cstheme="minorEastAsia"/>
                <w:color w:val="333333"/>
                <w:kern w:val="0"/>
                <w:sz w:val="18"/>
                <w:szCs w:val="18"/>
              </w:rPr>
              <w:t>56344652.00</w:t>
            </w:r>
          </w:p>
        </w:tc>
      </w:tr>
    </w:tbl>
    <w:p>
      <w:pPr>
        <w:jc w:val="center"/>
        <w:rPr>
          <w:rFonts w:hint="eastAsia"/>
          <w:bCs/>
          <w:szCs w:val="21"/>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8</w:t>
      </w:r>
      <w:r>
        <w:rPr>
          <w:rFonts w:hint="eastAsia" w:ascii="宋体" w:hAnsi="宋体"/>
          <w:b/>
          <w:sz w:val="30"/>
          <w:szCs w:val="30"/>
        </w:rPr>
        <w:t>月份全国航空煤油进出口统计数据</w:t>
      </w:r>
      <w:bookmarkEnd w:id="21"/>
    </w:p>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p>
      <w:pPr>
        <w:pStyle w:val="3"/>
        <w:spacing w:before="120" w:after="120" w:line="240" w:lineRule="auto"/>
        <w:rPr>
          <w:rFonts w:hint="eastAsia" w:ascii="宋体" w:hAnsi="宋体"/>
          <w:b/>
          <w:sz w:val="30"/>
          <w:szCs w:val="30"/>
        </w:rPr>
      </w:pPr>
    </w:p>
    <w:bookmarkEnd w:id="19"/>
    <w:tbl>
      <w:tblPr>
        <w:tblStyle w:val="24"/>
        <w:tblW w:w="9777" w:type="dxa"/>
        <w:tblInd w:w="0" w:type="dxa"/>
        <w:shd w:val="clear" w:color="auto" w:fill="auto"/>
        <w:tblLayout w:type="fixed"/>
        <w:tblCellMar>
          <w:top w:w="0" w:type="dxa"/>
          <w:left w:w="0" w:type="dxa"/>
          <w:bottom w:w="0" w:type="dxa"/>
          <w:right w:w="0" w:type="dxa"/>
        </w:tblCellMar>
      </w:tblPr>
      <w:tblGrid>
        <w:gridCol w:w="1422"/>
        <w:gridCol w:w="1845"/>
        <w:gridCol w:w="1815"/>
        <w:gridCol w:w="2190"/>
        <w:gridCol w:w="2505"/>
      </w:tblGrid>
      <w:tr>
        <w:tblPrEx>
          <w:shd w:val="clear" w:color="auto" w:fill="auto"/>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0"/>
                <w:szCs w:val="20"/>
                <w:u w:val="none"/>
              </w:rPr>
            </w:pPr>
            <w:r>
              <w:rPr>
                <w:rFonts w:hint="eastAsia" w:ascii="宋体" w:hAnsi="宋体" w:eastAsia="宋体" w:cs="宋体"/>
                <w:b/>
                <w:i w:val="0"/>
                <w:color w:val="191919"/>
                <w:kern w:val="0"/>
                <w:sz w:val="20"/>
                <w:szCs w:val="20"/>
                <w:u w:val="none"/>
                <w:lang w:val="en-US" w:eastAsia="zh-CN" w:bidi="ar"/>
              </w:rPr>
              <w:t>国家</w:t>
            </w:r>
          </w:p>
        </w:tc>
        <w:tc>
          <w:tcPr>
            <w:tcW w:w="184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0"/>
                <w:szCs w:val="20"/>
                <w:u w:val="none"/>
              </w:rPr>
            </w:pPr>
            <w:r>
              <w:rPr>
                <w:rFonts w:hint="eastAsia" w:ascii="宋体" w:hAnsi="宋体" w:eastAsia="宋体" w:cs="宋体"/>
                <w:b/>
                <w:i w:val="0"/>
                <w:color w:val="191919"/>
                <w:kern w:val="0"/>
                <w:sz w:val="20"/>
                <w:szCs w:val="20"/>
                <w:u w:val="none"/>
                <w:lang w:val="en-US" w:eastAsia="zh-CN" w:bidi="ar"/>
              </w:rPr>
              <w:t>进口数量/吨</w:t>
            </w:r>
          </w:p>
        </w:tc>
        <w:tc>
          <w:tcPr>
            <w:tcW w:w="181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0"/>
                <w:szCs w:val="20"/>
                <w:u w:val="none"/>
              </w:rPr>
            </w:pPr>
            <w:r>
              <w:rPr>
                <w:rFonts w:hint="eastAsia" w:ascii="宋体" w:hAnsi="宋体" w:eastAsia="宋体" w:cs="宋体"/>
                <w:b/>
                <w:i w:val="0"/>
                <w:color w:val="191919"/>
                <w:kern w:val="0"/>
                <w:sz w:val="20"/>
                <w:szCs w:val="20"/>
                <w:u w:val="none"/>
                <w:lang w:val="en-US" w:eastAsia="zh-CN" w:bidi="ar"/>
              </w:rPr>
              <w:t>进口金额/美元</w:t>
            </w:r>
          </w:p>
        </w:tc>
        <w:tc>
          <w:tcPr>
            <w:tcW w:w="219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0"/>
                <w:szCs w:val="20"/>
                <w:u w:val="none"/>
              </w:rPr>
            </w:pPr>
            <w:r>
              <w:rPr>
                <w:rFonts w:hint="eastAsia" w:ascii="宋体" w:hAnsi="宋体" w:eastAsia="宋体" w:cs="宋体"/>
                <w:b/>
                <w:i w:val="0"/>
                <w:color w:val="191919"/>
                <w:kern w:val="0"/>
                <w:sz w:val="20"/>
                <w:szCs w:val="20"/>
                <w:u w:val="none"/>
                <w:lang w:val="en-US" w:eastAsia="zh-CN" w:bidi="ar"/>
              </w:rPr>
              <w:t>出口数量/吨</w:t>
            </w:r>
          </w:p>
        </w:tc>
        <w:tc>
          <w:tcPr>
            <w:tcW w:w="250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0"/>
                <w:szCs w:val="20"/>
                <w:u w:val="none"/>
              </w:rPr>
            </w:pPr>
            <w:r>
              <w:rPr>
                <w:rFonts w:hint="eastAsia" w:ascii="宋体" w:hAnsi="宋体" w:eastAsia="宋体" w:cs="宋体"/>
                <w:b/>
                <w:i w:val="0"/>
                <w:color w:val="191919"/>
                <w:kern w:val="0"/>
                <w:sz w:val="20"/>
                <w:szCs w:val="20"/>
                <w:u w:val="none"/>
                <w:lang w:val="en-US" w:eastAsia="zh-CN" w:bidi="ar"/>
              </w:rPr>
              <w:t>出口金额/美元</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阿联酋</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2859.462</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1213320</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阿曼</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72.057</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17788</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阿塞拜疆</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3400.072</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1509076</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埃及</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4.271</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1054</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埃塞俄比亚</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4013.218</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1786449</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澳大利亚</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665.824</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292590</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巴基斯坦</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325.544</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144098</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白俄罗斯</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250.555</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61852</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比利时</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4366.512</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1960403</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朝鲜</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7.465</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3245</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德国</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2842.506</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1157244</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俄罗斯联邦</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10591.198</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3919041</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法国</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3261.594</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1384640</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菲律宾</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14702.765</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5014182</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芬兰</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350.752</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154029</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哈萨克斯坦</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851.818</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232100</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韩国</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108927.991</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41558899</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3528.939</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1540771</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荷兰</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5140.865</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2238823</w:t>
            </w:r>
          </w:p>
        </w:tc>
      </w:tr>
      <w:tr>
        <w:tblPrEx>
          <w:tblCellMar>
            <w:top w:w="0" w:type="dxa"/>
            <w:left w:w="0" w:type="dxa"/>
            <w:bottom w:w="0" w:type="dxa"/>
            <w:right w:w="0" w:type="dxa"/>
          </w:tblCellMar>
        </w:tblPrEx>
        <w:trPr>
          <w:trHeight w:val="49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吉尔吉斯斯坦</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389.796</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96225</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加拿大</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493.947</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214192</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加蓬</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61.874</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27843</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柬埔寨</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9.298</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4361</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卡塔尔</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4400.523</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1945803</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科威特</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14.097</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3480</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拉脱维亚</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250.424</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115195</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卢森堡</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15025</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6987366</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马来西亚</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32648.238</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10260371</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美国</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18455.168</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6999164</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蒙古</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18.654</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8164</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孟加拉国</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10200</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3544796</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缅甸</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43.613</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14314</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墨西哥</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629.436</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155383</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日本</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4025.451</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1668365</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瑞典</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91.683</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40032</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瑞士</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1967.573</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722409</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沙特阿拉伯</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894.266</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220759</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斯里兰卡</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308.572</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134954</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泰国</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155.103</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67927</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土耳其</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2379.688</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1044520</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文莱</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1.925</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866</w:t>
            </w:r>
          </w:p>
        </w:tc>
      </w:tr>
      <w:tr>
        <w:tblPrEx>
          <w:tblCellMar>
            <w:top w:w="0" w:type="dxa"/>
            <w:left w:w="0" w:type="dxa"/>
            <w:bottom w:w="0" w:type="dxa"/>
            <w:right w:w="0" w:type="dxa"/>
          </w:tblCellMar>
        </w:tblPrEx>
        <w:trPr>
          <w:trHeight w:val="49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乌兹别克斯坦</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571.816</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248832</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西班牙</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608.915</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150317</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新加坡</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195.057</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66154</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29094.567</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10493966</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新西兰</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1219.338</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536679</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伊朗</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966.691</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370359</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以色列</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56.994</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14070</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意大利</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1096.833</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363711</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印度</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d</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453.979</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184656</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印度尼西亚</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54.167</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23992</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英国</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36937.255</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14939898</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越南</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7872.852</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2346799</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中国澳门</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21.084</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9225</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中国台湾</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963.896</w:t>
            </w:r>
          </w:p>
        </w:tc>
        <w:tc>
          <w:tcPr>
            <w:tcW w:w="25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398520</w:t>
            </w:r>
          </w:p>
        </w:tc>
      </w:tr>
      <w:tr>
        <w:tblPrEx>
          <w:tblCellMar>
            <w:top w:w="0" w:type="dxa"/>
            <w:left w:w="0" w:type="dxa"/>
            <w:bottom w:w="0" w:type="dxa"/>
            <w:right w:w="0" w:type="dxa"/>
          </w:tblCellMar>
        </w:tblPrEx>
        <w:trPr>
          <w:trHeight w:val="285" w:hRule="atLeast"/>
        </w:trPr>
        <w:tc>
          <w:tcPr>
            <w:tcW w:w="1422" w:type="dxa"/>
            <w:tcBorders>
              <w:top w:val="single" w:color="333333" w:sz="8" w:space="0"/>
              <w:left w:val="nil"/>
              <w:bottom w:val="nil"/>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中国香港</w:t>
            </w:r>
          </w:p>
        </w:tc>
        <w:tc>
          <w:tcPr>
            <w:tcW w:w="184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0</w:t>
            </w:r>
          </w:p>
        </w:tc>
        <w:tc>
          <w:tcPr>
            <w:tcW w:w="219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66766.32</w:t>
            </w:r>
          </w:p>
        </w:tc>
        <w:tc>
          <w:tcPr>
            <w:tcW w:w="2505" w:type="dxa"/>
            <w:tcBorders>
              <w:top w:val="single" w:color="333333" w:sz="8" w:space="0"/>
              <w:left w:val="nil"/>
              <w:bottom w:val="nil"/>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0"/>
                <w:szCs w:val="20"/>
                <w:u w:val="none"/>
              </w:rPr>
            </w:pPr>
            <w:r>
              <w:rPr>
                <w:rFonts w:hint="eastAsia" w:ascii="宋体" w:hAnsi="宋体" w:eastAsia="宋体" w:cs="宋体"/>
                <w:i w:val="0"/>
                <w:color w:val="191919"/>
                <w:kern w:val="0"/>
                <w:sz w:val="20"/>
                <w:szCs w:val="20"/>
                <w:u w:val="none"/>
                <w:lang w:val="en-US" w:eastAsia="zh-CN" w:bidi="ar"/>
              </w:rPr>
              <w:t>22615162</w:t>
            </w:r>
          </w:p>
        </w:tc>
      </w:tr>
      <w:tr>
        <w:tblPrEx>
          <w:tblCellMar>
            <w:top w:w="0" w:type="dxa"/>
            <w:left w:w="0" w:type="dxa"/>
            <w:bottom w:w="0" w:type="dxa"/>
            <w:right w:w="0" w:type="dxa"/>
          </w:tblCellMar>
        </w:tblPrEx>
        <w:trPr>
          <w:trHeight w:val="285" w:hRule="atLeast"/>
        </w:trPr>
        <w:tc>
          <w:tcPr>
            <w:tcW w:w="1422" w:type="dxa"/>
            <w:tcBorders>
              <w:top w:val="single" w:color="000000" w:sz="4" w:space="0"/>
              <w:left w:val="single" w:color="000000" w:sz="4" w:space="0"/>
              <w:bottom w:val="single" w:color="000000" w:sz="4" w:space="0"/>
              <w:right w:val="single" w:color="000000" w:sz="4" w:space="0"/>
            </w:tcBorders>
            <w:shd w:val="clear" w:color="auto" w:fill="00CC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4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0"/>
                <w:szCs w:val="20"/>
                <w:u w:val="none"/>
              </w:rPr>
            </w:pPr>
            <w:r>
              <w:rPr>
                <w:rFonts w:hint="eastAsia" w:ascii="宋体" w:hAnsi="宋体" w:eastAsia="宋体" w:cs="宋体"/>
                <w:b/>
                <w:i w:val="0"/>
                <w:color w:val="191919"/>
                <w:kern w:val="0"/>
                <w:sz w:val="20"/>
                <w:szCs w:val="20"/>
                <w:u w:val="none"/>
                <w:lang w:val="en-US" w:eastAsia="zh-CN" w:bidi="ar"/>
              </w:rPr>
              <w:t>109123.048</w:t>
            </w:r>
          </w:p>
        </w:tc>
        <w:tc>
          <w:tcPr>
            <w:tcW w:w="181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0"/>
                <w:szCs w:val="20"/>
                <w:u w:val="none"/>
              </w:rPr>
            </w:pPr>
            <w:r>
              <w:rPr>
                <w:rFonts w:hint="eastAsia" w:ascii="宋体" w:hAnsi="宋体" w:eastAsia="宋体" w:cs="宋体"/>
                <w:b/>
                <w:i w:val="0"/>
                <w:color w:val="191919"/>
                <w:kern w:val="0"/>
                <w:sz w:val="20"/>
                <w:szCs w:val="20"/>
                <w:u w:val="none"/>
                <w:lang w:val="en-US" w:eastAsia="zh-CN" w:bidi="ar"/>
              </w:rPr>
              <w:t>41625053</w:t>
            </w:r>
          </w:p>
        </w:tc>
        <w:tc>
          <w:tcPr>
            <w:tcW w:w="2190" w:type="dxa"/>
            <w:tcBorders>
              <w:top w:val="single" w:color="333333" w:sz="8" w:space="0"/>
              <w:left w:val="nil"/>
              <w:bottom w:val="single" w:color="333333" w:sz="8"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0"/>
                <w:szCs w:val="20"/>
                <w:u w:val="none"/>
              </w:rPr>
            </w:pPr>
            <w:r>
              <w:rPr>
                <w:rFonts w:hint="eastAsia" w:ascii="宋体" w:hAnsi="宋体" w:eastAsia="宋体" w:cs="宋体"/>
                <w:b/>
                <w:i w:val="0"/>
                <w:color w:val="191919"/>
                <w:kern w:val="0"/>
                <w:sz w:val="20"/>
                <w:szCs w:val="20"/>
                <w:u w:val="none"/>
                <w:lang w:val="en-US" w:eastAsia="zh-CN" w:bidi="ar"/>
              </w:rPr>
              <w:t>296384.453</w:t>
            </w:r>
          </w:p>
        </w:tc>
        <w:tc>
          <w:tcPr>
            <w:tcW w:w="2505" w:type="dxa"/>
            <w:tcBorders>
              <w:top w:val="single" w:color="000000" w:sz="4" w:space="0"/>
              <w:left w:val="single" w:color="000000" w:sz="4" w:space="0"/>
              <w:bottom w:val="single" w:color="000000" w:sz="4" w:space="0"/>
              <w:right w:val="single" w:color="000000" w:sz="4" w:space="0"/>
            </w:tcBorders>
            <w:shd w:val="clear" w:color="auto" w:fill="00CC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0"/>
                <w:szCs w:val="20"/>
                <w:u w:val="none"/>
              </w:rPr>
            </w:pPr>
            <w:r>
              <w:rPr>
                <w:rFonts w:hint="eastAsia" w:ascii="宋体" w:hAnsi="宋体" w:eastAsia="宋体" w:cs="宋体"/>
                <w:b/>
                <w:i w:val="0"/>
                <w:color w:val="191919"/>
                <w:kern w:val="0"/>
                <w:sz w:val="20"/>
                <w:szCs w:val="20"/>
                <w:u w:val="none"/>
                <w:lang w:val="en-US" w:eastAsia="zh-CN" w:bidi="ar"/>
              </w:rPr>
              <w:t>109603380</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E2CFE"/>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684ED7"/>
    <w:rsid w:val="048101D3"/>
    <w:rsid w:val="048C7CAA"/>
    <w:rsid w:val="04987F00"/>
    <w:rsid w:val="04A45D71"/>
    <w:rsid w:val="04B04E89"/>
    <w:rsid w:val="04BF7371"/>
    <w:rsid w:val="04C829A7"/>
    <w:rsid w:val="04E22C17"/>
    <w:rsid w:val="04F36106"/>
    <w:rsid w:val="04F4133B"/>
    <w:rsid w:val="05021B01"/>
    <w:rsid w:val="05292B71"/>
    <w:rsid w:val="052C0D66"/>
    <w:rsid w:val="05314FD7"/>
    <w:rsid w:val="053B1A3D"/>
    <w:rsid w:val="0558720E"/>
    <w:rsid w:val="057F2A2A"/>
    <w:rsid w:val="05894C8A"/>
    <w:rsid w:val="05993019"/>
    <w:rsid w:val="05C01E8E"/>
    <w:rsid w:val="05D708A6"/>
    <w:rsid w:val="06002DF6"/>
    <w:rsid w:val="06153E6E"/>
    <w:rsid w:val="0618444D"/>
    <w:rsid w:val="062A6CB4"/>
    <w:rsid w:val="06300679"/>
    <w:rsid w:val="067746D4"/>
    <w:rsid w:val="069C6A8D"/>
    <w:rsid w:val="06B9287B"/>
    <w:rsid w:val="06DA3028"/>
    <w:rsid w:val="06E3294D"/>
    <w:rsid w:val="06F31CB3"/>
    <w:rsid w:val="06F93008"/>
    <w:rsid w:val="0718687A"/>
    <w:rsid w:val="071A60E7"/>
    <w:rsid w:val="07252677"/>
    <w:rsid w:val="076C6634"/>
    <w:rsid w:val="07820AB4"/>
    <w:rsid w:val="079B346A"/>
    <w:rsid w:val="07CC2D78"/>
    <w:rsid w:val="07CC4016"/>
    <w:rsid w:val="07D15C8A"/>
    <w:rsid w:val="07E76A1F"/>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251C0"/>
    <w:rsid w:val="0984738F"/>
    <w:rsid w:val="098C4592"/>
    <w:rsid w:val="098C467A"/>
    <w:rsid w:val="09915D75"/>
    <w:rsid w:val="0996332C"/>
    <w:rsid w:val="09BE1AF4"/>
    <w:rsid w:val="09E0028A"/>
    <w:rsid w:val="09F11ACB"/>
    <w:rsid w:val="09FB6243"/>
    <w:rsid w:val="0A06506B"/>
    <w:rsid w:val="0A0A6618"/>
    <w:rsid w:val="0A29795D"/>
    <w:rsid w:val="0A2D68BE"/>
    <w:rsid w:val="0A3C22BA"/>
    <w:rsid w:val="0A3D34F3"/>
    <w:rsid w:val="0A557C07"/>
    <w:rsid w:val="0A5B4AF5"/>
    <w:rsid w:val="0A75433E"/>
    <w:rsid w:val="0A796F7C"/>
    <w:rsid w:val="0A7B7455"/>
    <w:rsid w:val="0AA33DAF"/>
    <w:rsid w:val="0AB608CB"/>
    <w:rsid w:val="0AC60296"/>
    <w:rsid w:val="0AD32487"/>
    <w:rsid w:val="0AE31AD5"/>
    <w:rsid w:val="0B017D09"/>
    <w:rsid w:val="0B0715B1"/>
    <w:rsid w:val="0B0F0B26"/>
    <w:rsid w:val="0B400CB2"/>
    <w:rsid w:val="0B421176"/>
    <w:rsid w:val="0B721C38"/>
    <w:rsid w:val="0B860805"/>
    <w:rsid w:val="0B945C54"/>
    <w:rsid w:val="0BB16187"/>
    <w:rsid w:val="0BCE6861"/>
    <w:rsid w:val="0BDC4FBC"/>
    <w:rsid w:val="0BDF0A5F"/>
    <w:rsid w:val="0C08318F"/>
    <w:rsid w:val="0C1E7ABD"/>
    <w:rsid w:val="0C270CC3"/>
    <w:rsid w:val="0C586B50"/>
    <w:rsid w:val="0C586E44"/>
    <w:rsid w:val="0C7F402D"/>
    <w:rsid w:val="0C822A19"/>
    <w:rsid w:val="0C930A24"/>
    <w:rsid w:val="0CB81916"/>
    <w:rsid w:val="0CD123E3"/>
    <w:rsid w:val="0CE32FB8"/>
    <w:rsid w:val="0CE44838"/>
    <w:rsid w:val="0D206C21"/>
    <w:rsid w:val="0D731CA1"/>
    <w:rsid w:val="0D775B07"/>
    <w:rsid w:val="0D893BAC"/>
    <w:rsid w:val="0D952410"/>
    <w:rsid w:val="0DA370DA"/>
    <w:rsid w:val="0DA7099A"/>
    <w:rsid w:val="0DB01CE1"/>
    <w:rsid w:val="0DBA1705"/>
    <w:rsid w:val="0DC46B30"/>
    <w:rsid w:val="0DC9706D"/>
    <w:rsid w:val="0DD115AA"/>
    <w:rsid w:val="0DEA06F6"/>
    <w:rsid w:val="0E01030B"/>
    <w:rsid w:val="0E04318C"/>
    <w:rsid w:val="0E274301"/>
    <w:rsid w:val="0E31785B"/>
    <w:rsid w:val="0E5C0982"/>
    <w:rsid w:val="0E730195"/>
    <w:rsid w:val="0E803657"/>
    <w:rsid w:val="0E8B35C9"/>
    <w:rsid w:val="0E9742FB"/>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5808CC"/>
    <w:rsid w:val="0F666559"/>
    <w:rsid w:val="0F790BDF"/>
    <w:rsid w:val="0F7D42FE"/>
    <w:rsid w:val="0F820E85"/>
    <w:rsid w:val="0F8A41FA"/>
    <w:rsid w:val="0F9B4E2A"/>
    <w:rsid w:val="0FB045CC"/>
    <w:rsid w:val="0FC910AB"/>
    <w:rsid w:val="0FD23F99"/>
    <w:rsid w:val="0FEF79AA"/>
    <w:rsid w:val="101C7D06"/>
    <w:rsid w:val="1024515A"/>
    <w:rsid w:val="1046198D"/>
    <w:rsid w:val="105F3A71"/>
    <w:rsid w:val="106D475B"/>
    <w:rsid w:val="10BA0A0E"/>
    <w:rsid w:val="10CE39DE"/>
    <w:rsid w:val="10FA6B68"/>
    <w:rsid w:val="10FF5E5F"/>
    <w:rsid w:val="11365062"/>
    <w:rsid w:val="11422692"/>
    <w:rsid w:val="11590029"/>
    <w:rsid w:val="117F7F48"/>
    <w:rsid w:val="1265739D"/>
    <w:rsid w:val="12662947"/>
    <w:rsid w:val="12BE2ADE"/>
    <w:rsid w:val="12D8263D"/>
    <w:rsid w:val="130B16E4"/>
    <w:rsid w:val="13267B35"/>
    <w:rsid w:val="134A6D86"/>
    <w:rsid w:val="13594CF7"/>
    <w:rsid w:val="135A728A"/>
    <w:rsid w:val="13772D89"/>
    <w:rsid w:val="138744BB"/>
    <w:rsid w:val="13B45FC3"/>
    <w:rsid w:val="13DB164D"/>
    <w:rsid w:val="13E7373B"/>
    <w:rsid w:val="13FE142E"/>
    <w:rsid w:val="14176463"/>
    <w:rsid w:val="144B6D3F"/>
    <w:rsid w:val="14546EAA"/>
    <w:rsid w:val="147759A4"/>
    <w:rsid w:val="147A75E5"/>
    <w:rsid w:val="149C7CF0"/>
    <w:rsid w:val="14BC21CE"/>
    <w:rsid w:val="14BE2339"/>
    <w:rsid w:val="14D56BF6"/>
    <w:rsid w:val="14F32D76"/>
    <w:rsid w:val="14F5216B"/>
    <w:rsid w:val="151B73F8"/>
    <w:rsid w:val="15211EFF"/>
    <w:rsid w:val="15353F74"/>
    <w:rsid w:val="154F205D"/>
    <w:rsid w:val="15615E0F"/>
    <w:rsid w:val="156D2843"/>
    <w:rsid w:val="15701AB8"/>
    <w:rsid w:val="159001BC"/>
    <w:rsid w:val="15B939D5"/>
    <w:rsid w:val="15D83B2E"/>
    <w:rsid w:val="15DD70EA"/>
    <w:rsid w:val="15E11AB3"/>
    <w:rsid w:val="15E25134"/>
    <w:rsid w:val="15E8785D"/>
    <w:rsid w:val="16113EF1"/>
    <w:rsid w:val="16116F4B"/>
    <w:rsid w:val="162E280E"/>
    <w:rsid w:val="164206BE"/>
    <w:rsid w:val="16600954"/>
    <w:rsid w:val="16734EEE"/>
    <w:rsid w:val="16D82413"/>
    <w:rsid w:val="16E22B33"/>
    <w:rsid w:val="16F85570"/>
    <w:rsid w:val="17116BE2"/>
    <w:rsid w:val="17194D7A"/>
    <w:rsid w:val="172078E9"/>
    <w:rsid w:val="172D12A6"/>
    <w:rsid w:val="173C1948"/>
    <w:rsid w:val="17464B66"/>
    <w:rsid w:val="175B5D81"/>
    <w:rsid w:val="17652D76"/>
    <w:rsid w:val="177742FF"/>
    <w:rsid w:val="177778D5"/>
    <w:rsid w:val="177C4324"/>
    <w:rsid w:val="179E41EC"/>
    <w:rsid w:val="17BD7A6D"/>
    <w:rsid w:val="182A5943"/>
    <w:rsid w:val="18704C74"/>
    <w:rsid w:val="18CA4E8D"/>
    <w:rsid w:val="18FC46F8"/>
    <w:rsid w:val="191B1724"/>
    <w:rsid w:val="194573ED"/>
    <w:rsid w:val="195D29F2"/>
    <w:rsid w:val="196465FF"/>
    <w:rsid w:val="196B6E10"/>
    <w:rsid w:val="198154A5"/>
    <w:rsid w:val="19850C75"/>
    <w:rsid w:val="198A3D94"/>
    <w:rsid w:val="198F27F8"/>
    <w:rsid w:val="199C5ECD"/>
    <w:rsid w:val="19B1121F"/>
    <w:rsid w:val="19E14ABD"/>
    <w:rsid w:val="19F07148"/>
    <w:rsid w:val="1A031971"/>
    <w:rsid w:val="1A051BC1"/>
    <w:rsid w:val="1A110D84"/>
    <w:rsid w:val="1A2B0F11"/>
    <w:rsid w:val="1A372CD4"/>
    <w:rsid w:val="1A555BDB"/>
    <w:rsid w:val="1A660755"/>
    <w:rsid w:val="1A703BC4"/>
    <w:rsid w:val="1A7262E8"/>
    <w:rsid w:val="1A882B3D"/>
    <w:rsid w:val="1ABE2D20"/>
    <w:rsid w:val="1ACC4B7F"/>
    <w:rsid w:val="1AD34CD1"/>
    <w:rsid w:val="1AD417D6"/>
    <w:rsid w:val="1AE7665A"/>
    <w:rsid w:val="1B393D9E"/>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C4A0D"/>
    <w:rsid w:val="1D1712A0"/>
    <w:rsid w:val="1D2B7B9F"/>
    <w:rsid w:val="1D305274"/>
    <w:rsid w:val="1D3F5714"/>
    <w:rsid w:val="1D466011"/>
    <w:rsid w:val="1D487015"/>
    <w:rsid w:val="1D547E28"/>
    <w:rsid w:val="1D655DB6"/>
    <w:rsid w:val="1D980258"/>
    <w:rsid w:val="1D9C1F14"/>
    <w:rsid w:val="1DB113DA"/>
    <w:rsid w:val="1DFB4E0B"/>
    <w:rsid w:val="1E196DA1"/>
    <w:rsid w:val="1E2278F4"/>
    <w:rsid w:val="1E4062B7"/>
    <w:rsid w:val="1E5542CC"/>
    <w:rsid w:val="1E6D6ABE"/>
    <w:rsid w:val="1E755624"/>
    <w:rsid w:val="1E8C73FA"/>
    <w:rsid w:val="1EAA616E"/>
    <w:rsid w:val="1EB15364"/>
    <w:rsid w:val="1EB20356"/>
    <w:rsid w:val="1EBE2AB5"/>
    <w:rsid w:val="1EC81089"/>
    <w:rsid w:val="1EDD703F"/>
    <w:rsid w:val="1F092A2D"/>
    <w:rsid w:val="1F1162FE"/>
    <w:rsid w:val="1F1C0B32"/>
    <w:rsid w:val="1F352B32"/>
    <w:rsid w:val="1F4A096C"/>
    <w:rsid w:val="1F6B3A34"/>
    <w:rsid w:val="1F751CBE"/>
    <w:rsid w:val="1F7D6B10"/>
    <w:rsid w:val="1F963D6D"/>
    <w:rsid w:val="1F98363F"/>
    <w:rsid w:val="1FA70F8C"/>
    <w:rsid w:val="1FBF488C"/>
    <w:rsid w:val="1FCD7675"/>
    <w:rsid w:val="1FD377B1"/>
    <w:rsid w:val="1FEF77E1"/>
    <w:rsid w:val="1FFC155B"/>
    <w:rsid w:val="20010BD0"/>
    <w:rsid w:val="20137C9A"/>
    <w:rsid w:val="20261774"/>
    <w:rsid w:val="202A3AEF"/>
    <w:rsid w:val="203A4D2E"/>
    <w:rsid w:val="204030A0"/>
    <w:rsid w:val="205B78B2"/>
    <w:rsid w:val="205C4184"/>
    <w:rsid w:val="206558CE"/>
    <w:rsid w:val="206901B1"/>
    <w:rsid w:val="2078018B"/>
    <w:rsid w:val="209323D8"/>
    <w:rsid w:val="20AD55FF"/>
    <w:rsid w:val="20C12FDC"/>
    <w:rsid w:val="211001E9"/>
    <w:rsid w:val="21147D43"/>
    <w:rsid w:val="2119067D"/>
    <w:rsid w:val="21216F1B"/>
    <w:rsid w:val="215A4604"/>
    <w:rsid w:val="217C7ED4"/>
    <w:rsid w:val="21862B07"/>
    <w:rsid w:val="21973788"/>
    <w:rsid w:val="219A3406"/>
    <w:rsid w:val="21A70D61"/>
    <w:rsid w:val="21B2244C"/>
    <w:rsid w:val="21C30EF9"/>
    <w:rsid w:val="21D956E3"/>
    <w:rsid w:val="21EF7C0A"/>
    <w:rsid w:val="221551D8"/>
    <w:rsid w:val="224E7428"/>
    <w:rsid w:val="2261560B"/>
    <w:rsid w:val="227918A6"/>
    <w:rsid w:val="22944164"/>
    <w:rsid w:val="229674ED"/>
    <w:rsid w:val="22AC485D"/>
    <w:rsid w:val="22D174A6"/>
    <w:rsid w:val="22E67532"/>
    <w:rsid w:val="230F16FC"/>
    <w:rsid w:val="231C2E7E"/>
    <w:rsid w:val="232A4048"/>
    <w:rsid w:val="233344E4"/>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945E2"/>
    <w:rsid w:val="24974A9D"/>
    <w:rsid w:val="24990AB6"/>
    <w:rsid w:val="24A21A55"/>
    <w:rsid w:val="24BC74B9"/>
    <w:rsid w:val="24BE33B8"/>
    <w:rsid w:val="250D3E66"/>
    <w:rsid w:val="252754C5"/>
    <w:rsid w:val="252D3F69"/>
    <w:rsid w:val="25585795"/>
    <w:rsid w:val="25740BBD"/>
    <w:rsid w:val="25955E96"/>
    <w:rsid w:val="259B6E31"/>
    <w:rsid w:val="25B677AD"/>
    <w:rsid w:val="25B904A8"/>
    <w:rsid w:val="25FD0304"/>
    <w:rsid w:val="261447E7"/>
    <w:rsid w:val="26162D47"/>
    <w:rsid w:val="26417898"/>
    <w:rsid w:val="26442276"/>
    <w:rsid w:val="26552532"/>
    <w:rsid w:val="26AD0D8B"/>
    <w:rsid w:val="26C17431"/>
    <w:rsid w:val="26C545A4"/>
    <w:rsid w:val="26C94300"/>
    <w:rsid w:val="26DF7D7C"/>
    <w:rsid w:val="26EE1723"/>
    <w:rsid w:val="26F154C7"/>
    <w:rsid w:val="26FD7030"/>
    <w:rsid w:val="27080E2E"/>
    <w:rsid w:val="270D21C6"/>
    <w:rsid w:val="277F5A23"/>
    <w:rsid w:val="27A7464B"/>
    <w:rsid w:val="28011EB5"/>
    <w:rsid w:val="28092464"/>
    <w:rsid w:val="282C5A3A"/>
    <w:rsid w:val="283F32F7"/>
    <w:rsid w:val="2855423F"/>
    <w:rsid w:val="285E5BE3"/>
    <w:rsid w:val="28611CC2"/>
    <w:rsid w:val="286D2B55"/>
    <w:rsid w:val="28721E59"/>
    <w:rsid w:val="28892109"/>
    <w:rsid w:val="28A325B7"/>
    <w:rsid w:val="28B71571"/>
    <w:rsid w:val="28BA104F"/>
    <w:rsid w:val="28C132F2"/>
    <w:rsid w:val="28D37B64"/>
    <w:rsid w:val="28EF11D1"/>
    <w:rsid w:val="290566C3"/>
    <w:rsid w:val="295C2D51"/>
    <w:rsid w:val="29A81CD2"/>
    <w:rsid w:val="29A90232"/>
    <w:rsid w:val="29A92B3A"/>
    <w:rsid w:val="29C804D1"/>
    <w:rsid w:val="29CB1410"/>
    <w:rsid w:val="29D84ABC"/>
    <w:rsid w:val="29F5410D"/>
    <w:rsid w:val="2A1503FE"/>
    <w:rsid w:val="2A194990"/>
    <w:rsid w:val="2A215E5E"/>
    <w:rsid w:val="2A252C4C"/>
    <w:rsid w:val="2A3E7B5A"/>
    <w:rsid w:val="2A6B55C6"/>
    <w:rsid w:val="2A8475EE"/>
    <w:rsid w:val="2A951C8C"/>
    <w:rsid w:val="2A9B26F1"/>
    <w:rsid w:val="2AB25451"/>
    <w:rsid w:val="2AC063B7"/>
    <w:rsid w:val="2ACB5B48"/>
    <w:rsid w:val="2ACD0874"/>
    <w:rsid w:val="2AD267B8"/>
    <w:rsid w:val="2AD8059C"/>
    <w:rsid w:val="2B0D737C"/>
    <w:rsid w:val="2B0F004D"/>
    <w:rsid w:val="2B154A20"/>
    <w:rsid w:val="2B6638DE"/>
    <w:rsid w:val="2B84406F"/>
    <w:rsid w:val="2B8F58E2"/>
    <w:rsid w:val="2BA07FAD"/>
    <w:rsid w:val="2BBF0DDA"/>
    <w:rsid w:val="2BE5055C"/>
    <w:rsid w:val="2BED5A7C"/>
    <w:rsid w:val="2BF858F4"/>
    <w:rsid w:val="2BFC6315"/>
    <w:rsid w:val="2BFD5564"/>
    <w:rsid w:val="2C4C1107"/>
    <w:rsid w:val="2C7C5CC5"/>
    <w:rsid w:val="2C811341"/>
    <w:rsid w:val="2C823F4E"/>
    <w:rsid w:val="2CAD067B"/>
    <w:rsid w:val="2CFD0FC0"/>
    <w:rsid w:val="2D050EBF"/>
    <w:rsid w:val="2D2A25A1"/>
    <w:rsid w:val="2D4D17E5"/>
    <w:rsid w:val="2D6F58D8"/>
    <w:rsid w:val="2D892B5C"/>
    <w:rsid w:val="2DB328B9"/>
    <w:rsid w:val="2DC6450C"/>
    <w:rsid w:val="2DD85082"/>
    <w:rsid w:val="2DE11692"/>
    <w:rsid w:val="2DF24F64"/>
    <w:rsid w:val="2DF5641D"/>
    <w:rsid w:val="2DF644E3"/>
    <w:rsid w:val="2E0D40F5"/>
    <w:rsid w:val="2E2F56E6"/>
    <w:rsid w:val="2E4A7323"/>
    <w:rsid w:val="2E98229F"/>
    <w:rsid w:val="2EA56E95"/>
    <w:rsid w:val="2EA673C9"/>
    <w:rsid w:val="2ECA710C"/>
    <w:rsid w:val="2ED4404D"/>
    <w:rsid w:val="2ED50475"/>
    <w:rsid w:val="2EE365C8"/>
    <w:rsid w:val="2F090AB4"/>
    <w:rsid w:val="2F13732E"/>
    <w:rsid w:val="2F336BA3"/>
    <w:rsid w:val="2F5621A6"/>
    <w:rsid w:val="2F66411F"/>
    <w:rsid w:val="2F9E2267"/>
    <w:rsid w:val="2FA5716E"/>
    <w:rsid w:val="2FBE7D06"/>
    <w:rsid w:val="2FD85581"/>
    <w:rsid w:val="2FE513F6"/>
    <w:rsid w:val="2FE91ED2"/>
    <w:rsid w:val="2FF22D62"/>
    <w:rsid w:val="30037E76"/>
    <w:rsid w:val="300B0CEC"/>
    <w:rsid w:val="301B31E2"/>
    <w:rsid w:val="302909D7"/>
    <w:rsid w:val="30320AA9"/>
    <w:rsid w:val="30427218"/>
    <w:rsid w:val="30664FDE"/>
    <w:rsid w:val="30A00CB5"/>
    <w:rsid w:val="30AF5F22"/>
    <w:rsid w:val="30C14186"/>
    <w:rsid w:val="30D71496"/>
    <w:rsid w:val="30E73B0D"/>
    <w:rsid w:val="30FC61C2"/>
    <w:rsid w:val="30FD55E0"/>
    <w:rsid w:val="310F6F60"/>
    <w:rsid w:val="311333E6"/>
    <w:rsid w:val="31363ABC"/>
    <w:rsid w:val="314614BA"/>
    <w:rsid w:val="31490B7D"/>
    <w:rsid w:val="3153679E"/>
    <w:rsid w:val="315F2471"/>
    <w:rsid w:val="3177458F"/>
    <w:rsid w:val="3189708E"/>
    <w:rsid w:val="318B1F3D"/>
    <w:rsid w:val="319434F7"/>
    <w:rsid w:val="31994D00"/>
    <w:rsid w:val="31A65E57"/>
    <w:rsid w:val="31AD16EF"/>
    <w:rsid w:val="31AE660C"/>
    <w:rsid w:val="31B05A1F"/>
    <w:rsid w:val="31B17EF2"/>
    <w:rsid w:val="31E155AC"/>
    <w:rsid w:val="31FC35FB"/>
    <w:rsid w:val="32010D04"/>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D1D83"/>
    <w:rsid w:val="33FC5F9C"/>
    <w:rsid w:val="34005D95"/>
    <w:rsid w:val="34173060"/>
    <w:rsid w:val="3425323C"/>
    <w:rsid w:val="342E5EA7"/>
    <w:rsid w:val="343E0BAC"/>
    <w:rsid w:val="34474FF1"/>
    <w:rsid w:val="344B3651"/>
    <w:rsid w:val="34B63281"/>
    <w:rsid w:val="34C105B0"/>
    <w:rsid w:val="34CA39B2"/>
    <w:rsid w:val="34D564C3"/>
    <w:rsid w:val="34DC79C0"/>
    <w:rsid w:val="34EC4B86"/>
    <w:rsid w:val="355E6D49"/>
    <w:rsid w:val="3572663B"/>
    <w:rsid w:val="357D4C50"/>
    <w:rsid w:val="35925B04"/>
    <w:rsid w:val="35963717"/>
    <w:rsid w:val="35AF3549"/>
    <w:rsid w:val="35CA49CB"/>
    <w:rsid w:val="35DA5213"/>
    <w:rsid w:val="35EE7B1B"/>
    <w:rsid w:val="35F65FAD"/>
    <w:rsid w:val="36202050"/>
    <w:rsid w:val="364A7C84"/>
    <w:rsid w:val="36605016"/>
    <w:rsid w:val="366B7A53"/>
    <w:rsid w:val="368259EE"/>
    <w:rsid w:val="3689301E"/>
    <w:rsid w:val="36B523AB"/>
    <w:rsid w:val="36C76D40"/>
    <w:rsid w:val="36F44E23"/>
    <w:rsid w:val="371D2966"/>
    <w:rsid w:val="373062E8"/>
    <w:rsid w:val="375C1AC9"/>
    <w:rsid w:val="37785098"/>
    <w:rsid w:val="377E7331"/>
    <w:rsid w:val="37A6234C"/>
    <w:rsid w:val="37AF1535"/>
    <w:rsid w:val="37CA63F2"/>
    <w:rsid w:val="37CB57CA"/>
    <w:rsid w:val="37D337D1"/>
    <w:rsid w:val="37DD56C2"/>
    <w:rsid w:val="37F16302"/>
    <w:rsid w:val="38372548"/>
    <w:rsid w:val="38781C56"/>
    <w:rsid w:val="38C30240"/>
    <w:rsid w:val="38CF65F7"/>
    <w:rsid w:val="38D30895"/>
    <w:rsid w:val="38E95212"/>
    <w:rsid w:val="391C1C7A"/>
    <w:rsid w:val="39465968"/>
    <w:rsid w:val="39600E80"/>
    <w:rsid w:val="399B72BC"/>
    <w:rsid w:val="39E779C9"/>
    <w:rsid w:val="3A01261A"/>
    <w:rsid w:val="3A1A4CEB"/>
    <w:rsid w:val="3A204DEA"/>
    <w:rsid w:val="3A247020"/>
    <w:rsid w:val="3A34341C"/>
    <w:rsid w:val="3A366570"/>
    <w:rsid w:val="3A41027E"/>
    <w:rsid w:val="3A446ABC"/>
    <w:rsid w:val="3A481E25"/>
    <w:rsid w:val="3A562007"/>
    <w:rsid w:val="3A632ED3"/>
    <w:rsid w:val="3A693A23"/>
    <w:rsid w:val="3A6F255F"/>
    <w:rsid w:val="3A6F6832"/>
    <w:rsid w:val="3A90237F"/>
    <w:rsid w:val="3B0A7991"/>
    <w:rsid w:val="3B100A85"/>
    <w:rsid w:val="3B18283A"/>
    <w:rsid w:val="3B336F2F"/>
    <w:rsid w:val="3B691338"/>
    <w:rsid w:val="3BA60160"/>
    <w:rsid w:val="3BB46CD1"/>
    <w:rsid w:val="3BB6128D"/>
    <w:rsid w:val="3BD11411"/>
    <w:rsid w:val="3BD837A5"/>
    <w:rsid w:val="3BED4242"/>
    <w:rsid w:val="3C317DDD"/>
    <w:rsid w:val="3C457CDF"/>
    <w:rsid w:val="3C742BEB"/>
    <w:rsid w:val="3C857740"/>
    <w:rsid w:val="3C8E02B7"/>
    <w:rsid w:val="3CB004C5"/>
    <w:rsid w:val="3CB35047"/>
    <w:rsid w:val="3CB47F7E"/>
    <w:rsid w:val="3CB603EF"/>
    <w:rsid w:val="3CD82621"/>
    <w:rsid w:val="3CDD69B2"/>
    <w:rsid w:val="3CEA693F"/>
    <w:rsid w:val="3D0D55A5"/>
    <w:rsid w:val="3D354C10"/>
    <w:rsid w:val="3D475AFB"/>
    <w:rsid w:val="3D4C43AF"/>
    <w:rsid w:val="3D502422"/>
    <w:rsid w:val="3D5404DD"/>
    <w:rsid w:val="3D6341E4"/>
    <w:rsid w:val="3D6A48AA"/>
    <w:rsid w:val="3D7C1281"/>
    <w:rsid w:val="3D8D1DDC"/>
    <w:rsid w:val="3D995C7E"/>
    <w:rsid w:val="3DD2333F"/>
    <w:rsid w:val="3DEC316F"/>
    <w:rsid w:val="3E000E38"/>
    <w:rsid w:val="3E037731"/>
    <w:rsid w:val="3E0F09D9"/>
    <w:rsid w:val="3E1646C1"/>
    <w:rsid w:val="3E247488"/>
    <w:rsid w:val="3E305EE4"/>
    <w:rsid w:val="3E3D25F5"/>
    <w:rsid w:val="3E4E6762"/>
    <w:rsid w:val="3E70166E"/>
    <w:rsid w:val="3E752011"/>
    <w:rsid w:val="3E8270FA"/>
    <w:rsid w:val="3E8E2505"/>
    <w:rsid w:val="3E9953AC"/>
    <w:rsid w:val="3E9D3F84"/>
    <w:rsid w:val="3E9F3605"/>
    <w:rsid w:val="3EEC1C8D"/>
    <w:rsid w:val="3F0C0C5D"/>
    <w:rsid w:val="3F310E2B"/>
    <w:rsid w:val="3F3E5B85"/>
    <w:rsid w:val="3F4D19AF"/>
    <w:rsid w:val="3F691A99"/>
    <w:rsid w:val="3F837DDF"/>
    <w:rsid w:val="3FA21405"/>
    <w:rsid w:val="3FC04528"/>
    <w:rsid w:val="3FCB012B"/>
    <w:rsid w:val="3FD27B2E"/>
    <w:rsid w:val="3FEE1DE8"/>
    <w:rsid w:val="3FFE5EFF"/>
    <w:rsid w:val="40171145"/>
    <w:rsid w:val="402104DC"/>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B3371C"/>
    <w:rsid w:val="41B4302C"/>
    <w:rsid w:val="41DA3C01"/>
    <w:rsid w:val="41E3266D"/>
    <w:rsid w:val="41F604FA"/>
    <w:rsid w:val="42013C9E"/>
    <w:rsid w:val="420F24CA"/>
    <w:rsid w:val="421C0994"/>
    <w:rsid w:val="424F02B6"/>
    <w:rsid w:val="42683145"/>
    <w:rsid w:val="427133C0"/>
    <w:rsid w:val="42715180"/>
    <w:rsid w:val="4277762F"/>
    <w:rsid w:val="429D7D7D"/>
    <w:rsid w:val="42B23DF0"/>
    <w:rsid w:val="42B45768"/>
    <w:rsid w:val="42E637C3"/>
    <w:rsid w:val="42FD1410"/>
    <w:rsid w:val="43184FA0"/>
    <w:rsid w:val="431F563A"/>
    <w:rsid w:val="432D0CD2"/>
    <w:rsid w:val="4348259E"/>
    <w:rsid w:val="434C0977"/>
    <w:rsid w:val="434D5EB2"/>
    <w:rsid w:val="43705840"/>
    <w:rsid w:val="43AF6845"/>
    <w:rsid w:val="43D44FF8"/>
    <w:rsid w:val="441557E3"/>
    <w:rsid w:val="44286453"/>
    <w:rsid w:val="444B4817"/>
    <w:rsid w:val="444C54FC"/>
    <w:rsid w:val="44615639"/>
    <w:rsid w:val="44762FC6"/>
    <w:rsid w:val="4488431A"/>
    <w:rsid w:val="448F5706"/>
    <w:rsid w:val="44944331"/>
    <w:rsid w:val="449A539D"/>
    <w:rsid w:val="44A538D4"/>
    <w:rsid w:val="44B05905"/>
    <w:rsid w:val="44B67F0B"/>
    <w:rsid w:val="451317C4"/>
    <w:rsid w:val="45575AD5"/>
    <w:rsid w:val="457E0115"/>
    <w:rsid w:val="459B774E"/>
    <w:rsid w:val="45B72AB1"/>
    <w:rsid w:val="45CF5AD4"/>
    <w:rsid w:val="45DD06D9"/>
    <w:rsid w:val="460D21F2"/>
    <w:rsid w:val="460E0469"/>
    <w:rsid w:val="460E0A15"/>
    <w:rsid w:val="4635298E"/>
    <w:rsid w:val="464050BB"/>
    <w:rsid w:val="466B6702"/>
    <w:rsid w:val="466F037A"/>
    <w:rsid w:val="467737E1"/>
    <w:rsid w:val="46A075FA"/>
    <w:rsid w:val="46A359DC"/>
    <w:rsid w:val="46D7121E"/>
    <w:rsid w:val="46E07671"/>
    <w:rsid w:val="46FF57CE"/>
    <w:rsid w:val="47154F60"/>
    <w:rsid w:val="47700BCB"/>
    <w:rsid w:val="47C254B8"/>
    <w:rsid w:val="47DF082A"/>
    <w:rsid w:val="47EB5003"/>
    <w:rsid w:val="48081128"/>
    <w:rsid w:val="483A31DC"/>
    <w:rsid w:val="484715CC"/>
    <w:rsid w:val="485D616F"/>
    <w:rsid w:val="4873370F"/>
    <w:rsid w:val="48942C25"/>
    <w:rsid w:val="4898666C"/>
    <w:rsid w:val="489B75DE"/>
    <w:rsid w:val="489F44D2"/>
    <w:rsid w:val="48B5305A"/>
    <w:rsid w:val="48B63FE7"/>
    <w:rsid w:val="48CC7D6E"/>
    <w:rsid w:val="48DD5408"/>
    <w:rsid w:val="48EB5A5C"/>
    <w:rsid w:val="490B579F"/>
    <w:rsid w:val="4920208E"/>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A48A6"/>
    <w:rsid w:val="4A524812"/>
    <w:rsid w:val="4A526073"/>
    <w:rsid w:val="4A56215E"/>
    <w:rsid w:val="4A5D4A40"/>
    <w:rsid w:val="4A63534F"/>
    <w:rsid w:val="4A6C1B50"/>
    <w:rsid w:val="4A7E40F2"/>
    <w:rsid w:val="4A8561F1"/>
    <w:rsid w:val="4A943BC6"/>
    <w:rsid w:val="4AAF17A9"/>
    <w:rsid w:val="4AFF5CC6"/>
    <w:rsid w:val="4B1D3A51"/>
    <w:rsid w:val="4B280F1E"/>
    <w:rsid w:val="4B3D4E30"/>
    <w:rsid w:val="4B413D26"/>
    <w:rsid w:val="4B8B446D"/>
    <w:rsid w:val="4BB317A2"/>
    <w:rsid w:val="4BC27F8D"/>
    <w:rsid w:val="4BC97047"/>
    <w:rsid w:val="4BCC6CCE"/>
    <w:rsid w:val="4BE44E6C"/>
    <w:rsid w:val="4BF446B8"/>
    <w:rsid w:val="4C061338"/>
    <w:rsid w:val="4C497215"/>
    <w:rsid w:val="4C4F5F99"/>
    <w:rsid w:val="4C5474C5"/>
    <w:rsid w:val="4C5D0817"/>
    <w:rsid w:val="4C5E08E0"/>
    <w:rsid w:val="4C7C64A4"/>
    <w:rsid w:val="4CBF4AE9"/>
    <w:rsid w:val="4D0A349B"/>
    <w:rsid w:val="4D0D2E78"/>
    <w:rsid w:val="4D0F04ED"/>
    <w:rsid w:val="4D384A7C"/>
    <w:rsid w:val="4D3A0411"/>
    <w:rsid w:val="4D427C91"/>
    <w:rsid w:val="4D7706F2"/>
    <w:rsid w:val="4DBE12C2"/>
    <w:rsid w:val="4DCE6ED3"/>
    <w:rsid w:val="4E095444"/>
    <w:rsid w:val="4E333BBB"/>
    <w:rsid w:val="4E665F7B"/>
    <w:rsid w:val="4E6A06E9"/>
    <w:rsid w:val="4EC206BE"/>
    <w:rsid w:val="4EC46EFB"/>
    <w:rsid w:val="4EC951FF"/>
    <w:rsid w:val="4ED04B02"/>
    <w:rsid w:val="4EDD6EFA"/>
    <w:rsid w:val="4EE96853"/>
    <w:rsid w:val="4F105F02"/>
    <w:rsid w:val="4F121BEA"/>
    <w:rsid w:val="4F172396"/>
    <w:rsid w:val="4F3F03C1"/>
    <w:rsid w:val="4F4C2971"/>
    <w:rsid w:val="4F566ACF"/>
    <w:rsid w:val="4F704BBC"/>
    <w:rsid w:val="4F8028EE"/>
    <w:rsid w:val="4FAD0DF7"/>
    <w:rsid w:val="4FBC1F04"/>
    <w:rsid w:val="4FBD361C"/>
    <w:rsid w:val="4FBE1CEA"/>
    <w:rsid w:val="4FC15F00"/>
    <w:rsid w:val="4FF17370"/>
    <w:rsid w:val="50371519"/>
    <w:rsid w:val="503D6ACE"/>
    <w:rsid w:val="505A0A75"/>
    <w:rsid w:val="509E2BD3"/>
    <w:rsid w:val="50C04426"/>
    <w:rsid w:val="50C95413"/>
    <w:rsid w:val="50ED0D36"/>
    <w:rsid w:val="510B317F"/>
    <w:rsid w:val="51130AD6"/>
    <w:rsid w:val="51147068"/>
    <w:rsid w:val="511B4097"/>
    <w:rsid w:val="512452DA"/>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C52078"/>
    <w:rsid w:val="52CB6EC0"/>
    <w:rsid w:val="52D061DA"/>
    <w:rsid w:val="52D211F8"/>
    <w:rsid w:val="52F26F28"/>
    <w:rsid w:val="5315442E"/>
    <w:rsid w:val="533907AA"/>
    <w:rsid w:val="5341530E"/>
    <w:rsid w:val="534326DA"/>
    <w:rsid w:val="53434396"/>
    <w:rsid w:val="534D112E"/>
    <w:rsid w:val="53761C93"/>
    <w:rsid w:val="537B0A8C"/>
    <w:rsid w:val="5393301A"/>
    <w:rsid w:val="53971518"/>
    <w:rsid w:val="5399073D"/>
    <w:rsid w:val="53A84C2D"/>
    <w:rsid w:val="53AB2CD5"/>
    <w:rsid w:val="53AF23D8"/>
    <w:rsid w:val="53B31343"/>
    <w:rsid w:val="53B91D8C"/>
    <w:rsid w:val="53D82514"/>
    <w:rsid w:val="53E56E6E"/>
    <w:rsid w:val="53EB2495"/>
    <w:rsid w:val="53F17662"/>
    <w:rsid w:val="54010C17"/>
    <w:rsid w:val="542C2C82"/>
    <w:rsid w:val="543F012A"/>
    <w:rsid w:val="54635F00"/>
    <w:rsid w:val="54661F54"/>
    <w:rsid w:val="546C3F2D"/>
    <w:rsid w:val="547F46DA"/>
    <w:rsid w:val="549F75FE"/>
    <w:rsid w:val="54A51CC5"/>
    <w:rsid w:val="54DD78BD"/>
    <w:rsid w:val="54E06144"/>
    <w:rsid w:val="550A393D"/>
    <w:rsid w:val="555E54FB"/>
    <w:rsid w:val="556D2811"/>
    <w:rsid w:val="55CE1AD5"/>
    <w:rsid w:val="55ED37B8"/>
    <w:rsid w:val="55F04C52"/>
    <w:rsid w:val="55F35D23"/>
    <w:rsid w:val="56281CBC"/>
    <w:rsid w:val="56333685"/>
    <w:rsid w:val="568F0DF7"/>
    <w:rsid w:val="56A332D5"/>
    <w:rsid w:val="56C325A5"/>
    <w:rsid w:val="56E709F8"/>
    <w:rsid w:val="56F10A56"/>
    <w:rsid w:val="56FB32FA"/>
    <w:rsid w:val="570703AF"/>
    <w:rsid w:val="572D602C"/>
    <w:rsid w:val="57364D30"/>
    <w:rsid w:val="573D71D1"/>
    <w:rsid w:val="57574216"/>
    <w:rsid w:val="57A21363"/>
    <w:rsid w:val="57A54C20"/>
    <w:rsid w:val="57B937A9"/>
    <w:rsid w:val="57BB4E50"/>
    <w:rsid w:val="57C34B39"/>
    <w:rsid w:val="57DE1F69"/>
    <w:rsid w:val="57E116B4"/>
    <w:rsid w:val="580C0140"/>
    <w:rsid w:val="580F431F"/>
    <w:rsid w:val="587B6F7C"/>
    <w:rsid w:val="58A22BE9"/>
    <w:rsid w:val="58BD6FD7"/>
    <w:rsid w:val="58E44026"/>
    <w:rsid w:val="58E67C57"/>
    <w:rsid w:val="58E94F10"/>
    <w:rsid w:val="58F965E6"/>
    <w:rsid w:val="58FA15B8"/>
    <w:rsid w:val="58FF06B6"/>
    <w:rsid w:val="59046596"/>
    <w:rsid w:val="591C3F4A"/>
    <w:rsid w:val="593E6CC6"/>
    <w:rsid w:val="59404EE0"/>
    <w:rsid w:val="594B0A62"/>
    <w:rsid w:val="594E1B0E"/>
    <w:rsid w:val="594F32F2"/>
    <w:rsid w:val="595461B1"/>
    <w:rsid w:val="59591BB8"/>
    <w:rsid w:val="595C743E"/>
    <w:rsid w:val="59820786"/>
    <w:rsid w:val="59A774F2"/>
    <w:rsid w:val="59AD15AB"/>
    <w:rsid w:val="59CE313C"/>
    <w:rsid w:val="59E474BD"/>
    <w:rsid w:val="59E869EC"/>
    <w:rsid w:val="59FC6B89"/>
    <w:rsid w:val="5A143012"/>
    <w:rsid w:val="5A261D0E"/>
    <w:rsid w:val="5A412A61"/>
    <w:rsid w:val="5A527BDD"/>
    <w:rsid w:val="5A905E59"/>
    <w:rsid w:val="5A9311E7"/>
    <w:rsid w:val="5AA72593"/>
    <w:rsid w:val="5AD0373D"/>
    <w:rsid w:val="5AF81B7B"/>
    <w:rsid w:val="5AF86253"/>
    <w:rsid w:val="5B081862"/>
    <w:rsid w:val="5B1C3DCA"/>
    <w:rsid w:val="5B24355B"/>
    <w:rsid w:val="5B340596"/>
    <w:rsid w:val="5B3F26B3"/>
    <w:rsid w:val="5B467F94"/>
    <w:rsid w:val="5B4B70AC"/>
    <w:rsid w:val="5B8A7522"/>
    <w:rsid w:val="5BA53E1C"/>
    <w:rsid w:val="5BA92AAB"/>
    <w:rsid w:val="5BB41290"/>
    <w:rsid w:val="5BC50503"/>
    <w:rsid w:val="5BF50EB6"/>
    <w:rsid w:val="5BF92128"/>
    <w:rsid w:val="5BFA7DB5"/>
    <w:rsid w:val="5BFB1F01"/>
    <w:rsid w:val="5C075DA6"/>
    <w:rsid w:val="5C275BD4"/>
    <w:rsid w:val="5C491EC9"/>
    <w:rsid w:val="5C5028D7"/>
    <w:rsid w:val="5C790A6A"/>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86B89"/>
    <w:rsid w:val="5E2D7C7A"/>
    <w:rsid w:val="5E4E3F80"/>
    <w:rsid w:val="5E5F4BD4"/>
    <w:rsid w:val="5E852B0D"/>
    <w:rsid w:val="5EA1268E"/>
    <w:rsid w:val="5ED20F44"/>
    <w:rsid w:val="5EE7073E"/>
    <w:rsid w:val="5EF67A22"/>
    <w:rsid w:val="5F123BC6"/>
    <w:rsid w:val="5F184877"/>
    <w:rsid w:val="5F1A7A37"/>
    <w:rsid w:val="5F2E3F46"/>
    <w:rsid w:val="5F474C09"/>
    <w:rsid w:val="5F475D4B"/>
    <w:rsid w:val="5F63419E"/>
    <w:rsid w:val="5F736746"/>
    <w:rsid w:val="5F880842"/>
    <w:rsid w:val="5FD95A66"/>
    <w:rsid w:val="5FDF7A00"/>
    <w:rsid w:val="5FE12AC5"/>
    <w:rsid w:val="5FF309C7"/>
    <w:rsid w:val="5FFC4765"/>
    <w:rsid w:val="60046C0F"/>
    <w:rsid w:val="600E4F7F"/>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71A"/>
    <w:rsid w:val="62413765"/>
    <w:rsid w:val="625E2011"/>
    <w:rsid w:val="626E5BD1"/>
    <w:rsid w:val="627803DA"/>
    <w:rsid w:val="62921FA4"/>
    <w:rsid w:val="62A06349"/>
    <w:rsid w:val="62BF1D8B"/>
    <w:rsid w:val="62C83DFB"/>
    <w:rsid w:val="62DC2379"/>
    <w:rsid w:val="62EF16C5"/>
    <w:rsid w:val="63077DCD"/>
    <w:rsid w:val="63196725"/>
    <w:rsid w:val="631F3FB6"/>
    <w:rsid w:val="63356B20"/>
    <w:rsid w:val="633B4FC0"/>
    <w:rsid w:val="63647D08"/>
    <w:rsid w:val="63B47AD6"/>
    <w:rsid w:val="63BD1F88"/>
    <w:rsid w:val="63F34E27"/>
    <w:rsid w:val="63FD53D7"/>
    <w:rsid w:val="642E2D6E"/>
    <w:rsid w:val="642F141D"/>
    <w:rsid w:val="6439179D"/>
    <w:rsid w:val="643A7D3D"/>
    <w:rsid w:val="644845EE"/>
    <w:rsid w:val="644C43F2"/>
    <w:rsid w:val="645E071A"/>
    <w:rsid w:val="64611864"/>
    <w:rsid w:val="6465357A"/>
    <w:rsid w:val="64704226"/>
    <w:rsid w:val="64870014"/>
    <w:rsid w:val="64B76AA3"/>
    <w:rsid w:val="64C61C82"/>
    <w:rsid w:val="64D124DB"/>
    <w:rsid w:val="65233DA8"/>
    <w:rsid w:val="652A1A84"/>
    <w:rsid w:val="652A5D21"/>
    <w:rsid w:val="65480BBE"/>
    <w:rsid w:val="6554639C"/>
    <w:rsid w:val="65687D20"/>
    <w:rsid w:val="65933B3C"/>
    <w:rsid w:val="65B955CA"/>
    <w:rsid w:val="65BE6C54"/>
    <w:rsid w:val="65CC3546"/>
    <w:rsid w:val="65CE71FF"/>
    <w:rsid w:val="661A0E12"/>
    <w:rsid w:val="66214D7C"/>
    <w:rsid w:val="6624580B"/>
    <w:rsid w:val="667B6C3F"/>
    <w:rsid w:val="66933BD2"/>
    <w:rsid w:val="66B40E42"/>
    <w:rsid w:val="66B56D61"/>
    <w:rsid w:val="66B56D68"/>
    <w:rsid w:val="66E9392A"/>
    <w:rsid w:val="66EA1480"/>
    <w:rsid w:val="67056631"/>
    <w:rsid w:val="674672D3"/>
    <w:rsid w:val="676E6425"/>
    <w:rsid w:val="67770DB9"/>
    <w:rsid w:val="67776ADD"/>
    <w:rsid w:val="6779797F"/>
    <w:rsid w:val="6789047F"/>
    <w:rsid w:val="67A720F6"/>
    <w:rsid w:val="67AC1398"/>
    <w:rsid w:val="67E7540E"/>
    <w:rsid w:val="67EA1736"/>
    <w:rsid w:val="67FC02AC"/>
    <w:rsid w:val="68006207"/>
    <w:rsid w:val="68070E08"/>
    <w:rsid w:val="682D432C"/>
    <w:rsid w:val="68382592"/>
    <w:rsid w:val="684A32DA"/>
    <w:rsid w:val="68524FFC"/>
    <w:rsid w:val="68784674"/>
    <w:rsid w:val="687C00C8"/>
    <w:rsid w:val="687C4042"/>
    <w:rsid w:val="68A742AD"/>
    <w:rsid w:val="68C25CFA"/>
    <w:rsid w:val="68C731B8"/>
    <w:rsid w:val="68D536DE"/>
    <w:rsid w:val="69044A5D"/>
    <w:rsid w:val="691052CA"/>
    <w:rsid w:val="69194464"/>
    <w:rsid w:val="691D05F7"/>
    <w:rsid w:val="69312B59"/>
    <w:rsid w:val="69446209"/>
    <w:rsid w:val="69726337"/>
    <w:rsid w:val="698B1B24"/>
    <w:rsid w:val="6994580C"/>
    <w:rsid w:val="69B75241"/>
    <w:rsid w:val="69BB0755"/>
    <w:rsid w:val="69FB0A5B"/>
    <w:rsid w:val="6A115C81"/>
    <w:rsid w:val="6A7A60F7"/>
    <w:rsid w:val="6AAC2E76"/>
    <w:rsid w:val="6AEE1969"/>
    <w:rsid w:val="6B0A125F"/>
    <w:rsid w:val="6B23484A"/>
    <w:rsid w:val="6B30457A"/>
    <w:rsid w:val="6B3B1CB3"/>
    <w:rsid w:val="6B43702A"/>
    <w:rsid w:val="6B524C27"/>
    <w:rsid w:val="6B5A1EC9"/>
    <w:rsid w:val="6B7308B4"/>
    <w:rsid w:val="6B744505"/>
    <w:rsid w:val="6B990784"/>
    <w:rsid w:val="6BA2498F"/>
    <w:rsid w:val="6BBC51E6"/>
    <w:rsid w:val="6BBF609A"/>
    <w:rsid w:val="6BCA0F7D"/>
    <w:rsid w:val="6BDE4DDD"/>
    <w:rsid w:val="6BE07242"/>
    <w:rsid w:val="6BE82C3E"/>
    <w:rsid w:val="6BE972DB"/>
    <w:rsid w:val="6BFE0452"/>
    <w:rsid w:val="6C0F2440"/>
    <w:rsid w:val="6C176418"/>
    <w:rsid w:val="6C392A9F"/>
    <w:rsid w:val="6C452784"/>
    <w:rsid w:val="6C4D097B"/>
    <w:rsid w:val="6C5973BD"/>
    <w:rsid w:val="6C5F452A"/>
    <w:rsid w:val="6C762792"/>
    <w:rsid w:val="6C7D1213"/>
    <w:rsid w:val="6C801375"/>
    <w:rsid w:val="6C822E35"/>
    <w:rsid w:val="6CA714E6"/>
    <w:rsid w:val="6CEF6EBD"/>
    <w:rsid w:val="6CF01C95"/>
    <w:rsid w:val="6CF542B7"/>
    <w:rsid w:val="6D0071CD"/>
    <w:rsid w:val="6D18295E"/>
    <w:rsid w:val="6D1F12FA"/>
    <w:rsid w:val="6D206AE2"/>
    <w:rsid w:val="6D5941BB"/>
    <w:rsid w:val="6D5B0CBD"/>
    <w:rsid w:val="6D8A08D8"/>
    <w:rsid w:val="6D961017"/>
    <w:rsid w:val="6DCE3EDB"/>
    <w:rsid w:val="6DD23F1E"/>
    <w:rsid w:val="6DDB4275"/>
    <w:rsid w:val="6DEE2081"/>
    <w:rsid w:val="6E0135EB"/>
    <w:rsid w:val="6E210E7D"/>
    <w:rsid w:val="6E336938"/>
    <w:rsid w:val="6E360304"/>
    <w:rsid w:val="6E565A56"/>
    <w:rsid w:val="6E5D68D3"/>
    <w:rsid w:val="6E682450"/>
    <w:rsid w:val="6E7251F0"/>
    <w:rsid w:val="6E757524"/>
    <w:rsid w:val="6E7934F3"/>
    <w:rsid w:val="6E9C5623"/>
    <w:rsid w:val="6E9E05A5"/>
    <w:rsid w:val="6EAD6286"/>
    <w:rsid w:val="6EB24C59"/>
    <w:rsid w:val="6EBD3CCD"/>
    <w:rsid w:val="6ECD60E1"/>
    <w:rsid w:val="6EDB6C60"/>
    <w:rsid w:val="6F2428C0"/>
    <w:rsid w:val="6F433285"/>
    <w:rsid w:val="6F591B5D"/>
    <w:rsid w:val="6F7E65DB"/>
    <w:rsid w:val="6F7F6D3A"/>
    <w:rsid w:val="6F981073"/>
    <w:rsid w:val="6FA172A4"/>
    <w:rsid w:val="6FFF65EB"/>
    <w:rsid w:val="702D3A00"/>
    <w:rsid w:val="70341230"/>
    <w:rsid w:val="70342FAD"/>
    <w:rsid w:val="705A14E5"/>
    <w:rsid w:val="705A4D1B"/>
    <w:rsid w:val="705F37D3"/>
    <w:rsid w:val="708B108A"/>
    <w:rsid w:val="709143C4"/>
    <w:rsid w:val="70930271"/>
    <w:rsid w:val="70DB5146"/>
    <w:rsid w:val="70E51B6F"/>
    <w:rsid w:val="70FA4092"/>
    <w:rsid w:val="70FC3C7A"/>
    <w:rsid w:val="71075B1A"/>
    <w:rsid w:val="710E7F44"/>
    <w:rsid w:val="71193089"/>
    <w:rsid w:val="71211292"/>
    <w:rsid w:val="71243B68"/>
    <w:rsid w:val="712776C4"/>
    <w:rsid w:val="714344B4"/>
    <w:rsid w:val="7181738B"/>
    <w:rsid w:val="71820038"/>
    <w:rsid w:val="718B1478"/>
    <w:rsid w:val="71990145"/>
    <w:rsid w:val="719E164B"/>
    <w:rsid w:val="71C90ED8"/>
    <w:rsid w:val="71D72430"/>
    <w:rsid w:val="71E12038"/>
    <w:rsid w:val="720A6753"/>
    <w:rsid w:val="720F4AFB"/>
    <w:rsid w:val="72112B83"/>
    <w:rsid w:val="72143F3C"/>
    <w:rsid w:val="721F61D9"/>
    <w:rsid w:val="723D42BE"/>
    <w:rsid w:val="72412901"/>
    <w:rsid w:val="72887B37"/>
    <w:rsid w:val="72910320"/>
    <w:rsid w:val="72A53302"/>
    <w:rsid w:val="72B3410C"/>
    <w:rsid w:val="72BD6DA9"/>
    <w:rsid w:val="72CB01B8"/>
    <w:rsid w:val="72D95B00"/>
    <w:rsid w:val="72F66709"/>
    <w:rsid w:val="730554B3"/>
    <w:rsid w:val="73092FAA"/>
    <w:rsid w:val="732C3102"/>
    <w:rsid w:val="73413694"/>
    <w:rsid w:val="734608F5"/>
    <w:rsid w:val="736D4BAC"/>
    <w:rsid w:val="736F1AFC"/>
    <w:rsid w:val="739B5B15"/>
    <w:rsid w:val="73CA3FB8"/>
    <w:rsid w:val="73E63732"/>
    <w:rsid w:val="73EC345F"/>
    <w:rsid w:val="73FD1118"/>
    <w:rsid w:val="74090510"/>
    <w:rsid w:val="740E2D2D"/>
    <w:rsid w:val="7410282D"/>
    <w:rsid w:val="741752A2"/>
    <w:rsid w:val="74223A5C"/>
    <w:rsid w:val="746B6757"/>
    <w:rsid w:val="747B5C9D"/>
    <w:rsid w:val="747F1177"/>
    <w:rsid w:val="748028C0"/>
    <w:rsid w:val="74A471EE"/>
    <w:rsid w:val="74C768EE"/>
    <w:rsid w:val="74E97F38"/>
    <w:rsid w:val="74F13E40"/>
    <w:rsid w:val="750B1697"/>
    <w:rsid w:val="752A3F7B"/>
    <w:rsid w:val="7533655A"/>
    <w:rsid w:val="75444F15"/>
    <w:rsid w:val="75485488"/>
    <w:rsid w:val="75733C39"/>
    <w:rsid w:val="758516A2"/>
    <w:rsid w:val="759A2104"/>
    <w:rsid w:val="75B35E00"/>
    <w:rsid w:val="75CD1343"/>
    <w:rsid w:val="75EB2F64"/>
    <w:rsid w:val="761D1573"/>
    <w:rsid w:val="765B6CE9"/>
    <w:rsid w:val="765D3DA8"/>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A618BC"/>
    <w:rsid w:val="77B92312"/>
    <w:rsid w:val="7827423F"/>
    <w:rsid w:val="78386307"/>
    <w:rsid w:val="78493B6B"/>
    <w:rsid w:val="7850391E"/>
    <w:rsid w:val="78597E32"/>
    <w:rsid w:val="78703EBE"/>
    <w:rsid w:val="78805A36"/>
    <w:rsid w:val="78830880"/>
    <w:rsid w:val="78A51D8F"/>
    <w:rsid w:val="78AE0946"/>
    <w:rsid w:val="78D1727E"/>
    <w:rsid w:val="78D17516"/>
    <w:rsid w:val="78D96E40"/>
    <w:rsid w:val="7911644D"/>
    <w:rsid w:val="79331EC1"/>
    <w:rsid w:val="79404911"/>
    <w:rsid w:val="794D0D3C"/>
    <w:rsid w:val="7986601A"/>
    <w:rsid w:val="7993616D"/>
    <w:rsid w:val="799D69BF"/>
    <w:rsid w:val="79AE14B2"/>
    <w:rsid w:val="79B1687C"/>
    <w:rsid w:val="79B22738"/>
    <w:rsid w:val="79CE4B72"/>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322761"/>
    <w:rsid w:val="7B3C2640"/>
    <w:rsid w:val="7B4443D1"/>
    <w:rsid w:val="7BB151FD"/>
    <w:rsid w:val="7BB43296"/>
    <w:rsid w:val="7BDE6C84"/>
    <w:rsid w:val="7BE07A81"/>
    <w:rsid w:val="7BE81B8B"/>
    <w:rsid w:val="7BE97D38"/>
    <w:rsid w:val="7C272B3E"/>
    <w:rsid w:val="7C471D4F"/>
    <w:rsid w:val="7C5A71C2"/>
    <w:rsid w:val="7C7A6596"/>
    <w:rsid w:val="7CA76A22"/>
    <w:rsid w:val="7CCC4E54"/>
    <w:rsid w:val="7CEB2ACD"/>
    <w:rsid w:val="7CEF6F65"/>
    <w:rsid w:val="7CF41D8D"/>
    <w:rsid w:val="7D2745EF"/>
    <w:rsid w:val="7D2D2CA0"/>
    <w:rsid w:val="7D5C29E8"/>
    <w:rsid w:val="7D7A7BC6"/>
    <w:rsid w:val="7DBB08B6"/>
    <w:rsid w:val="7DBC7173"/>
    <w:rsid w:val="7DD90B59"/>
    <w:rsid w:val="7DEF15A6"/>
    <w:rsid w:val="7DFC511B"/>
    <w:rsid w:val="7E221AFC"/>
    <w:rsid w:val="7E2A514E"/>
    <w:rsid w:val="7E2C4E20"/>
    <w:rsid w:val="7E2D20BE"/>
    <w:rsid w:val="7E5733E1"/>
    <w:rsid w:val="7E660C33"/>
    <w:rsid w:val="7E6637F7"/>
    <w:rsid w:val="7E707801"/>
    <w:rsid w:val="7E733B66"/>
    <w:rsid w:val="7E8A121F"/>
    <w:rsid w:val="7EC12AAE"/>
    <w:rsid w:val="7EC52141"/>
    <w:rsid w:val="7EC73D34"/>
    <w:rsid w:val="7ED12FEE"/>
    <w:rsid w:val="7F1648D6"/>
    <w:rsid w:val="7F21639D"/>
    <w:rsid w:val="7F23784E"/>
    <w:rsid w:val="7F442E56"/>
    <w:rsid w:val="7F457080"/>
    <w:rsid w:val="7F486BDC"/>
    <w:rsid w:val="7F4C71A0"/>
    <w:rsid w:val="7F5124CE"/>
    <w:rsid w:val="7F5653E5"/>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8</TotalTime>
  <ScaleCrop>false</ScaleCrop>
  <LinksUpToDate>false</LinksUpToDate>
  <CharactersWithSpaces>26786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2020-10-09T07:50:27Z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2052-11.1.0.9999</vt:lpwstr>
  </property>
</Properties>
</file>