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r>
        <w:rPr>
          <w:rFonts w:ascii="宋体" w:hAnsi="宋体"/>
          <w:sz w:val="72"/>
          <w:szCs w:val="72"/>
        </w:rPr>
        <w:drawing>
          <wp:anchor distT="0" distB="0" distL="114300" distR="114300" simplePos="0" relativeHeight="251657216" behindDoc="1" locked="0" layoutInCell="1" allowOverlap="1">
            <wp:simplePos x="0" y="0"/>
            <wp:positionH relativeFrom="column">
              <wp:posOffset>-918845</wp:posOffset>
            </wp:positionH>
            <wp:positionV relativeFrom="paragraph">
              <wp:posOffset>-914400</wp:posOffset>
            </wp:positionV>
            <wp:extent cx="7842250" cy="11095990"/>
            <wp:effectExtent l="0" t="0" r="6350" b="10160"/>
            <wp:wrapNone/>
            <wp:docPr id="48"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封面.jpg"/>
                    <pic:cNvPicPr>
                      <a:picLocks noChangeAspect="1" noChangeArrowheads="1"/>
                    </pic:cNvPicPr>
                  </pic:nvPicPr>
                  <pic:blipFill>
                    <a:blip r:embed="rId7"/>
                    <a:srcRect/>
                    <a:stretch>
                      <a:fillRect/>
                    </a:stretch>
                  </pic:blipFill>
                  <pic:spPr>
                    <a:xfrm>
                      <a:off x="0" y="0"/>
                      <a:ext cx="7842250" cy="11095990"/>
                    </a:xfrm>
                    <a:prstGeom prst="rect">
                      <a:avLst/>
                    </a:prstGeom>
                    <a:noFill/>
                    <a:ln w="9525">
                      <a:noFill/>
                      <a:miter lim="800000"/>
                      <a:headEnd/>
                      <a:tailEnd/>
                    </a:ln>
                  </pic:spPr>
                </pic:pic>
              </a:graphicData>
            </a:graphic>
          </wp:anchor>
        </w:drawing>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2343150</wp:posOffset>
                </wp:positionH>
                <wp:positionV relativeFrom="paragraph">
                  <wp:posOffset>95250</wp:posOffset>
                </wp:positionV>
                <wp:extent cx="1607820" cy="754380"/>
                <wp:effectExtent l="0" t="0" r="0" b="0"/>
                <wp:wrapNone/>
                <wp:docPr id="2" name="文本框 60"/>
                <wp:cNvGraphicFramePr/>
                <a:graphic xmlns:a="http://schemas.openxmlformats.org/drawingml/2006/main">
                  <a:graphicData uri="http://schemas.microsoft.com/office/word/2010/wordprocessingShape">
                    <wps:wsp>
                      <wps:cNvSpPr txBox="1"/>
                      <wps:spPr>
                        <a:xfrm>
                          <a:off x="0" y="0"/>
                          <a:ext cx="1607820" cy="754380"/>
                        </a:xfrm>
                        <a:prstGeom prst="rect">
                          <a:avLst/>
                        </a:prstGeom>
                        <a:noFill/>
                        <a:ln>
                          <a:noFill/>
                        </a:ln>
                      </wps:spPr>
                      <wps:txbx>
                        <w:txbxContent>
                          <w:p>
                            <w:pPr>
                              <w:pStyle w:val="2"/>
                              <w:jc w:val="center"/>
                              <w:rPr>
                                <w:b/>
                                <w:kern w:val="2"/>
                              </w:rPr>
                            </w:pPr>
                            <w:r>
                              <w:rPr>
                                <w:rFonts w:hint="eastAsia"/>
                                <w:b/>
                                <w:kern w:val="2"/>
                              </w:rPr>
                              <w:t>油  品  周  报</w:t>
                            </w:r>
                          </w:p>
                          <w:p/>
                          <w:p/>
                        </w:txbxContent>
                      </wps:txbx>
                      <wps:bodyPr upright="1"/>
                    </wps:wsp>
                  </a:graphicData>
                </a:graphic>
              </wp:anchor>
            </w:drawing>
          </mc:Choice>
          <mc:Fallback>
            <w:pict>
              <v:shape id="文本框 60" o:spid="_x0000_s1026" o:spt="202" type="#_x0000_t202" style="position:absolute;left:0pt;margin-left:184.5pt;margin-top:7.5pt;height:59.4pt;width:126.6pt;z-index:251658240;mso-width-relative:page;mso-height-relative:page;" filled="f" stroked="f" coordsize="21600,21600" o:gfxdata="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AsWiVLYAAAACgEAAA8AAAAAAAAAAQAgAAAAIgAAAGRycy9kb3du&#10;cmV2LnhtbFBLAQIUABQAAAAIAIdO4kBn+7IxjQEAAAEDAAAOAAAAAAAAAAEAIAAAACcBAABkcnMv&#10;ZTJvRG9jLnhtbFBLBQYAAAAABgAGAFkBAAAmBQAAAAA=&#10;">
                <v:fill on="f" focussize="0,0"/>
                <v:stroke on="f"/>
                <v:imagedata o:title=""/>
                <o:lock v:ext="edit" aspectratio="f"/>
                <v:textbox>
                  <w:txbxContent>
                    <w:p>
                      <w:pPr>
                        <w:pStyle w:val="2"/>
                        <w:jc w:val="center"/>
                        <w:rPr>
                          <w:b/>
                          <w:kern w:val="2"/>
                        </w:rPr>
                      </w:pPr>
                      <w:r>
                        <w:rPr>
                          <w:rFonts w:hint="eastAsia"/>
                          <w:b/>
                          <w:kern w:val="2"/>
                        </w:rPr>
                        <w:t>油  品  周  报</w:t>
                      </w:r>
                    </w:p>
                    <w:p/>
                    <w:p/>
                  </w:txbxContent>
                </v:textbox>
              </v:shape>
            </w:pict>
          </mc:Fallback>
        </mc:AlternateContent>
      </w:r>
    </w:p>
    <w:p>
      <w:pPr>
        <w:rPr>
          <w:rFonts w:ascii="宋体" w:hAnsi="宋体"/>
        </w:rPr>
      </w:pPr>
    </w:p>
    <w:p>
      <w:pPr>
        <w:rPr>
          <w:rFonts w:ascii="宋体" w:hAnsi="宋体"/>
        </w:rPr>
      </w:pPr>
    </w:p>
    <w:p>
      <w:pPr>
        <w:rPr>
          <w:rFonts w:ascii="宋体" w:hAnsi="宋体"/>
        </w:rPr>
      </w:pPr>
    </w:p>
    <w:p>
      <w:pPr>
        <w:jc w:val="center"/>
        <w:rPr>
          <w:rFonts w:hint="default" w:ascii="宋体" w:hAnsi="宋体" w:eastAsia="宋体"/>
          <w:lang w:val="en-US" w:eastAsia="zh-CN"/>
        </w:rPr>
      </w:pPr>
      <w:r>
        <w:rPr>
          <w:rFonts w:hint="eastAsia" w:ascii="宋体" w:hAnsi="宋体"/>
          <w:b/>
          <w:sz w:val="30"/>
          <w:szCs w:val="30"/>
        </w:rPr>
        <w:t>20</w:t>
      </w:r>
      <w:r>
        <w:rPr>
          <w:rFonts w:hint="eastAsia" w:ascii="宋体" w:hAnsi="宋体"/>
          <w:b/>
          <w:sz w:val="30"/>
          <w:szCs w:val="30"/>
          <w:lang w:val="en-US" w:eastAsia="zh-CN"/>
        </w:rPr>
        <w:t>20</w:t>
      </w:r>
      <w:r>
        <w:rPr>
          <w:rFonts w:hint="eastAsia" w:ascii="宋体" w:hAnsi="宋体"/>
          <w:b/>
          <w:sz w:val="30"/>
          <w:szCs w:val="30"/>
        </w:rPr>
        <w:t>.</w:t>
      </w:r>
      <w:r>
        <w:rPr>
          <w:rFonts w:hint="eastAsia" w:ascii="宋体" w:hAnsi="宋体"/>
          <w:b/>
          <w:sz w:val="30"/>
          <w:szCs w:val="30"/>
          <w:lang w:val="en-US" w:eastAsia="zh-CN"/>
        </w:rPr>
        <w:t>8.6</w:t>
      </w: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99060</wp:posOffset>
                </wp:positionV>
                <wp:extent cx="5322570" cy="1127760"/>
                <wp:effectExtent l="0" t="0" r="0" b="0"/>
                <wp:wrapNone/>
                <wp:docPr id="3" name="文本框 51"/>
                <wp:cNvGraphicFramePr/>
                <a:graphic xmlns:a="http://schemas.openxmlformats.org/drawingml/2006/main">
                  <a:graphicData uri="http://schemas.microsoft.com/office/word/2010/wordprocessingShape">
                    <wps:wsp>
                      <wps:cNvSpPr txBox="1"/>
                      <wps:spPr>
                        <a:xfrm>
                          <a:off x="0" y="0"/>
                          <a:ext cx="5322570" cy="1127760"/>
                        </a:xfrm>
                        <a:prstGeom prst="rect">
                          <a:avLst/>
                        </a:prstGeom>
                        <a:noFill/>
                        <a:ln>
                          <a:noFill/>
                        </a:ln>
                      </wps:spPr>
                      <wps:txb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wps:txbx>
                      <wps:bodyPr upright="1"/>
                    </wps:wsp>
                  </a:graphicData>
                </a:graphic>
              </wp:anchor>
            </w:drawing>
          </mc:Choice>
          <mc:Fallback>
            <w:pict>
              <v:shape id="文本框 51" o:spid="_x0000_s1026" o:spt="202" type="#_x0000_t202" style="position:absolute;left:0pt;margin-left:-9pt;margin-top:7.8pt;height:88.8pt;width:419.1pt;z-index:251658240;mso-width-relative:page;mso-height-relative:page;" filled="f" stroked="f" coordsize="21600,21600" o:gfxdata="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CbeaHXAAAACgEAAA8AAAAAAAAAAQAgAAAAIgAAAGRy&#10;cy9kb3ducmV2LnhtbFBLAQIUABQAAAAIAIdO4kCaYPF/lAEAAAIDAAAOAAAAAAAAAAEAIAAAACYB&#10;AABkcnMvZTJvRG9jLnhtbFBLBQYAAAAABgAGAFkBAAAsBQAAAAA=&#10;">
                <v:fill on="f" focussize="0,0"/>
                <v:stroke on="f"/>
                <v:imagedata o:title=""/>
                <o:lock v:ext="edit" aspectratio="f"/>
                <v:textbo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v:textbox>
              </v:shape>
            </w:pict>
          </mc:Fallback>
        </mc:AlternateConten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b/>
          <w:sz w:val="32"/>
          <w:szCs w:val="32"/>
        </w:rPr>
      </w:pPr>
      <w:r>
        <w:rPr>
          <w:rFonts w:hint="eastAsia" w:ascii="宋体" w:hAnsi="宋体"/>
          <w:b/>
          <w:sz w:val="32"/>
          <w:szCs w:val="32"/>
        </w:rPr>
        <w:t>目 录</w:t>
      </w:r>
    </w:p>
    <w:p>
      <w:pPr>
        <w:pStyle w:val="16"/>
        <w:rPr>
          <w:rFonts w:ascii="Times New Roman" w:hAnsi="Times New Roman"/>
          <w:b w:val="0"/>
          <w:bCs w:val="0"/>
          <w:caps w:val="0"/>
          <w:color w:val="auto"/>
          <w:sz w:val="24"/>
          <w:szCs w:val="24"/>
        </w:rPr>
      </w:pPr>
      <w:r>
        <w:rPr>
          <w:b w:val="0"/>
          <w:color w:val="auto"/>
          <w:sz w:val="24"/>
          <w:szCs w:val="24"/>
        </w:rPr>
        <w:fldChar w:fldCharType="begin"/>
      </w:r>
      <w:r>
        <w:rPr>
          <w:b w:val="0"/>
          <w:color w:val="auto"/>
          <w:sz w:val="24"/>
          <w:szCs w:val="24"/>
        </w:rPr>
        <w:instrText xml:space="preserve"> TOC \o "1-3" \h \z </w:instrText>
      </w:r>
      <w:r>
        <w:rPr>
          <w:b w:val="0"/>
          <w:color w:val="auto"/>
          <w:sz w:val="24"/>
          <w:szCs w:val="24"/>
        </w:rPr>
        <w:fldChar w:fldCharType="separate"/>
      </w:r>
      <w:r>
        <w:fldChar w:fldCharType="begin"/>
      </w:r>
      <w:r>
        <w:instrText xml:space="preserve"> HYPERLINK \l "_Toc533771861" </w:instrText>
      </w:r>
      <w:r>
        <w:fldChar w:fldCharType="separate"/>
      </w:r>
      <w:r>
        <w:rPr>
          <w:rStyle w:val="31"/>
          <w:rFonts w:hint="eastAsia"/>
          <w:color w:val="auto"/>
          <w:sz w:val="24"/>
          <w:szCs w:val="24"/>
        </w:rPr>
        <w:t>一、国际原油市场回顾</w:t>
      </w:r>
      <w:r>
        <w:rPr>
          <w:color w:val="auto"/>
          <w:sz w:val="24"/>
          <w:szCs w:val="24"/>
        </w:rPr>
        <w:tab/>
      </w:r>
      <w:r>
        <w:rPr>
          <w:color w:val="auto"/>
          <w:sz w:val="24"/>
          <w:szCs w:val="24"/>
        </w:rPr>
        <w:fldChar w:fldCharType="begin"/>
      </w:r>
      <w:r>
        <w:rPr>
          <w:color w:val="auto"/>
          <w:sz w:val="24"/>
          <w:szCs w:val="24"/>
        </w:rPr>
        <w:instrText xml:space="preserve"> PAGEREF _Toc533771861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"_Toc533771862" </w:instrText>
      </w:r>
      <w:r>
        <w:fldChar w:fldCharType="separate"/>
      </w:r>
      <w:r>
        <w:rPr>
          <w:rStyle w:val="31"/>
          <w:rFonts w:ascii="宋体" w:hAnsi="宋体"/>
          <w:b/>
          <w:color w:val="auto"/>
          <w:sz w:val="24"/>
          <w:szCs w:val="24"/>
        </w:rPr>
        <w:t>1.1</w:t>
      </w:r>
      <w:r>
        <w:rPr>
          <w:rStyle w:val="31"/>
          <w:rFonts w:hint="eastAsia" w:ascii="宋体" w:hAnsi="宋体"/>
          <w:b/>
          <w:color w:val="auto"/>
          <w:sz w:val="24"/>
          <w:szCs w:val="24"/>
        </w:rPr>
        <w:t>国际原油收盘价涨跌情况（单位：美元</w:t>
      </w:r>
      <w:r>
        <w:rPr>
          <w:rStyle w:val="31"/>
          <w:rFonts w:ascii="宋体" w:hAnsi="宋体"/>
          <w:b/>
          <w:color w:val="auto"/>
          <w:sz w:val="24"/>
          <w:szCs w:val="24"/>
        </w:rPr>
        <w:t>/</w:t>
      </w:r>
      <w:r>
        <w:rPr>
          <w:rStyle w:val="31"/>
          <w:rFonts w:hint="eastAsia" w:ascii="宋体" w:hAnsi="宋体"/>
          <w:b/>
          <w:color w:val="auto"/>
          <w:sz w:val="24"/>
          <w:szCs w:val="24"/>
        </w:rPr>
        <w:t>桶）</w:t>
      </w:r>
      <w:r>
        <w:rPr>
          <w:color w:val="auto"/>
          <w:sz w:val="24"/>
          <w:szCs w:val="24"/>
        </w:rPr>
        <w:tab/>
      </w:r>
      <w:r>
        <w:rPr>
          <w:color w:val="auto"/>
          <w:sz w:val="24"/>
          <w:szCs w:val="24"/>
        </w:rPr>
        <w:fldChar w:fldCharType="begin"/>
      </w:r>
      <w:r>
        <w:rPr>
          <w:color w:val="auto"/>
          <w:sz w:val="24"/>
          <w:szCs w:val="24"/>
        </w:rPr>
        <w:instrText xml:space="preserve"> PAGEREF _Toc533771862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"_Toc533771863" </w:instrText>
      </w:r>
      <w:r>
        <w:fldChar w:fldCharType="separate"/>
      </w:r>
      <w:r>
        <w:rPr>
          <w:rStyle w:val="31"/>
          <w:rFonts w:ascii="宋体" w:hAnsi="宋体"/>
          <w:b/>
          <w:color w:val="auto"/>
          <w:sz w:val="24"/>
          <w:szCs w:val="24"/>
        </w:rPr>
        <w:t>1.2 20</w:t>
      </w:r>
      <w:r>
        <w:rPr>
          <w:rStyle w:val="31"/>
          <w:rFonts w:hint="eastAsia" w:ascii="宋体" w:hAnsi="宋体"/>
          <w:b/>
          <w:color w:val="auto"/>
          <w:sz w:val="24"/>
          <w:szCs w:val="24"/>
          <w:lang w:val="en-US" w:eastAsia="zh-CN"/>
        </w:rPr>
        <w:t>20</w:t>
      </w:r>
      <w:r>
        <w:rPr>
          <w:rStyle w:val="31"/>
          <w:rFonts w:hint="eastAsia" w:ascii="宋体" w:hAnsi="宋体"/>
          <w:b/>
          <w:color w:val="auto"/>
          <w:sz w:val="24"/>
          <w:szCs w:val="24"/>
        </w:rPr>
        <w:t>年国际原油价格走势图</w:t>
      </w:r>
      <w:r>
        <w:rPr>
          <w:color w:val="auto"/>
          <w:sz w:val="24"/>
          <w:szCs w:val="24"/>
        </w:rPr>
        <w:tab/>
      </w:r>
      <w:r>
        <w:rPr>
          <w:color w:val="auto"/>
          <w:sz w:val="24"/>
          <w:szCs w:val="24"/>
        </w:rPr>
        <w:fldChar w:fldCharType="begin"/>
      </w:r>
      <w:r>
        <w:rPr>
          <w:color w:val="auto"/>
          <w:sz w:val="24"/>
          <w:szCs w:val="24"/>
        </w:rPr>
        <w:instrText xml:space="preserve"> PAGEREF _Toc533771863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"_Toc533771864" </w:instrText>
      </w:r>
      <w:r>
        <w:fldChar w:fldCharType="separate"/>
      </w:r>
      <w:r>
        <w:rPr>
          <w:rStyle w:val="31"/>
          <w:rFonts w:hint="eastAsia"/>
          <w:color w:val="auto"/>
          <w:sz w:val="24"/>
          <w:szCs w:val="24"/>
        </w:rPr>
        <w:t>二、近期影响国际原油市场的主要因素</w:t>
      </w:r>
      <w:r>
        <w:rPr>
          <w:color w:val="auto"/>
          <w:sz w:val="24"/>
          <w:szCs w:val="24"/>
        </w:rPr>
        <w:tab/>
      </w:r>
      <w:r>
        <w:rPr>
          <w:color w:val="auto"/>
          <w:sz w:val="24"/>
          <w:szCs w:val="24"/>
        </w:rPr>
        <w:fldChar w:fldCharType="begin"/>
      </w:r>
      <w:r>
        <w:rPr>
          <w:color w:val="auto"/>
          <w:sz w:val="24"/>
          <w:szCs w:val="24"/>
        </w:rPr>
        <w:instrText xml:space="preserve"> PAGEREF _Toc533771864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"_Toc533771865" </w:instrText>
      </w:r>
      <w:r>
        <w:fldChar w:fldCharType="separate"/>
      </w:r>
      <w:r>
        <w:rPr>
          <w:rStyle w:val="31"/>
          <w:rFonts w:ascii="宋体" w:hAnsi="宋体"/>
          <w:b/>
          <w:color w:val="auto"/>
          <w:sz w:val="24"/>
          <w:szCs w:val="24"/>
        </w:rPr>
        <w:t>2.1</w:t>
      </w:r>
      <w:r>
        <w:rPr>
          <w:rStyle w:val="31"/>
          <w:rFonts w:hint="eastAsia" w:ascii="宋体" w:hAnsi="宋体"/>
          <w:b/>
          <w:color w:val="auto"/>
          <w:sz w:val="24"/>
          <w:szCs w:val="24"/>
        </w:rPr>
        <w:t>影响国际原油市场的主要因素</w:t>
      </w:r>
      <w:r>
        <w:rPr>
          <w:color w:val="auto"/>
          <w:sz w:val="24"/>
          <w:szCs w:val="24"/>
        </w:rPr>
        <w:tab/>
      </w:r>
      <w:r>
        <w:rPr>
          <w:color w:val="auto"/>
          <w:sz w:val="24"/>
          <w:szCs w:val="24"/>
        </w:rPr>
        <w:fldChar w:fldCharType="begin"/>
      </w:r>
      <w:r>
        <w:rPr>
          <w:color w:val="auto"/>
          <w:sz w:val="24"/>
          <w:szCs w:val="24"/>
        </w:rPr>
        <w:instrText xml:space="preserve"> PAGEREF _Toc533771865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"_Toc533771866" </w:instrText>
      </w:r>
      <w:r>
        <w:fldChar w:fldCharType="separate"/>
      </w:r>
      <w:r>
        <w:rPr>
          <w:rStyle w:val="31"/>
          <w:rFonts w:ascii="宋体" w:hAnsi="宋体"/>
          <w:b/>
          <w:color w:val="auto"/>
          <w:sz w:val="24"/>
          <w:szCs w:val="24"/>
        </w:rPr>
        <w:t>2.2</w:t>
      </w:r>
      <w:r>
        <w:rPr>
          <w:rStyle w:val="31"/>
          <w:rFonts w:hint="eastAsia" w:ascii="宋体" w:hAnsi="宋体"/>
          <w:b/>
          <w:color w:val="auto"/>
          <w:sz w:val="24"/>
          <w:szCs w:val="24"/>
        </w:rPr>
        <w:t>国际市场</w:t>
      </w:r>
      <w:r>
        <w:rPr>
          <w:rStyle w:val="31"/>
          <w:rFonts w:ascii="宋体" w:hAnsi="宋体"/>
          <w:b/>
          <w:color w:val="auto"/>
          <w:sz w:val="24"/>
          <w:szCs w:val="24"/>
        </w:rPr>
        <w:t>MTBE</w:t>
      </w:r>
      <w:r>
        <w:rPr>
          <w:rStyle w:val="31"/>
          <w:rFonts w:hint="eastAsia" w:ascii="宋体" w:hAnsi="宋体"/>
          <w:b/>
          <w:color w:val="auto"/>
          <w:sz w:val="24"/>
          <w:szCs w:val="24"/>
        </w:rPr>
        <w:t>价格</w:t>
      </w:r>
      <w:r>
        <w:rPr>
          <w:color w:val="auto"/>
          <w:sz w:val="24"/>
          <w:szCs w:val="24"/>
        </w:rPr>
        <w:tab/>
      </w:r>
      <w:r>
        <w:rPr>
          <w:color w:val="auto"/>
          <w:sz w:val="24"/>
          <w:szCs w:val="24"/>
        </w:rPr>
        <w:fldChar w:fldCharType="begin"/>
      </w:r>
      <w:r>
        <w:rPr>
          <w:color w:val="auto"/>
          <w:sz w:val="24"/>
          <w:szCs w:val="24"/>
        </w:rPr>
        <w:instrText xml:space="preserve"> PAGEREF _Toc533771866 \h </w:instrText>
      </w:r>
      <w:r>
        <w:rPr>
          <w:color w:val="auto"/>
          <w:sz w:val="24"/>
          <w:szCs w:val="24"/>
        </w:rPr>
        <w:fldChar w:fldCharType="separate"/>
      </w:r>
      <w:r>
        <w:rPr>
          <w:color w:val="auto"/>
          <w:sz w:val="24"/>
          <w:szCs w:val="24"/>
        </w:rPr>
        <w:t>14</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"_Toc533771867" </w:instrText>
      </w:r>
      <w:r>
        <w:fldChar w:fldCharType="separate"/>
      </w:r>
      <w:r>
        <w:rPr>
          <w:rStyle w:val="31"/>
          <w:rFonts w:hint="eastAsia"/>
          <w:color w:val="auto"/>
          <w:sz w:val="24"/>
          <w:szCs w:val="24"/>
        </w:rPr>
        <w:t>三、本周国内市场</w:t>
      </w:r>
      <w:r>
        <w:rPr>
          <w:color w:val="auto"/>
          <w:sz w:val="24"/>
          <w:szCs w:val="24"/>
        </w:rPr>
        <w:tab/>
      </w:r>
      <w:r>
        <w:rPr>
          <w:color w:val="auto"/>
          <w:sz w:val="24"/>
          <w:szCs w:val="24"/>
        </w:rPr>
        <w:fldChar w:fldCharType="begin"/>
      </w:r>
      <w:r>
        <w:rPr>
          <w:color w:val="auto"/>
          <w:sz w:val="24"/>
          <w:szCs w:val="24"/>
        </w:rPr>
        <w:instrText xml:space="preserve"> PAGEREF _Toc533771867 \h </w:instrText>
      </w:r>
      <w:r>
        <w:rPr>
          <w:color w:val="auto"/>
          <w:sz w:val="24"/>
          <w:szCs w:val="24"/>
        </w:rPr>
        <w:fldChar w:fldCharType="separate"/>
      </w:r>
      <w:r>
        <w:rPr>
          <w:color w:val="auto"/>
          <w:sz w:val="24"/>
          <w:szCs w:val="24"/>
        </w:rPr>
        <w:t>16</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"_Toc533771868" </w:instrText>
      </w:r>
      <w:r>
        <w:fldChar w:fldCharType="separate"/>
      </w:r>
      <w:r>
        <w:rPr>
          <w:rStyle w:val="31"/>
          <w:rFonts w:ascii="宋体" w:hAnsi="宋体"/>
          <w:b/>
          <w:color w:val="auto"/>
          <w:sz w:val="24"/>
          <w:szCs w:val="24"/>
        </w:rPr>
        <w:t xml:space="preserve">3.1 </w:t>
      </w:r>
      <w:r>
        <w:rPr>
          <w:rStyle w:val="31"/>
          <w:rFonts w:hint="eastAsia" w:ascii="宋体" w:hAnsi="宋体"/>
          <w:b/>
          <w:color w:val="auto"/>
          <w:sz w:val="24"/>
          <w:szCs w:val="24"/>
        </w:rPr>
        <w:t>国内炼厂装置运行情况</w:t>
      </w:r>
      <w:r>
        <w:rPr>
          <w:color w:val="auto"/>
          <w:sz w:val="24"/>
          <w:szCs w:val="24"/>
        </w:rPr>
        <w:tab/>
      </w:r>
      <w:r>
        <w:rPr>
          <w:color w:val="auto"/>
          <w:sz w:val="24"/>
          <w:szCs w:val="24"/>
        </w:rPr>
        <w:fldChar w:fldCharType="begin"/>
      </w:r>
      <w:r>
        <w:rPr>
          <w:color w:val="auto"/>
          <w:sz w:val="24"/>
          <w:szCs w:val="24"/>
        </w:rPr>
        <w:instrText xml:space="preserve"> PAGEREF _Toc533771868 \h </w:instrText>
      </w:r>
      <w:r>
        <w:rPr>
          <w:color w:val="auto"/>
          <w:sz w:val="24"/>
          <w:szCs w:val="24"/>
        </w:rPr>
        <w:fldChar w:fldCharType="separate"/>
      </w:r>
      <w:r>
        <w:rPr>
          <w:color w:val="auto"/>
          <w:sz w:val="24"/>
          <w:szCs w:val="24"/>
        </w:rPr>
        <w:t>16</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"_Toc533771869" </w:instrText>
      </w:r>
      <w:r>
        <w:fldChar w:fldCharType="separate"/>
      </w:r>
      <w:r>
        <w:rPr>
          <w:rStyle w:val="31"/>
          <w:rFonts w:ascii="宋体" w:hAnsi="宋体"/>
          <w:b/>
          <w:color w:val="auto"/>
          <w:sz w:val="24"/>
          <w:szCs w:val="24"/>
        </w:rPr>
        <w:t>3.2</w:t>
      </w:r>
      <w:r>
        <w:rPr>
          <w:rStyle w:val="31"/>
          <w:rFonts w:hint="eastAsia" w:ascii="宋体" w:hAnsi="宋体"/>
          <w:b/>
          <w:color w:val="auto"/>
          <w:sz w:val="24"/>
          <w:szCs w:val="24"/>
        </w:rPr>
        <w:t>本周成品油市场行情</w:t>
      </w:r>
      <w:r>
        <w:rPr>
          <w:color w:val="auto"/>
          <w:sz w:val="24"/>
          <w:szCs w:val="24"/>
        </w:rPr>
        <w:tab/>
      </w:r>
      <w:r>
        <w:rPr>
          <w:color w:val="auto"/>
          <w:sz w:val="24"/>
          <w:szCs w:val="24"/>
        </w:rPr>
        <w:fldChar w:fldCharType="begin"/>
      </w:r>
      <w:r>
        <w:rPr>
          <w:color w:val="auto"/>
          <w:sz w:val="24"/>
          <w:szCs w:val="24"/>
        </w:rPr>
        <w:instrText xml:space="preserve"> PAGEREF _Toc533771869 \h </w:instrText>
      </w:r>
      <w:r>
        <w:rPr>
          <w:color w:val="auto"/>
          <w:sz w:val="24"/>
          <w:szCs w:val="24"/>
        </w:rPr>
        <w:fldChar w:fldCharType="separate"/>
      </w:r>
      <w:r>
        <w:rPr>
          <w:color w:val="auto"/>
          <w:sz w:val="24"/>
          <w:szCs w:val="24"/>
        </w:rPr>
        <w:t>18</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"_Toc533771870" </w:instrText>
      </w:r>
      <w:r>
        <w:fldChar w:fldCharType="separate"/>
      </w:r>
      <w:r>
        <w:rPr>
          <w:rStyle w:val="31"/>
          <w:rFonts w:ascii="宋体" w:hAnsi="宋体"/>
          <w:b/>
          <w:color w:val="auto"/>
          <w:sz w:val="24"/>
          <w:szCs w:val="24"/>
        </w:rPr>
        <w:t xml:space="preserve">3.3 </w:t>
      </w:r>
      <w:r>
        <w:rPr>
          <w:rStyle w:val="31"/>
          <w:rFonts w:hint="eastAsia" w:ascii="宋体" w:hAnsi="宋体"/>
          <w:b/>
          <w:color w:val="auto"/>
          <w:sz w:val="24"/>
          <w:szCs w:val="24"/>
        </w:rPr>
        <w:t>国内汽油价格周报</w:t>
      </w:r>
      <w:r>
        <w:rPr>
          <w:color w:val="auto"/>
          <w:sz w:val="24"/>
          <w:szCs w:val="24"/>
        </w:rPr>
        <w:tab/>
      </w:r>
      <w:r>
        <w:rPr>
          <w:color w:val="auto"/>
          <w:sz w:val="24"/>
          <w:szCs w:val="24"/>
        </w:rPr>
        <w:fldChar w:fldCharType="begin"/>
      </w:r>
      <w:r>
        <w:rPr>
          <w:color w:val="auto"/>
          <w:sz w:val="24"/>
          <w:szCs w:val="24"/>
        </w:rPr>
        <w:instrText xml:space="preserve"> PAGEREF _Toc533771870 \h </w:instrText>
      </w:r>
      <w:r>
        <w:rPr>
          <w:color w:val="auto"/>
          <w:sz w:val="24"/>
          <w:szCs w:val="24"/>
        </w:rPr>
        <w:fldChar w:fldCharType="separate"/>
      </w:r>
      <w:r>
        <w:rPr>
          <w:color w:val="auto"/>
          <w:sz w:val="24"/>
          <w:szCs w:val="24"/>
        </w:rPr>
        <w:t>18</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"_Toc533771871" </w:instrText>
      </w:r>
      <w:r>
        <w:fldChar w:fldCharType="separate"/>
      </w:r>
      <w:r>
        <w:rPr>
          <w:rStyle w:val="31"/>
          <w:rFonts w:ascii="宋体" w:hAnsi="宋体"/>
          <w:b/>
          <w:color w:val="auto"/>
          <w:sz w:val="24"/>
          <w:szCs w:val="24"/>
        </w:rPr>
        <w:t>3.4</w:t>
      </w:r>
      <w:r>
        <w:rPr>
          <w:rStyle w:val="31"/>
          <w:rFonts w:hint="eastAsia" w:ascii="宋体" w:hAnsi="宋体"/>
          <w:b/>
          <w:color w:val="auto"/>
          <w:sz w:val="24"/>
          <w:szCs w:val="24"/>
        </w:rPr>
        <w:t>国内柴油价格周报</w:t>
      </w:r>
      <w:r>
        <w:rPr>
          <w:color w:val="auto"/>
          <w:sz w:val="24"/>
          <w:szCs w:val="24"/>
        </w:rPr>
        <w:tab/>
      </w:r>
      <w:r>
        <w:rPr>
          <w:color w:val="auto"/>
          <w:sz w:val="24"/>
          <w:szCs w:val="24"/>
        </w:rPr>
        <w:fldChar w:fldCharType="begin"/>
      </w:r>
      <w:r>
        <w:rPr>
          <w:color w:val="auto"/>
          <w:sz w:val="24"/>
          <w:szCs w:val="24"/>
        </w:rPr>
        <w:instrText xml:space="preserve"> PAGEREF _Toc533771871 \h </w:instrText>
      </w:r>
      <w:r>
        <w:rPr>
          <w:color w:val="auto"/>
          <w:sz w:val="24"/>
          <w:szCs w:val="24"/>
        </w:rPr>
        <w:fldChar w:fldCharType="separate"/>
      </w:r>
      <w:r>
        <w:rPr>
          <w:color w:val="auto"/>
          <w:sz w:val="24"/>
          <w:szCs w:val="24"/>
        </w:rPr>
        <w:t>25</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"_Toc533771872" </w:instrText>
      </w:r>
      <w:r>
        <w:fldChar w:fldCharType="separate"/>
      </w:r>
      <w:r>
        <w:rPr>
          <w:rStyle w:val="31"/>
          <w:rFonts w:ascii="宋体" w:hAnsi="宋体"/>
          <w:b/>
          <w:color w:val="auto"/>
          <w:sz w:val="24"/>
          <w:szCs w:val="24"/>
        </w:rPr>
        <w:t xml:space="preserve">3.5 </w:t>
      </w:r>
      <w:r>
        <w:rPr>
          <w:rStyle w:val="31"/>
          <w:rFonts w:hint="eastAsia" w:ascii="宋体" w:hAnsi="宋体"/>
          <w:b/>
          <w:color w:val="auto"/>
          <w:sz w:val="24"/>
          <w:szCs w:val="24"/>
        </w:rPr>
        <w:t>山东地炼汽油出厂价格周报</w:t>
      </w:r>
      <w:r>
        <w:rPr>
          <w:color w:val="auto"/>
          <w:sz w:val="24"/>
          <w:szCs w:val="24"/>
        </w:rPr>
        <w:tab/>
      </w:r>
      <w:r>
        <w:rPr>
          <w:color w:val="auto"/>
          <w:sz w:val="24"/>
          <w:szCs w:val="24"/>
        </w:rPr>
        <w:fldChar w:fldCharType="begin"/>
      </w:r>
      <w:r>
        <w:rPr>
          <w:color w:val="auto"/>
          <w:sz w:val="24"/>
          <w:szCs w:val="24"/>
        </w:rPr>
        <w:instrText xml:space="preserve"> PAGEREF _Toc533771872 \h </w:instrText>
      </w:r>
      <w:r>
        <w:rPr>
          <w:color w:val="auto"/>
          <w:sz w:val="24"/>
          <w:szCs w:val="24"/>
        </w:rPr>
        <w:fldChar w:fldCharType="separate"/>
      </w:r>
      <w:r>
        <w:rPr>
          <w:color w:val="auto"/>
          <w:sz w:val="24"/>
          <w:szCs w:val="24"/>
        </w:rPr>
        <w:t>25</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"_Toc533771873" </w:instrText>
      </w:r>
      <w:r>
        <w:fldChar w:fldCharType="separate"/>
      </w:r>
      <w:r>
        <w:rPr>
          <w:rStyle w:val="31"/>
          <w:rFonts w:ascii="宋体" w:hAnsi="宋体"/>
          <w:b/>
          <w:color w:val="auto"/>
          <w:sz w:val="24"/>
          <w:szCs w:val="24"/>
        </w:rPr>
        <w:t xml:space="preserve">3.6 </w:t>
      </w:r>
      <w:r>
        <w:rPr>
          <w:rStyle w:val="31"/>
          <w:rFonts w:hint="eastAsia" w:ascii="宋体" w:hAnsi="宋体"/>
          <w:b/>
          <w:color w:val="auto"/>
          <w:sz w:val="24"/>
          <w:szCs w:val="24"/>
        </w:rPr>
        <w:t>山东地炼柴油出厂价格周报</w:t>
      </w:r>
      <w:r>
        <w:rPr>
          <w:color w:val="auto"/>
          <w:sz w:val="24"/>
          <w:szCs w:val="24"/>
        </w:rPr>
        <w:tab/>
      </w:r>
      <w:r>
        <w:rPr>
          <w:color w:val="auto"/>
          <w:sz w:val="24"/>
          <w:szCs w:val="24"/>
        </w:rPr>
        <w:fldChar w:fldCharType="begin"/>
      </w:r>
      <w:r>
        <w:rPr>
          <w:color w:val="auto"/>
          <w:sz w:val="24"/>
          <w:szCs w:val="24"/>
        </w:rPr>
        <w:instrText xml:space="preserve"> PAGEREF _Toc533771873 \h </w:instrText>
      </w:r>
      <w:r>
        <w:rPr>
          <w:color w:val="auto"/>
          <w:sz w:val="24"/>
          <w:szCs w:val="24"/>
        </w:rPr>
        <w:fldChar w:fldCharType="separate"/>
      </w:r>
      <w:r>
        <w:rPr>
          <w:color w:val="auto"/>
          <w:sz w:val="24"/>
          <w:szCs w:val="24"/>
        </w:rPr>
        <w:t>28</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"_Toc533771874" </w:instrText>
      </w:r>
      <w:r>
        <w:fldChar w:fldCharType="separate"/>
      </w:r>
      <w:r>
        <w:rPr>
          <w:rStyle w:val="31"/>
          <w:rFonts w:hint="eastAsia"/>
          <w:color w:val="auto"/>
          <w:sz w:val="24"/>
          <w:szCs w:val="24"/>
        </w:rPr>
        <w:t>四、</w:t>
      </w:r>
      <w:r>
        <w:rPr>
          <w:rStyle w:val="31"/>
          <w:rFonts w:hint="eastAsia"/>
          <w:color w:val="auto"/>
          <w:sz w:val="24"/>
          <w:szCs w:val="24"/>
          <w:lang w:eastAsia="zh-CN"/>
        </w:rPr>
        <w:t>成品油</w:t>
      </w:r>
      <w:r>
        <w:rPr>
          <w:rStyle w:val="31"/>
          <w:rFonts w:hint="eastAsia"/>
          <w:color w:val="auto"/>
          <w:sz w:val="24"/>
          <w:szCs w:val="24"/>
        </w:rPr>
        <w:t>进出口统计数据</w:t>
      </w:r>
      <w:r>
        <w:rPr>
          <w:color w:val="auto"/>
          <w:sz w:val="24"/>
          <w:szCs w:val="24"/>
        </w:rPr>
        <w:tab/>
      </w:r>
      <w:r>
        <w:rPr>
          <w:color w:val="auto"/>
          <w:sz w:val="24"/>
          <w:szCs w:val="24"/>
        </w:rPr>
        <w:fldChar w:fldCharType="begin"/>
      </w:r>
      <w:r>
        <w:rPr>
          <w:color w:val="auto"/>
          <w:sz w:val="24"/>
          <w:szCs w:val="24"/>
        </w:rPr>
        <w:instrText xml:space="preserve"> PAGEREF _Toc533771874 \h </w:instrText>
      </w:r>
      <w:r>
        <w:rPr>
          <w:color w:val="auto"/>
          <w:sz w:val="24"/>
          <w:szCs w:val="24"/>
        </w:rPr>
        <w:fldChar w:fldCharType="separate"/>
      </w:r>
      <w:r>
        <w:rPr>
          <w:color w:val="auto"/>
          <w:sz w:val="24"/>
          <w:szCs w:val="24"/>
        </w:rPr>
        <w:t>30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"_Toc533771875" </w:instrText>
      </w:r>
      <w:r>
        <w:fldChar w:fldCharType="separate"/>
      </w:r>
      <w:r>
        <w:rPr>
          <w:rStyle w:val="31"/>
          <w:rFonts w:ascii="宋体" w:hAnsi="宋体"/>
          <w:b/>
          <w:color w:val="auto"/>
          <w:sz w:val="24"/>
          <w:szCs w:val="24"/>
        </w:rPr>
        <w:t>4.1 20</w:t>
      </w:r>
      <w:r>
        <w:rPr>
          <w:rStyle w:val="31"/>
          <w:rFonts w:hint="eastAsia" w:ascii="宋体" w:hAnsi="宋体"/>
          <w:b/>
          <w:color w:val="auto"/>
          <w:sz w:val="24"/>
          <w:szCs w:val="24"/>
          <w:lang w:val="en-US" w:eastAsia="zh-CN"/>
        </w:rPr>
        <w:t>20</w:t>
      </w:r>
      <w:r>
        <w:rPr>
          <w:rStyle w:val="31"/>
          <w:rFonts w:hint="eastAsia" w:ascii="宋体" w:hAnsi="宋体"/>
          <w:b/>
          <w:color w:val="auto"/>
          <w:sz w:val="24"/>
          <w:szCs w:val="24"/>
        </w:rPr>
        <w:t>年</w:t>
      </w:r>
      <w:r>
        <w:rPr>
          <w:rStyle w:val="31"/>
          <w:rFonts w:hint="eastAsia" w:ascii="宋体" w:hAnsi="宋体"/>
          <w:b/>
          <w:color w:val="auto"/>
          <w:sz w:val="24"/>
          <w:szCs w:val="24"/>
          <w:lang w:val="en-US" w:eastAsia="zh-CN"/>
        </w:rPr>
        <w:t>6</w:t>
      </w:r>
      <w:r>
        <w:rPr>
          <w:rStyle w:val="31"/>
          <w:rFonts w:hint="eastAsia" w:ascii="宋体" w:hAnsi="宋体"/>
          <w:b/>
          <w:color w:val="auto"/>
          <w:sz w:val="24"/>
          <w:szCs w:val="24"/>
        </w:rPr>
        <w:t>份全国车用汽油和航空汽油进出口统计数据</w:t>
      </w:r>
      <w:r>
        <w:rPr>
          <w:color w:val="auto"/>
          <w:sz w:val="24"/>
          <w:szCs w:val="24"/>
        </w:rPr>
        <w:tab/>
      </w:r>
      <w:r>
        <w:rPr>
          <w:color w:val="auto"/>
          <w:sz w:val="24"/>
          <w:szCs w:val="24"/>
        </w:rPr>
        <w:fldChar w:fldCharType="begin"/>
      </w:r>
      <w:r>
        <w:rPr>
          <w:color w:val="auto"/>
          <w:sz w:val="24"/>
          <w:szCs w:val="24"/>
        </w:rPr>
        <w:instrText xml:space="preserve"> PAGEREF _Toc533771875 \h </w:instrText>
      </w:r>
      <w:r>
        <w:rPr>
          <w:color w:val="auto"/>
          <w:sz w:val="24"/>
          <w:szCs w:val="24"/>
        </w:rPr>
        <w:fldChar w:fldCharType="separate"/>
      </w:r>
      <w:r>
        <w:rPr>
          <w:color w:val="auto"/>
          <w:sz w:val="24"/>
          <w:szCs w:val="24"/>
        </w:rPr>
        <w:t>32</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"_Toc533771876" </w:instrText>
      </w:r>
      <w:r>
        <w:fldChar w:fldCharType="separate"/>
      </w:r>
      <w:r>
        <w:rPr>
          <w:rStyle w:val="31"/>
          <w:rFonts w:ascii="宋体" w:hAnsi="宋体"/>
          <w:b/>
          <w:color w:val="auto"/>
          <w:sz w:val="24"/>
          <w:szCs w:val="24"/>
        </w:rPr>
        <w:t>4.2 201</w:t>
      </w:r>
      <w:r>
        <w:rPr>
          <w:rStyle w:val="31"/>
          <w:rFonts w:hint="eastAsia" w:ascii="宋体" w:hAnsi="宋体"/>
          <w:b/>
          <w:color w:val="auto"/>
          <w:sz w:val="24"/>
          <w:szCs w:val="24"/>
          <w:lang w:val="en-US" w:eastAsia="zh-CN"/>
        </w:rPr>
        <w:t>8</w:t>
      </w:r>
      <w:r>
        <w:rPr>
          <w:rStyle w:val="31"/>
          <w:rFonts w:hint="eastAsia" w:ascii="宋体" w:hAnsi="宋体"/>
          <w:b/>
          <w:color w:val="auto"/>
          <w:sz w:val="24"/>
          <w:szCs w:val="24"/>
        </w:rPr>
        <w:t>年</w:t>
      </w:r>
      <w:r>
        <w:rPr>
          <w:rStyle w:val="31"/>
          <w:rFonts w:ascii="宋体" w:hAnsi="宋体"/>
          <w:b/>
          <w:color w:val="auto"/>
          <w:sz w:val="24"/>
          <w:szCs w:val="24"/>
        </w:rPr>
        <w:t>1</w:t>
      </w:r>
      <w:r>
        <w:rPr>
          <w:rStyle w:val="31"/>
          <w:rFonts w:hint="eastAsia" w:ascii="宋体" w:hAnsi="宋体"/>
          <w:b/>
          <w:color w:val="auto"/>
          <w:sz w:val="24"/>
          <w:szCs w:val="24"/>
          <w:lang w:val="en-US" w:eastAsia="zh-CN"/>
        </w:rPr>
        <w:t>1</w:t>
      </w:r>
      <w:r>
        <w:rPr>
          <w:rStyle w:val="31"/>
          <w:rFonts w:hint="eastAsia" w:ascii="宋体" w:hAnsi="宋体"/>
          <w:b/>
          <w:color w:val="auto"/>
          <w:sz w:val="24"/>
          <w:szCs w:val="24"/>
        </w:rPr>
        <w:t>月份全国轻柴油进出口统计数据</w:t>
      </w:r>
      <w:r>
        <w:rPr>
          <w:color w:val="auto"/>
          <w:sz w:val="24"/>
          <w:szCs w:val="24"/>
        </w:rPr>
        <w:tab/>
      </w:r>
      <w:r>
        <w:rPr>
          <w:color w:val="auto"/>
          <w:sz w:val="24"/>
          <w:szCs w:val="24"/>
        </w:rPr>
        <w:fldChar w:fldCharType="begin"/>
      </w:r>
      <w:r>
        <w:rPr>
          <w:color w:val="auto"/>
          <w:sz w:val="24"/>
          <w:szCs w:val="24"/>
        </w:rPr>
        <w:instrText xml:space="preserve"> PAGEREF _Toc533771876 \h </w:instrText>
      </w:r>
      <w:r>
        <w:rPr>
          <w:color w:val="auto"/>
          <w:sz w:val="24"/>
          <w:szCs w:val="24"/>
        </w:rPr>
        <w:fldChar w:fldCharType="separate"/>
      </w:r>
      <w:r>
        <w:rPr>
          <w:color w:val="auto"/>
          <w:sz w:val="24"/>
          <w:szCs w:val="24"/>
        </w:rPr>
        <w:t>33</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"_Toc533771877" </w:instrText>
      </w:r>
      <w:r>
        <w:fldChar w:fldCharType="separate"/>
      </w:r>
      <w:r>
        <w:rPr>
          <w:rStyle w:val="31"/>
          <w:rFonts w:ascii="宋体" w:hAnsi="宋体"/>
          <w:b/>
          <w:color w:val="auto"/>
          <w:sz w:val="24"/>
          <w:szCs w:val="24"/>
        </w:rPr>
        <w:t>4.3 20</w:t>
      </w:r>
      <w:r>
        <w:rPr>
          <w:rStyle w:val="31"/>
          <w:rFonts w:hint="eastAsia" w:ascii="宋体" w:hAnsi="宋体"/>
          <w:b/>
          <w:color w:val="auto"/>
          <w:sz w:val="24"/>
          <w:szCs w:val="24"/>
          <w:lang w:val="en-US" w:eastAsia="zh-CN"/>
        </w:rPr>
        <w:t>20</w:t>
      </w:r>
      <w:r>
        <w:rPr>
          <w:rStyle w:val="31"/>
          <w:rFonts w:hint="eastAsia" w:ascii="宋体" w:hAnsi="宋体"/>
          <w:b/>
          <w:color w:val="auto"/>
          <w:sz w:val="24"/>
          <w:szCs w:val="24"/>
        </w:rPr>
        <w:t>年</w:t>
      </w:r>
      <w:r>
        <w:rPr>
          <w:rStyle w:val="31"/>
          <w:rFonts w:hint="eastAsia" w:ascii="宋体" w:hAnsi="宋体"/>
          <w:b/>
          <w:color w:val="auto"/>
          <w:sz w:val="24"/>
          <w:szCs w:val="24"/>
          <w:lang w:val="en-US" w:eastAsia="zh-CN"/>
        </w:rPr>
        <w:t>6</w:t>
      </w:r>
      <w:r>
        <w:rPr>
          <w:rStyle w:val="31"/>
          <w:rFonts w:hint="eastAsia" w:ascii="宋体" w:hAnsi="宋体"/>
          <w:b/>
          <w:color w:val="auto"/>
          <w:sz w:val="24"/>
          <w:szCs w:val="24"/>
        </w:rPr>
        <w:t>月份全国原油进出口统计数据</w:t>
      </w:r>
      <w:r>
        <w:rPr>
          <w:color w:val="auto"/>
          <w:sz w:val="24"/>
          <w:szCs w:val="24"/>
        </w:rPr>
        <w:tab/>
      </w:r>
      <w:r>
        <w:rPr>
          <w:color w:val="auto"/>
          <w:sz w:val="24"/>
          <w:szCs w:val="24"/>
        </w:rPr>
        <w:fldChar w:fldCharType="begin"/>
      </w:r>
      <w:r>
        <w:rPr>
          <w:color w:val="auto"/>
          <w:sz w:val="24"/>
          <w:szCs w:val="24"/>
        </w:rPr>
        <w:instrText xml:space="preserve"> PAGEREF _Toc533771877 \h </w:instrText>
      </w:r>
      <w:r>
        <w:rPr>
          <w:color w:val="auto"/>
          <w:sz w:val="24"/>
          <w:szCs w:val="24"/>
        </w:rPr>
        <w:fldChar w:fldCharType="separate"/>
      </w:r>
      <w:r>
        <w:rPr>
          <w:color w:val="auto"/>
          <w:sz w:val="24"/>
          <w:szCs w:val="24"/>
        </w:rPr>
        <w:t>34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"_Toc533771878" </w:instrText>
      </w:r>
      <w:r>
        <w:fldChar w:fldCharType="separate"/>
      </w:r>
      <w:r>
        <w:rPr>
          <w:rStyle w:val="31"/>
          <w:rFonts w:ascii="宋体" w:hAnsi="宋体"/>
          <w:b/>
          <w:color w:val="auto"/>
          <w:sz w:val="24"/>
          <w:szCs w:val="24"/>
        </w:rPr>
        <w:t>4.4 20</w:t>
      </w:r>
      <w:r>
        <w:rPr>
          <w:rStyle w:val="31"/>
          <w:rFonts w:hint="eastAsia" w:ascii="宋体" w:hAnsi="宋体"/>
          <w:b/>
          <w:color w:val="auto"/>
          <w:sz w:val="24"/>
          <w:szCs w:val="24"/>
          <w:lang w:val="en-US" w:eastAsia="zh-CN"/>
        </w:rPr>
        <w:t>20</w:t>
      </w:r>
      <w:r>
        <w:rPr>
          <w:rStyle w:val="31"/>
          <w:rFonts w:hint="eastAsia" w:ascii="宋体" w:hAnsi="宋体"/>
          <w:b/>
          <w:color w:val="auto"/>
          <w:sz w:val="24"/>
          <w:szCs w:val="24"/>
        </w:rPr>
        <w:t>年</w:t>
      </w:r>
      <w:r>
        <w:rPr>
          <w:rStyle w:val="31"/>
          <w:rFonts w:hint="eastAsia" w:ascii="宋体" w:hAnsi="宋体"/>
          <w:b/>
          <w:color w:val="auto"/>
          <w:sz w:val="24"/>
          <w:szCs w:val="24"/>
          <w:lang w:val="en-US" w:eastAsia="zh-CN"/>
        </w:rPr>
        <w:t>6</w:t>
      </w:r>
      <w:r>
        <w:rPr>
          <w:rStyle w:val="31"/>
          <w:rFonts w:hint="eastAsia" w:ascii="宋体" w:hAnsi="宋体"/>
          <w:b/>
          <w:color w:val="auto"/>
          <w:sz w:val="24"/>
          <w:szCs w:val="24"/>
        </w:rPr>
        <w:t>月份全国航空煤油进出口统计数据</w:t>
      </w:r>
      <w:r>
        <w:rPr>
          <w:color w:val="auto"/>
          <w:sz w:val="24"/>
          <w:szCs w:val="24"/>
        </w:rPr>
        <w:tab/>
      </w:r>
      <w:r>
        <w:rPr>
          <w:color w:val="auto"/>
          <w:sz w:val="24"/>
          <w:szCs w:val="24"/>
        </w:rPr>
        <w:fldChar w:fldCharType="begin"/>
      </w:r>
      <w:r>
        <w:rPr>
          <w:color w:val="auto"/>
          <w:sz w:val="24"/>
          <w:szCs w:val="24"/>
        </w:rPr>
        <w:instrText xml:space="preserve"> PAGEREF _Toc533771878 \h </w:instrText>
      </w:r>
      <w:r>
        <w:rPr>
          <w:color w:val="auto"/>
          <w:sz w:val="24"/>
          <w:szCs w:val="24"/>
        </w:rPr>
        <w:fldChar w:fldCharType="separate"/>
      </w:r>
      <w:r>
        <w:rPr>
          <w:color w:val="auto"/>
          <w:sz w:val="24"/>
          <w:szCs w:val="24"/>
        </w:rPr>
        <w:t>34</w:t>
      </w:r>
      <w:r>
        <w:rPr>
          <w:color w:val="auto"/>
          <w:sz w:val="24"/>
          <w:szCs w:val="24"/>
        </w:rPr>
        <w:fldChar w:fldCharType="end"/>
      </w:r>
      <w:r>
        <w:rPr>
          <w:color w:val="auto"/>
          <w:sz w:val="24"/>
          <w:szCs w:val="24"/>
        </w:rPr>
        <w:fldChar w:fldCharType="end"/>
      </w:r>
    </w:p>
    <w:p>
      <w:pPr>
        <w:pStyle w:val="2"/>
        <w:spacing w:before="120" w:after="0" w:line="240" w:lineRule="auto"/>
        <w:rPr>
          <w:rFonts w:ascii="宋体" w:hAnsi="宋体"/>
          <w:b/>
          <w:sz w:val="24"/>
          <w:szCs w:val="24"/>
        </w:rPr>
      </w:pPr>
      <w:r>
        <w:rPr>
          <w:rFonts w:ascii="宋体" w:hAnsi="宋体"/>
          <w:b/>
          <w:kern w:val="2"/>
          <w:sz w:val="24"/>
          <w:szCs w:val="24"/>
        </w:rPr>
        <w:fldChar w:fldCharType="end"/>
      </w: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
    <w:p/>
    <w:p/>
    <w:p/>
    <w:p/>
    <w:p>
      <w:pPr>
        <w:pStyle w:val="2"/>
        <w:spacing w:before="120" w:after="0" w:line="240" w:lineRule="auto"/>
      </w:pPr>
      <w:bookmarkStart w:id="0" w:name="_Toc533771861"/>
      <w:r>
        <w:rPr>
          <w:rFonts w:hint="eastAsia"/>
        </w:rPr>
        <w:t>一、国际原油市场回顾</w:t>
      </w:r>
      <w:bookmarkEnd w:id="0"/>
      <w:r>
        <w:rPr>
          <w:rFonts w:hint="eastAsia"/>
        </w:rPr>
        <w:t> </w:t>
      </w:r>
    </w:p>
    <w:p>
      <w:pPr>
        <w:pStyle w:val="3"/>
        <w:spacing w:before="120" w:after="120" w:line="240" w:lineRule="auto"/>
        <w:rPr>
          <w:rFonts w:hint="eastAsia" w:ascii="宋体" w:hAnsi="宋体"/>
          <w:b/>
          <w:sz w:val="30"/>
          <w:szCs w:val="30"/>
        </w:rPr>
      </w:pPr>
      <w:bookmarkStart w:id="1" w:name="_Toc533771862"/>
      <w:r>
        <w:rPr>
          <w:rFonts w:hint="eastAsia" w:ascii="宋体" w:hAnsi="宋体"/>
          <w:b/>
          <w:sz w:val="30"/>
          <w:szCs w:val="30"/>
        </w:rPr>
        <w:t>1.1国际原油收盘价涨跌情况（单位：美元/桶）</w:t>
      </w:r>
      <w:bookmarkEnd w:id="1"/>
    </w:p>
    <w:tbl>
      <w:tblPr>
        <w:tblStyle w:val="24"/>
        <w:tblW w:w="8662" w:type="dxa"/>
        <w:tblInd w:w="0" w:type="dxa"/>
        <w:tblLayout w:type="fixed"/>
        <w:tblCellMar>
          <w:top w:w="15" w:type="dxa"/>
          <w:left w:w="15" w:type="dxa"/>
          <w:bottom w:w="15" w:type="dxa"/>
          <w:right w:w="15" w:type="dxa"/>
        </w:tblCellMar>
      </w:tblPr>
      <w:tblGrid>
        <w:gridCol w:w="1291"/>
        <w:gridCol w:w="709"/>
        <w:gridCol w:w="709"/>
        <w:gridCol w:w="5953"/>
      </w:tblGrid>
      <w:tr>
        <w:tblPrEx>
          <w:tblCellMar>
            <w:top w:w="15" w:type="dxa"/>
            <w:left w:w="15" w:type="dxa"/>
            <w:bottom w:w="15" w:type="dxa"/>
            <w:right w:w="15" w:type="dxa"/>
          </w:tblCellMar>
        </w:tblPrEx>
        <w:trPr>
          <w:trHeight w:val="286" w:hRule="atLeast"/>
        </w:trPr>
        <w:tc>
          <w:tcPr>
            <w:tcW w:w="1291"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lang w:bidi="ar"/>
              </w:rPr>
              <w:t>日期</w:t>
            </w:r>
          </w:p>
        </w:tc>
        <w:tc>
          <w:tcPr>
            <w:tcW w:w="709"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lang w:bidi="ar"/>
              </w:rPr>
              <w:t>纽交所</w:t>
            </w:r>
          </w:p>
        </w:tc>
        <w:tc>
          <w:tcPr>
            <w:tcW w:w="709"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lang w:bidi="ar"/>
              </w:rPr>
              <w:t>伦交所</w:t>
            </w:r>
          </w:p>
        </w:tc>
        <w:tc>
          <w:tcPr>
            <w:tcW w:w="5953"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lang w:bidi="ar"/>
              </w:rPr>
              <w:t>影响因素</w:t>
            </w:r>
          </w:p>
        </w:tc>
      </w:tr>
      <w:tr>
        <w:tblPrEx>
          <w:tblCellMar>
            <w:top w:w="15" w:type="dxa"/>
            <w:left w:w="15" w:type="dxa"/>
            <w:bottom w:w="15" w:type="dxa"/>
            <w:right w:w="15" w:type="dxa"/>
          </w:tblCellMar>
        </w:tblPrEx>
        <w:trPr>
          <w:trHeight w:val="60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2020/7/30</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39.92</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42.94</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数据显示美国经济出现严重萎缩，且由于特朗普提出延迟选举的建议，市场对美国政局不稳的忧虑也令油价承压。</w:t>
            </w:r>
          </w:p>
        </w:tc>
      </w:tr>
      <w:tr>
        <w:tblPrEx>
          <w:tblCellMar>
            <w:top w:w="15" w:type="dxa"/>
            <w:left w:w="15" w:type="dxa"/>
            <w:bottom w:w="15" w:type="dxa"/>
            <w:right w:w="15" w:type="dxa"/>
          </w:tblCellMar>
        </w:tblPrEx>
        <w:trPr>
          <w:trHeight w:val="54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2020/7/31</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40.27</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43.3</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在经历前一交易日的大跌后，油价技术性反弹，但市场对需求前景复苏的忧虑以及供应增加的预期限制了油价的反弹空间。</w:t>
            </w:r>
          </w:p>
        </w:tc>
      </w:tr>
      <w:tr>
        <w:tblPrEx>
          <w:tblCellMar>
            <w:top w:w="15" w:type="dxa"/>
            <w:left w:w="15" w:type="dxa"/>
            <w:bottom w:w="15" w:type="dxa"/>
            <w:right w:w="15" w:type="dxa"/>
          </w:tblCellMar>
        </w:tblPrEx>
        <w:trPr>
          <w:trHeight w:val="57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2020/8/3</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41.01</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44.15</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由于数据显示美国制造业指数回升，加之美国提出新的强化就业计划，提振了市场对经济复苏的预期令油价获得支撑。但另一方面，OPEC将增产的消息以及全球疫情的蔓延仍在限制油价的上行空间。</w:t>
            </w:r>
          </w:p>
        </w:tc>
      </w:tr>
      <w:tr>
        <w:tblPrEx>
          <w:tblCellMar>
            <w:top w:w="15" w:type="dxa"/>
            <w:left w:w="15" w:type="dxa"/>
            <w:bottom w:w="15" w:type="dxa"/>
            <w:right w:w="15" w:type="dxa"/>
          </w:tblCellMar>
        </w:tblPrEx>
        <w:trPr>
          <w:trHeight w:val="43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2020/8/4</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41.7</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44.43</w:t>
            </w:r>
          </w:p>
        </w:tc>
        <w:tc>
          <w:tcPr>
            <w:tcW w:w="5953" w:type="dxa"/>
            <w:tcBorders>
              <w:top w:val="single" w:color="000000" w:sz="4" w:space="0"/>
              <w:left w:val="single" w:color="000000" w:sz="4" w:space="0"/>
              <w:bottom w:val="single" w:color="000000" w:sz="4" w:space="0"/>
              <w:right w:val="single" w:color="000000" w:sz="4" w:space="0"/>
            </w:tcBorders>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美国政客表示新一轮刺激计划磋商取得积极进展，提振了市场乐观情绪，API原油库存大降也为油价提供支撑。此外，黎巴嫩首都贝鲁特港口发生大爆炸，市场担忧中东地缘局势可能将激化。</w:t>
            </w:r>
          </w:p>
        </w:tc>
      </w:tr>
      <w:tr>
        <w:tblPrEx>
          <w:tblCellMar>
            <w:top w:w="15" w:type="dxa"/>
            <w:left w:w="15" w:type="dxa"/>
            <w:bottom w:w="15" w:type="dxa"/>
            <w:right w:w="15" w:type="dxa"/>
          </w:tblCellMar>
        </w:tblPrEx>
        <w:trPr>
          <w:trHeight w:val="55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2020/8/5</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42.19</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45.17</w:t>
            </w:r>
          </w:p>
        </w:tc>
        <w:tc>
          <w:tcPr>
            <w:tcW w:w="5953" w:type="dxa"/>
            <w:tcBorders>
              <w:top w:val="single" w:color="000000" w:sz="4" w:space="0"/>
              <w:left w:val="single" w:color="000000" w:sz="4" w:space="0"/>
              <w:bottom w:val="single" w:color="000000" w:sz="4" w:space="0"/>
              <w:right w:val="single" w:color="000000" w:sz="4" w:space="0"/>
            </w:tcBorders>
            <w:noWrap w:val="0"/>
            <w:vAlign w:val="bottom"/>
          </w:tcPr>
          <w:p>
            <w:pPr>
              <w:pStyle w:val="23"/>
              <w:rPr>
                <w:rFonts w:hint="eastAsia" w:asciiTheme="minorEastAsia" w:hAnsiTheme="minorEastAsia" w:eastAsiaTheme="minorEastAsia" w:cstheme="minorEastAsia"/>
                <w:color w:val="333335"/>
                <w:kern w:val="2"/>
                <w:sz w:val="24"/>
                <w:szCs w:val="24"/>
                <w:shd w:val="clear" w:color="auto" w:fill="FFFFFF"/>
              </w:rPr>
            </w:pPr>
            <w:r>
              <w:rPr>
                <w:rFonts w:hint="eastAsia" w:asciiTheme="minorEastAsia" w:hAnsiTheme="minorEastAsia" w:eastAsiaTheme="minorEastAsia" w:cstheme="minorEastAsia"/>
                <w:color w:val="333335"/>
                <w:kern w:val="2"/>
                <w:sz w:val="24"/>
                <w:szCs w:val="24"/>
                <w:shd w:val="clear" w:color="auto" w:fill="FFFFFF"/>
              </w:rPr>
              <w:t>数据显示EIA原油库存大幅下降737.30万桶，且美国原油产量也下降10万桶至1100万桶/日，油价受此提振收盘上涨。但另一方面，有调查显示7月OPEC原油产量回升，限制了油价的涨幅。</w:t>
            </w:r>
          </w:p>
        </w:tc>
      </w:tr>
    </w:tbl>
    <w:p>
      <w:pPr>
        <w:rPr>
          <w:rFonts w:hint="eastAsia"/>
        </w:rPr>
      </w:pPr>
    </w:p>
    <w:p>
      <w:pPr>
        <w:pStyle w:val="3"/>
        <w:spacing w:before="120" w:after="120" w:line="240" w:lineRule="auto"/>
        <w:rPr>
          <w:rFonts w:ascii="宋体" w:hAnsi="宋体"/>
          <w:b/>
          <w:sz w:val="30"/>
          <w:szCs w:val="30"/>
        </w:rPr>
      </w:pPr>
      <w:bookmarkStart w:id="2" w:name="_Toc533771863"/>
      <w:r>
        <w:rPr>
          <w:rFonts w:hint="eastAsia" w:ascii="宋体" w:hAnsi="宋体"/>
          <w:b/>
          <w:sz w:val="30"/>
          <w:szCs w:val="30"/>
        </w:rPr>
        <w:t>1.</w:t>
      </w:r>
      <w:r>
        <w:rPr>
          <w:rFonts w:ascii="宋体" w:hAnsi="宋体"/>
          <w:b/>
          <w:sz w:val="30"/>
          <w:szCs w:val="30"/>
        </w:rPr>
        <w:t>2</w:t>
      </w:r>
      <w:r>
        <w:rPr>
          <w:rFonts w:hint="eastAsia" w:ascii="宋体" w:hAnsi="宋体"/>
          <w:b/>
          <w:sz w:val="30"/>
          <w:szCs w:val="30"/>
        </w:rPr>
        <w:t xml:space="preserve"> </w:t>
      </w:r>
      <w:r>
        <w:rPr>
          <w:rFonts w:ascii="宋体" w:hAnsi="宋体"/>
          <w:b/>
          <w:sz w:val="30"/>
          <w:szCs w:val="30"/>
        </w:rPr>
        <w:t>20</w:t>
      </w:r>
      <w:r>
        <w:rPr>
          <w:rFonts w:hint="eastAsia" w:ascii="宋体" w:hAnsi="宋体"/>
          <w:b/>
          <w:sz w:val="30"/>
          <w:szCs w:val="30"/>
          <w:lang w:val="en-US" w:eastAsia="zh-CN"/>
        </w:rPr>
        <w:t>20</w:t>
      </w:r>
      <w:r>
        <w:rPr>
          <w:rFonts w:ascii="宋体" w:hAnsi="宋体"/>
          <w:b/>
          <w:sz w:val="30"/>
          <w:szCs w:val="30"/>
        </w:rPr>
        <w:t>年</w:t>
      </w:r>
      <w:r>
        <w:rPr>
          <w:rFonts w:hint="eastAsia" w:ascii="宋体" w:hAnsi="宋体"/>
          <w:b/>
          <w:sz w:val="30"/>
          <w:szCs w:val="30"/>
        </w:rPr>
        <w:t>国际</w:t>
      </w:r>
      <w:r>
        <w:rPr>
          <w:rFonts w:ascii="宋体" w:hAnsi="宋体"/>
          <w:b/>
          <w:sz w:val="30"/>
          <w:szCs w:val="30"/>
        </w:rPr>
        <w:t>原油价格走势图</w:t>
      </w:r>
      <w:bookmarkEnd w:id="2"/>
    </w:p>
    <w:p>
      <w:pPr>
        <w:rPr>
          <w:rFonts w:hint="eastAsia" w:ascii="宋体" w:hAnsi="宋体" w:cs="Arial"/>
          <w:b/>
          <w:kern w:val="0"/>
          <w:sz w:val="30"/>
          <w:szCs w:val="30"/>
        </w:rPr>
      </w:pPr>
      <w:r>
        <w:rPr>
          <w:rFonts w:hint="eastAsia" w:ascii="宋体" w:hAnsi="宋体" w:cs="Arial"/>
          <w:b/>
          <w:kern w:val="0"/>
          <w:sz w:val="30"/>
          <w:szCs w:val="30"/>
        </w:rPr>
        <w:drawing>
          <wp:inline distT="0" distB="0" distL="114300" distR="114300">
            <wp:extent cx="5743575" cy="4371975"/>
            <wp:effectExtent l="0" t="0" r="9525" b="952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8"/>
                    <a:stretch>
                      <a:fillRect/>
                    </a:stretch>
                  </pic:blipFill>
                  <pic:spPr>
                    <a:xfrm>
                      <a:off x="0" y="0"/>
                      <a:ext cx="5743575" cy="4371975"/>
                    </a:xfrm>
                    <a:prstGeom prst="rect">
                      <a:avLst/>
                    </a:prstGeom>
                    <a:noFill/>
                    <a:ln>
                      <a:noFill/>
                    </a:ln>
                  </pic:spPr>
                </pic:pic>
              </a:graphicData>
            </a:graphic>
          </wp:inline>
        </w:drawing>
      </w:r>
    </w:p>
    <w:p>
      <w:pPr>
        <w:pStyle w:val="2"/>
        <w:numPr>
          <w:ilvl w:val="0"/>
          <w:numId w:val="1"/>
        </w:numPr>
        <w:spacing w:before="120" w:after="0" w:line="240" w:lineRule="auto"/>
      </w:pPr>
      <w:bookmarkStart w:id="3" w:name="_Toc533771864"/>
      <w:r>
        <w:rPr>
          <w:rFonts w:hint="eastAsia"/>
        </w:rPr>
        <w:t>近期影响国际原油市场的主要因素</w:t>
      </w:r>
      <w:bookmarkEnd w:id="3"/>
    </w:p>
    <w:p>
      <w:pPr>
        <w:pStyle w:val="3"/>
        <w:spacing w:before="120" w:after="120" w:line="240" w:lineRule="auto"/>
        <w:rPr>
          <w:rFonts w:ascii="宋体" w:hAnsi="宋体"/>
          <w:b/>
          <w:sz w:val="30"/>
          <w:szCs w:val="30"/>
        </w:rPr>
      </w:pPr>
      <w:bookmarkStart w:id="4" w:name="_Toc533771865"/>
      <w:r>
        <w:rPr>
          <w:rFonts w:hint="eastAsia" w:ascii="宋体" w:hAnsi="宋体"/>
          <w:b/>
          <w:sz w:val="30"/>
          <w:szCs w:val="30"/>
        </w:rPr>
        <w:t>2.1影响国际原油市场的主要因素</w:t>
      </w:r>
      <w:bookmarkEnd w:id="4"/>
    </w:p>
    <w:p/>
    <w:p>
      <w:pPr>
        <w:pStyle w:val="23"/>
        <w:numPr>
          <w:ilvl w:val="0"/>
          <w:numId w:val="2"/>
        </w:numPr>
        <w:spacing w:line="360" w:lineRule="auto"/>
        <w:ind w:left="0" w:leftChars="0" w:firstLine="551" w:firstLineChars="196"/>
        <w:rPr>
          <w:rFonts w:hint="eastAsia" w:ascii="黑体" w:eastAsia="黑体"/>
          <w:b/>
          <w:sz w:val="28"/>
          <w:szCs w:val="28"/>
        </w:rPr>
      </w:pPr>
      <w:bookmarkStart w:id="5" w:name="_Toc10115991"/>
      <w:r>
        <w:rPr>
          <w:rFonts w:hint="eastAsia" w:ascii="黑体" w:eastAsia="黑体"/>
          <w:b/>
          <w:sz w:val="28"/>
          <w:szCs w:val="28"/>
        </w:rPr>
        <w:t>美国原油库存情况</w:t>
      </w:r>
      <w:bookmarkEnd w:id="5"/>
      <w:r>
        <w:rPr>
          <w:rFonts w:hint="eastAsia" w:ascii="黑体" w:eastAsia="黑体"/>
          <w:b/>
          <w:sz w:val="28"/>
          <w:szCs w:val="28"/>
        </w:rPr>
        <w:t xml:space="preserve"> </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bookmarkStart w:id="6" w:name="_Toc10115992"/>
      <w:r>
        <w:rPr>
          <w:rFonts w:hint="eastAsia" w:asciiTheme="minorEastAsia" w:hAnsiTheme="minorEastAsia" w:eastAsiaTheme="minorEastAsia" w:cstheme="minorEastAsia"/>
          <w:color w:val="333335"/>
          <w:kern w:val="2"/>
          <w:sz w:val="28"/>
          <w:szCs w:val="28"/>
          <w:shd w:val="clear" w:color="auto" w:fill="FFFFFF"/>
        </w:rPr>
        <w:t>本周美国能源信息署(EIA)周三(7月29日)公布报告显示，截至7月24日当周美国除却战略储备的商业原油库存降幅远超预期，精炼油库存基本符合预期，汽油库存增幅超出预期。美国截至7月24日当周EIA原油库存变动实际公布减少1061.10万桶，预期减少17.1万桶，前值增加489.2万桶，汽油库存实际公布增加65.40万桶，预期减少119.6万桶，前值减少180.2万桶，精炼油库存实际公布增加50.30万桶，预期增加53.4万桶，前值增加107.4万桶。美国俄克拉荷马州库欣原油库存增加130.9万桶，变化值连续4周录得增长。美国石油协会(API)公布的数据显示，美国截至7月24日当周API原油库存减少682.9万桶，预期增加0万桶;汽油库存增加108.3万桶;精炼油库存增加18.7万桶。</w:t>
      </w:r>
    </w:p>
    <w:p>
      <w:pPr>
        <w:pStyle w:val="23"/>
        <w:numPr>
          <w:ilvl w:val="0"/>
          <w:numId w:val="2"/>
        </w:numPr>
        <w:spacing w:line="360" w:lineRule="auto"/>
        <w:ind w:left="0" w:leftChars="0" w:firstLine="551" w:firstLineChars="196"/>
        <w:rPr>
          <w:rFonts w:hint="eastAsia" w:ascii="黑体" w:eastAsia="黑体"/>
          <w:b/>
          <w:sz w:val="28"/>
          <w:szCs w:val="28"/>
        </w:rPr>
      </w:pPr>
      <w:r>
        <w:rPr>
          <w:rFonts w:hint="eastAsia" w:ascii="黑体" w:eastAsia="黑体"/>
          <w:b/>
          <w:sz w:val="28"/>
          <w:szCs w:val="28"/>
        </w:rPr>
        <w:t>美国经济形势</w:t>
      </w:r>
      <w:bookmarkEnd w:id="6"/>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bookmarkStart w:id="7" w:name="_Toc10115993"/>
      <w:r>
        <w:rPr>
          <w:rFonts w:hint="eastAsia" w:asciiTheme="minorEastAsia" w:hAnsiTheme="minorEastAsia" w:eastAsiaTheme="minorEastAsia" w:cstheme="minorEastAsia"/>
          <w:color w:val="333335"/>
          <w:kern w:val="2"/>
          <w:sz w:val="28"/>
          <w:szCs w:val="28"/>
          <w:shd w:val="clear" w:color="auto" w:fill="FFFFFF"/>
        </w:rPr>
        <w:t>本周北京时间6日凌晨，美股周三收高。纳指连续第6个交易日上涨并再创历史新高，盘中首次突破11000点关口。道指与标普指数录得4连涨。投资者关注财政刺激方案谈判进展、财报及经济数据等最新消息。黄金期货逼近2050美元。</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道指涨373.05点，或1.39%，报27201.52点;纳指涨57.23点，或0.52%，报10998.40点;标普500指数涨21.26点，或0.64%，报3327.77点。</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道指成分股迪士尼收盘大涨8.8%，波音收高5.6%。</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纳指盘中最高上涨至11002.11点，创盘中历史最高纪录。</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国际金融协会表示，美元贬值和美联储的宽松政策提振了市场乐观情绪。在7月份，新兴市场吸引了大约151亿美元的非居民净资本流入。不过，流入规模较前一个月的292亿美元有所下降，表明人们担心病毒公共卫生事件卷土重来将使全球成长前景变得更加黯淡。</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安联首席经济顾问Mohamed El-Erian表示，美国股市不会重回2020年3月触及的低点，但企业违约可能引发股市下一轮大幅修正。</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“我预计美国股市不会重回3月低点，”El-Erian在路透全球市场论坛聊天室表示。他表示，“我怀疑，下一次大幅修正可能是由企业违约和其它央行无法防范的资本减值事件引发的。”</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美国7月ADP数据远逊预期 显示就业形势再次恶化</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周三ADP机构报告称，7月ADP私营就业数字仅新增16.7万，远低于预期的150万人，前值从236.9万大幅上修至增加431.4万人。就业人数增幅大幅放缓，暗示冠状病毒感染病例激增正在给就业市场和经济复苏踩下刹车。</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就业人数增长速度的急剧放缓，与其他数据相符。这些数据显示，就业市场在国家解除封锁后的几个月里出现反弹，但现在有倒退的危险。在冠状病毒疫情病例激增的情况下，申请失业救济的人数连续两周上升，这迫使重新开放的计划出现了一些回调。</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5月和6月ADP新增就业人数曾十分突出，但7月明显大幅下滑。</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ADP就业数据公司总裁称：“我们已经看到经济放缓对各个规模和行业的企业都产生了影响。就业市场的复苏在7月有所放缓。”</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具体数据方面，ADP报告显示：7月专业/商业服务就业人数减少5.8万人，6月为增加15.1万人。7月金融服务业就业人数减少1.8万人，6月为增加6.5万人。7月贸易/运输/公用事业就业人数增加4.1万人，6月为增加28.8万人。7月制造业就业人数增加1万人，6月为增加8.8万人。7月建筑业就业人数减少0.8万人，6月为增加39.4万人。</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劳工部将在本周五公布备受关注的非农就业数据，令人失望的ADP数据也给非农前景蒙上了阴影。不断上升的病例已导致各州和地区缩减了重新开放的策略。明尼阿波利斯联储主席卡什卡利周日建议：美国应该再次进入完全封锁状态，以阻止病毒的传播。</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另一份数据表明，美国6月份商品和服务贸易逆差出现2月份以来的首次收窄， 当月出口大增，但发货量仍远低于疫情前水平。</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根据美国商务部周三数据，出口额比上月增长9.4%，达到1，583亿美元，创下1992年有数据统计以来的最高升幅。进口增长4.7%， 至2089亿美元，升幅为2015年3月以来最大。两种增长都反映了工厂重启生产后汽车和零部件的出货量有所增加。</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美国两党财政刺激谈判进展备受关注</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在华盛顿进行的新一轮抗疫纾困经济刺激谈判仍是市场焦点。周二下午，美国国会众议院议长南希-佩洛西、参议院少数党领袖查克-舒默以及政府官员之间进行了对话。据媒体报道，白宫办公厅主任梅多斯周二对记者说，双方“距离达成任何形式的协议都还有很长的路要走”。</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美国财长姆努钦姆努钦在佩洛西及舒默会面后表示，白宫和国会的目标是在周末前就新一轮经济刺激计划达成协议，并在下周进行投票。虽然双方在某些关键问题上仍然相距甚远。</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姆努钦称：“我们还没达成协议，但确实想办法同意设定了时间表。如果可以的话，我们将努力在本周末前达成一项整体协议，这样下周法案就能通过。”</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佩洛西周二表示，她还希望本周能达成协议，这样下周就能起草法案然后通过。她说：“我们不得不达成协议，我们也会达成协议。”</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姆努钦和梅多斯还称，共和党将同意在年底之前暂停驱逐房客，并对补充失业保险提出提议，而这正是谈判僵持不下的重点之一。</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其他立法者对此双方能够很快就主要症结问题召开会议表示怀疑。当天早些时候，许多议员表示对周五达成协议持怀疑态度。即使确实达成了协议，众议院和参议院可能也得到下周才进行投票，这意味着上周五到期的失业金将出现空档。</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每周600美元的额外联邦失业救济金已经到期，而国会尚未就新的刺激方案达成协议。这使数千万美国人陷入了困境。这项福利的批评者认为，失业救济比有些人上班工资还高，降低了他们的就业动力。</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关于抗疫纾困刺激方案的总体规模也存在分歧，民主党提出的计划规模超过3万亿美元，共和党计划规模略超1万亿美元。</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焦点个股</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美国总统特朗普周三表示，微软等考虑收购TikTok的公司同意向美国政府付钱。</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诺瓦瓦克斯医药股价大涨。该公司周二表示，根据小规模、早期临床试验的初步数据，其实验性卫生事件疫苗对病毒产生高水平的抗体;并表示可能最早9月底就能展开大规模的第三期试验，预计2021年可能生产10亿至20亿剂这种疫苗。</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疫苗研发公司Moderna第二季度营收为6635.1万美元，同比增长407%。研发费用为1.52亿美元，同比增长18.4%;营运支出为1.88亿美元，同比增长20.2%。净亏损为1.17亿美元，上年同期净亏损1.35亿美元;每股亏损0.31美元，上年同期每股亏损0.41美元。</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本季度，Moderna与美国国家卫生研究院(NIH)合作开发的冠状病毒疫苗mRNA-1273于7月27日进入临床三期试验，该候选疫苗表现出了较好的安全性。</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2020年5月，公司通过公开发行股票筹集了约13亿美元的净收益。此外，该公司于2020年5月29日被纳入MSCI指数，并于2020年7月20日被纳入纳斯达克100指数。</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在公布财报的同时，Moderna宣布与美国国家卫生研究院共同开发的冠状病毒候选疫苗在小鼠实验研究中展现出成功的希望。</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迪士尼第三财季营收117.79亿美元，净亏损47.18亿美元;调整后每股收益0.08美元，市场预期亏损0.63美元。Disney+的付费订阅用户数为5750万;ESPN+的付费订阅用户数同比增长超过100%，达到850万。</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Beyond Meat第二季度净亏损1020.5万美元，去年同期亏损944.1万美元。摊薄每股亏损0.16美元，去年同期亏损0.24美元。另外，该公司撤回本财年指引。</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其他市场</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欧洲主要股指集体收涨。德国DAX指数收涨0.39%，报12650.50点;英国富时100指数收涨1.10%，报6102.20点;法国CAC40指数收涨0.90%，报4933.34点;欧洲斯托克50指数收涨0.41%，报3267.65点。</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在美元遭遇全面抛售之际，欧元、英镑、澳元、纽元等G10货币反弹上攻。</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美国WTI原油涨超2.5%，最高42.88美元/桶，创下今年3月6日以来高位。</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原油期货价格周三创5个月来的最高收盘价。数据证实美国原油库存下降，但同时显示汽油库存意外攀升，使市场推测的原油需求回升受到质疑。</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纽约商品交易所9月交割的西德州中质原油(WTI)期货价格上涨49美分，涨幅1.2%，收于每桶42.19美元，盘中最高上涨至每桶43.52美元。</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作为全球原油价格基准的伦敦洲际交易所10月布伦特原油期货价格上涨74美分，涨幅1.7%，收于每桶45.17美元。</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WTI与布伦特原油均创3月6日以来的最高收盘价。</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美国能源信息署(EIA)周三报告称，截止7月31日当周美国原油库存减少740万桶，但汽油库存增加41.9万桶，馏分油库存增加160万桶。</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p>
    <w:p>
      <w:pPr>
        <w:pStyle w:val="23"/>
        <w:spacing w:line="360" w:lineRule="auto"/>
        <w:ind w:firstLine="560" w:firstLineChars="200"/>
        <w:rPr>
          <w:rFonts w:ascii="华文仿宋" w:hAnsi="华文仿宋" w:eastAsia="华文仿宋" w:cs="华文仿宋"/>
          <w:color w:val="333335"/>
          <w:kern w:val="2"/>
          <w:sz w:val="28"/>
          <w:szCs w:val="28"/>
          <w:shd w:val="clear" w:color="auto" w:fill="FFFFFF"/>
        </w:rPr>
      </w:pPr>
    </w:p>
    <w:p>
      <w:pPr>
        <w:pStyle w:val="23"/>
        <w:numPr>
          <w:ilvl w:val="0"/>
          <w:numId w:val="2"/>
        </w:numPr>
        <w:spacing w:line="360" w:lineRule="auto"/>
        <w:ind w:left="0" w:leftChars="0" w:firstLine="551" w:firstLineChars="196"/>
        <w:jc w:val="both"/>
        <w:rPr>
          <w:rFonts w:hint="eastAsia" w:ascii="黑体" w:eastAsia="黑体"/>
          <w:b/>
          <w:sz w:val="28"/>
          <w:szCs w:val="28"/>
        </w:rPr>
      </w:pPr>
      <w:r>
        <w:rPr>
          <w:rFonts w:hint="eastAsia" w:ascii="黑体" w:eastAsia="黑体"/>
          <w:b/>
          <w:sz w:val="28"/>
          <w:szCs w:val="28"/>
        </w:rPr>
        <w:t>世界经济形势</w:t>
      </w:r>
      <w:bookmarkEnd w:id="7"/>
    </w:p>
    <w:p>
      <w:pPr>
        <w:pStyle w:val="23"/>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英媒称，与新冠疫情相关的全球旅游业的崩溃很可能会引发这场危机的下一个阶段，也就是从突发公共卫生事件和大规模失业转变为大量行业普遍出现破产现象。</w:t>
      </w:r>
    </w:p>
    <w:p>
      <w:pPr>
        <w:pStyle w:val="23"/>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据英国《金融时报》网站8月2日报道，去年夏天，美国比塞特货币研究与投资公司的首席执行官乌尔夫·林达尔断言，如果人们真的因为难以预料的经济冲击而停止旅行，那么其影响将波及几乎所有行业和企业，包括从制造业到房地产、餐馆、奢侈品和金融服务业。所有这一切都有可能引发大量企业破产、失业率高企以及经济急剧下滑。</w:t>
      </w:r>
    </w:p>
    <w:p>
      <w:pPr>
        <w:pStyle w:val="23"/>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尽管许多人也许赞同他的观点，但没有人能够预测到新冠疫情的暴发。如今，与新冠疫情相关的全球旅游业——据世界旅游及旅行理事会称，该行业占全球经济产出的10%以上——的崩溃很可能会引发这场危机的下一个阶段，也就是从突发公共卫生事件和大规模失业转变为大量行业普遍出现破产现象。</w:t>
      </w:r>
    </w:p>
    <w:p>
      <w:pPr>
        <w:pStyle w:val="23"/>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道称，意大利、墨西哥和西班牙等国的旅游业在其国内生产总值(GDP)中所占比重最高。这些国家将因今夏极少有人出境旅游这一事实而受到严重打击。不过，其GDP刚刚在第二季度出现战后最大幅度收缩的美国很可能处于更广泛的经济风暴的中心。仅旅游业下滑就使美国近1700万个就业岗位岌岌可危。</w:t>
      </w:r>
    </w:p>
    <w:p>
      <w:pPr>
        <w:pStyle w:val="23"/>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最痛苦的当属波音和空客等公司。预计今年全球航空运输量将减少60%，在这种情况下，这两家主要飞机制造商正面临大量订单被取消，而与此同时，欧洲和美国之间的贸易紧张关系正在加剧。这种情况给涉及从飞机补贴到数字税等领域的美欧贸易争端火上浇油。它还给世界各地的制造业供应链带来了压力。</w:t>
      </w:r>
    </w:p>
    <w:p>
      <w:pPr>
        <w:pStyle w:val="23"/>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人们不旅行，甚至也不去办公室。这一事实也影响着房地产。全球房地产规模大于股市和债市加起来的总和。据美国格林街房地产咨询公司的数据，自新冠疫情暴发以来，美国商业地产的无杠杆价值下降了11%。</w:t>
      </w:r>
    </w:p>
    <w:p>
      <w:pPr>
        <w:pStyle w:val="23"/>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报道指出，今年第二季度，房地产交易量下降了68%，是2008年金融危机后的最低水平。在美国各地，每种房地产都陷入困境。鉴于大多数美国人的大部分财富都投入到了房地产中，这将影响消费。</w:t>
      </w:r>
    </w:p>
    <w:p>
      <w:pPr>
        <w:pStyle w:val="23"/>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这还将影响公共部门支出。房地产占到纽约和其他城市税基的最大部分。那些价格高昂的办公楼空空如也，其所在社区的气氛有点令人毛骨悚然，感觉被遗弃。在美国许多大城市，谷歌等大型科技公司是房地产开支大户。在明年夏天之前，它们都不会让员工返岗。</w:t>
      </w:r>
    </w:p>
    <w:p>
      <w:pPr>
        <w:pStyle w:val="23"/>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一些调查估计，如果刺激计划的资金停止，40%的美国房客有可能遭到驱赶。房地产市场的崩盘将影响城市预算和服务，很可能会产生上世纪70年代的那种“滚雪球”效应，财富会流出，从而进一步削弱税收基础。</w:t>
      </w:r>
    </w:p>
    <w:p>
      <w:pPr>
        <w:pStyle w:val="23"/>
        <w:spacing w:line="360" w:lineRule="auto"/>
        <w:ind w:firstLine="560" w:firstLineChars="200"/>
        <w:rPr>
          <w:rFonts w:ascii="华文仿宋" w:hAnsi="华文仿宋" w:eastAsia="华文仿宋" w:cs="华文仿宋"/>
          <w:sz w:val="28"/>
          <w:szCs w:val="28"/>
        </w:rPr>
      </w:pPr>
      <w:r>
        <w:rPr>
          <w:rFonts w:hint="eastAsia" w:asciiTheme="minorEastAsia" w:hAnsiTheme="minorEastAsia" w:eastAsiaTheme="minorEastAsia" w:cstheme="minorEastAsia"/>
          <w:sz w:val="28"/>
          <w:szCs w:val="28"/>
        </w:rPr>
        <w:t>报道还指出，旅游危机还将影响共享经济。今年5月，美国爱彼迎公司裁员25%，其首席执行官布赖恩·切斯基说，大规模跨境旅行可能永远不会恢复到疫情暴发前的水平。这意味着奢侈品购买减少，昂贵的海外教育支出减少。这将进一步打击那些已经按照保持社交距离的要求削减一半客容量而艰难经营的餐厅。</w:t>
      </w:r>
    </w:p>
    <w:p>
      <w:pPr>
        <w:pStyle w:val="23"/>
        <w:numPr>
          <w:ilvl w:val="0"/>
          <w:numId w:val="0"/>
        </w:numPr>
        <w:rPr>
          <w:rFonts w:hint="eastAsia" w:ascii="黑体" w:eastAsia="黑体"/>
          <w:b/>
          <w:sz w:val="28"/>
          <w:szCs w:val="28"/>
        </w:rPr>
      </w:pPr>
      <w:r>
        <w:rPr>
          <w:rFonts w:hint="eastAsia" w:ascii="黑体" w:eastAsia="黑体"/>
          <w:b/>
          <w:sz w:val="28"/>
          <w:szCs w:val="28"/>
          <w:lang w:val="en-US" w:eastAsia="zh-CN"/>
        </w:rPr>
        <w:t>4、</w:t>
      </w:r>
      <w:r>
        <w:rPr>
          <w:rFonts w:hint="eastAsia" w:ascii="黑体" w:eastAsia="黑体"/>
          <w:b/>
          <w:sz w:val="28"/>
          <w:szCs w:val="28"/>
        </w:rPr>
        <w:t>后市预测</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美国WTI原油原油价格在39.92-42.19美元/桶。布伦特原油价格在42.94-45.17美元/桶震荡。周内国际油价小幅上涨。美国能源信息署(EIA)、美国石油协会(API)报告显示上周美国原油库存降幅超预期，加之美元走疲，均为油价提供支撑，不过鉴于美国及全球其他国家新冠肺炎感染病例仍不断激增，削弱了市场对燃料需求回升的信心，一定程度上限制油价的上行空间，油价周三(8月5日)收盘上涨：美国WTI原油9月期货收涨0.49美元，涨幅1.20%，报42.19美元/桶，其盘中一度触及43.52美元/桶的盘中高点;布伦特原油9月期货收涨0.74美元，涨幅1.7%，报45.17美元/桶。基本面利好因素：北京时间周三晚间，美国能源信息署(EIA)公布的数据显示，截至7月31日当周，EIA原油库存减少737.3万桶至5.186亿桶，减少1.4%，预期减少310万桶，前值减少1061.10万桶;上周美国国内原油产量减少10万桶至1100万桶/日，创6月19日当周(7周)以来新低;上周原油出口减少39.2万桶/日至281.9万桶/日，原油出口连续3周录得增长后本周录得下滑;美国原油产品四周平均供应量为1828.5万桶/日，较去年同期减少13.5%;美国从沙特进口的原油量降至19万桶/日，为去年11月以来最低水平;精炼厂设备利用率为79.6%。北京时间周三，美国石油协会(API)公布的数据显示，截至7月31日当周，API原油库存大幅减少858.7万桶至5.2亿桶，远低于此前预期的减少350万桶;API原油库存减少174.8万桶。技术面来看，瑞士信贷表示，布伦特原油期货价格风险仍偏上行，已突破初始阻力位45.18/50美元，但若失守41.32的美元支撑位将意味着上升趋势的结束。布油继续在6月以来的下降阻力位附近挣扎，目前仍存上行空间，更重要阻力位于200日均线47.47美元，预计将受制于该均线，若突破并站稳于该均线上方，可能进一步反弹至一季度跌幅的61.8%斐波那契回撤位50.45美元。基本面利空因素：北京时间周三晚间，美国能源信息署(EIA)公布的数据显示，截至7月31日当周，EIA汽油库存增加41.9万桶，为连续2周录得增加，预期增加5万桶，前值增加65.4万桶;精炼油库存增加159.2万桶，为连续3周录得增长，预期增加63.6万桶，前值增加50.3万桶;精炼油库存增加159.2万桶，预期增加63.6万桶，前值增加50.3万桶;除却战略储备的商业原油上周进口601万桶/日，较前一周增加86.4万桶/日;美国俄克拉荷马州库欣原油库存变化值连续5周录得增长。北京时间周三，美国石油协会(API)公布的数据显示，截至7月31日当周，库欣原油库存增加163万桶，高于前值增加114.4万桶;精炼油库存大幅增加382.4万桶，远高于此前预期的增加97.1万桶，以及增加18.7万桶的前值;美国上周原油进口增加12.3万桶/日。因市场担心，在主要产油国增产之际，世界其他地区新一波新冠肺炎感染将阻碍需求复苏。尽管油价已连续四个交易日上涨，但交易员表示，油价依然承压。Rystad能源公司的保拉·罗德里兹·马苏(Paola Rodriguez Masiu)说，在欧洲和亚洲，人们越来越担心第二波新冠病毒可能会在全球传播。法国石油巨头道达尔公司预计，由于全球经济前景不容乐观，国际原油价格在下半年可能会迎来新一轮的回落。布伦特原油预计在年底会跌回35美元/桶，此后在2021年全年的均价也将只有40美元，之后长期均衡价格区间则在50-60美元，但全球需求可能要到2025年才会恢复到疫情爆发前的峰值水平。瑞士信贷表示指出，下行方面，理想情况下，41.32美元的支撑位仍应能守稳并维持当前上行趋势，跌破则预示可能回落至37.01美元，甚至33.62美元，周线图中相对强弱指标动能仍维持在关键支撑位，跌破将标志重要顶部的形成。</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预测下周WTI油价将触及38-43美元/桶，布油在之后几个月触及41-46美元/桶。</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p>
    <w:p>
      <w:pPr>
        <w:pStyle w:val="23"/>
        <w:numPr>
          <w:ilvl w:val="0"/>
          <w:numId w:val="0"/>
        </w:numPr>
        <w:spacing w:line="360" w:lineRule="auto"/>
        <w:jc w:val="both"/>
        <w:rPr>
          <w:rFonts w:hint="eastAsia" w:ascii="黑体" w:eastAsia="黑体"/>
          <w:b/>
          <w:sz w:val="28"/>
          <w:szCs w:val="28"/>
          <w:lang w:eastAsia="zh-CN"/>
        </w:rPr>
      </w:pPr>
    </w:p>
    <w:p>
      <w:pPr>
        <w:pStyle w:val="3"/>
        <w:spacing w:before="120" w:after="120" w:line="240" w:lineRule="auto"/>
        <w:rPr>
          <w:rFonts w:hint="eastAsia" w:ascii="宋体" w:hAnsi="宋体"/>
          <w:b/>
          <w:sz w:val="30"/>
          <w:szCs w:val="30"/>
          <w:highlight w:val="none"/>
        </w:rPr>
      </w:pPr>
      <w:bookmarkStart w:id="8" w:name="_Toc533771866"/>
      <w:r>
        <w:rPr>
          <w:rFonts w:hint="eastAsia" w:ascii="宋体" w:hAnsi="宋体"/>
          <w:b/>
          <w:sz w:val="30"/>
          <w:szCs w:val="30"/>
          <w:highlight w:val="none"/>
        </w:rPr>
        <w:t>2.2国际市场MTBE价格</w:t>
      </w:r>
      <w:bookmarkEnd w:id="8"/>
    </w:p>
    <w:p/>
    <w:tbl>
      <w:tblPr>
        <w:tblStyle w:val="24"/>
        <w:tblW w:w="7230" w:type="dxa"/>
        <w:tblInd w:w="0" w:type="dxa"/>
        <w:shd w:val="clear" w:color="auto" w:fill="auto"/>
        <w:tblLayout w:type="autofit"/>
        <w:tblCellMar>
          <w:top w:w="0" w:type="dxa"/>
          <w:left w:w="0" w:type="dxa"/>
          <w:bottom w:w="0" w:type="dxa"/>
          <w:right w:w="0" w:type="dxa"/>
        </w:tblCellMar>
      </w:tblPr>
      <w:tblGrid>
        <w:gridCol w:w="1365"/>
        <w:gridCol w:w="2085"/>
        <w:gridCol w:w="1950"/>
        <w:gridCol w:w="1830"/>
      </w:tblGrid>
      <w:tr>
        <w:tblPrEx>
          <w:shd w:val="clear" w:color="auto" w:fill="auto"/>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bookmarkStart w:id="9" w:name="_Toc533771867"/>
            <w:r>
              <w:rPr>
                <w:rFonts w:hint="eastAsia" w:ascii="宋体" w:hAnsi="宋体" w:eastAsia="宋体" w:cs="宋体"/>
                <w:i w:val="0"/>
                <w:color w:val="000000"/>
                <w:kern w:val="0"/>
                <w:sz w:val="20"/>
                <w:szCs w:val="20"/>
                <w:u w:val="none"/>
                <w:lang w:val="en-US" w:eastAsia="zh-CN" w:bidi="ar"/>
              </w:rPr>
              <w:t>日期</w:t>
            </w:r>
          </w:p>
        </w:tc>
        <w:tc>
          <w:tcPr>
            <w:tcW w:w="2085"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新加坡(美元/吨)</w:t>
            </w:r>
          </w:p>
        </w:tc>
        <w:tc>
          <w:tcPr>
            <w:tcW w:w="1950" w:type="dxa"/>
            <w:tcBorders>
              <w:top w:val="single" w:color="000000" w:sz="4" w:space="0"/>
              <w:left w:val="single" w:color="000000" w:sz="4" w:space="0"/>
              <w:bottom w:val="single" w:color="000000" w:sz="4" w:space="0"/>
              <w:right w:val="nil"/>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纽约 (美分/加仑)</w:t>
            </w:r>
          </w:p>
        </w:tc>
        <w:tc>
          <w:tcPr>
            <w:tcW w:w="1830"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鹿特丹(美元/吨)</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8月5日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410.00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115.28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447.75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8月4日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400.00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115.43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437.00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8月3日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388.00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113.81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437.50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7月31日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111.21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423.50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7月30日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406.00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114.04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429.25 </w:t>
            </w:r>
          </w:p>
        </w:tc>
      </w:tr>
    </w:tbl>
    <w:p>
      <w:pPr>
        <w:pStyle w:val="2"/>
        <w:spacing w:before="120" w:after="0" w:line="240" w:lineRule="auto"/>
        <w:rPr>
          <w:rFonts w:hint="eastAsia"/>
        </w:rPr>
      </w:pPr>
    </w:p>
    <w:p>
      <w:pPr>
        <w:pStyle w:val="2"/>
        <w:numPr>
          <w:ilvl w:val="0"/>
          <w:numId w:val="3"/>
        </w:numPr>
        <w:spacing w:before="120" w:after="0" w:line="240" w:lineRule="auto"/>
        <w:rPr>
          <w:rFonts w:hint="eastAsia"/>
          <w:b/>
        </w:rPr>
      </w:pPr>
      <w:r>
        <w:rPr>
          <w:rFonts w:hint="eastAsia"/>
          <w:b/>
        </w:rPr>
        <w:t>本周国内市场</w:t>
      </w:r>
      <w:bookmarkEnd w:id="9"/>
    </w:p>
    <w:p>
      <w:pPr>
        <w:numPr>
          <w:ilvl w:val="0"/>
          <w:numId w:val="0"/>
        </w:numPr>
      </w:pPr>
    </w:p>
    <w:p>
      <w:pPr>
        <w:pStyle w:val="3"/>
        <w:spacing w:before="120" w:after="120" w:line="240" w:lineRule="auto"/>
      </w:pPr>
      <w:bookmarkStart w:id="10" w:name="_Toc533771868"/>
      <w:r>
        <w:rPr>
          <w:rFonts w:hint="eastAsia" w:ascii="宋体" w:hAnsi="宋体"/>
          <w:b/>
          <w:sz w:val="30"/>
          <w:szCs w:val="30"/>
          <w:highlight w:val="none"/>
        </w:rPr>
        <w:t>3.1 国内炼厂装置运行情况</w:t>
      </w:r>
      <w:bookmarkEnd w:id="10"/>
    </w:p>
    <w:p>
      <w:pPr>
        <w:rPr>
          <w:rFonts w:hint="eastAsia" w:ascii="宋体" w:hAnsi="宋体"/>
          <w:sz w:val="28"/>
          <w:szCs w:val="28"/>
          <w:highlight w:val="none"/>
        </w:rPr>
      </w:pPr>
      <w:r>
        <w:rPr>
          <w:rFonts w:hint="eastAsia" w:ascii="宋体" w:hAnsi="宋体"/>
          <w:sz w:val="28"/>
          <w:szCs w:val="28"/>
          <w:highlight w:val="none"/>
        </w:rPr>
        <w:t>（1）国内主营炼厂装置检修情况</w:t>
      </w:r>
    </w:p>
    <w:tbl>
      <w:tblPr>
        <w:tblStyle w:val="24"/>
        <w:tblW w:w="9402"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97"/>
        <w:gridCol w:w="1699"/>
        <w:gridCol w:w="1841"/>
        <w:gridCol w:w="2220"/>
        <w:gridCol w:w="214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497" w:type="dxa"/>
            <w:tcBorders>
              <w:top w:val="single" w:color="000000" w:sz="6" w:space="0"/>
              <w:left w:val="single" w:color="000000" w:sz="6" w:space="0"/>
              <w:bottom w:val="single" w:color="000000" w:sz="6" w:space="0"/>
              <w:right w:val="single" w:color="000000" w:sz="6" w:space="0"/>
            </w:tcBorders>
            <w:shd w:val="clear" w:color="auto" w:fill="00B0F0"/>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炼厂名称</w:t>
            </w:r>
          </w:p>
        </w:tc>
        <w:tc>
          <w:tcPr>
            <w:tcW w:w="1699" w:type="dxa"/>
            <w:tcBorders>
              <w:top w:val="single" w:color="000000" w:sz="6" w:space="0"/>
              <w:left w:val="single" w:color="000000" w:sz="6" w:space="0"/>
              <w:bottom w:val="single" w:color="000000" w:sz="6" w:space="0"/>
              <w:right w:val="single" w:color="000000" w:sz="6" w:space="0"/>
            </w:tcBorders>
            <w:shd w:val="clear" w:color="auto" w:fill="00B0F0"/>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检修装置</w:t>
            </w:r>
          </w:p>
        </w:tc>
        <w:tc>
          <w:tcPr>
            <w:tcW w:w="1841" w:type="dxa"/>
            <w:tcBorders>
              <w:top w:val="single" w:color="000000" w:sz="6" w:space="0"/>
              <w:left w:val="single" w:color="000000" w:sz="6" w:space="0"/>
              <w:bottom w:val="single" w:color="000000" w:sz="6" w:space="0"/>
              <w:right w:val="single" w:color="000000" w:sz="6" w:space="0"/>
            </w:tcBorders>
            <w:shd w:val="clear" w:color="auto" w:fill="00B0F0"/>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装置能力（万吨）</w:t>
            </w:r>
          </w:p>
        </w:tc>
        <w:tc>
          <w:tcPr>
            <w:tcW w:w="2220" w:type="dxa"/>
            <w:tcBorders>
              <w:top w:val="single" w:color="000000" w:sz="6" w:space="0"/>
              <w:left w:val="single" w:color="000000" w:sz="6" w:space="0"/>
              <w:bottom w:val="single" w:color="000000" w:sz="6" w:space="0"/>
              <w:right w:val="single" w:color="000000" w:sz="6" w:space="0"/>
            </w:tcBorders>
            <w:shd w:val="clear" w:color="auto" w:fill="00B0F0"/>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开始时间</w:t>
            </w:r>
          </w:p>
        </w:tc>
        <w:tc>
          <w:tcPr>
            <w:tcW w:w="2145" w:type="dxa"/>
            <w:tcBorders>
              <w:top w:val="single" w:color="000000" w:sz="6" w:space="0"/>
              <w:left w:val="single" w:color="000000" w:sz="6" w:space="0"/>
              <w:bottom w:val="single" w:color="000000" w:sz="6" w:space="0"/>
              <w:right w:val="single" w:color="000000" w:sz="6" w:space="0"/>
            </w:tcBorders>
            <w:shd w:val="clear" w:color="auto" w:fill="00B0F0"/>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结束时间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燕山石化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2020年3月下旬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2020年5月上旬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燕山石化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3#催化裂化</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2020年3月下旬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2020年5月上旬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塔河石化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2020年4月下旬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塔河石化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延迟焦化</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120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2020年4月下旬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上海石化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上海石化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3#柴油加氢</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330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镇海</w:t>
            </w:r>
            <w:r>
              <w:rPr>
                <w:rFonts w:hint="eastAsia" w:ascii="宋体" w:hAnsi="宋体" w:cs="宋体"/>
                <w:i w:val="0"/>
                <w:color w:val="000000"/>
                <w:kern w:val="0"/>
                <w:sz w:val="21"/>
                <w:szCs w:val="21"/>
                <w:u w:val="none"/>
                <w:lang w:val="en-US" w:eastAsia="zh-CN" w:bidi="ar"/>
              </w:rPr>
              <w:t>炼化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800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镇海</w:t>
            </w:r>
            <w:r>
              <w:rPr>
                <w:rFonts w:hint="eastAsia" w:ascii="宋体" w:hAnsi="宋体" w:cs="宋体"/>
                <w:i w:val="0"/>
                <w:color w:val="000000"/>
                <w:kern w:val="0"/>
                <w:sz w:val="21"/>
                <w:szCs w:val="21"/>
                <w:u w:val="none"/>
                <w:lang w:val="en-US" w:eastAsia="zh-CN" w:bidi="ar"/>
              </w:rPr>
              <w:t>炼化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1000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月</w:t>
            </w:r>
            <w:r>
              <w:rPr>
                <w:rFonts w:hint="eastAsia" w:ascii="宋体" w:hAnsi="宋体" w:cs="宋体"/>
                <w:i w:val="0"/>
                <w:color w:val="000000"/>
                <w:kern w:val="0"/>
                <w:sz w:val="21"/>
                <w:szCs w:val="21"/>
                <w:u w:val="none"/>
                <w:lang w:val="en-US" w:eastAsia="zh-CN" w:bidi="ar"/>
              </w:rPr>
              <w:t>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茂名石化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4#常减压</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2020年4月中旬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北海</w:t>
            </w:r>
            <w:r>
              <w:rPr>
                <w:rFonts w:hint="eastAsia" w:ascii="宋体" w:hAnsi="宋体" w:cs="宋体"/>
                <w:i w:val="0"/>
                <w:color w:val="000000"/>
                <w:kern w:val="0"/>
                <w:sz w:val="21"/>
                <w:szCs w:val="21"/>
                <w:u w:val="none"/>
                <w:lang w:val="en-US" w:eastAsia="zh-CN" w:bidi="ar"/>
              </w:rPr>
              <w:t>炼</w:t>
            </w:r>
            <w:r>
              <w:rPr>
                <w:rFonts w:hint="eastAsia" w:ascii="宋体" w:hAnsi="宋体" w:eastAsia="宋体" w:cs="宋体"/>
                <w:i w:val="0"/>
                <w:color w:val="000000"/>
                <w:kern w:val="0"/>
                <w:sz w:val="21"/>
                <w:szCs w:val="21"/>
                <w:u w:val="none"/>
                <w:lang w:val="en-US" w:eastAsia="zh-CN" w:bidi="ar"/>
              </w:rPr>
              <w:t>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全厂检修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650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2020年5月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天津石化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全厂检修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250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月</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月</w:t>
            </w:r>
            <w:r>
              <w:rPr>
                <w:rFonts w:hint="eastAsia" w:ascii="宋体" w:hAnsi="宋体" w:cs="宋体"/>
                <w:i w:val="0"/>
                <w:color w:val="000000"/>
                <w:kern w:val="0"/>
                <w:sz w:val="21"/>
                <w:szCs w:val="21"/>
                <w:u w:val="none"/>
                <w:lang w:val="en-US" w:eastAsia="zh-CN" w:bidi="ar"/>
              </w:rPr>
              <w:t>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大连石化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全厂装置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w:t>
            </w:r>
            <w:r>
              <w:rPr>
                <w:rFonts w:hint="eastAsia" w:ascii="宋体" w:hAnsi="宋体" w:cs="宋体"/>
                <w:i w:val="0"/>
                <w:color w:val="000000"/>
                <w:kern w:val="0"/>
                <w:sz w:val="21"/>
                <w:szCs w:val="21"/>
                <w:u w:val="none"/>
                <w:lang w:val="en-US" w:eastAsia="zh-CN" w:bidi="ar"/>
              </w:rPr>
              <w:t>年4月上旬陆续停</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月</w:t>
            </w:r>
            <w:r>
              <w:rPr>
                <w:rFonts w:hint="eastAsia" w:ascii="宋体" w:hAnsi="宋体" w:cs="宋体"/>
                <w:i w:val="0"/>
                <w:color w:val="000000"/>
                <w:kern w:val="0"/>
                <w:sz w:val="21"/>
                <w:szCs w:val="21"/>
                <w:u w:val="none"/>
                <w:lang w:val="en-US" w:eastAsia="zh-CN" w:bidi="ar"/>
              </w:rPr>
              <w:t>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广西石化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全厂装置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1000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2020/2/9</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2020年5月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宁夏</w:t>
            </w:r>
            <w:r>
              <w:rPr>
                <w:rFonts w:hint="eastAsia" w:ascii="宋体" w:hAnsi="宋体" w:eastAsia="宋体" w:cs="宋体"/>
                <w:i w:val="0"/>
                <w:color w:val="000000"/>
                <w:kern w:val="0"/>
                <w:sz w:val="21"/>
                <w:szCs w:val="21"/>
                <w:u w:val="none"/>
                <w:lang w:val="en-US" w:eastAsia="zh-CN" w:bidi="ar"/>
              </w:rPr>
              <w:t>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w:t>
            </w:r>
            <w:r>
              <w:rPr>
                <w:rFonts w:hint="eastAsia" w:ascii="宋体" w:hAnsi="宋体" w:cs="宋体"/>
                <w:i w:val="0"/>
                <w:color w:val="000000"/>
                <w:kern w:val="0"/>
                <w:sz w:val="21"/>
                <w:szCs w:val="21"/>
                <w:u w:val="none"/>
                <w:lang w:val="en-US" w:eastAsia="zh-CN" w:bidi="ar"/>
              </w:rPr>
              <w:t>检修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500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月</w:t>
            </w:r>
            <w:r>
              <w:rPr>
                <w:rFonts w:hint="eastAsia" w:ascii="宋体" w:hAnsi="宋体" w:cs="宋体"/>
                <w:i w:val="0"/>
                <w:color w:val="000000"/>
                <w:kern w:val="0"/>
                <w:sz w:val="21"/>
                <w:szCs w:val="21"/>
                <w:u w:val="none"/>
                <w:lang w:val="en-US" w:eastAsia="zh-CN" w:bidi="ar"/>
              </w:rPr>
              <w:t>初</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2020年8月中旬</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锦西石化</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全厂装置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700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2020年7月</w:t>
            </w:r>
            <w:r>
              <w:rPr>
                <w:rFonts w:hint="eastAsia" w:ascii="宋体" w:hAnsi="宋体" w:cs="宋体"/>
                <w:i w:val="0"/>
                <w:color w:val="000000"/>
                <w:kern w:val="0"/>
                <w:sz w:val="21"/>
                <w:szCs w:val="21"/>
                <w:u w:val="none"/>
                <w:lang w:val="en-US" w:eastAsia="zh-CN" w:bidi="ar"/>
              </w:rPr>
              <w:t>上旬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2020年9月底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惠州炼厂</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二期</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1000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2020年10月</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2020年12月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49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中海油气(泰州)</w:t>
            </w:r>
          </w:p>
        </w:tc>
        <w:tc>
          <w:tcPr>
            <w:tcW w:w="16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全厂检修</w:t>
            </w:r>
          </w:p>
        </w:tc>
        <w:tc>
          <w:tcPr>
            <w:tcW w:w="18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450</w:t>
            </w:r>
          </w:p>
        </w:tc>
        <w:tc>
          <w:tcPr>
            <w:tcW w:w="22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2020年3月中旬</w:t>
            </w:r>
          </w:p>
        </w:tc>
        <w:tc>
          <w:tcPr>
            <w:tcW w:w="214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4月下旬</w:t>
            </w:r>
          </w:p>
        </w:tc>
      </w:tr>
    </w:tbl>
    <w:p>
      <w:pPr>
        <w:numPr>
          <w:ilvl w:val="0"/>
          <w:numId w:val="0"/>
        </w:numPr>
        <w:rPr>
          <w:rFonts w:hint="eastAsia" w:ascii="宋体" w:hAnsi="宋体"/>
          <w:sz w:val="28"/>
          <w:szCs w:val="28"/>
          <w:highlight w:val="none"/>
        </w:rPr>
      </w:pPr>
    </w:p>
    <w:p>
      <w:pPr>
        <w:numPr>
          <w:ilvl w:val="0"/>
          <w:numId w:val="0"/>
        </w:numPr>
        <w:rPr>
          <w:rFonts w:hint="eastAsia" w:ascii="宋体" w:hAnsi="宋体"/>
          <w:sz w:val="28"/>
          <w:szCs w:val="28"/>
          <w:highlight w:val="none"/>
        </w:rPr>
      </w:pPr>
    </w:p>
    <w:p>
      <w:pPr>
        <w:numPr>
          <w:ilvl w:val="0"/>
          <w:numId w:val="0"/>
        </w:numPr>
        <w:rPr>
          <w:rFonts w:hint="eastAsia" w:ascii="宋体" w:hAnsi="宋体"/>
          <w:sz w:val="28"/>
          <w:szCs w:val="28"/>
          <w:highlight w:val="none"/>
        </w:rPr>
      </w:pPr>
    </w:p>
    <w:p>
      <w:pPr>
        <w:numPr>
          <w:ilvl w:val="0"/>
          <w:numId w:val="4"/>
        </w:numPr>
        <w:rPr>
          <w:rFonts w:hint="eastAsia" w:ascii="宋体" w:hAnsi="宋体"/>
          <w:sz w:val="28"/>
          <w:szCs w:val="28"/>
          <w:highlight w:val="none"/>
        </w:rPr>
      </w:pPr>
      <w:r>
        <w:rPr>
          <w:rFonts w:hint="eastAsia" w:ascii="宋体" w:hAnsi="宋体"/>
          <w:sz w:val="28"/>
          <w:szCs w:val="28"/>
          <w:highlight w:val="none"/>
        </w:rPr>
        <w:t>国内地方炼厂装置检修情况</w:t>
      </w:r>
    </w:p>
    <w:tbl>
      <w:tblPr>
        <w:tblStyle w:val="24"/>
        <w:tblW w:w="9405" w:type="dxa"/>
        <w:tblInd w:w="0" w:type="dxa"/>
        <w:shd w:val="clear" w:color="auto" w:fill="auto"/>
        <w:tblLayout w:type="autofit"/>
        <w:tblCellMar>
          <w:top w:w="0" w:type="dxa"/>
          <w:left w:w="0" w:type="dxa"/>
          <w:bottom w:w="0" w:type="dxa"/>
          <w:right w:w="0" w:type="dxa"/>
        </w:tblCellMar>
      </w:tblPr>
      <w:tblGrid>
        <w:gridCol w:w="1782"/>
        <w:gridCol w:w="1188"/>
        <w:gridCol w:w="1890"/>
        <w:gridCol w:w="2385"/>
        <w:gridCol w:w="2160"/>
      </w:tblGrid>
      <w:tr>
        <w:tblPrEx>
          <w:shd w:val="clear" w:color="auto" w:fill="auto"/>
          <w:tblCellMar>
            <w:top w:w="0" w:type="dxa"/>
            <w:left w:w="0" w:type="dxa"/>
            <w:bottom w:w="0" w:type="dxa"/>
            <w:right w:w="0" w:type="dxa"/>
          </w:tblCellMar>
        </w:tblPrEx>
        <w:trPr>
          <w:trHeight w:val="240" w:hRule="atLeast"/>
        </w:trPr>
        <w:tc>
          <w:tcPr>
            <w:tcW w:w="1782"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炼厂名称</w:t>
            </w:r>
          </w:p>
        </w:tc>
        <w:tc>
          <w:tcPr>
            <w:tcW w:w="1188"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检修装置</w:t>
            </w:r>
          </w:p>
        </w:tc>
        <w:tc>
          <w:tcPr>
            <w:tcW w:w="189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检修产能（万吨）</w:t>
            </w:r>
          </w:p>
        </w:tc>
        <w:tc>
          <w:tcPr>
            <w:tcW w:w="238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停工时间</w:t>
            </w:r>
          </w:p>
        </w:tc>
        <w:tc>
          <w:tcPr>
            <w:tcW w:w="216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开工时间</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海右(晨曦)石化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350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2018年5月1日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计划2020年7月7日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万通石化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全厂检修</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650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2019年9月14日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2020年3月16日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岚桥石化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全厂检修</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350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2019年9月10日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2020年5月10日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滨阳燃化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2019年11月</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汇丰石化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230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2019年11月18日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2020年3月30日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奥星(亨润德)石化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2019年12月23日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2020年1月22日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海化石化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240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2019年12月26日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延迟重启、待定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中海精细化工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全厂检修</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230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2020年1月12日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2020年3月28日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万达天弘</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500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2020年1月18日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cs="宋体"/>
                <w:i w:val="0"/>
                <w:color w:val="000000"/>
                <w:kern w:val="0"/>
                <w:sz w:val="21"/>
                <w:szCs w:val="21"/>
                <w:u w:val="none"/>
                <w:lang w:val="en-US" w:eastAsia="zh-CN" w:bidi="ar"/>
              </w:rPr>
              <w:t>2020年3月20日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恒源石化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2020年1月28日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2020年2月29日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富宇化工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2020年4月2</w:t>
            </w:r>
            <w:r>
              <w:rPr>
                <w:rFonts w:hint="eastAsia" w:ascii="宋体" w:hAnsi="宋体" w:cs="宋体"/>
                <w:i w:val="0"/>
                <w:color w:val="000000"/>
                <w:kern w:val="0"/>
                <w:sz w:val="21"/>
                <w:szCs w:val="21"/>
                <w:u w:val="none"/>
                <w:lang w:val="en-US" w:eastAsia="zh-CN" w:bidi="ar"/>
              </w:rPr>
              <w:t>9</w:t>
            </w:r>
            <w:r>
              <w:rPr>
                <w:rFonts w:hint="eastAsia" w:ascii="宋体" w:hAnsi="宋体" w:eastAsia="宋体" w:cs="宋体"/>
                <w:i w:val="0"/>
                <w:color w:val="000000"/>
                <w:kern w:val="0"/>
                <w:sz w:val="21"/>
                <w:szCs w:val="21"/>
                <w:u w:val="none"/>
                <w:lang w:val="en-US" w:eastAsia="zh-CN" w:bidi="ar"/>
              </w:rPr>
              <w:t>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中海沥青滨州</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2020年3月9日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亚通石化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焦化</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2020年1月27日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2020年2月15日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东方华龙</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催化</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120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东方华龙</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汽油加氢</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40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尚能石化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2020年3月8日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神驰化工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260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2020年2月4日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2020年3月16日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玉皇盛世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2020年2月3日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2020年3月4日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滨阳燃化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250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2020年2月8日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2020年2月27日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寿光联盟</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2020年2月28日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金诚石化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230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2020年3月27日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胜星化工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380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2020年2月10日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Cs w:val="21"/>
                <w:lang w:val="en-US" w:eastAsia="zh-CN"/>
              </w:rPr>
            </w:pPr>
            <w:r>
              <w:rPr>
                <w:rFonts w:hint="eastAsia" w:ascii="宋体" w:hAnsi="宋体" w:eastAsia="宋体" w:cs="宋体"/>
                <w:i w:val="0"/>
                <w:color w:val="000000"/>
                <w:kern w:val="0"/>
                <w:sz w:val="21"/>
                <w:szCs w:val="21"/>
                <w:u w:val="none"/>
                <w:lang w:val="en-US" w:eastAsia="zh-CN" w:bidi="ar"/>
              </w:rPr>
              <w:t>2020年3月12日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科力达石化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2020年2月28日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华星石化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2020年3月20日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正和石化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2020年3月20日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昌邑石化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2020年2月14日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2020年3月16日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无棣鑫岳</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2020年2月16日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2020年3月9日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中海沥青滨州</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2020年2月19日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2020年3月9日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华联石化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全厂停工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2020年3月20日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2020年4月</w:t>
            </w:r>
            <w:r>
              <w:rPr>
                <w:rFonts w:hint="eastAsia" w:ascii="宋体" w:hAnsi="宋体" w:cs="宋体"/>
                <w:i w:val="0"/>
                <w:color w:val="000000"/>
                <w:kern w:val="0"/>
                <w:sz w:val="21"/>
                <w:szCs w:val="21"/>
                <w:u w:val="none"/>
                <w:lang w:val="en-US" w:eastAsia="zh-CN" w:bidi="ar"/>
              </w:rPr>
              <w:t>29</w:t>
            </w:r>
            <w:r>
              <w:rPr>
                <w:rFonts w:hint="eastAsia" w:ascii="宋体" w:hAnsi="宋体" w:eastAsia="宋体" w:cs="宋体"/>
                <w:i w:val="0"/>
                <w:color w:val="000000"/>
                <w:kern w:val="0"/>
                <w:sz w:val="21"/>
                <w:szCs w:val="21"/>
                <w:u w:val="none"/>
                <w:lang w:val="en-US" w:eastAsia="zh-CN" w:bidi="ar"/>
              </w:rPr>
              <w:t>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永鑫化工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2020年</w:t>
            </w:r>
            <w:r>
              <w:rPr>
                <w:rFonts w:hint="eastAsia" w:ascii="宋体" w:hAnsi="宋体" w:cs="宋体"/>
                <w:i w:val="0"/>
                <w:color w:val="000000"/>
                <w:kern w:val="0"/>
                <w:sz w:val="21"/>
                <w:szCs w:val="21"/>
                <w:u w:val="none"/>
                <w:lang w:val="en-US" w:eastAsia="zh-CN" w:bidi="ar"/>
              </w:rPr>
              <w:t>5月初</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2020年5月20日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永鑫化工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催化</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160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2020年3月15日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2020年5月1日</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金诚石化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常减压</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230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2020年5月18日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汇丰石化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焦化</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2020年6月1日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汇丰石化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柴油加氢</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100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2020年6月1日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待定</w:t>
            </w:r>
          </w:p>
        </w:tc>
      </w:tr>
      <w:tr>
        <w:tblPrEx>
          <w:tblCellMar>
            <w:top w:w="0" w:type="dxa"/>
            <w:left w:w="0" w:type="dxa"/>
            <w:bottom w:w="0" w:type="dxa"/>
            <w:right w:w="0" w:type="dxa"/>
          </w:tblCellMar>
        </w:tblPrEx>
        <w:trPr>
          <w:trHeight w:val="285" w:hRule="atLeast"/>
        </w:trPr>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奥星石化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全厂检修</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220</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2020年6月23日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预计2020年7月底</w:t>
            </w:r>
          </w:p>
        </w:tc>
      </w:tr>
    </w:tbl>
    <w:p>
      <w:pPr>
        <w:numPr>
          <w:ilvl w:val="0"/>
          <w:numId w:val="0"/>
        </w:numPr>
        <w:jc w:val="center"/>
        <w:rPr>
          <w:rFonts w:hint="eastAsia" w:ascii="宋体" w:hAnsi="宋体"/>
          <w:sz w:val="28"/>
          <w:szCs w:val="28"/>
          <w:highlight w:val="none"/>
        </w:rPr>
      </w:pPr>
    </w:p>
    <w:p>
      <w:pPr>
        <w:rPr>
          <w:rFonts w:hint="eastAsia"/>
        </w:rPr>
      </w:pPr>
      <w:bookmarkStart w:id="11" w:name="_Toc533771869"/>
    </w:p>
    <w:bookmarkEnd w:id="11"/>
    <w:p>
      <w:pPr>
        <w:pStyle w:val="3"/>
        <w:spacing w:before="120" w:after="120" w:line="240" w:lineRule="auto"/>
        <w:rPr>
          <w:rFonts w:hint="eastAsia" w:ascii="宋体" w:hAnsi="宋体"/>
          <w:b/>
          <w:sz w:val="30"/>
          <w:szCs w:val="30"/>
          <w:highlight w:val="none"/>
        </w:rPr>
      </w:pPr>
      <w:bookmarkStart w:id="12" w:name="_Toc533771870"/>
      <w:r>
        <w:rPr>
          <w:rFonts w:hint="eastAsia" w:ascii="宋体" w:hAnsi="宋体"/>
          <w:b/>
          <w:sz w:val="30"/>
          <w:szCs w:val="30"/>
          <w:highlight w:val="none"/>
        </w:rPr>
        <w:t>3.2本周成品油市场行情</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bookmarkStart w:id="22" w:name="_GoBack"/>
      <w:r>
        <w:rPr>
          <w:rFonts w:hint="eastAsia" w:asciiTheme="minorEastAsia" w:hAnsiTheme="minorEastAsia" w:eastAsiaTheme="minorEastAsia" w:cstheme="minorEastAsia"/>
          <w:color w:val="333335"/>
          <w:kern w:val="2"/>
          <w:sz w:val="28"/>
          <w:szCs w:val="28"/>
          <w:shd w:val="clear" w:color="auto" w:fill="FFFFFF"/>
        </w:rPr>
        <w:t>本周，国际原油期货保持上涨趋势，据测算第九个工作日参考原油变化率为0.9%。受此影响，国内成品油市场购销氛围持淡，各地主营单位汽柴油销售执行优惠政策。与此同时，山东地炼成品油行情稳中上行，区内炼厂报价谨慎推涨，但成交保持100元/吨左右优惠。具体来看出货方面：受外盘油价连续收涨提振，区内油市看涨气氛热烈，中下游商家纷纷入市采购，从而使得地炼整体出货表现良好，库存普遍降至低位。</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本周(7月31日-8月6日)终端需求恢复缓慢，华中区内再现汽涨柴跌 具体分析如下，周内，国际原油震荡走高，变化率维持正向窄幅波动，消息面向好发展但支撑力度有限。区内强降雨天气明显减少，但高温天气依然令户外工程基建项目开工受阻，从而抑制柴油终端消耗，不过汽油空调用油消耗增加。汽柴油终端需求延续分化态势。与此同时，步入新一销售周期，主营销售及降库压力并存。随着消息面向好发展，部分单位汽油价格试探性推高，柴油则侧重出货，时有降价促销操作。下游用户消化库存为主，入市采购十分有限，市场整体购销气氛清淡不已。后市而言，国际原油或延续窄幅震荡走势，本轮变化率大概率搁浅，消息面支撑有限。主营客存消耗有待时日，加之下游需求恢复缓慢，故预计下周华中地区汽柴油价格或维持横盘整理走势。</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(7月31日-8月6日)，华北地区主营库存压力仍存，区内报价稳中推涨。分析来看，国际原油价格周内走势整体上移，市场消息面得以支撑，商家挺价心态较重，其中河南、河北、北京、山西地区报价出现30-150元/吨不同的涨幅，但市场搁浅预期仍存，下游继续入市心态不高，业者主要消耗前期库存，主营单位积极排库走量，成交气氛维持淡稳。临近周末原油价格延续涨势，部分单位报价继续小幅上涨，但区内降雨范围扩大抑制下游成交，市场有价无市现象明显。后市而言，美原油价格刷新五个月高位，周内EIA原油库存大降以及美元走低也对油价构成支撑，但疫情反弹的相关担忧继续打压市场，后市原油价格反弹动力略显不足，国内调价本轮大概率继续搁浅，区内主营单位任务继续降库为主，因新一轮调价预期有望显示上涨，预计区内油价走势短期内继续维持坚挺，个别单位或继续推涨。</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(7月31日-8月6日)，华东地区成品油行情汽涨柴跌，市场整体交投氛围保持清淡。具体来看，周内国际油价偏强运行，消息面利好支撑。与此同时，山东地炼汽油价格上涨，令主营外采成本一路上扬。随着台风“黑格比”登陆浙江东南沿海，上海以及长江口地区也受此影响，部分地区降雨集中。受原油影响华东地区江苏部分主营借势推涨汽柴油价格，而上海及浙江地区汽柴油价格则基本维持稳定，但区内汽柴油终端消耗以及需求未明显上升，且部分主营客存量保持高位，致销售出货积极性不高，但之后晴好天气出现，各地区大型基建等项目开启，市场忧虑情绪缓解，下游业者消库观望之余按需补货，整体交投气氛保持清淡。综上所述，市场观望情绪为主，业者入市补货按需，整体成交保持清淡。后期来看，国际原油或偏强震荡，消息面或存有一定支撑。预计下周华东地区成品油行情或稳中上扬。</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(7月31日-8月6日)，柴油行情延续震荡下滑走势，汽油市场呈现稳步走高趋势，不过整体交投气氛依旧欠佳。具体来看，周内国际原油市场美国提出新的强化就业计划，市场对于需求前景复苏的忧虑减轻，EIA原油库存大幅下降且美国原油产量出现下降，支撑原油价格持续震荡走高，但由于涨幅有限，并未带动成品油调价窗口突破50元/吨的调价红线，明日调价窗口再次搁浅的可能性较大。受原油价格震荡走高提振，华南地区汽油市场延续稳步推涨走势，日均涨幅维持在50元/吨，下游汽车空调用油增加，终端市场需求情况尚可，成交气氛良好。柴油市场维持低价盘整局面，区内持续暴雨天气严重影响基建工程、交通物流等需求量，下游终端客户采购积极性低迷，市场屯仓需求不高，多按需定进为主，主营单位库存压力明显。后市来看，国际原油维持稳步走高趋势，对油价形成利好支撑，但由于需求情况难有明显好转，终端市场消费量有限，预计汽油市场上涨空间受限，而柴油市场维持稳价的可能性较大。</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(7月31日-8月6日)，西北地炼汽柴行情维持平稳，市场成交气氛平平。分析来看：周内国际油价维持上行趋势，但变化率0附近波动，本轮调价或将搁浅，消息面对市场影响有限。另外，柴油仍处于消费淡季，加之，业者前期适量备货，周内市场处于库存消耗期，市场成交清淡;汽油仍处于消费旺季，不过，消息面难有提振，业者补货积极性转淡，市场成交亦无明显提升。销售公司出货一般，汽柴价格趋稳。就后市而言，本周五成品油调价或搁浅，进入新一轮计价周期，国际油价走势或仍维持弱势震荡，消息面对市场指引有限。不过，柴油需求将逐步好转，而汽油需求亦有支撑，下游需求整体向好。业者或适量补货，市场成交将有所提升。预计短线西北地炼汽柴行情仍维持坚挺。</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本周(7月31日-8月6日)，西南地区汽柴行情走势震荡，市场成交延续清淡。分析来看：周内国际油价连续收涨，消息面逐步向好，但本轮调价与否仍存争议，消息面对市场指引有限。月初主营单位销售政策灵活，汽柴价格稳中整理。不过，由于正值雨季，工矿基建等户外用油企业开工受限，柴油需求仍显低迷。社会库存消耗缓慢，业者入市补货稀少，整体行情呈现震荡下行趋势;暑期私家车出行增多，且夏季车用空调开启亦增加汽油消耗量，主营价格跌后反弹，整体行情有所提升。就后市而言，本轮调价搁浅仍为大概率事件，且后期国际油价或维持弱势震荡，消息面对市场难有提振。与此同时，下游需求难有提升，业者操作心态谨慎，市场成交难见活跃。不过，主营外采成本居高不下，预计短线西南地区汽柴行情偏强震荡。</w:t>
      </w:r>
    </w:p>
    <w:p>
      <w:pPr>
        <w:pStyle w:val="23"/>
        <w:spacing w:line="360" w:lineRule="auto"/>
        <w:ind w:firstLine="560" w:firstLineChars="200"/>
        <w:rPr>
          <w:rFonts w:hint="eastAsia" w:asciiTheme="minorEastAsia" w:hAnsiTheme="minorEastAsia" w:eastAsiaTheme="minorEastAsia" w:cstheme="minorEastAsia"/>
          <w:color w:val="333335"/>
          <w:kern w:val="2"/>
          <w:sz w:val="28"/>
          <w:szCs w:val="28"/>
          <w:shd w:val="clear" w:color="auto" w:fill="FFFFFF"/>
        </w:rPr>
      </w:pPr>
      <w:r>
        <w:rPr>
          <w:rFonts w:hint="eastAsia" w:asciiTheme="minorEastAsia" w:hAnsiTheme="minorEastAsia" w:eastAsiaTheme="minorEastAsia" w:cstheme="minorEastAsia"/>
          <w:color w:val="333335"/>
          <w:kern w:val="2"/>
          <w:sz w:val="28"/>
          <w:szCs w:val="28"/>
          <w:shd w:val="clear" w:color="auto" w:fill="FFFFFF"/>
        </w:rPr>
        <w:t>后市前瞻：进入下周，疫情与OPEC增产将在一定程度上抑制油价的涨幅，原油价格将继续保持弱势震荡的局面。以WTI为例，主流运行区间在40-44(均值42)美元/桶之间，环比上涨0.98美元/桶或2.39%。在消息面利好因素作用下，山东地区成品油行情有望保持坚挺，买卖双方操作积极性提升，市场交投气氛活跃。综上所述，预计山东地炼成品油行情保持涨势，幅度在100-200元/吨。</w:t>
      </w:r>
    </w:p>
    <w:bookmarkEnd w:id="22"/>
    <w:p>
      <w:pPr>
        <w:pStyle w:val="23"/>
        <w:spacing w:line="360" w:lineRule="auto"/>
        <w:ind w:firstLine="560" w:firstLineChars="200"/>
        <w:rPr>
          <w:rFonts w:hint="default" w:asciiTheme="minorEastAsia" w:hAnsiTheme="minorEastAsia" w:eastAsiaTheme="minorEastAsia" w:cstheme="minorEastAsia"/>
          <w:color w:val="333335"/>
          <w:kern w:val="2"/>
          <w:sz w:val="28"/>
          <w:szCs w:val="28"/>
          <w:shd w:val="clear" w:color="auto" w:fill="FFFFFF"/>
          <w:lang w:eastAsia="zh-CN"/>
        </w:rPr>
      </w:pPr>
    </w:p>
    <w:p>
      <w:pPr>
        <w:pStyle w:val="3"/>
        <w:spacing w:before="120" w:after="120" w:line="240" w:lineRule="auto"/>
        <w:rPr>
          <w:rFonts w:ascii="宋体" w:hAnsi="宋体"/>
          <w:b/>
          <w:sz w:val="30"/>
          <w:szCs w:val="30"/>
        </w:rPr>
      </w:pPr>
      <w:r>
        <w:rPr>
          <w:rFonts w:hint="eastAsia" w:ascii="宋体" w:hAnsi="宋体"/>
          <w:b/>
          <w:sz w:val="30"/>
          <w:szCs w:val="30"/>
        </w:rPr>
        <w:t>3.3 国内汽油价格周报</w:t>
      </w:r>
      <w:bookmarkEnd w:id="12"/>
    </w:p>
    <w:p>
      <w:pPr>
        <w:rPr>
          <w:rFonts w:hint="eastAsia"/>
        </w:rPr>
      </w:pPr>
      <w:r>
        <w:rPr>
          <w:rFonts w:hint="eastAsia"/>
        </w:rPr>
        <w:t>单位：元/吨</w:t>
      </w:r>
    </w:p>
    <w:p>
      <w:pPr>
        <w:rPr>
          <w:rFonts w:hint="eastAsia"/>
        </w:rPr>
      </w:pPr>
    </w:p>
    <w:tbl>
      <w:tblPr>
        <w:tblW w:w="9615" w:type="dxa"/>
        <w:tblInd w:w="0" w:type="dxa"/>
        <w:shd w:val="clear"/>
        <w:tblLayout w:type="autofit"/>
        <w:tblCellMar>
          <w:top w:w="0" w:type="dxa"/>
          <w:left w:w="0" w:type="dxa"/>
          <w:bottom w:w="0" w:type="dxa"/>
          <w:right w:w="0" w:type="dxa"/>
        </w:tblCellMar>
      </w:tblPr>
      <w:tblGrid>
        <w:gridCol w:w="825"/>
        <w:gridCol w:w="1080"/>
        <w:gridCol w:w="1005"/>
        <w:gridCol w:w="945"/>
        <w:gridCol w:w="1080"/>
        <w:gridCol w:w="1080"/>
        <w:gridCol w:w="1080"/>
        <w:gridCol w:w="1260"/>
        <w:gridCol w:w="1260"/>
      </w:tblGrid>
      <w:tr>
        <w:tblPrEx>
          <w:shd w:val="clear"/>
          <w:tblCellMar>
            <w:top w:w="0" w:type="dxa"/>
            <w:left w:w="0" w:type="dxa"/>
            <w:bottom w:w="0" w:type="dxa"/>
            <w:right w:w="0" w:type="dxa"/>
          </w:tblCellMar>
        </w:tblPrEx>
        <w:trPr>
          <w:trHeight w:val="240" w:hRule="atLeast"/>
        </w:trPr>
        <w:tc>
          <w:tcPr>
            <w:tcW w:w="82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城市</w:t>
            </w:r>
          </w:p>
        </w:tc>
        <w:tc>
          <w:tcPr>
            <w:tcW w:w="100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企业性质</w:t>
            </w:r>
          </w:p>
        </w:tc>
        <w:tc>
          <w:tcPr>
            <w:tcW w:w="94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涨跌</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2020/8/6</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2020/7/30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沪Ⅳ</w:t>
            </w:r>
            <w:r>
              <w:rPr>
                <w:rFonts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沪Ⅳ</w:t>
            </w:r>
            <w:r>
              <w:rPr>
                <w:rFonts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沪Ⅳ</w:t>
            </w:r>
            <w:r>
              <w:rPr>
                <w:rFonts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沪Ⅳ</w:t>
            </w:r>
            <w:r>
              <w:rPr>
                <w:rFonts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南通市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南通市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无锡市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无锡市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徐州市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徐州市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连云港市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盐城市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盐城市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衢州市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潮州市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潮州市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粤四</w:t>
            </w:r>
            <w:r>
              <w:rPr>
                <w:rFonts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海口市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海口市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厦门市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厦门市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5970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6270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5760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5760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6160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6160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5730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5930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郑州市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5940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开封市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5930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青岛市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枣庄市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德州市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石家庄市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6070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石家庄市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5870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任丘市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5870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6320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6070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7136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7136</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7626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7626</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7136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7136</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7626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7626</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6450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九江市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合肥市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合肥市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武汉市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武汉市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6500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6200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成都市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成都市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重庆市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重庆市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南宁市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南宁市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5860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贵阳市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贵阳市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昆明市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昆明市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6100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E97#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西安市</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5520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东北</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吉林市</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吉林中油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东北</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吉林市</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吉林中油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批发价</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r>
    </w:tbl>
    <w:p>
      <w:pPr>
        <w:rPr>
          <w:rFonts w:hint="eastAsia"/>
          <w:bCs/>
          <w:szCs w:val="21"/>
          <w:lang w:val="en-US" w:eastAsia="zh-CN"/>
        </w:rPr>
      </w:pPr>
    </w:p>
    <w:p>
      <w:pPr>
        <w:pStyle w:val="3"/>
        <w:spacing w:before="120" w:after="120" w:line="240" w:lineRule="auto"/>
        <w:rPr>
          <w:rFonts w:hint="eastAsia" w:ascii="宋体" w:hAnsi="宋体"/>
          <w:b/>
          <w:sz w:val="30"/>
          <w:szCs w:val="30"/>
          <w:lang w:val="en-US" w:eastAsia="zh-CN"/>
        </w:rPr>
      </w:pPr>
      <w:bookmarkStart w:id="13" w:name="_Toc533771871"/>
      <w:r>
        <w:rPr>
          <w:rFonts w:hint="eastAsia" w:ascii="宋体" w:hAnsi="宋体"/>
          <w:b/>
          <w:sz w:val="30"/>
          <w:szCs w:val="30"/>
          <w:lang w:val="en-US" w:eastAsia="zh-CN"/>
        </w:rPr>
        <w:t>3.4国内柴油价格周报</w:t>
      </w:r>
      <w:bookmarkEnd w:id="13"/>
    </w:p>
    <w:p>
      <w:pPr>
        <w:rPr>
          <w:rFonts w:hint="eastAsia"/>
          <w:lang w:val="en-US" w:eastAsia="zh-CN"/>
        </w:rPr>
      </w:pPr>
      <w:r>
        <w:rPr>
          <w:rFonts w:hint="eastAsia"/>
          <w:lang w:val="en-US" w:eastAsia="zh-CN"/>
        </w:rPr>
        <w:t>单位：元/吨</w:t>
      </w:r>
    </w:p>
    <w:tbl>
      <w:tblPr>
        <w:tblW w:w="9675" w:type="dxa"/>
        <w:tblInd w:w="0" w:type="dxa"/>
        <w:shd w:val="clear"/>
        <w:tblLayout w:type="autofit"/>
        <w:tblCellMar>
          <w:top w:w="0" w:type="dxa"/>
          <w:left w:w="0" w:type="dxa"/>
          <w:bottom w:w="0" w:type="dxa"/>
          <w:right w:w="0" w:type="dxa"/>
        </w:tblCellMar>
      </w:tblPr>
      <w:tblGrid>
        <w:gridCol w:w="780"/>
        <w:gridCol w:w="1080"/>
        <w:gridCol w:w="1080"/>
        <w:gridCol w:w="945"/>
        <w:gridCol w:w="795"/>
        <w:gridCol w:w="1080"/>
        <w:gridCol w:w="885"/>
        <w:gridCol w:w="1515"/>
        <w:gridCol w:w="1515"/>
      </w:tblGrid>
      <w:tr>
        <w:tblPrEx>
          <w:shd w:val="clear"/>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bookmarkStart w:id="14" w:name="_Toc533771872"/>
            <w:r>
              <w:rPr>
                <w:rFonts w:hint="eastAsia" w:ascii="宋体" w:hAnsi="宋体" w:eastAsia="宋体" w:cs="宋体"/>
                <w:i w:val="0"/>
                <w:color w:val="000000"/>
                <w:kern w:val="0"/>
                <w:sz w:val="20"/>
                <w:szCs w:val="20"/>
                <w:u w:val="none"/>
                <w:bdr w:val="none" w:color="auto" w:sz="0" w:space="0"/>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城市</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企业性质</w:t>
            </w:r>
          </w:p>
        </w:tc>
        <w:tc>
          <w:tcPr>
            <w:tcW w:w="94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产品名称</w:t>
            </w:r>
          </w:p>
        </w:tc>
        <w:tc>
          <w:tcPr>
            <w:tcW w:w="79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价格类型</w:t>
            </w:r>
          </w:p>
        </w:tc>
        <w:tc>
          <w:tcPr>
            <w:tcW w:w="88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涨跌</w:t>
            </w:r>
          </w:p>
        </w:tc>
        <w:tc>
          <w:tcPr>
            <w:tcW w:w="15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2020/8/6</w:t>
            </w:r>
          </w:p>
        </w:tc>
        <w:tc>
          <w:tcPr>
            <w:tcW w:w="15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2020/7/30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沪Ⅳ0#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沪Ⅳ0#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南京市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南京市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南通市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南通市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无锡市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无锡市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江阴市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江阴市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徐州市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盐城市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5170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5120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盐城市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连云港市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5170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杭州市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杭州市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宁波市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温州市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温州市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衢州市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舟山市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广州市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广州市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广州市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茂名市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茂名市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深圳市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深圳市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深圳市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东莞市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惠州市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惠州市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潮州市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福州市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福州市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厦门市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厦门市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海口市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5355</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5355</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5220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5220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5180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-30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5160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5260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任丘市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-30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5410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5784</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5784</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5784</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5784</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德州市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德州市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5784</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5784</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郑州市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郑州市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5420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开封市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5540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5540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开封市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5420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商丘市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商丘市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5420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九江市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南昌市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南昌市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长沙市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长沙市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武汉市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武汉市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合肥市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合肥市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成都市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成都市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重庆市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重庆市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南宁市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5430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5530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南宁市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贵阳市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贵阳市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昆明市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昆明市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大连市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大连市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5480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5480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西安市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5000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吉林市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吉林中油</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5595</w:t>
            </w:r>
          </w:p>
        </w:tc>
        <w:tc>
          <w:tcPr>
            <w:tcW w:w="15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5595</w:t>
            </w:r>
          </w:p>
        </w:tc>
      </w:tr>
    </w:tbl>
    <w:p>
      <w:pPr>
        <w:pStyle w:val="3"/>
        <w:spacing w:before="120" w:after="120" w:line="240" w:lineRule="auto"/>
        <w:rPr>
          <w:rFonts w:hint="eastAsia" w:ascii="宋体" w:hAnsi="宋体"/>
          <w:b/>
          <w:sz w:val="30"/>
          <w:szCs w:val="30"/>
          <w:lang w:val="en-US" w:eastAsia="zh-CN"/>
        </w:rPr>
      </w:pPr>
    </w:p>
    <w:p>
      <w:pPr>
        <w:rPr>
          <w:rFonts w:hint="eastAsia"/>
          <w:lang w:val="en-US" w:eastAsia="zh-CN"/>
        </w:rPr>
      </w:pPr>
    </w:p>
    <w:p>
      <w:pPr>
        <w:pStyle w:val="3"/>
        <w:spacing w:before="120" w:after="120" w:line="240" w:lineRule="auto"/>
        <w:rPr>
          <w:rFonts w:hint="eastAsia" w:ascii="宋体" w:hAnsi="宋体"/>
          <w:b/>
          <w:sz w:val="30"/>
          <w:szCs w:val="30"/>
          <w:lang w:val="en-US" w:eastAsia="zh-CN"/>
        </w:rPr>
      </w:pPr>
      <w:r>
        <w:rPr>
          <w:rFonts w:hint="eastAsia" w:ascii="宋体" w:hAnsi="宋体"/>
          <w:b/>
          <w:sz w:val="30"/>
          <w:szCs w:val="30"/>
          <w:lang w:val="en-US" w:eastAsia="zh-CN"/>
        </w:rPr>
        <w:t>3.5 山东地炼汽油出厂价格周报</w:t>
      </w:r>
      <w:bookmarkEnd w:id="14"/>
    </w:p>
    <w:p>
      <w:pPr>
        <w:rPr>
          <w:rFonts w:hint="eastAsia"/>
          <w:lang w:val="en-US" w:eastAsia="zh-CN"/>
        </w:rPr>
      </w:pPr>
      <w:r>
        <w:rPr>
          <w:rFonts w:hint="eastAsia"/>
          <w:lang w:val="en-US" w:eastAsia="zh-CN"/>
        </w:rPr>
        <w:t>单位：元/吨</w:t>
      </w:r>
    </w:p>
    <w:p>
      <w:pPr>
        <w:rPr>
          <w:rFonts w:hint="eastAsia"/>
          <w:lang w:val="en-US" w:eastAsia="zh-CN"/>
        </w:rPr>
      </w:pPr>
    </w:p>
    <w:p>
      <w:pPr>
        <w:rPr>
          <w:rFonts w:hint="eastAsia"/>
          <w:bCs/>
          <w:szCs w:val="21"/>
          <w:lang w:val="en-US" w:eastAsia="zh-CN"/>
        </w:rPr>
      </w:pPr>
    </w:p>
    <w:tbl>
      <w:tblPr>
        <w:tblW w:w="9705" w:type="dxa"/>
        <w:tblInd w:w="0" w:type="dxa"/>
        <w:shd w:val="clear"/>
        <w:tblLayout w:type="autofit"/>
        <w:tblCellMar>
          <w:top w:w="0" w:type="dxa"/>
          <w:left w:w="0" w:type="dxa"/>
          <w:bottom w:w="0" w:type="dxa"/>
          <w:right w:w="0" w:type="dxa"/>
        </w:tblCellMar>
      </w:tblPr>
      <w:tblGrid>
        <w:gridCol w:w="945"/>
        <w:gridCol w:w="1470"/>
        <w:gridCol w:w="1170"/>
        <w:gridCol w:w="1155"/>
        <w:gridCol w:w="1065"/>
        <w:gridCol w:w="1080"/>
        <w:gridCol w:w="1410"/>
        <w:gridCol w:w="1410"/>
      </w:tblGrid>
      <w:tr>
        <w:tblPrEx>
          <w:shd w:val="clear"/>
          <w:tblCellMar>
            <w:top w:w="0" w:type="dxa"/>
            <w:left w:w="0" w:type="dxa"/>
            <w:bottom w:w="0" w:type="dxa"/>
            <w:right w:w="0" w:type="dxa"/>
          </w:tblCellMar>
        </w:tblPrEx>
        <w:trPr>
          <w:trHeight w:val="5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bookmarkStart w:id="15" w:name="_Toc533771873"/>
            <w:r>
              <w:rPr>
                <w:rFonts w:hint="eastAsia" w:ascii="宋体" w:hAnsi="宋体" w:eastAsia="宋体" w:cs="宋体"/>
                <w:i w:val="0"/>
                <w:color w:val="000000"/>
                <w:kern w:val="0"/>
                <w:sz w:val="20"/>
                <w:szCs w:val="20"/>
                <w:u w:val="none"/>
                <w:bdr w:val="none" w:color="auto" w:sz="0" w:space="0"/>
                <w:lang w:val="en-US" w:eastAsia="zh-CN" w:bidi="ar"/>
              </w:rPr>
              <w:t>省份</w:t>
            </w:r>
          </w:p>
        </w:tc>
        <w:tc>
          <w:tcPr>
            <w:tcW w:w="147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生产厂家</w:t>
            </w:r>
          </w:p>
        </w:tc>
        <w:tc>
          <w:tcPr>
            <w:tcW w:w="117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型号</w:t>
            </w:r>
          </w:p>
        </w:tc>
        <w:tc>
          <w:tcPr>
            <w:tcW w:w="115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产品名称</w:t>
            </w:r>
          </w:p>
        </w:tc>
        <w:tc>
          <w:tcPr>
            <w:tcW w:w="106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涨跌</w:t>
            </w:r>
          </w:p>
        </w:tc>
        <w:tc>
          <w:tcPr>
            <w:tcW w:w="141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2020/8/6</w:t>
            </w:r>
          </w:p>
        </w:tc>
        <w:tc>
          <w:tcPr>
            <w:tcW w:w="141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2020/7/30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利津石化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5330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利津石化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5480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神驰化工</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神驰化工</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华联石化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5540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5520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华联石化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5680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华联石化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5540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5520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正和集团</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正和集团</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华星石化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华星石化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垦利石化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5530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5480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东方华龙</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东方华龙</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5460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海科集团</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5465</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5565</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海科集团</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140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5855</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5715</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海科瑞林</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恒源石化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恒源石化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恒源石化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123</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5645</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5522</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122</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5723</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5601</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127</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5885</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5758</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永鑫化工</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5500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5410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永鑫化工</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5460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东明石化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80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5720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东明石化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东明石化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80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5960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5880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玉皇盛世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玉皇盛世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5590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金诚石化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5540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金诚石化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5600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5510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汇丰石化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5510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5480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汇丰石化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5630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5470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5470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5600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5600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弘润石化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200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弘润石化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弘润石化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200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5800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昌邑石化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昌邑石化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寿光鲁清</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5300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5210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寿光鲁清</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5400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5310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石大科技</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石大科技</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胜华化工</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胜华化工</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中海石油东营石化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中海石油东营石化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国四90#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国四93#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亚通石化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化二炼厂</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化二炼厂</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长城炼厂</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长城炼厂</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济南天蓝石油</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济南天蓝石油</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高青宏远</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高青宏远</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清源石化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清源石化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安邦石化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安邦石化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亿源石化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亿源石化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亿源石化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石大科技石化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石大科技石化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晨曦化工</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晨曦化工</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榆林炼厂公路</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榆林炼厂公路</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榆林炼厂铁路</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永坪炼厂公路</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永坪炼厂公路</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永坪炼厂铁路</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永坪炼厂铁路</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延安炼厂公路</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延安炼厂公路</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5950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延安炼厂铁路</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延安炼厂铁路</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西安临潼公路</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5650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西安临潼铁路</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5450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5450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浙江</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金澳科技</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160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5730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5570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浙江</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金澳科技</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160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6030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5870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宁夏宝塔石化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宁夏宝塔石化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宁夏宝塔石化</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bl>
    <w:p>
      <w:pPr>
        <w:pStyle w:val="3"/>
        <w:spacing w:before="120" w:after="120" w:line="240" w:lineRule="auto"/>
        <w:rPr>
          <w:rFonts w:hint="eastAsia" w:ascii="宋体" w:hAnsi="宋体"/>
          <w:b/>
          <w:sz w:val="30"/>
          <w:szCs w:val="30"/>
          <w:lang w:val="en-US" w:eastAsia="zh-CN"/>
        </w:rPr>
      </w:pPr>
    </w:p>
    <w:p>
      <w:pPr>
        <w:pStyle w:val="3"/>
        <w:spacing w:before="120" w:after="120" w:line="240" w:lineRule="auto"/>
        <w:rPr>
          <w:rFonts w:hint="eastAsia" w:ascii="宋体" w:hAnsi="宋体"/>
          <w:b/>
          <w:sz w:val="30"/>
          <w:szCs w:val="30"/>
          <w:lang w:val="en-US" w:eastAsia="zh-CN"/>
        </w:rPr>
      </w:pPr>
      <w:r>
        <w:rPr>
          <w:rFonts w:hint="eastAsia" w:ascii="宋体" w:hAnsi="宋体"/>
          <w:b/>
          <w:sz w:val="30"/>
          <w:szCs w:val="30"/>
          <w:lang w:val="en-US" w:eastAsia="zh-CN"/>
        </w:rPr>
        <w:t>3.6 山东地炼柴油出厂价格周报</w:t>
      </w:r>
      <w:bookmarkEnd w:id="15"/>
    </w:p>
    <w:p>
      <w:pPr>
        <w:rPr>
          <w:rFonts w:hint="eastAsia"/>
          <w:bCs/>
          <w:szCs w:val="21"/>
          <w:lang w:val="en-US" w:eastAsia="zh-CN"/>
        </w:rPr>
      </w:pPr>
      <w:r>
        <w:rPr>
          <w:rFonts w:hint="eastAsia"/>
          <w:bCs/>
          <w:szCs w:val="21"/>
          <w:lang w:val="en-US" w:eastAsia="zh-CN"/>
        </w:rPr>
        <w:t>单位：元/吨</w:t>
      </w:r>
    </w:p>
    <w:p>
      <w:pPr>
        <w:rPr>
          <w:rFonts w:hint="eastAsia"/>
          <w:bCs/>
          <w:szCs w:val="21"/>
          <w:lang w:val="en-US" w:eastAsia="zh-CN"/>
        </w:rPr>
      </w:pPr>
    </w:p>
    <w:tbl>
      <w:tblPr>
        <w:tblW w:w="9300" w:type="dxa"/>
        <w:tblInd w:w="0" w:type="dxa"/>
        <w:shd w:val="clear"/>
        <w:tblLayout w:type="autofit"/>
        <w:tblCellMar>
          <w:top w:w="0" w:type="dxa"/>
          <w:left w:w="0" w:type="dxa"/>
          <w:bottom w:w="0" w:type="dxa"/>
          <w:right w:w="0" w:type="dxa"/>
        </w:tblCellMar>
      </w:tblPr>
      <w:tblGrid>
        <w:gridCol w:w="675"/>
        <w:gridCol w:w="1875"/>
        <w:gridCol w:w="1080"/>
        <w:gridCol w:w="1080"/>
        <w:gridCol w:w="1080"/>
        <w:gridCol w:w="1080"/>
        <w:gridCol w:w="1215"/>
        <w:gridCol w:w="1215"/>
      </w:tblGrid>
      <w:tr>
        <w:tblPrEx>
          <w:shd w:val="clear"/>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bookmarkStart w:id="16" w:name="_Toc533771874"/>
            <w:r>
              <w:rPr>
                <w:rFonts w:hint="eastAsia" w:ascii="宋体" w:hAnsi="宋体" w:eastAsia="宋体" w:cs="宋体"/>
                <w:i w:val="0"/>
                <w:color w:val="000000"/>
                <w:kern w:val="0"/>
                <w:sz w:val="20"/>
                <w:szCs w:val="20"/>
                <w:u w:val="none"/>
                <w:bdr w:val="none" w:color="auto" w:sz="0" w:space="0"/>
                <w:lang w:val="en-US" w:eastAsia="zh-CN" w:bidi="ar"/>
              </w:rPr>
              <w:t>省份</w:t>
            </w:r>
          </w:p>
        </w:tc>
        <w:tc>
          <w:tcPr>
            <w:tcW w:w="187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生产厂家</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涨跌</w:t>
            </w:r>
          </w:p>
        </w:tc>
        <w:tc>
          <w:tcPr>
            <w:tcW w:w="12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2020/8/6</w:t>
            </w:r>
          </w:p>
        </w:tc>
        <w:tc>
          <w:tcPr>
            <w:tcW w:w="12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2020/7/30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利津石化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5150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5130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神驰化工</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华联石化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华联石化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4840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4890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正和集团</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正和集团</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5000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华星石化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加氢</w:t>
            </w: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5000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华星石化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华星石化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垦利石化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海科集团</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海科集团</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海科瑞林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恒源石化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4900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4800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京博石化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永鑫化工</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东明石化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东明石化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玉皇盛世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汇丰石化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40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4830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4790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寿光联盟</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寿光联盟</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弘润石化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昌邑石化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昌邑石化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昌邑石化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寿光鲁清</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常压</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寿光鲁清</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石大科技</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110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4740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4630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胜华化工</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中海石油东营石化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中海石油东营石化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中海石油东营石化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亚通石化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化二炼厂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长城炼厂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鑫泰石化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高青宏远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高青宏远</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海化石化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海化石化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安邦石化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安邦石化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亿源石化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石大科技石化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晨曦化工</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岚桥港口石化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榆林炼厂公路</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4900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4900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榆林炼厂公路</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5200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5200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榆林炼厂公路</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榆林炼厂铁路</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4900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4900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永坪炼厂公路</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5100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永坪炼厂公路</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永坪炼厂公路</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永坪炼厂铁路</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4900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4900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延安炼厂公路</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5100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延安炼厂铁路</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4900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4900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西安临潼公路</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4900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4900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西安临潼铁路</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4850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4850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浙江</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金澳科技</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5150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5050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浙江</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金澳科技</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宁夏宝塔石化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宁夏宝塔石化</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bdr w:val="none" w:color="auto" w:sz="0" w:space="0"/>
                <w:lang w:val="en-US" w:eastAsia="zh-CN" w:bidi="ar"/>
              </w:rPr>
              <w:t>0</w:t>
            </w:r>
          </w:p>
        </w:tc>
      </w:tr>
    </w:tbl>
    <w:p>
      <w:pPr>
        <w:pStyle w:val="3"/>
        <w:spacing w:before="120" w:after="120" w:line="240" w:lineRule="auto"/>
        <w:rPr>
          <w:rFonts w:hint="eastAsia" w:ascii="宋体" w:hAnsi="宋体"/>
          <w:b/>
          <w:sz w:val="10"/>
          <w:szCs w:val="10"/>
          <w:lang w:val="en-US" w:eastAsia="zh-CN"/>
        </w:rPr>
      </w:pPr>
    </w:p>
    <w:p>
      <w:pPr>
        <w:rPr>
          <w:rFonts w:hint="eastAsia"/>
          <w:lang w:val="en-US" w:eastAsia="zh-CN"/>
        </w:rPr>
      </w:pPr>
    </w:p>
    <w:p>
      <w:pPr>
        <w:pStyle w:val="3"/>
        <w:spacing w:before="120" w:after="120" w:line="240" w:lineRule="auto"/>
        <w:rPr>
          <w:rFonts w:hint="eastAsia" w:ascii="宋体" w:hAnsi="宋体"/>
          <w:b/>
          <w:sz w:val="30"/>
          <w:szCs w:val="30"/>
          <w:lang w:val="en-US" w:eastAsia="zh-CN"/>
        </w:rPr>
      </w:pPr>
      <w:r>
        <w:rPr>
          <w:rFonts w:hint="eastAsia" w:ascii="宋体" w:hAnsi="宋体"/>
          <w:b/>
          <w:sz w:val="30"/>
          <w:szCs w:val="30"/>
          <w:lang w:val="en-US" w:eastAsia="zh-CN"/>
        </w:rPr>
        <w:t>四、2020年6月份进出口统计数据</w:t>
      </w:r>
      <w:bookmarkEnd w:id="16"/>
      <w:bookmarkStart w:id="17" w:name="_Toc533771875"/>
    </w:p>
    <w:p>
      <w:pPr>
        <w:rPr>
          <w:rFonts w:hint="eastAsia"/>
        </w:rPr>
      </w:pPr>
    </w:p>
    <w:p>
      <w:pPr>
        <w:pStyle w:val="3"/>
        <w:spacing w:before="120" w:after="120" w:line="240" w:lineRule="auto"/>
        <w:rPr>
          <w:rFonts w:hint="eastAsia" w:ascii="宋体" w:hAnsi="宋体"/>
          <w:b/>
          <w:sz w:val="30"/>
          <w:szCs w:val="30"/>
        </w:rPr>
      </w:pPr>
      <w:r>
        <w:rPr>
          <w:rFonts w:hint="eastAsia" w:ascii="宋体" w:hAnsi="宋体"/>
          <w:b/>
          <w:sz w:val="30"/>
          <w:szCs w:val="30"/>
        </w:rPr>
        <w:t>4.1 20</w:t>
      </w:r>
      <w:r>
        <w:rPr>
          <w:rFonts w:hint="eastAsia" w:ascii="宋体" w:hAnsi="宋体"/>
          <w:b/>
          <w:sz w:val="30"/>
          <w:szCs w:val="30"/>
          <w:lang w:val="en-US" w:eastAsia="zh-CN"/>
        </w:rPr>
        <w:t>20</w:t>
      </w:r>
      <w:r>
        <w:rPr>
          <w:rFonts w:hint="eastAsia" w:ascii="宋体" w:hAnsi="宋体"/>
          <w:b/>
          <w:sz w:val="30"/>
          <w:szCs w:val="30"/>
        </w:rPr>
        <w:t>年</w:t>
      </w:r>
      <w:r>
        <w:rPr>
          <w:rFonts w:hint="eastAsia" w:ascii="宋体" w:hAnsi="宋体"/>
          <w:b/>
          <w:sz w:val="30"/>
          <w:szCs w:val="30"/>
          <w:lang w:val="en-US" w:eastAsia="zh-CN"/>
        </w:rPr>
        <w:t>6</w:t>
      </w:r>
      <w:r>
        <w:rPr>
          <w:rFonts w:hint="eastAsia" w:ascii="宋体" w:hAnsi="宋体"/>
          <w:b/>
          <w:sz w:val="30"/>
          <w:szCs w:val="30"/>
        </w:rPr>
        <w:t>份全国车用汽油和航空汽油进出口统计数据</w:t>
      </w:r>
      <w:bookmarkEnd w:id="17"/>
    </w:p>
    <w:p>
      <w:pPr>
        <w:rPr>
          <w:rFonts w:hint="eastAsia"/>
          <w:bCs/>
          <w:szCs w:val="21"/>
        </w:rPr>
      </w:pPr>
      <w:r>
        <w:rPr>
          <w:rFonts w:hint="eastAsia"/>
          <w:bCs/>
          <w:szCs w:val="21"/>
        </w:rPr>
        <w:t>单位：</w:t>
      </w:r>
      <w:r>
        <w:rPr>
          <w:rFonts w:hint="eastAsia"/>
          <w:bCs/>
          <w:szCs w:val="21"/>
          <w:lang w:eastAsia="zh-CN"/>
        </w:rPr>
        <w:t>吨</w:t>
      </w:r>
      <w:r>
        <w:rPr>
          <w:rFonts w:hint="eastAsia"/>
          <w:bCs/>
          <w:szCs w:val="21"/>
        </w:rPr>
        <w:t>，美元</w:t>
      </w:r>
    </w:p>
    <w:tbl>
      <w:tblPr>
        <w:tblStyle w:val="24"/>
        <w:tblW w:w="9420" w:type="dxa"/>
        <w:tblInd w:w="0" w:type="dxa"/>
        <w:shd w:val="clear" w:color="auto" w:fill="auto"/>
        <w:tblLayout w:type="autofit"/>
        <w:tblCellMar>
          <w:top w:w="0" w:type="dxa"/>
          <w:left w:w="0" w:type="dxa"/>
          <w:bottom w:w="0" w:type="dxa"/>
          <w:right w:w="0" w:type="dxa"/>
        </w:tblCellMar>
      </w:tblPr>
      <w:tblGrid>
        <w:gridCol w:w="2595"/>
        <w:gridCol w:w="2190"/>
        <w:gridCol w:w="2370"/>
        <w:gridCol w:w="2265"/>
      </w:tblGrid>
      <w:tr>
        <w:tblPrEx>
          <w:shd w:val="clear" w:color="auto" w:fill="auto"/>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95B3D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bookmarkStart w:id="18" w:name="_Toc533771876"/>
            <w:r>
              <w:rPr>
                <w:rFonts w:hint="eastAsia" w:ascii="宋体" w:hAnsi="宋体" w:eastAsia="宋体" w:cs="宋体"/>
                <w:i w:val="0"/>
                <w:color w:val="000000"/>
                <w:kern w:val="0"/>
                <w:sz w:val="20"/>
                <w:szCs w:val="20"/>
                <w:u w:val="none"/>
                <w:lang w:val="en-US" w:eastAsia="zh-CN" w:bidi="ar"/>
              </w:rPr>
              <w:t>出口目的地</w:t>
            </w:r>
          </w:p>
        </w:tc>
        <w:tc>
          <w:tcPr>
            <w:tcW w:w="2190" w:type="dxa"/>
            <w:tcBorders>
              <w:top w:val="single" w:color="000000" w:sz="4" w:space="0"/>
              <w:left w:val="single" w:color="000000" w:sz="4" w:space="0"/>
              <w:bottom w:val="single" w:color="000000" w:sz="4" w:space="0"/>
              <w:right w:val="single" w:color="000000" w:sz="4" w:space="0"/>
            </w:tcBorders>
            <w:shd w:val="clear" w:color="auto" w:fill="95B3D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2370" w:type="dxa"/>
            <w:tcBorders>
              <w:top w:val="single" w:color="000000" w:sz="4" w:space="0"/>
              <w:left w:val="single" w:color="000000" w:sz="4" w:space="0"/>
              <w:bottom w:val="single" w:color="000000" w:sz="4" w:space="0"/>
              <w:right w:val="single" w:color="000000" w:sz="4" w:space="0"/>
            </w:tcBorders>
            <w:shd w:val="clear" w:color="auto" w:fill="95B3D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2265" w:type="dxa"/>
            <w:tcBorders>
              <w:top w:val="single" w:color="000000" w:sz="4" w:space="0"/>
              <w:left w:val="single" w:color="000000" w:sz="4" w:space="0"/>
              <w:bottom w:val="single" w:color="000000" w:sz="4" w:space="0"/>
              <w:right w:val="single" w:color="000000" w:sz="4" w:space="0"/>
            </w:tcBorders>
            <w:shd w:val="clear" w:color="auto" w:fill="95B3D7"/>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出口金额美元</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菲律宾</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108671.5</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34295655</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韩国</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92879.5</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22910002</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马来西亚</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69000</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14869400</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蒙古</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7323.3</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2205541</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缅甸</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5529.5</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2109937</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墨西哥</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101386.2</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29612806</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新加坡</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279460.6</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73879523</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越南</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90779</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27810520</w:t>
            </w:r>
          </w:p>
        </w:tc>
      </w:tr>
      <w:tr>
        <w:tblPrEx>
          <w:tblCellMar>
            <w:top w:w="0" w:type="dxa"/>
            <w:left w:w="0" w:type="dxa"/>
            <w:bottom w:w="0" w:type="dxa"/>
            <w:right w:w="0" w:type="dxa"/>
          </w:tblCellMar>
        </w:tblPrEx>
        <w:trPr>
          <w:trHeight w:val="270"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中国澳门</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5252.9</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1470799</w:t>
            </w:r>
          </w:p>
        </w:tc>
      </w:tr>
    </w:tbl>
    <w:p>
      <w:pPr>
        <w:rPr>
          <w:rFonts w:hint="eastAsia"/>
        </w:rPr>
      </w:pPr>
    </w:p>
    <w:p>
      <w:pPr>
        <w:rPr>
          <w:rFonts w:hint="eastAsia"/>
        </w:rPr>
      </w:pPr>
    </w:p>
    <w:p>
      <w:pPr>
        <w:rPr>
          <w:rFonts w:hint="eastAsia"/>
        </w:rPr>
      </w:pPr>
    </w:p>
    <w:p>
      <w:pPr>
        <w:pStyle w:val="3"/>
        <w:spacing w:before="120" w:after="120" w:line="240" w:lineRule="auto"/>
        <w:rPr>
          <w:rFonts w:hint="eastAsia" w:ascii="宋体" w:hAnsi="宋体"/>
          <w:b/>
          <w:sz w:val="30"/>
          <w:szCs w:val="30"/>
        </w:rPr>
      </w:pPr>
      <w:r>
        <w:rPr>
          <w:rFonts w:hint="eastAsia" w:ascii="宋体" w:hAnsi="宋体"/>
          <w:b/>
          <w:sz w:val="30"/>
          <w:szCs w:val="30"/>
        </w:rPr>
        <w:t>4.2 201</w:t>
      </w:r>
      <w:r>
        <w:rPr>
          <w:rFonts w:hint="eastAsia" w:ascii="宋体" w:hAnsi="宋体"/>
          <w:b/>
          <w:sz w:val="30"/>
          <w:szCs w:val="30"/>
          <w:lang w:val="en-US" w:eastAsia="zh-CN"/>
        </w:rPr>
        <w:t>8</w:t>
      </w:r>
      <w:r>
        <w:rPr>
          <w:rFonts w:hint="eastAsia" w:ascii="宋体" w:hAnsi="宋体"/>
          <w:b/>
          <w:sz w:val="30"/>
          <w:szCs w:val="30"/>
        </w:rPr>
        <w:t>年1</w:t>
      </w:r>
      <w:r>
        <w:rPr>
          <w:rFonts w:hint="eastAsia" w:ascii="宋体" w:hAnsi="宋体"/>
          <w:b/>
          <w:sz w:val="30"/>
          <w:szCs w:val="30"/>
          <w:lang w:val="en-US" w:eastAsia="zh-CN"/>
        </w:rPr>
        <w:t>1</w:t>
      </w:r>
      <w:r>
        <w:rPr>
          <w:rFonts w:hint="eastAsia" w:ascii="宋体" w:hAnsi="宋体"/>
          <w:b/>
          <w:sz w:val="30"/>
          <w:szCs w:val="30"/>
        </w:rPr>
        <w:t>月份全国轻柴油进出口统计数据</w:t>
      </w:r>
      <w:bookmarkEnd w:id="18"/>
    </w:p>
    <w:p>
      <w:pPr>
        <w:rPr>
          <w:bCs/>
          <w:szCs w:val="21"/>
        </w:rPr>
      </w:pPr>
      <w:r>
        <w:rPr>
          <w:rFonts w:hint="eastAsia"/>
          <w:bCs/>
          <w:szCs w:val="21"/>
        </w:rPr>
        <w:t>单位：</w:t>
      </w:r>
      <w:r>
        <w:rPr>
          <w:rFonts w:hint="eastAsia"/>
          <w:bCs/>
          <w:szCs w:val="21"/>
          <w:lang w:eastAsia="zh-CN"/>
        </w:rPr>
        <w:t>吨</w:t>
      </w:r>
      <w:r>
        <w:rPr>
          <w:rFonts w:hint="eastAsia"/>
          <w:bCs/>
          <w:szCs w:val="21"/>
        </w:rPr>
        <w:t>，美元</w:t>
      </w:r>
    </w:p>
    <w:tbl>
      <w:tblPr>
        <w:tblStyle w:val="24"/>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0"/>
        <w:gridCol w:w="1726"/>
        <w:gridCol w:w="1726"/>
        <w:gridCol w:w="188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shd w:val="clear" w:color="auto" w:fill="00CCFF"/>
            <w:vAlign w:val="center"/>
          </w:tcPr>
          <w:p>
            <w:pPr>
              <w:keepNext w:val="0"/>
              <w:keepLines w:val="0"/>
              <w:widowControl/>
              <w:suppressLineNumbers w:val="0"/>
              <w:jc w:val="center"/>
              <w:textAlignment w:val="center"/>
              <w:rPr>
                <w:bCs/>
                <w:color w:val="00B0F0"/>
                <w:szCs w:val="21"/>
              </w:rPr>
            </w:pPr>
            <w:r>
              <w:rPr>
                <w:rFonts w:hint="eastAsia" w:ascii="宋体" w:hAnsi="宋体" w:eastAsia="宋体" w:cs="宋体"/>
                <w:b/>
                <w:i w:val="0"/>
                <w:color w:val="191919"/>
                <w:kern w:val="0"/>
                <w:sz w:val="21"/>
                <w:szCs w:val="21"/>
                <w:u w:val="none"/>
                <w:lang w:val="en-US" w:eastAsia="zh-CN" w:bidi="ar"/>
              </w:rPr>
              <w:t>产销国</w:t>
            </w:r>
          </w:p>
        </w:tc>
        <w:tc>
          <w:tcPr>
            <w:tcW w:w="1726" w:type="dxa"/>
            <w:shd w:val="clear" w:color="auto" w:fill="00CCFF"/>
            <w:vAlign w:val="center"/>
          </w:tcPr>
          <w:p>
            <w:pPr>
              <w:keepNext w:val="0"/>
              <w:keepLines w:val="0"/>
              <w:widowControl/>
              <w:suppressLineNumbers w:val="0"/>
              <w:jc w:val="center"/>
              <w:textAlignment w:val="center"/>
              <w:rPr>
                <w:bCs/>
                <w:szCs w:val="21"/>
              </w:rPr>
            </w:pPr>
            <w:r>
              <w:rPr>
                <w:rFonts w:hint="eastAsia" w:ascii="宋体" w:hAnsi="宋体" w:eastAsia="宋体" w:cs="宋体"/>
                <w:b/>
                <w:i w:val="0"/>
                <w:color w:val="191919"/>
                <w:kern w:val="0"/>
                <w:sz w:val="21"/>
                <w:szCs w:val="21"/>
                <w:u w:val="none"/>
                <w:lang w:val="en-US" w:eastAsia="zh-CN" w:bidi="ar"/>
              </w:rPr>
              <w:t>进口数量</w:t>
            </w:r>
          </w:p>
        </w:tc>
        <w:tc>
          <w:tcPr>
            <w:tcW w:w="1726" w:type="dxa"/>
            <w:shd w:val="clear" w:color="auto" w:fill="00CCFF"/>
            <w:vAlign w:val="center"/>
          </w:tcPr>
          <w:p>
            <w:pPr>
              <w:keepNext w:val="0"/>
              <w:keepLines w:val="0"/>
              <w:widowControl/>
              <w:suppressLineNumbers w:val="0"/>
              <w:jc w:val="center"/>
              <w:textAlignment w:val="center"/>
              <w:rPr>
                <w:bCs/>
                <w:szCs w:val="21"/>
              </w:rPr>
            </w:pPr>
            <w:r>
              <w:rPr>
                <w:rFonts w:hint="eastAsia" w:ascii="宋体" w:hAnsi="宋体" w:eastAsia="宋体" w:cs="宋体"/>
                <w:b/>
                <w:i w:val="0"/>
                <w:color w:val="191919"/>
                <w:kern w:val="0"/>
                <w:sz w:val="21"/>
                <w:szCs w:val="21"/>
                <w:u w:val="none"/>
                <w:lang w:val="en-US" w:eastAsia="zh-CN" w:bidi="ar"/>
              </w:rPr>
              <w:t>进口美元</w:t>
            </w:r>
          </w:p>
        </w:tc>
        <w:tc>
          <w:tcPr>
            <w:tcW w:w="1882" w:type="dxa"/>
            <w:shd w:val="clear" w:color="auto" w:fill="00CCFF"/>
            <w:vAlign w:val="center"/>
          </w:tcPr>
          <w:p>
            <w:pPr>
              <w:keepNext w:val="0"/>
              <w:keepLines w:val="0"/>
              <w:widowControl/>
              <w:suppressLineNumbers w:val="0"/>
              <w:jc w:val="center"/>
              <w:textAlignment w:val="center"/>
              <w:rPr>
                <w:bCs/>
                <w:szCs w:val="21"/>
              </w:rPr>
            </w:pPr>
            <w:r>
              <w:rPr>
                <w:rFonts w:hint="eastAsia" w:ascii="宋体" w:hAnsi="宋体" w:eastAsia="宋体" w:cs="宋体"/>
                <w:b/>
                <w:i w:val="0"/>
                <w:color w:val="191919"/>
                <w:kern w:val="0"/>
                <w:sz w:val="21"/>
                <w:szCs w:val="21"/>
                <w:u w:val="none"/>
                <w:lang w:val="en-US" w:eastAsia="zh-CN" w:bidi="ar"/>
              </w:rPr>
              <w:t>出口数量</w:t>
            </w:r>
          </w:p>
        </w:tc>
        <w:tc>
          <w:tcPr>
            <w:tcW w:w="1688" w:type="dxa"/>
            <w:shd w:val="clear" w:color="auto" w:fill="00CCFF"/>
            <w:vAlign w:val="center"/>
          </w:tcPr>
          <w:p>
            <w:pPr>
              <w:keepNext w:val="0"/>
              <w:keepLines w:val="0"/>
              <w:widowControl/>
              <w:suppressLineNumbers w:val="0"/>
              <w:jc w:val="center"/>
              <w:textAlignment w:val="center"/>
              <w:rPr>
                <w:bCs/>
                <w:szCs w:val="21"/>
              </w:rPr>
            </w:pPr>
            <w:r>
              <w:rPr>
                <w:rFonts w:hint="eastAsia" w:ascii="宋体" w:hAnsi="宋体" w:eastAsia="宋体" w:cs="宋体"/>
                <w:b/>
                <w:i w:val="0"/>
                <w:color w:val="191919"/>
                <w:kern w:val="0"/>
                <w:sz w:val="21"/>
                <w:szCs w:val="21"/>
                <w:u w:val="none"/>
                <w:lang w:val="en-US" w:eastAsia="zh-CN" w:bidi="ar"/>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孟加拉国</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105125.293</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69892814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缅甸</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18170.052</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12976857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塞浦路斯</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966.84</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759340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香港</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262963.309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179445201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印度尼西亚</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99.5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64576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日本</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397.4</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327750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老挝</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63.913</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47224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澳门</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6847.894</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4588089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马来西亚</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3995.198</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2556927</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94.515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77748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巴基斯坦</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74.2</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61438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菲律宾</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175973.373</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119332061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新加坡</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499.536</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399629</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270770.818</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188315354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韩国</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49882.569</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34382246</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173054.409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117620635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泰国</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82.765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土耳其</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32.8</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越南</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41937</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28282001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台澎金马关税区</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188.9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156577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利比里亚</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4541.022</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3624752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多哥</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比利时</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139.8</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125261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丹麦</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509.5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423410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英国</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981.955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787173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意大利</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180</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130290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荷兰</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40755.789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26653192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希腊</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384.8</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313417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葡萄牙</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224.073</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156493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直布罗陀</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114.5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82350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马耳他</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1318.39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1072844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挪威</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216.847</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165273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摩尔多瓦</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367.5</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294000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俄罗斯联邦</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90</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72475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克罗地亚</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20</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安提瓜和巴布达</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263.103</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206211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巴哈马</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506.059</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397552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伯利兹</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20</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0"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多米尼克</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726"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0</w:t>
            </w:r>
          </w:p>
        </w:tc>
        <w:tc>
          <w:tcPr>
            <w:tcW w:w="1882"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170</w:t>
            </w:r>
          </w:p>
        </w:tc>
        <w:tc>
          <w:tcPr>
            <w:tcW w:w="1688" w:type="dxa"/>
            <w:vAlign w:val="center"/>
          </w:tcPr>
          <w:p>
            <w:pPr>
              <w:keepNext w:val="0"/>
              <w:keepLines w:val="0"/>
              <w:widowControl/>
              <w:suppressLineNumbers w:val="0"/>
              <w:jc w:val="center"/>
              <w:textAlignment w:val="center"/>
              <w:rPr>
                <w:bCs/>
                <w:szCs w:val="21"/>
              </w:rPr>
            </w:pPr>
            <w:r>
              <w:rPr>
                <w:rFonts w:hint="eastAsia" w:ascii="宋体" w:hAnsi="宋体" w:eastAsia="宋体" w:cs="宋体"/>
                <w:i w:val="0"/>
                <w:color w:val="191919"/>
                <w:kern w:val="0"/>
                <w:sz w:val="21"/>
                <w:szCs w:val="21"/>
                <w:u w:val="none"/>
                <w:lang w:val="en-US" w:eastAsia="zh-CN" w:bidi="ar"/>
              </w:rPr>
              <w:t>136400</w:t>
            </w:r>
          </w:p>
        </w:tc>
      </w:tr>
    </w:tbl>
    <w:p>
      <w:pPr>
        <w:pStyle w:val="3"/>
        <w:spacing w:before="120" w:after="120" w:line="240" w:lineRule="auto"/>
        <w:rPr>
          <w:rFonts w:hint="eastAsia" w:ascii="宋体" w:hAnsi="宋体"/>
          <w:b/>
          <w:sz w:val="30"/>
          <w:szCs w:val="30"/>
        </w:rPr>
      </w:pPr>
      <w:bookmarkStart w:id="19" w:name="_Toc533771877"/>
      <w:bookmarkStart w:id="20" w:name="_Toc533771879"/>
    </w:p>
    <w:bookmarkEnd w:id="19"/>
    <w:p>
      <w:pPr>
        <w:pStyle w:val="3"/>
        <w:spacing w:before="120" w:after="120" w:line="240" w:lineRule="auto"/>
        <w:rPr>
          <w:rFonts w:hint="eastAsia" w:ascii="宋体" w:hAnsi="宋体"/>
          <w:b/>
          <w:sz w:val="30"/>
          <w:szCs w:val="30"/>
        </w:rPr>
      </w:pPr>
      <w:bookmarkStart w:id="21" w:name="_Toc533771878"/>
      <w:r>
        <w:rPr>
          <w:rFonts w:hint="eastAsia" w:ascii="宋体" w:hAnsi="宋体"/>
          <w:b/>
          <w:sz w:val="30"/>
          <w:szCs w:val="30"/>
        </w:rPr>
        <w:t>4.3 20</w:t>
      </w:r>
      <w:r>
        <w:rPr>
          <w:rFonts w:hint="eastAsia" w:ascii="宋体" w:hAnsi="宋体"/>
          <w:b/>
          <w:sz w:val="30"/>
          <w:szCs w:val="30"/>
          <w:lang w:val="en-US" w:eastAsia="zh-CN"/>
        </w:rPr>
        <w:t>20</w:t>
      </w:r>
      <w:r>
        <w:rPr>
          <w:rFonts w:hint="eastAsia" w:ascii="宋体" w:hAnsi="宋体"/>
          <w:b/>
          <w:sz w:val="30"/>
          <w:szCs w:val="30"/>
        </w:rPr>
        <w:t>年</w:t>
      </w:r>
      <w:r>
        <w:rPr>
          <w:rFonts w:hint="eastAsia" w:ascii="宋体" w:hAnsi="宋体"/>
          <w:b/>
          <w:sz w:val="30"/>
          <w:szCs w:val="30"/>
          <w:lang w:val="en-US" w:eastAsia="zh-CN"/>
        </w:rPr>
        <w:t>6</w:t>
      </w:r>
      <w:r>
        <w:rPr>
          <w:rFonts w:hint="eastAsia" w:ascii="宋体" w:hAnsi="宋体"/>
          <w:b/>
          <w:sz w:val="30"/>
          <w:szCs w:val="30"/>
        </w:rPr>
        <w:t>月份全国原油进出口统计数据</w:t>
      </w:r>
    </w:p>
    <w:p>
      <w:pPr>
        <w:rPr>
          <w:rFonts w:hint="eastAsia"/>
          <w:bCs/>
          <w:szCs w:val="21"/>
        </w:rPr>
      </w:pPr>
    </w:p>
    <w:p>
      <w:pPr>
        <w:rPr>
          <w:rFonts w:hint="eastAsia"/>
          <w:bCs/>
          <w:szCs w:val="21"/>
        </w:rPr>
      </w:pPr>
      <w:r>
        <w:rPr>
          <w:rFonts w:hint="eastAsia"/>
          <w:bCs/>
          <w:szCs w:val="21"/>
        </w:rPr>
        <w:t>单位：</w:t>
      </w:r>
      <w:r>
        <w:rPr>
          <w:rFonts w:hint="eastAsia"/>
          <w:bCs/>
          <w:szCs w:val="21"/>
          <w:lang w:eastAsia="zh-CN"/>
        </w:rPr>
        <w:t>吨</w:t>
      </w:r>
      <w:r>
        <w:rPr>
          <w:rFonts w:hint="eastAsia"/>
          <w:bCs/>
          <w:szCs w:val="21"/>
        </w:rPr>
        <w:t>，美元</w:t>
      </w:r>
    </w:p>
    <w:p>
      <w:pPr>
        <w:rPr>
          <w:rFonts w:hint="eastAsia"/>
          <w:bCs/>
          <w:szCs w:val="21"/>
        </w:rPr>
      </w:pPr>
    </w:p>
    <w:tbl>
      <w:tblPr>
        <w:tblStyle w:val="24"/>
        <w:tblW w:w="9286" w:type="dxa"/>
        <w:tblInd w:w="0" w:type="dxa"/>
        <w:shd w:val="clear" w:color="auto" w:fill="auto"/>
        <w:tblLayout w:type="autofit"/>
        <w:tblCellMar>
          <w:top w:w="0" w:type="dxa"/>
          <w:left w:w="0" w:type="dxa"/>
          <w:bottom w:w="0" w:type="dxa"/>
          <w:right w:w="0" w:type="dxa"/>
        </w:tblCellMar>
      </w:tblPr>
      <w:tblGrid>
        <w:gridCol w:w="2070"/>
        <w:gridCol w:w="2070"/>
        <w:gridCol w:w="1942"/>
        <w:gridCol w:w="1554"/>
        <w:gridCol w:w="1650"/>
      </w:tblGrid>
      <w:tr>
        <w:tblPrEx>
          <w:shd w:val="clear" w:color="auto" w:fill="auto"/>
          <w:tblCellMar>
            <w:top w:w="0" w:type="dxa"/>
            <w:left w:w="0" w:type="dxa"/>
            <w:bottom w:w="0" w:type="dxa"/>
            <w:right w:w="0" w:type="dxa"/>
          </w:tblCellMar>
        </w:tblPrEx>
        <w:trPr>
          <w:trHeight w:val="555" w:hRule="atLeast"/>
        </w:trPr>
        <w:tc>
          <w:tcPr>
            <w:tcW w:w="2070"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i w:val="0"/>
                <w:color w:val="191919"/>
                <w:kern w:val="0"/>
                <w:sz w:val="22"/>
                <w:szCs w:val="22"/>
                <w:u w:val="none"/>
                <w:lang w:val="en-US" w:eastAsia="zh-CN" w:bidi="ar"/>
              </w:rPr>
              <w:t>产品</w:t>
            </w:r>
          </w:p>
        </w:tc>
        <w:tc>
          <w:tcPr>
            <w:tcW w:w="2070"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i w:val="0"/>
                <w:color w:val="191919"/>
                <w:kern w:val="0"/>
                <w:sz w:val="22"/>
                <w:szCs w:val="22"/>
                <w:u w:val="none"/>
                <w:lang w:val="en-US" w:eastAsia="zh-CN" w:bidi="ar"/>
              </w:rPr>
              <w:t>年度</w:t>
            </w:r>
          </w:p>
        </w:tc>
        <w:tc>
          <w:tcPr>
            <w:tcW w:w="1942"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i w:val="0"/>
                <w:color w:val="191919"/>
                <w:kern w:val="0"/>
                <w:sz w:val="22"/>
                <w:szCs w:val="22"/>
                <w:u w:val="none"/>
                <w:lang w:val="en-US" w:eastAsia="zh-CN" w:bidi="ar"/>
              </w:rPr>
              <w:t>月份</w:t>
            </w:r>
          </w:p>
        </w:tc>
        <w:tc>
          <w:tcPr>
            <w:tcW w:w="1554"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i w:val="0"/>
                <w:color w:val="191919"/>
                <w:kern w:val="0"/>
                <w:sz w:val="22"/>
                <w:szCs w:val="22"/>
                <w:u w:val="none"/>
                <w:lang w:val="en-US" w:eastAsia="zh-CN" w:bidi="ar"/>
              </w:rPr>
              <w:t>产销国</w:t>
            </w:r>
          </w:p>
        </w:tc>
        <w:tc>
          <w:tcPr>
            <w:tcW w:w="1650"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i w:val="0"/>
                <w:color w:val="191919"/>
                <w:kern w:val="0"/>
                <w:sz w:val="22"/>
                <w:szCs w:val="22"/>
                <w:u w:val="none"/>
                <w:lang w:val="en-US" w:eastAsia="zh-CN" w:bidi="ar"/>
              </w:rPr>
              <w:t>进口数量/吨</w:t>
            </w:r>
          </w:p>
        </w:tc>
      </w:tr>
      <w:tr>
        <w:tblPrEx>
          <w:tblCellMar>
            <w:top w:w="0" w:type="dxa"/>
            <w:left w:w="0" w:type="dxa"/>
            <w:bottom w:w="0" w:type="dxa"/>
            <w:right w:w="0" w:type="dxa"/>
          </w:tblCellMar>
        </w:tblPrEx>
        <w:trPr>
          <w:trHeight w:val="285" w:hRule="atLeast"/>
        </w:trPr>
        <w:tc>
          <w:tcPr>
            <w:tcW w:w="2070" w:type="dxa"/>
            <w:vMerge w:val="restart"/>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石油原油(包括从沥青矿物提取的原油)</w:t>
            </w: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阿根廷</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149869.85 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阿联酋</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2549339.66 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阿曼</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2980546.69 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阿塞拜疆</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729305.21 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埃及</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83135.00 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安哥拉</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4441743.14 </w:t>
            </w:r>
          </w:p>
        </w:tc>
      </w:tr>
      <w:tr>
        <w:tblPrEx>
          <w:tblCellMar>
            <w:top w:w="0" w:type="dxa"/>
            <w:left w:w="0" w:type="dxa"/>
            <w:bottom w:w="0" w:type="dxa"/>
            <w:right w:w="0" w:type="dxa"/>
          </w:tblCellMar>
        </w:tblPrEx>
        <w:trPr>
          <w:trHeight w:val="55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澳大利亚</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247141.80 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巴西</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4976739.76 </w:t>
            </w:r>
          </w:p>
        </w:tc>
      </w:tr>
      <w:tr>
        <w:tblPrEx>
          <w:tblCellMar>
            <w:top w:w="0" w:type="dxa"/>
            <w:left w:w="0" w:type="dxa"/>
            <w:bottom w:w="0" w:type="dxa"/>
            <w:right w:w="0" w:type="dxa"/>
          </w:tblCellMar>
        </w:tblPrEx>
        <w:trPr>
          <w:trHeight w:val="55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赤道几内亚</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413140.55 </w:t>
            </w:r>
          </w:p>
        </w:tc>
      </w:tr>
      <w:tr>
        <w:tblPrEx>
          <w:tblCellMar>
            <w:top w:w="0" w:type="dxa"/>
            <w:left w:w="0" w:type="dxa"/>
            <w:bottom w:w="0" w:type="dxa"/>
            <w:right w:w="0" w:type="dxa"/>
          </w:tblCellMar>
        </w:tblPrEx>
        <w:trPr>
          <w:trHeight w:val="55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丹麦</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97638.88 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俄罗斯联邦</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7978454.25 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厄瓜多尔</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123245.84 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刚果(布)</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778776.44 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刚果(金)</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119094.00 </w:t>
            </w:r>
          </w:p>
        </w:tc>
      </w:tr>
      <w:tr>
        <w:tblPrEx>
          <w:tblCellMar>
            <w:top w:w="0" w:type="dxa"/>
            <w:left w:w="0" w:type="dxa"/>
            <w:bottom w:w="0" w:type="dxa"/>
            <w:right w:w="0" w:type="dxa"/>
          </w:tblCellMar>
        </w:tblPrEx>
        <w:trPr>
          <w:trHeight w:val="55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哥伦比亚</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1029232.86 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圭亚那</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137371.65 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哈萨克斯坦</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1294704.42 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加拿大</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668452.30 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加纳</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393537.00 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加蓬</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312580.88 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喀麦隆</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132839.00 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卡塔尔</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701965.66 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科威特</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3123589.62 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利比亚</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115940.20 </w:t>
            </w:r>
          </w:p>
        </w:tc>
      </w:tr>
      <w:tr>
        <w:tblPrEx>
          <w:tblCellMar>
            <w:top w:w="0" w:type="dxa"/>
            <w:left w:w="0" w:type="dxa"/>
            <w:bottom w:w="0" w:type="dxa"/>
            <w:right w:w="0" w:type="dxa"/>
          </w:tblCellMar>
        </w:tblPrEx>
        <w:trPr>
          <w:trHeight w:val="55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马来西亚</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572444.42 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美国</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587117.87 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蒙古</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25274.41 </w:t>
            </w:r>
          </w:p>
        </w:tc>
      </w:tr>
      <w:tr>
        <w:tblPrEx>
          <w:tblCellMar>
            <w:top w:w="0" w:type="dxa"/>
            <w:left w:w="0" w:type="dxa"/>
            <w:bottom w:w="0" w:type="dxa"/>
            <w:right w:w="0" w:type="dxa"/>
          </w:tblCellMar>
        </w:tblPrEx>
        <w:trPr>
          <w:trHeight w:val="55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墨西哥</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67982.04 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尼日利亚</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395906.79 </w:t>
            </w:r>
          </w:p>
        </w:tc>
      </w:tr>
      <w:tr>
        <w:tblPrEx>
          <w:tblCellMar>
            <w:top w:w="0" w:type="dxa"/>
            <w:left w:w="0" w:type="dxa"/>
            <w:bottom w:w="0" w:type="dxa"/>
            <w:right w:w="0" w:type="dxa"/>
          </w:tblCellMar>
        </w:tblPrEx>
        <w:trPr>
          <w:trHeight w:val="55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挪威</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1415956.48 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沙特阿拉伯</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8884227.26 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苏丹</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81931.25 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泰国</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120315.53 </w:t>
            </w:r>
          </w:p>
        </w:tc>
      </w:tr>
      <w:tr>
        <w:tblPrEx>
          <w:tblCellMar>
            <w:top w:w="0" w:type="dxa"/>
            <w:left w:w="0" w:type="dxa"/>
            <w:bottom w:w="0" w:type="dxa"/>
            <w:right w:w="0" w:type="dxa"/>
          </w:tblCellMar>
        </w:tblPrEx>
        <w:trPr>
          <w:trHeight w:val="55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土耳其</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132329.70 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文莱</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77062.00 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也门</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74041.64 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伊拉克</w:t>
            </w:r>
          </w:p>
        </w:tc>
        <w:tc>
          <w:tcPr>
            <w:tcW w:w="16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191919"/>
                <w:sz w:val="22"/>
                <w:szCs w:val="22"/>
                <w:u w:val="none"/>
              </w:rPr>
            </w:pPr>
            <w:r>
              <w:rPr>
                <w:rFonts w:hint="eastAsia" w:ascii="宋体" w:hAnsi="宋体" w:eastAsia="宋体" w:cs="宋体"/>
                <w:i w:val="0"/>
                <w:color w:val="191919"/>
                <w:kern w:val="0"/>
                <w:sz w:val="22"/>
                <w:szCs w:val="22"/>
                <w:u w:val="none"/>
                <w:lang w:val="en-US" w:eastAsia="zh-CN" w:bidi="ar"/>
              </w:rPr>
              <w:t>6010995.98 </w:t>
            </w:r>
          </w:p>
        </w:tc>
      </w:tr>
      <w:tr>
        <w:tblPrEx>
          <w:tblCellMar>
            <w:top w:w="0" w:type="dxa"/>
            <w:left w:w="0" w:type="dxa"/>
            <w:bottom w:w="0" w:type="dxa"/>
            <w:right w:w="0" w:type="dxa"/>
          </w:tblCellMar>
        </w:tblPrEx>
        <w:trPr>
          <w:trHeight w:val="285" w:hRule="atLeast"/>
        </w:trPr>
        <w:tc>
          <w:tcPr>
            <w:tcW w:w="2070" w:type="dxa"/>
            <w:vMerge w:val="continue"/>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p>
        </w:tc>
        <w:tc>
          <w:tcPr>
            <w:tcW w:w="2070"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i w:val="0"/>
                <w:color w:val="191919"/>
                <w:kern w:val="0"/>
                <w:sz w:val="22"/>
                <w:szCs w:val="22"/>
                <w:u w:val="none"/>
                <w:lang w:val="en-US" w:eastAsia="zh-CN" w:bidi="ar"/>
              </w:rPr>
              <w:t>2020年</w:t>
            </w:r>
          </w:p>
        </w:tc>
        <w:tc>
          <w:tcPr>
            <w:tcW w:w="1942"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i w:val="0"/>
                <w:color w:val="191919"/>
                <w:kern w:val="0"/>
                <w:sz w:val="22"/>
                <w:szCs w:val="22"/>
                <w:u w:val="none"/>
                <w:lang w:val="en-US" w:eastAsia="zh-CN" w:bidi="ar"/>
              </w:rPr>
              <w:t>6月</w:t>
            </w:r>
          </w:p>
        </w:tc>
        <w:tc>
          <w:tcPr>
            <w:tcW w:w="1554"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i w:val="0"/>
                <w:color w:val="191919"/>
                <w:kern w:val="0"/>
                <w:sz w:val="22"/>
                <w:szCs w:val="22"/>
                <w:u w:val="none"/>
                <w:lang w:val="en-US" w:eastAsia="zh-CN" w:bidi="ar"/>
              </w:rPr>
              <w:t>印度尼西亚</w:t>
            </w:r>
          </w:p>
        </w:tc>
        <w:tc>
          <w:tcPr>
            <w:tcW w:w="1650" w:type="dxa"/>
            <w:tcBorders>
              <w:top w:val="single" w:color="333333" w:sz="8" w:space="0"/>
              <w:left w:val="nil"/>
              <w:bottom w:val="single" w:color="333333" w:sz="8" w:space="0"/>
              <w:right w:val="single" w:color="333333" w:sz="8" w:space="0"/>
            </w:tcBorders>
            <w:shd w:val="clear" w:color="auto" w:fill="00CCFF"/>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b/>
                <w:i w:val="0"/>
                <w:color w:val="191919"/>
                <w:sz w:val="22"/>
                <w:szCs w:val="22"/>
                <w:u w:val="none"/>
              </w:rPr>
            </w:pPr>
            <w:r>
              <w:rPr>
                <w:rFonts w:hint="eastAsia" w:ascii="宋体" w:hAnsi="宋体" w:eastAsia="宋体" w:cs="宋体"/>
                <w:i w:val="0"/>
                <w:color w:val="191919"/>
                <w:kern w:val="0"/>
                <w:sz w:val="22"/>
                <w:szCs w:val="22"/>
                <w:u w:val="none"/>
                <w:lang w:val="en-US" w:eastAsia="zh-CN" w:bidi="ar"/>
              </w:rPr>
              <w:t>225859.22 </w:t>
            </w:r>
          </w:p>
        </w:tc>
      </w:tr>
    </w:tbl>
    <w:p>
      <w:pPr>
        <w:rPr>
          <w:rFonts w:hint="eastAsia"/>
          <w:bCs/>
          <w:szCs w:val="21"/>
        </w:rPr>
      </w:pPr>
    </w:p>
    <w:p>
      <w:pPr>
        <w:pStyle w:val="3"/>
        <w:spacing w:before="120" w:after="120" w:line="240" w:lineRule="auto"/>
        <w:rPr>
          <w:rFonts w:hint="eastAsia" w:ascii="宋体" w:hAnsi="宋体"/>
          <w:b/>
          <w:sz w:val="30"/>
          <w:szCs w:val="30"/>
        </w:rPr>
      </w:pPr>
    </w:p>
    <w:p>
      <w:pPr>
        <w:pStyle w:val="3"/>
        <w:spacing w:before="120" w:after="120" w:line="240" w:lineRule="auto"/>
        <w:rPr>
          <w:rFonts w:hint="eastAsia" w:ascii="宋体" w:hAnsi="宋体"/>
          <w:b/>
          <w:sz w:val="30"/>
          <w:szCs w:val="30"/>
        </w:rPr>
      </w:pPr>
      <w:r>
        <w:rPr>
          <w:rFonts w:hint="eastAsia" w:ascii="宋体" w:hAnsi="宋体"/>
          <w:b/>
          <w:sz w:val="30"/>
          <w:szCs w:val="30"/>
        </w:rPr>
        <w:t>4.4 20</w:t>
      </w:r>
      <w:r>
        <w:rPr>
          <w:rFonts w:hint="eastAsia" w:ascii="宋体" w:hAnsi="宋体"/>
          <w:b/>
          <w:sz w:val="30"/>
          <w:szCs w:val="30"/>
          <w:lang w:val="en-US" w:eastAsia="zh-CN"/>
        </w:rPr>
        <w:t>20</w:t>
      </w:r>
      <w:r>
        <w:rPr>
          <w:rFonts w:hint="eastAsia" w:ascii="宋体" w:hAnsi="宋体"/>
          <w:b/>
          <w:sz w:val="30"/>
          <w:szCs w:val="30"/>
        </w:rPr>
        <w:t>年</w:t>
      </w:r>
      <w:r>
        <w:rPr>
          <w:rFonts w:hint="eastAsia" w:ascii="宋体" w:hAnsi="宋体"/>
          <w:b/>
          <w:sz w:val="30"/>
          <w:szCs w:val="30"/>
          <w:lang w:val="en-US" w:eastAsia="zh-CN"/>
        </w:rPr>
        <w:t>6</w:t>
      </w:r>
      <w:r>
        <w:rPr>
          <w:rFonts w:hint="eastAsia" w:ascii="宋体" w:hAnsi="宋体"/>
          <w:b/>
          <w:sz w:val="30"/>
          <w:szCs w:val="30"/>
        </w:rPr>
        <w:t>月份全国航空煤油进出口统计数据</w:t>
      </w:r>
      <w:bookmarkEnd w:id="21"/>
    </w:p>
    <w:p>
      <w:pPr>
        <w:ind w:firstLine="420" w:firstLineChars="200"/>
        <w:jc w:val="left"/>
      </w:pPr>
      <w:r>
        <w:rPr>
          <w:rFonts w:hint="eastAsia" w:ascii="宋体" w:hAnsi="宋体"/>
        </w:rPr>
        <w:t>单位：</w:t>
      </w:r>
      <w:r>
        <w:rPr>
          <w:rFonts w:hint="eastAsia" w:ascii="宋体" w:hAnsi="宋体"/>
          <w:lang w:eastAsia="zh-CN"/>
        </w:rPr>
        <w:t>吨</w:t>
      </w:r>
      <w:r>
        <w:rPr>
          <w:rFonts w:hint="eastAsia" w:ascii="宋体" w:hAnsi="宋体"/>
        </w:rPr>
        <w:t>，美元</w:t>
      </w:r>
    </w:p>
    <w:p>
      <w:pPr>
        <w:pStyle w:val="3"/>
        <w:spacing w:before="120" w:after="120" w:line="240" w:lineRule="auto"/>
        <w:rPr>
          <w:rFonts w:hint="eastAsia" w:ascii="宋体" w:hAnsi="宋体"/>
          <w:b/>
          <w:sz w:val="30"/>
          <w:szCs w:val="30"/>
        </w:rPr>
      </w:pPr>
    </w:p>
    <w:bookmarkEnd w:id="20"/>
    <w:tbl>
      <w:tblPr>
        <w:tblStyle w:val="24"/>
        <w:tblW w:w="9420" w:type="dxa"/>
        <w:tblInd w:w="0" w:type="dxa"/>
        <w:shd w:val="clear" w:color="auto" w:fill="auto"/>
        <w:tblLayout w:type="autofit"/>
        <w:tblCellMar>
          <w:top w:w="0" w:type="dxa"/>
          <w:left w:w="0" w:type="dxa"/>
          <w:bottom w:w="0" w:type="dxa"/>
          <w:right w:w="0" w:type="dxa"/>
        </w:tblCellMar>
      </w:tblPr>
      <w:tblGrid>
        <w:gridCol w:w="2265"/>
        <w:gridCol w:w="1605"/>
        <w:gridCol w:w="1770"/>
        <w:gridCol w:w="1830"/>
        <w:gridCol w:w="1950"/>
      </w:tblGrid>
      <w:tr>
        <w:tblPrEx>
          <w:shd w:val="clear" w:color="auto" w:fill="auto"/>
          <w:tblCellMar>
            <w:top w:w="0" w:type="dxa"/>
            <w:left w:w="0" w:type="dxa"/>
            <w:bottom w:w="0" w:type="dxa"/>
            <w:right w:w="0" w:type="dxa"/>
          </w:tblCellMar>
        </w:tblPrEx>
        <w:trPr>
          <w:trHeight w:val="525" w:hRule="atLeast"/>
        </w:trPr>
        <w:tc>
          <w:tcPr>
            <w:tcW w:w="2265" w:type="dxa"/>
            <w:tcBorders>
              <w:top w:val="single" w:color="333333" w:sz="8" w:space="0"/>
              <w:left w:val="nil"/>
              <w:bottom w:val="single" w:color="333333" w:sz="8" w:space="0"/>
              <w:right w:val="single" w:color="333333" w:sz="8" w:space="0"/>
            </w:tcBorders>
            <w:shd w:val="clear" w:color="auto" w:fill="95B3D7"/>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国家</w:t>
            </w:r>
          </w:p>
        </w:tc>
        <w:tc>
          <w:tcPr>
            <w:tcW w:w="1605" w:type="dxa"/>
            <w:tcBorders>
              <w:top w:val="single" w:color="333333" w:sz="8" w:space="0"/>
              <w:left w:val="nil"/>
              <w:bottom w:val="single" w:color="333333" w:sz="8" w:space="0"/>
              <w:right w:val="single" w:color="333333" w:sz="8" w:space="0"/>
            </w:tcBorders>
            <w:shd w:val="clear" w:color="auto" w:fill="95B3D7"/>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进口数量/吨</w:t>
            </w:r>
          </w:p>
        </w:tc>
        <w:tc>
          <w:tcPr>
            <w:tcW w:w="1770" w:type="dxa"/>
            <w:tcBorders>
              <w:top w:val="single" w:color="333333" w:sz="8" w:space="0"/>
              <w:left w:val="nil"/>
              <w:bottom w:val="single" w:color="333333" w:sz="8" w:space="0"/>
              <w:right w:val="single" w:color="333333" w:sz="8" w:space="0"/>
            </w:tcBorders>
            <w:shd w:val="clear" w:color="auto" w:fill="95B3D7"/>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进口金额/美元</w:t>
            </w:r>
          </w:p>
        </w:tc>
        <w:tc>
          <w:tcPr>
            <w:tcW w:w="1830" w:type="dxa"/>
            <w:tcBorders>
              <w:top w:val="single" w:color="333333" w:sz="8" w:space="0"/>
              <w:left w:val="nil"/>
              <w:bottom w:val="single" w:color="333333" w:sz="8" w:space="0"/>
              <w:right w:val="single" w:color="333333" w:sz="8" w:space="0"/>
            </w:tcBorders>
            <w:shd w:val="clear" w:color="auto" w:fill="95B3D7"/>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出口数量/吨</w:t>
            </w:r>
          </w:p>
        </w:tc>
        <w:tc>
          <w:tcPr>
            <w:tcW w:w="1950" w:type="dxa"/>
            <w:tcBorders>
              <w:top w:val="single" w:color="333333" w:sz="8" w:space="0"/>
              <w:left w:val="nil"/>
              <w:bottom w:val="single" w:color="333333" w:sz="8" w:space="0"/>
              <w:right w:val="single" w:color="333333" w:sz="8" w:space="0"/>
            </w:tcBorders>
            <w:shd w:val="clear" w:color="auto" w:fill="95B3D7"/>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出口金额/美元</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阿富汗</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30.164</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8462</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阿联酋</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14254.001</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3365192</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阿塞拜疆</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4660.111</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1335419</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埃及</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154.757</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47222</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埃塞俄比亚</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7922.452</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2372584</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爱沙尼亚</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25.132</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7540</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奥地利</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1631.607</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445699</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巴基斯坦</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254.212</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72583</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白俄罗斯</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17.805</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5466</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比利时</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4094.214</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1184745</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冰岛</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512.557</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153692</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波兰</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124.092</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35858</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丹麦</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29.069</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4881</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德国</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6602.512</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1876010</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俄罗斯联邦</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15220.411</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4409557</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法国</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5866.529</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1658234</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菲律宾</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129.336</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54162</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芬兰</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1915.711</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538195</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哈萨克斯坦</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5177.404</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1548231</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韩国</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253626.088</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64646599</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102088.101</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60875683</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荷兰</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3634.196</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1006171</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吉尔吉斯斯坦</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148.841</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45694</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柬埔寨</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65.063</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17621</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卡塔尔</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8284.784</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2459061</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科威特</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24.259</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7448</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肯尼亚</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75.043</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22502</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卢森堡</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27325.057</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8660200</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罗马尼亚</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36.122</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10837</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马耳他</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109.36</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32792</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马来西亚</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16307.471</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5153161</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40591.248</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12032064</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蒙古</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273.126</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76617</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孟加拉国</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73272.392</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36629670</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缅甸</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8859.221</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4592620</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葡萄牙</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177.102</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53686</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日本</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12807.945</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5612181</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瑞典</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1743.332</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491807</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瑞士</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5134.451</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1407118</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沙特阿拉伯</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39283.212</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9192272</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67.165</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20140</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斯里兰卡</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514.08</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144192</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泰国</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21428.841</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4778632</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1537.931</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431026</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土耳其</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3352.196</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951829</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文莱</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2.879</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822</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乌兹别克斯坦</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1095.191</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314805</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西班牙</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9381.726</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2730157</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新加坡</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41425.908</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11130911</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34320.996</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16277175</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伊朗</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876.387</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256443</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以色列</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4312.316</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1226034</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意大利</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1042.47</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313033</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印度</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56.477</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17233</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印度尼西亚</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196.899</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55997</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英国</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42365.88</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9987702</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越南</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31269.652</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8771837</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中国澳门</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56.894</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15955</w:t>
            </w:r>
          </w:p>
        </w:tc>
      </w:tr>
      <w:tr>
        <w:tblPrEx>
          <w:tblCellMar>
            <w:top w:w="0" w:type="dxa"/>
            <w:left w:w="0" w:type="dxa"/>
            <w:bottom w:w="0" w:type="dxa"/>
            <w:right w:w="0" w:type="dxa"/>
          </w:tblCellMar>
        </w:tblPrEx>
        <w:trPr>
          <w:trHeight w:val="270"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中国台湾</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946.036</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286716</w:t>
            </w:r>
          </w:p>
        </w:tc>
      </w:tr>
      <w:tr>
        <w:tblPrEx>
          <w:tblCellMar>
            <w:top w:w="0" w:type="dxa"/>
            <w:left w:w="0" w:type="dxa"/>
            <w:bottom w:w="0" w:type="dxa"/>
            <w:right w:w="0" w:type="dxa"/>
          </w:tblCellMar>
        </w:tblPrEx>
        <w:trPr>
          <w:trHeight w:val="285" w:hRule="atLeast"/>
        </w:trPr>
        <w:tc>
          <w:tcPr>
            <w:tcW w:w="226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中国香港</w:t>
            </w:r>
          </w:p>
        </w:tc>
        <w:tc>
          <w:tcPr>
            <w:tcW w:w="1605"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77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0</w:t>
            </w:r>
          </w:p>
        </w:tc>
        <w:tc>
          <w:tcPr>
            <w:tcW w:w="183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164064.259</w:t>
            </w:r>
          </w:p>
        </w:tc>
        <w:tc>
          <w:tcPr>
            <w:tcW w:w="1950" w:type="dxa"/>
            <w:tcBorders>
              <w:top w:val="single" w:color="333333" w:sz="8" w:space="0"/>
              <w:left w:val="nil"/>
              <w:bottom w:val="single" w:color="333333" w:sz="8" w:space="0"/>
              <w:right w:val="single" w:color="333333"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191919"/>
                <w:sz w:val="21"/>
                <w:szCs w:val="21"/>
                <w:u w:val="none"/>
              </w:rPr>
            </w:pPr>
            <w:r>
              <w:rPr>
                <w:rFonts w:hint="eastAsia" w:ascii="宋体" w:hAnsi="宋体" w:eastAsia="宋体" w:cs="宋体"/>
                <w:i w:val="0"/>
                <w:color w:val="191919"/>
                <w:kern w:val="0"/>
                <w:sz w:val="21"/>
                <w:szCs w:val="21"/>
                <w:u w:val="none"/>
                <w:lang w:val="en-US" w:eastAsia="zh-CN" w:bidi="ar"/>
              </w:rPr>
              <w:t>42739135</w:t>
            </w:r>
          </w:p>
        </w:tc>
      </w:tr>
      <w:tr>
        <w:tblPrEx>
          <w:tblCellMar>
            <w:top w:w="0" w:type="dxa"/>
            <w:left w:w="0" w:type="dxa"/>
            <w:bottom w:w="0" w:type="dxa"/>
            <w:right w:w="0" w:type="dxa"/>
          </w:tblCellMar>
        </w:tblPrEx>
        <w:trPr>
          <w:trHeight w:val="285" w:hRule="atLeast"/>
        </w:trPr>
        <w:tc>
          <w:tcPr>
            <w:tcW w:w="2265" w:type="dxa"/>
            <w:tcBorders>
              <w:top w:val="single" w:color="333333" w:sz="8" w:space="0"/>
              <w:left w:val="nil"/>
              <w:bottom w:val="single" w:color="333333" w:sz="8" w:space="0"/>
              <w:right w:val="single" w:color="333333" w:sz="8" w:space="0"/>
            </w:tcBorders>
            <w:shd w:val="clear" w:color="auto" w:fill="95B3D7"/>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合计</w:t>
            </w:r>
          </w:p>
        </w:tc>
        <w:tc>
          <w:tcPr>
            <w:tcW w:w="1605" w:type="dxa"/>
            <w:tcBorders>
              <w:top w:val="single" w:color="333333" w:sz="8" w:space="0"/>
              <w:left w:val="nil"/>
              <w:bottom w:val="single" w:color="333333" w:sz="8" w:space="0"/>
              <w:right w:val="single" w:color="333333" w:sz="8" w:space="0"/>
            </w:tcBorders>
            <w:shd w:val="clear" w:color="auto" w:fill="95B3D7"/>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372071.52</w:t>
            </w:r>
          </w:p>
        </w:tc>
        <w:tc>
          <w:tcPr>
            <w:tcW w:w="1770" w:type="dxa"/>
            <w:tcBorders>
              <w:top w:val="single" w:color="333333" w:sz="8" w:space="0"/>
              <w:left w:val="nil"/>
              <w:bottom w:val="single" w:color="333333" w:sz="8" w:space="0"/>
              <w:right w:val="single" w:color="333333" w:sz="8" w:space="0"/>
            </w:tcBorders>
            <w:shd w:val="clear" w:color="auto" w:fill="95B3D7"/>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94901575</w:t>
            </w:r>
          </w:p>
        </w:tc>
        <w:tc>
          <w:tcPr>
            <w:tcW w:w="1830" w:type="dxa"/>
            <w:tcBorders>
              <w:top w:val="single" w:color="333333" w:sz="8" w:space="0"/>
              <w:left w:val="nil"/>
              <w:bottom w:val="single" w:color="333333" w:sz="8" w:space="0"/>
              <w:right w:val="single" w:color="333333" w:sz="8" w:space="0"/>
            </w:tcBorders>
            <w:shd w:val="clear" w:color="auto" w:fill="95B3D7"/>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648731.153</w:t>
            </w:r>
          </w:p>
        </w:tc>
        <w:tc>
          <w:tcPr>
            <w:tcW w:w="1950" w:type="dxa"/>
            <w:tcBorders>
              <w:top w:val="single" w:color="333333" w:sz="8" w:space="0"/>
              <w:left w:val="nil"/>
              <w:bottom w:val="single" w:color="333333" w:sz="8" w:space="0"/>
              <w:right w:val="single" w:color="333333" w:sz="8" w:space="0"/>
            </w:tcBorders>
            <w:shd w:val="clear" w:color="auto" w:fill="95B3D7"/>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191919"/>
                <w:sz w:val="21"/>
                <w:szCs w:val="21"/>
                <w:u w:val="none"/>
              </w:rPr>
            </w:pPr>
            <w:r>
              <w:rPr>
                <w:rFonts w:hint="eastAsia" w:ascii="宋体" w:hAnsi="宋体" w:eastAsia="宋体" w:cs="宋体"/>
                <w:b/>
                <w:i w:val="0"/>
                <w:color w:val="191919"/>
                <w:kern w:val="0"/>
                <w:sz w:val="21"/>
                <w:szCs w:val="21"/>
                <w:u w:val="none"/>
                <w:lang w:val="en-US" w:eastAsia="zh-CN" w:bidi="ar"/>
              </w:rPr>
              <w:t>237697735</w:t>
            </w:r>
          </w:p>
        </w:tc>
      </w:tr>
    </w:tbl>
    <w:p/>
    <w:sectPr>
      <w:headerReference r:id="rId5" w:type="first"/>
      <w:headerReference r:id="rId3" w:type="default"/>
      <w:headerReference r:id="rId4" w:type="even"/>
      <w:pgSz w:w="11906" w:h="16838"/>
      <w:pgMar w:top="1416" w:right="1134" w:bottom="1440" w:left="1134" w:header="468"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MS Gothic">
    <w:panose1 w:val="020B06090702050802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left="-359" w:leftChars="-171"/>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3325" cy="10696575"/>
          <wp:effectExtent l="0" t="0" r="9525" b="9525"/>
          <wp:wrapNone/>
          <wp:docPr id="5" name="WordPictureWatermark3"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3325" cy="10696575"/>
          <wp:effectExtent l="0" t="0" r="9525" b="9525"/>
          <wp:wrapNone/>
          <wp:docPr id="6" name="WordPictureWatermark2"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7553325" cy="10696575"/>
          <wp:effectExtent l="0" t="0" r="9525" b="9525"/>
          <wp:wrapNone/>
          <wp:docPr id="4" name="WordPictureWatermark1"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F4C3B"/>
    <w:multiLevelType w:val="singleLevel"/>
    <w:tmpl w:val="C05F4C3B"/>
    <w:lvl w:ilvl="0" w:tentative="0">
      <w:start w:val="2"/>
      <w:numFmt w:val="decimal"/>
      <w:suff w:val="nothing"/>
      <w:lvlText w:val="（%1）"/>
      <w:lvlJc w:val="left"/>
    </w:lvl>
  </w:abstractNum>
  <w:abstractNum w:abstractNumId="1">
    <w:nsid w:val="DD852283"/>
    <w:multiLevelType w:val="singleLevel"/>
    <w:tmpl w:val="DD852283"/>
    <w:lvl w:ilvl="0" w:tentative="0">
      <w:start w:val="2"/>
      <w:numFmt w:val="chineseCounting"/>
      <w:suff w:val="nothing"/>
      <w:lvlText w:val="%1、"/>
      <w:lvlJc w:val="left"/>
      <w:rPr>
        <w:rFonts w:hint="eastAsia"/>
      </w:rPr>
    </w:lvl>
  </w:abstractNum>
  <w:abstractNum w:abstractNumId="2">
    <w:nsid w:val="1566DFC1"/>
    <w:multiLevelType w:val="singleLevel"/>
    <w:tmpl w:val="1566DFC1"/>
    <w:lvl w:ilvl="0" w:tentative="0">
      <w:start w:val="1"/>
      <w:numFmt w:val="decimal"/>
      <w:lvlText w:val="%1."/>
      <w:lvlJc w:val="left"/>
      <w:pPr>
        <w:tabs>
          <w:tab w:val="left" w:pos="312"/>
        </w:tabs>
      </w:pPr>
    </w:lvl>
  </w:abstractNum>
  <w:abstractNum w:abstractNumId="3">
    <w:nsid w:val="2263F9C1"/>
    <w:multiLevelType w:val="singleLevel"/>
    <w:tmpl w:val="2263F9C1"/>
    <w:lvl w:ilvl="0" w:tentative="0">
      <w:start w:val="3"/>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D5"/>
    <w:rsid w:val="00000001"/>
    <w:rsid w:val="00000E2B"/>
    <w:rsid w:val="00001EBA"/>
    <w:rsid w:val="00002437"/>
    <w:rsid w:val="00002997"/>
    <w:rsid w:val="00002F3E"/>
    <w:rsid w:val="00004542"/>
    <w:rsid w:val="00004A29"/>
    <w:rsid w:val="00005391"/>
    <w:rsid w:val="00005D8F"/>
    <w:rsid w:val="00005D97"/>
    <w:rsid w:val="000061A0"/>
    <w:rsid w:val="000062CE"/>
    <w:rsid w:val="0000681C"/>
    <w:rsid w:val="00006B29"/>
    <w:rsid w:val="00007094"/>
    <w:rsid w:val="00007B25"/>
    <w:rsid w:val="00007B73"/>
    <w:rsid w:val="000107BF"/>
    <w:rsid w:val="0001419C"/>
    <w:rsid w:val="00014957"/>
    <w:rsid w:val="00014C18"/>
    <w:rsid w:val="0001671E"/>
    <w:rsid w:val="000173C4"/>
    <w:rsid w:val="000178C3"/>
    <w:rsid w:val="00017CC7"/>
    <w:rsid w:val="0002004D"/>
    <w:rsid w:val="000200C7"/>
    <w:rsid w:val="00020D95"/>
    <w:rsid w:val="000211FB"/>
    <w:rsid w:val="0002143E"/>
    <w:rsid w:val="000214FF"/>
    <w:rsid w:val="00021DC4"/>
    <w:rsid w:val="00021E92"/>
    <w:rsid w:val="0002290F"/>
    <w:rsid w:val="00022911"/>
    <w:rsid w:val="00024B10"/>
    <w:rsid w:val="000258A5"/>
    <w:rsid w:val="00025BB2"/>
    <w:rsid w:val="000261E4"/>
    <w:rsid w:val="00026323"/>
    <w:rsid w:val="00026B40"/>
    <w:rsid w:val="0002776E"/>
    <w:rsid w:val="000278B2"/>
    <w:rsid w:val="00027D07"/>
    <w:rsid w:val="000307CA"/>
    <w:rsid w:val="00030D45"/>
    <w:rsid w:val="000311A2"/>
    <w:rsid w:val="0003292B"/>
    <w:rsid w:val="00032F7C"/>
    <w:rsid w:val="000333A9"/>
    <w:rsid w:val="00034091"/>
    <w:rsid w:val="0003487C"/>
    <w:rsid w:val="00034C76"/>
    <w:rsid w:val="00034D87"/>
    <w:rsid w:val="000350F8"/>
    <w:rsid w:val="000351B3"/>
    <w:rsid w:val="00035B2E"/>
    <w:rsid w:val="000365DA"/>
    <w:rsid w:val="0003678B"/>
    <w:rsid w:val="000371F1"/>
    <w:rsid w:val="00037335"/>
    <w:rsid w:val="000378D2"/>
    <w:rsid w:val="0003793F"/>
    <w:rsid w:val="00037BE1"/>
    <w:rsid w:val="0004014C"/>
    <w:rsid w:val="000408A0"/>
    <w:rsid w:val="00040979"/>
    <w:rsid w:val="00040C7D"/>
    <w:rsid w:val="00040E39"/>
    <w:rsid w:val="000414B3"/>
    <w:rsid w:val="00041567"/>
    <w:rsid w:val="00041645"/>
    <w:rsid w:val="0004193C"/>
    <w:rsid w:val="00042A15"/>
    <w:rsid w:val="0004317C"/>
    <w:rsid w:val="00044335"/>
    <w:rsid w:val="0004451D"/>
    <w:rsid w:val="000450D2"/>
    <w:rsid w:val="000455F4"/>
    <w:rsid w:val="00046E70"/>
    <w:rsid w:val="00047259"/>
    <w:rsid w:val="00047DBB"/>
    <w:rsid w:val="00050E51"/>
    <w:rsid w:val="00051443"/>
    <w:rsid w:val="00051A09"/>
    <w:rsid w:val="00051DD5"/>
    <w:rsid w:val="00051E83"/>
    <w:rsid w:val="00052AAE"/>
    <w:rsid w:val="000530F9"/>
    <w:rsid w:val="000533E0"/>
    <w:rsid w:val="00054176"/>
    <w:rsid w:val="00054429"/>
    <w:rsid w:val="00054B8C"/>
    <w:rsid w:val="00054FF9"/>
    <w:rsid w:val="000550CF"/>
    <w:rsid w:val="00055C14"/>
    <w:rsid w:val="00055D8E"/>
    <w:rsid w:val="00056B34"/>
    <w:rsid w:val="00056E02"/>
    <w:rsid w:val="0005709B"/>
    <w:rsid w:val="00057C7F"/>
    <w:rsid w:val="000600F1"/>
    <w:rsid w:val="0006025C"/>
    <w:rsid w:val="0006030A"/>
    <w:rsid w:val="00060CDF"/>
    <w:rsid w:val="00060FE3"/>
    <w:rsid w:val="000614AA"/>
    <w:rsid w:val="000616C7"/>
    <w:rsid w:val="000622A6"/>
    <w:rsid w:val="00063461"/>
    <w:rsid w:val="00063524"/>
    <w:rsid w:val="00063D65"/>
    <w:rsid w:val="000641DA"/>
    <w:rsid w:val="00064635"/>
    <w:rsid w:val="000647DD"/>
    <w:rsid w:val="000661BB"/>
    <w:rsid w:val="00067D25"/>
    <w:rsid w:val="00071AB9"/>
    <w:rsid w:val="00071D20"/>
    <w:rsid w:val="00072B8A"/>
    <w:rsid w:val="00072D55"/>
    <w:rsid w:val="00072FD1"/>
    <w:rsid w:val="000730CF"/>
    <w:rsid w:val="00073486"/>
    <w:rsid w:val="0007371F"/>
    <w:rsid w:val="00073A1E"/>
    <w:rsid w:val="000745EA"/>
    <w:rsid w:val="00076A59"/>
    <w:rsid w:val="00076D7A"/>
    <w:rsid w:val="000770E7"/>
    <w:rsid w:val="00080E3E"/>
    <w:rsid w:val="000816B9"/>
    <w:rsid w:val="000818F5"/>
    <w:rsid w:val="00081BB1"/>
    <w:rsid w:val="00082283"/>
    <w:rsid w:val="000829B8"/>
    <w:rsid w:val="00083416"/>
    <w:rsid w:val="000837CC"/>
    <w:rsid w:val="00083A7A"/>
    <w:rsid w:val="00084686"/>
    <w:rsid w:val="00084795"/>
    <w:rsid w:val="00086799"/>
    <w:rsid w:val="00087018"/>
    <w:rsid w:val="000873E9"/>
    <w:rsid w:val="00087A5E"/>
    <w:rsid w:val="00087FB0"/>
    <w:rsid w:val="00090691"/>
    <w:rsid w:val="000908E5"/>
    <w:rsid w:val="00090993"/>
    <w:rsid w:val="00090EB0"/>
    <w:rsid w:val="0009139C"/>
    <w:rsid w:val="000915F9"/>
    <w:rsid w:val="00092D67"/>
    <w:rsid w:val="0009306B"/>
    <w:rsid w:val="00094101"/>
    <w:rsid w:val="00094976"/>
    <w:rsid w:val="000950DB"/>
    <w:rsid w:val="00095556"/>
    <w:rsid w:val="0009706E"/>
    <w:rsid w:val="00097831"/>
    <w:rsid w:val="00097A8A"/>
    <w:rsid w:val="000A04CA"/>
    <w:rsid w:val="000A089A"/>
    <w:rsid w:val="000A08E0"/>
    <w:rsid w:val="000A1177"/>
    <w:rsid w:val="000A1814"/>
    <w:rsid w:val="000A1F70"/>
    <w:rsid w:val="000A2479"/>
    <w:rsid w:val="000A28C2"/>
    <w:rsid w:val="000A2A3A"/>
    <w:rsid w:val="000A34DE"/>
    <w:rsid w:val="000A35E6"/>
    <w:rsid w:val="000A35EB"/>
    <w:rsid w:val="000A420D"/>
    <w:rsid w:val="000A4ABE"/>
    <w:rsid w:val="000A4CA3"/>
    <w:rsid w:val="000A53C0"/>
    <w:rsid w:val="000A5A29"/>
    <w:rsid w:val="000A5D6A"/>
    <w:rsid w:val="000A6CD8"/>
    <w:rsid w:val="000A731B"/>
    <w:rsid w:val="000A7E49"/>
    <w:rsid w:val="000B0145"/>
    <w:rsid w:val="000B02C2"/>
    <w:rsid w:val="000B0464"/>
    <w:rsid w:val="000B07D8"/>
    <w:rsid w:val="000B117C"/>
    <w:rsid w:val="000B1354"/>
    <w:rsid w:val="000B18CA"/>
    <w:rsid w:val="000B1CBE"/>
    <w:rsid w:val="000B278F"/>
    <w:rsid w:val="000B2F60"/>
    <w:rsid w:val="000B3F65"/>
    <w:rsid w:val="000B438B"/>
    <w:rsid w:val="000B4A4B"/>
    <w:rsid w:val="000B4B63"/>
    <w:rsid w:val="000B577A"/>
    <w:rsid w:val="000B6E8C"/>
    <w:rsid w:val="000B6EF1"/>
    <w:rsid w:val="000C045B"/>
    <w:rsid w:val="000C0765"/>
    <w:rsid w:val="000C1522"/>
    <w:rsid w:val="000C23BE"/>
    <w:rsid w:val="000C2AF8"/>
    <w:rsid w:val="000C2C0D"/>
    <w:rsid w:val="000C390B"/>
    <w:rsid w:val="000C519B"/>
    <w:rsid w:val="000C7E9B"/>
    <w:rsid w:val="000D017E"/>
    <w:rsid w:val="000D1403"/>
    <w:rsid w:val="000D19C8"/>
    <w:rsid w:val="000D1EDF"/>
    <w:rsid w:val="000D23EE"/>
    <w:rsid w:val="000D2454"/>
    <w:rsid w:val="000D2F34"/>
    <w:rsid w:val="000D5070"/>
    <w:rsid w:val="000D54B6"/>
    <w:rsid w:val="000D5A72"/>
    <w:rsid w:val="000D606E"/>
    <w:rsid w:val="000D6CDE"/>
    <w:rsid w:val="000D77A0"/>
    <w:rsid w:val="000D78B6"/>
    <w:rsid w:val="000E02F8"/>
    <w:rsid w:val="000E08E9"/>
    <w:rsid w:val="000E09E1"/>
    <w:rsid w:val="000E0BE6"/>
    <w:rsid w:val="000E0C68"/>
    <w:rsid w:val="000E119C"/>
    <w:rsid w:val="000E11CC"/>
    <w:rsid w:val="000E2177"/>
    <w:rsid w:val="000E236C"/>
    <w:rsid w:val="000E2AB6"/>
    <w:rsid w:val="000E3068"/>
    <w:rsid w:val="000E3797"/>
    <w:rsid w:val="000E47BE"/>
    <w:rsid w:val="000E5148"/>
    <w:rsid w:val="000E6069"/>
    <w:rsid w:val="000E675A"/>
    <w:rsid w:val="000E6D52"/>
    <w:rsid w:val="000E6D82"/>
    <w:rsid w:val="000E6FF4"/>
    <w:rsid w:val="000E70FD"/>
    <w:rsid w:val="000E7B4B"/>
    <w:rsid w:val="000F0302"/>
    <w:rsid w:val="000F1424"/>
    <w:rsid w:val="000F18AD"/>
    <w:rsid w:val="000F22B3"/>
    <w:rsid w:val="000F26ED"/>
    <w:rsid w:val="000F28B0"/>
    <w:rsid w:val="000F3134"/>
    <w:rsid w:val="000F3569"/>
    <w:rsid w:val="000F35E1"/>
    <w:rsid w:val="000F3D99"/>
    <w:rsid w:val="000F4030"/>
    <w:rsid w:val="000F660F"/>
    <w:rsid w:val="000F68C8"/>
    <w:rsid w:val="000F756F"/>
    <w:rsid w:val="000F7799"/>
    <w:rsid w:val="000F7FC3"/>
    <w:rsid w:val="001000F4"/>
    <w:rsid w:val="001017C9"/>
    <w:rsid w:val="00101ECB"/>
    <w:rsid w:val="001020D5"/>
    <w:rsid w:val="00102A5C"/>
    <w:rsid w:val="001035B8"/>
    <w:rsid w:val="001036E7"/>
    <w:rsid w:val="00103E6C"/>
    <w:rsid w:val="00104105"/>
    <w:rsid w:val="001048FA"/>
    <w:rsid w:val="001057B4"/>
    <w:rsid w:val="00105C49"/>
    <w:rsid w:val="00106EF3"/>
    <w:rsid w:val="001070FC"/>
    <w:rsid w:val="00107AE3"/>
    <w:rsid w:val="00107B0B"/>
    <w:rsid w:val="00107E46"/>
    <w:rsid w:val="00110A50"/>
    <w:rsid w:val="00111114"/>
    <w:rsid w:val="00111756"/>
    <w:rsid w:val="00111A3D"/>
    <w:rsid w:val="00111D2D"/>
    <w:rsid w:val="00112543"/>
    <w:rsid w:val="0011275B"/>
    <w:rsid w:val="0011324A"/>
    <w:rsid w:val="00113675"/>
    <w:rsid w:val="00114954"/>
    <w:rsid w:val="00114A6C"/>
    <w:rsid w:val="001150AE"/>
    <w:rsid w:val="00115A3C"/>
    <w:rsid w:val="00115EFA"/>
    <w:rsid w:val="001172F7"/>
    <w:rsid w:val="00117BF6"/>
    <w:rsid w:val="001209FD"/>
    <w:rsid w:val="0012159B"/>
    <w:rsid w:val="00121C71"/>
    <w:rsid w:val="00122283"/>
    <w:rsid w:val="00122331"/>
    <w:rsid w:val="00122541"/>
    <w:rsid w:val="00122BC1"/>
    <w:rsid w:val="00122EB5"/>
    <w:rsid w:val="00123F25"/>
    <w:rsid w:val="00124010"/>
    <w:rsid w:val="00125FBE"/>
    <w:rsid w:val="00126307"/>
    <w:rsid w:val="00126DAE"/>
    <w:rsid w:val="00127938"/>
    <w:rsid w:val="00127F97"/>
    <w:rsid w:val="001304A1"/>
    <w:rsid w:val="00130E8D"/>
    <w:rsid w:val="00131D92"/>
    <w:rsid w:val="00131FF7"/>
    <w:rsid w:val="001325BA"/>
    <w:rsid w:val="0013325C"/>
    <w:rsid w:val="00133446"/>
    <w:rsid w:val="00133D58"/>
    <w:rsid w:val="00133E2E"/>
    <w:rsid w:val="00134A56"/>
    <w:rsid w:val="00134B33"/>
    <w:rsid w:val="00134D69"/>
    <w:rsid w:val="00135100"/>
    <w:rsid w:val="00135379"/>
    <w:rsid w:val="001355D3"/>
    <w:rsid w:val="0013634F"/>
    <w:rsid w:val="001363D5"/>
    <w:rsid w:val="001371D9"/>
    <w:rsid w:val="0013781A"/>
    <w:rsid w:val="00137F23"/>
    <w:rsid w:val="00140809"/>
    <w:rsid w:val="00141D19"/>
    <w:rsid w:val="00141F5D"/>
    <w:rsid w:val="001424DC"/>
    <w:rsid w:val="00142B27"/>
    <w:rsid w:val="00142B40"/>
    <w:rsid w:val="001439DC"/>
    <w:rsid w:val="00143B71"/>
    <w:rsid w:val="00144675"/>
    <w:rsid w:val="001447D7"/>
    <w:rsid w:val="00145608"/>
    <w:rsid w:val="001462C5"/>
    <w:rsid w:val="00146B81"/>
    <w:rsid w:val="00147639"/>
    <w:rsid w:val="0014780F"/>
    <w:rsid w:val="00150A9C"/>
    <w:rsid w:val="00150C89"/>
    <w:rsid w:val="00151179"/>
    <w:rsid w:val="0015132D"/>
    <w:rsid w:val="0015143A"/>
    <w:rsid w:val="00152074"/>
    <w:rsid w:val="00152F02"/>
    <w:rsid w:val="00153599"/>
    <w:rsid w:val="00153AAD"/>
    <w:rsid w:val="00153C29"/>
    <w:rsid w:val="001543B5"/>
    <w:rsid w:val="0015441A"/>
    <w:rsid w:val="0015450C"/>
    <w:rsid w:val="00156455"/>
    <w:rsid w:val="0015706A"/>
    <w:rsid w:val="001572FE"/>
    <w:rsid w:val="001577CB"/>
    <w:rsid w:val="00157805"/>
    <w:rsid w:val="001607B0"/>
    <w:rsid w:val="00160FE2"/>
    <w:rsid w:val="00161305"/>
    <w:rsid w:val="00161385"/>
    <w:rsid w:val="00162336"/>
    <w:rsid w:val="001628AC"/>
    <w:rsid w:val="001636A2"/>
    <w:rsid w:val="0016370D"/>
    <w:rsid w:val="00164043"/>
    <w:rsid w:val="00164712"/>
    <w:rsid w:val="001647F8"/>
    <w:rsid w:val="00164E56"/>
    <w:rsid w:val="0016504D"/>
    <w:rsid w:val="0016550B"/>
    <w:rsid w:val="00165658"/>
    <w:rsid w:val="00166055"/>
    <w:rsid w:val="001665E7"/>
    <w:rsid w:val="00166C96"/>
    <w:rsid w:val="00166FF0"/>
    <w:rsid w:val="00167F99"/>
    <w:rsid w:val="00170077"/>
    <w:rsid w:val="00170C4C"/>
    <w:rsid w:val="00171407"/>
    <w:rsid w:val="00171AA5"/>
    <w:rsid w:val="00171AD1"/>
    <w:rsid w:val="001730F6"/>
    <w:rsid w:val="001735AC"/>
    <w:rsid w:val="00173BD0"/>
    <w:rsid w:val="00175478"/>
    <w:rsid w:val="001756E8"/>
    <w:rsid w:val="001759C1"/>
    <w:rsid w:val="00175AF7"/>
    <w:rsid w:val="00176B82"/>
    <w:rsid w:val="00177443"/>
    <w:rsid w:val="00177B3C"/>
    <w:rsid w:val="00180049"/>
    <w:rsid w:val="001801E7"/>
    <w:rsid w:val="0018076A"/>
    <w:rsid w:val="00181417"/>
    <w:rsid w:val="00181F7D"/>
    <w:rsid w:val="00182970"/>
    <w:rsid w:val="00182C5C"/>
    <w:rsid w:val="00182FF9"/>
    <w:rsid w:val="00183E9B"/>
    <w:rsid w:val="00184879"/>
    <w:rsid w:val="00185521"/>
    <w:rsid w:val="00185DB1"/>
    <w:rsid w:val="00186131"/>
    <w:rsid w:val="00187F57"/>
    <w:rsid w:val="00187FFE"/>
    <w:rsid w:val="00190E5F"/>
    <w:rsid w:val="00191153"/>
    <w:rsid w:val="001913DE"/>
    <w:rsid w:val="001915C6"/>
    <w:rsid w:val="001917BD"/>
    <w:rsid w:val="0019180C"/>
    <w:rsid w:val="00191DDC"/>
    <w:rsid w:val="00191FDA"/>
    <w:rsid w:val="00192E12"/>
    <w:rsid w:val="00192FAB"/>
    <w:rsid w:val="001933C2"/>
    <w:rsid w:val="00193E58"/>
    <w:rsid w:val="001943E0"/>
    <w:rsid w:val="00194C41"/>
    <w:rsid w:val="0019534C"/>
    <w:rsid w:val="001954C9"/>
    <w:rsid w:val="001963B6"/>
    <w:rsid w:val="00197544"/>
    <w:rsid w:val="00197BE6"/>
    <w:rsid w:val="00197CDD"/>
    <w:rsid w:val="001A1372"/>
    <w:rsid w:val="001A1DC2"/>
    <w:rsid w:val="001A2421"/>
    <w:rsid w:val="001A3469"/>
    <w:rsid w:val="001A38D6"/>
    <w:rsid w:val="001A3FCF"/>
    <w:rsid w:val="001A4131"/>
    <w:rsid w:val="001A41EB"/>
    <w:rsid w:val="001A4597"/>
    <w:rsid w:val="001A47B4"/>
    <w:rsid w:val="001A526F"/>
    <w:rsid w:val="001A5C33"/>
    <w:rsid w:val="001A63E5"/>
    <w:rsid w:val="001A6847"/>
    <w:rsid w:val="001A6A7A"/>
    <w:rsid w:val="001A6B24"/>
    <w:rsid w:val="001A7A90"/>
    <w:rsid w:val="001A7DA2"/>
    <w:rsid w:val="001B0470"/>
    <w:rsid w:val="001B13C9"/>
    <w:rsid w:val="001B146C"/>
    <w:rsid w:val="001B2164"/>
    <w:rsid w:val="001B21FA"/>
    <w:rsid w:val="001B2308"/>
    <w:rsid w:val="001B2348"/>
    <w:rsid w:val="001B2401"/>
    <w:rsid w:val="001B411B"/>
    <w:rsid w:val="001B4639"/>
    <w:rsid w:val="001B4C20"/>
    <w:rsid w:val="001B525E"/>
    <w:rsid w:val="001B57AE"/>
    <w:rsid w:val="001B5A2F"/>
    <w:rsid w:val="001B5A48"/>
    <w:rsid w:val="001B747D"/>
    <w:rsid w:val="001B7717"/>
    <w:rsid w:val="001C0088"/>
    <w:rsid w:val="001C070E"/>
    <w:rsid w:val="001C0993"/>
    <w:rsid w:val="001C0AFC"/>
    <w:rsid w:val="001C1004"/>
    <w:rsid w:val="001C17B3"/>
    <w:rsid w:val="001C1A48"/>
    <w:rsid w:val="001C1F33"/>
    <w:rsid w:val="001C31CB"/>
    <w:rsid w:val="001C34AF"/>
    <w:rsid w:val="001C43BC"/>
    <w:rsid w:val="001C4B99"/>
    <w:rsid w:val="001C5330"/>
    <w:rsid w:val="001C65CA"/>
    <w:rsid w:val="001C6E28"/>
    <w:rsid w:val="001C7020"/>
    <w:rsid w:val="001D1437"/>
    <w:rsid w:val="001D16CD"/>
    <w:rsid w:val="001D198D"/>
    <w:rsid w:val="001D1D16"/>
    <w:rsid w:val="001D1E9C"/>
    <w:rsid w:val="001D3A41"/>
    <w:rsid w:val="001D5E98"/>
    <w:rsid w:val="001D670F"/>
    <w:rsid w:val="001D6EAA"/>
    <w:rsid w:val="001D79D7"/>
    <w:rsid w:val="001E0203"/>
    <w:rsid w:val="001E1FED"/>
    <w:rsid w:val="001E22C5"/>
    <w:rsid w:val="001E2D18"/>
    <w:rsid w:val="001E38F1"/>
    <w:rsid w:val="001E4640"/>
    <w:rsid w:val="001E4675"/>
    <w:rsid w:val="001E4C78"/>
    <w:rsid w:val="001E52D5"/>
    <w:rsid w:val="001E672C"/>
    <w:rsid w:val="001E696E"/>
    <w:rsid w:val="001E71E9"/>
    <w:rsid w:val="001E74A2"/>
    <w:rsid w:val="001E7C42"/>
    <w:rsid w:val="001E7E1D"/>
    <w:rsid w:val="001F027C"/>
    <w:rsid w:val="001F0F0B"/>
    <w:rsid w:val="001F11AD"/>
    <w:rsid w:val="001F14EB"/>
    <w:rsid w:val="001F1692"/>
    <w:rsid w:val="001F2362"/>
    <w:rsid w:val="001F2F77"/>
    <w:rsid w:val="001F34FE"/>
    <w:rsid w:val="001F37EE"/>
    <w:rsid w:val="001F4213"/>
    <w:rsid w:val="001F42E1"/>
    <w:rsid w:val="001F43B8"/>
    <w:rsid w:val="001F47B8"/>
    <w:rsid w:val="001F4E58"/>
    <w:rsid w:val="001F5358"/>
    <w:rsid w:val="001F5364"/>
    <w:rsid w:val="001F67B5"/>
    <w:rsid w:val="001F6ADF"/>
    <w:rsid w:val="001F6E69"/>
    <w:rsid w:val="001F77EC"/>
    <w:rsid w:val="001F787D"/>
    <w:rsid w:val="002003E3"/>
    <w:rsid w:val="00201242"/>
    <w:rsid w:val="002024E9"/>
    <w:rsid w:val="00202569"/>
    <w:rsid w:val="002029FE"/>
    <w:rsid w:val="00202F24"/>
    <w:rsid w:val="00202F56"/>
    <w:rsid w:val="0020334B"/>
    <w:rsid w:val="00203835"/>
    <w:rsid w:val="00203C18"/>
    <w:rsid w:val="00203DF4"/>
    <w:rsid w:val="0020429F"/>
    <w:rsid w:val="00204DEB"/>
    <w:rsid w:val="0020547E"/>
    <w:rsid w:val="002056E1"/>
    <w:rsid w:val="00205776"/>
    <w:rsid w:val="002061AA"/>
    <w:rsid w:val="00206217"/>
    <w:rsid w:val="00206961"/>
    <w:rsid w:val="00206C10"/>
    <w:rsid w:val="00206C94"/>
    <w:rsid w:val="002070CC"/>
    <w:rsid w:val="00207B54"/>
    <w:rsid w:val="0021005A"/>
    <w:rsid w:val="00210072"/>
    <w:rsid w:val="00211B52"/>
    <w:rsid w:val="00212027"/>
    <w:rsid w:val="00212CC1"/>
    <w:rsid w:val="002135EF"/>
    <w:rsid w:val="002142FE"/>
    <w:rsid w:val="0021554A"/>
    <w:rsid w:val="0021599C"/>
    <w:rsid w:val="00215EF0"/>
    <w:rsid w:val="00215FAC"/>
    <w:rsid w:val="00216EA1"/>
    <w:rsid w:val="00220932"/>
    <w:rsid w:val="00221323"/>
    <w:rsid w:val="0022135B"/>
    <w:rsid w:val="00221417"/>
    <w:rsid w:val="00221AE1"/>
    <w:rsid w:val="002228D8"/>
    <w:rsid w:val="00222DD4"/>
    <w:rsid w:val="00223EB5"/>
    <w:rsid w:val="0022465B"/>
    <w:rsid w:val="00224AA2"/>
    <w:rsid w:val="00224F32"/>
    <w:rsid w:val="00225411"/>
    <w:rsid w:val="00225AFC"/>
    <w:rsid w:val="0022625C"/>
    <w:rsid w:val="002263F5"/>
    <w:rsid w:val="00226DD7"/>
    <w:rsid w:val="0022737F"/>
    <w:rsid w:val="0022761E"/>
    <w:rsid w:val="0022783A"/>
    <w:rsid w:val="00227FA2"/>
    <w:rsid w:val="0023070F"/>
    <w:rsid w:val="00232EBE"/>
    <w:rsid w:val="0023343F"/>
    <w:rsid w:val="0023357D"/>
    <w:rsid w:val="00233D2E"/>
    <w:rsid w:val="002342FE"/>
    <w:rsid w:val="00234CBD"/>
    <w:rsid w:val="00235DEF"/>
    <w:rsid w:val="00236788"/>
    <w:rsid w:val="002373A1"/>
    <w:rsid w:val="002373B6"/>
    <w:rsid w:val="00237757"/>
    <w:rsid w:val="00237E28"/>
    <w:rsid w:val="002403AF"/>
    <w:rsid w:val="002407CB"/>
    <w:rsid w:val="0024194C"/>
    <w:rsid w:val="00241E99"/>
    <w:rsid w:val="002423BF"/>
    <w:rsid w:val="00242403"/>
    <w:rsid w:val="002424D9"/>
    <w:rsid w:val="00242629"/>
    <w:rsid w:val="00242908"/>
    <w:rsid w:val="00243C0D"/>
    <w:rsid w:val="0024452A"/>
    <w:rsid w:val="0024488C"/>
    <w:rsid w:val="0024498B"/>
    <w:rsid w:val="00245526"/>
    <w:rsid w:val="00246BAA"/>
    <w:rsid w:val="00247A6B"/>
    <w:rsid w:val="002501F7"/>
    <w:rsid w:val="0025061E"/>
    <w:rsid w:val="00250679"/>
    <w:rsid w:val="002508C0"/>
    <w:rsid w:val="00251CCD"/>
    <w:rsid w:val="0025213B"/>
    <w:rsid w:val="00252244"/>
    <w:rsid w:val="002527E4"/>
    <w:rsid w:val="002527F4"/>
    <w:rsid w:val="002531A3"/>
    <w:rsid w:val="002535DA"/>
    <w:rsid w:val="00253DA0"/>
    <w:rsid w:val="00254D9A"/>
    <w:rsid w:val="00254DD6"/>
    <w:rsid w:val="00255253"/>
    <w:rsid w:val="0025566E"/>
    <w:rsid w:val="00255876"/>
    <w:rsid w:val="00256A9F"/>
    <w:rsid w:val="00257852"/>
    <w:rsid w:val="00260B93"/>
    <w:rsid w:val="002611A8"/>
    <w:rsid w:val="002615CB"/>
    <w:rsid w:val="00261720"/>
    <w:rsid w:val="002621A1"/>
    <w:rsid w:val="002626CD"/>
    <w:rsid w:val="00263132"/>
    <w:rsid w:val="00263B51"/>
    <w:rsid w:val="00263D44"/>
    <w:rsid w:val="0026494F"/>
    <w:rsid w:val="00265630"/>
    <w:rsid w:val="00265B4A"/>
    <w:rsid w:val="00265D2E"/>
    <w:rsid w:val="0026611B"/>
    <w:rsid w:val="00266365"/>
    <w:rsid w:val="00266E24"/>
    <w:rsid w:val="00267928"/>
    <w:rsid w:val="00267EBD"/>
    <w:rsid w:val="00267F52"/>
    <w:rsid w:val="00272586"/>
    <w:rsid w:val="00272AEF"/>
    <w:rsid w:val="00272E81"/>
    <w:rsid w:val="002733D1"/>
    <w:rsid w:val="002735EA"/>
    <w:rsid w:val="0027399B"/>
    <w:rsid w:val="00273A6E"/>
    <w:rsid w:val="00275339"/>
    <w:rsid w:val="00276071"/>
    <w:rsid w:val="00276DAA"/>
    <w:rsid w:val="0027737D"/>
    <w:rsid w:val="00277E52"/>
    <w:rsid w:val="00277F10"/>
    <w:rsid w:val="00280CB2"/>
    <w:rsid w:val="002812B1"/>
    <w:rsid w:val="0028229A"/>
    <w:rsid w:val="00282B29"/>
    <w:rsid w:val="00282EBD"/>
    <w:rsid w:val="0028398A"/>
    <w:rsid w:val="00284E6E"/>
    <w:rsid w:val="002851EA"/>
    <w:rsid w:val="00286775"/>
    <w:rsid w:val="00290C35"/>
    <w:rsid w:val="0029197D"/>
    <w:rsid w:val="00292058"/>
    <w:rsid w:val="00292636"/>
    <w:rsid w:val="00292B6A"/>
    <w:rsid w:val="00292E46"/>
    <w:rsid w:val="0029415B"/>
    <w:rsid w:val="0029508C"/>
    <w:rsid w:val="0029513D"/>
    <w:rsid w:val="0029588A"/>
    <w:rsid w:val="00297057"/>
    <w:rsid w:val="00297D15"/>
    <w:rsid w:val="002A0087"/>
    <w:rsid w:val="002A0123"/>
    <w:rsid w:val="002A12B3"/>
    <w:rsid w:val="002A158F"/>
    <w:rsid w:val="002A1699"/>
    <w:rsid w:val="002A16C0"/>
    <w:rsid w:val="002A2D8F"/>
    <w:rsid w:val="002A30AB"/>
    <w:rsid w:val="002A30DC"/>
    <w:rsid w:val="002A3B17"/>
    <w:rsid w:val="002A428E"/>
    <w:rsid w:val="002A4B92"/>
    <w:rsid w:val="002A4C92"/>
    <w:rsid w:val="002A4EBE"/>
    <w:rsid w:val="002A5128"/>
    <w:rsid w:val="002A51CE"/>
    <w:rsid w:val="002A59DF"/>
    <w:rsid w:val="002A5E88"/>
    <w:rsid w:val="002A6036"/>
    <w:rsid w:val="002A60C7"/>
    <w:rsid w:val="002A60D7"/>
    <w:rsid w:val="002A625D"/>
    <w:rsid w:val="002A65A7"/>
    <w:rsid w:val="002A7311"/>
    <w:rsid w:val="002A7333"/>
    <w:rsid w:val="002A77CB"/>
    <w:rsid w:val="002A7980"/>
    <w:rsid w:val="002A7995"/>
    <w:rsid w:val="002A7B63"/>
    <w:rsid w:val="002A7E1F"/>
    <w:rsid w:val="002B1BFE"/>
    <w:rsid w:val="002B2062"/>
    <w:rsid w:val="002B24F8"/>
    <w:rsid w:val="002B2E00"/>
    <w:rsid w:val="002B3214"/>
    <w:rsid w:val="002B3526"/>
    <w:rsid w:val="002B3535"/>
    <w:rsid w:val="002B4454"/>
    <w:rsid w:val="002B4981"/>
    <w:rsid w:val="002B5689"/>
    <w:rsid w:val="002B57C4"/>
    <w:rsid w:val="002B6C9D"/>
    <w:rsid w:val="002B76B9"/>
    <w:rsid w:val="002B7713"/>
    <w:rsid w:val="002B7956"/>
    <w:rsid w:val="002B7ED1"/>
    <w:rsid w:val="002C042C"/>
    <w:rsid w:val="002C0504"/>
    <w:rsid w:val="002C209D"/>
    <w:rsid w:val="002C27D5"/>
    <w:rsid w:val="002C2A79"/>
    <w:rsid w:val="002C2D64"/>
    <w:rsid w:val="002C31F0"/>
    <w:rsid w:val="002C3A1E"/>
    <w:rsid w:val="002C3C8F"/>
    <w:rsid w:val="002C45B8"/>
    <w:rsid w:val="002C5251"/>
    <w:rsid w:val="002C5450"/>
    <w:rsid w:val="002C5765"/>
    <w:rsid w:val="002C60AF"/>
    <w:rsid w:val="002C60CC"/>
    <w:rsid w:val="002C6922"/>
    <w:rsid w:val="002C6D02"/>
    <w:rsid w:val="002D006F"/>
    <w:rsid w:val="002D00AF"/>
    <w:rsid w:val="002D0181"/>
    <w:rsid w:val="002D0C6C"/>
    <w:rsid w:val="002D278F"/>
    <w:rsid w:val="002D27E8"/>
    <w:rsid w:val="002D2976"/>
    <w:rsid w:val="002D2CC2"/>
    <w:rsid w:val="002D366A"/>
    <w:rsid w:val="002D3858"/>
    <w:rsid w:val="002D4536"/>
    <w:rsid w:val="002D48EA"/>
    <w:rsid w:val="002D4D82"/>
    <w:rsid w:val="002D4E5E"/>
    <w:rsid w:val="002D58F8"/>
    <w:rsid w:val="002D5C5E"/>
    <w:rsid w:val="002D6171"/>
    <w:rsid w:val="002D686D"/>
    <w:rsid w:val="002D6B3B"/>
    <w:rsid w:val="002D6EEB"/>
    <w:rsid w:val="002E0572"/>
    <w:rsid w:val="002E06B2"/>
    <w:rsid w:val="002E0830"/>
    <w:rsid w:val="002E08F0"/>
    <w:rsid w:val="002E0F08"/>
    <w:rsid w:val="002E16FA"/>
    <w:rsid w:val="002E190B"/>
    <w:rsid w:val="002E1BB4"/>
    <w:rsid w:val="002E2E2E"/>
    <w:rsid w:val="002E30A1"/>
    <w:rsid w:val="002E32FD"/>
    <w:rsid w:val="002E3B50"/>
    <w:rsid w:val="002E3B93"/>
    <w:rsid w:val="002E3E20"/>
    <w:rsid w:val="002E4814"/>
    <w:rsid w:val="002E5087"/>
    <w:rsid w:val="002E5878"/>
    <w:rsid w:val="002E6A7C"/>
    <w:rsid w:val="002E6F62"/>
    <w:rsid w:val="002E745C"/>
    <w:rsid w:val="002E7FE5"/>
    <w:rsid w:val="002F0632"/>
    <w:rsid w:val="002F0A70"/>
    <w:rsid w:val="002F0C77"/>
    <w:rsid w:val="002F1017"/>
    <w:rsid w:val="002F18DF"/>
    <w:rsid w:val="002F27B1"/>
    <w:rsid w:val="002F386F"/>
    <w:rsid w:val="002F38A6"/>
    <w:rsid w:val="002F3B28"/>
    <w:rsid w:val="002F4692"/>
    <w:rsid w:val="002F46BF"/>
    <w:rsid w:val="002F4BFE"/>
    <w:rsid w:val="002F547C"/>
    <w:rsid w:val="002F5524"/>
    <w:rsid w:val="002F5D9E"/>
    <w:rsid w:val="002F667D"/>
    <w:rsid w:val="002F6CBA"/>
    <w:rsid w:val="002F6EC6"/>
    <w:rsid w:val="002F6F59"/>
    <w:rsid w:val="002F7289"/>
    <w:rsid w:val="00300282"/>
    <w:rsid w:val="0030079C"/>
    <w:rsid w:val="00300A33"/>
    <w:rsid w:val="00300A7C"/>
    <w:rsid w:val="00300E10"/>
    <w:rsid w:val="00301517"/>
    <w:rsid w:val="00301F2C"/>
    <w:rsid w:val="00301F60"/>
    <w:rsid w:val="00301FF7"/>
    <w:rsid w:val="00302CDC"/>
    <w:rsid w:val="00302FEA"/>
    <w:rsid w:val="0030338B"/>
    <w:rsid w:val="00304253"/>
    <w:rsid w:val="00304A88"/>
    <w:rsid w:val="00305288"/>
    <w:rsid w:val="003052FD"/>
    <w:rsid w:val="0030593F"/>
    <w:rsid w:val="00305E34"/>
    <w:rsid w:val="00305F0E"/>
    <w:rsid w:val="00305FF5"/>
    <w:rsid w:val="003071C8"/>
    <w:rsid w:val="003106F6"/>
    <w:rsid w:val="00310B34"/>
    <w:rsid w:val="00310D4A"/>
    <w:rsid w:val="003115A0"/>
    <w:rsid w:val="003117A0"/>
    <w:rsid w:val="00311CC5"/>
    <w:rsid w:val="0031243B"/>
    <w:rsid w:val="00312B13"/>
    <w:rsid w:val="00312CD2"/>
    <w:rsid w:val="003133A1"/>
    <w:rsid w:val="00313DF6"/>
    <w:rsid w:val="00313F77"/>
    <w:rsid w:val="003156D8"/>
    <w:rsid w:val="00315D0E"/>
    <w:rsid w:val="00316111"/>
    <w:rsid w:val="00316725"/>
    <w:rsid w:val="00316CCF"/>
    <w:rsid w:val="00317903"/>
    <w:rsid w:val="00317AEC"/>
    <w:rsid w:val="00320584"/>
    <w:rsid w:val="00321097"/>
    <w:rsid w:val="00321472"/>
    <w:rsid w:val="00323CA8"/>
    <w:rsid w:val="00323F8A"/>
    <w:rsid w:val="0032434D"/>
    <w:rsid w:val="003245DA"/>
    <w:rsid w:val="00324BDF"/>
    <w:rsid w:val="00324DFC"/>
    <w:rsid w:val="003254E8"/>
    <w:rsid w:val="00325513"/>
    <w:rsid w:val="00325578"/>
    <w:rsid w:val="00325A4E"/>
    <w:rsid w:val="003267AF"/>
    <w:rsid w:val="003274F2"/>
    <w:rsid w:val="00327822"/>
    <w:rsid w:val="003279F1"/>
    <w:rsid w:val="00327E2A"/>
    <w:rsid w:val="003305E4"/>
    <w:rsid w:val="003309CA"/>
    <w:rsid w:val="00330CAB"/>
    <w:rsid w:val="003313D5"/>
    <w:rsid w:val="0033198D"/>
    <w:rsid w:val="003324A5"/>
    <w:rsid w:val="00332A57"/>
    <w:rsid w:val="00332DF5"/>
    <w:rsid w:val="00333305"/>
    <w:rsid w:val="0033382F"/>
    <w:rsid w:val="003339C7"/>
    <w:rsid w:val="00333EDA"/>
    <w:rsid w:val="00334612"/>
    <w:rsid w:val="003348AD"/>
    <w:rsid w:val="00334CCC"/>
    <w:rsid w:val="0033519C"/>
    <w:rsid w:val="00335497"/>
    <w:rsid w:val="0033582E"/>
    <w:rsid w:val="00335BC5"/>
    <w:rsid w:val="00335CDA"/>
    <w:rsid w:val="00336349"/>
    <w:rsid w:val="003370D4"/>
    <w:rsid w:val="0034056B"/>
    <w:rsid w:val="003405AD"/>
    <w:rsid w:val="003405F0"/>
    <w:rsid w:val="00341821"/>
    <w:rsid w:val="0034261C"/>
    <w:rsid w:val="00342712"/>
    <w:rsid w:val="0034271B"/>
    <w:rsid w:val="00342FCA"/>
    <w:rsid w:val="003433E8"/>
    <w:rsid w:val="003434DD"/>
    <w:rsid w:val="00343DD4"/>
    <w:rsid w:val="00344900"/>
    <w:rsid w:val="00344B61"/>
    <w:rsid w:val="0034742B"/>
    <w:rsid w:val="0034783C"/>
    <w:rsid w:val="0035030E"/>
    <w:rsid w:val="0035051A"/>
    <w:rsid w:val="00350625"/>
    <w:rsid w:val="0035137B"/>
    <w:rsid w:val="00351BE0"/>
    <w:rsid w:val="00351EE0"/>
    <w:rsid w:val="003526BC"/>
    <w:rsid w:val="00354001"/>
    <w:rsid w:val="0035450B"/>
    <w:rsid w:val="00356EB3"/>
    <w:rsid w:val="0035730D"/>
    <w:rsid w:val="003573DB"/>
    <w:rsid w:val="00357938"/>
    <w:rsid w:val="00357AF5"/>
    <w:rsid w:val="00361BDA"/>
    <w:rsid w:val="0036206C"/>
    <w:rsid w:val="003639E6"/>
    <w:rsid w:val="00364089"/>
    <w:rsid w:val="00364BC4"/>
    <w:rsid w:val="003652F6"/>
    <w:rsid w:val="003653FA"/>
    <w:rsid w:val="003663B3"/>
    <w:rsid w:val="00366549"/>
    <w:rsid w:val="00366E89"/>
    <w:rsid w:val="0036756A"/>
    <w:rsid w:val="00367969"/>
    <w:rsid w:val="00370129"/>
    <w:rsid w:val="003701E7"/>
    <w:rsid w:val="0037042C"/>
    <w:rsid w:val="003714A4"/>
    <w:rsid w:val="00371597"/>
    <w:rsid w:val="00371BCD"/>
    <w:rsid w:val="00371F45"/>
    <w:rsid w:val="00371FF1"/>
    <w:rsid w:val="0037349F"/>
    <w:rsid w:val="00374C12"/>
    <w:rsid w:val="00375319"/>
    <w:rsid w:val="003754DD"/>
    <w:rsid w:val="00375B5A"/>
    <w:rsid w:val="00376F8F"/>
    <w:rsid w:val="00377447"/>
    <w:rsid w:val="003775A4"/>
    <w:rsid w:val="003778FE"/>
    <w:rsid w:val="00377D04"/>
    <w:rsid w:val="00377E04"/>
    <w:rsid w:val="00380466"/>
    <w:rsid w:val="00380648"/>
    <w:rsid w:val="00380E21"/>
    <w:rsid w:val="0038138E"/>
    <w:rsid w:val="0038144A"/>
    <w:rsid w:val="0038195E"/>
    <w:rsid w:val="00382223"/>
    <w:rsid w:val="00382791"/>
    <w:rsid w:val="00382C31"/>
    <w:rsid w:val="00383349"/>
    <w:rsid w:val="003835FD"/>
    <w:rsid w:val="0038460C"/>
    <w:rsid w:val="0038537B"/>
    <w:rsid w:val="00385AE3"/>
    <w:rsid w:val="00385F56"/>
    <w:rsid w:val="00387503"/>
    <w:rsid w:val="00387719"/>
    <w:rsid w:val="00390A1C"/>
    <w:rsid w:val="003911DD"/>
    <w:rsid w:val="00391DFF"/>
    <w:rsid w:val="00391EF6"/>
    <w:rsid w:val="00391F06"/>
    <w:rsid w:val="0039273D"/>
    <w:rsid w:val="00392C23"/>
    <w:rsid w:val="00392E7D"/>
    <w:rsid w:val="0039323D"/>
    <w:rsid w:val="003933DB"/>
    <w:rsid w:val="003937FB"/>
    <w:rsid w:val="00393BD2"/>
    <w:rsid w:val="00394005"/>
    <w:rsid w:val="0039416D"/>
    <w:rsid w:val="003943F2"/>
    <w:rsid w:val="003946FA"/>
    <w:rsid w:val="00394DFC"/>
    <w:rsid w:val="00394F63"/>
    <w:rsid w:val="003950D0"/>
    <w:rsid w:val="003954E4"/>
    <w:rsid w:val="00395E8E"/>
    <w:rsid w:val="0039618E"/>
    <w:rsid w:val="00396246"/>
    <w:rsid w:val="003964A7"/>
    <w:rsid w:val="0039711A"/>
    <w:rsid w:val="003972F5"/>
    <w:rsid w:val="003A006B"/>
    <w:rsid w:val="003A0784"/>
    <w:rsid w:val="003A12BE"/>
    <w:rsid w:val="003A2AB5"/>
    <w:rsid w:val="003A2C91"/>
    <w:rsid w:val="003A2EB5"/>
    <w:rsid w:val="003A337E"/>
    <w:rsid w:val="003A34E0"/>
    <w:rsid w:val="003A3D68"/>
    <w:rsid w:val="003A44AA"/>
    <w:rsid w:val="003A46A1"/>
    <w:rsid w:val="003A4D02"/>
    <w:rsid w:val="003A5788"/>
    <w:rsid w:val="003A5B63"/>
    <w:rsid w:val="003A5C74"/>
    <w:rsid w:val="003A5D2E"/>
    <w:rsid w:val="003A659A"/>
    <w:rsid w:val="003A67CF"/>
    <w:rsid w:val="003A6D4D"/>
    <w:rsid w:val="003A72B1"/>
    <w:rsid w:val="003A77FC"/>
    <w:rsid w:val="003A7C83"/>
    <w:rsid w:val="003B0048"/>
    <w:rsid w:val="003B0B7F"/>
    <w:rsid w:val="003B18D8"/>
    <w:rsid w:val="003B1D97"/>
    <w:rsid w:val="003B1DE4"/>
    <w:rsid w:val="003B233B"/>
    <w:rsid w:val="003B373A"/>
    <w:rsid w:val="003B3908"/>
    <w:rsid w:val="003B4215"/>
    <w:rsid w:val="003B4CBF"/>
    <w:rsid w:val="003B530F"/>
    <w:rsid w:val="003B5406"/>
    <w:rsid w:val="003B5EA3"/>
    <w:rsid w:val="003B603A"/>
    <w:rsid w:val="003B624F"/>
    <w:rsid w:val="003B6467"/>
    <w:rsid w:val="003B6679"/>
    <w:rsid w:val="003B6EC9"/>
    <w:rsid w:val="003B6F27"/>
    <w:rsid w:val="003B6FA2"/>
    <w:rsid w:val="003B7202"/>
    <w:rsid w:val="003B73C7"/>
    <w:rsid w:val="003C00BF"/>
    <w:rsid w:val="003C06F6"/>
    <w:rsid w:val="003C13CE"/>
    <w:rsid w:val="003C210C"/>
    <w:rsid w:val="003C212E"/>
    <w:rsid w:val="003C2326"/>
    <w:rsid w:val="003C3161"/>
    <w:rsid w:val="003C337C"/>
    <w:rsid w:val="003C39BF"/>
    <w:rsid w:val="003C3F0F"/>
    <w:rsid w:val="003C461B"/>
    <w:rsid w:val="003C5915"/>
    <w:rsid w:val="003C5985"/>
    <w:rsid w:val="003C6072"/>
    <w:rsid w:val="003C74D4"/>
    <w:rsid w:val="003C7AC3"/>
    <w:rsid w:val="003C7C69"/>
    <w:rsid w:val="003C7DE2"/>
    <w:rsid w:val="003D0520"/>
    <w:rsid w:val="003D13DE"/>
    <w:rsid w:val="003D1554"/>
    <w:rsid w:val="003D1E6C"/>
    <w:rsid w:val="003D1FD6"/>
    <w:rsid w:val="003D238E"/>
    <w:rsid w:val="003D2C13"/>
    <w:rsid w:val="003D34DB"/>
    <w:rsid w:val="003D3C65"/>
    <w:rsid w:val="003D3E14"/>
    <w:rsid w:val="003D4281"/>
    <w:rsid w:val="003D4B61"/>
    <w:rsid w:val="003D4E3A"/>
    <w:rsid w:val="003D5062"/>
    <w:rsid w:val="003D5BF1"/>
    <w:rsid w:val="003D5F2E"/>
    <w:rsid w:val="003D5F51"/>
    <w:rsid w:val="003D6627"/>
    <w:rsid w:val="003D6748"/>
    <w:rsid w:val="003D6A27"/>
    <w:rsid w:val="003D6F30"/>
    <w:rsid w:val="003D7710"/>
    <w:rsid w:val="003E015D"/>
    <w:rsid w:val="003E018D"/>
    <w:rsid w:val="003E07FE"/>
    <w:rsid w:val="003E0FFE"/>
    <w:rsid w:val="003E107B"/>
    <w:rsid w:val="003E1909"/>
    <w:rsid w:val="003E22B3"/>
    <w:rsid w:val="003E2F41"/>
    <w:rsid w:val="003E3598"/>
    <w:rsid w:val="003E35E7"/>
    <w:rsid w:val="003E38F4"/>
    <w:rsid w:val="003E390D"/>
    <w:rsid w:val="003E4207"/>
    <w:rsid w:val="003E46D4"/>
    <w:rsid w:val="003E4D19"/>
    <w:rsid w:val="003E5070"/>
    <w:rsid w:val="003E52DF"/>
    <w:rsid w:val="003E5EBC"/>
    <w:rsid w:val="003E60C8"/>
    <w:rsid w:val="003E684C"/>
    <w:rsid w:val="003E6B32"/>
    <w:rsid w:val="003E7046"/>
    <w:rsid w:val="003E70F9"/>
    <w:rsid w:val="003E75FF"/>
    <w:rsid w:val="003E7AB0"/>
    <w:rsid w:val="003E7AF1"/>
    <w:rsid w:val="003E7D91"/>
    <w:rsid w:val="003F04A6"/>
    <w:rsid w:val="003F05A0"/>
    <w:rsid w:val="003F0F12"/>
    <w:rsid w:val="003F156A"/>
    <w:rsid w:val="003F17F8"/>
    <w:rsid w:val="003F38AD"/>
    <w:rsid w:val="003F4545"/>
    <w:rsid w:val="003F513F"/>
    <w:rsid w:val="003F5CDB"/>
    <w:rsid w:val="003F5D05"/>
    <w:rsid w:val="003F6451"/>
    <w:rsid w:val="003F7489"/>
    <w:rsid w:val="003F76F7"/>
    <w:rsid w:val="003F7868"/>
    <w:rsid w:val="003F79ED"/>
    <w:rsid w:val="00400594"/>
    <w:rsid w:val="00400BCB"/>
    <w:rsid w:val="004013C0"/>
    <w:rsid w:val="00401A6D"/>
    <w:rsid w:val="004030BE"/>
    <w:rsid w:val="00403B1A"/>
    <w:rsid w:val="00404452"/>
    <w:rsid w:val="0040472A"/>
    <w:rsid w:val="004052AE"/>
    <w:rsid w:val="0040555C"/>
    <w:rsid w:val="0040609C"/>
    <w:rsid w:val="00406D2B"/>
    <w:rsid w:val="00406E4C"/>
    <w:rsid w:val="0040714B"/>
    <w:rsid w:val="00410074"/>
    <w:rsid w:val="004104BB"/>
    <w:rsid w:val="00412829"/>
    <w:rsid w:val="00412C01"/>
    <w:rsid w:val="004131E5"/>
    <w:rsid w:val="004133B5"/>
    <w:rsid w:val="00414601"/>
    <w:rsid w:val="00414B8F"/>
    <w:rsid w:val="0041595D"/>
    <w:rsid w:val="004160A4"/>
    <w:rsid w:val="004168DA"/>
    <w:rsid w:val="00416D9B"/>
    <w:rsid w:val="00417224"/>
    <w:rsid w:val="0042136F"/>
    <w:rsid w:val="00421BFF"/>
    <w:rsid w:val="004226D4"/>
    <w:rsid w:val="004233D3"/>
    <w:rsid w:val="004237B9"/>
    <w:rsid w:val="0042479E"/>
    <w:rsid w:val="00424A28"/>
    <w:rsid w:val="00424F25"/>
    <w:rsid w:val="004251C6"/>
    <w:rsid w:val="00425F25"/>
    <w:rsid w:val="0042655B"/>
    <w:rsid w:val="00427072"/>
    <w:rsid w:val="00427809"/>
    <w:rsid w:val="00430537"/>
    <w:rsid w:val="00430538"/>
    <w:rsid w:val="004306BD"/>
    <w:rsid w:val="0043119E"/>
    <w:rsid w:val="00431290"/>
    <w:rsid w:val="0043484A"/>
    <w:rsid w:val="0043527C"/>
    <w:rsid w:val="00436648"/>
    <w:rsid w:val="00436749"/>
    <w:rsid w:val="00436ACB"/>
    <w:rsid w:val="004377E6"/>
    <w:rsid w:val="00437F48"/>
    <w:rsid w:val="00440979"/>
    <w:rsid w:val="00440CC3"/>
    <w:rsid w:val="004416AB"/>
    <w:rsid w:val="00442589"/>
    <w:rsid w:val="00442FBD"/>
    <w:rsid w:val="0044324B"/>
    <w:rsid w:val="00443823"/>
    <w:rsid w:val="00443929"/>
    <w:rsid w:val="004439C4"/>
    <w:rsid w:val="004439C6"/>
    <w:rsid w:val="0044412E"/>
    <w:rsid w:val="00445441"/>
    <w:rsid w:val="00445515"/>
    <w:rsid w:val="004469BB"/>
    <w:rsid w:val="004469BE"/>
    <w:rsid w:val="00446B62"/>
    <w:rsid w:val="00447882"/>
    <w:rsid w:val="00447D23"/>
    <w:rsid w:val="00447F96"/>
    <w:rsid w:val="00450B6B"/>
    <w:rsid w:val="00450FF2"/>
    <w:rsid w:val="00451017"/>
    <w:rsid w:val="004515D5"/>
    <w:rsid w:val="0045187E"/>
    <w:rsid w:val="00451949"/>
    <w:rsid w:val="00451E7F"/>
    <w:rsid w:val="00452565"/>
    <w:rsid w:val="00452951"/>
    <w:rsid w:val="00452C43"/>
    <w:rsid w:val="00452DBE"/>
    <w:rsid w:val="00453180"/>
    <w:rsid w:val="0045404F"/>
    <w:rsid w:val="00454148"/>
    <w:rsid w:val="00454205"/>
    <w:rsid w:val="00454BAC"/>
    <w:rsid w:val="0045536E"/>
    <w:rsid w:val="00455473"/>
    <w:rsid w:val="0045549A"/>
    <w:rsid w:val="00456358"/>
    <w:rsid w:val="004569F2"/>
    <w:rsid w:val="00456BD3"/>
    <w:rsid w:val="00457020"/>
    <w:rsid w:val="00457425"/>
    <w:rsid w:val="00460813"/>
    <w:rsid w:val="00460AC3"/>
    <w:rsid w:val="004611A7"/>
    <w:rsid w:val="00461923"/>
    <w:rsid w:val="00462B87"/>
    <w:rsid w:val="00462DEC"/>
    <w:rsid w:val="0046346F"/>
    <w:rsid w:val="00463A45"/>
    <w:rsid w:val="004641E5"/>
    <w:rsid w:val="00464BC6"/>
    <w:rsid w:val="00465C1B"/>
    <w:rsid w:val="00465DC2"/>
    <w:rsid w:val="00466071"/>
    <w:rsid w:val="0046609A"/>
    <w:rsid w:val="00466C19"/>
    <w:rsid w:val="004672EA"/>
    <w:rsid w:val="004703A8"/>
    <w:rsid w:val="0047046D"/>
    <w:rsid w:val="004708F7"/>
    <w:rsid w:val="004709C0"/>
    <w:rsid w:val="00470BAC"/>
    <w:rsid w:val="0047119D"/>
    <w:rsid w:val="004716B8"/>
    <w:rsid w:val="0047190B"/>
    <w:rsid w:val="00471E7A"/>
    <w:rsid w:val="004729F2"/>
    <w:rsid w:val="00472C50"/>
    <w:rsid w:val="00472F8E"/>
    <w:rsid w:val="004731EE"/>
    <w:rsid w:val="0047346A"/>
    <w:rsid w:val="00473FF2"/>
    <w:rsid w:val="00474935"/>
    <w:rsid w:val="00474D28"/>
    <w:rsid w:val="00475271"/>
    <w:rsid w:val="00475414"/>
    <w:rsid w:val="00475442"/>
    <w:rsid w:val="004754B0"/>
    <w:rsid w:val="00475CC8"/>
    <w:rsid w:val="0047623D"/>
    <w:rsid w:val="0047642E"/>
    <w:rsid w:val="004764DD"/>
    <w:rsid w:val="004800D5"/>
    <w:rsid w:val="004805FB"/>
    <w:rsid w:val="00480DF9"/>
    <w:rsid w:val="00480F85"/>
    <w:rsid w:val="0048260A"/>
    <w:rsid w:val="00482B9B"/>
    <w:rsid w:val="00482D31"/>
    <w:rsid w:val="0048376C"/>
    <w:rsid w:val="004837D0"/>
    <w:rsid w:val="00483B7D"/>
    <w:rsid w:val="00483B9B"/>
    <w:rsid w:val="0048574E"/>
    <w:rsid w:val="00485776"/>
    <w:rsid w:val="00485BBB"/>
    <w:rsid w:val="004861E7"/>
    <w:rsid w:val="00486C93"/>
    <w:rsid w:val="00486C95"/>
    <w:rsid w:val="00487564"/>
    <w:rsid w:val="00487793"/>
    <w:rsid w:val="00487EB5"/>
    <w:rsid w:val="00490CFB"/>
    <w:rsid w:val="004913F5"/>
    <w:rsid w:val="0049155F"/>
    <w:rsid w:val="004918D0"/>
    <w:rsid w:val="0049194A"/>
    <w:rsid w:val="00491F0B"/>
    <w:rsid w:val="004922D2"/>
    <w:rsid w:val="004926C7"/>
    <w:rsid w:val="0049280B"/>
    <w:rsid w:val="00492CFE"/>
    <w:rsid w:val="00492E1F"/>
    <w:rsid w:val="004931AD"/>
    <w:rsid w:val="00493584"/>
    <w:rsid w:val="00493A5D"/>
    <w:rsid w:val="00493C9D"/>
    <w:rsid w:val="00493EBC"/>
    <w:rsid w:val="0049455E"/>
    <w:rsid w:val="0049464F"/>
    <w:rsid w:val="00495B3E"/>
    <w:rsid w:val="00496017"/>
    <w:rsid w:val="00497269"/>
    <w:rsid w:val="00497407"/>
    <w:rsid w:val="0049766C"/>
    <w:rsid w:val="004A0D73"/>
    <w:rsid w:val="004A1B89"/>
    <w:rsid w:val="004A2621"/>
    <w:rsid w:val="004A290C"/>
    <w:rsid w:val="004A42DE"/>
    <w:rsid w:val="004A42E2"/>
    <w:rsid w:val="004A5721"/>
    <w:rsid w:val="004A5B88"/>
    <w:rsid w:val="004A6339"/>
    <w:rsid w:val="004A6365"/>
    <w:rsid w:val="004A64DA"/>
    <w:rsid w:val="004A667C"/>
    <w:rsid w:val="004A674E"/>
    <w:rsid w:val="004A6B1E"/>
    <w:rsid w:val="004A6D64"/>
    <w:rsid w:val="004B05E2"/>
    <w:rsid w:val="004B0BDC"/>
    <w:rsid w:val="004B1866"/>
    <w:rsid w:val="004B1C15"/>
    <w:rsid w:val="004B3AD4"/>
    <w:rsid w:val="004B3D16"/>
    <w:rsid w:val="004B4050"/>
    <w:rsid w:val="004B4148"/>
    <w:rsid w:val="004B42AA"/>
    <w:rsid w:val="004B593B"/>
    <w:rsid w:val="004B5C4E"/>
    <w:rsid w:val="004B5F8B"/>
    <w:rsid w:val="004B66A5"/>
    <w:rsid w:val="004B6E4A"/>
    <w:rsid w:val="004B721B"/>
    <w:rsid w:val="004B72C7"/>
    <w:rsid w:val="004B77E4"/>
    <w:rsid w:val="004C0469"/>
    <w:rsid w:val="004C0839"/>
    <w:rsid w:val="004C0BC4"/>
    <w:rsid w:val="004C1032"/>
    <w:rsid w:val="004C1A16"/>
    <w:rsid w:val="004C25F8"/>
    <w:rsid w:val="004C2A38"/>
    <w:rsid w:val="004C3243"/>
    <w:rsid w:val="004C382A"/>
    <w:rsid w:val="004C43A2"/>
    <w:rsid w:val="004C4C11"/>
    <w:rsid w:val="004C4CEB"/>
    <w:rsid w:val="004C4D93"/>
    <w:rsid w:val="004C53BA"/>
    <w:rsid w:val="004C5BE3"/>
    <w:rsid w:val="004C5F61"/>
    <w:rsid w:val="004C6903"/>
    <w:rsid w:val="004C6FAD"/>
    <w:rsid w:val="004C7166"/>
    <w:rsid w:val="004C7AF1"/>
    <w:rsid w:val="004D0301"/>
    <w:rsid w:val="004D071A"/>
    <w:rsid w:val="004D076F"/>
    <w:rsid w:val="004D077D"/>
    <w:rsid w:val="004D07B0"/>
    <w:rsid w:val="004D1EB5"/>
    <w:rsid w:val="004D1F14"/>
    <w:rsid w:val="004D2598"/>
    <w:rsid w:val="004D2D9B"/>
    <w:rsid w:val="004D2DC4"/>
    <w:rsid w:val="004D39E6"/>
    <w:rsid w:val="004D3D0A"/>
    <w:rsid w:val="004D44B0"/>
    <w:rsid w:val="004D4A72"/>
    <w:rsid w:val="004D55EA"/>
    <w:rsid w:val="004D5B19"/>
    <w:rsid w:val="004D6BC3"/>
    <w:rsid w:val="004D7701"/>
    <w:rsid w:val="004D7737"/>
    <w:rsid w:val="004D7D9E"/>
    <w:rsid w:val="004D7E63"/>
    <w:rsid w:val="004E09A9"/>
    <w:rsid w:val="004E0EEC"/>
    <w:rsid w:val="004E2273"/>
    <w:rsid w:val="004E29C7"/>
    <w:rsid w:val="004E2BBF"/>
    <w:rsid w:val="004E31E5"/>
    <w:rsid w:val="004E37D2"/>
    <w:rsid w:val="004E3B62"/>
    <w:rsid w:val="004E3C66"/>
    <w:rsid w:val="004E4411"/>
    <w:rsid w:val="004E4E7F"/>
    <w:rsid w:val="004E4FED"/>
    <w:rsid w:val="004E5AD5"/>
    <w:rsid w:val="004E5E34"/>
    <w:rsid w:val="004E5FFC"/>
    <w:rsid w:val="004E63D0"/>
    <w:rsid w:val="004E65DC"/>
    <w:rsid w:val="004E70E7"/>
    <w:rsid w:val="004E72A1"/>
    <w:rsid w:val="004E7C24"/>
    <w:rsid w:val="004E7EEE"/>
    <w:rsid w:val="004F01E6"/>
    <w:rsid w:val="004F06E8"/>
    <w:rsid w:val="004F09D3"/>
    <w:rsid w:val="004F0CB4"/>
    <w:rsid w:val="004F0E4B"/>
    <w:rsid w:val="004F0F8F"/>
    <w:rsid w:val="004F11F9"/>
    <w:rsid w:val="004F1324"/>
    <w:rsid w:val="004F1675"/>
    <w:rsid w:val="004F1A20"/>
    <w:rsid w:val="004F1D82"/>
    <w:rsid w:val="004F2341"/>
    <w:rsid w:val="004F261F"/>
    <w:rsid w:val="004F539E"/>
    <w:rsid w:val="004F56B1"/>
    <w:rsid w:val="004F5B11"/>
    <w:rsid w:val="004F63DB"/>
    <w:rsid w:val="004F6BC7"/>
    <w:rsid w:val="004F7290"/>
    <w:rsid w:val="004F73F2"/>
    <w:rsid w:val="004F7B30"/>
    <w:rsid w:val="004F7F5E"/>
    <w:rsid w:val="0050028A"/>
    <w:rsid w:val="00500623"/>
    <w:rsid w:val="00500B3B"/>
    <w:rsid w:val="00501081"/>
    <w:rsid w:val="00501F00"/>
    <w:rsid w:val="00502E9E"/>
    <w:rsid w:val="00503F96"/>
    <w:rsid w:val="0050449B"/>
    <w:rsid w:val="00504831"/>
    <w:rsid w:val="00505322"/>
    <w:rsid w:val="005053AD"/>
    <w:rsid w:val="00505F56"/>
    <w:rsid w:val="0050646F"/>
    <w:rsid w:val="005101A0"/>
    <w:rsid w:val="00510B92"/>
    <w:rsid w:val="00511411"/>
    <w:rsid w:val="005115B2"/>
    <w:rsid w:val="00511FA7"/>
    <w:rsid w:val="0051279F"/>
    <w:rsid w:val="00512B9F"/>
    <w:rsid w:val="0051360F"/>
    <w:rsid w:val="00513C32"/>
    <w:rsid w:val="00514860"/>
    <w:rsid w:val="00514B57"/>
    <w:rsid w:val="00514D9B"/>
    <w:rsid w:val="0051502A"/>
    <w:rsid w:val="00515599"/>
    <w:rsid w:val="005156A0"/>
    <w:rsid w:val="00515E03"/>
    <w:rsid w:val="005163BE"/>
    <w:rsid w:val="00517DE0"/>
    <w:rsid w:val="00520516"/>
    <w:rsid w:val="0052056F"/>
    <w:rsid w:val="00520932"/>
    <w:rsid w:val="00520B83"/>
    <w:rsid w:val="00520C67"/>
    <w:rsid w:val="00520CAC"/>
    <w:rsid w:val="00520E60"/>
    <w:rsid w:val="00520F92"/>
    <w:rsid w:val="00521238"/>
    <w:rsid w:val="00521571"/>
    <w:rsid w:val="005218D5"/>
    <w:rsid w:val="005225DC"/>
    <w:rsid w:val="0052285D"/>
    <w:rsid w:val="00522ACF"/>
    <w:rsid w:val="00523338"/>
    <w:rsid w:val="005239DC"/>
    <w:rsid w:val="0052548C"/>
    <w:rsid w:val="005254BF"/>
    <w:rsid w:val="0052709E"/>
    <w:rsid w:val="00527A2A"/>
    <w:rsid w:val="00527B89"/>
    <w:rsid w:val="00527BAB"/>
    <w:rsid w:val="00527C63"/>
    <w:rsid w:val="0053071C"/>
    <w:rsid w:val="00530B09"/>
    <w:rsid w:val="005310D1"/>
    <w:rsid w:val="005322F7"/>
    <w:rsid w:val="005323C8"/>
    <w:rsid w:val="005326D6"/>
    <w:rsid w:val="00532C3A"/>
    <w:rsid w:val="0053379B"/>
    <w:rsid w:val="00533A75"/>
    <w:rsid w:val="00533B9C"/>
    <w:rsid w:val="005345F5"/>
    <w:rsid w:val="00534EF8"/>
    <w:rsid w:val="005353AE"/>
    <w:rsid w:val="00535D6D"/>
    <w:rsid w:val="005360D7"/>
    <w:rsid w:val="005366F6"/>
    <w:rsid w:val="00536AD6"/>
    <w:rsid w:val="00537BDA"/>
    <w:rsid w:val="005428AB"/>
    <w:rsid w:val="00542988"/>
    <w:rsid w:val="00544E2E"/>
    <w:rsid w:val="005451BA"/>
    <w:rsid w:val="0054587E"/>
    <w:rsid w:val="00545F9C"/>
    <w:rsid w:val="00546766"/>
    <w:rsid w:val="00547BE7"/>
    <w:rsid w:val="00550815"/>
    <w:rsid w:val="00552C99"/>
    <w:rsid w:val="005535FD"/>
    <w:rsid w:val="00553681"/>
    <w:rsid w:val="00553A2D"/>
    <w:rsid w:val="00553C76"/>
    <w:rsid w:val="005547CF"/>
    <w:rsid w:val="0055516D"/>
    <w:rsid w:val="005557C7"/>
    <w:rsid w:val="0055632C"/>
    <w:rsid w:val="00556E8F"/>
    <w:rsid w:val="00557EB9"/>
    <w:rsid w:val="00561A0A"/>
    <w:rsid w:val="00561A79"/>
    <w:rsid w:val="005625B1"/>
    <w:rsid w:val="00563190"/>
    <w:rsid w:val="00563EBF"/>
    <w:rsid w:val="00564AE1"/>
    <w:rsid w:val="00565674"/>
    <w:rsid w:val="00565857"/>
    <w:rsid w:val="00565A56"/>
    <w:rsid w:val="00565F4F"/>
    <w:rsid w:val="005662D2"/>
    <w:rsid w:val="005662E0"/>
    <w:rsid w:val="00566998"/>
    <w:rsid w:val="00567990"/>
    <w:rsid w:val="00567E7C"/>
    <w:rsid w:val="0057006A"/>
    <w:rsid w:val="0057047B"/>
    <w:rsid w:val="00570CEF"/>
    <w:rsid w:val="00571170"/>
    <w:rsid w:val="00571BC9"/>
    <w:rsid w:val="005727CF"/>
    <w:rsid w:val="005729CC"/>
    <w:rsid w:val="00572A1F"/>
    <w:rsid w:val="00572D36"/>
    <w:rsid w:val="00573220"/>
    <w:rsid w:val="00573718"/>
    <w:rsid w:val="005739B4"/>
    <w:rsid w:val="0057419E"/>
    <w:rsid w:val="0057516D"/>
    <w:rsid w:val="00575E05"/>
    <w:rsid w:val="005761F0"/>
    <w:rsid w:val="00576C7D"/>
    <w:rsid w:val="00576DAF"/>
    <w:rsid w:val="00577AA5"/>
    <w:rsid w:val="00577D7F"/>
    <w:rsid w:val="005804D2"/>
    <w:rsid w:val="0058055F"/>
    <w:rsid w:val="005809D9"/>
    <w:rsid w:val="00581580"/>
    <w:rsid w:val="0058183E"/>
    <w:rsid w:val="00581887"/>
    <w:rsid w:val="005818AD"/>
    <w:rsid w:val="00581DC7"/>
    <w:rsid w:val="00582218"/>
    <w:rsid w:val="00582CDE"/>
    <w:rsid w:val="005834C0"/>
    <w:rsid w:val="00583534"/>
    <w:rsid w:val="005843A0"/>
    <w:rsid w:val="00584960"/>
    <w:rsid w:val="00584C76"/>
    <w:rsid w:val="00584D6A"/>
    <w:rsid w:val="0058554C"/>
    <w:rsid w:val="00585712"/>
    <w:rsid w:val="00585B90"/>
    <w:rsid w:val="00585DCF"/>
    <w:rsid w:val="00585EB9"/>
    <w:rsid w:val="00586350"/>
    <w:rsid w:val="00586497"/>
    <w:rsid w:val="00586B26"/>
    <w:rsid w:val="00586CE5"/>
    <w:rsid w:val="00586F3B"/>
    <w:rsid w:val="00587098"/>
    <w:rsid w:val="00590650"/>
    <w:rsid w:val="00590DB3"/>
    <w:rsid w:val="00590E9C"/>
    <w:rsid w:val="005910EF"/>
    <w:rsid w:val="00591112"/>
    <w:rsid w:val="00591362"/>
    <w:rsid w:val="0059190A"/>
    <w:rsid w:val="00591C19"/>
    <w:rsid w:val="0059215C"/>
    <w:rsid w:val="00592487"/>
    <w:rsid w:val="00593AFC"/>
    <w:rsid w:val="00593F35"/>
    <w:rsid w:val="00594188"/>
    <w:rsid w:val="005945F8"/>
    <w:rsid w:val="00594F83"/>
    <w:rsid w:val="00595A81"/>
    <w:rsid w:val="00595B84"/>
    <w:rsid w:val="0059619C"/>
    <w:rsid w:val="00596386"/>
    <w:rsid w:val="00597161"/>
    <w:rsid w:val="005976C1"/>
    <w:rsid w:val="005976E9"/>
    <w:rsid w:val="00597ACB"/>
    <w:rsid w:val="00597F8C"/>
    <w:rsid w:val="005A0A9C"/>
    <w:rsid w:val="005A12B3"/>
    <w:rsid w:val="005A184E"/>
    <w:rsid w:val="005A19B4"/>
    <w:rsid w:val="005A2270"/>
    <w:rsid w:val="005A27F5"/>
    <w:rsid w:val="005A2C48"/>
    <w:rsid w:val="005A2DDE"/>
    <w:rsid w:val="005A354F"/>
    <w:rsid w:val="005A3579"/>
    <w:rsid w:val="005A3AB1"/>
    <w:rsid w:val="005A421D"/>
    <w:rsid w:val="005A4C17"/>
    <w:rsid w:val="005A5673"/>
    <w:rsid w:val="005A5D37"/>
    <w:rsid w:val="005A62C2"/>
    <w:rsid w:val="005A6858"/>
    <w:rsid w:val="005A78D5"/>
    <w:rsid w:val="005A798F"/>
    <w:rsid w:val="005B0197"/>
    <w:rsid w:val="005B0636"/>
    <w:rsid w:val="005B0FF6"/>
    <w:rsid w:val="005B2544"/>
    <w:rsid w:val="005B28A2"/>
    <w:rsid w:val="005B3E7B"/>
    <w:rsid w:val="005B41B0"/>
    <w:rsid w:val="005B4676"/>
    <w:rsid w:val="005B4840"/>
    <w:rsid w:val="005B4CB9"/>
    <w:rsid w:val="005B5254"/>
    <w:rsid w:val="005B5C9B"/>
    <w:rsid w:val="005B5F92"/>
    <w:rsid w:val="005B6554"/>
    <w:rsid w:val="005B6835"/>
    <w:rsid w:val="005C0407"/>
    <w:rsid w:val="005C053D"/>
    <w:rsid w:val="005C189F"/>
    <w:rsid w:val="005C1A3D"/>
    <w:rsid w:val="005C1D5C"/>
    <w:rsid w:val="005C2851"/>
    <w:rsid w:val="005C2B0C"/>
    <w:rsid w:val="005C3202"/>
    <w:rsid w:val="005C38B6"/>
    <w:rsid w:val="005C47D6"/>
    <w:rsid w:val="005C4C4A"/>
    <w:rsid w:val="005C5771"/>
    <w:rsid w:val="005C6239"/>
    <w:rsid w:val="005C6407"/>
    <w:rsid w:val="005C6470"/>
    <w:rsid w:val="005C68DC"/>
    <w:rsid w:val="005C7BD2"/>
    <w:rsid w:val="005C7D98"/>
    <w:rsid w:val="005D0660"/>
    <w:rsid w:val="005D068E"/>
    <w:rsid w:val="005D06C3"/>
    <w:rsid w:val="005D165B"/>
    <w:rsid w:val="005D27B3"/>
    <w:rsid w:val="005D2B43"/>
    <w:rsid w:val="005D4A40"/>
    <w:rsid w:val="005D4F10"/>
    <w:rsid w:val="005D4F84"/>
    <w:rsid w:val="005D576E"/>
    <w:rsid w:val="005D6180"/>
    <w:rsid w:val="005D68F1"/>
    <w:rsid w:val="005D6B73"/>
    <w:rsid w:val="005D7CC8"/>
    <w:rsid w:val="005E0510"/>
    <w:rsid w:val="005E140F"/>
    <w:rsid w:val="005E1609"/>
    <w:rsid w:val="005E22DF"/>
    <w:rsid w:val="005E2CE6"/>
    <w:rsid w:val="005E2CFD"/>
    <w:rsid w:val="005E33B9"/>
    <w:rsid w:val="005E33D7"/>
    <w:rsid w:val="005E46DA"/>
    <w:rsid w:val="005E4A30"/>
    <w:rsid w:val="005E576C"/>
    <w:rsid w:val="005E5CA5"/>
    <w:rsid w:val="005E6949"/>
    <w:rsid w:val="005E6AB8"/>
    <w:rsid w:val="005E6B3E"/>
    <w:rsid w:val="005E6F35"/>
    <w:rsid w:val="005E7605"/>
    <w:rsid w:val="005E7D38"/>
    <w:rsid w:val="005E7F0B"/>
    <w:rsid w:val="005F0F39"/>
    <w:rsid w:val="005F1E18"/>
    <w:rsid w:val="005F1E61"/>
    <w:rsid w:val="005F1F9D"/>
    <w:rsid w:val="005F2B8C"/>
    <w:rsid w:val="005F2C40"/>
    <w:rsid w:val="005F32D1"/>
    <w:rsid w:val="005F3560"/>
    <w:rsid w:val="005F4C26"/>
    <w:rsid w:val="005F5051"/>
    <w:rsid w:val="005F6117"/>
    <w:rsid w:val="005F634D"/>
    <w:rsid w:val="005F6897"/>
    <w:rsid w:val="005F69AE"/>
    <w:rsid w:val="005F7A11"/>
    <w:rsid w:val="005F7DB0"/>
    <w:rsid w:val="00600326"/>
    <w:rsid w:val="006006A1"/>
    <w:rsid w:val="00600946"/>
    <w:rsid w:val="00601207"/>
    <w:rsid w:val="00601387"/>
    <w:rsid w:val="00602648"/>
    <w:rsid w:val="00602B66"/>
    <w:rsid w:val="00602B8B"/>
    <w:rsid w:val="006039A1"/>
    <w:rsid w:val="006046CF"/>
    <w:rsid w:val="006047F1"/>
    <w:rsid w:val="00604BBC"/>
    <w:rsid w:val="00604EE5"/>
    <w:rsid w:val="00607076"/>
    <w:rsid w:val="00607305"/>
    <w:rsid w:val="006100BC"/>
    <w:rsid w:val="006101E5"/>
    <w:rsid w:val="00610204"/>
    <w:rsid w:val="00611188"/>
    <w:rsid w:val="0061196C"/>
    <w:rsid w:val="00611D69"/>
    <w:rsid w:val="0061231E"/>
    <w:rsid w:val="00612B4F"/>
    <w:rsid w:val="00612B7E"/>
    <w:rsid w:val="00612BB2"/>
    <w:rsid w:val="0061438A"/>
    <w:rsid w:val="0061480B"/>
    <w:rsid w:val="006149FE"/>
    <w:rsid w:val="00614F44"/>
    <w:rsid w:val="006150AC"/>
    <w:rsid w:val="006154A4"/>
    <w:rsid w:val="0061563D"/>
    <w:rsid w:val="0061579B"/>
    <w:rsid w:val="00615AFD"/>
    <w:rsid w:val="00615DCE"/>
    <w:rsid w:val="00615FD9"/>
    <w:rsid w:val="006164C8"/>
    <w:rsid w:val="00616596"/>
    <w:rsid w:val="00616B92"/>
    <w:rsid w:val="006176E1"/>
    <w:rsid w:val="00617EA8"/>
    <w:rsid w:val="0062011B"/>
    <w:rsid w:val="006212E0"/>
    <w:rsid w:val="00621613"/>
    <w:rsid w:val="00621A2A"/>
    <w:rsid w:val="00621B44"/>
    <w:rsid w:val="00622228"/>
    <w:rsid w:val="006224BC"/>
    <w:rsid w:val="00622DB1"/>
    <w:rsid w:val="006235DF"/>
    <w:rsid w:val="00623B8F"/>
    <w:rsid w:val="00623D03"/>
    <w:rsid w:val="006248C0"/>
    <w:rsid w:val="00624B71"/>
    <w:rsid w:val="00624D5E"/>
    <w:rsid w:val="00624DB9"/>
    <w:rsid w:val="006253C0"/>
    <w:rsid w:val="00625CAE"/>
    <w:rsid w:val="00625EB8"/>
    <w:rsid w:val="006262AF"/>
    <w:rsid w:val="00627CE1"/>
    <w:rsid w:val="00630742"/>
    <w:rsid w:val="006317DB"/>
    <w:rsid w:val="00631BAE"/>
    <w:rsid w:val="00631FD6"/>
    <w:rsid w:val="006320EA"/>
    <w:rsid w:val="00632302"/>
    <w:rsid w:val="0063245A"/>
    <w:rsid w:val="00633199"/>
    <w:rsid w:val="00633273"/>
    <w:rsid w:val="00633A9A"/>
    <w:rsid w:val="00633D9C"/>
    <w:rsid w:val="00633FE1"/>
    <w:rsid w:val="00634AF2"/>
    <w:rsid w:val="00635502"/>
    <w:rsid w:val="00635DB5"/>
    <w:rsid w:val="00636B1A"/>
    <w:rsid w:val="00636BE7"/>
    <w:rsid w:val="00636C92"/>
    <w:rsid w:val="006373AB"/>
    <w:rsid w:val="00637813"/>
    <w:rsid w:val="00637904"/>
    <w:rsid w:val="006408C3"/>
    <w:rsid w:val="006408E5"/>
    <w:rsid w:val="006409DB"/>
    <w:rsid w:val="006413A8"/>
    <w:rsid w:val="0064160E"/>
    <w:rsid w:val="00641B2E"/>
    <w:rsid w:val="00641C8D"/>
    <w:rsid w:val="006420C7"/>
    <w:rsid w:val="00642528"/>
    <w:rsid w:val="00642EFA"/>
    <w:rsid w:val="00642FB7"/>
    <w:rsid w:val="00643619"/>
    <w:rsid w:val="00645002"/>
    <w:rsid w:val="00645105"/>
    <w:rsid w:val="00646035"/>
    <w:rsid w:val="006467A8"/>
    <w:rsid w:val="0064773F"/>
    <w:rsid w:val="00647A2C"/>
    <w:rsid w:val="00650E66"/>
    <w:rsid w:val="00650F32"/>
    <w:rsid w:val="00651040"/>
    <w:rsid w:val="0065231A"/>
    <w:rsid w:val="006524AA"/>
    <w:rsid w:val="00652997"/>
    <w:rsid w:val="00653F22"/>
    <w:rsid w:val="00654872"/>
    <w:rsid w:val="00654D95"/>
    <w:rsid w:val="00655E3D"/>
    <w:rsid w:val="0065674E"/>
    <w:rsid w:val="00656816"/>
    <w:rsid w:val="00657771"/>
    <w:rsid w:val="006608A8"/>
    <w:rsid w:val="006611D6"/>
    <w:rsid w:val="006613E4"/>
    <w:rsid w:val="006618C2"/>
    <w:rsid w:val="00661C1B"/>
    <w:rsid w:val="006620CF"/>
    <w:rsid w:val="00662C46"/>
    <w:rsid w:val="00663054"/>
    <w:rsid w:val="006658DE"/>
    <w:rsid w:val="00665E82"/>
    <w:rsid w:val="0066627F"/>
    <w:rsid w:val="006667E7"/>
    <w:rsid w:val="00666B5D"/>
    <w:rsid w:val="0066749C"/>
    <w:rsid w:val="00670475"/>
    <w:rsid w:val="006708CB"/>
    <w:rsid w:val="00670E30"/>
    <w:rsid w:val="0067219A"/>
    <w:rsid w:val="00672415"/>
    <w:rsid w:val="00672EBD"/>
    <w:rsid w:val="0067339B"/>
    <w:rsid w:val="006736A7"/>
    <w:rsid w:val="006736F1"/>
    <w:rsid w:val="00673EB3"/>
    <w:rsid w:val="00673F84"/>
    <w:rsid w:val="0067431E"/>
    <w:rsid w:val="006747EA"/>
    <w:rsid w:val="00675184"/>
    <w:rsid w:val="00675297"/>
    <w:rsid w:val="006754B0"/>
    <w:rsid w:val="006757DB"/>
    <w:rsid w:val="00675BFE"/>
    <w:rsid w:val="006762AA"/>
    <w:rsid w:val="006762F8"/>
    <w:rsid w:val="006776FA"/>
    <w:rsid w:val="00677F28"/>
    <w:rsid w:val="00680136"/>
    <w:rsid w:val="0068064E"/>
    <w:rsid w:val="006807D2"/>
    <w:rsid w:val="00681153"/>
    <w:rsid w:val="00681231"/>
    <w:rsid w:val="0068175D"/>
    <w:rsid w:val="00683DE2"/>
    <w:rsid w:val="00683F6E"/>
    <w:rsid w:val="00684033"/>
    <w:rsid w:val="00684675"/>
    <w:rsid w:val="006847F8"/>
    <w:rsid w:val="006849DF"/>
    <w:rsid w:val="00684BFF"/>
    <w:rsid w:val="0068682D"/>
    <w:rsid w:val="006869D1"/>
    <w:rsid w:val="00687477"/>
    <w:rsid w:val="0069047D"/>
    <w:rsid w:val="00691123"/>
    <w:rsid w:val="0069154C"/>
    <w:rsid w:val="006917F3"/>
    <w:rsid w:val="0069260F"/>
    <w:rsid w:val="00693197"/>
    <w:rsid w:val="006937A1"/>
    <w:rsid w:val="00693E5F"/>
    <w:rsid w:val="00694DB0"/>
    <w:rsid w:val="00695BF3"/>
    <w:rsid w:val="00696AF3"/>
    <w:rsid w:val="0069704B"/>
    <w:rsid w:val="00697515"/>
    <w:rsid w:val="00697C71"/>
    <w:rsid w:val="006A033A"/>
    <w:rsid w:val="006A06B7"/>
    <w:rsid w:val="006A0B42"/>
    <w:rsid w:val="006A0BBF"/>
    <w:rsid w:val="006A0D8B"/>
    <w:rsid w:val="006A1417"/>
    <w:rsid w:val="006A1833"/>
    <w:rsid w:val="006A1E99"/>
    <w:rsid w:val="006A29A6"/>
    <w:rsid w:val="006A2AE5"/>
    <w:rsid w:val="006A2EDD"/>
    <w:rsid w:val="006A303C"/>
    <w:rsid w:val="006A3CB1"/>
    <w:rsid w:val="006A4276"/>
    <w:rsid w:val="006A4406"/>
    <w:rsid w:val="006A4410"/>
    <w:rsid w:val="006A4D32"/>
    <w:rsid w:val="006A4DAC"/>
    <w:rsid w:val="006A4FF9"/>
    <w:rsid w:val="006A5789"/>
    <w:rsid w:val="006A5C9E"/>
    <w:rsid w:val="006A64E2"/>
    <w:rsid w:val="006A6B0C"/>
    <w:rsid w:val="006A6DFB"/>
    <w:rsid w:val="006A781F"/>
    <w:rsid w:val="006A7D4F"/>
    <w:rsid w:val="006A7F29"/>
    <w:rsid w:val="006B0476"/>
    <w:rsid w:val="006B089E"/>
    <w:rsid w:val="006B155C"/>
    <w:rsid w:val="006B1C7F"/>
    <w:rsid w:val="006B24C7"/>
    <w:rsid w:val="006B30B0"/>
    <w:rsid w:val="006B3453"/>
    <w:rsid w:val="006B3589"/>
    <w:rsid w:val="006B3B79"/>
    <w:rsid w:val="006B4358"/>
    <w:rsid w:val="006B44A7"/>
    <w:rsid w:val="006B44DB"/>
    <w:rsid w:val="006B4959"/>
    <w:rsid w:val="006B4D87"/>
    <w:rsid w:val="006B5227"/>
    <w:rsid w:val="006B5EFA"/>
    <w:rsid w:val="006B6BF2"/>
    <w:rsid w:val="006B6D08"/>
    <w:rsid w:val="006B713E"/>
    <w:rsid w:val="006B7441"/>
    <w:rsid w:val="006B76D2"/>
    <w:rsid w:val="006C04BA"/>
    <w:rsid w:val="006C07EA"/>
    <w:rsid w:val="006C0A0A"/>
    <w:rsid w:val="006C0B60"/>
    <w:rsid w:val="006C10D3"/>
    <w:rsid w:val="006C1401"/>
    <w:rsid w:val="006C1A76"/>
    <w:rsid w:val="006C2EE0"/>
    <w:rsid w:val="006C2EEC"/>
    <w:rsid w:val="006C3C5E"/>
    <w:rsid w:val="006C420A"/>
    <w:rsid w:val="006C6D35"/>
    <w:rsid w:val="006C7502"/>
    <w:rsid w:val="006C7CC0"/>
    <w:rsid w:val="006D01CE"/>
    <w:rsid w:val="006D1336"/>
    <w:rsid w:val="006D18EA"/>
    <w:rsid w:val="006D1E65"/>
    <w:rsid w:val="006D1ED8"/>
    <w:rsid w:val="006D2BAA"/>
    <w:rsid w:val="006D3000"/>
    <w:rsid w:val="006D36FF"/>
    <w:rsid w:val="006D3944"/>
    <w:rsid w:val="006D39CE"/>
    <w:rsid w:val="006D4241"/>
    <w:rsid w:val="006D5810"/>
    <w:rsid w:val="006D5E1E"/>
    <w:rsid w:val="006D6215"/>
    <w:rsid w:val="006D6C93"/>
    <w:rsid w:val="006D6D74"/>
    <w:rsid w:val="006D739A"/>
    <w:rsid w:val="006D789A"/>
    <w:rsid w:val="006E014F"/>
    <w:rsid w:val="006E01D5"/>
    <w:rsid w:val="006E06F8"/>
    <w:rsid w:val="006E08DA"/>
    <w:rsid w:val="006E0982"/>
    <w:rsid w:val="006E0DCA"/>
    <w:rsid w:val="006E1249"/>
    <w:rsid w:val="006E17AF"/>
    <w:rsid w:val="006E19DE"/>
    <w:rsid w:val="006E1B3B"/>
    <w:rsid w:val="006E4787"/>
    <w:rsid w:val="006E4C78"/>
    <w:rsid w:val="006E5115"/>
    <w:rsid w:val="006E676F"/>
    <w:rsid w:val="006E697F"/>
    <w:rsid w:val="006E7B30"/>
    <w:rsid w:val="006F14F2"/>
    <w:rsid w:val="006F15B5"/>
    <w:rsid w:val="006F1D17"/>
    <w:rsid w:val="006F2609"/>
    <w:rsid w:val="006F3079"/>
    <w:rsid w:val="006F336A"/>
    <w:rsid w:val="006F3F9B"/>
    <w:rsid w:val="006F4425"/>
    <w:rsid w:val="006F44D0"/>
    <w:rsid w:val="006F48B5"/>
    <w:rsid w:val="006F4A1D"/>
    <w:rsid w:val="006F4CE5"/>
    <w:rsid w:val="006F73FF"/>
    <w:rsid w:val="006F7EE7"/>
    <w:rsid w:val="00700060"/>
    <w:rsid w:val="00701F4D"/>
    <w:rsid w:val="0070217A"/>
    <w:rsid w:val="00702E61"/>
    <w:rsid w:val="00703940"/>
    <w:rsid w:val="00703B88"/>
    <w:rsid w:val="0070414A"/>
    <w:rsid w:val="007048E5"/>
    <w:rsid w:val="00704B15"/>
    <w:rsid w:val="00704E7D"/>
    <w:rsid w:val="00705069"/>
    <w:rsid w:val="00706E65"/>
    <w:rsid w:val="007070AF"/>
    <w:rsid w:val="00707470"/>
    <w:rsid w:val="00707B1F"/>
    <w:rsid w:val="00710370"/>
    <w:rsid w:val="00710766"/>
    <w:rsid w:val="00710A7B"/>
    <w:rsid w:val="00710C47"/>
    <w:rsid w:val="00711C9D"/>
    <w:rsid w:val="0071207F"/>
    <w:rsid w:val="00712239"/>
    <w:rsid w:val="007128E2"/>
    <w:rsid w:val="0071291E"/>
    <w:rsid w:val="007138C9"/>
    <w:rsid w:val="00713F28"/>
    <w:rsid w:val="00714371"/>
    <w:rsid w:val="00716949"/>
    <w:rsid w:val="00716E16"/>
    <w:rsid w:val="0071767F"/>
    <w:rsid w:val="00717D8A"/>
    <w:rsid w:val="00720190"/>
    <w:rsid w:val="0072164C"/>
    <w:rsid w:val="00721A12"/>
    <w:rsid w:val="00721F0A"/>
    <w:rsid w:val="0072259C"/>
    <w:rsid w:val="007230AB"/>
    <w:rsid w:val="007240F5"/>
    <w:rsid w:val="00724229"/>
    <w:rsid w:val="00724761"/>
    <w:rsid w:val="00724CF2"/>
    <w:rsid w:val="007263EF"/>
    <w:rsid w:val="00727157"/>
    <w:rsid w:val="00730AC7"/>
    <w:rsid w:val="00730EF0"/>
    <w:rsid w:val="007311A1"/>
    <w:rsid w:val="00731359"/>
    <w:rsid w:val="0073168D"/>
    <w:rsid w:val="00731DB5"/>
    <w:rsid w:val="00732178"/>
    <w:rsid w:val="0073338F"/>
    <w:rsid w:val="00733B6B"/>
    <w:rsid w:val="0073431B"/>
    <w:rsid w:val="0073434A"/>
    <w:rsid w:val="00734A45"/>
    <w:rsid w:val="00734CAE"/>
    <w:rsid w:val="00734D26"/>
    <w:rsid w:val="00735540"/>
    <w:rsid w:val="00735E5B"/>
    <w:rsid w:val="0074008D"/>
    <w:rsid w:val="007406A8"/>
    <w:rsid w:val="007407F7"/>
    <w:rsid w:val="0074106A"/>
    <w:rsid w:val="0074158B"/>
    <w:rsid w:val="007417CD"/>
    <w:rsid w:val="00741A29"/>
    <w:rsid w:val="00742328"/>
    <w:rsid w:val="0074260F"/>
    <w:rsid w:val="007426A3"/>
    <w:rsid w:val="00742BC8"/>
    <w:rsid w:val="00743D00"/>
    <w:rsid w:val="007447F0"/>
    <w:rsid w:val="00744C6B"/>
    <w:rsid w:val="00745529"/>
    <w:rsid w:val="00745622"/>
    <w:rsid w:val="00746440"/>
    <w:rsid w:val="00746ABA"/>
    <w:rsid w:val="0074774D"/>
    <w:rsid w:val="007478D2"/>
    <w:rsid w:val="00747A21"/>
    <w:rsid w:val="00747BC5"/>
    <w:rsid w:val="0075022D"/>
    <w:rsid w:val="0075081D"/>
    <w:rsid w:val="00750C94"/>
    <w:rsid w:val="00750FB9"/>
    <w:rsid w:val="007514BB"/>
    <w:rsid w:val="0075163E"/>
    <w:rsid w:val="007517C1"/>
    <w:rsid w:val="00751F53"/>
    <w:rsid w:val="00754CF0"/>
    <w:rsid w:val="00754ED0"/>
    <w:rsid w:val="00755667"/>
    <w:rsid w:val="00755988"/>
    <w:rsid w:val="00755A8C"/>
    <w:rsid w:val="00755D86"/>
    <w:rsid w:val="00756428"/>
    <w:rsid w:val="00756979"/>
    <w:rsid w:val="00757351"/>
    <w:rsid w:val="00760F8B"/>
    <w:rsid w:val="00761028"/>
    <w:rsid w:val="007611B8"/>
    <w:rsid w:val="007611CA"/>
    <w:rsid w:val="00761290"/>
    <w:rsid w:val="00761360"/>
    <w:rsid w:val="0076141C"/>
    <w:rsid w:val="00761639"/>
    <w:rsid w:val="00761653"/>
    <w:rsid w:val="0076205B"/>
    <w:rsid w:val="007626B9"/>
    <w:rsid w:val="00762AE5"/>
    <w:rsid w:val="00763553"/>
    <w:rsid w:val="007645F9"/>
    <w:rsid w:val="00764AA0"/>
    <w:rsid w:val="0076501B"/>
    <w:rsid w:val="007658A9"/>
    <w:rsid w:val="00765B67"/>
    <w:rsid w:val="00766425"/>
    <w:rsid w:val="007677FF"/>
    <w:rsid w:val="00767C20"/>
    <w:rsid w:val="00767E99"/>
    <w:rsid w:val="00767F5B"/>
    <w:rsid w:val="007707BD"/>
    <w:rsid w:val="0077083A"/>
    <w:rsid w:val="007713F2"/>
    <w:rsid w:val="007716AE"/>
    <w:rsid w:val="00772A62"/>
    <w:rsid w:val="00772F64"/>
    <w:rsid w:val="00773144"/>
    <w:rsid w:val="0077364D"/>
    <w:rsid w:val="00773CD7"/>
    <w:rsid w:val="007754F9"/>
    <w:rsid w:val="007764D8"/>
    <w:rsid w:val="0077669F"/>
    <w:rsid w:val="00777D74"/>
    <w:rsid w:val="00780157"/>
    <w:rsid w:val="00780444"/>
    <w:rsid w:val="007812C2"/>
    <w:rsid w:val="007817E4"/>
    <w:rsid w:val="00782879"/>
    <w:rsid w:val="007831D4"/>
    <w:rsid w:val="0078383A"/>
    <w:rsid w:val="00783C26"/>
    <w:rsid w:val="007842F2"/>
    <w:rsid w:val="00784A0C"/>
    <w:rsid w:val="00784CC3"/>
    <w:rsid w:val="00784F08"/>
    <w:rsid w:val="00785B52"/>
    <w:rsid w:val="007860AA"/>
    <w:rsid w:val="007865A7"/>
    <w:rsid w:val="0078666A"/>
    <w:rsid w:val="007868E5"/>
    <w:rsid w:val="00786ABE"/>
    <w:rsid w:val="00787641"/>
    <w:rsid w:val="0078794A"/>
    <w:rsid w:val="00787F6D"/>
    <w:rsid w:val="00790D21"/>
    <w:rsid w:val="007917DA"/>
    <w:rsid w:val="007918DE"/>
    <w:rsid w:val="0079259B"/>
    <w:rsid w:val="00792B29"/>
    <w:rsid w:val="007936A5"/>
    <w:rsid w:val="00793AE4"/>
    <w:rsid w:val="00793E70"/>
    <w:rsid w:val="00793F89"/>
    <w:rsid w:val="007941F7"/>
    <w:rsid w:val="007943CF"/>
    <w:rsid w:val="00794C71"/>
    <w:rsid w:val="00794F9F"/>
    <w:rsid w:val="00795402"/>
    <w:rsid w:val="00795705"/>
    <w:rsid w:val="007958C8"/>
    <w:rsid w:val="00795D2A"/>
    <w:rsid w:val="00795DF3"/>
    <w:rsid w:val="00796060"/>
    <w:rsid w:val="0079660A"/>
    <w:rsid w:val="007966FF"/>
    <w:rsid w:val="007968B8"/>
    <w:rsid w:val="00797383"/>
    <w:rsid w:val="00797390"/>
    <w:rsid w:val="0079762B"/>
    <w:rsid w:val="00797ED2"/>
    <w:rsid w:val="007A01BE"/>
    <w:rsid w:val="007A06E0"/>
    <w:rsid w:val="007A0E1C"/>
    <w:rsid w:val="007A0EC4"/>
    <w:rsid w:val="007A11E1"/>
    <w:rsid w:val="007A1E27"/>
    <w:rsid w:val="007A23A1"/>
    <w:rsid w:val="007A27D3"/>
    <w:rsid w:val="007A2C9E"/>
    <w:rsid w:val="007A35B5"/>
    <w:rsid w:val="007A3E60"/>
    <w:rsid w:val="007A432C"/>
    <w:rsid w:val="007A6763"/>
    <w:rsid w:val="007A78AE"/>
    <w:rsid w:val="007B0B49"/>
    <w:rsid w:val="007B1438"/>
    <w:rsid w:val="007B1771"/>
    <w:rsid w:val="007B1B91"/>
    <w:rsid w:val="007B2376"/>
    <w:rsid w:val="007B25FB"/>
    <w:rsid w:val="007B2C37"/>
    <w:rsid w:val="007B427E"/>
    <w:rsid w:val="007B4555"/>
    <w:rsid w:val="007B5518"/>
    <w:rsid w:val="007B559F"/>
    <w:rsid w:val="007B732F"/>
    <w:rsid w:val="007B75EE"/>
    <w:rsid w:val="007C005B"/>
    <w:rsid w:val="007C03C1"/>
    <w:rsid w:val="007C0676"/>
    <w:rsid w:val="007C0BB9"/>
    <w:rsid w:val="007C1B66"/>
    <w:rsid w:val="007C2641"/>
    <w:rsid w:val="007C2A95"/>
    <w:rsid w:val="007C4248"/>
    <w:rsid w:val="007C4CB5"/>
    <w:rsid w:val="007C5B5B"/>
    <w:rsid w:val="007C7338"/>
    <w:rsid w:val="007C7E54"/>
    <w:rsid w:val="007C7EA2"/>
    <w:rsid w:val="007D0B1F"/>
    <w:rsid w:val="007D1204"/>
    <w:rsid w:val="007D1707"/>
    <w:rsid w:val="007D2F75"/>
    <w:rsid w:val="007D38FE"/>
    <w:rsid w:val="007D3E10"/>
    <w:rsid w:val="007D414E"/>
    <w:rsid w:val="007D4C34"/>
    <w:rsid w:val="007D4F92"/>
    <w:rsid w:val="007D53CC"/>
    <w:rsid w:val="007D5569"/>
    <w:rsid w:val="007D5C25"/>
    <w:rsid w:val="007D6139"/>
    <w:rsid w:val="007D621E"/>
    <w:rsid w:val="007D6247"/>
    <w:rsid w:val="007D6323"/>
    <w:rsid w:val="007D665D"/>
    <w:rsid w:val="007D6F51"/>
    <w:rsid w:val="007D74BB"/>
    <w:rsid w:val="007D7A1D"/>
    <w:rsid w:val="007D7B47"/>
    <w:rsid w:val="007E0A3C"/>
    <w:rsid w:val="007E0B59"/>
    <w:rsid w:val="007E18F5"/>
    <w:rsid w:val="007E198D"/>
    <w:rsid w:val="007E1C35"/>
    <w:rsid w:val="007E1CC3"/>
    <w:rsid w:val="007E231D"/>
    <w:rsid w:val="007E24EA"/>
    <w:rsid w:val="007E2835"/>
    <w:rsid w:val="007E37EF"/>
    <w:rsid w:val="007E49DE"/>
    <w:rsid w:val="007E51AA"/>
    <w:rsid w:val="007E545F"/>
    <w:rsid w:val="007E616A"/>
    <w:rsid w:val="007E63C6"/>
    <w:rsid w:val="007E7489"/>
    <w:rsid w:val="007E775B"/>
    <w:rsid w:val="007F0B38"/>
    <w:rsid w:val="007F1CB3"/>
    <w:rsid w:val="007F24CF"/>
    <w:rsid w:val="007F2535"/>
    <w:rsid w:val="007F2801"/>
    <w:rsid w:val="007F2847"/>
    <w:rsid w:val="007F426C"/>
    <w:rsid w:val="007F467E"/>
    <w:rsid w:val="007F4932"/>
    <w:rsid w:val="007F4D6D"/>
    <w:rsid w:val="007F52A2"/>
    <w:rsid w:val="007F5320"/>
    <w:rsid w:val="007F5758"/>
    <w:rsid w:val="007F58E9"/>
    <w:rsid w:val="007F6093"/>
    <w:rsid w:val="007F6143"/>
    <w:rsid w:val="007F6492"/>
    <w:rsid w:val="007F6AD7"/>
    <w:rsid w:val="007F6BF4"/>
    <w:rsid w:val="0080007C"/>
    <w:rsid w:val="00800574"/>
    <w:rsid w:val="0080106C"/>
    <w:rsid w:val="00801360"/>
    <w:rsid w:val="008028C6"/>
    <w:rsid w:val="00802E28"/>
    <w:rsid w:val="00803329"/>
    <w:rsid w:val="00803996"/>
    <w:rsid w:val="00804620"/>
    <w:rsid w:val="00806231"/>
    <w:rsid w:val="00806703"/>
    <w:rsid w:val="00806C67"/>
    <w:rsid w:val="00807058"/>
    <w:rsid w:val="00807151"/>
    <w:rsid w:val="008079FE"/>
    <w:rsid w:val="008107EB"/>
    <w:rsid w:val="008110A3"/>
    <w:rsid w:val="0081145A"/>
    <w:rsid w:val="00811A00"/>
    <w:rsid w:val="00811EAE"/>
    <w:rsid w:val="008124F9"/>
    <w:rsid w:val="00812ADA"/>
    <w:rsid w:val="00814AF3"/>
    <w:rsid w:val="00814B9D"/>
    <w:rsid w:val="00814BBE"/>
    <w:rsid w:val="00814E40"/>
    <w:rsid w:val="00814F55"/>
    <w:rsid w:val="00814FF8"/>
    <w:rsid w:val="00815EF6"/>
    <w:rsid w:val="00815F97"/>
    <w:rsid w:val="00816210"/>
    <w:rsid w:val="00816427"/>
    <w:rsid w:val="008164ED"/>
    <w:rsid w:val="008201E4"/>
    <w:rsid w:val="00820671"/>
    <w:rsid w:val="00820A1D"/>
    <w:rsid w:val="008211BD"/>
    <w:rsid w:val="008223F0"/>
    <w:rsid w:val="0082277A"/>
    <w:rsid w:val="008227BD"/>
    <w:rsid w:val="00822AB6"/>
    <w:rsid w:val="00822CE4"/>
    <w:rsid w:val="00823125"/>
    <w:rsid w:val="008236B5"/>
    <w:rsid w:val="00823A9B"/>
    <w:rsid w:val="00824D59"/>
    <w:rsid w:val="00825137"/>
    <w:rsid w:val="008256C9"/>
    <w:rsid w:val="008275C3"/>
    <w:rsid w:val="008278E4"/>
    <w:rsid w:val="00830F8B"/>
    <w:rsid w:val="0083122B"/>
    <w:rsid w:val="008312EA"/>
    <w:rsid w:val="00831A18"/>
    <w:rsid w:val="00831DAE"/>
    <w:rsid w:val="008327CD"/>
    <w:rsid w:val="00832DEA"/>
    <w:rsid w:val="00833BBF"/>
    <w:rsid w:val="00833F9A"/>
    <w:rsid w:val="00835088"/>
    <w:rsid w:val="00835D2B"/>
    <w:rsid w:val="00837207"/>
    <w:rsid w:val="00837C1A"/>
    <w:rsid w:val="00837C3F"/>
    <w:rsid w:val="0084014D"/>
    <w:rsid w:val="008401B4"/>
    <w:rsid w:val="00840698"/>
    <w:rsid w:val="00841234"/>
    <w:rsid w:val="008412B5"/>
    <w:rsid w:val="00841302"/>
    <w:rsid w:val="00841319"/>
    <w:rsid w:val="00841FAF"/>
    <w:rsid w:val="0084354B"/>
    <w:rsid w:val="00843A76"/>
    <w:rsid w:val="00844053"/>
    <w:rsid w:val="0084411B"/>
    <w:rsid w:val="008442EF"/>
    <w:rsid w:val="008448A3"/>
    <w:rsid w:val="008449F3"/>
    <w:rsid w:val="00844CEA"/>
    <w:rsid w:val="00844F62"/>
    <w:rsid w:val="00845AEC"/>
    <w:rsid w:val="00845EA3"/>
    <w:rsid w:val="00845F97"/>
    <w:rsid w:val="0084755F"/>
    <w:rsid w:val="00847D04"/>
    <w:rsid w:val="0085029B"/>
    <w:rsid w:val="00850D40"/>
    <w:rsid w:val="00851A38"/>
    <w:rsid w:val="00851A9E"/>
    <w:rsid w:val="00851B7D"/>
    <w:rsid w:val="0085238D"/>
    <w:rsid w:val="00852DA6"/>
    <w:rsid w:val="00853157"/>
    <w:rsid w:val="00853463"/>
    <w:rsid w:val="00853513"/>
    <w:rsid w:val="00853930"/>
    <w:rsid w:val="00854645"/>
    <w:rsid w:val="00854955"/>
    <w:rsid w:val="00855FDE"/>
    <w:rsid w:val="0085616B"/>
    <w:rsid w:val="00856173"/>
    <w:rsid w:val="008564A7"/>
    <w:rsid w:val="00856B94"/>
    <w:rsid w:val="00856CF6"/>
    <w:rsid w:val="00857BAD"/>
    <w:rsid w:val="0086002E"/>
    <w:rsid w:val="0086036C"/>
    <w:rsid w:val="00860780"/>
    <w:rsid w:val="00860A23"/>
    <w:rsid w:val="00860BD3"/>
    <w:rsid w:val="00860C82"/>
    <w:rsid w:val="00860DFE"/>
    <w:rsid w:val="00861E05"/>
    <w:rsid w:val="0086222B"/>
    <w:rsid w:val="008622BD"/>
    <w:rsid w:val="008627CF"/>
    <w:rsid w:val="008628AC"/>
    <w:rsid w:val="008629EF"/>
    <w:rsid w:val="00862AD2"/>
    <w:rsid w:val="00863680"/>
    <w:rsid w:val="0086388F"/>
    <w:rsid w:val="00863F4A"/>
    <w:rsid w:val="00864784"/>
    <w:rsid w:val="00864C3E"/>
    <w:rsid w:val="008654AB"/>
    <w:rsid w:val="0086743C"/>
    <w:rsid w:val="00867521"/>
    <w:rsid w:val="00870409"/>
    <w:rsid w:val="008708B3"/>
    <w:rsid w:val="00870A9E"/>
    <w:rsid w:val="00871621"/>
    <w:rsid w:val="00871BCD"/>
    <w:rsid w:val="00871D74"/>
    <w:rsid w:val="00872D19"/>
    <w:rsid w:val="008730AB"/>
    <w:rsid w:val="0087390A"/>
    <w:rsid w:val="0087499D"/>
    <w:rsid w:val="008749E1"/>
    <w:rsid w:val="008750CD"/>
    <w:rsid w:val="00875338"/>
    <w:rsid w:val="0087544B"/>
    <w:rsid w:val="008755E5"/>
    <w:rsid w:val="0087578F"/>
    <w:rsid w:val="008773E4"/>
    <w:rsid w:val="00877DC1"/>
    <w:rsid w:val="00880721"/>
    <w:rsid w:val="00880C3C"/>
    <w:rsid w:val="00881174"/>
    <w:rsid w:val="00881481"/>
    <w:rsid w:val="00881BE0"/>
    <w:rsid w:val="0088297E"/>
    <w:rsid w:val="0088304E"/>
    <w:rsid w:val="00883383"/>
    <w:rsid w:val="008836F2"/>
    <w:rsid w:val="00883C40"/>
    <w:rsid w:val="00884153"/>
    <w:rsid w:val="00884852"/>
    <w:rsid w:val="00885C1A"/>
    <w:rsid w:val="00885F97"/>
    <w:rsid w:val="008868BC"/>
    <w:rsid w:val="00887018"/>
    <w:rsid w:val="0088708C"/>
    <w:rsid w:val="00887A99"/>
    <w:rsid w:val="00890064"/>
    <w:rsid w:val="008901D5"/>
    <w:rsid w:val="0089188A"/>
    <w:rsid w:val="00891FA0"/>
    <w:rsid w:val="00892219"/>
    <w:rsid w:val="008924CE"/>
    <w:rsid w:val="0089285B"/>
    <w:rsid w:val="00893BF1"/>
    <w:rsid w:val="00893CDC"/>
    <w:rsid w:val="00894FCC"/>
    <w:rsid w:val="0089560E"/>
    <w:rsid w:val="0089609C"/>
    <w:rsid w:val="0089646A"/>
    <w:rsid w:val="00896BBC"/>
    <w:rsid w:val="00896BD2"/>
    <w:rsid w:val="008970A4"/>
    <w:rsid w:val="00897B0C"/>
    <w:rsid w:val="00897B3E"/>
    <w:rsid w:val="008A0711"/>
    <w:rsid w:val="008A2075"/>
    <w:rsid w:val="008A28BC"/>
    <w:rsid w:val="008A29CA"/>
    <w:rsid w:val="008A3180"/>
    <w:rsid w:val="008A3A83"/>
    <w:rsid w:val="008A4257"/>
    <w:rsid w:val="008A4C0E"/>
    <w:rsid w:val="008A6029"/>
    <w:rsid w:val="008A68DD"/>
    <w:rsid w:val="008A722E"/>
    <w:rsid w:val="008B05CD"/>
    <w:rsid w:val="008B2438"/>
    <w:rsid w:val="008B2629"/>
    <w:rsid w:val="008B2EB7"/>
    <w:rsid w:val="008B3413"/>
    <w:rsid w:val="008B36D8"/>
    <w:rsid w:val="008B511C"/>
    <w:rsid w:val="008B5583"/>
    <w:rsid w:val="008B5885"/>
    <w:rsid w:val="008B5AF0"/>
    <w:rsid w:val="008B61D9"/>
    <w:rsid w:val="008B68F5"/>
    <w:rsid w:val="008B7302"/>
    <w:rsid w:val="008B73D6"/>
    <w:rsid w:val="008B7EB8"/>
    <w:rsid w:val="008B7FDA"/>
    <w:rsid w:val="008C03E3"/>
    <w:rsid w:val="008C08AF"/>
    <w:rsid w:val="008C0B41"/>
    <w:rsid w:val="008C0C7D"/>
    <w:rsid w:val="008C0D44"/>
    <w:rsid w:val="008C1880"/>
    <w:rsid w:val="008C18EA"/>
    <w:rsid w:val="008C18F6"/>
    <w:rsid w:val="008C1BAF"/>
    <w:rsid w:val="008C20C0"/>
    <w:rsid w:val="008C23EA"/>
    <w:rsid w:val="008C23F6"/>
    <w:rsid w:val="008C311C"/>
    <w:rsid w:val="008C3358"/>
    <w:rsid w:val="008C34C9"/>
    <w:rsid w:val="008C3539"/>
    <w:rsid w:val="008C3D1C"/>
    <w:rsid w:val="008C48AC"/>
    <w:rsid w:val="008C4BAC"/>
    <w:rsid w:val="008C53CA"/>
    <w:rsid w:val="008C56F0"/>
    <w:rsid w:val="008C588C"/>
    <w:rsid w:val="008C5B9A"/>
    <w:rsid w:val="008C5E6C"/>
    <w:rsid w:val="008C67E9"/>
    <w:rsid w:val="008C7B32"/>
    <w:rsid w:val="008C7B46"/>
    <w:rsid w:val="008C7FB7"/>
    <w:rsid w:val="008D11DA"/>
    <w:rsid w:val="008D137D"/>
    <w:rsid w:val="008D146E"/>
    <w:rsid w:val="008D1BB2"/>
    <w:rsid w:val="008D1F9D"/>
    <w:rsid w:val="008D1FD4"/>
    <w:rsid w:val="008D2D16"/>
    <w:rsid w:val="008D357A"/>
    <w:rsid w:val="008D5167"/>
    <w:rsid w:val="008D5199"/>
    <w:rsid w:val="008D5CD8"/>
    <w:rsid w:val="008D63B8"/>
    <w:rsid w:val="008D6BA1"/>
    <w:rsid w:val="008D6D00"/>
    <w:rsid w:val="008D7002"/>
    <w:rsid w:val="008D7235"/>
    <w:rsid w:val="008D7AF2"/>
    <w:rsid w:val="008D7CB1"/>
    <w:rsid w:val="008D7E73"/>
    <w:rsid w:val="008E07E0"/>
    <w:rsid w:val="008E1A2A"/>
    <w:rsid w:val="008E1D8C"/>
    <w:rsid w:val="008E237E"/>
    <w:rsid w:val="008E32DE"/>
    <w:rsid w:val="008E3753"/>
    <w:rsid w:val="008E37BB"/>
    <w:rsid w:val="008E3B2E"/>
    <w:rsid w:val="008E46B1"/>
    <w:rsid w:val="008E4A25"/>
    <w:rsid w:val="008E5728"/>
    <w:rsid w:val="008E64B1"/>
    <w:rsid w:val="008E66AD"/>
    <w:rsid w:val="008E756C"/>
    <w:rsid w:val="008E7CAB"/>
    <w:rsid w:val="008E7E4A"/>
    <w:rsid w:val="008F0237"/>
    <w:rsid w:val="008F0C46"/>
    <w:rsid w:val="008F0CA7"/>
    <w:rsid w:val="008F120E"/>
    <w:rsid w:val="008F125B"/>
    <w:rsid w:val="008F1546"/>
    <w:rsid w:val="008F15B0"/>
    <w:rsid w:val="008F16DA"/>
    <w:rsid w:val="008F1A77"/>
    <w:rsid w:val="008F1DA6"/>
    <w:rsid w:val="008F1E92"/>
    <w:rsid w:val="008F2E8E"/>
    <w:rsid w:val="008F2F67"/>
    <w:rsid w:val="008F3B87"/>
    <w:rsid w:val="008F41F5"/>
    <w:rsid w:val="008F49F3"/>
    <w:rsid w:val="008F4BBE"/>
    <w:rsid w:val="008F4CE1"/>
    <w:rsid w:val="008F57C3"/>
    <w:rsid w:val="008F5ABD"/>
    <w:rsid w:val="008F5D95"/>
    <w:rsid w:val="008F62F3"/>
    <w:rsid w:val="008F6643"/>
    <w:rsid w:val="008F694D"/>
    <w:rsid w:val="008F7980"/>
    <w:rsid w:val="009004EF"/>
    <w:rsid w:val="0090072A"/>
    <w:rsid w:val="00900783"/>
    <w:rsid w:val="00901997"/>
    <w:rsid w:val="00901BB1"/>
    <w:rsid w:val="00902314"/>
    <w:rsid w:val="0090239B"/>
    <w:rsid w:val="0090332B"/>
    <w:rsid w:val="009035EA"/>
    <w:rsid w:val="00903B5A"/>
    <w:rsid w:val="00903F8D"/>
    <w:rsid w:val="00904115"/>
    <w:rsid w:val="0090440C"/>
    <w:rsid w:val="009045E3"/>
    <w:rsid w:val="00904B4E"/>
    <w:rsid w:val="00904D75"/>
    <w:rsid w:val="00905040"/>
    <w:rsid w:val="00905BF5"/>
    <w:rsid w:val="00905F7F"/>
    <w:rsid w:val="00906742"/>
    <w:rsid w:val="00906862"/>
    <w:rsid w:val="00906B82"/>
    <w:rsid w:val="009074CD"/>
    <w:rsid w:val="00907D4F"/>
    <w:rsid w:val="00907D59"/>
    <w:rsid w:val="0091076A"/>
    <w:rsid w:val="009113BC"/>
    <w:rsid w:val="00911B32"/>
    <w:rsid w:val="00911B4F"/>
    <w:rsid w:val="00911F05"/>
    <w:rsid w:val="00912057"/>
    <w:rsid w:val="0091283E"/>
    <w:rsid w:val="00912EA4"/>
    <w:rsid w:val="00914D0D"/>
    <w:rsid w:val="009154C8"/>
    <w:rsid w:val="009154F9"/>
    <w:rsid w:val="0091578C"/>
    <w:rsid w:val="00916125"/>
    <w:rsid w:val="0091630F"/>
    <w:rsid w:val="00916689"/>
    <w:rsid w:val="009166D4"/>
    <w:rsid w:val="00916C29"/>
    <w:rsid w:val="009177F1"/>
    <w:rsid w:val="0092049E"/>
    <w:rsid w:val="00920516"/>
    <w:rsid w:val="0092087B"/>
    <w:rsid w:val="009219C3"/>
    <w:rsid w:val="009227E1"/>
    <w:rsid w:val="009233B5"/>
    <w:rsid w:val="00923B4A"/>
    <w:rsid w:val="00924147"/>
    <w:rsid w:val="00924443"/>
    <w:rsid w:val="009245E4"/>
    <w:rsid w:val="009246B0"/>
    <w:rsid w:val="009246DE"/>
    <w:rsid w:val="00925599"/>
    <w:rsid w:val="00925B51"/>
    <w:rsid w:val="0092601F"/>
    <w:rsid w:val="009261DE"/>
    <w:rsid w:val="009265AB"/>
    <w:rsid w:val="00926DF2"/>
    <w:rsid w:val="0092703D"/>
    <w:rsid w:val="0092716D"/>
    <w:rsid w:val="009271D8"/>
    <w:rsid w:val="009272C4"/>
    <w:rsid w:val="00930255"/>
    <w:rsid w:val="009306E9"/>
    <w:rsid w:val="0093085C"/>
    <w:rsid w:val="00930F25"/>
    <w:rsid w:val="00931A70"/>
    <w:rsid w:val="00932416"/>
    <w:rsid w:val="009325FD"/>
    <w:rsid w:val="00933092"/>
    <w:rsid w:val="009338D4"/>
    <w:rsid w:val="00934C7B"/>
    <w:rsid w:val="009359A5"/>
    <w:rsid w:val="00935ABC"/>
    <w:rsid w:val="00936165"/>
    <w:rsid w:val="009362B9"/>
    <w:rsid w:val="00936430"/>
    <w:rsid w:val="00936DA8"/>
    <w:rsid w:val="00937500"/>
    <w:rsid w:val="00937832"/>
    <w:rsid w:val="0094028C"/>
    <w:rsid w:val="00940CEA"/>
    <w:rsid w:val="00941D2B"/>
    <w:rsid w:val="00941EF8"/>
    <w:rsid w:val="00942694"/>
    <w:rsid w:val="00943321"/>
    <w:rsid w:val="009445E9"/>
    <w:rsid w:val="00944CDA"/>
    <w:rsid w:val="00944DC1"/>
    <w:rsid w:val="00944EB5"/>
    <w:rsid w:val="00944EF0"/>
    <w:rsid w:val="00945093"/>
    <w:rsid w:val="00945902"/>
    <w:rsid w:val="00945CA1"/>
    <w:rsid w:val="00945DFF"/>
    <w:rsid w:val="0094782C"/>
    <w:rsid w:val="00947853"/>
    <w:rsid w:val="00950B73"/>
    <w:rsid w:val="00951996"/>
    <w:rsid w:val="00951DBC"/>
    <w:rsid w:val="00952777"/>
    <w:rsid w:val="00953105"/>
    <w:rsid w:val="00953635"/>
    <w:rsid w:val="00953D08"/>
    <w:rsid w:val="009540CE"/>
    <w:rsid w:val="00954BDD"/>
    <w:rsid w:val="00955236"/>
    <w:rsid w:val="0095584A"/>
    <w:rsid w:val="00955B9F"/>
    <w:rsid w:val="00955CC7"/>
    <w:rsid w:val="00955D5F"/>
    <w:rsid w:val="009565A9"/>
    <w:rsid w:val="0095697E"/>
    <w:rsid w:val="00957032"/>
    <w:rsid w:val="00957365"/>
    <w:rsid w:val="009573CB"/>
    <w:rsid w:val="009604FC"/>
    <w:rsid w:val="009608E6"/>
    <w:rsid w:val="009616D4"/>
    <w:rsid w:val="00961A10"/>
    <w:rsid w:val="0096391E"/>
    <w:rsid w:val="00963CE4"/>
    <w:rsid w:val="009640DA"/>
    <w:rsid w:val="009643B3"/>
    <w:rsid w:val="00964936"/>
    <w:rsid w:val="00964999"/>
    <w:rsid w:val="00964C18"/>
    <w:rsid w:val="009653CE"/>
    <w:rsid w:val="00965F61"/>
    <w:rsid w:val="0096603D"/>
    <w:rsid w:val="00966B07"/>
    <w:rsid w:val="00966E3B"/>
    <w:rsid w:val="00967993"/>
    <w:rsid w:val="009705D6"/>
    <w:rsid w:val="00970F5A"/>
    <w:rsid w:val="009710B5"/>
    <w:rsid w:val="00972014"/>
    <w:rsid w:val="00972ABE"/>
    <w:rsid w:val="0097313C"/>
    <w:rsid w:val="009731EA"/>
    <w:rsid w:val="0097395A"/>
    <w:rsid w:val="00973ED2"/>
    <w:rsid w:val="0097430E"/>
    <w:rsid w:val="00974648"/>
    <w:rsid w:val="009748ED"/>
    <w:rsid w:val="009749B8"/>
    <w:rsid w:val="00974DD1"/>
    <w:rsid w:val="00974F8D"/>
    <w:rsid w:val="009756EF"/>
    <w:rsid w:val="009758F9"/>
    <w:rsid w:val="00975B0C"/>
    <w:rsid w:val="00975EBA"/>
    <w:rsid w:val="00976A66"/>
    <w:rsid w:val="00976DC1"/>
    <w:rsid w:val="00976F28"/>
    <w:rsid w:val="00977064"/>
    <w:rsid w:val="0097715A"/>
    <w:rsid w:val="009776B0"/>
    <w:rsid w:val="00977927"/>
    <w:rsid w:val="009800E4"/>
    <w:rsid w:val="00981538"/>
    <w:rsid w:val="00981B82"/>
    <w:rsid w:val="00982DCD"/>
    <w:rsid w:val="0098321F"/>
    <w:rsid w:val="009833F9"/>
    <w:rsid w:val="00983458"/>
    <w:rsid w:val="009837C3"/>
    <w:rsid w:val="00984C58"/>
    <w:rsid w:val="00985C27"/>
    <w:rsid w:val="0098618E"/>
    <w:rsid w:val="00986438"/>
    <w:rsid w:val="00986964"/>
    <w:rsid w:val="00986B6D"/>
    <w:rsid w:val="00986E33"/>
    <w:rsid w:val="00987722"/>
    <w:rsid w:val="009902AE"/>
    <w:rsid w:val="00990A45"/>
    <w:rsid w:val="00991B1E"/>
    <w:rsid w:val="009920A7"/>
    <w:rsid w:val="00992301"/>
    <w:rsid w:val="00992533"/>
    <w:rsid w:val="009928FB"/>
    <w:rsid w:val="00992985"/>
    <w:rsid w:val="00992E37"/>
    <w:rsid w:val="009930C5"/>
    <w:rsid w:val="009934B4"/>
    <w:rsid w:val="009936D0"/>
    <w:rsid w:val="0099378A"/>
    <w:rsid w:val="00993EC6"/>
    <w:rsid w:val="00994C05"/>
    <w:rsid w:val="00995281"/>
    <w:rsid w:val="009959F6"/>
    <w:rsid w:val="00995FA7"/>
    <w:rsid w:val="00996A9C"/>
    <w:rsid w:val="00996CD2"/>
    <w:rsid w:val="00996DD1"/>
    <w:rsid w:val="009A04E5"/>
    <w:rsid w:val="009A0A0D"/>
    <w:rsid w:val="009A0ACF"/>
    <w:rsid w:val="009A1365"/>
    <w:rsid w:val="009A19BE"/>
    <w:rsid w:val="009A1B8F"/>
    <w:rsid w:val="009A2CC0"/>
    <w:rsid w:val="009A4056"/>
    <w:rsid w:val="009A46B5"/>
    <w:rsid w:val="009A48EC"/>
    <w:rsid w:val="009A58B0"/>
    <w:rsid w:val="009A5EA8"/>
    <w:rsid w:val="009A5F71"/>
    <w:rsid w:val="009A6100"/>
    <w:rsid w:val="009A677E"/>
    <w:rsid w:val="009A6A93"/>
    <w:rsid w:val="009A70A4"/>
    <w:rsid w:val="009A75FD"/>
    <w:rsid w:val="009A7B5F"/>
    <w:rsid w:val="009A7DEA"/>
    <w:rsid w:val="009B0302"/>
    <w:rsid w:val="009B044C"/>
    <w:rsid w:val="009B04F2"/>
    <w:rsid w:val="009B05B5"/>
    <w:rsid w:val="009B06AF"/>
    <w:rsid w:val="009B0CCD"/>
    <w:rsid w:val="009B0E3A"/>
    <w:rsid w:val="009B1396"/>
    <w:rsid w:val="009B1D3A"/>
    <w:rsid w:val="009B1E85"/>
    <w:rsid w:val="009B1EC3"/>
    <w:rsid w:val="009B1EF0"/>
    <w:rsid w:val="009B2301"/>
    <w:rsid w:val="009B29C5"/>
    <w:rsid w:val="009B2D1C"/>
    <w:rsid w:val="009B327D"/>
    <w:rsid w:val="009B3349"/>
    <w:rsid w:val="009B33D4"/>
    <w:rsid w:val="009B395B"/>
    <w:rsid w:val="009B50A7"/>
    <w:rsid w:val="009B54CF"/>
    <w:rsid w:val="009B5F6D"/>
    <w:rsid w:val="009B60D8"/>
    <w:rsid w:val="009B7B17"/>
    <w:rsid w:val="009C084E"/>
    <w:rsid w:val="009C0996"/>
    <w:rsid w:val="009C0AA3"/>
    <w:rsid w:val="009C0BFE"/>
    <w:rsid w:val="009C0DA7"/>
    <w:rsid w:val="009C1655"/>
    <w:rsid w:val="009C191C"/>
    <w:rsid w:val="009C1A07"/>
    <w:rsid w:val="009C1FA6"/>
    <w:rsid w:val="009C270D"/>
    <w:rsid w:val="009C28CD"/>
    <w:rsid w:val="009C30E0"/>
    <w:rsid w:val="009C4131"/>
    <w:rsid w:val="009C4158"/>
    <w:rsid w:val="009C42B8"/>
    <w:rsid w:val="009C48C7"/>
    <w:rsid w:val="009C4A97"/>
    <w:rsid w:val="009C4DC4"/>
    <w:rsid w:val="009C4F95"/>
    <w:rsid w:val="009C5104"/>
    <w:rsid w:val="009C588F"/>
    <w:rsid w:val="009C58B9"/>
    <w:rsid w:val="009C6218"/>
    <w:rsid w:val="009C67E8"/>
    <w:rsid w:val="009C6DA5"/>
    <w:rsid w:val="009C7675"/>
    <w:rsid w:val="009C7778"/>
    <w:rsid w:val="009D0661"/>
    <w:rsid w:val="009D10E2"/>
    <w:rsid w:val="009D196D"/>
    <w:rsid w:val="009D19E4"/>
    <w:rsid w:val="009D243F"/>
    <w:rsid w:val="009D271F"/>
    <w:rsid w:val="009D2AAD"/>
    <w:rsid w:val="009D37F4"/>
    <w:rsid w:val="009D3D79"/>
    <w:rsid w:val="009D3FB6"/>
    <w:rsid w:val="009D43B6"/>
    <w:rsid w:val="009D4EE0"/>
    <w:rsid w:val="009D5FA8"/>
    <w:rsid w:val="009D636C"/>
    <w:rsid w:val="009D6503"/>
    <w:rsid w:val="009D6AE7"/>
    <w:rsid w:val="009D6DAC"/>
    <w:rsid w:val="009D71E0"/>
    <w:rsid w:val="009D724B"/>
    <w:rsid w:val="009D74E8"/>
    <w:rsid w:val="009D7B7D"/>
    <w:rsid w:val="009E0046"/>
    <w:rsid w:val="009E05AD"/>
    <w:rsid w:val="009E0870"/>
    <w:rsid w:val="009E15D0"/>
    <w:rsid w:val="009E1DEF"/>
    <w:rsid w:val="009E1F03"/>
    <w:rsid w:val="009E245C"/>
    <w:rsid w:val="009E2640"/>
    <w:rsid w:val="009E2A93"/>
    <w:rsid w:val="009E2F16"/>
    <w:rsid w:val="009E33E9"/>
    <w:rsid w:val="009E38CF"/>
    <w:rsid w:val="009E3BF8"/>
    <w:rsid w:val="009E549E"/>
    <w:rsid w:val="009E56FE"/>
    <w:rsid w:val="009E5A0B"/>
    <w:rsid w:val="009E5E18"/>
    <w:rsid w:val="009E6787"/>
    <w:rsid w:val="009E69AE"/>
    <w:rsid w:val="009F0EBB"/>
    <w:rsid w:val="009F1435"/>
    <w:rsid w:val="009F26D9"/>
    <w:rsid w:val="009F34E2"/>
    <w:rsid w:val="009F4E00"/>
    <w:rsid w:val="009F544E"/>
    <w:rsid w:val="009F5ADF"/>
    <w:rsid w:val="009F5EB3"/>
    <w:rsid w:val="009F6FF9"/>
    <w:rsid w:val="009F7D3C"/>
    <w:rsid w:val="00A001FD"/>
    <w:rsid w:val="00A009B5"/>
    <w:rsid w:val="00A01135"/>
    <w:rsid w:val="00A013B1"/>
    <w:rsid w:val="00A01AFE"/>
    <w:rsid w:val="00A01B19"/>
    <w:rsid w:val="00A01F00"/>
    <w:rsid w:val="00A029D6"/>
    <w:rsid w:val="00A03209"/>
    <w:rsid w:val="00A032E4"/>
    <w:rsid w:val="00A03371"/>
    <w:rsid w:val="00A03AE9"/>
    <w:rsid w:val="00A042B6"/>
    <w:rsid w:val="00A04B9E"/>
    <w:rsid w:val="00A04C16"/>
    <w:rsid w:val="00A04EEE"/>
    <w:rsid w:val="00A052C3"/>
    <w:rsid w:val="00A05CA0"/>
    <w:rsid w:val="00A05EE6"/>
    <w:rsid w:val="00A069EB"/>
    <w:rsid w:val="00A06D61"/>
    <w:rsid w:val="00A07305"/>
    <w:rsid w:val="00A073C2"/>
    <w:rsid w:val="00A074EC"/>
    <w:rsid w:val="00A07A77"/>
    <w:rsid w:val="00A07B06"/>
    <w:rsid w:val="00A07BDB"/>
    <w:rsid w:val="00A07C5F"/>
    <w:rsid w:val="00A10533"/>
    <w:rsid w:val="00A10867"/>
    <w:rsid w:val="00A112AF"/>
    <w:rsid w:val="00A119B0"/>
    <w:rsid w:val="00A130B5"/>
    <w:rsid w:val="00A13585"/>
    <w:rsid w:val="00A139CA"/>
    <w:rsid w:val="00A14334"/>
    <w:rsid w:val="00A1468D"/>
    <w:rsid w:val="00A14E32"/>
    <w:rsid w:val="00A155F4"/>
    <w:rsid w:val="00A15D61"/>
    <w:rsid w:val="00A172DC"/>
    <w:rsid w:val="00A20106"/>
    <w:rsid w:val="00A224E9"/>
    <w:rsid w:val="00A2260F"/>
    <w:rsid w:val="00A2270F"/>
    <w:rsid w:val="00A227E9"/>
    <w:rsid w:val="00A22903"/>
    <w:rsid w:val="00A22D94"/>
    <w:rsid w:val="00A22F56"/>
    <w:rsid w:val="00A2304D"/>
    <w:rsid w:val="00A2422E"/>
    <w:rsid w:val="00A24859"/>
    <w:rsid w:val="00A2499E"/>
    <w:rsid w:val="00A250D2"/>
    <w:rsid w:val="00A255EC"/>
    <w:rsid w:val="00A26055"/>
    <w:rsid w:val="00A263F3"/>
    <w:rsid w:val="00A268F3"/>
    <w:rsid w:val="00A26B38"/>
    <w:rsid w:val="00A27C20"/>
    <w:rsid w:val="00A3022A"/>
    <w:rsid w:val="00A30516"/>
    <w:rsid w:val="00A30E62"/>
    <w:rsid w:val="00A30FBE"/>
    <w:rsid w:val="00A31802"/>
    <w:rsid w:val="00A320C0"/>
    <w:rsid w:val="00A32F92"/>
    <w:rsid w:val="00A33231"/>
    <w:rsid w:val="00A3348E"/>
    <w:rsid w:val="00A3362A"/>
    <w:rsid w:val="00A33ABD"/>
    <w:rsid w:val="00A33C52"/>
    <w:rsid w:val="00A34B0C"/>
    <w:rsid w:val="00A3524D"/>
    <w:rsid w:val="00A358DA"/>
    <w:rsid w:val="00A35A30"/>
    <w:rsid w:val="00A35C1B"/>
    <w:rsid w:val="00A364A3"/>
    <w:rsid w:val="00A364BD"/>
    <w:rsid w:val="00A36553"/>
    <w:rsid w:val="00A36C25"/>
    <w:rsid w:val="00A379E0"/>
    <w:rsid w:val="00A37C1F"/>
    <w:rsid w:val="00A40405"/>
    <w:rsid w:val="00A41066"/>
    <w:rsid w:val="00A4113F"/>
    <w:rsid w:val="00A413EC"/>
    <w:rsid w:val="00A42F10"/>
    <w:rsid w:val="00A43217"/>
    <w:rsid w:val="00A443F8"/>
    <w:rsid w:val="00A446D8"/>
    <w:rsid w:val="00A447D4"/>
    <w:rsid w:val="00A44E89"/>
    <w:rsid w:val="00A4568E"/>
    <w:rsid w:val="00A46011"/>
    <w:rsid w:val="00A466DE"/>
    <w:rsid w:val="00A46C51"/>
    <w:rsid w:val="00A47048"/>
    <w:rsid w:val="00A4716C"/>
    <w:rsid w:val="00A4747B"/>
    <w:rsid w:val="00A475E7"/>
    <w:rsid w:val="00A476AF"/>
    <w:rsid w:val="00A47792"/>
    <w:rsid w:val="00A47F60"/>
    <w:rsid w:val="00A50FF4"/>
    <w:rsid w:val="00A51367"/>
    <w:rsid w:val="00A5144C"/>
    <w:rsid w:val="00A523A2"/>
    <w:rsid w:val="00A524A3"/>
    <w:rsid w:val="00A53176"/>
    <w:rsid w:val="00A53277"/>
    <w:rsid w:val="00A53305"/>
    <w:rsid w:val="00A5452D"/>
    <w:rsid w:val="00A545C3"/>
    <w:rsid w:val="00A549D6"/>
    <w:rsid w:val="00A5513F"/>
    <w:rsid w:val="00A55176"/>
    <w:rsid w:val="00A560CF"/>
    <w:rsid w:val="00A56185"/>
    <w:rsid w:val="00A56188"/>
    <w:rsid w:val="00A56733"/>
    <w:rsid w:val="00A570A3"/>
    <w:rsid w:val="00A570AF"/>
    <w:rsid w:val="00A57366"/>
    <w:rsid w:val="00A5763A"/>
    <w:rsid w:val="00A57955"/>
    <w:rsid w:val="00A57EC1"/>
    <w:rsid w:val="00A6035C"/>
    <w:rsid w:val="00A60702"/>
    <w:rsid w:val="00A608F2"/>
    <w:rsid w:val="00A60BD2"/>
    <w:rsid w:val="00A61503"/>
    <w:rsid w:val="00A61850"/>
    <w:rsid w:val="00A61E4E"/>
    <w:rsid w:val="00A623C2"/>
    <w:rsid w:val="00A62B6D"/>
    <w:rsid w:val="00A62C2A"/>
    <w:rsid w:val="00A62F63"/>
    <w:rsid w:val="00A63408"/>
    <w:rsid w:val="00A63D62"/>
    <w:rsid w:val="00A64214"/>
    <w:rsid w:val="00A64699"/>
    <w:rsid w:val="00A647FE"/>
    <w:rsid w:val="00A64E84"/>
    <w:rsid w:val="00A6584D"/>
    <w:rsid w:val="00A662D7"/>
    <w:rsid w:val="00A6653D"/>
    <w:rsid w:val="00A668E9"/>
    <w:rsid w:val="00A66A13"/>
    <w:rsid w:val="00A66D8D"/>
    <w:rsid w:val="00A66F81"/>
    <w:rsid w:val="00A71AF3"/>
    <w:rsid w:val="00A72357"/>
    <w:rsid w:val="00A72489"/>
    <w:rsid w:val="00A73927"/>
    <w:rsid w:val="00A739F6"/>
    <w:rsid w:val="00A73AC2"/>
    <w:rsid w:val="00A741E6"/>
    <w:rsid w:val="00A74733"/>
    <w:rsid w:val="00A74B77"/>
    <w:rsid w:val="00A75048"/>
    <w:rsid w:val="00A75F68"/>
    <w:rsid w:val="00A76649"/>
    <w:rsid w:val="00A767D9"/>
    <w:rsid w:val="00A768A5"/>
    <w:rsid w:val="00A7732D"/>
    <w:rsid w:val="00A809F6"/>
    <w:rsid w:val="00A80FF4"/>
    <w:rsid w:val="00A81170"/>
    <w:rsid w:val="00A813F1"/>
    <w:rsid w:val="00A81862"/>
    <w:rsid w:val="00A8242F"/>
    <w:rsid w:val="00A824AE"/>
    <w:rsid w:val="00A82E11"/>
    <w:rsid w:val="00A840F8"/>
    <w:rsid w:val="00A84E61"/>
    <w:rsid w:val="00A84E8E"/>
    <w:rsid w:val="00A85354"/>
    <w:rsid w:val="00A8646D"/>
    <w:rsid w:val="00A870F9"/>
    <w:rsid w:val="00A87588"/>
    <w:rsid w:val="00A87A6C"/>
    <w:rsid w:val="00A87B76"/>
    <w:rsid w:val="00A9028C"/>
    <w:rsid w:val="00A9139E"/>
    <w:rsid w:val="00A915BB"/>
    <w:rsid w:val="00A91722"/>
    <w:rsid w:val="00A91A66"/>
    <w:rsid w:val="00A9243C"/>
    <w:rsid w:val="00A928C9"/>
    <w:rsid w:val="00A93074"/>
    <w:rsid w:val="00A93AAE"/>
    <w:rsid w:val="00A93D06"/>
    <w:rsid w:val="00A9462D"/>
    <w:rsid w:val="00A94D73"/>
    <w:rsid w:val="00A94E65"/>
    <w:rsid w:val="00A94EC5"/>
    <w:rsid w:val="00A95762"/>
    <w:rsid w:val="00A95A08"/>
    <w:rsid w:val="00A95F4E"/>
    <w:rsid w:val="00A96386"/>
    <w:rsid w:val="00A96938"/>
    <w:rsid w:val="00A97423"/>
    <w:rsid w:val="00A97ECD"/>
    <w:rsid w:val="00AA0083"/>
    <w:rsid w:val="00AA0A89"/>
    <w:rsid w:val="00AA0C5A"/>
    <w:rsid w:val="00AA1A68"/>
    <w:rsid w:val="00AA1A8E"/>
    <w:rsid w:val="00AA1B22"/>
    <w:rsid w:val="00AA1EC8"/>
    <w:rsid w:val="00AA2250"/>
    <w:rsid w:val="00AA2455"/>
    <w:rsid w:val="00AA2642"/>
    <w:rsid w:val="00AA28F2"/>
    <w:rsid w:val="00AA33E1"/>
    <w:rsid w:val="00AA3BB3"/>
    <w:rsid w:val="00AA3BF2"/>
    <w:rsid w:val="00AA41DD"/>
    <w:rsid w:val="00AA5A2C"/>
    <w:rsid w:val="00AA6C60"/>
    <w:rsid w:val="00AA750A"/>
    <w:rsid w:val="00AA79BB"/>
    <w:rsid w:val="00AB018D"/>
    <w:rsid w:val="00AB047E"/>
    <w:rsid w:val="00AB10B1"/>
    <w:rsid w:val="00AB11BF"/>
    <w:rsid w:val="00AB1597"/>
    <w:rsid w:val="00AB16E2"/>
    <w:rsid w:val="00AB1E81"/>
    <w:rsid w:val="00AB1FB2"/>
    <w:rsid w:val="00AB27BF"/>
    <w:rsid w:val="00AB2DDF"/>
    <w:rsid w:val="00AB2E83"/>
    <w:rsid w:val="00AB37A4"/>
    <w:rsid w:val="00AB450D"/>
    <w:rsid w:val="00AB4A56"/>
    <w:rsid w:val="00AB5405"/>
    <w:rsid w:val="00AB5FC6"/>
    <w:rsid w:val="00AB67C1"/>
    <w:rsid w:val="00AB6FCF"/>
    <w:rsid w:val="00AB772B"/>
    <w:rsid w:val="00AB787F"/>
    <w:rsid w:val="00AC1790"/>
    <w:rsid w:val="00AC250E"/>
    <w:rsid w:val="00AC32E2"/>
    <w:rsid w:val="00AC42E0"/>
    <w:rsid w:val="00AC45D6"/>
    <w:rsid w:val="00AC4B5C"/>
    <w:rsid w:val="00AC572E"/>
    <w:rsid w:val="00AC581E"/>
    <w:rsid w:val="00AC5BE5"/>
    <w:rsid w:val="00AC5D44"/>
    <w:rsid w:val="00AC63DE"/>
    <w:rsid w:val="00AC6AD9"/>
    <w:rsid w:val="00AC6D18"/>
    <w:rsid w:val="00AC7824"/>
    <w:rsid w:val="00AC78D8"/>
    <w:rsid w:val="00AD0718"/>
    <w:rsid w:val="00AD09CC"/>
    <w:rsid w:val="00AD11FE"/>
    <w:rsid w:val="00AD1ACB"/>
    <w:rsid w:val="00AD1B0B"/>
    <w:rsid w:val="00AD2731"/>
    <w:rsid w:val="00AD2CD9"/>
    <w:rsid w:val="00AD3C19"/>
    <w:rsid w:val="00AD61C9"/>
    <w:rsid w:val="00AD6AF9"/>
    <w:rsid w:val="00AD6E00"/>
    <w:rsid w:val="00AD7600"/>
    <w:rsid w:val="00AD7B6E"/>
    <w:rsid w:val="00AD7EF2"/>
    <w:rsid w:val="00AD7EF3"/>
    <w:rsid w:val="00AE0B03"/>
    <w:rsid w:val="00AE0F55"/>
    <w:rsid w:val="00AE107F"/>
    <w:rsid w:val="00AE1867"/>
    <w:rsid w:val="00AE186A"/>
    <w:rsid w:val="00AE1891"/>
    <w:rsid w:val="00AE228D"/>
    <w:rsid w:val="00AE27AE"/>
    <w:rsid w:val="00AE3241"/>
    <w:rsid w:val="00AE3ECA"/>
    <w:rsid w:val="00AE5066"/>
    <w:rsid w:val="00AE621E"/>
    <w:rsid w:val="00AE6687"/>
    <w:rsid w:val="00AE68CE"/>
    <w:rsid w:val="00AE6D1D"/>
    <w:rsid w:val="00AE7429"/>
    <w:rsid w:val="00AE7690"/>
    <w:rsid w:val="00AE76C2"/>
    <w:rsid w:val="00AE76CB"/>
    <w:rsid w:val="00AE7C6B"/>
    <w:rsid w:val="00AE7F0B"/>
    <w:rsid w:val="00AF0141"/>
    <w:rsid w:val="00AF109C"/>
    <w:rsid w:val="00AF2752"/>
    <w:rsid w:val="00AF2FF1"/>
    <w:rsid w:val="00AF3C62"/>
    <w:rsid w:val="00AF44D5"/>
    <w:rsid w:val="00AF47B0"/>
    <w:rsid w:val="00AF4F05"/>
    <w:rsid w:val="00AF5EDB"/>
    <w:rsid w:val="00AF7992"/>
    <w:rsid w:val="00AF7B10"/>
    <w:rsid w:val="00AF7E4F"/>
    <w:rsid w:val="00B00C61"/>
    <w:rsid w:val="00B00CF7"/>
    <w:rsid w:val="00B01744"/>
    <w:rsid w:val="00B0214C"/>
    <w:rsid w:val="00B0255D"/>
    <w:rsid w:val="00B0280D"/>
    <w:rsid w:val="00B02D4B"/>
    <w:rsid w:val="00B02D57"/>
    <w:rsid w:val="00B03A82"/>
    <w:rsid w:val="00B03CCE"/>
    <w:rsid w:val="00B03D36"/>
    <w:rsid w:val="00B04211"/>
    <w:rsid w:val="00B0434F"/>
    <w:rsid w:val="00B047C4"/>
    <w:rsid w:val="00B0508E"/>
    <w:rsid w:val="00B0566C"/>
    <w:rsid w:val="00B0622E"/>
    <w:rsid w:val="00B07256"/>
    <w:rsid w:val="00B0764C"/>
    <w:rsid w:val="00B0772D"/>
    <w:rsid w:val="00B07819"/>
    <w:rsid w:val="00B103DC"/>
    <w:rsid w:val="00B1048B"/>
    <w:rsid w:val="00B110F2"/>
    <w:rsid w:val="00B11880"/>
    <w:rsid w:val="00B119FD"/>
    <w:rsid w:val="00B12DB9"/>
    <w:rsid w:val="00B13A71"/>
    <w:rsid w:val="00B13C2F"/>
    <w:rsid w:val="00B14336"/>
    <w:rsid w:val="00B14BED"/>
    <w:rsid w:val="00B15196"/>
    <w:rsid w:val="00B157A0"/>
    <w:rsid w:val="00B17289"/>
    <w:rsid w:val="00B17DB9"/>
    <w:rsid w:val="00B17E52"/>
    <w:rsid w:val="00B20614"/>
    <w:rsid w:val="00B206C7"/>
    <w:rsid w:val="00B20948"/>
    <w:rsid w:val="00B209AF"/>
    <w:rsid w:val="00B20E4C"/>
    <w:rsid w:val="00B21357"/>
    <w:rsid w:val="00B22C20"/>
    <w:rsid w:val="00B23088"/>
    <w:rsid w:val="00B23109"/>
    <w:rsid w:val="00B24EE2"/>
    <w:rsid w:val="00B27407"/>
    <w:rsid w:val="00B27ADC"/>
    <w:rsid w:val="00B302DF"/>
    <w:rsid w:val="00B30528"/>
    <w:rsid w:val="00B30DDC"/>
    <w:rsid w:val="00B3231A"/>
    <w:rsid w:val="00B32FC8"/>
    <w:rsid w:val="00B34FE2"/>
    <w:rsid w:val="00B35B85"/>
    <w:rsid w:val="00B35C4B"/>
    <w:rsid w:val="00B3634B"/>
    <w:rsid w:val="00B365B9"/>
    <w:rsid w:val="00B366BE"/>
    <w:rsid w:val="00B36A9F"/>
    <w:rsid w:val="00B40205"/>
    <w:rsid w:val="00B4072C"/>
    <w:rsid w:val="00B40908"/>
    <w:rsid w:val="00B413EA"/>
    <w:rsid w:val="00B41D7C"/>
    <w:rsid w:val="00B4354A"/>
    <w:rsid w:val="00B46BC4"/>
    <w:rsid w:val="00B47094"/>
    <w:rsid w:val="00B5011C"/>
    <w:rsid w:val="00B50358"/>
    <w:rsid w:val="00B5049F"/>
    <w:rsid w:val="00B517E9"/>
    <w:rsid w:val="00B52833"/>
    <w:rsid w:val="00B528B4"/>
    <w:rsid w:val="00B52A09"/>
    <w:rsid w:val="00B52DC8"/>
    <w:rsid w:val="00B54389"/>
    <w:rsid w:val="00B545E1"/>
    <w:rsid w:val="00B54675"/>
    <w:rsid w:val="00B5467F"/>
    <w:rsid w:val="00B55391"/>
    <w:rsid w:val="00B5724A"/>
    <w:rsid w:val="00B578C7"/>
    <w:rsid w:val="00B60FA0"/>
    <w:rsid w:val="00B61351"/>
    <w:rsid w:val="00B618FE"/>
    <w:rsid w:val="00B625F2"/>
    <w:rsid w:val="00B642E1"/>
    <w:rsid w:val="00B642E7"/>
    <w:rsid w:val="00B64F83"/>
    <w:rsid w:val="00B657A5"/>
    <w:rsid w:val="00B659DC"/>
    <w:rsid w:val="00B66282"/>
    <w:rsid w:val="00B67BB9"/>
    <w:rsid w:val="00B70708"/>
    <w:rsid w:val="00B70A86"/>
    <w:rsid w:val="00B70CB5"/>
    <w:rsid w:val="00B70FF1"/>
    <w:rsid w:val="00B71743"/>
    <w:rsid w:val="00B71804"/>
    <w:rsid w:val="00B71909"/>
    <w:rsid w:val="00B71DFC"/>
    <w:rsid w:val="00B72717"/>
    <w:rsid w:val="00B72948"/>
    <w:rsid w:val="00B730AE"/>
    <w:rsid w:val="00B739F2"/>
    <w:rsid w:val="00B7409A"/>
    <w:rsid w:val="00B745BC"/>
    <w:rsid w:val="00B76295"/>
    <w:rsid w:val="00B76880"/>
    <w:rsid w:val="00B770C0"/>
    <w:rsid w:val="00B772B0"/>
    <w:rsid w:val="00B7753D"/>
    <w:rsid w:val="00B777AB"/>
    <w:rsid w:val="00B77E84"/>
    <w:rsid w:val="00B77F89"/>
    <w:rsid w:val="00B80960"/>
    <w:rsid w:val="00B81B3B"/>
    <w:rsid w:val="00B81DDC"/>
    <w:rsid w:val="00B82CEB"/>
    <w:rsid w:val="00B82FBF"/>
    <w:rsid w:val="00B831AB"/>
    <w:rsid w:val="00B83636"/>
    <w:rsid w:val="00B837FA"/>
    <w:rsid w:val="00B83E9B"/>
    <w:rsid w:val="00B841CB"/>
    <w:rsid w:val="00B85093"/>
    <w:rsid w:val="00B8558F"/>
    <w:rsid w:val="00B855B6"/>
    <w:rsid w:val="00B865F4"/>
    <w:rsid w:val="00B867B0"/>
    <w:rsid w:val="00B86B34"/>
    <w:rsid w:val="00B8721A"/>
    <w:rsid w:val="00B9094E"/>
    <w:rsid w:val="00B919DC"/>
    <w:rsid w:val="00B9224A"/>
    <w:rsid w:val="00B9296B"/>
    <w:rsid w:val="00B93DA5"/>
    <w:rsid w:val="00B94081"/>
    <w:rsid w:val="00B940E8"/>
    <w:rsid w:val="00B94400"/>
    <w:rsid w:val="00B94BC0"/>
    <w:rsid w:val="00B95D9B"/>
    <w:rsid w:val="00B964FD"/>
    <w:rsid w:val="00B96A93"/>
    <w:rsid w:val="00B96EA9"/>
    <w:rsid w:val="00B96ECD"/>
    <w:rsid w:val="00BA0122"/>
    <w:rsid w:val="00BA030B"/>
    <w:rsid w:val="00BA03B6"/>
    <w:rsid w:val="00BA0A5D"/>
    <w:rsid w:val="00BA1586"/>
    <w:rsid w:val="00BA1603"/>
    <w:rsid w:val="00BA1B5A"/>
    <w:rsid w:val="00BA20AD"/>
    <w:rsid w:val="00BA2320"/>
    <w:rsid w:val="00BA29C4"/>
    <w:rsid w:val="00BA2F6B"/>
    <w:rsid w:val="00BA3095"/>
    <w:rsid w:val="00BA3950"/>
    <w:rsid w:val="00BA3CAC"/>
    <w:rsid w:val="00BA4886"/>
    <w:rsid w:val="00BA4C31"/>
    <w:rsid w:val="00BA57F5"/>
    <w:rsid w:val="00BA5A43"/>
    <w:rsid w:val="00BA5AA1"/>
    <w:rsid w:val="00BA5D2C"/>
    <w:rsid w:val="00BA6946"/>
    <w:rsid w:val="00BA6CCC"/>
    <w:rsid w:val="00BA6D35"/>
    <w:rsid w:val="00BA6DD9"/>
    <w:rsid w:val="00BA74BD"/>
    <w:rsid w:val="00BA7850"/>
    <w:rsid w:val="00BB00D4"/>
    <w:rsid w:val="00BB019E"/>
    <w:rsid w:val="00BB0A80"/>
    <w:rsid w:val="00BB0ECA"/>
    <w:rsid w:val="00BB1737"/>
    <w:rsid w:val="00BB1DD2"/>
    <w:rsid w:val="00BB2030"/>
    <w:rsid w:val="00BB219A"/>
    <w:rsid w:val="00BB26B0"/>
    <w:rsid w:val="00BB273C"/>
    <w:rsid w:val="00BB277F"/>
    <w:rsid w:val="00BB2CC6"/>
    <w:rsid w:val="00BB2DD7"/>
    <w:rsid w:val="00BB36A4"/>
    <w:rsid w:val="00BB3917"/>
    <w:rsid w:val="00BB3E09"/>
    <w:rsid w:val="00BB4281"/>
    <w:rsid w:val="00BB42F3"/>
    <w:rsid w:val="00BB430C"/>
    <w:rsid w:val="00BB4E02"/>
    <w:rsid w:val="00BB6055"/>
    <w:rsid w:val="00BB6274"/>
    <w:rsid w:val="00BB7463"/>
    <w:rsid w:val="00BC0161"/>
    <w:rsid w:val="00BC08BD"/>
    <w:rsid w:val="00BC0A1B"/>
    <w:rsid w:val="00BC0A65"/>
    <w:rsid w:val="00BC1466"/>
    <w:rsid w:val="00BC1602"/>
    <w:rsid w:val="00BC18F4"/>
    <w:rsid w:val="00BC1F20"/>
    <w:rsid w:val="00BC2E87"/>
    <w:rsid w:val="00BC3B5E"/>
    <w:rsid w:val="00BC3D0A"/>
    <w:rsid w:val="00BC4028"/>
    <w:rsid w:val="00BC43C1"/>
    <w:rsid w:val="00BC4551"/>
    <w:rsid w:val="00BC4DB1"/>
    <w:rsid w:val="00BC54BE"/>
    <w:rsid w:val="00BC5A70"/>
    <w:rsid w:val="00BC62E8"/>
    <w:rsid w:val="00BC69DA"/>
    <w:rsid w:val="00BC6FAB"/>
    <w:rsid w:val="00BC70A1"/>
    <w:rsid w:val="00BC70B3"/>
    <w:rsid w:val="00BC70C1"/>
    <w:rsid w:val="00BC77E4"/>
    <w:rsid w:val="00BC7FAF"/>
    <w:rsid w:val="00BD0258"/>
    <w:rsid w:val="00BD0389"/>
    <w:rsid w:val="00BD03E3"/>
    <w:rsid w:val="00BD07DC"/>
    <w:rsid w:val="00BD086F"/>
    <w:rsid w:val="00BD1277"/>
    <w:rsid w:val="00BD12CC"/>
    <w:rsid w:val="00BD12F0"/>
    <w:rsid w:val="00BD1515"/>
    <w:rsid w:val="00BD1C8F"/>
    <w:rsid w:val="00BD2299"/>
    <w:rsid w:val="00BD25E5"/>
    <w:rsid w:val="00BD29F2"/>
    <w:rsid w:val="00BD2ED9"/>
    <w:rsid w:val="00BD2F09"/>
    <w:rsid w:val="00BD316E"/>
    <w:rsid w:val="00BD3F2C"/>
    <w:rsid w:val="00BD43EB"/>
    <w:rsid w:val="00BD4846"/>
    <w:rsid w:val="00BD49FC"/>
    <w:rsid w:val="00BD527F"/>
    <w:rsid w:val="00BD5DF8"/>
    <w:rsid w:val="00BD6849"/>
    <w:rsid w:val="00BD7054"/>
    <w:rsid w:val="00BD7797"/>
    <w:rsid w:val="00BD7C93"/>
    <w:rsid w:val="00BD7D06"/>
    <w:rsid w:val="00BD7D6A"/>
    <w:rsid w:val="00BE226D"/>
    <w:rsid w:val="00BE23EE"/>
    <w:rsid w:val="00BE24CF"/>
    <w:rsid w:val="00BE2839"/>
    <w:rsid w:val="00BE29EB"/>
    <w:rsid w:val="00BE3469"/>
    <w:rsid w:val="00BE3509"/>
    <w:rsid w:val="00BE3FC2"/>
    <w:rsid w:val="00BE4A0F"/>
    <w:rsid w:val="00BE53D2"/>
    <w:rsid w:val="00BE5BE2"/>
    <w:rsid w:val="00BE6002"/>
    <w:rsid w:val="00BE615C"/>
    <w:rsid w:val="00BE6BDC"/>
    <w:rsid w:val="00BE7049"/>
    <w:rsid w:val="00BE78F0"/>
    <w:rsid w:val="00BF00F3"/>
    <w:rsid w:val="00BF012A"/>
    <w:rsid w:val="00BF0BA1"/>
    <w:rsid w:val="00BF0FF6"/>
    <w:rsid w:val="00BF13C8"/>
    <w:rsid w:val="00BF1706"/>
    <w:rsid w:val="00BF17C6"/>
    <w:rsid w:val="00BF22D9"/>
    <w:rsid w:val="00BF29B2"/>
    <w:rsid w:val="00BF5E08"/>
    <w:rsid w:val="00BF62E6"/>
    <w:rsid w:val="00BF638B"/>
    <w:rsid w:val="00BF63FD"/>
    <w:rsid w:val="00BF689A"/>
    <w:rsid w:val="00BF6CBA"/>
    <w:rsid w:val="00BF6CF7"/>
    <w:rsid w:val="00BF7722"/>
    <w:rsid w:val="00C000F2"/>
    <w:rsid w:val="00C00990"/>
    <w:rsid w:val="00C00BAF"/>
    <w:rsid w:val="00C00FA5"/>
    <w:rsid w:val="00C01452"/>
    <w:rsid w:val="00C01B35"/>
    <w:rsid w:val="00C02195"/>
    <w:rsid w:val="00C02397"/>
    <w:rsid w:val="00C02ACF"/>
    <w:rsid w:val="00C02C33"/>
    <w:rsid w:val="00C0316E"/>
    <w:rsid w:val="00C0560C"/>
    <w:rsid w:val="00C0673A"/>
    <w:rsid w:val="00C06E5D"/>
    <w:rsid w:val="00C06F21"/>
    <w:rsid w:val="00C07236"/>
    <w:rsid w:val="00C0781D"/>
    <w:rsid w:val="00C07843"/>
    <w:rsid w:val="00C07AAF"/>
    <w:rsid w:val="00C07B9E"/>
    <w:rsid w:val="00C07C5C"/>
    <w:rsid w:val="00C1064D"/>
    <w:rsid w:val="00C106A3"/>
    <w:rsid w:val="00C10B2C"/>
    <w:rsid w:val="00C1104A"/>
    <w:rsid w:val="00C11082"/>
    <w:rsid w:val="00C114AD"/>
    <w:rsid w:val="00C114B4"/>
    <w:rsid w:val="00C116B1"/>
    <w:rsid w:val="00C1182D"/>
    <w:rsid w:val="00C119BC"/>
    <w:rsid w:val="00C121E8"/>
    <w:rsid w:val="00C127F5"/>
    <w:rsid w:val="00C12EBA"/>
    <w:rsid w:val="00C13A0C"/>
    <w:rsid w:val="00C13B34"/>
    <w:rsid w:val="00C1438D"/>
    <w:rsid w:val="00C14897"/>
    <w:rsid w:val="00C156D3"/>
    <w:rsid w:val="00C166E7"/>
    <w:rsid w:val="00C16B62"/>
    <w:rsid w:val="00C175D7"/>
    <w:rsid w:val="00C17600"/>
    <w:rsid w:val="00C17E38"/>
    <w:rsid w:val="00C2010C"/>
    <w:rsid w:val="00C2017D"/>
    <w:rsid w:val="00C20639"/>
    <w:rsid w:val="00C237BE"/>
    <w:rsid w:val="00C23EEF"/>
    <w:rsid w:val="00C24412"/>
    <w:rsid w:val="00C254DF"/>
    <w:rsid w:val="00C25911"/>
    <w:rsid w:val="00C25BC8"/>
    <w:rsid w:val="00C260C2"/>
    <w:rsid w:val="00C2634F"/>
    <w:rsid w:val="00C26D23"/>
    <w:rsid w:val="00C272FF"/>
    <w:rsid w:val="00C276BB"/>
    <w:rsid w:val="00C27D6B"/>
    <w:rsid w:val="00C27DE2"/>
    <w:rsid w:val="00C30677"/>
    <w:rsid w:val="00C31011"/>
    <w:rsid w:val="00C31A6B"/>
    <w:rsid w:val="00C31A7E"/>
    <w:rsid w:val="00C31B13"/>
    <w:rsid w:val="00C331FC"/>
    <w:rsid w:val="00C33729"/>
    <w:rsid w:val="00C3402B"/>
    <w:rsid w:val="00C3419D"/>
    <w:rsid w:val="00C34541"/>
    <w:rsid w:val="00C3501D"/>
    <w:rsid w:val="00C364E2"/>
    <w:rsid w:val="00C372CE"/>
    <w:rsid w:val="00C378FC"/>
    <w:rsid w:val="00C37EE0"/>
    <w:rsid w:val="00C401A4"/>
    <w:rsid w:val="00C404FA"/>
    <w:rsid w:val="00C4053D"/>
    <w:rsid w:val="00C407AC"/>
    <w:rsid w:val="00C407FB"/>
    <w:rsid w:val="00C40875"/>
    <w:rsid w:val="00C40C16"/>
    <w:rsid w:val="00C40C6E"/>
    <w:rsid w:val="00C41319"/>
    <w:rsid w:val="00C418E8"/>
    <w:rsid w:val="00C41C39"/>
    <w:rsid w:val="00C41D71"/>
    <w:rsid w:val="00C4235F"/>
    <w:rsid w:val="00C43ACE"/>
    <w:rsid w:val="00C44B08"/>
    <w:rsid w:val="00C4511A"/>
    <w:rsid w:val="00C4520B"/>
    <w:rsid w:val="00C452E1"/>
    <w:rsid w:val="00C46618"/>
    <w:rsid w:val="00C46DD2"/>
    <w:rsid w:val="00C470BC"/>
    <w:rsid w:val="00C50314"/>
    <w:rsid w:val="00C50E0E"/>
    <w:rsid w:val="00C50E54"/>
    <w:rsid w:val="00C51CBE"/>
    <w:rsid w:val="00C53736"/>
    <w:rsid w:val="00C5377D"/>
    <w:rsid w:val="00C5385C"/>
    <w:rsid w:val="00C548A9"/>
    <w:rsid w:val="00C54E9D"/>
    <w:rsid w:val="00C54F26"/>
    <w:rsid w:val="00C55858"/>
    <w:rsid w:val="00C55ABE"/>
    <w:rsid w:val="00C55D60"/>
    <w:rsid w:val="00C56289"/>
    <w:rsid w:val="00C56748"/>
    <w:rsid w:val="00C571BA"/>
    <w:rsid w:val="00C574F3"/>
    <w:rsid w:val="00C57CDD"/>
    <w:rsid w:val="00C57CF6"/>
    <w:rsid w:val="00C601B1"/>
    <w:rsid w:val="00C6037C"/>
    <w:rsid w:val="00C6094B"/>
    <w:rsid w:val="00C60F65"/>
    <w:rsid w:val="00C61355"/>
    <w:rsid w:val="00C6160B"/>
    <w:rsid w:val="00C61646"/>
    <w:rsid w:val="00C617D8"/>
    <w:rsid w:val="00C6236D"/>
    <w:rsid w:val="00C63568"/>
    <w:rsid w:val="00C63AB0"/>
    <w:rsid w:val="00C64121"/>
    <w:rsid w:val="00C64554"/>
    <w:rsid w:val="00C65974"/>
    <w:rsid w:val="00C65AFD"/>
    <w:rsid w:val="00C661B7"/>
    <w:rsid w:val="00C6625C"/>
    <w:rsid w:val="00C665E8"/>
    <w:rsid w:val="00C66922"/>
    <w:rsid w:val="00C70468"/>
    <w:rsid w:val="00C704A5"/>
    <w:rsid w:val="00C708C9"/>
    <w:rsid w:val="00C71866"/>
    <w:rsid w:val="00C728E2"/>
    <w:rsid w:val="00C7304E"/>
    <w:rsid w:val="00C733B0"/>
    <w:rsid w:val="00C73757"/>
    <w:rsid w:val="00C74656"/>
    <w:rsid w:val="00C74680"/>
    <w:rsid w:val="00C747CE"/>
    <w:rsid w:val="00C74B80"/>
    <w:rsid w:val="00C7539D"/>
    <w:rsid w:val="00C7663D"/>
    <w:rsid w:val="00C7769C"/>
    <w:rsid w:val="00C77BA4"/>
    <w:rsid w:val="00C802E3"/>
    <w:rsid w:val="00C805FE"/>
    <w:rsid w:val="00C808F1"/>
    <w:rsid w:val="00C80E3F"/>
    <w:rsid w:val="00C81651"/>
    <w:rsid w:val="00C82D97"/>
    <w:rsid w:val="00C836A8"/>
    <w:rsid w:val="00C83DA7"/>
    <w:rsid w:val="00C84023"/>
    <w:rsid w:val="00C84D5E"/>
    <w:rsid w:val="00C867A2"/>
    <w:rsid w:val="00C86995"/>
    <w:rsid w:val="00C8722D"/>
    <w:rsid w:val="00C8744F"/>
    <w:rsid w:val="00C87475"/>
    <w:rsid w:val="00C878DA"/>
    <w:rsid w:val="00C879DB"/>
    <w:rsid w:val="00C87B31"/>
    <w:rsid w:val="00C90FE4"/>
    <w:rsid w:val="00C9100A"/>
    <w:rsid w:val="00C9130E"/>
    <w:rsid w:val="00C91F2C"/>
    <w:rsid w:val="00C9229C"/>
    <w:rsid w:val="00C9389F"/>
    <w:rsid w:val="00C957CD"/>
    <w:rsid w:val="00C960B9"/>
    <w:rsid w:val="00CA0423"/>
    <w:rsid w:val="00CA1AA5"/>
    <w:rsid w:val="00CA1CB0"/>
    <w:rsid w:val="00CA32B7"/>
    <w:rsid w:val="00CA3355"/>
    <w:rsid w:val="00CA3A4E"/>
    <w:rsid w:val="00CA3ADB"/>
    <w:rsid w:val="00CA3C0E"/>
    <w:rsid w:val="00CA40C0"/>
    <w:rsid w:val="00CA43B5"/>
    <w:rsid w:val="00CA4CE5"/>
    <w:rsid w:val="00CA5178"/>
    <w:rsid w:val="00CA621E"/>
    <w:rsid w:val="00CB0780"/>
    <w:rsid w:val="00CB07A1"/>
    <w:rsid w:val="00CB086D"/>
    <w:rsid w:val="00CB0D4A"/>
    <w:rsid w:val="00CB1B5A"/>
    <w:rsid w:val="00CB2240"/>
    <w:rsid w:val="00CB2427"/>
    <w:rsid w:val="00CB2452"/>
    <w:rsid w:val="00CB24C9"/>
    <w:rsid w:val="00CB307A"/>
    <w:rsid w:val="00CB3223"/>
    <w:rsid w:val="00CB3D3D"/>
    <w:rsid w:val="00CB40A5"/>
    <w:rsid w:val="00CB46D8"/>
    <w:rsid w:val="00CB4932"/>
    <w:rsid w:val="00CB49BA"/>
    <w:rsid w:val="00CB49D7"/>
    <w:rsid w:val="00CB4B99"/>
    <w:rsid w:val="00CB58AA"/>
    <w:rsid w:val="00CB5983"/>
    <w:rsid w:val="00CB598D"/>
    <w:rsid w:val="00CB623B"/>
    <w:rsid w:val="00CB6515"/>
    <w:rsid w:val="00CB690F"/>
    <w:rsid w:val="00CB6C7C"/>
    <w:rsid w:val="00CB7401"/>
    <w:rsid w:val="00CB779A"/>
    <w:rsid w:val="00CB79DD"/>
    <w:rsid w:val="00CC0546"/>
    <w:rsid w:val="00CC06C3"/>
    <w:rsid w:val="00CC0D29"/>
    <w:rsid w:val="00CC208F"/>
    <w:rsid w:val="00CC22F5"/>
    <w:rsid w:val="00CC2F85"/>
    <w:rsid w:val="00CC341F"/>
    <w:rsid w:val="00CC35F3"/>
    <w:rsid w:val="00CC3B25"/>
    <w:rsid w:val="00CC3E5C"/>
    <w:rsid w:val="00CC4386"/>
    <w:rsid w:val="00CC4C1E"/>
    <w:rsid w:val="00CC4E36"/>
    <w:rsid w:val="00CC50CE"/>
    <w:rsid w:val="00CC5132"/>
    <w:rsid w:val="00CC52BA"/>
    <w:rsid w:val="00CC53FC"/>
    <w:rsid w:val="00CC555A"/>
    <w:rsid w:val="00CC55EF"/>
    <w:rsid w:val="00CC5991"/>
    <w:rsid w:val="00CC66EE"/>
    <w:rsid w:val="00CC6FC6"/>
    <w:rsid w:val="00CC77EE"/>
    <w:rsid w:val="00CC7C47"/>
    <w:rsid w:val="00CC7DCC"/>
    <w:rsid w:val="00CC7FEA"/>
    <w:rsid w:val="00CD03BC"/>
    <w:rsid w:val="00CD0A0A"/>
    <w:rsid w:val="00CD256F"/>
    <w:rsid w:val="00CD361D"/>
    <w:rsid w:val="00CD3692"/>
    <w:rsid w:val="00CD44E8"/>
    <w:rsid w:val="00CD4E6F"/>
    <w:rsid w:val="00CD5028"/>
    <w:rsid w:val="00CD652B"/>
    <w:rsid w:val="00CD6A92"/>
    <w:rsid w:val="00CD7621"/>
    <w:rsid w:val="00CD7769"/>
    <w:rsid w:val="00CE085C"/>
    <w:rsid w:val="00CE0C09"/>
    <w:rsid w:val="00CE0CE1"/>
    <w:rsid w:val="00CE0DBD"/>
    <w:rsid w:val="00CE1C02"/>
    <w:rsid w:val="00CE2AC4"/>
    <w:rsid w:val="00CE3456"/>
    <w:rsid w:val="00CE355F"/>
    <w:rsid w:val="00CE37E2"/>
    <w:rsid w:val="00CE3AD4"/>
    <w:rsid w:val="00CE4CA9"/>
    <w:rsid w:val="00CE594E"/>
    <w:rsid w:val="00CE66C3"/>
    <w:rsid w:val="00CE6878"/>
    <w:rsid w:val="00CE75EA"/>
    <w:rsid w:val="00CE7D06"/>
    <w:rsid w:val="00CF0CCE"/>
    <w:rsid w:val="00CF288E"/>
    <w:rsid w:val="00CF3B36"/>
    <w:rsid w:val="00CF3C59"/>
    <w:rsid w:val="00CF459F"/>
    <w:rsid w:val="00CF47D1"/>
    <w:rsid w:val="00CF4C31"/>
    <w:rsid w:val="00CF56EA"/>
    <w:rsid w:val="00CF5D78"/>
    <w:rsid w:val="00CF6396"/>
    <w:rsid w:val="00CF6C30"/>
    <w:rsid w:val="00CF6DB2"/>
    <w:rsid w:val="00CF6EF2"/>
    <w:rsid w:val="00CF788A"/>
    <w:rsid w:val="00CF7D67"/>
    <w:rsid w:val="00D01BDB"/>
    <w:rsid w:val="00D01C91"/>
    <w:rsid w:val="00D023E7"/>
    <w:rsid w:val="00D02A02"/>
    <w:rsid w:val="00D038E6"/>
    <w:rsid w:val="00D03C3B"/>
    <w:rsid w:val="00D04529"/>
    <w:rsid w:val="00D045DA"/>
    <w:rsid w:val="00D04E96"/>
    <w:rsid w:val="00D055EC"/>
    <w:rsid w:val="00D06017"/>
    <w:rsid w:val="00D068A4"/>
    <w:rsid w:val="00D07533"/>
    <w:rsid w:val="00D07DC6"/>
    <w:rsid w:val="00D10650"/>
    <w:rsid w:val="00D10906"/>
    <w:rsid w:val="00D11370"/>
    <w:rsid w:val="00D115E3"/>
    <w:rsid w:val="00D1175F"/>
    <w:rsid w:val="00D11F22"/>
    <w:rsid w:val="00D12369"/>
    <w:rsid w:val="00D12771"/>
    <w:rsid w:val="00D129B1"/>
    <w:rsid w:val="00D12F9D"/>
    <w:rsid w:val="00D1362F"/>
    <w:rsid w:val="00D13964"/>
    <w:rsid w:val="00D13F57"/>
    <w:rsid w:val="00D14443"/>
    <w:rsid w:val="00D14813"/>
    <w:rsid w:val="00D156F0"/>
    <w:rsid w:val="00D15724"/>
    <w:rsid w:val="00D158F3"/>
    <w:rsid w:val="00D15D7F"/>
    <w:rsid w:val="00D16469"/>
    <w:rsid w:val="00D1664E"/>
    <w:rsid w:val="00D16E95"/>
    <w:rsid w:val="00D20242"/>
    <w:rsid w:val="00D2070C"/>
    <w:rsid w:val="00D207C8"/>
    <w:rsid w:val="00D20B88"/>
    <w:rsid w:val="00D2185F"/>
    <w:rsid w:val="00D21A83"/>
    <w:rsid w:val="00D221B1"/>
    <w:rsid w:val="00D2245F"/>
    <w:rsid w:val="00D22A10"/>
    <w:rsid w:val="00D22A8F"/>
    <w:rsid w:val="00D2301C"/>
    <w:rsid w:val="00D23892"/>
    <w:rsid w:val="00D2468C"/>
    <w:rsid w:val="00D250C5"/>
    <w:rsid w:val="00D2545F"/>
    <w:rsid w:val="00D269A4"/>
    <w:rsid w:val="00D26BFC"/>
    <w:rsid w:val="00D2711F"/>
    <w:rsid w:val="00D27173"/>
    <w:rsid w:val="00D2753D"/>
    <w:rsid w:val="00D27967"/>
    <w:rsid w:val="00D27E7E"/>
    <w:rsid w:val="00D30314"/>
    <w:rsid w:val="00D312CD"/>
    <w:rsid w:val="00D31B94"/>
    <w:rsid w:val="00D31DFD"/>
    <w:rsid w:val="00D321E0"/>
    <w:rsid w:val="00D32538"/>
    <w:rsid w:val="00D32569"/>
    <w:rsid w:val="00D32C9F"/>
    <w:rsid w:val="00D32FD7"/>
    <w:rsid w:val="00D33199"/>
    <w:rsid w:val="00D3391F"/>
    <w:rsid w:val="00D34B2C"/>
    <w:rsid w:val="00D34BDC"/>
    <w:rsid w:val="00D35236"/>
    <w:rsid w:val="00D3558E"/>
    <w:rsid w:val="00D3559D"/>
    <w:rsid w:val="00D35E69"/>
    <w:rsid w:val="00D35FA9"/>
    <w:rsid w:val="00D36290"/>
    <w:rsid w:val="00D3633C"/>
    <w:rsid w:val="00D36734"/>
    <w:rsid w:val="00D36ABE"/>
    <w:rsid w:val="00D3783D"/>
    <w:rsid w:val="00D37C6D"/>
    <w:rsid w:val="00D4010E"/>
    <w:rsid w:val="00D40927"/>
    <w:rsid w:val="00D40B78"/>
    <w:rsid w:val="00D42DCC"/>
    <w:rsid w:val="00D42DFC"/>
    <w:rsid w:val="00D43D98"/>
    <w:rsid w:val="00D43E0E"/>
    <w:rsid w:val="00D443FC"/>
    <w:rsid w:val="00D4441C"/>
    <w:rsid w:val="00D4453A"/>
    <w:rsid w:val="00D47B01"/>
    <w:rsid w:val="00D511DB"/>
    <w:rsid w:val="00D52720"/>
    <w:rsid w:val="00D53631"/>
    <w:rsid w:val="00D53FDC"/>
    <w:rsid w:val="00D54702"/>
    <w:rsid w:val="00D5492A"/>
    <w:rsid w:val="00D54F5A"/>
    <w:rsid w:val="00D560C8"/>
    <w:rsid w:val="00D562FA"/>
    <w:rsid w:val="00D568BC"/>
    <w:rsid w:val="00D56BA7"/>
    <w:rsid w:val="00D57566"/>
    <w:rsid w:val="00D600FB"/>
    <w:rsid w:val="00D60273"/>
    <w:rsid w:val="00D6036F"/>
    <w:rsid w:val="00D604E0"/>
    <w:rsid w:val="00D6081F"/>
    <w:rsid w:val="00D60F88"/>
    <w:rsid w:val="00D61D07"/>
    <w:rsid w:val="00D61F21"/>
    <w:rsid w:val="00D625B7"/>
    <w:rsid w:val="00D62701"/>
    <w:rsid w:val="00D62839"/>
    <w:rsid w:val="00D62A19"/>
    <w:rsid w:val="00D62B02"/>
    <w:rsid w:val="00D62CD0"/>
    <w:rsid w:val="00D6397A"/>
    <w:rsid w:val="00D63C46"/>
    <w:rsid w:val="00D6400A"/>
    <w:rsid w:val="00D64977"/>
    <w:rsid w:val="00D65155"/>
    <w:rsid w:val="00D651A3"/>
    <w:rsid w:val="00D65241"/>
    <w:rsid w:val="00D656E5"/>
    <w:rsid w:val="00D660A8"/>
    <w:rsid w:val="00D66254"/>
    <w:rsid w:val="00D6644E"/>
    <w:rsid w:val="00D664C3"/>
    <w:rsid w:val="00D66C8F"/>
    <w:rsid w:val="00D675D7"/>
    <w:rsid w:val="00D676AE"/>
    <w:rsid w:val="00D67819"/>
    <w:rsid w:val="00D67E48"/>
    <w:rsid w:val="00D67ED1"/>
    <w:rsid w:val="00D707DF"/>
    <w:rsid w:val="00D711B9"/>
    <w:rsid w:val="00D71ADF"/>
    <w:rsid w:val="00D720C0"/>
    <w:rsid w:val="00D72E4E"/>
    <w:rsid w:val="00D74BE3"/>
    <w:rsid w:val="00D76336"/>
    <w:rsid w:val="00D768D7"/>
    <w:rsid w:val="00D77554"/>
    <w:rsid w:val="00D81B47"/>
    <w:rsid w:val="00D825DF"/>
    <w:rsid w:val="00D83223"/>
    <w:rsid w:val="00D83354"/>
    <w:rsid w:val="00D838FA"/>
    <w:rsid w:val="00D84C52"/>
    <w:rsid w:val="00D85203"/>
    <w:rsid w:val="00D85571"/>
    <w:rsid w:val="00D85825"/>
    <w:rsid w:val="00D85919"/>
    <w:rsid w:val="00D85A86"/>
    <w:rsid w:val="00D86621"/>
    <w:rsid w:val="00D87F65"/>
    <w:rsid w:val="00D902EB"/>
    <w:rsid w:val="00D909A0"/>
    <w:rsid w:val="00D91909"/>
    <w:rsid w:val="00D91DBF"/>
    <w:rsid w:val="00D91FAE"/>
    <w:rsid w:val="00D93269"/>
    <w:rsid w:val="00D93B4F"/>
    <w:rsid w:val="00D942C2"/>
    <w:rsid w:val="00D9446F"/>
    <w:rsid w:val="00D9449A"/>
    <w:rsid w:val="00D94A05"/>
    <w:rsid w:val="00D9582F"/>
    <w:rsid w:val="00D95881"/>
    <w:rsid w:val="00D95930"/>
    <w:rsid w:val="00D9612A"/>
    <w:rsid w:val="00D961D5"/>
    <w:rsid w:val="00D9655C"/>
    <w:rsid w:val="00D96769"/>
    <w:rsid w:val="00D97937"/>
    <w:rsid w:val="00D97A63"/>
    <w:rsid w:val="00DA01F8"/>
    <w:rsid w:val="00DA1013"/>
    <w:rsid w:val="00DA176A"/>
    <w:rsid w:val="00DA205B"/>
    <w:rsid w:val="00DA2325"/>
    <w:rsid w:val="00DA2C13"/>
    <w:rsid w:val="00DA3441"/>
    <w:rsid w:val="00DA3E0F"/>
    <w:rsid w:val="00DA4733"/>
    <w:rsid w:val="00DA4E41"/>
    <w:rsid w:val="00DA5106"/>
    <w:rsid w:val="00DA62F6"/>
    <w:rsid w:val="00DA6CFD"/>
    <w:rsid w:val="00DA7335"/>
    <w:rsid w:val="00DA7EDB"/>
    <w:rsid w:val="00DB02D3"/>
    <w:rsid w:val="00DB097E"/>
    <w:rsid w:val="00DB12EF"/>
    <w:rsid w:val="00DB175A"/>
    <w:rsid w:val="00DB31C6"/>
    <w:rsid w:val="00DB31F3"/>
    <w:rsid w:val="00DB5627"/>
    <w:rsid w:val="00DB60F7"/>
    <w:rsid w:val="00DB60FC"/>
    <w:rsid w:val="00DB6C5C"/>
    <w:rsid w:val="00DC03DC"/>
    <w:rsid w:val="00DC0887"/>
    <w:rsid w:val="00DC11C7"/>
    <w:rsid w:val="00DC1354"/>
    <w:rsid w:val="00DC1457"/>
    <w:rsid w:val="00DC1D9D"/>
    <w:rsid w:val="00DC1DB1"/>
    <w:rsid w:val="00DC1FC9"/>
    <w:rsid w:val="00DC2397"/>
    <w:rsid w:val="00DC2C0B"/>
    <w:rsid w:val="00DC2EE4"/>
    <w:rsid w:val="00DC2F53"/>
    <w:rsid w:val="00DC3499"/>
    <w:rsid w:val="00DC3754"/>
    <w:rsid w:val="00DC37C9"/>
    <w:rsid w:val="00DC391E"/>
    <w:rsid w:val="00DC4E22"/>
    <w:rsid w:val="00DC5383"/>
    <w:rsid w:val="00DC5B1B"/>
    <w:rsid w:val="00DC721C"/>
    <w:rsid w:val="00DD03C4"/>
    <w:rsid w:val="00DD110D"/>
    <w:rsid w:val="00DD20D4"/>
    <w:rsid w:val="00DD2C8F"/>
    <w:rsid w:val="00DD2DFC"/>
    <w:rsid w:val="00DD2E1D"/>
    <w:rsid w:val="00DD30AD"/>
    <w:rsid w:val="00DD3CD5"/>
    <w:rsid w:val="00DD42B4"/>
    <w:rsid w:val="00DD48C0"/>
    <w:rsid w:val="00DD49B1"/>
    <w:rsid w:val="00DD516C"/>
    <w:rsid w:val="00DD516F"/>
    <w:rsid w:val="00DD53DC"/>
    <w:rsid w:val="00DD5699"/>
    <w:rsid w:val="00DD59F8"/>
    <w:rsid w:val="00DD5B78"/>
    <w:rsid w:val="00DD5EEE"/>
    <w:rsid w:val="00DD5F2E"/>
    <w:rsid w:val="00DD6266"/>
    <w:rsid w:val="00DD6CCB"/>
    <w:rsid w:val="00DD747A"/>
    <w:rsid w:val="00DD7EFF"/>
    <w:rsid w:val="00DE0025"/>
    <w:rsid w:val="00DE05AE"/>
    <w:rsid w:val="00DE0C0B"/>
    <w:rsid w:val="00DE0F08"/>
    <w:rsid w:val="00DE13D8"/>
    <w:rsid w:val="00DE18A1"/>
    <w:rsid w:val="00DE2092"/>
    <w:rsid w:val="00DE2B5D"/>
    <w:rsid w:val="00DE3546"/>
    <w:rsid w:val="00DE363F"/>
    <w:rsid w:val="00DE3865"/>
    <w:rsid w:val="00DE40F8"/>
    <w:rsid w:val="00DE4172"/>
    <w:rsid w:val="00DE473E"/>
    <w:rsid w:val="00DE4CAA"/>
    <w:rsid w:val="00DE59AC"/>
    <w:rsid w:val="00DE5A55"/>
    <w:rsid w:val="00DE5C18"/>
    <w:rsid w:val="00DE6217"/>
    <w:rsid w:val="00DE799E"/>
    <w:rsid w:val="00DE7B46"/>
    <w:rsid w:val="00DE7FA7"/>
    <w:rsid w:val="00DF016A"/>
    <w:rsid w:val="00DF21BF"/>
    <w:rsid w:val="00DF3894"/>
    <w:rsid w:val="00DF3BBE"/>
    <w:rsid w:val="00DF4251"/>
    <w:rsid w:val="00DF4722"/>
    <w:rsid w:val="00DF4A10"/>
    <w:rsid w:val="00DF4D83"/>
    <w:rsid w:val="00DF5961"/>
    <w:rsid w:val="00DF5B62"/>
    <w:rsid w:val="00DF5F48"/>
    <w:rsid w:val="00DF61C3"/>
    <w:rsid w:val="00E00221"/>
    <w:rsid w:val="00E002CE"/>
    <w:rsid w:val="00E003EE"/>
    <w:rsid w:val="00E00560"/>
    <w:rsid w:val="00E00601"/>
    <w:rsid w:val="00E00F30"/>
    <w:rsid w:val="00E016DA"/>
    <w:rsid w:val="00E02C37"/>
    <w:rsid w:val="00E02EBE"/>
    <w:rsid w:val="00E0328A"/>
    <w:rsid w:val="00E037D9"/>
    <w:rsid w:val="00E03A0F"/>
    <w:rsid w:val="00E040C2"/>
    <w:rsid w:val="00E04F1A"/>
    <w:rsid w:val="00E05EFE"/>
    <w:rsid w:val="00E06A52"/>
    <w:rsid w:val="00E06B1C"/>
    <w:rsid w:val="00E06C6C"/>
    <w:rsid w:val="00E07058"/>
    <w:rsid w:val="00E0716A"/>
    <w:rsid w:val="00E1108C"/>
    <w:rsid w:val="00E1124E"/>
    <w:rsid w:val="00E11B15"/>
    <w:rsid w:val="00E11C71"/>
    <w:rsid w:val="00E14195"/>
    <w:rsid w:val="00E145BA"/>
    <w:rsid w:val="00E14610"/>
    <w:rsid w:val="00E14A16"/>
    <w:rsid w:val="00E15146"/>
    <w:rsid w:val="00E15AFF"/>
    <w:rsid w:val="00E15F1E"/>
    <w:rsid w:val="00E17209"/>
    <w:rsid w:val="00E1724E"/>
    <w:rsid w:val="00E1761A"/>
    <w:rsid w:val="00E176E3"/>
    <w:rsid w:val="00E20089"/>
    <w:rsid w:val="00E2055E"/>
    <w:rsid w:val="00E206DE"/>
    <w:rsid w:val="00E223E5"/>
    <w:rsid w:val="00E227B8"/>
    <w:rsid w:val="00E22B13"/>
    <w:rsid w:val="00E22CEC"/>
    <w:rsid w:val="00E23D54"/>
    <w:rsid w:val="00E23EC8"/>
    <w:rsid w:val="00E23F81"/>
    <w:rsid w:val="00E24100"/>
    <w:rsid w:val="00E241CD"/>
    <w:rsid w:val="00E244D0"/>
    <w:rsid w:val="00E24803"/>
    <w:rsid w:val="00E25FF5"/>
    <w:rsid w:val="00E26799"/>
    <w:rsid w:val="00E26B03"/>
    <w:rsid w:val="00E26F72"/>
    <w:rsid w:val="00E271CD"/>
    <w:rsid w:val="00E277EF"/>
    <w:rsid w:val="00E27DE4"/>
    <w:rsid w:val="00E27F4F"/>
    <w:rsid w:val="00E30660"/>
    <w:rsid w:val="00E31540"/>
    <w:rsid w:val="00E319A2"/>
    <w:rsid w:val="00E31BE5"/>
    <w:rsid w:val="00E31D89"/>
    <w:rsid w:val="00E31FA6"/>
    <w:rsid w:val="00E32261"/>
    <w:rsid w:val="00E32484"/>
    <w:rsid w:val="00E329D9"/>
    <w:rsid w:val="00E32EAE"/>
    <w:rsid w:val="00E338AD"/>
    <w:rsid w:val="00E3393B"/>
    <w:rsid w:val="00E33E49"/>
    <w:rsid w:val="00E34227"/>
    <w:rsid w:val="00E34E3B"/>
    <w:rsid w:val="00E3597F"/>
    <w:rsid w:val="00E35E4D"/>
    <w:rsid w:val="00E3798B"/>
    <w:rsid w:val="00E37AD8"/>
    <w:rsid w:val="00E4049C"/>
    <w:rsid w:val="00E404C1"/>
    <w:rsid w:val="00E41B0C"/>
    <w:rsid w:val="00E4292A"/>
    <w:rsid w:val="00E42B14"/>
    <w:rsid w:val="00E43CD9"/>
    <w:rsid w:val="00E44CFC"/>
    <w:rsid w:val="00E45170"/>
    <w:rsid w:val="00E4552D"/>
    <w:rsid w:val="00E45F96"/>
    <w:rsid w:val="00E462FF"/>
    <w:rsid w:val="00E501AA"/>
    <w:rsid w:val="00E51022"/>
    <w:rsid w:val="00E51763"/>
    <w:rsid w:val="00E5185B"/>
    <w:rsid w:val="00E51944"/>
    <w:rsid w:val="00E51CCC"/>
    <w:rsid w:val="00E527BA"/>
    <w:rsid w:val="00E52C9A"/>
    <w:rsid w:val="00E53CD8"/>
    <w:rsid w:val="00E53F40"/>
    <w:rsid w:val="00E54498"/>
    <w:rsid w:val="00E55454"/>
    <w:rsid w:val="00E55CDF"/>
    <w:rsid w:val="00E55E88"/>
    <w:rsid w:val="00E56BD7"/>
    <w:rsid w:val="00E56F9C"/>
    <w:rsid w:val="00E57223"/>
    <w:rsid w:val="00E61626"/>
    <w:rsid w:val="00E617C4"/>
    <w:rsid w:val="00E62FB8"/>
    <w:rsid w:val="00E633E8"/>
    <w:rsid w:val="00E6457B"/>
    <w:rsid w:val="00E64851"/>
    <w:rsid w:val="00E65014"/>
    <w:rsid w:val="00E66EDD"/>
    <w:rsid w:val="00E6767D"/>
    <w:rsid w:val="00E6776F"/>
    <w:rsid w:val="00E6782D"/>
    <w:rsid w:val="00E70043"/>
    <w:rsid w:val="00E70265"/>
    <w:rsid w:val="00E70D26"/>
    <w:rsid w:val="00E7120A"/>
    <w:rsid w:val="00E7159C"/>
    <w:rsid w:val="00E72552"/>
    <w:rsid w:val="00E72801"/>
    <w:rsid w:val="00E72B2E"/>
    <w:rsid w:val="00E735E5"/>
    <w:rsid w:val="00E738C4"/>
    <w:rsid w:val="00E73C14"/>
    <w:rsid w:val="00E742B6"/>
    <w:rsid w:val="00E74529"/>
    <w:rsid w:val="00E750A9"/>
    <w:rsid w:val="00E752B6"/>
    <w:rsid w:val="00E7636F"/>
    <w:rsid w:val="00E76DFD"/>
    <w:rsid w:val="00E80294"/>
    <w:rsid w:val="00E805DB"/>
    <w:rsid w:val="00E810B5"/>
    <w:rsid w:val="00E812E1"/>
    <w:rsid w:val="00E81878"/>
    <w:rsid w:val="00E81E33"/>
    <w:rsid w:val="00E820A8"/>
    <w:rsid w:val="00E83348"/>
    <w:rsid w:val="00E83397"/>
    <w:rsid w:val="00E837CB"/>
    <w:rsid w:val="00E83B3F"/>
    <w:rsid w:val="00E83D16"/>
    <w:rsid w:val="00E8453D"/>
    <w:rsid w:val="00E849E5"/>
    <w:rsid w:val="00E84B7F"/>
    <w:rsid w:val="00E86328"/>
    <w:rsid w:val="00E86D5B"/>
    <w:rsid w:val="00E8761E"/>
    <w:rsid w:val="00E90935"/>
    <w:rsid w:val="00E90A34"/>
    <w:rsid w:val="00E90D70"/>
    <w:rsid w:val="00E918B4"/>
    <w:rsid w:val="00E92BF1"/>
    <w:rsid w:val="00E92E70"/>
    <w:rsid w:val="00E93753"/>
    <w:rsid w:val="00E93BCE"/>
    <w:rsid w:val="00E94C12"/>
    <w:rsid w:val="00E94D17"/>
    <w:rsid w:val="00E95475"/>
    <w:rsid w:val="00E9601E"/>
    <w:rsid w:val="00E96266"/>
    <w:rsid w:val="00E96A36"/>
    <w:rsid w:val="00E970AF"/>
    <w:rsid w:val="00E973BE"/>
    <w:rsid w:val="00E97D4C"/>
    <w:rsid w:val="00E97FBA"/>
    <w:rsid w:val="00EA0154"/>
    <w:rsid w:val="00EA0470"/>
    <w:rsid w:val="00EA0896"/>
    <w:rsid w:val="00EA08F0"/>
    <w:rsid w:val="00EA1178"/>
    <w:rsid w:val="00EA19F6"/>
    <w:rsid w:val="00EA1BFA"/>
    <w:rsid w:val="00EA23AC"/>
    <w:rsid w:val="00EA278C"/>
    <w:rsid w:val="00EA2B3B"/>
    <w:rsid w:val="00EA3260"/>
    <w:rsid w:val="00EA3EB2"/>
    <w:rsid w:val="00EA431E"/>
    <w:rsid w:val="00EA4685"/>
    <w:rsid w:val="00EA4B21"/>
    <w:rsid w:val="00EA5C7B"/>
    <w:rsid w:val="00EA60F8"/>
    <w:rsid w:val="00EA6946"/>
    <w:rsid w:val="00EA69FD"/>
    <w:rsid w:val="00EA6A36"/>
    <w:rsid w:val="00EA6A47"/>
    <w:rsid w:val="00EA6C1C"/>
    <w:rsid w:val="00EA6D86"/>
    <w:rsid w:val="00EA7716"/>
    <w:rsid w:val="00EA7D0F"/>
    <w:rsid w:val="00EB01A0"/>
    <w:rsid w:val="00EB0229"/>
    <w:rsid w:val="00EB02E8"/>
    <w:rsid w:val="00EB1103"/>
    <w:rsid w:val="00EB12E9"/>
    <w:rsid w:val="00EB28FE"/>
    <w:rsid w:val="00EB3627"/>
    <w:rsid w:val="00EB381D"/>
    <w:rsid w:val="00EB3AAC"/>
    <w:rsid w:val="00EB3E77"/>
    <w:rsid w:val="00EB4397"/>
    <w:rsid w:val="00EB4829"/>
    <w:rsid w:val="00EB4A10"/>
    <w:rsid w:val="00EB4DCE"/>
    <w:rsid w:val="00EB4E46"/>
    <w:rsid w:val="00EB4F5A"/>
    <w:rsid w:val="00EB5ABC"/>
    <w:rsid w:val="00EB5CCA"/>
    <w:rsid w:val="00EB64E9"/>
    <w:rsid w:val="00EB68F9"/>
    <w:rsid w:val="00EB6922"/>
    <w:rsid w:val="00EB73A3"/>
    <w:rsid w:val="00EB7488"/>
    <w:rsid w:val="00EB7A52"/>
    <w:rsid w:val="00EC07A8"/>
    <w:rsid w:val="00EC0A8F"/>
    <w:rsid w:val="00EC1A51"/>
    <w:rsid w:val="00EC1EEE"/>
    <w:rsid w:val="00EC41E9"/>
    <w:rsid w:val="00EC4310"/>
    <w:rsid w:val="00EC4B36"/>
    <w:rsid w:val="00EC4CEE"/>
    <w:rsid w:val="00EC5344"/>
    <w:rsid w:val="00EC5A71"/>
    <w:rsid w:val="00EC5D6C"/>
    <w:rsid w:val="00EC5F66"/>
    <w:rsid w:val="00EC6952"/>
    <w:rsid w:val="00EC6CA0"/>
    <w:rsid w:val="00EC7769"/>
    <w:rsid w:val="00ED0093"/>
    <w:rsid w:val="00ED023D"/>
    <w:rsid w:val="00ED155B"/>
    <w:rsid w:val="00ED15E5"/>
    <w:rsid w:val="00ED25D4"/>
    <w:rsid w:val="00ED2800"/>
    <w:rsid w:val="00ED2905"/>
    <w:rsid w:val="00ED2C35"/>
    <w:rsid w:val="00ED2E55"/>
    <w:rsid w:val="00ED3183"/>
    <w:rsid w:val="00ED34D9"/>
    <w:rsid w:val="00ED3E59"/>
    <w:rsid w:val="00ED3E6A"/>
    <w:rsid w:val="00ED40F1"/>
    <w:rsid w:val="00ED43EF"/>
    <w:rsid w:val="00ED4AC3"/>
    <w:rsid w:val="00ED4D1C"/>
    <w:rsid w:val="00ED4F15"/>
    <w:rsid w:val="00ED4F6A"/>
    <w:rsid w:val="00ED5021"/>
    <w:rsid w:val="00ED5C48"/>
    <w:rsid w:val="00ED6079"/>
    <w:rsid w:val="00ED6107"/>
    <w:rsid w:val="00ED6264"/>
    <w:rsid w:val="00ED6655"/>
    <w:rsid w:val="00ED6C6B"/>
    <w:rsid w:val="00ED6F2A"/>
    <w:rsid w:val="00ED71E9"/>
    <w:rsid w:val="00ED7213"/>
    <w:rsid w:val="00EE0343"/>
    <w:rsid w:val="00EE0B26"/>
    <w:rsid w:val="00EE108E"/>
    <w:rsid w:val="00EE1198"/>
    <w:rsid w:val="00EE291C"/>
    <w:rsid w:val="00EE4120"/>
    <w:rsid w:val="00EE58E9"/>
    <w:rsid w:val="00EE5B83"/>
    <w:rsid w:val="00EE620F"/>
    <w:rsid w:val="00EE634E"/>
    <w:rsid w:val="00EE653C"/>
    <w:rsid w:val="00EE65A2"/>
    <w:rsid w:val="00EE689C"/>
    <w:rsid w:val="00EE69FB"/>
    <w:rsid w:val="00EE6CA1"/>
    <w:rsid w:val="00EE7531"/>
    <w:rsid w:val="00EE78BA"/>
    <w:rsid w:val="00EF046F"/>
    <w:rsid w:val="00EF09B5"/>
    <w:rsid w:val="00EF15DC"/>
    <w:rsid w:val="00EF1EE6"/>
    <w:rsid w:val="00EF2094"/>
    <w:rsid w:val="00EF242B"/>
    <w:rsid w:val="00EF2A6E"/>
    <w:rsid w:val="00EF3314"/>
    <w:rsid w:val="00EF399C"/>
    <w:rsid w:val="00EF39F5"/>
    <w:rsid w:val="00EF3A52"/>
    <w:rsid w:val="00EF3F23"/>
    <w:rsid w:val="00EF408F"/>
    <w:rsid w:val="00EF4644"/>
    <w:rsid w:val="00EF578D"/>
    <w:rsid w:val="00EF5C7C"/>
    <w:rsid w:val="00EF6874"/>
    <w:rsid w:val="00EF6F14"/>
    <w:rsid w:val="00EF71CD"/>
    <w:rsid w:val="00EF727B"/>
    <w:rsid w:val="00EF7B7B"/>
    <w:rsid w:val="00F005EC"/>
    <w:rsid w:val="00F0061F"/>
    <w:rsid w:val="00F00737"/>
    <w:rsid w:val="00F00AD0"/>
    <w:rsid w:val="00F018F5"/>
    <w:rsid w:val="00F028DE"/>
    <w:rsid w:val="00F02DA1"/>
    <w:rsid w:val="00F02E5E"/>
    <w:rsid w:val="00F034D7"/>
    <w:rsid w:val="00F035B3"/>
    <w:rsid w:val="00F0368E"/>
    <w:rsid w:val="00F03BCA"/>
    <w:rsid w:val="00F03E23"/>
    <w:rsid w:val="00F03EEB"/>
    <w:rsid w:val="00F03F7B"/>
    <w:rsid w:val="00F04245"/>
    <w:rsid w:val="00F05393"/>
    <w:rsid w:val="00F05D74"/>
    <w:rsid w:val="00F06386"/>
    <w:rsid w:val="00F06E42"/>
    <w:rsid w:val="00F10EFA"/>
    <w:rsid w:val="00F11011"/>
    <w:rsid w:val="00F1105B"/>
    <w:rsid w:val="00F1117B"/>
    <w:rsid w:val="00F11701"/>
    <w:rsid w:val="00F1238D"/>
    <w:rsid w:val="00F12767"/>
    <w:rsid w:val="00F12C7C"/>
    <w:rsid w:val="00F12FD4"/>
    <w:rsid w:val="00F130A0"/>
    <w:rsid w:val="00F13B4C"/>
    <w:rsid w:val="00F14C6C"/>
    <w:rsid w:val="00F14E11"/>
    <w:rsid w:val="00F15B8D"/>
    <w:rsid w:val="00F1660C"/>
    <w:rsid w:val="00F16F93"/>
    <w:rsid w:val="00F172BB"/>
    <w:rsid w:val="00F1755E"/>
    <w:rsid w:val="00F2017D"/>
    <w:rsid w:val="00F20DE2"/>
    <w:rsid w:val="00F21142"/>
    <w:rsid w:val="00F21E03"/>
    <w:rsid w:val="00F21FD1"/>
    <w:rsid w:val="00F2290A"/>
    <w:rsid w:val="00F22959"/>
    <w:rsid w:val="00F22E9D"/>
    <w:rsid w:val="00F233CF"/>
    <w:rsid w:val="00F2385D"/>
    <w:rsid w:val="00F239D4"/>
    <w:rsid w:val="00F241B3"/>
    <w:rsid w:val="00F24BAB"/>
    <w:rsid w:val="00F24BC1"/>
    <w:rsid w:val="00F254BA"/>
    <w:rsid w:val="00F25545"/>
    <w:rsid w:val="00F257C7"/>
    <w:rsid w:val="00F2607C"/>
    <w:rsid w:val="00F2634B"/>
    <w:rsid w:val="00F267FC"/>
    <w:rsid w:val="00F26CED"/>
    <w:rsid w:val="00F26E1E"/>
    <w:rsid w:val="00F2706B"/>
    <w:rsid w:val="00F273A9"/>
    <w:rsid w:val="00F27C4A"/>
    <w:rsid w:val="00F27EBA"/>
    <w:rsid w:val="00F300AB"/>
    <w:rsid w:val="00F302A0"/>
    <w:rsid w:val="00F30C5B"/>
    <w:rsid w:val="00F315AC"/>
    <w:rsid w:val="00F3331D"/>
    <w:rsid w:val="00F338CA"/>
    <w:rsid w:val="00F33982"/>
    <w:rsid w:val="00F3551F"/>
    <w:rsid w:val="00F35A94"/>
    <w:rsid w:val="00F35C83"/>
    <w:rsid w:val="00F35DE2"/>
    <w:rsid w:val="00F36230"/>
    <w:rsid w:val="00F379B9"/>
    <w:rsid w:val="00F41B91"/>
    <w:rsid w:val="00F41C9C"/>
    <w:rsid w:val="00F45B06"/>
    <w:rsid w:val="00F45E4C"/>
    <w:rsid w:val="00F45F30"/>
    <w:rsid w:val="00F468CE"/>
    <w:rsid w:val="00F46BE8"/>
    <w:rsid w:val="00F50974"/>
    <w:rsid w:val="00F514C0"/>
    <w:rsid w:val="00F52364"/>
    <w:rsid w:val="00F525ED"/>
    <w:rsid w:val="00F52A58"/>
    <w:rsid w:val="00F52D85"/>
    <w:rsid w:val="00F53498"/>
    <w:rsid w:val="00F5487F"/>
    <w:rsid w:val="00F5489C"/>
    <w:rsid w:val="00F54951"/>
    <w:rsid w:val="00F54A14"/>
    <w:rsid w:val="00F54BAA"/>
    <w:rsid w:val="00F54CD5"/>
    <w:rsid w:val="00F54EF2"/>
    <w:rsid w:val="00F555B2"/>
    <w:rsid w:val="00F571B6"/>
    <w:rsid w:val="00F57F64"/>
    <w:rsid w:val="00F60086"/>
    <w:rsid w:val="00F6062B"/>
    <w:rsid w:val="00F60F70"/>
    <w:rsid w:val="00F61AA2"/>
    <w:rsid w:val="00F621EA"/>
    <w:rsid w:val="00F623CF"/>
    <w:rsid w:val="00F62585"/>
    <w:rsid w:val="00F628E5"/>
    <w:rsid w:val="00F629BD"/>
    <w:rsid w:val="00F62CC6"/>
    <w:rsid w:val="00F6313F"/>
    <w:rsid w:val="00F63521"/>
    <w:rsid w:val="00F64882"/>
    <w:rsid w:val="00F6522E"/>
    <w:rsid w:val="00F6587A"/>
    <w:rsid w:val="00F65AC5"/>
    <w:rsid w:val="00F6701B"/>
    <w:rsid w:val="00F67217"/>
    <w:rsid w:val="00F677C0"/>
    <w:rsid w:val="00F6795D"/>
    <w:rsid w:val="00F702B6"/>
    <w:rsid w:val="00F70EA7"/>
    <w:rsid w:val="00F714D8"/>
    <w:rsid w:val="00F71A6D"/>
    <w:rsid w:val="00F71D27"/>
    <w:rsid w:val="00F71E1B"/>
    <w:rsid w:val="00F72736"/>
    <w:rsid w:val="00F72AEA"/>
    <w:rsid w:val="00F7341A"/>
    <w:rsid w:val="00F736D8"/>
    <w:rsid w:val="00F7497A"/>
    <w:rsid w:val="00F751B0"/>
    <w:rsid w:val="00F766B0"/>
    <w:rsid w:val="00F76E39"/>
    <w:rsid w:val="00F77E8D"/>
    <w:rsid w:val="00F80E03"/>
    <w:rsid w:val="00F810F9"/>
    <w:rsid w:val="00F81C5B"/>
    <w:rsid w:val="00F822F6"/>
    <w:rsid w:val="00F824E8"/>
    <w:rsid w:val="00F82BA6"/>
    <w:rsid w:val="00F83582"/>
    <w:rsid w:val="00F8375B"/>
    <w:rsid w:val="00F83789"/>
    <w:rsid w:val="00F83948"/>
    <w:rsid w:val="00F83A69"/>
    <w:rsid w:val="00F83E08"/>
    <w:rsid w:val="00F8422C"/>
    <w:rsid w:val="00F84AB4"/>
    <w:rsid w:val="00F85FD3"/>
    <w:rsid w:val="00F86009"/>
    <w:rsid w:val="00F8648E"/>
    <w:rsid w:val="00F867E7"/>
    <w:rsid w:val="00F8691E"/>
    <w:rsid w:val="00F87003"/>
    <w:rsid w:val="00F909DC"/>
    <w:rsid w:val="00F90C74"/>
    <w:rsid w:val="00F90DF1"/>
    <w:rsid w:val="00F914F0"/>
    <w:rsid w:val="00F91502"/>
    <w:rsid w:val="00F91587"/>
    <w:rsid w:val="00F91C42"/>
    <w:rsid w:val="00F9229A"/>
    <w:rsid w:val="00F925B9"/>
    <w:rsid w:val="00F925BA"/>
    <w:rsid w:val="00F927C0"/>
    <w:rsid w:val="00F943ED"/>
    <w:rsid w:val="00F94764"/>
    <w:rsid w:val="00F947CE"/>
    <w:rsid w:val="00F95528"/>
    <w:rsid w:val="00F95DEE"/>
    <w:rsid w:val="00F96877"/>
    <w:rsid w:val="00F96D82"/>
    <w:rsid w:val="00F96DEE"/>
    <w:rsid w:val="00FA0187"/>
    <w:rsid w:val="00FA04B5"/>
    <w:rsid w:val="00FA0F8F"/>
    <w:rsid w:val="00FA152D"/>
    <w:rsid w:val="00FA1FCB"/>
    <w:rsid w:val="00FA26F4"/>
    <w:rsid w:val="00FA2733"/>
    <w:rsid w:val="00FA2741"/>
    <w:rsid w:val="00FA27B9"/>
    <w:rsid w:val="00FA27BD"/>
    <w:rsid w:val="00FA2D45"/>
    <w:rsid w:val="00FA3F94"/>
    <w:rsid w:val="00FA48D5"/>
    <w:rsid w:val="00FA4BC5"/>
    <w:rsid w:val="00FA528B"/>
    <w:rsid w:val="00FA59B9"/>
    <w:rsid w:val="00FA5D4F"/>
    <w:rsid w:val="00FA62F8"/>
    <w:rsid w:val="00FA6887"/>
    <w:rsid w:val="00FA693A"/>
    <w:rsid w:val="00FA6ACA"/>
    <w:rsid w:val="00FA6BE2"/>
    <w:rsid w:val="00FA7341"/>
    <w:rsid w:val="00FA7B83"/>
    <w:rsid w:val="00FA7F60"/>
    <w:rsid w:val="00FB0080"/>
    <w:rsid w:val="00FB0490"/>
    <w:rsid w:val="00FB07F9"/>
    <w:rsid w:val="00FB11BC"/>
    <w:rsid w:val="00FB18A0"/>
    <w:rsid w:val="00FB192B"/>
    <w:rsid w:val="00FB212E"/>
    <w:rsid w:val="00FB2EA9"/>
    <w:rsid w:val="00FB33A0"/>
    <w:rsid w:val="00FB343D"/>
    <w:rsid w:val="00FB3707"/>
    <w:rsid w:val="00FB4B4C"/>
    <w:rsid w:val="00FB4D14"/>
    <w:rsid w:val="00FB53D2"/>
    <w:rsid w:val="00FB6179"/>
    <w:rsid w:val="00FB693D"/>
    <w:rsid w:val="00FB6D8D"/>
    <w:rsid w:val="00FB7D40"/>
    <w:rsid w:val="00FB7F9A"/>
    <w:rsid w:val="00FC0542"/>
    <w:rsid w:val="00FC06EA"/>
    <w:rsid w:val="00FC0839"/>
    <w:rsid w:val="00FC0858"/>
    <w:rsid w:val="00FC1924"/>
    <w:rsid w:val="00FC1A0A"/>
    <w:rsid w:val="00FC2438"/>
    <w:rsid w:val="00FC285D"/>
    <w:rsid w:val="00FC2F46"/>
    <w:rsid w:val="00FC361F"/>
    <w:rsid w:val="00FC5144"/>
    <w:rsid w:val="00FC62A4"/>
    <w:rsid w:val="00FC6B61"/>
    <w:rsid w:val="00FC6D92"/>
    <w:rsid w:val="00FC7045"/>
    <w:rsid w:val="00FC77B3"/>
    <w:rsid w:val="00FC77F6"/>
    <w:rsid w:val="00FC7936"/>
    <w:rsid w:val="00FD09D6"/>
    <w:rsid w:val="00FD0B73"/>
    <w:rsid w:val="00FD19C8"/>
    <w:rsid w:val="00FD1FC4"/>
    <w:rsid w:val="00FD230B"/>
    <w:rsid w:val="00FD261B"/>
    <w:rsid w:val="00FD27CC"/>
    <w:rsid w:val="00FD2A25"/>
    <w:rsid w:val="00FD333B"/>
    <w:rsid w:val="00FD4755"/>
    <w:rsid w:val="00FD4F44"/>
    <w:rsid w:val="00FD5071"/>
    <w:rsid w:val="00FD50E1"/>
    <w:rsid w:val="00FD5359"/>
    <w:rsid w:val="00FD5A56"/>
    <w:rsid w:val="00FD5C0D"/>
    <w:rsid w:val="00FD66FD"/>
    <w:rsid w:val="00FD7030"/>
    <w:rsid w:val="00FD72DE"/>
    <w:rsid w:val="00FD75A2"/>
    <w:rsid w:val="00FD7AB5"/>
    <w:rsid w:val="00FE1AFF"/>
    <w:rsid w:val="00FE1DDF"/>
    <w:rsid w:val="00FE2000"/>
    <w:rsid w:val="00FE2017"/>
    <w:rsid w:val="00FE2BFF"/>
    <w:rsid w:val="00FE2CFF"/>
    <w:rsid w:val="00FE3590"/>
    <w:rsid w:val="00FE374B"/>
    <w:rsid w:val="00FE3920"/>
    <w:rsid w:val="00FE3BA2"/>
    <w:rsid w:val="00FE5416"/>
    <w:rsid w:val="00FE54F7"/>
    <w:rsid w:val="00FE5523"/>
    <w:rsid w:val="00FE58C0"/>
    <w:rsid w:val="00FE5E72"/>
    <w:rsid w:val="00FE6255"/>
    <w:rsid w:val="00FE7EE0"/>
    <w:rsid w:val="00FF0218"/>
    <w:rsid w:val="00FF0493"/>
    <w:rsid w:val="00FF0881"/>
    <w:rsid w:val="00FF0F14"/>
    <w:rsid w:val="00FF1550"/>
    <w:rsid w:val="00FF235C"/>
    <w:rsid w:val="00FF282D"/>
    <w:rsid w:val="00FF2986"/>
    <w:rsid w:val="00FF2C45"/>
    <w:rsid w:val="00FF36A6"/>
    <w:rsid w:val="00FF37DB"/>
    <w:rsid w:val="00FF4130"/>
    <w:rsid w:val="00FF42EF"/>
    <w:rsid w:val="00FF4BAC"/>
    <w:rsid w:val="00FF4FD3"/>
    <w:rsid w:val="00FF5294"/>
    <w:rsid w:val="00FF578F"/>
    <w:rsid w:val="00FF5794"/>
    <w:rsid w:val="00FF5D16"/>
    <w:rsid w:val="00FF75DA"/>
    <w:rsid w:val="00FF7A37"/>
    <w:rsid w:val="00FF7F72"/>
    <w:rsid w:val="010000CE"/>
    <w:rsid w:val="01533173"/>
    <w:rsid w:val="0174199B"/>
    <w:rsid w:val="018C042F"/>
    <w:rsid w:val="019139BB"/>
    <w:rsid w:val="01A95B6A"/>
    <w:rsid w:val="01BD1D63"/>
    <w:rsid w:val="01FE2CFE"/>
    <w:rsid w:val="02526173"/>
    <w:rsid w:val="029A6633"/>
    <w:rsid w:val="029F2908"/>
    <w:rsid w:val="02AC60AA"/>
    <w:rsid w:val="02B87E06"/>
    <w:rsid w:val="02D71373"/>
    <w:rsid w:val="02D85611"/>
    <w:rsid w:val="02FE589D"/>
    <w:rsid w:val="031B1C80"/>
    <w:rsid w:val="03211A1D"/>
    <w:rsid w:val="0324523D"/>
    <w:rsid w:val="03331E75"/>
    <w:rsid w:val="034407FB"/>
    <w:rsid w:val="034F6246"/>
    <w:rsid w:val="03562125"/>
    <w:rsid w:val="035F2635"/>
    <w:rsid w:val="036D5E24"/>
    <w:rsid w:val="037413B6"/>
    <w:rsid w:val="03A57F11"/>
    <w:rsid w:val="042972F1"/>
    <w:rsid w:val="044E5434"/>
    <w:rsid w:val="04684ED7"/>
    <w:rsid w:val="048101D3"/>
    <w:rsid w:val="048C7CAA"/>
    <w:rsid w:val="04987F00"/>
    <w:rsid w:val="04A45D71"/>
    <w:rsid w:val="04BF7371"/>
    <w:rsid w:val="04F36106"/>
    <w:rsid w:val="05292B71"/>
    <w:rsid w:val="05314FD7"/>
    <w:rsid w:val="053B1A3D"/>
    <w:rsid w:val="05C01E8E"/>
    <w:rsid w:val="05D708A6"/>
    <w:rsid w:val="06002DF6"/>
    <w:rsid w:val="06153E6E"/>
    <w:rsid w:val="0618444D"/>
    <w:rsid w:val="062A6CB4"/>
    <w:rsid w:val="06300679"/>
    <w:rsid w:val="067746D4"/>
    <w:rsid w:val="069C6A8D"/>
    <w:rsid w:val="06B9287B"/>
    <w:rsid w:val="06DA3028"/>
    <w:rsid w:val="06F31CB3"/>
    <w:rsid w:val="06F93008"/>
    <w:rsid w:val="0718687A"/>
    <w:rsid w:val="07252677"/>
    <w:rsid w:val="076C6634"/>
    <w:rsid w:val="07820AB4"/>
    <w:rsid w:val="079B346A"/>
    <w:rsid w:val="07CC4016"/>
    <w:rsid w:val="07D15C8A"/>
    <w:rsid w:val="07E76A1F"/>
    <w:rsid w:val="0809715C"/>
    <w:rsid w:val="080A4814"/>
    <w:rsid w:val="0820276D"/>
    <w:rsid w:val="082F1BCD"/>
    <w:rsid w:val="08573B5A"/>
    <w:rsid w:val="086F6B65"/>
    <w:rsid w:val="08A4401C"/>
    <w:rsid w:val="08A55AD2"/>
    <w:rsid w:val="08CD17C0"/>
    <w:rsid w:val="09223CDC"/>
    <w:rsid w:val="09371EEF"/>
    <w:rsid w:val="093F6B95"/>
    <w:rsid w:val="09524755"/>
    <w:rsid w:val="095B63CA"/>
    <w:rsid w:val="09701692"/>
    <w:rsid w:val="09717916"/>
    <w:rsid w:val="098251C0"/>
    <w:rsid w:val="0984738F"/>
    <w:rsid w:val="098C4592"/>
    <w:rsid w:val="09915D75"/>
    <w:rsid w:val="0996332C"/>
    <w:rsid w:val="09F11ACB"/>
    <w:rsid w:val="09FB6243"/>
    <w:rsid w:val="0A29795D"/>
    <w:rsid w:val="0A2D68BE"/>
    <w:rsid w:val="0A3C22BA"/>
    <w:rsid w:val="0A557C07"/>
    <w:rsid w:val="0A5B4AF5"/>
    <w:rsid w:val="0A796F7C"/>
    <w:rsid w:val="0A7B7455"/>
    <w:rsid w:val="0AA33DAF"/>
    <w:rsid w:val="0AB608CB"/>
    <w:rsid w:val="0AC60296"/>
    <w:rsid w:val="0AD32487"/>
    <w:rsid w:val="0AE31AD5"/>
    <w:rsid w:val="0B017D09"/>
    <w:rsid w:val="0B0715B1"/>
    <w:rsid w:val="0B0F0B26"/>
    <w:rsid w:val="0B400CB2"/>
    <w:rsid w:val="0B421176"/>
    <w:rsid w:val="0B721C38"/>
    <w:rsid w:val="0B860805"/>
    <w:rsid w:val="0BB16187"/>
    <w:rsid w:val="0BCE6861"/>
    <w:rsid w:val="0BDC4FBC"/>
    <w:rsid w:val="0BDF0A5F"/>
    <w:rsid w:val="0C08318F"/>
    <w:rsid w:val="0C1E7ABD"/>
    <w:rsid w:val="0C270CC3"/>
    <w:rsid w:val="0C586B50"/>
    <w:rsid w:val="0C586E44"/>
    <w:rsid w:val="0C7F402D"/>
    <w:rsid w:val="0C822A19"/>
    <w:rsid w:val="0C930A24"/>
    <w:rsid w:val="0CB81916"/>
    <w:rsid w:val="0CD123E3"/>
    <w:rsid w:val="0CE32FB8"/>
    <w:rsid w:val="0CE44838"/>
    <w:rsid w:val="0D206C21"/>
    <w:rsid w:val="0D731CA1"/>
    <w:rsid w:val="0DA370DA"/>
    <w:rsid w:val="0DA7099A"/>
    <w:rsid w:val="0DB01CE1"/>
    <w:rsid w:val="0DBA1705"/>
    <w:rsid w:val="0DC46B30"/>
    <w:rsid w:val="0DC9706D"/>
    <w:rsid w:val="0DD115AA"/>
    <w:rsid w:val="0DEA06F6"/>
    <w:rsid w:val="0E01030B"/>
    <w:rsid w:val="0E04318C"/>
    <w:rsid w:val="0E274301"/>
    <w:rsid w:val="0E31785B"/>
    <w:rsid w:val="0E730195"/>
    <w:rsid w:val="0E803657"/>
    <w:rsid w:val="0E8B35C9"/>
    <w:rsid w:val="0EAF107B"/>
    <w:rsid w:val="0EB4347F"/>
    <w:rsid w:val="0EC1627E"/>
    <w:rsid w:val="0ED36950"/>
    <w:rsid w:val="0EED0FC5"/>
    <w:rsid w:val="0EF07619"/>
    <w:rsid w:val="0EF248CA"/>
    <w:rsid w:val="0F034AA6"/>
    <w:rsid w:val="0F08360E"/>
    <w:rsid w:val="0F125E7D"/>
    <w:rsid w:val="0F26373F"/>
    <w:rsid w:val="0F446A41"/>
    <w:rsid w:val="0F5808CC"/>
    <w:rsid w:val="0F666559"/>
    <w:rsid w:val="0F790BDF"/>
    <w:rsid w:val="0F7D42FE"/>
    <w:rsid w:val="0F820E85"/>
    <w:rsid w:val="0FB045CC"/>
    <w:rsid w:val="0FC910AB"/>
    <w:rsid w:val="0FD23F99"/>
    <w:rsid w:val="0FEF79AA"/>
    <w:rsid w:val="101C7D06"/>
    <w:rsid w:val="1024515A"/>
    <w:rsid w:val="1046198D"/>
    <w:rsid w:val="105F3A71"/>
    <w:rsid w:val="106D475B"/>
    <w:rsid w:val="10CE39DE"/>
    <w:rsid w:val="10FA6B68"/>
    <w:rsid w:val="11422692"/>
    <w:rsid w:val="11590029"/>
    <w:rsid w:val="117F7F48"/>
    <w:rsid w:val="1265739D"/>
    <w:rsid w:val="12662947"/>
    <w:rsid w:val="12BE2ADE"/>
    <w:rsid w:val="12D8263D"/>
    <w:rsid w:val="13267B35"/>
    <w:rsid w:val="134A6D86"/>
    <w:rsid w:val="13594CF7"/>
    <w:rsid w:val="135A728A"/>
    <w:rsid w:val="13772D89"/>
    <w:rsid w:val="138744BB"/>
    <w:rsid w:val="13B45FC3"/>
    <w:rsid w:val="13E7373B"/>
    <w:rsid w:val="13FE142E"/>
    <w:rsid w:val="144B6D3F"/>
    <w:rsid w:val="14546EAA"/>
    <w:rsid w:val="147759A4"/>
    <w:rsid w:val="147A75E5"/>
    <w:rsid w:val="14BC21CE"/>
    <w:rsid w:val="14BE2339"/>
    <w:rsid w:val="14D56BF6"/>
    <w:rsid w:val="14F32D76"/>
    <w:rsid w:val="14F5216B"/>
    <w:rsid w:val="151B73F8"/>
    <w:rsid w:val="15211EFF"/>
    <w:rsid w:val="15353F74"/>
    <w:rsid w:val="154F205D"/>
    <w:rsid w:val="15615E0F"/>
    <w:rsid w:val="156D2843"/>
    <w:rsid w:val="15701AB8"/>
    <w:rsid w:val="159001BC"/>
    <w:rsid w:val="15B939D5"/>
    <w:rsid w:val="15D83B2E"/>
    <w:rsid w:val="15DD70EA"/>
    <w:rsid w:val="15E11AB3"/>
    <w:rsid w:val="15E25134"/>
    <w:rsid w:val="15E8785D"/>
    <w:rsid w:val="16116F4B"/>
    <w:rsid w:val="16600954"/>
    <w:rsid w:val="16734EEE"/>
    <w:rsid w:val="16E22B33"/>
    <w:rsid w:val="16F85570"/>
    <w:rsid w:val="17116BE2"/>
    <w:rsid w:val="17194D7A"/>
    <w:rsid w:val="172078E9"/>
    <w:rsid w:val="172D12A6"/>
    <w:rsid w:val="173C1948"/>
    <w:rsid w:val="17464B66"/>
    <w:rsid w:val="175B5D81"/>
    <w:rsid w:val="17652D76"/>
    <w:rsid w:val="177778D5"/>
    <w:rsid w:val="177C4324"/>
    <w:rsid w:val="18704C74"/>
    <w:rsid w:val="18CA4E8D"/>
    <w:rsid w:val="191B1724"/>
    <w:rsid w:val="194573ED"/>
    <w:rsid w:val="195D29F2"/>
    <w:rsid w:val="196465FF"/>
    <w:rsid w:val="196B6E10"/>
    <w:rsid w:val="198154A5"/>
    <w:rsid w:val="19850C75"/>
    <w:rsid w:val="198A3D94"/>
    <w:rsid w:val="198F27F8"/>
    <w:rsid w:val="199C5ECD"/>
    <w:rsid w:val="19B1121F"/>
    <w:rsid w:val="19E14ABD"/>
    <w:rsid w:val="1A051BC1"/>
    <w:rsid w:val="1A110D84"/>
    <w:rsid w:val="1A555BDB"/>
    <w:rsid w:val="1A660755"/>
    <w:rsid w:val="1A703BC4"/>
    <w:rsid w:val="1A7262E8"/>
    <w:rsid w:val="1A882B3D"/>
    <w:rsid w:val="1ABE2D20"/>
    <w:rsid w:val="1ACC4B7F"/>
    <w:rsid w:val="1AD34CD1"/>
    <w:rsid w:val="1AD417D6"/>
    <w:rsid w:val="1AE7665A"/>
    <w:rsid w:val="1B816F9A"/>
    <w:rsid w:val="1B8175D6"/>
    <w:rsid w:val="1B9C1B61"/>
    <w:rsid w:val="1BB46A20"/>
    <w:rsid w:val="1BBD6973"/>
    <w:rsid w:val="1BE81B85"/>
    <w:rsid w:val="1BFE2971"/>
    <w:rsid w:val="1C01336C"/>
    <w:rsid w:val="1C021382"/>
    <w:rsid w:val="1C1669BA"/>
    <w:rsid w:val="1C1C3102"/>
    <w:rsid w:val="1C2230E8"/>
    <w:rsid w:val="1C2E2C8D"/>
    <w:rsid w:val="1C6C7614"/>
    <w:rsid w:val="1CB31F52"/>
    <w:rsid w:val="1CDC7753"/>
    <w:rsid w:val="1CEC4A0D"/>
    <w:rsid w:val="1D1712A0"/>
    <w:rsid w:val="1D2B7B9F"/>
    <w:rsid w:val="1D305274"/>
    <w:rsid w:val="1D3F5714"/>
    <w:rsid w:val="1D466011"/>
    <w:rsid w:val="1D547E28"/>
    <w:rsid w:val="1D655DB6"/>
    <w:rsid w:val="1D980258"/>
    <w:rsid w:val="1D9C1F14"/>
    <w:rsid w:val="1DB113DA"/>
    <w:rsid w:val="1DFB4E0B"/>
    <w:rsid w:val="1E2278F4"/>
    <w:rsid w:val="1E4062B7"/>
    <w:rsid w:val="1E5542CC"/>
    <w:rsid w:val="1E6D6ABE"/>
    <w:rsid w:val="1E755624"/>
    <w:rsid w:val="1EB15364"/>
    <w:rsid w:val="1EBE2AB5"/>
    <w:rsid w:val="1F092A2D"/>
    <w:rsid w:val="1F1162FE"/>
    <w:rsid w:val="1F1C0B32"/>
    <w:rsid w:val="1F352B32"/>
    <w:rsid w:val="1F4A096C"/>
    <w:rsid w:val="1F6B3A34"/>
    <w:rsid w:val="1F751CBE"/>
    <w:rsid w:val="1F7D6B10"/>
    <w:rsid w:val="1F963D6D"/>
    <w:rsid w:val="1F98363F"/>
    <w:rsid w:val="1FBF488C"/>
    <w:rsid w:val="1FCD7675"/>
    <w:rsid w:val="1FEF77E1"/>
    <w:rsid w:val="1FFC155B"/>
    <w:rsid w:val="20010BD0"/>
    <w:rsid w:val="20137C9A"/>
    <w:rsid w:val="20261774"/>
    <w:rsid w:val="203A4D2E"/>
    <w:rsid w:val="204030A0"/>
    <w:rsid w:val="205B78B2"/>
    <w:rsid w:val="205C4184"/>
    <w:rsid w:val="206558CE"/>
    <w:rsid w:val="206901B1"/>
    <w:rsid w:val="2078018B"/>
    <w:rsid w:val="209323D8"/>
    <w:rsid w:val="20AD55FF"/>
    <w:rsid w:val="20C12FDC"/>
    <w:rsid w:val="211001E9"/>
    <w:rsid w:val="21147D43"/>
    <w:rsid w:val="2119067D"/>
    <w:rsid w:val="21216F1B"/>
    <w:rsid w:val="215A4604"/>
    <w:rsid w:val="217C7ED4"/>
    <w:rsid w:val="21862B07"/>
    <w:rsid w:val="219A3406"/>
    <w:rsid w:val="21A70D61"/>
    <w:rsid w:val="21B2244C"/>
    <w:rsid w:val="21C30EF9"/>
    <w:rsid w:val="221551D8"/>
    <w:rsid w:val="224E7428"/>
    <w:rsid w:val="2261560B"/>
    <w:rsid w:val="227918A6"/>
    <w:rsid w:val="22944164"/>
    <w:rsid w:val="229674ED"/>
    <w:rsid w:val="22AC485D"/>
    <w:rsid w:val="22D174A6"/>
    <w:rsid w:val="22E67532"/>
    <w:rsid w:val="230F16FC"/>
    <w:rsid w:val="231C2E7E"/>
    <w:rsid w:val="232A4048"/>
    <w:rsid w:val="233344E4"/>
    <w:rsid w:val="23850BE5"/>
    <w:rsid w:val="238E2690"/>
    <w:rsid w:val="239015CD"/>
    <w:rsid w:val="23B946BE"/>
    <w:rsid w:val="23C01773"/>
    <w:rsid w:val="23EF13A7"/>
    <w:rsid w:val="24086432"/>
    <w:rsid w:val="240F1052"/>
    <w:rsid w:val="24310987"/>
    <w:rsid w:val="24322A62"/>
    <w:rsid w:val="24554136"/>
    <w:rsid w:val="245C2B3F"/>
    <w:rsid w:val="24836E94"/>
    <w:rsid w:val="24974A9D"/>
    <w:rsid w:val="24A21A55"/>
    <w:rsid w:val="24BC74B9"/>
    <w:rsid w:val="250D3E66"/>
    <w:rsid w:val="252754C5"/>
    <w:rsid w:val="252D3F69"/>
    <w:rsid w:val="25740BBD"/>
    <w:rsid w:val="25955E96"/>
    <w:rsid w:val="259B6E31"/>
    <w:rsid w:val="25B677AD"/>
    <w:rsid w:val="25B904A8"/>
    <w:rsid w:val="261447E7"/>
    <w:rsid w:val="26417898"/>
    <w:rsid w:val="26442276"/>
    <w:rsid w:val="26552532"/>
    <w:rsid w:val="26AD0D8B"/>
    <w:rsid w:val="26C17431"/>
    <w:rsid w:val="26C545A4"/>
    <w:rsid w:val="26C94300"/>
    <w:rsid w:val="26DF7D7C"/>
    <w:rsid w:val="26EE1723"/>
    <w:rsid w:val="26F154C7"/>
    <w:rsid w:val="27080E2E"/>
    <w:rsid w:val="270D21C6"/>
    <w:rsid w:val="27A7464B"/>
    <w:rsid w:val="28011EB5"/>
    <w:rsid w:val="28092464"/>
    <w:rsid w:val="282C5A3A"/>
    <w:rsid w:val="283F32F7"/>
    <w:rsid w:val="285E5BE3"/>
    <w:rsid w:val="28611CC2"/>
    <w:rsid w:val="286D2B55"/>
    <w:rsid w:val="28721E59"/>
    <w:rsid w:val="28892109"/>
    <w:rsid w:val="28A325B7"/>
    <w:rsid w:val="28B71571"/>
    <w:rsid w:val="28BA104F"/>
    <w:rsid w:val="28C132F2"/>
    <w:rsid w:val="28D37B64"/>
    <w:rsid w:val="28EF11D1"/>
    <w:rsid w:val="295C2D51"/>
    <w:rsid w:val="29A81CD2"/>
    <w:rsid w:val="29A90232"/>
    <w:rsid w:val="29C804D1"/>
    <w:rsid w:val="29CB1410"/>
    <w:rsid w:val="29D84ABC"/>
    <w:rsid w:val="29F5410D"/>
    <w:rsid w:val="2A1503FE"/>
    <w:rsid w:val="2A194990"/>
    <w:rsid w:val="2A215E5E"/>
    <w:rsid w:val="2A252C4C"/>
    <w:rsid w:val="2A3E7B5A"/>
    <w:rsid w:val="2A6B55C6"/>
    <w:rsid w:val="2A8475EE"/>
    <w:rsid w:val="2A951C8C"/>
    <w:rsid w:val="2A9B26F1"/>
    <w:rsid w:val="2AB25451"/>
    <w:rsid w:val="2AC063B7"/>
    <w:rsid w:val="2ACD0874"/>
    <w:rsid w:val="2AD267B8"/>
    <w:rsid w:val="2AD8059C"/>
    <w:rsid w:val="2B0D737C"/>
    <w:rsid w:val="2B0F004D"/>
    <w:rsid w:val="2B154A20"/>
    <w:rsid w:val="2B6638DE"/>
    <w:rsid w:val="2B84406F"/>
    <w:rsid w:val="2B8F58E2"/>
    <w:rsid w:val="2BA07FAD"/>
    <w:rsid w:val="2BE5055C"/>
    <w:rsid w:val="2BED5A7C"/>
    <w:rsid w:val="2BF858F4"/>
    <w:rsid w:val="2BFC6315"/>
    <w:rsid w:val="2BFD5564"/>
    <w:rsid w:val="2C4C1107"/>
    <w:rsid w:val="2C823F4E"/>
    <w:rsid w:val="2CAD067B"/>
    <w:rsid w:val="2CFD0FC0"/>
    <w:rsid w:val="2D050EBF"/>
    <w:rsid w:val="2D2A25A1"/>
    <w:rsid w:val="2D4D17E5"/>
    <w:rsid w:val="2D6F58D8"/>
    <w:rsid w:val="2D892B5C"/>
    <w:rsid w:val="2DB328B9"/>
    <w:rsid w:val="2DC6450C"/>
    <w:rsid w:val="2DD85082"/>
    <w:rsid w:val="2DE11692"/>
    <w:rsid w:val="2DF5641D"/>
    <w:rsid w:val="2DF644E3"/>
    <w:rsid w:val="2E0D40F5"/>
    <w:rsid w:val="2E2F56E6"/>
    <w:rsid w:val="2E4A7323"/>
    <w:rsid w:val="2E98229F"/>
    <w:rsid w:val="2EA56E95"/>
    <w:rsid w:val="2EA673C9"/>
    <w:rsid w:val="2ECA710C"/>
    <w:rsid w:val="2ED4404D"/>
    <w:rsid w:val="2ED50475"/>
    <w:rsid w:val="2EE365C8"/>
    <w:rsid w:val="2F090AB4"/>
    <w:rsid w:val="2F13732E"/>
    <w:rsid w:val="2F336BA3"/>
    <w:rsid w:val="2F5621A6"/>
    <w:rsid w:val="2F66411F"/>
    <w:rsid w:val="2F9E2267"/>
    <w:rsid w:val="2FA5716E"/>
    <w:rsid w:val="2FBE7D06"/>
    <w:rsid w:val="2FD85581"/>
    <w:rsid w:val="2FE513F6"/>
    <w:rsid w:val="2FE91ED2"/>
    <w:rsid w:val="2FF22D62"/>
    <w:rsid w:val="30037E76"/>
    <w:rsid w:val="302909D7"/>
    <w:rsid w:val="30320AA9"/>
    <w:rsid w:val="30A00CB5"/>
    <w:rsid w:val="30AF5F22"/>
    <w:rsid w:val="30C14186"/>
    <w:rsid w:val="30D71496"/>
    <w:rsid w:val="30E73B0D"/>
    <w:rsid w:val="30FC61C2"/>
    <w:rsid w:val="30FD55E0"/>
    <w:rsid w:val="31363ABC"/>
    <w:rsid w:val="314614BA"/>
    <w:rsid w:val="31490B7D"/>
    <w:rsid w:val="3153679E"/>
    <w:rsid w:val="315F2471"/>
    <w:rsid w:val="3189708E"/>
    <w:rsid w:val="318B1F3D"/>
    <w:rsid w:val="319434F7"/>
    <w:rsid w:val="31994D00"/>
    <w:rsid w:val="31A65E57"/>
    <w:rsid w:val="31AD16EF"/>
    <w:rsid w:val="31AE660C"/>
    <w:rsid w:val="31B05A1F"/>
    <w:rsid w:val="31FC35FB"/>
    <w:rsid w:val="32010D04"/>
    <w:rsid w:val="320A7836"/>
    <w:rsid w:val="324163CA"/>
    <w:rsid w:val="32574FD8"/>
    <w:rsid w:val="325C547C"/>
    <w:rsid w:val="326C29F6"/>
    <w:rsid w:val="327C3888"/>
    <w:rsid w:val="32945DAC"/>
    <w:rsid w:val="32AB0897"/>
    <w:rsid w:val="32CE45BC"/>
    <w:rsid w:val="32D9201A"/>
    <w:rsid w:val="32E42D0F"/>
    <w:rsid w:val="32E779A4"/>
    <w:rsid w:val="330D4D94"/>
    <w:rsid w:val="33435E16"/>
    <w:rsid w:val="335F11B3"/>
    <w:rsid w:val="337B12FB"/>
    <w:rsid w:val="339C5454"/>
    <w:rsid w:val="33DD1D83"/>
    <w:rsid w:val="33FC5F9C"/>
    <w:rsid w:val="34005D95"/>
    <w:rsid w:val="34173060"/>
    <w:rsid w:val="3425323C"/>
    <w:rsid w:val="342E5EA7"/>
    <w:rsid w:val="343E0BAC"/>
    <w:rsid w:val="34474FF1"/>
    <w:rsid w:val="344B3651"/>
    <w:rsid w:val="34B63281"/>
    <w:rsid w:val="34C105B0"/>
    <w:rsid w:val="34CA39B2"/>
    <w:rsid w:val="34D564C3"/>
    <w:rsid w:val="34DC79C0"/>
    <w:rsid w:val="34EC4B86"/>
    <w:rsid w:val="3572663B"/>
    <w:rsid w:val="357D4C50"/>
    <w:rsid w:val="35925B04"/>
    <w:rsid w:val="35963717"/>
    <w:rsid w:val="35AF3549"/>
    <w:rsid w:val="35DA5213"/>
    <w:rsid w:val="35EE7B1B"/>
    <w:rsid w:val="35F65FAD"/>
    <w:rsid w:val="36202050"/>
    <w:rsid w:val="364A7C84"/>
    <w:rsid w:val="36605016"/>
    <w:rsid w:val="366B7A53"/>
    <w:rsid w:val="368259EE"/>
    <w:rsid w:val="3689301E"/>
    <w:rsid w:val="36B523AB"/>
    <w:rsid w:val="36C76D40"/>
    <w:rsid w:val="36F44E23"/>
    <w:rsid w:val="371D2966"/>
    <w:rsid w:val="373062E8"/>
    <w:rsid w:val="37785098"/>
    <w:rsid w:val="377E7331"/>
    <w:rsid w:val="37A6234C"/>
    <w:rsid w:val="37AF1535"/>
    <w:rsid w:val="37CB57CA"/>
    <w:rsid w:val="37D337D1"/>
    <w:rsid w:val="37DD56C2"/>
    <w:rsid w:val="37F16302"/>
    <w:rsid w:val="38781C56"/>
    <w:rsid w:val="38C30240"/>
    <w:rsid w:val="38D30895"/>
    <w:rsid w:val="38E95212"/>
    <w:rsid w:val="391C1C7A"/>
    <w:rsid w:val="39465968"/>
    <w:rsid w:val="39600E80"/>
    <w:rsid w:val="399B72BC"/>
    <w:rsid w:val="3A01261A"/>
    <w:rsid w:val="3A1A4CEB"/>
    <w:rsid w:val="3A204DEA"/>
    <w:rsid w:val="3A247020"/>
    <w:rsid w:val="3A34341C"/>
    <w:rsid w:val="3A366570"/>
    <w:rsid w:val="3A41027E"/>
    <w:rsid w:val="3A446ABC"/>
    <w:rsid w:val="3A481E25"/>
    <w:rsid w:val="3A562007"/>
    <w:rsid w:val="3A632ED3"/>
    <w:rsid w:val="3A693A23"/>
    <w:rsid w:val="3A6F255F"/>
    <w:rsid w:val="3A6F6832"/>
    <w:rsid w:val="3A90237F"/>
    <w:rsid w:val="3B0A7991"/>
    <w:rsid w:val="3B100A85"/>
    <w:rsid w:val="3B18283A"/>
    <w:rsid w:val="3B336F2F"/>
    <w:rsid w:val="3B691338"/>
    <w:rsid w:val="3BA60160"/>
    <w:rsid w:val="3BB46CD1"/>
    <w:rsid w:val="3BB6128D"/>
    <w:rsid w:val="3BD11411"/>
    <w:rsid w:val="3BD837A5"/>
    <w:rsid w:val="3BED4242"/>
    <w:rsid w:val="3C317DDD"/>
    <w:rsid w:val="3C457CDF"/>
    <w:rsid w:val="3C742BEB"/>
    <w:rsid w:val="3C857740"/>
    <w:rsid w:val="3C8E02B7"/>
    <w:rsid w:val="3CB004C5"/>
    <w:rsid w:val="3CB35047"/>
    <w:rsid w:val="3CB47F7E"/>
    <w:rsid w:val="3CB603EF"/>
    <w:rsid w:val="3CD82621"/>
    <w:rsid w:val="3CDD69B2"/>
    <w:rsid w:val="3CEA693F"/>
    <w:rsid w:val="3D354C10"/>
    <w:rsid w:val="3D475AFB"/>
    <w:rsid w:val="3D4C43AF"/>
    <w:rsid w:val="3D502422"/>
    <w:rsid w:val="3D5404DD"/>
    <w:rsid w:val="3D6341E4"/>
    <w:rsid w:val="3D6A48AA"/>
    <w:rsid w:val="3D7C1281"/>
    <w:rsid w:val="3D8D1DDC"/>
    <w:rsid w:val="3DD2333F"/>
    <w:rsid w:val="3E000E38"/>
    <w:rsid w:val="3E037731"/>
    <w:rsid w:val="3E0F09D9"/>
    <w:rsid w:val="3E1646C1"/>
    <w:rsid w:val="3E247488"/>
    <w:rsid w:val="3E305EE4"/>
    <w:rsid w:val="3E3D25F5"/>
    <w:rsid w:val="3E4E6762"/>
    <w:rsid w:val="3E70166E"/>
    <w:rsid w:val="3E752011"/>
    <w:rsid w:val="3E8270FA"/>
    <w:rsid w:val="3E8E2505"/>
    <w:rsid w:val="3E9953AC"/>
    <w:rsid w:val="3F310E2B"/>
    <w:rsid w:val="3F3E5B85"/>
    <w:rsid w:val="3F4D19AF"/>
    <w:rsid w:val="3F837DDF"/>
    <w:rsid w:val="3FA21405"/>
    <w:rsid w:val="3FC04528"/>
    <w:rsid w:val="3FCB012B"/>
    <w:rsid w:val="3FEE1DE8"/>
    <w:rsid w:val="3FFE5EFF"/>
    <w:rsid w:val="40171145"/>
    <w:rsid w:val="402104DC"/>
    <w:rsid w:val="40742438"/>
    <w:rsid w:val="40791098"/>
    <w:rsid w:val="40932E75"/>
    <w:rsid w:val="40BC5D67"/>
    <w:rsid w:val="40D775A2"/>
    <w:rsid w:val="40F61783"/>
    <w:rsid w:val="4100601D"/>
    <w:rsid w:val="410D75D5"/>
    <w:rsid w:val="411E3000"/>
    <w:rsid w:val="41402C24"/>
    <w:rsid w:val="414E7345"/>
    <w:rsid w:val="41696F7F"/>
    <w:rsid w:val="417C0D06"/>
    <w:rsid w:val="418B25AA"/>
    <w:rsid w:val="418E56CE"/>
    <w:rsid w:val="41925E9B"/>
    <w:rsid w:val="419B1BC4"/>
    <w:rsid w:val="419D7C05"/>
    <w:rsid w:val="41B3371C"/>
    <w:rsid w:val="41E3266D"/>
    <w:rsid w:val="41F604FA"/>
    <w:rsid w:val="420F24CA"/>
    <w:rsid w:val="421C0994"/>
    <w:rsid w:val="424F02B6"/>
    <w:rsid w:val="42683145"/>
    <w:rsid w:val="427133C0"/>
    <w:rsid w:val="42715180"/>
    <w:rsid w:val="4277762F"/>
    <w:rsid w:val="429D7D7D"/>
    <w:rsid w:val="42B45768"/>
    <w:rsid w:val="42FD1410"/>
    <w:rsid w:val="43184FA0"/>
    <w:rsid w:val="431F563A"/>
    <w:rsid w:val="432D0CD2"/>
    <w:rsid w:val="4348259E"/>
    <w:rsid w:val="434C0977"/>
    <w:rsid w:val="43705840"/>
    <w:rsid w:val="43AF6845"/>
    <w:rsid w:val="43D44FF8"/>
    <w:rsid w:val="44286453"/>
    <w:rsid w:val="444B4817"/>
    <w:rsid w:val="444C54FC"/>
    <w:rsid w:val="44615639"/>
    <w:rsid w:val="44762FC6"/>
    <w:rsid w:val="4488431A"/>
    <w:rsid w:val="448F5706"/>
    <w:rsid w:val="44944331"/>
    <w:rsid w:val="449A539D"/>
    <w:rsid w:val="44A538D4"/>
    <w:rsid w:val="44B05905"/>
    <w:rsid w:val="44B67F0B"/>
    <w:rsid w:val="451317C4"/>
    <w:rsid w:val="45575AD5"/>
    <w:rsid w:val="459B774E"/>
    <w:rsid w:val="45B72AB1"/>
    <w:rsid w:val="45CF5AD4"/>
    <w:rsid w:val="45DD06D9"/>
    <w:rsid w:val="460D21F2"/>
    <w:rsid w:val="460E0469"/>
    <w:rsid w:val="460E0A15"/>
    <w:rsid w:val="464050BB"/>
    <w:rsid w:val="466B6702"/>
    <w:rsid w:val="466F037A"/>
    <w:rsid w:val="467737E1"/>
    <w:rsid w:val="46A075FA"/>
    <w:rsid w:val="46D7121E"/>
    <w:rsid w:val="46FF57CE"/>
    <w:rsid w:val="47154F60"/>
    <w:rsid w:val="47700BCB"/>
    <w:rsid w:val="47C254B8"/>
    <w:rsid w:val="47DF082A"/>
    <w:rsid w:val="47EB5003"/>
    <w:rsid w:val="48081128"/>
    <w:rsid w:val="483A31DC"/>
    <w:rsid w:val="48942C25"/>
    <w:rsid w:val="4898666C"/>
    <w:rsid w:val="489B75DE"/>
    <w:rsid w:val="48B5305A"/>
    <w:rsid w:val="48B63FE7"/>
    <w:rsid w:val="48CC7D6E"/>
    <w:rsid w:val="48EB5A5C"/>
    <w:rsid w:val="490B579F"/>
    <w:rsid w:val="492A1C6E"/>
    <w:rsid w:val="492C7D33"/>
    <w:rsid w:val="493A79B5"/>
    <w:rsid w:val="4969605D"/>
    <w:rsid w:val="496D1F2A"/>
    <w:rsid w:val="497C7394"/>
    <w:rsid w:val="498A3B85"/>
    <w:rsid w:val="49AE3287"/>
    <w:rsid w:val="49C65C46"/>
    <w:rsid w:val="49D021B0"/>
    <w:rsid w:val="49D61F4B"/>
    <w:rsid w:val="49D7375C"/>
    <w:rsid w:val="49EC64E1"/>
    <w:rsid w:val="4A11668C"/>
    <w:rsid w:val="4A3546EB"/>
    <w:rsid w:val="4A4A48A6"/>
    <w:rsid w:val="4A524812"/>
    <w:rsid w:val="4A526073"/>
    <w:rsid w:val="4A56215E"/>
    <w:rsid w:val="4A5D4A40"/>
    <w:rsid w:val="4A6C1B50"/>
    <w:rsid w:val="4A7E40F2"/>
    <w:rsid w:val="4A8561F1"/>
    <w:rsid w:val="4A943BC6"/>
    <w:rsid w:val="4AAF17A9"/>
    <w:rsid w:val="4AFF5CC6"/>
    <w:rsid w:val="4B1D3A51"/>
    <w:rsid w:val="4B3D4E30"/>
    <w:rsid w:val="4B413D26"/>
    <w:rsid w:val="4B8B446D"/>
    <w:rsid w:val="4BB317A2"/>
    <w:rsid w:val="4BC27F8D"/>
    <w:rsid w:val="4BCC6CCE"/>
    <w:rsid w:val="4BE44E6C"/>
    <w:rsid w:val="4BF446B8"/>
    <w:rsid w:val="4C061338"/>
    <w:rsid w:val="4C497215"/>
    <w:rsid w:val="4C4F5F99"/>
    <w:rsid w:val="4C5D0817"/>
    <w:rsid w:val="4C5E08E0"/>
    <w:rsid w:val="4CBF4AE9"/>
    <w:rsid w:val="4D0A349B"/>
    <w:rsid w:val="4D0D2E78"/>
    <w:rsid w:val="4D0F04ED"/>
    <w:rsid w:val="4D384A7C"/>
    <w:rsid w:val="4D3A0411"/>
    <w:rsid w:val="4D427C91"/>
    <w:rsid w:val="4D7706F2"/>
    <w:rsid w:val="4DBE12C2"/>
    <w:rsid w:val="4DCE6ED3"/>
    <w:rsid w:val="4E095444"/>
    <w:rsid w:val="4E333BBB"/>
    <w:rsid w:val="4E6A06E9"/>
    <w:rsid w:val="4EC206BE"/>
    <w:rsid w:val="4EC46EFB"/>
    <w:rsid w:val="4EC951FF"/>
    <w:rsid w:val="4ED04B02"/>
    <w:rsid w:val="4EE96853"/>
    <w:rsid w:val="4F105F02"/>
    <w:rsid w:val="4F121BEA"/>
    <w:rsid w:val="4F172396"/>
    <w:rsid w:val="4F3F03C1"/>
    <w:rsid w:val="4F4C2971"/>
    <w:rsid w:val="4F566ACF"/>
    <w:rsid w:val="4F704BBC"/>
    <w:rsid w:val="4F8028EE"/>
    <w:rsid w:val="4FAD0DF7"/>
    <w:rsid w:val="4FBC1F04"/>
    <w:rsid w:val="4FBD361C"/>
    <w:rsid w:val="4FBE1CEA"/>
    <w:rsid w:val="4FC15F00"/>
    <w:rsid w:val="4FF17370"/>
    <w:rsid w:val="50371519"/>
    <w:rsid w:val="503D6ACE"/>
    <w:rsid w:val="505A0A75"/>
    <w:rsid w:val="50ED0D36"/>
    <w:rsid w:val="51130AD6"/>
    <w:rsid w:val="51147068"/>
    <w:rsid w:val="511B4097"/>
    <w:rsid w:val="512452DA"/>
    <w:rsid w:val="515029F4"/>
    <w:rsid w:val="51777BA1"/>
    <w:rsid w:val="517A1ADB"/>
    <w:rsid w:val="51901189"/>
    <w:rsid w:val="51952A88"/>
    <w:rsid w:val="51B661F2"/>
    <w:rsid w:val="51BB2EED"/>
    <w:rsid w:val="51EE27E3"/>
    <w:rsid w:val="52101F45"/>
    <w:rsid w:val="5213342A"/>
    <w:rsid w:val="52163344"/>
    <w:rsid w:val="5234477C"/>
    <w:rsid w:val="52515077"/>
    <w:rsid w:val="52806E8B"/>
    <w:rsid w:val="52B118DE"/>
    <w:rsid w:val="52C52078"/>
    <w:rsid w:val="52CB6EC0"/>
    <w:rsid w:val="52D061DA"/>
    <w:rsid w:val="52D211F8"/>
    <w:rsid w:val="52F26F28"/>
    <w:rsid w:val="5315442E"/>
    <w:rsid w:val="5341530E"/>
    <w:rsid w:val="53434396"/>
    <w:rsid w:val="534D112E"/>
    <w:rsid w:val="53761C93"/>
    <w:rsid w:val="537B0A8C"/>
    <w:rsid w:val="5393301A"/>
    <w:rsid w:val="53971518"/>
    <w:rsid w:val="5399073D"/>
    <w:rsid w:val="53AB2CD5"/>
    <w:rsid w:val="53AF23D8"/>
    <w:rsid w:val="53B31343"/>
    <w:rsid w:val="53B91D8C"/>
    <w:rsid w:val="53E56E6E"/>
    <w:rsid w:val="53EB2495"/>
    <w:rsid w:val="53F17662"/>
    <w:rsid w:val="54010C17"/>
    <w:rsid w:val="542C2C82"/>
    <w:rsid w:val="543F012A"/>
    <w:rsid w:val="54661F54"/>
    <w:rsid w:val="546C3F2D"/>
    <w:rsid w:val="547F46DA"/>
    <w:rsid w:val="549F75FE"/>
    <w:rsid w:val="54A51CC5"/>
    <w:rsid w:val="54DD78BD"/>
    <w:rsid w:val="54E06144"/>
    <w:rsid w:val="550A393D"/>
    <w:rsid w:val="555E54FB"/>
    <w:rsid w:val="556D2811"/>
    <w:rsid w:val="55CE1AD5"/>
    <w:rsid w:val="55ED37B8"/>
    <w:rsid w:val="55F04C52"/>
    <w:rsid w:val="55F35D23"/>
    <w:rsid w:val="56281CBC"/>
    <w:rsid w:val="56333685"/>
    <w:rsid w:val="568F0DF7"/>
    <w:rsid w:val="56A332D5"/>
    <w:rsid w:val="56C325A5"/>
    <w:rsid w:val="56E709F8"/>
    <w:rsid w:val="56F10A56"/>
    <w:rsid w:val="56FB32FA"/>
    <w:rsid w:val="570703AF"/>
    <w:rsid w:val="572D602C"/>
    <w:rsid w:val="57364D30"/>
    <w:rsid w:val="573D71D1"/>
    <w:rsid w:val="57574216"/>
    <w:rsid w:val="57A21363"/>
    <w:rsid w:val="57A54C20"/>
    <w:rsid w:val="57B937A9"/>
    <w:rsid w:val="57BB4E50"/>
    <w:rsid w:val="57C34B39"/>
    <w:rsid w:val="57E116B4"/>
    <w:rsid w:val="580C0140"/>
    <w:rsid w:val="580F431F"/>
    <w:rsid w:val="587B6F7C"/>
    <w:rsid w:val="58A22BE9"/>
    <w:rsid w:val="58E44026"/>
    <w:rsid w:val="58E67C57"/>
    <w:rsid w:val="58E94F10"/>
    <w:rsid w:val="58F965E6"/>
    <w:rsid w:val="58FA15B8"/>
    <w:rsid w:val="58FF06B6"/>
    <w:rsid w:val="59046596"/>
    <w:rsid w:val="591C3F4A"/>
    <w:rsid w:val="593E6CC6"/>
    <w:rsid w:val="594B0A62"/>
    <w:rsid w:val="594E1B0E"/>
    <w:rsid w:val="594F32F2"/>
    <w:rsid w:val="595461B1"/>
    <w:rsid w:val="59591BB8"/>
    <w:rsid w:val="59820786"/>
    <w:rsid w:val="59A774F2"/>
    <w:rsid w:val="59AD15AB"/>
    <w:rsid w:val="59CE313C"/>
    <w:rsid w:val="59E474BD"/>
    <w:rsid w:val="59FC6B89"/>
    <w:rsid w:val="5A143012"/>
    <w:rsid w:val="5A261D0E"/>
    <w:rsid w:val="5A412A61"/>
    <w:rsid w:val="5A527BDD"/>
    <w:rsid w:val="5A905E59"/>
    <w:rsid w:val="5A9311E7"/>
    <w:rsid w:val="5AD0373D"/>
    <w:rsid w:val="5AF86253"/>
    <w:rsid w:val="5B081862"/>
    <w:rsid w:val="5B1C3DCA"/>
    <w:rsid w:val="5B340596"/>
    <w:rsid w:val="5B3F26B3"/>
    <w:rsid w:val="5B4B70AC"/>
    <w:rsid w:val="5B8A7522"/>
    <w:rsid w:val="5BA53E1C"/>
    <w:rsid w:val="5BA92AAB"/>
    <w:rsid w:val="5BB41290"/>
    <w:rsid w:val="5BC50503"/>
    <w:rsid w:val="5BF50EB6"/>
    <w:rsid w:val="5BF92128"/>
    <w:rsid w:val="5BFA7DB5"/>
    <w:rsid w:val="5C075DA6"/>
    <w:rsid w:val="5C491EC9"/>
    <w:rsid w:val="5C5028D7"/>
    <w:rsid w:val="5C81109C"/>
    <w:rsid w:val="5C9E10E9"/>
    <w:rsid w:val="5CA11D7F"/>
    <w:rsid w:val="5CAF4CE5"/>
    <w:rsid w:val="5CDA6371"/>
    <w:rsid w:val="5CFC64A7"/>
    <w:rsid w:val="5D1516BF"/>
    <w:rsid w:val="5D1569ED"/>
    <w:rsid w:val="5D1B2A4F"/>
    <w:rsid w:val="5D4F34F7"/>
    <w:rsid w:val="5D623C65"/>
    <w:rsid w:val="5D8C1819"/>
    <w:rsid w:val="5DC477E0"/>
    <w:rsid w:val="5DD05318"/>
    <w:rsid w:val="5DE97207"/>
    <w:rsid w:val="5DEF6C2B"/>
    <w:rsid w:val="5DF22741"/>
    <w:rsid w:val="5DFE50F6"/>
    <w:rsid w:val="5E186B89"/>
    <w:rsid w:val="5E2D7C7A"/>
    <w:rsid w:val="5E4E3F80"/>
    <w:rsid w:val="5E5F4BD4"/>
    <w:rsid w:val="5E852B0D"/>
    <w:rsid w:val="5ED20F44"/>
    <w:rsid w:val="5EE7073E"/>
    <w:rsid w:val="5EF67A22"/>
    <w:rsid w:val="5F123BC6"/>
    <w:rsid w:val="5F184877"/>
    <w:rsid w:val="5F1A7A37"/>
    <w:rsid w:val="5F2E3F46"/>
    <w:rsid w:val="5F474C09"/>
    <w:rsid w:val="5F475D4B"/>
    <w:rsid w:val="5F63419E"/>
    <w:rsid w:val="5F736746"/>
    <w:rsid w:val="5F880842"/>
    <w:rsid w:val="5FD95A66"/>
    <w:rsid w:val="5FDF7A00"/>
    <w:rsid w:val="5FFC4765"/>
    <w:rsid w:val="60046C0F"/>
    <w:rsid w:val="601327BB"/>
    <w:rsid w:val="60245068"/>
    <w:rsid w:val="60255BE3"/>
    <w:rsid w:val="602717FC"/>
    <w:rsid w:val="602A62F8"/>
    <w:rsid w:val="602C01A9"/>
    <w:rsid w:val="603B1B21"/>
    <w:rsid w:val="60504051"/>
    <w:rsid w:val="607F2EF2"/>
    <w:rsid w:val="60842FF2"/>
    <w:rsid w:val="60D43BFA"/>
    <w:rsid w:val="60E16AB6"/>
    <w:rsid w:val="60E40C2C"/>
    <w:rsid w:val="610D2A7D"/>
    <w:rsid w:val="61111BF1"/>
    <w:rsid w:val="61175A9A"/>
    <w:rsid w:val="612129FE"/>
    <w:rsid w:val="61375BEC"/>
    <w:rsid w:val="614A2305"/>
    <w:rsid w:val="614E4437"/>
    <w:rsid w:val="615F1F60"/>
    <w:rsid w:val="6182631E"/>
    <w:rsid w:val="61BC217C"/>
    <w:rsid w:val="61D9772A"/>
    <w:rsid w:val="61DA1B5D"/>
    <w:rsid w:val="61DB33CF"/>
    <w:rsid w:val="61EF0933"/>
    <w:rsid w:val="61F2327B"/>
    <w:rsid w:val="61F6471A"/>
    <w:rsid w:val="62413765"/>
    <w:rsid w:val="625E2011"/>
    <w:rsid w:val="626E5BD1"/>
    <w:rsid w:val="627803DA"/>
    <w:rsid w:val="62921FA4"/>
    <w:rsid w:val="62BF1D8B"/>
    <w:rsid w:val="62DC2379"/>
    <w:rsid w:val="62EF16C5"/>
    <w:rsid w:val="63077DCD"/>
    <w:rsid w:val="63196725"/>
    <w:rsid w:val="631F3FB6"/>
    <w:rsid w:val="63356B20"/>
    <w:rsid w:val="633B4FC0"/>
    <w:rsid w:val="63647D08"/>
    <w:rsid w:val="63B47AD6"/>
    <w:rsid w:val="63BD1F88"/>
    <w:rsid w:val="63F34E27"/>
    <w:rsid w:val="642E2D6E"/>
    <w:rsid w:val="642F141D"/>
    <w:rsid w:val="6439179D"/>
    <w:rsid w:val="643A7D3D"/>
    <w:rsid w:val="644845EE"/>
    <w:rsid w:val="644C43F2"/>
    <w:rsid w:val="645E071A"/>
    <w:rsid w:val="64611864"/>
    <w:rsid w:val="6465357A"/>
    <w:rsid w:val="64704226"/>
    <w:rsid w:val="64870014"/>
    <w:rsid w:val="64B76AA3"/>
    <w:rsid w:val="64C61C82"/>
    <w:rsid w:val="64D124DB"/>
    <w:rsid w:val="65233DA8"/>
    <w:rsid w:val="652A1A84"/>
    <w:rsid w:val="652A5D21"/>
    <w:rsid w:val="65480BBE"/>
    <w:rsid w:val="6554639C"/>
    <w:rsid w:val="65933B3C"/>
    <w:rsid w:val="65B955CA"/>
    <w:rsid w:val="65BE6C54"/>
    <w:rsid w:val="65CC3546"/>
    <w:rsid w:val="661A0E12"/>
    <w:rsid w:val="66214D7C"/>
    <w:rsid w:val="6624580B"/>
    <w:rsid w:val="667B6C3F"/>
    <w:rsid w:val="66B40E42"/>
    <w:rsid w:val="66B56D61"/>
    <w:rsid w:val="66B56D68"/>
    <w:rsid w:val="66E9392A"/>
    <w:rsid w:val="66EA1480"/>
    <w:rsid w:val="67056631"/>
    <w:rsid w:val="674672D3"/>
    <w:rsid w:val="676E6425"/>
    <w:rsid w:val="67776ADD"/>
    <w:rsid w:val="6779797F"/>
    <w:rsid w:val="6789047F"/>
    <w:rsid w:val="67A720F6"/>
    <w:rsid w:val="67AC1398"/>
    <w:rsid w:val="67E7540E"/>
    <w:rsid w:val="67EA1736"/>
    <w:rsid w:val="67FC02AC"/>
    <w:rsid w:val="68006207"/>
    <w:rsid w:val="68070E08"/>
    <w:rsid w:val="682D432C"/>
    <w:rsid w:val="68382592"/>
    <w:rsid w:val="684A32DA"/>
    <w:rsid w:val="68784674"/>
    <w:rsid w:val="687C00C8"/>
    <w:rsid w:val="687C4042"/>
    <w:rsid w:val="68A742AD"/>
    <w:rsid w:val="68C25CFA"/>
    <w:rsid w:val="68C731B8"/>
    <w:rsid w:val="68D536DE"/>
    <w:rsid w:val="69044A5D"/>
    <w:rsid w:val="691052CA"/>
    <w:rsid w:val="69194464"/>
    <w:rsid w:val="691D05F7"/>
    <w:rsid w:val="69312B59"/>
    <w:rsid w:val="69446209"/>
    <w:rsid w:val="69726337"/>
    <w:rsid w:val="698B1B24"/>
    <w:rsid w:val="6994580C"/>
    <w:rsid w:val="69BB0755"/>
    <w:rsid w:val="6A115C81"/>
    <w:rsid w:val="6A7A60F7"/>
    <w:rsid w:val="6AAC2E76"/>
    <w:rsid w:val="6AEE1969"/>
    <w:rsid w:val="6B0A125F"/>
    <w:rsid w:val="6B23484A"/>
    <w:rsid w:val="6B30457A"/>
    <w:rsid w:val="6B3B1CB3"/>
    <w:rsid w:val="6B43702A"/>
    <w:rsid w:val="6B524C27"/>
    <w:rsid w:val="6B5A1EC9"/>
    <w:rsid w:val="6B7308B4"/>
    <w:rsid w:val="6B744505"/>
    <w:rsid w:val="6BA2498F"/>
    <w:rsid w:val="6BBC51E6"/>
    <w:rsid w:val="6BCA0F7D"/>
    <w:rsid w:val="6BDE4DDD"/>
    <w:rsid w:val="6BE82C3E"/>
    <w:rsid w:val="6BE972DB"/>
    <w:rsid w:val="6BFE0452"/>
    <w:rsid w:val="6C0F2440"/>
    <w:rsid w:val="6C176418"/>
    <w:rsid w:val="6C392A9F"/>
    <w:rsid w:val="6C4D097B"/>
    <w:rsid w:val="6C5973BD"/>
    <w:rsid w:val="6C5F452A"/>
    <w:rsid w:val="6C762792"/>
    <w:rsid w:val="6C7D1213"/>
    <w:rsid w:val="6C801375"/>
    <w:rsid w:val="6C822E35"/>
    <w:rsid w:val="6CA714E6"/>
    <w:rsid w:val="6CEF6EBD"/>
    <w:rsid w:val="6CF01C95"/>
    <w:rsid w:val="6CF542B7"/>
    <w:rsid w:val="6D18295E"/>
    <w:rsid w:val="6D206AE2"/>
    <w:rsid w:val="6D5941BB"/>
    <w:rsid w:val="6D5B0CBD"/>
    <w:rsid w:val="6D8A08D8"/>
    <w:rsid w:val="6D961017"/>
    <w:rsid w:val="6DCE3EDB"/>
    <w:rsid w:val="6DD23F1E"/>
    <w:rsid w:val="6DEE2081"/>
    <w:rsid w:val="6E0135EB"/>
    <w:rsid w:val="6E210E7D"/>
    <w:rsid w:val="6E336938"/>
    <w:rsid w:val="6E565A56"/>
    <w:rsid w:val="6E5D68D3"/>
    <w:rsid w:val="6E682450"/>
    <w:rsid w:val="6E7251F0"/>
    <w:rsid w:val="6E757524"/>
    <w:rsid w:val="6E7934F3"/>
    <w:rsid w:val="6EAD6286"/>
    <w:rsid w:val="6EB24C59"/>
    <w:rsid w:val="6EBD3CCD"/>
    <w:rsid w:val="6ECD60E1"/>
    <w:rsid w:val="6F2428C0"/>
    <w:rsid w:val="6F433285"/>
    <w:rsid w:val="6F591B5D"/>
    <w:rsid w:val="6F7E65DB"/>
    <w:rsid w:val="6F7F6D3A"/>
    <w:rsid w:val="6F981073"/>
    <w:rsid w:val="6FA172A4"/>
    <w:rsid w:val="6FFF65EB"/>
    <w:rsid w:val="702D3A00"/>
    <w:rsid w:val="70341230"/>
    <w:rsid w:val="705A4D1B"/>
    <w:rsid w:val="705F37D3"/>
    <w:rsid w:val="709143C4"/>
    <w:rsid w:val="70930271"/>
    <w:rsid w:val="70DB5146"/>
    <w:rsid w:val="71193089"/>
    <w:rsid w:val="712776C4"/>
    <w:rsid w:val="714344B4"/>
    <w:rsid w:val="7181738B"/>
    <w:rsid w:val="71820038"/>
    <w:rsid w:val="71990145"/>
    <w:rsid w:val="719E164B"/>
    <w:rsid w:val="71C90ED8"/>
    <w:rsid w:val="71D72430"/>
    <w:rsid w:val="71E12038"/>
    <w:rsid w:val="720A6753"/>
    <w:rsid w:val="720F4AFB"/>
    <w:rsid w:val="72112B83"/>
    <w:rsid w:val="72143F3C"/>
    <w:rsid w:val="721F61D9"/>
    <w:rsid w:val="723D42BE"/>
    <w:rsid w:val="72412901"/>
    <w:rsid w:val="72887B37"/>
    <w:rsid w:val="72910320"/>
    <w:rsid w:val="72A53302"/>
    <w:rsid w:val="72B3410C"/>
    <w:rsid w:val="72BD6DA9"/>
    <w:rsid w:val="72CB01B8"/>
    <w:rsid w:val="72F66709"/>
    <w:rsid w:val="730554B3"/>
    <w:rsid w:val="73092FAA"/>
    <w:rsid w:val="73413694"/>
    <w:rsid w:val="734608F5"/>
    <w:rsid w:val="736D4BAC"/>
    <w:rsid w:val="736F1AFC"/>
    <w:rsid w:val="739B5B15"/>
    <w:rsid w:val="73CA3FB8"/>
    <w:rsid w:val="73E63732"/>
    <w:rsid w:val="73EC345F"/>
    <w:rsid w:val="73FD1118"/>
    <w:rsid w:val="74090510"/>
    <w:rsid w:val="740E2D2D"/>
    <w:rsid w:val="7410282D"/>
    <w:rsid w:val="741752A2"/>
    <w:rsid w:val="74223A5C"/>
    <w:rsid w:val="746B6757"/>
    <w:rsid w:val="747B5C9D"/>
    <w:rsid w:val="747F1177"/>
    <w:rsid w:val="748028C0"/>
    <w:rsid w:val="74A471EE"/>
    <w:rsid w:val="74C768EE"/>
    <w:rsid w:val="74E97F38"/>
    <w:rsid w:val="74F13E40"/>
    <w:rsid w:val="750B1697"/>
    <w:rsid w:val="752A3F7B"/>
    <w:rsid w:val="7533655A"/>
    <w:rsid w:val="75444F15"/>
    <w:rsid w:val="75485488"/>
    <w:rsid w:val="758516A2"/>
    <w:rsid w:val="759A2104"/>
    <w:rsid w:val="75B35E00"/>
    <w:rsid w:val="75CD1343"/>
    <w:rsid w:val="75EB2F64"/>
    <w:rsid w:val="761D1573"/>
    <w:rsid w:val="765B6CE9"/>
    <w:rsid w:val="765D3DA8"/>
    <w:rsid w:val="766852F0"/>
    <w:rsid w:val="766A6521"/>
    <w:rsid w:val="766C7968"/>
    <w:rsid w:val="766E7DAC"/>
    <w:rsid w:val="76936F16"/>
    <w:rsid w:val="76993FC0"/>
    <w:rsid w:val="76A64EB2"/>
    <w:rsid w:val="76BC1014"/>
    <w:rsid w:val="77025DC3"/>
    <w:rsid w:val="772354E1"/>
    <w:rsid w:val="77276E30"/>
    <w:rsid w:val="772C68C6"/>
    <w:rsid w:val="776C53FF"/>
    <w:rsid w:val="776E3681"/>
    <w:rsid w:val="777E5705"/>
    <w:rsid w:val="7781654E"/>
    <w:rsid w:val="779231D8"/>
    <w:rsid w:val="77B92312"/>
    <w:rsid w:val="7827423F"/>
    <w:rsid w:val="78386307"/>
    <w:rsid w:val="7850391E"/>
    <w:rsid w:val="78597E32"/>
    <w:rsid w:val="78703EBE"/>
    <w:rsid w:val="78805A36"/>
    <w:rsid w:val="78830880"/>
    <w:rsid w:val="78A51D8F"/>
    <w:rsid w:val="78AE0946"/>
    <w:rsid w:val="78D1727E"/>
    <w:rsid w:val="78D17516"/>
    <w:rsid w:val="78D96E40"/>
    <w:rsid w:val="7911644D"/>
    <w:rsid w:val="79331EC1"/>
    <w:rsid w:val="79404911"/>
    <w:rsid w:val="794D0D3C"/>
    <w:rsid w:val="7986601A"/>
    <w:rsid w:val="7993616D"/>
    <w:rsid w:val="799D69BF"/>
    <w:rsid w:val="79AE14B2"/>
    <w:rsid w:val="79B1687C"/>
    <w:rsid w:val="79B22738"/>
    <w:rsid w:val="79CE4B72"/>
    <w:rsid w:val="7A055366"/>
    <w:rsid w:val="7A292C38"/>
    <w:rsid w:val="7A49541C"/>
    <w:rsid w:val="7A5F22B4"/>
    <w:rsid w:val="7A680094"/>
    <w:rsid w:val="7A7508D5"/>
    <w:rsid w:val="7A80455C"/>
    <w:rsid w:val="7A81102C"/>
    <w:rsid w:val="7AA37ECA"/>
    <w:rsid w:val="7AB16073"/>
    <w:rsid w:val="7ABB5514"/>
    <w:rsid w:val="7AC2458A"/>
    <w:rsid w:val="7ADE3222"/>
    <w:rsid w:val="7AF04DB0"/>
    <w:rsid w:val="7B133363"/>
    <w:rsid w:val="7B1C1737"/>
    <w:rsid w:val="7B322761"/>
    <w:rsid w:val="7B3C2640"/>
    <w:rsid w:val="7B4443D1"/>
    <w:rsid w:val="7BB151FD"/>
    <w:rsid w:val="7BB43296"/>
    <w:rsid w:val="7BDE6C84"/>
    <w:rsid w:val="7BE07A81"/>
    <w:rsid w:val="7BE97D38"/>
    <w:rsid w:val="7C471D4F"/>
    <w:rsid w:val="7C7A6596"/>
    <w:rsid w:val="7CA76A22"/>
    <w:rsid w:val="7CCC4E54"/>
    <w:rsid w:val="7CEB2ACD"/>
    <w:rsid w:val="7CEF6F65"/>
    <w:rsid w:val="7CF41D8D"/>
    <w:rsid w:val="7D2745EF"/>
    <w:rsid w:val="7D2D2CA0"/>
    <w:rsid w:val="7D5C29E8"/>
    <w:rsid w:val="7D7A7BC6"/>
    <w:rsid w:val="7DBB08B6"/>
    <w:rsid w:val="7DBC7173"/>
    <w:rsid w:val="7DD90B59"/>
    <w:rsid w:val="7DEF15A6"/>
    <w:rsid w:val="7DFC511B"/>
    <w:rsid w:val="7E221AFC"/>
    <w:rsid w:val="7E2A514E"/>
    <w:rsid w:val="7E2C4E20"/>
    <w:rsid w:val="7E2D20BE"/>
    <w:rsid w:val="7E5733E1"/>
    <w:rsid w:val="7E660C33"/>
    <w:rsid w:val="7E6637F7"/>
    <w:rsid w:val="7E707801"/>
    <w:rsid w:val="7E733B66"/>
    <w:rsid w:val="7EC12AAE"/>
    <w:rsid w:val="7EC52141"/>
    <w:rsid w:val="7EC73D34"/>
    <w:rsid w:val="7ED12FEE"/>
    <w:rsid w:val="7F1648D6"/>
    <w:rsid w:val="7F23784E"/>
    <w:rsid w:val="7F442E56"/>
    <w:rsid w:val="7F457080"/>
    <w:rsid w:val="7F486BDC"/>
    <w:rsid w:val="7F4C71A0"/>
    <w:rsid w:val="7F5124CE"/>
    <w:rsid w:val="7F6347A3"/>
    <w:rsid w:val="7F8805ED"/>
    <w:rsid w:val="7FB745D2"/>
    <w:rsid w:val="7FC4182D"/>
    <w:rsid w:val="7FC459AC"/>
    <w:rsid w:val="7FD55C75"/>
    <w:rsid w:val="7FF37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before="340" w:after="330" w:line="576" w:lineRule="auto"/>
      <w:outlineLvl w:val="0"/>
    </w:pPr>
    <w:rPr>
      <w:bCs/>
      <w:kern w:val="44"/>
      <w:sz w:val="30"/>
      <w:szCs w:val="44"/>
    </w:rPr>
  </w:style>
  <w:style w:type="paragraph" w:styleId="3">
    <w:name w:val="heading 2"/>
    <w:basedOn w:val="1"/>
    <w:next w:val="1"/>
    <w:link w:val="43"/>
    <w:qFormat/>
    <w:uiPriority w:val="0"/>
    <w:pPr>
      <w:keepNext/>
      <w:keepLines/>
      <w:spacing w:before="260" w:after="260" w:line="415" w:lineRule="auto"/>
      <w:outlineLvl w:val="1"/>
    </w:pPr>
    <w:rPr>
      <w:rFonts w:ascii="Arial" w:hAnsi="Arial"/>
      <w:bCs/>
      <w:sz w:val="28"/>
      <w:szCs w:val="32"/>
    </w:rPr>
  </w:style>
  <w:style w:type="paragraph" w:styleId="4">
    <w:name w:val="heading 3"/>
    <w:basedOn w:val="1"/>
    <w:next w:val="1"/>
    <w:link w:val="46"/>
    <w:qFormat/>
    <w:uiPriority w:val="0"/>
    <w:pPr>
      <w:keepNext/>
      <w:keepLines/>
      <w:spacing w:before="260" w:after="260" w:line="416" w:lineRule="auto"/>
      <w:outlineLvl w:val="2"/>
    </w:pPr>
    <w:rPr>
      <w:bCs/>
      <w:sz w:val="24"/>
      <w:szCs w:val="32"/>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ind w:left="1260"/>
      <w:jc w:val="left"/>
    </w:pPr>
    <w:rPr>
      <w:sz w:val="18"/>
      <w:szCs w:val="18"/>
    </w:rPr>
  </w:style>
  <w:style w:type="paragraph" w:styleId="6">
    <w:name w:val="Document Map"/>
    <w:basedOn w:val="1"/>
    <w:qFormat/>
    <w:uiPriority w:val="0"/>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5"/>
    <w:basedOn w:val="1"/>
    <w:next w:val="1"/>
    <w:semiHidden/>
    <w:qFormat/>
    <w:uiPriority w:val="0"/>
    <w:pPr>
      <w:ind w:left="840"/>
      <w:jc w:val="left"/>
    </w:pPr>
    <w:rPr>
      <w:sz w:val="18"/>
      <w:szCs w:val="18"/>
    </w:rPr>
  </w:style>
  <w:style w:type="paragraph" w:styleId="9">
    <w:name w:val="toc 3"/>
    <w:basedOn w:val="1"/>
    <w:next w:val="1"/>
    <w:semiHidden/>
    <w:qFormat/>
    <w:uiPriority w:val="0"/>
    <w:pPr>
      <w:ind w:left="840" w:leftChars="400"/>
    </w:pPr>
  </w:style>
  <w:style w:type="paragraph" w:styleId="10">
    <w:name w:val="toc 8"/>
    <w:basedOn w:val="1"/>
    <w:next w:val="1"/>
    <w:semiHidden/>
    <w:qFormat/>
    <w:uiPriority w:val="0"/>
    <w:pPr>
      <w:ind w:left="1470"/>
      <w:jc w:val="left"/>
    </w:pPr>
    <w:rPr>
      <w:sz w:val="18"/>
      <w:szCs w:val="18"/>
    </w:rPr>
  </w:style>
  <w:style w:type="paragraph" w:styleId="11">
    <w:name w:val="Date"/>
    <w:basedOn w:val="1"/>
    <w:next w:val="1"/>
    <w:qFormat/>
    <w:uiPriority w:val="0"/>
    <w:pPr>
      <w:ind w:left="100" w:leftChars="2500"/>
    </w:pPr>
    <w:rPr>
      <w:rFonts w:ascii="宋体"/>
      <w:kern w:val="0"/>
      <w:sz w:val="20"/>
      <w:szCs w:val="20"/>
      <w:lang w:val="zh-CN"/>
    </w:rPr>
  </w:style>
  <w:style w:type="paragraph" w:styleId="12">
    <w:name w:val="Body Text Indent 2"/>
    <w:basedOn w:val="1"/>
    <w:qFormat/>
    <w:uiPriority w:val="0"/>
    <w:pPr>
      <w:tabs>
        <w:tab w:val="left" w:pos="2520"/>
      </w:tabs>
      <w:ind w:firstLine="435"/>
    </w:pPr>
  </w:style>
  <w:style w:type="paragraph" w:styleId="13">
    <w:name w:val="Balloon Text"/>
    <w:basedOn w:val="1"/>
    <w:link w:val="40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170"/>
      </w:tabs>
      <w:spacing w:before="120" w:after="120"/>
      <w:jc w:val="left"/>
    </w:pPr>
    <w:rPr>
      <w:rFonts w:ascii="宋体" w:hAnsi="宋体"/>
      <w:b/>
      <w:bCs/>
      <w:caps/>
      <w:color w:val="000080"/>
      <w:sz w:val="20"/>
      <w:szCs w:val="20"/>
    </w:rPr>
  </w:style>
  <w:style w:type="paragraph" w:styleId="17">
    <w:name w:val="toc 4"/>
    <w:basedOn w:val="1"/>
    <w:next w:val="1"/>
    <w:semiHidden/>
    <w:qFormat/>
    <w:uiPriority w:val="0"/>
    <w:pPr>
      <w:ind w:left="630"/>
      <w:jc w:val="left"/>
    </w:pPr>
    <w:rPr>
      <w:sz w:val="18"/>
      <w:szCs w:val="18"/>
    </w:rPr>
  </w:style>
  <w:style w:type="paragraph" w:styleId="18">
    <w:name w:val="toc 6"/>
    <w:basedOn w:val="1"/>
    <w:next w:val="1"/>
    <w:semiHidden/>
    <w:qFormat/>
    <w:uiPriority w:val="0"/>
    <w:pPr>
      <w:ind w:left="1050"/>
      <w:jc w:val="left"/>
    </w:pPr>
    <w:rPr>
      <w:sz w:val="18"/>
      <w:szCs w:val="18"/>
    </w:rPr>
  </w:style>
  <w:style w:type="paragraph" w:styleId="19">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20">
    <w:name w:val="toc 2"/>
    <w:basedOn w:val="1"/>
    <w:next w:val="1"/>
    <w:qFormat/>
    <w:uiPriority w:val="39"/>
    <w:pPr>
      <w:tabs>
        <w:tab w:val="right" w:leader="dot" w:pos="9170"/>
      </w:tabs>
      <w:spacing w:line="360" w:lineRule="auto"/>
      <w:ind w:left="210"/>
      <w:jc w:val="left"/>
    </w:pPr>
    <w:rPr>
      <w:smallCaps/>
      <w:color w:val="FF0000"/>
      <w:sz w:val="20"/>
      <w:szCs w:val="20"/>
    </w:rPr>
  </w:style>
  <w:style w:type="paragraph" w:styleId="21">
    <w:name w:val="toc 9"/>
    <w:basedOn w:val="1"/>
    <w:next w:val="1"/>
    <w:semiHidden/>
    <w:qFormat/>
    <w:uiPriority w:val="0"/>
    <w:pPr>
      <w:ind w:left="1680"/>
      <w:jc w:val="left"/>
    </w:pPr>
    <w:rPr>
      <w:sz w:val="18"/>
      <w:szCs w:val="18"/>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23">
    <w:name w:val="Normal (Web)"/>
    <w:basedOn w:val="1"/>
    <w:link w:val="50"/>
    <w:qFormat/>
    <w:uiPriority w:val="99"/>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qFormat/>
    <w:uiPriority w:val="99"/>
    <w:rPr>
      <w:color w:val="800080"/>
      <w:u w:val="single"/>
    </w:rPr>
  </w:style>
  <w:style w:type="character" w:styleId="31">
    <w:name w:val="Hyperlink"/>
    <w:qFormat/>
    <w:uiPriority w:val="99"/>
    <w:rPr>
      <w:color w:val="0000FF"/>
      <w:u w:val="single"/>
    </w:rPr>
  </w:style>
  <w:style w:type="character" w:customStyle="1" w:styleId="32">
    <w:name w:val="font31"/>
    <w:qFormat/>
    <w:uiPriority w:val="0"/>
    <w:rPr>
      <w:rFonts w:hint="eastAsia" w:ascii="宋体" w:hAnsi="宋体" w:eastAsia="宋体" w:cs="宋体"/>
      <w:color w:val="000000"/>
      <w:sz w:val="20"/>
      <w:szCs w:val="20"/>
      <w:u w:val="none"/>
    </w:rPr>
  </w:style>
  <w:style w:type="character" w:customStyle="1" w:styleId="33">
    <w:name w:val="font41"/>
    <w:qFormat/>
    <w:uiPriority w:val="0"/>
    <w:rPr>
      <w:rFonts w:ascii="MS Gothic" w:hAnsi="MS Gothic" w:eastAsia="MS Gothic" w:cs="MS Gothic"/>
      <w:color w:val="000000"/>
      <w:sz w:val="20"/>
      <w:szCs w:val="20"/>
      <w:u w:val="none"/>
    </w:rPr>
  </w:style>
  <w:style w:type="character" w:customStyle="1" w:styleId="34">
    <w:name w:val="普通 (Web) Char Char1"/>
    <w:qFormat/>
    <w:locked/>
    <w:uiPriority w:val="0"/>
    <w:rPr>
      <w:rFonts w:ascii="宋体" w:hAnsi="宋体" w:eastAsia="宋体" w:cs="宋体"/>
      <w:sz w:val="24"/>
      <w:szCs w:val="24"/>
      <w:lang w:val="en-US" w:eastAsia="zh-CN" w:bidi="ar-SA"/>
    </w:rPr>
  </w:style>
  <w:style w:type="character" w:customStyle="1" w:styleId="35">
    <w:name w:val="f41"/>
    <w:qFormat/>
    <w:uiPriority w:val="0"/>
    <w:rPr>
      <w:rFonts w:hint="eastAsia" w:ascii="宋体" w:hAnsi="宋体" w:eastAsia="宋体"/>
      <w:sz w:val="18"/>
      <w:szCs w:val="18"/>
    </w:rPr>
  </w:style>
  <w:style w:type="character" w:customStyle="1" w:styleId="36">
    <w:name w:val="f21"/>
    <w:qFormat/>
    <w:uiPriority w:val="0"/>
    <w:rPr>
      <w:rFonts w:hint="eastAsia" w:ascii="宋体" w:hAnsi="宋体" w:eastAsia="宋体"/>
      <w:sz w:val="21"/>
      <w:szCs w:val="21"/>
    </w:rPr>
  </w:style>
  <w:style w:type="character" w:customStyle="1" w:styleId="37">
    <w:name w:val="showtext"/>
    <w:basedOn w:val="27"/>
    <w:qFormat/>
    <w:uiPriority w:val="0"/>
  </w:style>
  <w:style w:type="character" w:customStyle="1" w:styleId="38">
    <w:name w:val="标题 2 Char"/>
    <w:qFormat/>
    <w:uiPriority w:val="0"/>
    <w:rPr>
      <w:rFonts w:ascii="Arial" w:hAnsi="Arial" w:eastAsia="黑体"/>
      <w:b/>
      <w:bCs/>
      <w:kern w:val="2"/>
      <w:sz w:val="32"/>
      <w:szCs w:val="32"/>
      <w:lang w:val="en-US" w:eastAsia="zh-CN" w:bidi="ar-SA"/>
    </w:rPr>
  </w:style>
  <w:style w:type="character" w:customStyle="1" w:styleId="39">
    <w:name w:val="f31"/>
    <w:qFormat/>
    <w:uiPriority w:val="0"/>
    <w:rPr>
      <w:rFonts w:hint="default" w:ascii="ˎ̥" w:hAnsi="ˎ̥"/>
      <w:color w:val="999999"/>
      <w:sz w:val="16"/>
      <w:szCs w:val="16"/>
    </w:rPr>
  </w:style>
  <w:style w:type="character" w:customStyle="1" w:styleId="40">
    <w:name w:val="style171"/>
    <w:qFormat/>
    <w:uiPriority w:val="0"/>
    <w:rPr>
      <w:sz w:val="21"/>
      <w:szCs w:val="21"/>
    </w:rPr>
  </w:style>
  <w:style w:type="character" w:customStyle="1" w:styleId="41">
    <w:name w:val="标题 3 Char1"/>
    <w:qFormat/>
    <w:uiPriority w:val="0"/>
    <w:rPr>
      <w:rFonts w:eastAsia="宋体"/>
      <w:b/>
      <w:bCs/>
      <w:kern w:val="2"/>
      <w:sz w:val="32"/>
      <w:szCs w:val="32"/>
      <w:lang w:val="en-US" w:eastAsia="zh-CN" w:bidi="ar-SA"/>
    </w:rPr>
  </w:style>
  <w:style w:type="character" w:customStyle="1" w:styleId="42">
    <w:name w:val="普通 (Web) Char Char"/>
    <w:qFormat/>
    <w:locked/>
    <w:uiPriority w:val="0"/>
    <w:rPr>
      <w:rFonts w:ascii="宋体" w:hAnsi="宋体" w:eastAsia="宋体" w:cs="宋体"/>
      <w:sz w:val="24"/>
      <w:szCs w:val="24"/>
      <w:lang w:val="en-US" w:eastAsia="zh-CN" w:bidi="ar-SA"/>
    </w:rPr>
  </w:style>
  <w:style w:type="character" w:customStyle="1" w:styleId="43">
    <w:name w:val="标题 2 Char1"/>
    <w:link w:val="3"/>
    <w:qFormat/>
    <w:uiPriority w:val="0"/>
    <w:rPr>
      <w:rFonts w:ascii="Arial" w:hAnsi="Arial" w:eastAsia="宋体"/>
      <w:bCs/>
      <w:kern w:val="2"/>
      <w:sz w:val="28"/>
      <w:szCs w:val="32"/>
      <w:lang w:val="en-US" w:eastAsia="zh-CN" w:bidi="ar-SA"/>
    </w:rPr>
  </w:style>
  <w:style w:type="character" w:customStyle="1" w:styleId="44">
    <w:name w:val="style161"/>
    <w:qFormat/>
    <w:uiPriority w:val="0"/>
    <w:rPr>
      <w:sz w:val="24"/>
      <w:szCs w:val="24"/>
    </w:rPr>
  </w:style>
  <w:style w:type="character" w:customStyle="1" w:styleId="45">
    <w:name w:val="标题 3 Char"/>
    <w:qFormat/>
    <w:uiPriority w:val="0"/>
    <w:rPr>
      <w:rFonts w:eastAsia="宋体"/>
      <w:b/>
      <w:bCs/>
      <w:kern w:val="2"/>
      <w:sz w:val="32"/>
      <w:szCs w:val="32"/>
      <w:lang w:val="en-US" w:eastAsia="zh-CN" w:bidi="ar-SA"/>
    </w:rPr>
  </w:style>
  <w:style w:type="character" w:customStyle="1" w:styleId="46">
    <w:name w:val="标题 3 Char2"/>
    <w:link w:val="4"/>
    <w:qFormat/>
    <w:uiPriority w:val="0"/>
    <w:rPr>
      <w:rFonts w:eastAsia="宋体"/>
      <w:bCs/>
      <w:kern w:val="2"/>
      <w:sz w:val="24"/>
      <w:szCs w:val="32"/>
      <w:lang w:val="en-US" w:eastAsia="zh-CN" w:bidi="ar-SA"/>
    </w:rPr>
  </w:style>
  <w:style w:type="character" w:customStyle="1" w:styleId="47">
    <w:name w:val="Heading 1 Char"/>
    <w:qFormat/>
    <w:locked/>
    <w:uiPriority w:val="0"/>
    <w:rPr>
      <w:rFonts w:ascii="Calibri" w:hAnsi="Calibri" w:eastAsia="宋体"/>
      <w:b/>
      <w:bCs/>
      <w:kern w:val="44"/>
      <w:sz w:val="44"/>
      <w:szCs w:val="44"/>
      <w:lang w:val="en-US" w:eastAsia="zh-CN" w:bidi="ar-SA"/>
    </w:rPr>
  </w:style>
  <w:style w:type="character" w:customStyle="1" w:styleId="48">
    <w:name w:val="apple-converted-space"/>
    <w:basedOn w:val="27"/>
    <w:qFormat/>
    <w:uiPriority w:val="0"/>
  </w:style>
  <w:style w:type="character" w:customStyle="1" w:styleId="49">
    <w:name w:val="标题 1 Char"/>
    <w:link w:val="2"/>
    <w:qFormat/>
    <w:uiPriority w:val="0"/>
    <w:rPr>
      <w:bCs/>
      <w:kern w:val="44"/>
      <w:sz w:val="30"/>
      <w:szCs w:val="44"/>
    </w:rPr>
  </w:style>
  <w:style w:type="character" w:customStyle="1" w:styleId="50">
    <w:name w:val="普通(网站) Char"/>
    <w:link w:val="23"/>
    <w:qFormat/>
    <w:locked/>
    <w:uiPriority w:val="0"/>
    <w:rPr>
      <w:rFonts w:ascii="宋体" w:hAnsi="宋体" w:eastAsia="宋体" w:cs="宋体"/>
      <w:sz w:val="24"/>
      <w:szCs w:val="24"/>
      <w:lang w:val="en-US" w:eastAsia="zh-CN" w:bidi="ar-SA"/>
    </w:rPr>
  </w:style>
  <w:style w:type="paragraph" w:customStyle="1" w:styleId="5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2">
    <w:name w:val="TOC Heading"/>
    <w:basedOn w:val="2"/>
    <w:next w:val="1"/>
    <w:qFormat/>
    <w:uiPriority w:val="39"/>
    <w:pPr>
      <w:widowControl/>
      <w:spacing w:before="480" w:after="0" w:line="276" w:lineRule="auto"/>
      <w:jc w:val="left"/>
      <w:outlineLvl w:val="9"/>
    </w:pPr>
    <w:rPr>
      <w:rFonts w:ascii="Cambria" w:hAnsi="Cambria"/>
      <w:b/>
      <w:color w:val="365F91"/>
      <w:kern w:val="0"/>
      <w:sz w:val="28"/>
      <w:szCs w:val="28"/>
    </w:rPr>
  </w:style>
  <w:style w:type="paragraph" w:customStyle="1" w:styleId="53">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54">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5">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56">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5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8">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9">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60">
    <w:name w:val="table302"/>
    <w:basedOn w:val="1"/>
    <w:qFormat/>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6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62">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64">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6">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7">
    <w:name w:val="font11"/>
    <w:basedOn w:val="1"/>
    <w:qFormat/>
    <w:uiPriority w:val="0"/>
    <w:pPr>
      <w:widowControl/>
      <w:spacing w:before="100" w:beforeAutospacing="1" w:after="100" w:afterAutospacing="1"/>
      <w:jc w:val="left"/>
    </w:pPr>
    <w:rPr>
      <w:b/>
      <w:bCs/>
      <w:color w:val="FFFFFF"/>
      <w:kern w:val="0"/>
      <w:sz w:val="18"/>
      <w:szCs w:val="18"/>
    </w:rPr>
  </w:style>
  <w:style w:type="paragraph" w:customStyle="1" w:styleId="68">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69">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0">
    <w:name w:val="xl93"/>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73">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4">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5">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6">
    <w:name w:val="font9"/>
    <w:basedOn w:val="1"/>
    <w:qFormat/>
    <w:uiPriority w:val="0"/>
    <w:pPr>
      <w:widowControl/>
      <w:spacing w:before="100" w:beforeAutospacing="1" w:after="100" w:afterAutospacing="1"/>
      <w:jc w:val="left"/>
    </w:pPr>
    <w:rPr>
      <w:kern w:val="0"/>
      <w:sz w:val="20"/>
      <w:szCs w:val="20"/>
    </w:rPr>
  </w:style>
  <w:style w:type="paragraph" w:customStyle="1" w:styleId="77">
    <w:name w:val="stedit"/>
    <w:basedOn w:val="1"/>
    <w:qFormat/>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8">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9">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1">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2">
    <w:name w:val="font10"/>
    <w:basedOn w:val="1"/>
    <w:qFormat/>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83">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4">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8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8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7">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89">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0">
    <w:name w:val="f8"/>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9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2">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3">
    <w:name w:val="xl2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95">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7">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8">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9">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3">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4">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6">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7">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8">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110">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1">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12">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3">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4">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6">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17">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8">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1">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2">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123">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4">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5">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7">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8">
    <w:name w:val="xl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3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1">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3">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3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7">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0">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1">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143">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4">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5">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47">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9">
    <w:name w:val="f7"/>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50">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2">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5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54">
    <w:name w:val="xl94"/>
    <w:basedOn w:val="1"/>
    <w:qFormat/>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6">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7">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59">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1">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62">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3">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4">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16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6">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7">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8">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17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1">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72">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75">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6">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7">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9">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0">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18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2">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84">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5">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6">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8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8">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89">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90">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91">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2">
    <w:name w:val="xl3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3">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4">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5">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6">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7">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8">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9">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1">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2">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0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4">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5">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6">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8">
    <w:name w:val="fgj02"/>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209">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0">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1">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2">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3">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4">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5">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1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17">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8">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0">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1">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23">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4">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8">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22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0">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2">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23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234">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5">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6">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7">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23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239">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0">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1">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24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4">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5">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6">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48">
    <w:name w:val="xl44"/>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24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50">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1">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52">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3">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4">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5">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7">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258">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9">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60">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61">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2">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4">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6">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7">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8">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272">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3">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4">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75">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6">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7">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278">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279">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0">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1">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2">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3">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28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5">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6">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7">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8">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9">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0">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291">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292">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4">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9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6">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7">
    <w:name w:val="xl2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8">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9">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300">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01">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2">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0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4">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0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30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0">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11">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3">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1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5">
    <w:name w:val="xl2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6">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7">
    <w:name w:val="xl8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8">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9">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0">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1">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22">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3">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4">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25">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7">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328">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29">
    <w:name w:val="f2"/>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330">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1">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2">
    <w:name w:val="unnamed1"/>
    <w:basedOn w:val="1"/>
    <w:qFormat/>
    <w:uiPriority w:val="0"/>
    <w:pPr>
      <w:widowControl/>
      <w:spacing w:line="330" w:lineRule="atLeast"/>
      <w:jc w:val="left"/>
    </w:pPr>
    <w:rPr>
      <w:rFonts w:ascii="宋体" w:hAnsi="宋体" w:cs="宋体"/>
      <w:kern w:val="0"/>
      <w:szCs w:val="21"/>
    </w:rPr>
  </w:style>
  <w:style w:type="paragraph" w:customStyle="1" w:styleId="33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4">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5">
    <w:name w:val="xl11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33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38">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33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0">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343">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4">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5">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6">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348">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0">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35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5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5">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6">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7">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59">
    <w:name w:val="xl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1">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2">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363">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4">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366">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7">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8">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1">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2">
    <w:name w:val="xl7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7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74">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75">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6">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7">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7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379">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80">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1">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2">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3">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384">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5">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6">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8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89">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0">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1">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2">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393">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4">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5">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7">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8">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9">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宋体" w:hAnsi="宋体" w:cs="宋体"/>
      <w:color w:val="000000"/>
      <w:kern w:val="0"/>
      <w:sz w:val="24"/>
    </w:rPr>
  </w:style>
  <w:style w:type="paragraph" w:customStyle="1" w:styleId="40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1">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402">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403">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40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05">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6">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character" w:customStyle="1" w:styleId="407">
    <w:name w:val="批注框文本 Char"/>
    <w:basedOn w:val="27"/>
    <w:link w:val="13"/>
    <w:qFormat/>
    <w:uiPriority w:val="0"/>
    <w:rPr>
      <w:kern w:val="2"/>
      <w:sz w:val="18"/>
      <w:szCs w:val="18"/>
    </w:rPr>
  </w:style>
  <w:style w:type="character" w:customStyle="1" w:styleId="408">
    <w:name w:val="font01"/>
    <w:basedOn w:val="27"/>
    <w:qFormat/>
    <w:uiPriority w:val="0"/>
    <w:rPr>
      <w:rFonts w:ascii="Tahoma" w:hAnsi="Tahoma" w:eastAsia="Tahoma" w:cs="Tahoma"/>
      <w:color w:val="000000"/>
      <w:sz w:val="18"/>
      <w:szCs w:val="18"/>
      <w:u w:val="none"/>
    </w:rPr>
  </w:style>
  <w:style w:type="character" w:customStyle="1" w:styleId="409">
    <w:name w:val="font51"/>
    <w:basedOn w:val="27"/>
    <w:qFormat/>
    <w:uiPriority w:val="0"/>
    <w:rPr>
      <w:rFonts w:ascii="Tahoma" w:hAnsi="Tahoma" w:eastAsia="Tahoma" w:cs="Tahoma"/>
      <w:color w:val="000000"/>
      <w:sz w:val="18"/>
      <w:szCs w:val="18"/>
      <w:u w:val="none"/>
    </w:rPr>
  </w:style>
  <w:style w:type="character" w:customStyle="1" w:styleId="410">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4005</Words>
  <Characters>22834</Characters>
  <Lines>190</Lines>
  <Paragraphs>53</Paragraphs>
  <TotalTime>10</TotalTime>
  <ScaleCrop>false</ScaleCrop>
  <LinksUpToDate>false</LinksUpToDate>
  <CharactersWithSpaces>26786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2017-11-23T08:10:00Z</dcterms:created>
  <dc:creator>MC SYSTEM</dc:creator>
  <cp:lastModifiedBy>Administrator</cp:lastModifiedBy>
  <dcterms:modified xsi:type="dcterms:W3CDTF">2020-08-06T08:38:39Z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2052-11.1.0.9912</vt:lpwstr>
  </property>
</Properties>
</file>