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7216" behindDoc="1" locked="0" layoutInCell="1" allowOverlap="1">
            <wp:simplePos x="0" y="0"/>
            <wp:positionH relativeFrom="column">
              <wp:posOffset>-713105</wp:posOffset>
            </wp:positionH>
            <wp:positionV relativeFrom="paragraph">
              <wp:posOffset>-543560</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58240;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w:t>
      </w:r>
      <w:r>
        <w:rPr>
          <w:rFonts w:hint="eastAsia" w:ascii="宋体" w:hAnsi="宋体"/>
          <w:b/>
          <w:sz w:val="30"/>
          <w:szCs w:val="30"/>
          <w:lang w:val="en-US" w:eastAsia="zh-CN"/>
        </w:rPr>
        <w:t>7.30</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28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rFonts w:hint="eastAsia"/>
          <w:color w:val="auto"/>
          <w:sz w:val="24"/>
          <w:szCs w:val="24"/>
          <w:lang w:eastAsia="zh-CN"/>
        </w:rPr>
        <w:t>成品油</w:t>
      </w:r>
      <w:r>
        <w:rPr>
          <w:rStyle w:val="31"/>
          <w:rFonts w:hint="eastAsia"/>
          <w:color w:val="auto"/>
          <w:sz w:val="24"/>
          <w:szCs w:val="24"/>
        </w:rPr>
        <w:t>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30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6</w:t>
      </w:r>
      <w:r>
        <w:rPr>
          <w:rStyle w:val="31"/>
          <w:rFonts w:hint="eastAsia" w:ascii="宋体" w:hAnsi="宋体"/>
          <w:b/>
          <w:color w:val="auto"/>
          <w:sz w:val="24"/>
          <w:szCs w:val="24"/>
        </w:rPr>
        <w:t>份全国车用汽油和航空汽油进出口统计数据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32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w:t>
      </w:r>
      <w:r>
        <w:rPr>
          <w:rStyle w:val="31"/>
          <w:rFonts w:hint="eastAsia" w:ascii="宋体" w:hAnsi="宋体"/>
          <w:b/>
          <w:color w:val="auto"/>
          <w:sz w:val="24"/>
          <w:szCs w:val="24"/>
          <w:lang w:val="en-US" w:eastAsia="zh-CN"/>
        </w:rPr>
        <w:t>8</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1</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33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5</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34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6</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34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hint="eastAsia"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pPr w:leftFromText="180" w:rightFromText="180" w:vertAnchor="text" w:horzAnchor="page" w:tblpX="1797" w:tblpY="699"/>
        <w:tblOverlap w:val="never"/>
        <w:tblW w:w="8662" w:type="dxa"/>
        <w:tblInd w:w="0" w:type="dxa"/>
        <w:tblLayout w:type="fixed"/>
        <w:tblCellMar>
          <w:top w:w="15" w:type="dxa"/>
          <w:left w:w="15" w:type="dxa"/>
          <w:bottom w:w="15" w:type="dxa"/>
          <w:right w:w="15" w:type="dxa"/>
        </w:tblCellMar>
      </w:tblPr>
      <w:tblGrid>
        <w:gridCol w:w="1291"/>
        <w:gridCol w:w="709"/>
        <w:gridCol w:w="709"/>
        <w:gridCol w:w="5953"/>
      </w:tblGrid>
      <w:tr>
        <w:tblPrEx>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bookmarkStart w:id="2" w:name="_Toc533771863"/>
            <w:r>
              <w:rPr>
                <w:rFonts w:hint="eastAsia" w:asciiTheme="minorEastAsia" w:hAnsiTheme="minorEastAsia" w:eastAsiaTheme="minorEastAsia" w:cstheme="minorEastAsia"/>
                <w:color w:val="333335"/>
                <w:kern w:val="2"/>
                <w:sz w:val="24"/>
                <w:szCs w:val="24"/>
                <w:shd w:val="clear" w:color="auto" w:fill="FFFFFF"/>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纽交所</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伦交所</w:t>
            </w:r>
          </w:p>
        </w:tc>
        <w:tc>
          <w:tcPr>
            <w:tcW w:w="595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影响因素</w:t>
            </w:r>
          </w:p>
        </w:tc>
      </w:tr>
      <w:tr>
        <w:tblPrEx>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2020/7/23</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41.07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43.31</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美国失业数据和疫情扩散仍令市场忧虑，当前美国确诊人数已接近400万，市场对于疫情将再次影响原油需求的担忧仍未完全消除。此外，美股下跌也导致油价承压。</w:t>
            </w:r>
          </w:p>
        </w:tc>
      </w:tr>
      <w:tr>
        <w:tblPrEx>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43.34</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当前市场消息面缺乏指引消息，美元持续走低以及近期市场对经济预期向好的判断限制了油价的下行空间。</w:t>
            </w:r>
          </w:p>
        </w:tc>
      </w:tr>
      <w:tr>
        <w:tblPrEx>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2020/7/27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41.6</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43.41</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隔夜市场消息面仍缺乏指引消息，由于当前市场预期美联储将保持鸽派立场，加之美国将公布新的经济刺激方案，市场风险偏好上升，股市上扬提振油价。此外，美元持续走低也给油价带来利好。</w:t>
            </w:r>
          </w:p>
        </w:tc>
      </w:tr>
      <w:tr>
        <w:tblPrEx>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2020/7/28</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41.04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43.22</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新冠确诊持续增加打压需求前景,抵消了美国出台刺激措施给油价带来的提振。</w:t>
            </w:r>
          </w:p>
        </w:tc>
      </w:tr>
      <w:tr>
        <w:tblPrEx>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2020/7/29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41.27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43.75</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美国EIA原油库存数据超预期大降逾1000万桶,创去年12月以来最大降幅，油价受此提振收盘上涨。</w:t>
            </w:r>
          </w:p>
        </w:tc>
      </w:tr>
    </w:tbl>
    <w:p>
      <w:pPr>
        <w:pStyle w:val="3"/>
        <w:spacing w:before="120" w:after="120" w:line="240" w:lineRule="auto"/>
        <w:rPr>
          <w:rFonts w:hint="eastAsia" w:ascii="宋体" w:hAnsi="宋体"/>
          <w:b/>
          <w:sz w:val="30"/>
          <w:szCs w:val="30"/>
        </w:rPr>
      </w:pPr>
    </w:p>
    <w:p>
      <w:pPr>
        <w:pStyle w:val="3"/>
        <w:spacing w:before="120" w:after="120" w:line="240" w:lineRule="auto"/>
        <w:rPr>
          <w:rFonts w:ascii="宋体" w:hAnsi="宋体"/>
          <w:b/>
          <w:sz w:val="30"/>
          <w:szCs w:val="30"/>
        </w:rPr>
      </w:pPr>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lang w:val="en-US" w:eastAsia="zh-CN"/>
        </w:rPr>
        <w:t>20</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Pr>
        <w:rPr>
          <w:rFonts w:hint="eastAsia" w:ascii="宋体" w:hAnsi="宋体" w:cs="Arial"/>
          <w:b/>
          <w:kern w:val="0"/>
          <w:sz w:val="30"/>
          <w:szCs w:val="30"/>
        </w:rPr>
      </w:pPr>
      <w:r>
        <w:rPr>
          <w:rFonts w:hint="eastAsia" w:ascii="宋体" w:hAnsi="宋体" w:cs="Arial"/>
          <w:b/>
          <w:kern w:val="0"/>
          <w:sz w:val="30"/>
          <w:szCs w:val="30"/>
        </w:rPr>
        <w:drawing>
          <wp:inline distT="0" distB="0" distL="114300" distR="114300">
            <wp:extent cx="5591175" cy="3334385"/>
            <wp:effectExtent l="0" t="0" r="952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91175" cy="3334385"/>
                    </a:xfrm>
                    <a:prstGeom prst="rect">
                      <a:avLst/>
                    </a:prstGeom>
                    <a:noFill/>
                    <a:ln>
                      <a:noFill/>
                    </a:ln>
                  </pic:spPr>
                </pic:pic>
              </a:graphicData>
            </a:graphic>
          </wp:inline>
        </w:drawing>
      </w:r>
    </w:p>
    <w:p>
      <w:pPr>
        <w:pStyle w:val="2"/>
        <w:numPr>
          <w:ilvl w:val="0"/>
          <w:numId w:val="1"/>
        </w:numPr>
        <w:spacing w:before="120" w:after="0" w:line="240" w:lineRule="auto"/>
      </w:pPr>
      <w:bookmarkStart w:id="3" w:name="_Toc533771864"/>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
      <w:pPr>
        <w:pStyle w:val="23"/>
        <w:numPr>
          <w:ilvl w:val="0"/>
          <w:numId w:val="2"/>
        </w:numPr>
        <w:spacing w:line="360" w:lineRule="auto"/>
        <w:ind w:left="0" w:leftChars="0" w:firstLine="551" w:firstLineChars="196"/>
        <w:rPr>
          <w:rFonts w:hint="eastAsia" w:ascii="黑体" w:eastAsia="黑体"/>
          <w:b/>
          <w:sz w:val="28"/>
          <w:szCs w:val="28"/>
        </w:rPr>
      </w:pPr>
      <w:bookmarkStart w:id="5" w:name="_Toc10115991"/>
      <w:r>
        <w:rPr>
          <w:rFonts w:hint="eastAsia" w:ascii="黑体" w:eastAsia="黑体"/>
          <w:b/>
          <w:sz w:val="28"/>
          <w:szCs w:val="28"/>
        </w:rPr>
        <w:t>美国原油库存情况</w:t>
      </w:r>
      <w:bookmarkEnd w:id="5"/>
      <w:r>
        <w:rPr>
          <w:rFonts w:hint="eastAsia" w:ascii="黑体" w:eastAsia="黑体"/>
          <w:b/>
          <w:sz w:val="28"/>
          <w:szCs w:val="28"/>
        </w:rPr>
        <w:t xml:space="preserve"> </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6" w:name="_Toc10115992"/>
      <w:r>
        <w:rPr>
          <w:rFonts w:hint="eastAsia" w:asciiTheme="minorEastAsia" w:hAnsiTheme="minorEastAsia" w:eastAsiaTheme="minorEastAsia" w:cstheme="minorEastAsia"/>
          <w:color w:val="333335"/>
          <w:kern w:val="2"/>
          <w:sz w:val="28"/>
          <w:szCs w:val="28"/>
          <w:shd w:val="clear" w:color="auto" w:fill="FFFFFF"/>
        </w:rPr>
        <w:t>本周美国能源信息署(EIA)周三(7月22日)公布报告显示，上周美国原油供应量意外增加，精炼油库存创下38年来新高。EIA数据显示，截至7月17日当周，美国EIA原油库存较此前一周增加489.2万桶，市场预期减少220万桶。上周精炼油库存增加107.4万桶，库存总量创1982年来新高，市场预期增加50万桶，上上周减少45.3万桶。上周EIA汽油库存减少180.2万桶，市场预期减少150万桶，上上周减少314.7万桶。上周EIA精炼厂设备利用率下降0.2%，市场预期上升0.5%，上上周升0.6%。上周EIA库欣地区原油库存增加137.5万桶，上上周增加94.9万桶。美国石油协会(API)公布的数据显示，美国截至7月17日当周API原油库存增加754.4万桶，预期减少195万桶;汽油库存减少201.9万桶;精炼油库存减少135.7万桶。</w:t>
      </w:r>
    </w:p>
    <w:p>
      <w:pPr>
        <w:pStyle w:val="23"/>
        <w:numPr>
          <w:ilvl w:val="0"/>
          <w:numId w:val="2"/>
        </w:numPr>
        <w:spacing w:line="360" w:lineRule="auto"/>
        <w:ind w:left="0" w:leftChars="0" w:firstLine="551" w:firstLineChars="196"/>
        <w:rPr>
          <w:rFonts w:hint="eastAsia" w:ascii="黑体" w:eastAsia="黑体"/>
          <w:b/>
          <w:sz w:val="28"/>
          <w:szCs w:val="28"/>
        </w:rPr>
      </w:pPr>
      <w:r>
        <w:rPr>
          <w:rFonts w:hint="eastAsia" w:ascii="黑体" w:eastAsia="黑体"/>
          <w:b/>
          <w:sz w:val="28"/>
          <w:szCs w:val="28"/>
        </w:rPr>
        <w:t>美国经济形势</w:t>
      </w:r>
      <w:bookmarkEnd w:id="6"/>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7" w:name="_Toc10115993"/>
      <w:r>
        <w:rPr>
          <w:rFonts w:hint="eastAsia" w:asciiTheme="minorEastAsia" w:hAnsiTheme="minorEastAsia" w:eastAsiaTheme="minorEastAsia" w:cstheme="minorEastAsia"/>
          <w:color w:val="333335"/>
          <w:kern w:val="2"/>
          <w:sz w:val="28"/>
          <w:szCs w:val="28"/>
          <w:shd w:val="clear" w:color="auto" w:fill="FFFFFF"/>
        </w:rPr>
        <w:t>本周北京时间30日凌晨，美股周三收高。美联储维持利率不变，重申鸽派立场。鲍威尔继续强调疫情影响，称需要财政政策支持复苏。市场关注大型科技公司高管的国会证词与企业财报。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道指涨160.29点，或0.61%，报26539.57点;纳指涨140.85点，或1.35%，报10542.94点;标普500指数涨40.00点，或1.24%，报3258.44点。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金融与科技股领涨。道指金融股当中，摩根大通收高2.5%，美国运通收高2.4%。美股科技股普遍收涨，AMD涨超12%，台积电涨超7%，苹果涨近2%。</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美联储维持利率不变 重申鸽派政策立场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经过两天会议后，美联储周三下午宣布维持0%-0.25%的利率不变，并将超额准备金率(IOER)维持在0.1%不变。</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美联储声明显示，委员们一致同意此次的利率决定(与上次会议一致)。美联储还决定将贴现利率维持在0.25%不变，延长央行回购和掉期额度至明年3月31日。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联储声明称：将维持利率在当前水平，直到美联储确信经济已经度过了最近的危机，并走上实现最大就业和价格稳定目标的轨道。经济发展路径取决于冠状病毒疫情的发展。经济活动和就业岗位上升，但仍低于此前的水平。美联储将使用所有工具支撑经济。</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声明指出，需求疲软，低油价使通胀低企;美联储将“以当前的速度”增加资产规模(资产购买)。金融状况有所改善，部分原因在于美联储的行动。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美联储在声明中重申持续的健康危机将拖累经济活动、就业和通货膨胀。</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媒体评论认为，美联储决议维稳政策措施不变，决议措辞中规中矩，提到了疫情风险，但也强调了经济活动水平已经开始回稳的现况，措辞不及预期宽松。</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有分析称，美联储决议措辞并无亮点，皮球被踢回财政政策，美元继续承压。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当地时间周三(7月29日)发布的政策决议与此前相比几无变化，继续维稳各项政策措施的同时依旧强调了疫情的影响冲击，但也强调之前采取的措施已经产生效果，而未来的进一步政策走向仍要基于疫情发展而定，因而购债力度将维持在当前水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虽然美联储并未透露过激的进一步宽松预期，但投资者认为其措辞很大程度上在强调自身已经“仁至义尽”，因而把责任皮球踢回了财政政策领域。而与此同时在另一个战场传出的消息却是美国国会两党在进一步财政刺激计划的商谈中仍然陷入僵局，而这才是近日以来令美元指数变本加厉承压的真正元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美联储声明公布后，据CME“美联储观察”预测：美联储9月维持利率在0%-0.25%区间的概率为100%，加息25个基点至0.25%-0.50%区间的概率为0%;11月维持利率在0%-0.25%区间的概率为100%，加息25个基点的概率为0%。</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鲍威尔继续强调疫情影响 称需要财政政策支持复苏</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美联储主席鲍威尔在联储决议公布后的新闻发布会上表示，美联储目标是确保经济强劲复苏，控制疫情的破坏力。他称：“我们所有人都可以在应对疫情中发挥作用”。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鲍威尔表示，家庭支出已经恢复了一半，企业固定资产投资尚待复苏。第二季度GDP萎缩幅度可能为有史以来最大。美联储将竭尽全力帮助经济增长。</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他认为疫情对通胀有显著影响，食品价格上涨增加了民众负担。薪资下降表明劳动力市场复苏还有很长的路要走。冠状病毒确诊病例数量大幅上升，疫情给通胀留下显著印迹，经济发展路径异常不确定。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鲍威尔称，在人们感到安全之前，全面复苏不太可能。经济路径取决于政府的各个层面的行动。他称看到病例增长令经济承压的迹象。经济路径取决于政府行动的水平。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他表示，自6月底以来，一些衡量消费者支出的指标有所下降，借贷计划提振了私人信贷的扩张。鲍威尔重申美联储只能发放贷款不能拨款。财政政策迄今产生了显著影响。保持信贷流对经济复苏至关重要。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鲍威尔强调，需要财政和货币政策支持复苏。计划结束将因疫情推迟的框架审查。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分析称，美联储主席鲍威尔在记者会讲话措辞偏向悲观，继续强调了疫情的影响，并同样将进一步提振维稳经济的责任推给了财政政策，这令美元多头信心进一步受挫。</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市场关注科技巨头高管国会证词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周三，亚马逊(AMZN)CEO杰夫-贝索斯、苹果(AAPL)CEO蒂姆-库克、Facebook(FB)CEO马克-扎克伯格和Google母公司Alphabet(GOOG， GOOGL)的CEO桑达-皮采等人出席了美国国会众议院司法委员会的听证会，讨论一系列关于这些公司令人担忧的市场力量与商业行为等问题，其中一些问题已出于反垄断目的被相关机构细致审查。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苹果公司的蒂姆-库克周三向美国国会众议院司法委员会作证时表示，苹果公司不是个垄断企业。而iPhone在智能手机中也不占主导地位，事实上，谷歌拥有占据全球主导地位的操作系统，也就是Android。</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库克认为，激发和发展了庞大的移动软件市场，这是苹果公司的功劳，甚至还援引了该公司创始人史蒂夫-乔布斯(Steve Jobs)说过的“就是这么好用(It Just Works)”这句话来形容其产品。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美国总统特朗普周三发布推文表示：“如果国会不在大型科技公司问题上秉持公正，那么我将通过下达行政令来做到这一点。”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在周二晚公布的事先准备好的证词中，四位CEO都辩称，他们的创业精神体现了美国的价值观，他们的公司面临着激烈的竞争，他们总是在创新，为消费者创造更好的产品。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许多人认为，冠状病毒疫情大流行加剧了这些问题，因为疫情消灭了这些巨头的竞争对手，并将业务进一步推向已非常强大的大型科技公司。</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WedBush分析师Dan Ives在研报中表示：“尽管从根本上说，FAANG五巨头在艰难环境中的表现比许多人所担心的要好，尤其是亚马逊，该公司显然是现行疫情封锁隔离措施的受益者，但展望未来2020年，针对这些科技行业局巨头的反垄断调查风暴似乎正在从华盛顿刮过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他补充说：“我们注意到，许多州的调查都集中在Google的在线广告上，而司法部则更广泛地关注人们对Google利用其搜索业务主导地位扼杀竞争的担忧。在美欧两地，尤其是在欧盟，苹果App Store强行收取30%手续费的行为都是火力焦点。随着库克出席听证会，苹果的商业行为将受到更深入的调查。”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美国国会继续进行新一轮财政刺激谈判</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周三美国众议院司法委员会正在就一项新的经济刺激计划进行谈判，以支持工人和小企业。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参议院多数党领袖麦康奈尔公布了一项新的1万亿美元计划后，议员们继续就一项新的经济刺激计划进行谈判，该计划将向美国人提供另一轮1200美元的支票。不过，额外联邦失业救济金可能会从目前的每周600美元削减至每周200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尽管货币政策和科技监管的未来将成为今天的焦点，但在为刚刚开始的经济复苏设定短期轨道方面，新的财政刺激措施将是最重要的。</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值得注意的是，鲍威尔和他的同事们也敦促国会需要做得更多，他们可能更倾向于施加压力，等待他们采取行动。民主党人与共和党人发生冲突，而共和党人则在扩大紧急援助的问题上进行内部斗争。最紧迫的问题是本月底将到期的联邦失业救济金。</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焦点个股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通用电气第二季度调整后每股亏损15美分，市场预估每股亏损10美分;第二季度营收177亿美元，市场预估172.3亿美元。通用称今年下半年盈利和现金的连续改善是可以实现的，并预计2021年工业自由现金流将恢复到正值。通用电气盘前小幅上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波音第二季度营收118亿美元，市场预估129.9亿美元，去年同期为157.51亿美元;第二季度每股亏损4.79美元，分析师预期每股亏损2.54美元。波音公司还宣布放慢737 Max、777X和787飞机的生产速度。</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Visa第三财季营收不及市场预期。</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星巴克第三财季复苏超预期。</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eBay发布第二季度财报。</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Spotify第二季度亏损超市场预期。</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Moderna据悉将新冠病毒疫苗价格定为每疗程50至60美元。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柯达继续攀升。此前获得美国政府7.65亿美元用于仿制药生产的贷款。</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吉利德科学与欧盟就瑞德西韦供应签署协议。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特斯拉昨日向美国证券交易委员会 递交了二季度文件，统计数据发现，特斯拉Q2的整体毛利率为24.4%，但除去监管信用收入及递延收入之后，毛利率仅为14.3%。</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罗森布拉特证券将AMD目标价从70美元上调至120美元。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其他市场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周三欧洲主要股指涨跌不一，德国DAX指数收跌0.12%，英国富时100指数收涨0.03%，法国CAC40指数收涨0.61%，意大利富时指数收跌0.18%，欧洲斯托克50指数收跌0.08%。</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纽约期金连续四天创收盘历史新高：COMEX 8月黄金期货收涨将近0.5%，报1953.40美元/盎司，连续三个交易日收于1900美元/盎司上方。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黄金期货价格周三再创收盘历史新高。在联邦公开市场委员会(FOMC)宣布维持接近于零的利率不变直至经济回归正轨、并重申鸽派立场后，电子交易盘中的黄金期货价格继续上扬。</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周三纽约商品交易所8月交割的黄金期货价格上涨8.80美元，涨幅近0.5%，收于每盎司1953.40美元。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美联储在黄金期货市场收盘后、于美东时间周三下午2点公布了FOMC会议结果，维持利率不变并重申鸽派立场。消息公布后，电子交易盘中的8月黄金期货价格小幅上涨至每盎司1956.40美元。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原油期货价格周三收高。美国政府数据显示美国上周原油库存减少超过1000万桶，创今年最大单周跌幅，令油价得到提振。</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但美国汽油库存意外攀升，使市场担心能源需求增长缓慢，导致油价涨幅受到限制。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能源信息署(EIA)周三宣布，截止7月24日当周，美国原油库存减少1060万桶，为今年最大单周跌幅。此前接受标普全球普氏能源资讯调查的分析师平均预期美油库存减少120万桶。周二美国石油协会(API)宣布上周美国原油库存减少680万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Tyche Capital Advisors常务理事Tariq Zahir表示，美国原油库存下降幅度令人惊讶，但“深入探查该数据，我们发现汽油与馏分油库存均大幅增长。”</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他称，汽油库存增加显示“驾驶需求并没有像往年这个时候那样出现增长。”</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周三，纽约商品交易所9月交割的西德州中质原油(WTI)期货价格上涨23美分，涨幅0.6%，收于每桶41.27美元。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伦敦洲际交易所9月交割的布伦特原油期货价格上涨53美分，涨幅1.2%，收于每桶43.75美元。</w:t>
      </w:r>
    </w:p>
    <w:p>
      <w:pPr>
        <w:pStyle w:val="23"/>
        <w:spacing w:line="360" w:lineRule="auto"/>
        <w:ind w:firstLine="560" w:firstLineChars="200"/>
        <w:rPr>
          <w:rFonts w:hint="eastAsia" w:ascii="华文仿宋" w:hAnsi="华文仿宋" w:eastAsia="华文仿宋" w:cs="华文仿宋"/>
          <w:color w:val="333335"/>
          <w:kern w:val="2"/>
          <w:sz w:val="28"/>
          <w:szCs w:val="28"/>
          <w:shd w:val="clear" w:color="auto" w:fill="FFFFFF"/>
        </w:rPr>
      </w:pPr>
    </w:p>
    <w:p>
      <w:pPr>
        <w:pStyle w:val="23"/>
        <w:spacing w:line="360" w:lineRule="auto"/>
        <w:ind w:firstLine="560" w:firstLineChars="200"/>
        <w:rPr>
          <w:rFonts w:ascii="华文仿宋" w:hAnsi="华文仿宋" w:eastAsia="华文仿宋" w:cs="华文仿宋"/>
          <w:color w:val="333335"/>
          <w:kern w:val="2"/>
          <w:sz w:val="28"/>
          <w:szCs w:val="28"/>
          <w:shd w:val="clear" w:color="auto" w:fill="FFFFFF"/>
        </w:rPr>
      </w:pPr>
    </w:p>
    <w:p>
      <w:pPr>
        <w:pStyle w:val="23"/>
        <w:numPr>
          <w:ilvl w:val="0"/>
          <w:numId w:val="2"/>
        </w:numPr>
        <w:spacing w:line="360" w:lineRule="auto"/>
        <w:ind w:left="0" w:leftChars="0" w:firstLine="551" w:firstLineChars="196"/>
        <w:jc w:val="both"/>
        <w:rPr>
          <w:rFonts w:hint="eastAsia" w:ascii="黑体" w:eastAsia="黑体"/>
          <w:b/>
          <w:sz w:val="28"/>
          <w:szCs w:val="28"/>
        </w:rPr>
      </w:pPr>
      <w:r>
        <w:rPr>
          <w:rFonts w:hint="eastAsia" w:ascii="黑体" w:eastAsia="黑体"/>
          <w:b/>
          <w:sz w:val="28"/>
          <w:szCs w:val="28"/>
        </w:rPr>
        <w:t>世界经济形势</w:t>
      </w:r>
      <w:bookmarkEnd w:id="7"/>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7月28日，在亚洲基础设施投资银行第五届理事会年会上，第五届理事会主席、中国财政部部长刘昆宣布，亚投行理事会根据《亚投行行长选举规则》和《亚投行行长选举程序》选举金立群为亚投行第二任行长。金立群将于2021年1月16日就任第二任行长，任期5年。</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作为一家多边开发银行，亚投行致力于提高亚洲经济和社会发展，通过对亚洲及其他地区可持续基础设施和其他生产性领域的投资，促进民心、服务和市场的联通。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刘昆表示，亚投行开业4年多来，秉持“简洁、清廉、绿色”理念，坚持国际性、规范性、高标准，不断发展壮大，贷款额累计接近200亿美元，借款成员增加到24个。面对突如其来的新冠肺炎疫情，亚投行迅速行动，支持成员应对疫情和恢复经济，充分体现了亚投行的行动力。</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中国社会科学院世界经济与政治研究所研究室主任张明表示，亚投行是由中国国家主席习近平倡议筹建，习近平主席在此次理事会上的致辞对亚投行未来发展提出了重要主张，可以预见亚投行将有利于促进区域互联互通和经济一体化，推动经济全球化发展。</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刘昆表示，中国作为亚投行重要股东和总部东道国，将继续发挥负责任大国作用，通过与各成员携手努力，共同推动亚投行为提升亚洲地区乃至全球基础设施和互联互通水平、促进经济复苏和可持续发展作出更大贡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金立群表示，在过去几年里为银行长期发展打下了坚实的基础，亚投行建立了高标准的治理架构，投资多个惠及民生的项目，积极活跃在国际资本市场。他认为，亚投行发展取得的可喜成果，离不开董事会和全体员工的共同努力，以及各成员和发展伙伴的大力支持。</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据悉，金立群担任首任行长期间，亚投行成员数量从创始时的57个，增加至来自世界6大洲的103个成员。国际三大信用评级机构标准普尔、穆迪和惠誉始终给予亚投行最高的信用评级AAA，并保持稳定的评级展望。联合国高度肯定亚投行对发展使命作出的贡献，授予亚投行联合国大会永久观察员地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金立群表示，展望未来10年，亚投行将继续扩大投资，从核心的基础设施领域，伸延到面向未来的基础设施，聚焦应对气候变化，加强亚洲地区互联互通，动员私营资本，缩小亚洲和其他地区的数字鸿沟;亚投行将致力于推进多边合作，为推动亚洲的持续繁荣发展作出贡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张明表示，作为21世纪新型多边开发银行，期待亚投行更多参与国际发展合作，创造国际发展合作最佳实践，创新发展理念，为国际发展合作事业贡献新的实践和智慧，“亚投行应积极倡导多边主义，全面深化合作伙伴关系，为区域与全球不断提供公共产品”。</w:t>
      </w:r>
    </w:p>
    <w:p>
      <w:pPr>
        <w:pStyle w:val="23"/>
        <w:spacing w:line="360" w:lineRule="auto"/>
        <w:ind w:firstLine="560" w:firstLineChars="200"/>
        <w:rPr>
          <w:rFonts w:ascii="华文仿宋" w:hAnsi="华文仿宋" w:eastAsia="华文仿宋" w:cs="华文仿宋"/>
          <w:sz w:val="28"/>
          <w:szCs w:val="28"/>
        </w:rPr>
      </w:pPr>
    </w:p>
    <w:p>
      <w:pPr>
        <w:pStyle w:val="23"/>
        <w:numPr>
          <w:ilvl w:val="0"/>
          <w:numId w:val="0"/>
        </w:numPr>
        <w:rPr>
          <w:rFonts w:hint="eastAsia" w:ascii="黑体" w:eastAsia="黑体"/>
          <w:b/>
          <w:sz w:val="28"/>
          <w:szCs w:val="28"/>
        </w:rPr>
      </w:pPr>
      <w:r>
        <w:rPr>
          <w:rFonts w:hint="eastAsia" w:ascii="黑体" w:eastAsia="黑体"/>
          <w:b/>
          <w:sz w:val="28"/>
          <w:szCs w:val="28"/>
          <w:lang w:val="en-US" w:eastAsia="zh-CN"/>
        </w:rPr>
        <w:t>4、</w:t>
      </w:r>
      <w:r>
        <w:rPr>
          <w:rFonts w:hint="eastAsia" w:ascii="黑体" w:eastAsia="黑体"/>
          <w:b/>
          <w:sz w:val="28"/>
          <w:szCs w:val="28"/>
        </w:rPr>
        <w:t>后市预测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美国WTI原油原油价格在41.04-41.29美元/桶。布伦特原油价格在43.22-43.75美元/桶震荡。周内国际油价平稳走势。美国上周API、EIA原油库存均出人意料地出现大幅下降，而在新冠肺炎疫情爆发几个月后，有迹象显示燃料需求出现改善，令交易员感到鼓舞，油价周三(7月29日)小幅收涨：美国WTI原油9月期货收涨0.23美元，报41.27美元/桶，涨幅0.6%;布伦特原油9月期货上涨0.53美元，涨幅1.2%，报43.41美元/桶。基本面利好因素：北京时间周三晚间，美国能源信息署(EIA)公布的数据显示，截至7月24日当周，EIA原油库存减少1061.10万桶，预期减少17.1万桶，前值增加489.2万桶;精炼油库存实际公布增加50.30万桶，预期增加53.4万桶，前值增加107.4万桶。北京时间周三，美国石油协会(API)公布的数据显示，截至7月24日当周，API原油库存大幅减少682.9万桶至5.31亿桶，此前一周出乎意料地增加了754.4万桶;美国上周原油进口减少130万桶/日。尽管API数据显示美国原油库存降幅大于市场预期，但考虑到上周数据录得意外大幅增加，且汽油的消费需求亦存疑，市场情绪喜忧参半。Tyche Capital分析师认为，目前无论是驾驶还是航空业，对原油的需求都存在明显的减弱。美国参议院共和党人于周一下午公布了一项新的1万亿美元新冠援助计划提案。该提案除了将把联邦失业保险金设定在工人以前工资的70%，以取代本周停止支付的600美元/周的失业金，将允许收入下降超过50%的小企业申请第二笔工资保护计划贷款，提供1050亿美元帮助学校在秋季重新开学，其中包括160亿美元，用于帮助各州提高新冠病毒的检测能力。道明证券指出，鉴于美国的产量尚未出现进一步下降，而未来几周美国的需求增长速度可能有所改善，且美国政府已开始认真鼓励使用口罩等措施，以限制新冠病毒的传播，油价料逐步涨回交易区间的顶部，预计短期内将交投于38美元至42美元区间，然后进一步涨向44美元。基本面利空因素：北京时间周三晚间，美国能源信息署(EIA)公布的数据显示，截至7月24日当周，EIA汽油库存增加65.40万桶，预期减少119.6万桶，前值减少180.2万桶。北京时间周三，美国石油协会(API)公布的数据显示，截至7月24日当周，库欣原油库存增加114.4万桶，高于前值增加71.6万桶;精炼油库存增加18.7万桶，高于此前预期的减少33.3万桶，以及减少135.7万桶的前值;汽油库存增加108.3万桶，远高于此前预期的减少96.7万桶以及减少201.9万桶的前值。API数据公布后，美、布两油短线小幅下挫。FlightRadar周一公布的数据显示，过去两周，商用航空的燃油需求也出现下降，而自4月底以来一直在上升。上周，美国西南航空和美国航空等多家美国航空公司缩减了航班计划，以增加秋季航班的运力。而美国政府决定对从西班牙返回的旅客实施隔离限制，这一决定势必会破坏原本只能部分恢复的航班。除此之外，摩根大通分析师预计，近期内美国石油产量将小幅增长，如果可能是短暂的，这一预期也得到了美国油服公司贝克休斯上周五发布的数据的证实。该数据显示，自3月份以来，石油钻井总数首次出现增长，但总钻井总数仍较两年前的峰值下降了近80%。对全世界许多国家和地区来说，第二波新冠肺炎疫情已从威胁变成了现实。欧盟、日本、美国和其他一些国家和地区承认遭遇了新疫情。这些国家的政府已重新开始实施隔离措施、从疫区紧急撤离人口并开展病毒检测。专家认为，新一波疫情的暴发让世界经济快速恢复的前景化为泡影。这意味着，世界能源需求将继续减少，未来油价将继续下滑。</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预测下周WTI油价将触及40-42美元/桶，布油在之后几个月触及42-44美元/桶。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numPr>
          <w:ilvl w:val="0"/>
          <w:numId w:val="0"/>
        </w:numPr>
        <w:spacing w:line="360" w:lineRule="auto"/>
        <w:jc w:val="both"/>
        <w:rPr>
          <w:rFonts w:hint="eastAsia" w:ascii="黑体" w:eastAsia="黑体"/>
          <w:b/>
          <w:sz w:val="28"/>
          <w:szCs w:val="28"/>
          <w:lang w:eastAsia="zh-CN"/>
        </w:rPr>
      </w:pPr>
    </w:p>
    <w:p>
      <w:pPr>
        <w:pStyle w:val="3"/>
        <w:spacing w:before="120" w:after="120" w:line="240" w:lineRule="auto"/>
        <w:rPr>
          <w:rFonts w:hint="eastAsia" w:ascii="宋体" w:hAnsi="宋体"/>
          <w:b/>
          <w:sz w:val="30"/>
          <w:szCs w:val="30"/>
          <w:highlight w:val="none"/>
        </w:rPr>
      </w:pPr>
      <w:bookmarkStart w:id="8" w:name="_Toc533771866"/>
      <w:r>
        <w:rPr>
          <w:rFonts w:hint="eastAsia" w:ascii="宋体" w:hAnsi="宋体"/>
          <w:b/>
          <w:sz w:val="30"/>
          <w:szCs w:val="30"/>
          <w:highlight w:val="none"/>
        </w:rPr>
        <w:t>2.2国际市场MTBE价格</w:t>
      </w:r>
      <w:bookmarkEnd w:id="8"/>
    </w:p>
    <w:p/>
    <w:tbl>
      <w:tblPr>
        <w:tblStyle w:val="24"/>
        <w:tblW w:w="7230" w:type="dxa"/>
        <w:tblInd w:w="0" w:type="dxa"/>
        <w:shd w:val="clear" w:color="auto" w:fill="auto"/>
        <w:tblLayout w:type="autofit"/>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7月29日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414.00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114.95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446.25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7月28日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414.50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118.40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451.25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7月27日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417.40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119.31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446.75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7月24日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418.30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120.32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455.25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7月23日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117.70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460.75 </w:t>
            </w:r>
          </w:p>
        </w:tc>
      </w:tr>
    </w:tbl>
    <w:p>
      <w:pPr>
        <w:pStyle w:val="2"/>
        <w:spacing w:before="120" w:after="0" w:line="240" w:lineRule="auto"/>
        <w:rPr>
          <w:rFonts w:hint="eastAsia"/>
        </w:rPr>
      </w:pPr>
    </w:p>
    <w:p>
      <w:pPr>
        <w:pStyle w:val="2"/>
        <w:numPr>
          <w:ilvl w:val="0"/>
          <w:numId w:val="3"/>
        </w:numPr>
        <w:spacing w:before="120" w:after="0" w:line="240" w:lineRule="auto"/>
        <w:rPr>
          <w:rFonts w:hint="eastAsia"/>
          <w:b/>
        </w:rPr>
      </w:pPr>
      <w:r>
        <w:rPr>
          <w:rFonts w:hint="eastAsia"/>
          <w:b/>
        </w:rPr>
        <w:t>本周国内市场</w:t>
      </w:r>
      <w:bookmarkEnd w:id="9"/>
    </w:p>
    <w:p>
      <w:pPr>
        <w:numPr>
          <w:ilvl w:val="0"/>
          <w:numId w:val="0"/>
        </w:numPr>
      </w:pPr>
    </w:p>
    <w:p>
      <w:pPr>
        <w:pStyle w:val="3"/>
        <w:spacing w:before="120" w:after="120" w:line="240" w:lineRule="auto"/>
      </w:pPr>
      <w:bookmarkStart w:id="10" w:name="_Toc533771868"/>
      <w:r>
        <w:rPr>
          <w:rFonts w:hint="eastAsia" w:ascii="宋体" w:hAnsi="宋体"/>
          <w:b/>
          <w:sz w:val="30"/>
          <w:szCs w:val="30"/>
          <w:highlight w:val="none"/>
        </w:rPr>
        <w:t>3.1 国内炼厂装置运行情况</w:t>
      </w:r>
      <w:bookmarkEnd w:id="10"/>
    </w:p>
    <w:p>
      <w:pPr>
        <w:rPr>
          <w:rFonts w:hint="eastAsia" w:ascii="宋体" w:hAnsi="宋体"/>
          <w:sz w:val="28"/>
          <w:szCs w:val="28"/>
          <w:highlight w:val="none"/>
        </w:rPr>
      </w:pPr>
      <w:r>
        <w:rPr>
          <w:rFonts w:hint="eastAsia" w:ascii="宋体" w:hAnsi="宋体"/>
          <w:sz w:val="28"/>
          <w:szCs w:val="28"/>
          <w:highlight w:val="none"/>
        </w:rPr>
        <w:t>（1）国内主营炼厂装置检修情况</w:t>
      </w:r>
    </w:p>
    <w:tbl>
      <w:tblPr>
        <w:tblStyle w:val="24"/>
        <w:tblW w:w="940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7"/>
        <w:gridCol w:w="1699"/>
        <w:gridCol w:w="1841"/>
        <w:gridCol w:w="2220"/>
        <w:gridCol w:w="21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497"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699"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41"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装置能力（万吨）</w:t>
            </w:r>
          </w:p>
        </w:tc>
        <w:tc>
          <w:tcPr>
            <w:tcW w:w="2220"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开始时间</w:t>
            </w:r>
          </w:p>
        </w:tc>
        <w:tc>
          <w:tcPr>
            <w:tcW w:w="2145"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结束时间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3#催化裂化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延迟焦化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3#柴油加氢</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330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800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茂名石化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北海</w:t>
            </w:r>
            <w:r>
              <w:rPr>
                <w:rFonts w:hint="eastAsia" w:ascii="宋体" w:hAnsi="宋体" w:cs="宋体"/>
                <w:i w:val="0"/>
                <w:color w:val="000000"/>
                <w:kern w:val="0"/>
                <w:sz w:val="21"/>
                <w:szCs w:val="21"/>
                <w:u w:val="none"/>
                <w:lang w:val="en-US" w:eastAsia="zh-CN" w:bidi="ar"/>
              </w:rPr>
              <w:t>炼</w:t>
            </w:r>
            <w:r>
              <w:rPr>
                <w:rFonts w:hint="eastAsia" w:ascii="宋体" w:hAnsi="宋体" w:eastAsia="宋体" w:cs="宋体"/>
                <w:i w:val="0"/>
                <w:color w:val="000000"/>
                <w:kern w:val="0"/>
                <w:sz w:val="21"/>
                <w:szCs w:val="21"/>
                <w:u w:val="none"/>
                <w:lang w:val="en-US" w:eastAsia="zh-CN" w:bidi="ar"/>
              </w:rPr>
              <w:t>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天津石化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250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大连石化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w:t>
            </w:r>
            <w:r>
              <w:rPr>
                <w:rFonts w:hint="eastAsia" w:ascii="宋体" w:hAnsi="宋体" w:cs="宋体"/>
                <w:i w:val="0"/>
                <w:color w:val="000000"/>
                <w:kern w:val="0"/>
                <w:sz w:val="21"/>
                <w:szCs w:val="21"/>
                <w:u w:val="none"/>
                <w:lang w:val="en-US" w:eastAsia="zh-CN" w:bidi="ar"/>
              </w:rPr>
              <w:t>年4月上旬陆续停</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广西石化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2020/2/9</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宁夏</w:t>
            </w:r>
            <w:r>
              <w:rPr>
                <w:rFonts w:hint="eastAsia" w:ascii="宋体" w:hAnsi="宋体" w:eastAsia="宋体" w:cs="宋体"/>
                <w:i w:val="0"/>
                <w:color w:val="000000"/>
                <w:kern w:val="0"/>
                <w:sz w:val="21"/>
                <w:szCs w:val="21"/>
                <w:u w:val="none"/>
                <w:lang w:val="en-US" w:eastAsia="zh-CN" w:bidi="ar"/>
              </w:rPr>
              <w:t>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500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2020年8月中旬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锦西石化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700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2020年7月</w:t>
            </w:r>
            <w:r>
              <w:rPr>
                <w:rFonts w:hint="eastAsia" w:ascii="宋体" w:hAnsi="宋体" w:cs="宋体"/>
                <w:i w:val="0"/>
                <w:color w:val="000000"/>
                <w:kern w:val="0"/>
                <w:sz w:val="21"/>
                <w:szCs w:val="21"/>
                <w:u w:val="none"/>
                <w:lang w:val="en-US" w:eastAsia="zh-CN" w:bidi="ar"/>
              </w:rPr>
              <w:t>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2020年9月底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惠州炼厂</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二期</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2020年10月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2020年12月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中海油气(泰州)</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4月下旬</w:t>
            </w:r>
          </w:p>
        </w:tc>
      </w:tr>
    </w:tbl>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4"/>
        </w:numPr>
        <w:rPr>
          <w:rFonts w:hint="eastAsia" w:ascii="宋体" w:hAnsi="宋体"/>
          <w:sz w:val="28"/>
          <w:szCs w:val="28"/>
          <w:highlight w:val="none"/>
        </w:rPr>
      </w:pPr>
      <w:r>
        <w:rPr>
          <w:rFonts w:hint="eastAsia" w:ascii="宋体" w:hAnsi="宋体"/>
          <w:sz w:val="28"/>
          <w:szCs w:val="28"/>
          <w:highlight w:val="none"/>
        </w:rPr>
        <w:t>国内地方炼厂装置检修情况</w:t>
      </w:r>
    </w:p>
    <w:tbl>
      <w:tblPr>
        <w:tblStyle w:val="24"/>
        <w:tblW w:w="9405" w:type="dxa"/>
        <w:tblInd w:w="0" w:type="dxa"/>
        <w:shd w:val="clear" w:color="auto" w:fill="auto"/>
        <w:tblLayout w:type="autofit"/>
        <w:tblCellMar>
          <w:top w:w="0" w:type="dxa"/>
          <w:left w:w="0" w:type="dxa"/>
          <w:bottom w:w="0" w:type="dxa"/>
          <w:right w:w="0" w:type="dxa"/>
        </w:tblCellMar>
      </w:tblPr>
      <w:tblGrid>
        <w:gridCol w:w="1782"/>
        <w:gridCol w:w="1188"/>
        <w:gridCol w:w="1890"/>
        <w:gridCol w:w="2385"/>
        <w:gridCol w:w="2160"/>
      </w:tblGrid>
      <w:tr>
        <w:tblPrEx>
          <w:shd w:val="clear" w:color="auto" w:fill="auto"/>
          <w:tblCellMar>
            <w:top w:w="0" w:type="dxa"/>
            <w:left w:w="0" w:type="dxa"/>
            <w:bottom w:w="0" w:type="dxa"/>
            <w:right w:w="0" w:type="dxa"/>
          </w:tblCellMar>
        </w:tblPrEx>
        <w:trPr>
          <w:trHeight w:val="24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18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检修产能（万吨）</w:t>
            </w:r>
          </w:p>
        </w:tc>
        <w:tc>
          <w:tcPr>
            <w:tcW w:w="23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停工时间</w:t>
            </w:r>
          </w:p>
        </w:tc>
        <w:tc>
          <w:tcPr>
            <w:tcW w:w="21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开工时间</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海右(晨曦)石化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2018年5月1日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计划2020年7月7日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岚桥石化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2020年5月10日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2020年3月30日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奥星(亨润德)石化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海化石化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延迟重启、待定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中海精细化工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2020年1月12日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万达天弘</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恒源石化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富宇化工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2020年4月2</w:t>
            </w: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亚通石化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2020年1月27日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2020年2月15日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汽油加氢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尚能石化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神驰化工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玉皇盛世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2020年3月4日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寿光联盟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胜星化工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380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科力达石化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正和石化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昌邑石化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无棣鑫岳</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2020年2月19日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华联石化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2020年4月</w:t>
            </w:r>
            <w:r>
              <w:rPr>
                <w:rFonts w:hint="eastAsia" w:ascii="宋体" w:hAnsi="宋体" w:cs="宋体"/>
                <w:i w:val="0"/>
                <w:color w:val="000000"/>
                <w:kern w:val="0"/>
                <w:sz w:val="21"/>
                <w:szCs w:val="21"/>
                <w:u w:val="none"/>
                <w:lang w:val="en-US" w:eastAsia="zh-CN" w:bidi="ar"/>
              </w:rPr>
              <w:t>29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5月初</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2020年3月15日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柴油加氢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奥星石化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预计2020年7月底</w:t>
            </w:r>
          </w:p>
        </w:tc>
      </w:tr>
    </w:tbl>
    <w:p>
      <w:pPr>
        <w:numPr>
          <w:ilvl w:val="0"/>
          <w:numId w:val="0"/>
        </w:numPr>
        <w:jc w:val="center"/>
        <w:rPr>
          <w:rFonts w:hint="eastAsia" w:ascii="宋体" w:hAnsi="宋体"/>
          <w:sz w:val="28"/>
          <w:szCs w:val="28"/>
          <w:highlight w:val="none"/>
        </w:rPr>
      </w:pPr>
    </w:p>
    <w:p>
      <w:pPr>
        <w:rPr>
          <w:rFonts w:hint="eastAsia"/>
        </w:rPr>
      </w:pPr>
      <w:bookmarkStart w:id="11" w:name="_Toc533771869"/>
    </w:p>
    <w:bookmarkEnd w:id="11"/>
    <w:p>
      <w:pPr>
        <w:pStyle w:val="3"/>
        <w:spacing w:before="120" w:after="120" w:line="240" w:lineRule="auto"/>
        <w:rPr>
          <w:rFonts w:hint="eastAsia" w:ascii="宋体" w:hAnsi="宋体"/>
          <w:b/>
          <w:sz w:val="30"/>
          <w:szCs w:val="30"/>
          <w:highlight w:val="none"/>
        </w:rPr>
      </w:pPr>
      <w:bookmarkStart w:id="12" w:name="_Toc533771870"/>
      <w:r>
        <w:rPr>
          <w:rFonts w:hint="eastAsia" w:ascii="宋体" w:hAnsi="宋体"/>
          <w:b/>
          <w:sz w:val="30"/>
          <w:szCs w:val="30"/>
          <w:highlight w:val="none"/>
        </w:rPr>
        <w:t>3.2本周成品油市场行情</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22" w:name="_GoBack"/>
      <w:r>
        <w:rPr>
          <w:rFonts w:hint="eastAsia" w:asciiTheme="minorEastAsia" w:hAnsiTheme="minorEastAsia" w:eastAsiaTheme="minorEastAsia" w:cstheme="minorEastAsia"/>
          <w:color w:val="333335"/>
          <w:kern w:val="2"/>
          <w:sz w:val="28"/>
          <w:szCs w:val="28"/>
          <w:shd w:val="clear" w:color="auto" w:fill="FFFFFF"/>
        </w:rPr>
        <w:t>本周，国际原油期货高位震荡，据测算第四个工作日参考原油变化率为0.74%。受此影响，国内成品油市场购销氛围持淡，各地主营单位汽柴油销售执行优惠政策。与此同时，山东地炼成品油行情涨势减弱，其中部分炼厂报价在周中小幅回调后再度推涨，但实际成交始终保持100元/吨左右优惠。具体来看出货方面：周初，原油走势震荡对油市无法形成有力提振，且各地降雨导致道路运输不畅，是的社会单位库存高企有待进一步消化，市场成交多以散户小单为主;临近周末，外盘油价收涨提振业者心态，加之此前部分下游逢低补货使得多数炼厂库存降低，因此地炼推价积极性再起，市场交投气氛升温。</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本周(7月24日-7月30日)，华中地区主营客存压力较大 汽柴油价格波动寥寥 具体分析如下，周内，国际原油波动有限，新一轮变化率始终维持正向窄幅运行，消息面对市场难有明确指引。加之近期区内阴雨天气仍较为频繁，成品油需求依然处于低迷态势。主营客存水平较高，本周多侧重消化客存为主。汽柴油挂牌价格多数维持稳价政策，实盘成交视具体情况一单一仪。下游消库存为主，市场整体购销气氛寡淡。后市而言，国际原油或延续窄幅震荡走势，本轮变化率大概率搁浅，消息面支撑有限。主营客存消耗有待时日，加之下游需求恢复缓慢，故预计下周华中地区汽柴油价格或趋稳整理为主，销售政策将十分灵活。</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本周(7月24日-7月30日)，华南地区柴油行情零星回落，汽油市场稳价应市，整体交投情况仍旧清淡。具体来看， 周内国际原油受欧元区经济数据向好支撑，价格小幅回涨，但新冠确诊持续增加打压需求前景，打压油价走势，价格面涨跌交替，对国内油价指导作用有限，成品油调价窗口维持搁浅预期。汽油市场需求情况尚可，汽车空调用油增加，消费量维持稳定局面，业者采购热情尚可，支撑价格面坚挺守稳，而柴油市场缺乏利好支撑，基建、工程施工单位开工率低迷，终端消费量维持低位，市场库存压力明显，出货承压，价格面多顺势回调。后市来看，国际原油价格走势短期内表现平稳，消息面支撑有限，而终端市场市场需求情况难有明显好转，主营单位清理库存为主，供应方面压力不减，市场销售压力依旧明显，预计下周华南市场延续震荡小跌局面。</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24日-7月30日)，华东地区成品油行情柴涨汽跌，市场整体成交清淡不已。具体来看，周内国际油价弱势震荡，消息面支撑有限。与此同时，山东地炼汽油价格上涨，令主营外采成本随之走高。随着降雨范围缩小以及雨势减弱，区内部分地区生产生活有序开展，部分地区高温闷热天气出现，汽油终端消耗有所上升，汽油需求面有所改善，因此部分主营纷纷降价促销。柴油终端消耗受限工矿、基建等大型项目未全面开启，需求一直表现疲软，且临近月底部分主营保持挺价机制，因下游商家前期低价大量囤货，现阶段业者谨慎观望情绪为主，补货者几无。综上所述，市场保持观望情绪，业者入市采购寥寥，整体成交清淡不已。后期来看，国际原油或保持震荡，消息面或难寻有力支撑。预计下周华东地区成品油行情或保持稳定。</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24日-7月30日)，华北地区主营消库压力不减，市场报价稳中小涨。分析来看，国际原油周内走势稳中整理，周初搁浅预期落实，随后新一轮调价预期显示搁浅预期，消息面支撑受限。受各地多雨天气影响，商家出货进度依旧缓慢，客存高企令商家降价意愿不强，部分地区已售未提客户不允许跟单操作，其中河南、河北、北京地区主营报价出现30-100元/吨幅度的推涨，但实际成交价格变动不大，受搁浅预期影响，下游入市心态不高，成交气氛维持清淡。后市而言，原油市场消息面暂无明显利好支撑，油价或继续处于窄幅整理状态，本轮调价搁浅概率较大，国内市场消息面支撑缺乏指引。区内市场来看，8月份北方降雨天气不减，市场需求方面难有改善，商家8月份库存压力不减，月初挺价心态较重，预计区内油价仍有小幅上涨可能，但幅度受限，后市随库存下降价格走势或有回落可能。</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24日-7月30日)，西南地区汽柴行情震荡走高，市场购销氛围清淡。分析来看：周内国际原油期价区间震荡为主，进入新一轮计价周期，变化率维持0附近波动，消息面对市场指引有限。与此同时，夏季高温多雨天气为常态，下游需求维持平淡，尤其是柴油需求低迷，社会库存消耗缓慢，业者操作意向持低。市场缺乏利好支撑，但主营单位保利润为主，且当前去客存压力较大，支撑价格维持坚挺，优惠政策仍维持灵活。就后市而言，国际油价或继续维持弱势波动状态，本轮调价搁浅概率较大，消息面对市场难有提振。不过，即将进入新的销售周期，且主营单位消客存为主，因此预计下周西南地区汽柴行情维持高位运行。业者消库之余谨慎观望，市场成交气氛清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24日-7月30日)，西北地炼汽柴行情小幅走高，市场成交氛围平淡。分析来看：周内国际油价弱势震荡，新一轮变化率窄幅波动，本轮调价搁浅概率较大，消息面对市场难有支撑。不过，销售公司前期出货顺畅，汽柴价格仍小幅推高。目前区内柴油需求较前期稍有改善，但整体来看仍显平淡;汽油仍处于消费旺季，整体需求旺盛，但下游前期多已备货到位，社会库存较为充足。周内业者消库之余小单补货为主，整体交投氛围维持清淡。就后市而言，国际油价或维持窄幅震荡，消息面对市场影响有限。此外，柴油需求难有明显提升，预计短线柴油行情维持淡稳;汽油方面，下游需求仍有支撑，随着前期库存得到一定消耗，业者补货量或有所增加，因此预计短期内汽油行情仍有上行空间。</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后市前瞻：进入下周，由于缺乏新消息面的指引，国际原油期货继续处于弱势波动的状态当中。以WTI为例，主流运行区间在40-43(均值41.5)美元/桶之间，环比上涨0.25美元/桶或0.6%。在无消息面持续利好刺激下，山东地区成品油行情涨势难以持续，建议中下游商家购进操作保持理性，切忌盲目追涨。综上所述，预计山东地炼成品油行情先扬后抑，汽柴油价格波动幅度在100元/吨左右。</w:t>
      </w:r>
    </w:p>
    <w:p>
      <w:pPr>
        <w:pStyle w:val="23"/>
        <w:spacing w:line="360" w:lineRule="auto"/>
        <w:ind w:firstLine="560" w:firstLineChars="200"/>
        <w:rPr>
          <w:rFonts w:hint="default" w:asciiTheme="minorEastAsia" w:hAnsiTheme="minorEastAsia" w:eastAsiaTheme="minorEastAsia" w:cstheme="minorEastAsia"/>
          <w:color w:val="333335"/>
          <w:kern w:val="2"/>
          <w:sz w:val="28"/>
          <w:szCs w:val="28"/>
          <w:shd w:val="clear" w:color="auto" w:fill="FFFFFF"/>
          <w:lang w:eastAsia="zh-CN"/>
        </w:rPr>
      </w:pPr>
    </w:p>
    <w:bookmarkEnd w:id="22"/>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tbl>
      <w:tblPr>
        <w:tblStyle w:val="24"/>
        <w:tblW w:w="9615" w:type="dxa"/>
        <w:tblInd w:w="0" w:type="dxa"/>
        <w:shd w:val="clear" w:color="auto" w:fill="auto"/>
        <w:tblLayout w:type="autofit"/>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color="auto" w:fill="auto"/>
          <w:tblCellMar>
            <w:top w:w="0" w:type="dxa"/>
            <w:left w:w="0" w:type="dxa"/>
            <w:bottom w:w="0" w:type="dxa"/>
            <w:right w:w="0" w:type="dxa"/>
          </w:tblCellMar>
        </w:tblPrEx>
        <w:trPr>
          <w:trHeight w:val="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2020/7/30</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2020/7/23</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5840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7136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7626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7136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7626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5470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吉林中油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吉林中油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5800</w:t>
            </w:r>
          </w:p>
        </w:tc>
      </w:tr>
    </w:tbl>
    <w:p>
      <w:pPr>
        <w:rPr>
          <w:rFonts w:hint="eastAsia"/>
        </w:rPr>
      </w:pPr>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Style w:val="24"/>
        <w:tblW w:w="9675" w:type="dxa"/>
        <w:tblInd w:w="0" w:type="dxa"/>
        <w:shd w:val="clear" w:color="auto" w:fill="auto"/>
        <w:tblLayout w:type="autofit"/>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color="auto" w:fill="auto"/>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4" w:name="_Toc533771872"/>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2020/7/30</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2020/7/23</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舟山市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5260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5410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5784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5340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210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吉林中油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5595</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5595</w:t>
            </w:r>
          </w:p>
        </w:tc>
      </w:tr>
    </w:tbl>
    <w:p>
      <w:pPr>
        <w:pStyle w:val="3"/>
        <w:spacing w:before="120" w:after="120" w:line="240" w:lineRule="auto"/>
        <w:rPr>
          <w:rFonts w:hint="eastAsia" w:ascii="宋体" w:hAnsi="宋体"/>
          <w:b/>
          <w:sz w:val="30"/>
          <w:szCs w:val="30"/>
          <w:lang w:val="en-US" w:eastAsia="zh-CN"/>
        </w:rPr>
      </w:pPr>
    </w:p>
    <w:p>
      <w:pPr>
        <w:rPr>
          <w:rFonts w:hint="eastAsia"/>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p>
      <w:pPr>
        <w:rPr>
          <w:rFonts w:hint="eastAsia"/>
          <w:lang w:val="en-US" w:eastAsia="zh-CN"/>
        </w:rPr>
      </w:pPr>
    </w:p>
    <w:p>
      <w:pPr>
        <w:rPr>
          <w:rFonts w:hint="eastAsia"/>
          <w:bCs/>
          <w:szCs w:val="21"/>
          <w:lang w:val="en-US" w:eastAsia="zh-CN"/>
        </w:rPr>
      </w:pPr>
    </w:p>
    <w:tbl>
      <w:tblPr>
        <w:tblStyle w:val="24"/>
        <w:tblW w:w="9705" w:type="dxa"/>
        <w:tblInd w:w="0" w:type="dxa"/>
        <w:shd w:val="clear" w:color="auto" w:fill="auto"/>
        <w:tblLayout w:type="autofit"/>
        <w:tblCellMar>
          <w:top w:w="0" w:type="dxa"/>
          <w:left w:w="0" w:type="dxa"/>
          <w:bottom w:w="0" w:type="dxa"/>
          <w:right w:w="0" w:type="dxa"/>
        </w:tblCellMar>
      </w:tblPr>
      <w:tblGrid>
        <w:gridCol w:w="945"/>
        <w:gridCol w:w="1470"/>
        <w:gridCol w:w="1170"/>
        <w:gridCol w:w="1155"/>
        <w:gridCol w:w="1065"/>
        <w:gridCol w:w="1080"/>
        <w:gridCol w:w="1410"/>
        <w:gridCol w:w="1410"/>
      </w:tblGrid>
      <w:tr>
        <w:tblPrEx>
          <w:shd w:val="clear" w:color="auto" w:fill="auto"/>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5" w:name="_Toc533771873"/>
            <w:r>
              <w:rPr>
                <w:rFonts w:hint="eastAsia" w:ascii="宋体" w:hAnsi="宋体" w:eastAsia="宋体" w:cs="宋体"/>
                <w:i w:val="0"/>
                <w:color w:val="000000"/>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2020/7/30</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2020/7/23</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5565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5535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5715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5685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5522</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5522</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5601</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5758</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5310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5550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p>
      <w:pPr>
        <w:rPr>
          <w:rFonts w:hint="eastAsia"/>
          <w:bCs/>
          <w:szCs w:val="21"/>
          <w:lang w:val="en-US" w:eastAsia="zh-CN"/>
        </w:rPr>
      </w:pPr>
    </w:p>
    <w:p>
      <w:pPr>
        <w:pStyle w:val="3"/>
        <w:spacing w:before="120" w:after="120" w:line="240" w:lineRule="auto"/>
        <w:rPr>
          <w:rFonts w:hint="eastAsia" w:ascii="宋体" w:hAnsi="宋体"/>
          <w:b/>
          <w:sz w:val="10"/>
          <w:szCs w:val="10"/>
          <w:lang w:val="en-US" w:eastAsia="zh-CN"/>
        </w:rPr>
      </w:pPr>
      <w:bookmarkStart w:id="16" w:name="_Toc533771874"/>
    </w:p>
    <w:tbl>
      <w:tblPr>
        <w:tblStyle w:val="24"/>
        <w:tblW w:w="9300" w:type="dxa"/>
        <w:tblInd w:w="0" w:type="dxa"/>
        <w:shd w:val="clear" w:color="auto" w:fill="auto"/>
        <w:tblLayout w:type="autofit"/>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color="auto" w:fill="auto"/>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2020/7/30</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2020/7/23</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5180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4870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w:t>
            </w: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4790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4630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4670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rPr>
          <w:rFonts w:hint="eastAsia"/>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四、2020年6月份进出口统计数据</w:t>
      </w:r>
      <w:bookmarkEnd w:id="16"/>
      <w:bookmarkStart w:id="17" w:name="_Toc533771875"/>
    </w:p>
    <w:p>
      <w:pPr>
        <w:rPr>
          <w:rFonts w:hint="eastAsia"/>
        </w:rPr>
      </w:pPr>
    </w:p>
    <w:p>
      <w:pPr>
        <w:pStyle w:val="3"/>
        <w:spacing w:before="120" w:after="120" w:line="240" w:lineRule="auto"/>
        <w:rPr>
          <w:rFonts w:hint="eastAsia" w:ascii="宋体" w:hAnsi="宋体"/>
          <w:b/>
          <w:sz w:val="30"/>
          <w:szCs w:val="30"/>
        </w:rPr>
      </w:pPr>
      <w:r>
        <w:rPr>
          <w:rFonts w:hint="eastAsia" w:ascii="宋体" w:hAnsi="宋体"/>
          <w:b/>
          <w:sz w:val="30"/>
          <w:szCs w:val="30"/>
        </w:rPr>
        <w:t>4.1 20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6</w:t>
      </w:r>
      <w:r>
        <w:rPr>
          <w:rFonts w:hint="eastAsia" w:ascii="宋体" w:hAnsi="宋体"/>
          <w:b/>
          <w:sz w:val="30"/>
          <w:szCs w:val="30"/>
        </w:rPr>
        <w:t>份全国车用汽油和航空汽油进出口统计数据</w:t>
      </w:r>
      <w:bookmarkEnd w:id="17"/>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420" w:type="dxa"/>
        <w:tblInd w:w="0" w:type="dxa"/>
        <w:shd w:val="clear" w:color="auto" w:fill="auto"/>
        <w:tblLayout w:type="autofit"/>
        <w:tblCellMar>
          <w:top w:w="0" w:type="dxa"/>
          <w:left w:w="0" w:type="dxa"/>
          <w:bottom w:w="0" w:type="dxa"/>
          <w:right w:w="0" w:type="dxa"/>
        </w:tblCellMar>
      </w:tblPr>
      <w:tblGrid>
        <w:gridCol w:w="2595"/>
        <w:gridCol w:w="2190"/>
        <w:gridCol w:w="2370"/>
        <w:gridCol w:w="2265"/>
      </w:tblGrid>
      <w:tr>
        <w:tblPrEx>
          <w:shd w:val="clear" w:color="auto" w:fill="auto"/>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18" w:name="_Toc533771876"/>
            <w:r>
              <w:rPr>
                <w:rFonts w:hint="eastAsia" w:ascii="宋体" w:hAnsi="宋体" w:eastAsia="宋体" w:cs="宋体"/>
                <w:i w:val="0"/>
                <w:color w:val="000000"/>
                <w:kern w:val="0"/>
                <w:sz w:val="20"/>
                <w:szCs w:val="20"/>
                <w:u w:val="none"/>
                <w:lang w:val="en-US" w:eastAsia="zh-CN" w:bidi="ar"/>
              </w:rPr>
              <w:t>出口目的地</w:t>
            </w:r>
          </w:p>
        </w:tc>
        <w:tc>
          <w:tcPr>
            <w:tcW w:w="2190"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370"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2265"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出口金额美元</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菲律宾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108671.5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34295655</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韩国</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92879.5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22910002</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马来西亚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69000</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14869400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蒙古</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7323.3</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2205541</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缅甸</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5529.5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2109937</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墨西哥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101386.2</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29612806</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279460.6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73879523</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越南</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90779</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27810520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中国澳门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5252.9</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1470799</w:t>
            </w:r>
          </w:p>
        </w:tc>
      </w:tr>
    </w:tbl>
    <w:p>
      <w:pPr>
        <w:rPr>
          <w:rFonts w:hint="eastAsia"/>
        </w:rPr>
      </w:pPr>
    </w:p>
    <w:p>
      <w:pPr>
        <w:rPr>
          <w:rFonts w:hint="eastAsia"/>
        </w:rPr>
      </w:pPr>
    </w:p>
    <w:p>
      <w:pPr>
        <w:rPr>
          <w:rFonts w:hint="eastAsia"/>
        </w:rPr>
      </w:pPr>
    </w:p>
    <w:p>
      <w:pPr>
        <w:pStyle w:val="3"/>
        <w:spacing w:before="120" w:after="120" w:line="240" w:lineRule="auto"/>
        <w:rPr>
          <w:rFonts w:hint="eastAsia" w:ascii="宋体" w:hAnsi="宋体"/>
          <w:b/>
          <w:sz w:val="30"/>
          <w:szCs w:val="30"/>
        </w:rPr>
      </w:pPr>
      <w:r>
        <w:rPr>
          <w:rFonts w:hint="eastAsia" w:ascii="宋体" w:hAnsi="宋体"/>
          <w:b/>
          <w:sz w:val="30"/>
          <w:szCs w:val="30"/>
        </w:rPr>
        <w:t>4.2 201</w:t>
      </w:r>
      <w:r>
        <w:rPr>
          <w:rFonts w:hint="eastAsia" w:ascii="宋体" w:hAnsi="宋体"/>
          <w:b/>
          <w:sz w:val="30"/>
          <w:szCs w:val="30"/>
          <w:lang w:val="en-US" w:eastAsia="zh-CN"/>
        </w:rPr>
        <w:t>8</w:t>
      </w:r>
      <w:r>
        <w:rPr>
          <w:rFonts w:hint="eastAsia" w:ascii="宋体" w:hAnsi="宋体"/>
          <w:b/>
          <w:sz w:val="30"/>
          <w:szCs w:val="30"/>
        </w:rPr>
        <w:t>年1</w:t>
      </w:r>
      <w:r>
        <w:rPr>
          <w:rFonts w:hint="eastAsia" w:ascii="宋体" w:hAnsi="宋体"/>
          <w:b/>
          <w:sz w:val="30"/>
          <w:szCs w:val="30"/>
          <w:lang w:val="en-US" w:eastAsia="zh-CN"/>
        </w:rPr>
        <w:t>1</w:t>
      </w:r>
      <w:r>
        <w:rPr>
          <w:rFonts w:hint="eastAsia" w:ascii="宋体" w:hAnsi="宋体"/>
          <w:b/>
          <w:sz w:val="30"/>
          <w:szCs w:val="30"/>
        </w:rPr>
        <w:t>月份全国轻柴油进出口统计数据</w:t>
      </w:r>
      <w:bookmarkEnd w:id="1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1726"/>
        <w:gridCol w:w="1726"/>
        <w:gridCol w:w="188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shd w:val="clear" w:color="auto" w:fill="00CCFF"/>
            <w:vAlign w:val="center"/>
          </w:tcPr>
          <w:p>
            <w:pPr>
              <w:keepNext w:val="0"/>
              <w:keepLines w:val="0"/>
              <w:widowControl/>
              <w:suppressLineNumbers w:val="0"/>
              <w:jc w:val="center"/>
              <w:textAlignment w:val="center"/>
              <w:rPr>
                <w:bCs/>
                <w:color w:val="00B0F0"/>
                <w:szCs w:val="21"/>
              </w:rPr>
            </w:pPr>
            <w:r>
              <w:rPr>
                <w:rFonts w:hint="eastAsia" w:ascii="宋体" w:hAnsi="宋体" w:eastAsia="宋体" w:cs="宋体"/>
                <w:b/>
                <w:i w:val="0"/>
                <w:color w:val="191919"/>
                <w:kern w:val="0"/>
                <w:sz w:val="21"/>
                <w:szCs w:val="21"/>
                <w:u w:val="none"/>
                <w:lang w:val="en-US" w:eastAsia="zh-CN" w:bidi="ar"/>
              </w:rPr>
              <w:t>产销国</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进口数量</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进口美元</w:t>
            </w:r>
          </w:p>
        </w:tc>
        <w:tc>
          <w:tcPr>
            <w:tcW w:w="1882"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出口数量</w:t>
            </w:r>
          </w:p>
        </w:tc>
        <w:tc>
          <w:tcPr>
            <w:tcW w:w="1688"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孟加拉国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105125.293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69892814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缅甸</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18170.052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12976857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塞浦路斯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966.84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759340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香港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262963.309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179445201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印度尼西亚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日本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老挝</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63.913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澳门</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6847.894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4588089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马来西亚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3995.198</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2556927</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94.515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巴基斯坦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74.2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菲律宾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175973.373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119332061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新加坡</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499.536</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399629</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270770.818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188315354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韩国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49882.569</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34382246</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173054.409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117620635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泰国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82.765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土耳其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越南</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41937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28282001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台澎金马关税区</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利比里亚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4541.022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3624752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多哥</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比利时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139.8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丹麦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423410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英国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981.955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787173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意大利</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荷兰</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40755.789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26653192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希腊</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384.8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313417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葡萄牙</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224.073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直布罗陀</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114.5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马耳他</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1318.39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1072844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挪威</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216.847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165273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摩尔多瓦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367.5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俄罗斯联邦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克罗地亚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安提瓜和巴布达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263.103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巴哈马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506.059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伯利兹</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多米尼克</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136400</w:t>
            </w:r>
          </w:p>
        </w:tc>
      </w:tr>
    </w:tbl>
    <w:p>
      <w:pPr>
        <w:pStyle w:val="3"/>
        <w:spacing w:before="120" w:after="120" w:line="240" w:lineRule="auto"/>
        <w:rPr>
          <w:rFonts w:hint="eastAsia" w:ascii="宋体" w:hAnsi="宋体"/>
          <w:b/>
          <w:sz w:val="30"/>
          <w:szCs w:val="30"/>
        </w:rPr>
      </w:pPr>
      <w:bookmarkStart w:id="19" w:name="_Toc533771877"/>
      <w:bookmarkStart w:id="20" w:name="_Toc533771879"/>
    </w:p>
    <w:p>
      <w:pPr>
        <w:pStyle w:val="3"/>
        <w:spacing w:before="120" w:after="120" w:line="240" w:lineRule="auto"/>
        <w:rPr>
          <w:rFonts w:hint="eastAsia" w:ascii="宋体" w:hAnsi="宋体"/>
          <w:b/>
          <w:sz w:val="30"/>
          <w:szCs w:val="30"/>
        </w:rPr>
      </w:pPr>
    </w:p>
    <w:bookmarkEnd w:id="19"/>
    <w:p>
      <w:pPr>
        <w:pStyle w:val="3"/>
        <w:spacing w:before="120" w:after="120" w:line="240" w:lineRule="auto"/>
        <w:rPr>
          <w:rFonts w:hint="eastAsia" w:ascii="宋体" w:hAnsi="宋体"/>
          <w:b/>
          <w:sz w:val="30"/>
          <w:szCs w:val="30"/>
        </w:rPr>
      </w:pPr>
      <w:bookmarkStart w:id="21" w:name="_Toc533771878"/>
      <w:r>
        <w:rPr>
          <w:rFonts w:hint="eastAsia" w:ascii="宋体" w:hAnsi="宋体"/>
          <w:b/>
          <w:sz w:val="30"/>
          <w:szCs w:val="30"/>
        </w:rPr>
        <w:t>4.3 20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月份全国原油进出口统计数据</w:t>
      </w:r>
    </w:p>
    <w:p>
      <w:pPr>
        <w:rPr>
          <w:rFonts w:hint="eastAsia"/>
          <w:bCs/>
          <w:szCs w:val="21"/>
        </w:rPr>
      </w:pP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bCs/>
          <w:szCs w:val="21"/>
        </w:rPr>
      </w:pPr>
    </w:p>
    <w:tbl>
      <w:tblPr>
        <w:tblStyle w:val="24"/>
        <w:tblW w:w="9286" w:type="dxa"/>
        <w:tblInd w:w="0" w:type="dxa"/>
        <w:shd w:val="clear" w:color="auto" w:fill="auto"/>
        <w:tblLayout w:type="autofit"/>
        <w:tblCellMar>
          <w:top w:w="0" w:type="dxa"/>
          <w:left w:w="0" w:type="dxa"/>
          <w:bottom w:w="0" w:type="dxa"/>
          <w:right w:w="0" w:type="dxa"/>
        </w:tblCellMar>
      </w:tblPr>
      <w:tblGrid>
        <w:gridCol w:w="2070"/>
        <w:gridCol w:w="2070"/>
        <w:gridCol w:w="1942"/>
        <w:gridCol w:w="1554"/>
        <w:gridCol w:w="1650"/>
      </w:tblGrid>
      <w:tr>
        <w:tblPrEx>
          <w:shd w:val="clear" w:color="auto" w:fill="auto"/>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产销国</w:t>
            </w:r>
          </w:p>
        </w:tc>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进口数量/吨</w:t>
            </w:r>
          </w:p>
        </w:tc>
        <w:tc>
          <w:tcPr>
            <w:tcW w:w="194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进口金额/美元</w:t>
            </w:r>
          </w:p>
        </w:tc>
        <w:tc>
          <w:tcPr>
            <w:tcW w:w="1554"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出口数量/吨</w:t>
            </w:r>
          </w:p>
        </w:tc>
        <w:tc>
          <w:tcPr>
            <w:tcW w:w="165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出口金额/美元</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阿联酋</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3249630.95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678470714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阿曼</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3243765.35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769446233</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阿塞拜疆</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1226616.51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278607639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埃及</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277238.07</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59939407</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安哥拉</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2926383.21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614759405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澳大利亚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278618.93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76201056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巴布亚新几内亚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38570.99</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8287760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巴西</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2333209.11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512280406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赤道几内亚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192123.04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32096348</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俄罗斯联邦</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7707715.98</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1514823693</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厄瓜多尔</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36301.27</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7200000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刚果(布)</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649412.49</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116163187</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哥伦比亚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904160.68</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153081889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圭亚那</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131302.04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34449002</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哈萨克斯坦</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292918.3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41946424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加拿大</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170344.04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35628016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加纳</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391588.99</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72512722</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加蓬</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756160.1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180294417</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喀麦隆</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261321.1</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37939615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卡塔尔</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466837.73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88939055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科威特</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2215069.06</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387342785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马来西亚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1006532.32</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155975331</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美国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549839.35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125618174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蒙古</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23635.13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2873988</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南苏丹共和国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82100.5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18015030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尼日利亚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104205.53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20598904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挪威</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255928</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59738464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沙特阿拉伯</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9164983.54</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1640287729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泰国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38121.03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5206464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土库曼斯坦</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11495.43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4111450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也门</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74664.43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20957585</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伊拉克</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6962503.82</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1339873340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伊朗</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256813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42380276</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印度尼西亚</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305166.26</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52258599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英国</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957123.45</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184300309</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越南</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161027.82</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33546940</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乍得</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265695.83</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62421434</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合计</w:t>
            </w:r>
          </w:p>
        </w:tc>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47969123.39</w:t>
            </w:r>
          </w:p>
        </w:tc>
        <w:tc>
          <w:tcPr>
            <w:tcW w:w="194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9468573790</w:t>
            </w:r>
          </w:p>
        </w:tc>
        <w:tc>
          <w:tcPr>
            <w:tcW w:w="1554"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0</w:t>
            </w:r>
          </w:p>
        </w:tc>
        <w:tc>
          <w:tcPr>
            <w:tcW w:w="165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b/>
                <w:i w:val="0"/>
                <w:color w:val="191919"/>
                <w:kern w:val="0"/>
                <w:sz w:val="22"/>
                <w:szCs w:val="22"/>
                <w:u w:val="none"/>
                <w:lang w:val="en-US" w:eastAsia="zh-CN" w:bidi="ar"/>
              </w:rPr>
              <w:t>0</w:t>
            </w:r>
          </w:p>
        </w:tc>
      </w:tr>
    </w:tbl>
    <w:p>
      <w:pPr>
        <w:rPr>
          <w:rFonts w:hint="eastAsia"/>
          <w:bCs/>
          <w:szCs w:val="21"/>
        </w:rPr>
      </w:pP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6</w:t>
      </w:r>
      <w:r>
        <w:rPr>
          <w:rFonts w:hint="eastAsia" w:ascii="宋体" w:hAnsi="宋体"/>
          <w:b/>
          <w:sz w:val="30"/>
          <w:szCs w:val="30"/>
        </w:rPr>
        <w:t>月份全国航空煤油进出口统计数据</w:t>
      </w:r>
      <w:bookmarkEnd w:id="21"/>
    </w:p>
    <w:p>
      <w:pPr>
        <w:ind w:firstLine="420" w:firstLineChars="200"/>
        <w:jc w:val="left"/>
      </w:pPr>
      <w:r>
        <w:rPr>
          <w:rFonts w:hint="eastAsia" w:ascii="宋体" w:hAnsi="宋体"/>
        </w:rPr>
        <w:t>单位：</w:t>
      </w:r>
      <w:r>
        <w:rPr>
          <w:rFonts w:hint="eastAsia" w:ascii="宋体" w:hAnsi="宋体"/>
          <w:lang w:eastAsia="zh-CN"/>
        </w:rPr>
        <w:t>吨</w:t>
      </w:r>
      <w:r>
        <w:rPr>
          <w:rFonts w:hint="eastAsia" w:ascii="宋体" w:hAnsi="宋体"/>
        </w:rPr>
        <w:t>，美元</w:t>
      </w:r>
    </w:p>
    <w:p>
      <w:pPr>
        <w:pStyle w:val="3"/>
        <w:spacing w:before="120" w:after="120" w:line="240" w:lineRule="auto"/>
        <w:rPr>
          <w:rFonts w:hint="eastAsia" w:ascii="宋体" w:hAnsi="宋体"/>
          <w:b/>
          <w:sz w:val="30"/>
          <w:szCs w:val="30"/>
        </w:rPr>
      </w:pPr>
    </w:p>
    <w:bookmarkEnd w:id="20"/>
    <w:tbl>
      <w:tblPr>
        <w:tblStyle w:val="24"/>
        <w:tblW w:w="9420" w:type="dxa"/>
        <w:tblInd w:w="0" w:type="dxa"/>
        <w:shd w:val="clear" w:color="auto" w:fill="auto"/>
        <w:tblLayout w:type="autofit"/>
        <w:tblCellMar>
          <w:top w:w="0" w:type="dxa"/>
          <w:left w:w="0" w:type="dxa"/>
          <w:bottom w:w="0" w:type="dxa"/>
          <w:right w:w="0" w:type="dxa"/>
        </w:tblCellMar>
      </w:tblPr>
      <w:tblGrid>
        <w:gridCol w:w="2265"/>
        <w:gridCol w:w="1605"/>
        <w:gridCol w:w="1770"/>
        <w:gridCol w:w="1830"/>
        <w:gridCol w:w="1950"/>
      </w:tblGrid>
      <w:tr>
        <w:tblPrEx>
          <w:shd w:val="clear" w:color="auto" w:fill="auto"/>
          <w:tblCellMar>
            <w:top w:w="0" w:type="dxa"/>
            <w:left w:w="0" w:type="dxa"/>
            <w:bottom w:w="0" w:type="dxa"/>
            <w:right w:w="0" w:type="dxa"/>
          </w:tblCellMar>
        </w:tblPrEx>
        <w:trPr>
          <w:trHeight w:val="525" w:hRule="atLeast"/>
        </w:trPr>
        <w:tc>
          <w:tcPr>
            <w:tcW w:w="226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国家</w:t>
            </w:r>
          </w:p>
        </w:tc>
        <w:tc>
          <w:tcPr>
            <w:tcW w:w="160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进口数量/吨</w:t>
            </w:r>
          </w:p>
        </w:tc>
        <w:tc>
          <w:tcPr>
            <w:tcW w:w="177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进口金额/美元</w:t>
            </w:r>
          </w:p>
        </w:tc>
        <w:tc>
          <w:tcPr>
            <w:tcW w:w="183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出口数量/吨</w:t>
            </w:r>
          </w:p>
        </w:tc>
        <w:tc>
          <w:tcPr>
            <w:tcW w:w="195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出口金额/美元</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阿富汗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30.164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8462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阿联酋</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14254.001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3365192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阿塞拜疆</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4660.111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1335419</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埃及</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154.757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47222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埃塞俄比亚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7922.452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2372584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爱沙尼亚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25.132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7540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奥地利</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1631.607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445699</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巴基斯坦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254.212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72583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白俄罗斯</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17.805</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5466</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比利时</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4094.214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1184745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冰岛</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512.557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153692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波兰</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124.092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35858</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丹麦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29.069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4881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德国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6602.512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1876010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俄罗斯联邦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15220.411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4409557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法国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5866.529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1658234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菲律宾</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129.336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54162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芬兰</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1915.711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538195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哈萨克斯坦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5177.404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1548231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韩国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253626.088</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64646599</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102088.101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60875683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荷兰</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3634.196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1006171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吉尔吉斯斯坦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148.841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45694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柬埔寨</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65.063</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17621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卡塔尔</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8284.784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2459061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科威特</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24.259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7448</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肯尼亚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75.043</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22502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卢森堡</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27325.057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8660200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罗马尼亚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36.122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10837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马耳他</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109.36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32792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马来西亚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16307.471</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5153161</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40591.248</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12032064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蒙古</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273.126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76617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孟加拉国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73272.392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36629670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缅甸</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8859.221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4592620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葡萄牙</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177.102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53686</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日本</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12807.945</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5612181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瑞典</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1743.332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491807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瑞士</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5134.451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1407118</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沙特阿拉伯</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39283.212</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9192272</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67.165</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20140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斯里兰卡</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514.08</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144192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泰国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21428.841</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4778632</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1537.931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431026</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土耳其</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3352.196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951829</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文莱</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2.879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822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乌兹别克斯坦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1095.191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314805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西班牙</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9381.726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2730157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新加坡</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41425.908</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11130911</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34320.996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16277175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伊朗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876.387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256443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以色列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4312.316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1226034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意大利</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1042.47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313033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印度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56.477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17233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印度尼西亚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196.899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55997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英国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42365.88</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9987702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越南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31269.652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8771837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中国澳门</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56.894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15955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中国台湾</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946.036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286716</w:t>
            </w:r>
          </w:p>
        </w:tc>
      </w:tr>
      <w:tr>
        <w:tblPrEx>
          <w:tblCellMar>
            <w:top w:w="0" w:type="dxa"/>
            <w:left w:w="0" w:type="dxa"/>
            <w:bottom w:w="0" w:type="dxa"/>
            <w:right w:w="0" w:type="dxa"/>
          </w:tblCellMar>
        </w:tblPrEx>
        <w:trPr>
          <w:trHeight w:val="285"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中国香港</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164064.259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42739135</w:t>
            </w:r>
          </w:p>
        </w:tc>
      </w:tr>
      <w:tr>
        <w:tblPrEx>
          <w:tblCellMar>
            <w:top w:w="0" w:type="dxa"/>
            <w:left w:w="0" w:type="dxa"/>
            <w:bottom w:w="0" w:type="dxa"/>
            <w:right w:w="0" w:type="dxa"/>
          </w:tblCellMar>
        </w:tblPrEx>
        <w:trPr>
          <w:trHeight w:val="285" w:hRule="atLeast"/>
        </w:trPr>
        <w:tc>
          <w:tcPr>
            <w:tcW w:w="226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合计</w:t>
            </w:r>
          </w:p>
        </w:tc>
        <w:tc>
          <w:tcPr>
            <w:tcW w:w="160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372071.52</w:t>
            </w:r>
          </w:p>
        </w:tc>
        <w:tc>
          <w:tcPr>
            <w:tcW w:w="177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94901575</w:t>
            </w:r>
          </w:p>
        </w:tc>
        <w:tc>
          <w:tcPr>
            <w:tcW w:w="183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648731.153</w:t>
            </w:r>
          </w:p>
        </w:tc>
        <w:tc>
          <w:tcPr>
            <w:tcW w:w="195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237697735</w:t>
            </w:r>
          </w:p>
        </w:tc>
      </w:tr>
    </w:tbl>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DD852283"/>
    <w:multiLevelType w:val="singleLevel"/>
    <w:tmpl w:val="DD852283"/>
    <w:lvl w:ilvl="0" w:tentative="0">
      <w:start w:val="2"/>
      <w:numFmt w:val="chineseCounting"/>
      <w:suff w:val="nothing"/>
      <w:lvlText w:val="%1、"/>
      <w:lvlJc w:val="left"/>
      <w:rPr>
        <w:rFonts w:hint="eastAsia"/>
      </w:rPr>
    </w:lvl>
  </w:abstractNum>
  <w:abstractNum w:abstractNumId="2">
    <w:nsid w:val="1566DFC1"/>
    <w:multiLevelType w:val="singleLevel"/>
    <w:tmpl w:val="1566DFC1"/>
    <w:lvl w:ilvl="0" w:tentative="0">
      <w:start w:val="1"/>
      <w:numFmt w:val="decimal"/>
      <w:lvlText w:val="%1."/>
      <w:lvlJc w:val="left"/>
      <w:pPr>
        <w:tabs>
          <w:tab w:val="left" w:pos="312"/>
        </w:tabs>
      </w:pPr>
    </w:lvl>
  </w:abstractNum>
  <w:abstractNum w:abstractNumId="3">
    <w:nsid w:val="2263F9C1"/>
    <w:multiLevelType w:val="singleLevel"/>
    <w:tmpl w:val="2263F9C1"/>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74199B"/>
    <w:rsid w:val="018C042F"/>
    <w:rsid w:val="019139BB"/>
    <w:rsid w:val="01A95B6A"/>
    <w:rsid w:val="01BD1D63"/>
    <w:rsid w:val="01FE2CFE"/>
    <w:rsid w:val="02526173"/>
    <w:rsid w:val="029A6633"/>
    <w:rsid w:val="029F2908"/>
    <w:rsid w:val="02AC60AA"/>
    <w:rsid w:val="02B87E06"/>
    <w:rsid w:val="02D71373"/>
    <w:rsid w:val="02D85611"/>
    <w:rsid w:val="02FE589D"/>
    <w:rsid w:val="031B1C80"/>
    <w:rsid w:val="03211A1D"/>
    <w:rsid w:val="0324523D"/>
    <w:rsid w:val="03331E75"/>
    <w:rsid w:val="034407FB"/>
    <w:rsid w:val="034F6246"/>
    <w:rsid w:val="03562125"/>
    <w:rsid w:val="035F2635"/>
    <w:rsid w:val="036D5E24"/>
    <w:rsid w:val="037413B6"/>
    <w:rsid w:val="03A57F11"/>
    <w:rsid w:val="042972F1"/>
    <w:rsid w:val="044E5434"/>
    <w:rsid w:val="04684ED7"/>
    <w:rsid w:val="048101D3"/>
    <w:rsid w:val="048C7CAA"/>
    <w:rsid w:val="04987F00"/>
    <w:rsid w:val="04A45D71"/>
    <w:rsid w:val="04BF7371"/>
    <w:rsid w:val="04F36106"/>
    <w:rsid w:val="05292B71"/>
    <w:rsid w:val="05314FD7"/>
    <w:rsid w:val="053B1A3D"/>
    <w:rsid w:val="05C01E8E"/>
    <w:rsid w:val="05D708A6"/>
    <w:rsid w:val="06002DF6"/>
    <w:rsid w:val="06153E6E"/>
    <w:rsid w:val="06300679"/>
    <w:rsid w:val="067746D4"/>
    <w:rsid w:val="069C6A8D"/>
    <w:rsid w:val="06B9287B"/>
    <w:rsid w:val="06DA3028"/>
    <w:rsid w:val="06F31CB3"/>
    <w:rsid w:val="06F93008"/>
    <w:rsid w:val="0718687A"/>
    <w:rsid w:val="07252677"/>
    <w:rsid w:val="076C6634"/>
    <w:rsid w:val="07820AB4"/>
    <w:rsid w:val="079B346A"/>
    <w:rsid w:val="07CC4016"/>
    <w:rsid w:val="07D15C8A"/>
    <w:rsid w:val="07E76A1F"/>
    <w:rsid w:val="0809715C"/>
    <w:rsid w:val="080A4814"/>
    <w:rsid w:val="0820276D"/>
    <w:rsid w:val="082F1BCD"/>
    <w:rsid w:val="08573B5A"/>
    <w:rsid w:val="086F6B65"/>
    <w:rsid w:val="08A4401C"/>
    <w:rsid w:val="08A55AD2"/>
    <w:rsid w:val="08CD17C0"/>
    <w:rsid w:val="09223CDC"/>
    <w:rsid w:val="09371EEF"/>
    <w:rsid w:val="093F6B95"/>
    <w:rsid w:val="09524755"/>
    <w:rsid w:val="095B63CA"/>
    <w:rsid w:val="09717916"/>
    <w:rsid w:val="098251C0"/>
    <w:rsid w:val="0984738F"/>
    <w:rsid w:val="098C4592"/>
    <w:rsid w:val="09915D75"/>
    <w:rsid w:val="0996332C"/>
    <w:rsid w:val="09F11ACB"/>
    <w:rsid w:val="09FB6243"/>
    <w:rsid w:val="0A29795D"/>
    <w:rsid w:val="0A2D68BE"/>
    <w:rsid w:val="0A3C22BA"/>
    <w:rsid w:val="0A557C07"/>
    <w:rsid w:val="0A5B4AF5"/>
    <w:rsid w:val="0A796F7C"/>
    <w:rsid w:val="0A7B7455"/>
    <w:rsid w:val="0AA33DAF"/>
    <w:rsid w:val="0AB608CB"/>
    <w:rsid w:val="0AC60296"/>
    <w:rsid w:val="0AD32487"/>
    <w:rsid w:val="0B017D09"/>
    <w:rsid w:val="0B0715B1"/>
    <w:rsid w:val="0B0F0B26"/>
    <w:rsid w:val="0B400CB2"/>
    <w:rsid w:val="0B421176"/>
    <w:rsid w:val="0B721C38"/>
    <w:rsid w:val="0B860805"/>
    <w:rsid w:val="0BB16187"/>
    <w:rsid w:val="0BCE6861"/>
    <w:rsid w:val="0BDC4FBC"/>
    <w:rsid w:val="0BDF0A5F"/>
    <w:rsid w:val="0C08318F"/>
    <w:rsid w:val="0C1E7ABD"/>
    <w:rsid w:val="0C586B50"/>
    <w:rsid w:val="0C586E44"/>
    <w:rsid w:val="0C7F402D"/>
    <w:rsid w:val="0C930A24"/>
    <w:rsid w:val="0CB81916"/>
    <w:rsid w:val="0CD123E3"/>
    <w:rsid w:val="0CE32FB8"/>
    <w:rsid w:val="0CE44838"/>
    <w:rsid w:val="0D731CA1"/>
    <w:rsid w:val="0DA370DA"/>
    <w:rsid w:val="0DA7099A"/>
    <w:rsid w:val="0DB01CE1"/>
    <w:rsid w:val="0DBA1705"/>
    <w:rsid w:val="0DC46B30"/>
    <w:rsid w:val="0DC9706D"/>
    <w:rsid w:val="0DD115AA"/>
    <w:rsid w:val="0DEA06F6"/>
    <w:rsid w:val="0E01030B"/>
    <w:rsid w:val="0E04318C"/>
    <w:rsid w:val="0E274301"/>
    <w:rsid w:val="0E31785B"/>
    <w:rsid w:val="0E730195"/>
    <w:rsid w:val="0E803657"/>
    <w:rsid w:val="0E8B35C9"/>
    <w:rsid w:val="0EAF107B"/>
    <w:rsid w:val="0EB4347F"/>
    <w:rsid w:val="0EC1627E"/>
    <w:rsid w:val="0ED36950"/>
    <w:rsid w:val="0EED0FC5"/>
    <w:rsid w:val="0EF07619"/>
    <w:rsid w:val="0EF248CA"/>
    <w:rsid w:val="0F034AA6"/>
    <w:rsid w:val="0F08360E"/>
    <w:rsid w:val="0F125E7D"/>
    <w:rsid w:val="0F26373F"/>
    <w:rsid w:val="0F446A41"/>
    <w:rsid w:val="0F5808CC"/>
    <w:rsid w:val="0F666559"/>
    <w:rsid w:val="0F790BDF"/>
    <w:rsid w:val="0F7D42FE"/>
    <w:rsid w:val="0F820E85"/>
    <w:rsid w:val="0FB045CC"/>
    <w:rsid w:val="0FC910AB"/>
    <w:rsid w:val="0FD23F99"/>
    <w:rsid w:val="0FEF79AA"/>
    <w:rsid w:val="101C7D06"/>
    <w:rsid w:val="1024515A"/>
    <w:rsid w:val="1046198D"/>
    <w:rsid w:val="105F3A71"/>
    <w:rsid w:val="10CE39DE"/>
    <w:rsid w:val="10FA6B68"/>
    <w:rsid w:val="11422692"/>
    <w:rsid w:val="11590029"/>
    <w:rsid w:val="117F7F48"/>
    <w:rsid w:val="1265739D"/>
    <w:rsid w:val="12662947"/>
    <w:rsid w:val="12BE2ADE"/>
    <w:rsid w:val="12D8263D"/>
    <w:rsid w:val="13267B35"/>
    <w:rsid w:val="134A6D86"/>
    <w:rsid w:val="13594CF7"/>
    <w:rsid w:val="135A728A"/>
    <w:rsid w:val="13772D89"/>
    <w:rsid w:val="138744BB"/>
    <w:rsid w:val="13B45FC3"/>
    <w:rsid w:val="13E7373B"/>
    <w:rsid w:val="13FE142E"/>
    <w:rsid w:val="144B6D3F"/>
    <w:rsid w:val="14546EAA"/>
    <w:rsid w:val="147759A4"/>
    <w:rsid w:val="147A75E5"/>
    <w:rsid w:val="14BC21CE"/>
    <w:rsid w:val="14BE2339"/>
    <w:rsid w:val="14D56BF6"/>
    <w:rsid w:val="14F32D76"/>
    <w:rsid w:val="14F5216B"/>
    <w:rsid w:val="151B73F8"/>
    <w:rsid w:val="15211EFF"/>
    <w:rsid w:val="15353F74"/>
    <w:rsid w:val="154F205D"/>
    <w:rsid w:val="15615E0F"/>
    <w:rsid w:val="156D2843"/>
    <w:rsid w:val="15701AB8"/>
    <w:rsid w:val="159001BC"/>
    <w:rsid w:val="15B939D5"/>
    <w:rsid w:val="15D83B2E"/>
    <w:rsid w:val="15DD70EA"/>
    <w:rsid w:val="15E11AB3"/>
    <w:rsid w:val="15E25134"/>
    <w:rsid w:val="15E8785D"/>
    <w:rsid w:val="16116F4B"/>
    <w:rsid w:val="16600954"/>
    <w:rsid w:val="16734EEE"/>
    <w:rsid w:val="16E22B33"/>
    <w:rsid w:val="16F85570"/>
    <w:rsid w:val="17116BE2"/>
    <w:rsid w:val="17194D7A"/>
    <w:rsid w:val="172078E9"/>
    <w:rsid w:val="172D12A6"/>
    <w:rsid w:val="173C1948"/>
    <w:rsid w:val="17464B66"/>
    <w:rsid w:val="175B5D81"/>
    <w:rsid w:val="17652D76"/>
    <w:rsid w:val="177778D5"/>
    <w:rsid w:val="177C4324"/>
    <w:rsid w:val="18704C74"/>
    <w:rsid w:val="18CA4E8D"/>
    <w:rsid w:val="191B1724"/>
    <w:rsid w:val="194573ED"/>
    <w:rsid w:val="195D29F2"/>
    <w:rsid w:val="196465FF"/>
    <w:rsid w:val="196B6E10"/>
    <w:rsid w:val="198154A5"/>
    <w:rsid w:val="19850C75"/>
    <w:rsid w:val="198A3D94"/>
    <w:rsid w:val="198F27F8"/>
    <w:rsid w:val="199C5ECD"/>
    <w:rsid w:val="19B1121F"/>
    <w:rsid w:val="19E14ABD"/>
    <w:rsid w:val="1A051BC1"/>
    <w:rsid w:val="1A110D84"/>
    <w:rsid w:val="1A555BDB"/>
    <w:rsid w:val="1A660755"/>
    <w:rsid w:val="1A703BC4"/>
    <w:rsid w:val="1A7262E8"/>
    <w:rsid w:val="1A882B3D"/>
    <w:rsid w:val="1ABE2D20"/>
    <w:rsid w:val="1ACC4B7F"/>
    <w:rsid w:val="1AD34CD1"/>
    <w:rsid w:val="1AD417D6"/>
    <w:rsid w:val="1AE7665A"/>
    <w:rsid w:val="1B816F9A"/>
    <w:rsid w:val="1B8175D6"/>
    <w:rsid w:val="1B9C1B61"/>
    <w:rsid w:val="1BB46A20"/>
    <w:rsid w:val="1BBD6973"/>
    <w:rsid w:val="1BE81B85"/>
    <w:rsid w:val="1BFE2971"/>
    <w:rsid w:val="1C01336C"/>
    <w:rsid w:val="1C021382"/>
    <w:rsid w:val="1C1669BA"/>
    <w:rsid w:val="1C1C3102"/>
    <w:rsid w:val="1C2230E8"/>
    <w:rsid w:val="1C2E2C8D"/>
    <w:rsid w:val="1C6C7614"/>
    <w:rsid w:val="1CB31F52"/>
    <w:rsid w:val="1CDC7753"/>
    <w:rsid w:val="1CEC4A0D"/>
    <w:rsid w:val="1D1712A0"/>
    <w:rsid w:val="1D2B7B9F"/>
    <w:rsid w:val="1D305274"/>
    <w:rsid w:val="1D3F5714"/>
    <w:rsid w:val="1D466011"/>
    <w:rsid w:val="1D547E28"/>
    <w:rsid w:val="1D655DB6"/>
    <w:rsid w:val="1D980258"/>
    <w:rsid w:val="1D9C1F14"/>
    <w:rsid w:val="1DB113DA"/>
    <w:rsid w:val="1DFB4E0B"/>
    <w:rsid w:val="1E2278F4"/>
    <w:rsid w:val="1E5542CC"/>
    <w:rsid w:val="1E6D6ABE"/>
    <w:rsid w:val="1E755624"/>
    <w:rsid w:val="1EB15364"/>
    <w:rsid w:val="1EBE2AB5"/>
    <w:rsid w:val="1F092A2D"/>
    <w:rsid w:val="1F1162FE"/>
    <w:rsid w:val="1F1C0B32"/>
    <w:rsid w:val="1F352B32"/>
    <w:rsid w:val="1F4A096C"/>
    <w:rsid w:val="1F6B3A34"/>
    <w:rsid w:val="1F751CBE"/>
    <w:rsid w:val="1F7D6B10"/>
    <w:rsid w:val="1F963D6D"/>
    <w:rsid w:val="1F98363F"/>
    <w:rsid w:val="1FBF488C"/>
    <w:rsid w:val="1FCD7675"/>
    <w:rsid w:val="1FEF77E1"/>
    <w:rsid w:val="1FFC155B"/>
    <w:rsid w:val="20010BD0"/>
    <w:rsid w:val="20137C9A"/>
    <w:rsid w:val="20261774"/>
    <w:rsid w:val="203A4D2E"/>
    <w:rsid w:val="204030A0"/>
    <w:rsid w:val="205B78B2"/>
    <w:rsid w:val="205C4184"/>
    <w:rsid w:val="206558CE"/>
    <w:rsid w:val="206901B1"/>
    <w:rsid w:val="2078018B"/>
    <w:rsid w:val="209323D8"/>
    <w:rsid w:val="20AD55FF"/>
    <w:rsid w:val="20C12FDC"/>
    <w:rsid w:val="211001E9"/>
    <w:rsid w:val="21147D43"/>
    <w:rsid w:val="2119067D"/>
    <w:rsid w:val="21216F1B"/>
    <w:rsid w:val="215A4604"/>
    <w:rsid w:val="217C7ED4"/>
    <w:rsid w:val="21862B07"/>
    <w:rsid w:val="219A3406"/>
    <w:rsid w:val="21A70D61"/>
    <w:rsid w:val="21B2244C"/>
    <w:rsid w:val="21C30EF9"/>
    <w:rsid w:val="224E7428"/>
    <w:rsid w:val="2261560B"/>
    <w:rsid w:val="227918A6"/>
    <w:rsid w:val="22944164"/>
    <w:rsid w:val="229674ED"/>
    <w:rsid w:val="22AC485D"/>
    <w:rsid w:val="22D174A6"/>
    <w:rsid w:val="22E67532"/>
    <w:rsid w:val="230F16FC"/>
    <w:rsid w:val="231C2E7E"/>
    <w:rsid w:val="232A4048"/>
    <w:rsid w:val="233344E4"/>
    <w:rsid w:val="23850BE5"/>
    <w:rsid w:val="238E2690"/>
    <w:rsid w:val="239015CD"/>
    <w:rsid w:val="23B946BE"/>
    <w:rsid w:val="23C01773"/>
    <w:rsid w:val="23EF13A7"/>
    <w:rsid w:val="24086432"/>
    <w:rsid w:val="240F1052"/>
    <w:rsid w:val="24310987"/>
    <w:rsid w:val="24322A62"/>
    <w:rsid w:val="24554136"/>
    <w:rsid w:val="245C2B3F"/>
    <w:rsid w:val="24836E94"/>
    <w:rsid w:val="24974A9D"/>
    <w:rsid w:val="24A21A55"/>
    <w:rsid w:val="24BC74B9"/>
    <w:rsid w:val="250D3E66"/>
    <w:rsid w:val="252754C5"/>
    <w:rsid w:val="252D3F69"/>
    <w:rsid w:val="25740BBD"/>
    <w:rsid w:val="25955E96"/>
    <w:rsid w:val="259B6E31"/>
    <w:rsid w:val="25B677AD"/>
    <w:rsid w:val="25B904A8"/>
    <w:rsid w:val="261447E7"/>
    <w:rsid w:val="26417898"/>
    <w:rsid w:val="26442276"/>
    <w:rsid w:val="26552532"/>
    <w:rsid w:val="26AD0D8B"/>
    <w:rsid w:val="26C17431"/>
    <w:rsid w:val="26C545A4"/>
    <w:rsid w:val="26C94300"/>
    <w:rsid w:val="26DF7D7C"/>
    <w:rsid w:val="26EE1723"/>
    <w:rsid w:val="26F154C7"/>
    <w:rsid w:val="27080E2E"/>
    <w:rsid w:val="270D21C6"/>
    <w:rsid w:val="27A7464B"/>
    <w:rsid w:val="28092464"/>
    <w:rsid w:val="282C5A3A"/>
    <w:rsid w:val="283F32F7"/>
    <w:rsid w:val="285E5BE3"/>
    <w:rsid w:val="28611CC2"/>
    <w:rsid w:val="286D2B55"/>
    <w:rsid w:val="28721E59"/>
    <w:rsid w:val="28892109"/>
    <w:rsid w:val="28A325B7"/>
    <w:rsid w:val="28B71571"/>
    <w:rsid w:val="28BA104F"/>
    <w:rsid w:val="28C132F2"/>
    <w:rsid w:val="28EF11D1"/>
    <w:rsid w:val="295C2D51"/>
    <w:rsid w:val="29A81CD2"/>
    <w:rsid w:val="29A90232"/>
    <w:rsid w:val="29C804D1"/>
    <w:rsid w:val="29CB1410"/>
    <w:rsid w:val="29D84ABC"/>
    <w:rsid w:val="29F5410D"/>
    <w:rsid w:val="2A1503FE"/>
    <w:rsid w:val="2A194990"/>
    <w:rsid w:val="2A215E5E"/>
    <w:rsid w:val="2A252C4C"/>
    <w:rsid w:val="2A3E7B5A"/>
    <w:rsid w:val="2A6B55C6"/>
    <w:rsid w:val="2A8475EE"/>
    <w:rsid w:val="2A951C8C"/>
    <w:rsid w:val="2A9B26F1"/>
    <w:rsid w:val="2AB25451"/>
    <w:rsid w:val="2AC063B7"/>
    <w:rsid w:val="2ACD0874"/>
    <w:rsid w:val="2AD267B8"/>
    <w:rsid w:val="2AD8059C"/>
    <w:rsid w:val="2B0D737C"/>
    <w:rsid w:val="2B0F004D"/>
    <w:rsid w:val="2B154A20"/>
    <w:rsid w:val="2B6638DE"/>
    <w:rsid w:val="2B84406F"/>
    <w:rsid w:val="2B8F58E2"/>
    <w:rsid w:val="2BA07FAD"/>
    <w:rsid w:val="2BE5055C"/>
    <w:rsid w:val="2BED5A7C"/>
    <w:rsid w:val="2BF858F4"/>
    <w:rsid w:val="2BFC6315"/>
    <w:rsid w:val="2BFD5564"/>
    <w:rsid w:val="2C4C1107"/>
    <w:rsid w:val="2C823F4E"/>
    <w:rsid w:val="2CAD067B"/>
    <w:rsid w:val="2CFD0FC0"/>
    <w:rsid w:val="2D050EBF"/>
    <w:rsid w:val="2D2A25A1"/>
    <w:rsid w:val="2D4D17E5"/>
    <w:rsid w:val="2D6F58D8"/>
    <w:rsid w:val="2D892B5C"/>
    <w:rsid w:val="2DB328B9"/>
    <w:rsid w:val="2DC6450C"/>
    <w:rsid w:val="2DE11692"/>
    <w:rsid w:val="2DF5641D"/>
    <w:rsid w:val="2DF644E3"/>
    <w:rsid w:val="2E0D40F5"/>
    <w:rsid w:val="2E2F56E6"/>
    <w:rsid w:val="2E4A7323"/>
    <w:rsid w:val="2E98229F"/>
    <w:rsid w:val="2EA56E95"/>
    <w:rsid w:val="2EA673C9"/>
    <w:rsid w:val="2ECA710C"/>
    <w:rsid w:val="2ED4404D"/>
    <w:rsid w:val="2ED50475"/>
    <w:rsid w:val="2EE365C8"/>
    <w:rsid w:val="2F090AB4"/>
    <w:rsid w:val="2F13732E"/>
    <w:rsid w:val="2F336BA3"/>
    <w:rsid w:val="2F5621A6"/>
    <w:rsid w:val="2F66411F"/>
    <w:rsid w:val="2F9E2267"/>
    <w:rsid w:val="2FA5716E"/>
    <w:rsid w:val="2FBE7D06"/>
    <w:rsid w:val="2FD85581"/>
    <w:rsid w:val="2FE513F6"/>
    <w:rsid w:val="2FE91ED2"/>
    <w:rsid w:val="2FF22D62"/>
    <w:rsid w:val="30037E76"/>
    <w:rsid w:val="302909D7"/>
    <w:rsid w:val="30320AA9"/>
    <w:rsid w:val="30A00CB5"/>
    <w:rsid w:val="30AF5F22"/>
    <w:rsid w:val="30C14186"/>
    <w:rsid w:val="30D71496"/>
    <w:rsid w:val="30E73B0D"/>
    <w:rsid w:val="30FC61C2"/>
    <w:rsid w:val="30FD55E0"/>
    <w:rsid w:val="31363ABC"/>
    <w:rsid w:val="314614BA"/>
    <w:rsid w:val="31490B7D"/>
    <w:rsid w:val="3153679E"/>
    <w:rsid w:val="315F2471"/>
    <w:rsid w:val="3189708E"/>
    <w:rsid w:val="318B1F3D"/>
    <w:rsid w:val="319434F7"/>
    <w:rsid w:val="31994D00"/>
    <w:rsid w:val="31A65E57"/>
    <w:rsid w:val="31AD16EF"/>
    <w:rsid w:val="31AE660C"/>
    <w:rsid w:val="31B05A1F"/>
    <w:rsid w:val="31FC35FB"/>
    <w:rsid w:val="32010D04"/>
    <w:rsid w:val="320A7836"/>
    <w:rsid w:val="324163CA"/>
    <w:rsid w:val="32574FD8"/>
    <w:rsid w:val="325C547C"/>
    <w:rsid w:val="326C29F6"/>
    <w:rsid w:val="327C3888"/>
    <w:rsid w:val="32945DAC"/>
    <w:rsid w:val="32AB0897"/>
    <w:rsid w:val="32CE45BC"/>
    <w:rsid w:val="32D9201A"/>
    <w:rsid w:val="32E42D0F"/>
    <w:rsid w:val="32E779A4"/>
    <w:rsid w:val="330D4D94"/>
    <w:rsid w:val="33435E16"/>
    <w:rsid w:val="335F11B3"/>
    <w:rsid w:val="337B12FB"/>
    <w:rsid w:val="339C5454"/>
    <w:rsid w:val="33DD1D83"/>
    <w:rsid w:val="33FC5F9C"/>
    <w:rsid w:val="34005D95"/>
    <w:rsid w:val="34173060"/>
    <w:rsid w:val="3425323C"/>
    <w:rsid w:val="342E5EA7"/>
    <w:rsid w:val="34474FF1"/>
    <w:rsid w:val="344B3651"/>
    <w:rsid w:val="34B63281"/>
    <w:rsid w:val="34C105B0"/>
    <w:rsid w:val="34CA39B2"/>
    <w:rsid w:val="34D564C3"/>
    <w:rsid w:val="34DC79C0"/>
    <w:rsid w:val="34EC4B86"/>
    <w:rsid w:val="3572663B"/>
    <w:rsid w:val="357D4C50"/>
    <w:rsid w:val="35925B04"/>
    <w:rsid w:val="35963717"/>
    <w:rsid w:val="35AF3549"/>
    <w:rsid w:val="35DA5213"/>
    <w:rsid w:val="35EE7B1B"/>
    <w:rsid w:val="35F65FAD"/>
    <w:rsid w:val="36202050"/>
    <w:rsid w:val="364A7C84"/>
    <w:rsid w:val="36605016"/>
    <w:rsid w:val="366B7A53"/>
    <w:rsid w:val="368259EE"/>
    <w:rsid w:val="3689301E"/>
    <w:rsid w:val="36B523AB"/>
    <w:rsid w:val="36C76D40"/>
    <w:rsid w:val="36F44E23"/>
    <w:rsid w:val="371D2966"/>
    <w:rsid w:val="373062E8"/>
    <w:rsid w:val="37785098"/>
    <w:rsid w:val="377E7331"/>
    <w:rsid w:val="37A6234C"/>
    <w:rsid w:val="37AF1535"/>
    <w:rsid w:val="37CB57CA"/>
    <w:rsid w:val="37D337D1"/>
    <w:rsid w:val="37F16302"/>
    <w:rsid w:val="38781C56"/>
    <w:rsid w:val="38C30240"/>
    <w:rsid w:val="38D30895"/>
    <w:rsid w:val="38E95212"/>
    <w:rsid w:val="391C1C7A"/>
    <w:rsid w:val="39465968"/>
    <w:rsid w:val="39600E80"/>
    <w:rsid w:val="399B72BC"/>
    <w:rsid w:val="3A01261A"/>
    <w:rsid w:val="3A1A4CEB"/>
    <w:rsid w:val="3A247020"/>
    <w:rsid w:val="3A34341C"/>
    <w:rsid w:val="3A366570"/>
    <w:rsid w:val="3A41027E"/>
    <w:rsid w:val="3A446ABC"/>
    <w:rsid w:val="3A481E25"/>
    <w:rsid w:val="3A562007"/>
    <w:rsid w:val="3A632ED3"/>
    <w:rsid w:val="3A693A23"/>
    <w:rsid w:val="3A6F255F"/>
    <w:rsid w:val="3A6F6832"/>
    <w:rsid w:val="3A90237F"/>
    <w:rsid w:val="3B0A7991"/>
    <w:rsid w:val="3B100A85"/>
    <w:rsid w:val="3B18283A"/>
    <w:rsid w:val="3B336F2F"/>
    <w:rsid w:val="3B691338"/>
    <w:rsid w:val="3BA60160"/>
    <w:rsid w:val="3BB46CD1"/>
    <w:rsid w:val="3BB6128D"/>
    <w:rsid w:val="3BD11411"/>
    <w:rsid w:val="3BD837A5"/>
    <w:rsid w:val="3BED4242"/>
    <w:rsid w:val="3C317DDD"/>
    <w:rsid w:val="3C457CDF"/>
    <w:rsid w:val="3C742BEB"/>
    <w:rsid w:val="3C857740"/>
    <w:rsid w:val="3C8E02B7"/>
    <w:rsid w:val="3CB004C5"/>
    <w:rsid w:val="3CB35047"/>
    <w:rsid w:val="3CB47F7E"/>
    <w:rsid w:val="3CB603EF"/>
    <w:rsid w:val="3CD82621"/>
    <w:rsid w:val="3CDD69B2"/>
    <w:rsid w:val="3CEA693F"/>
    <w:rsid w:val="3D354C10"/>
    <w:rsid w:val="3D475AFB"/>
    <w:rsid w:val="3D4C43AF"/>
    <w:rsid w:val="3D502422"/>
    <w:rsid w:val="3D5404DD"/>
    <w:rsid w:val="3D6341E4"/>
    <w:rsid w:val="3D6A48AA"/>
    <w:rsid w:val="3D7C1281"/>
    <w:rsid w:val="3D8D1DDC"/>
    <w:rsid w:val="3DD2333F"/>
    <w:rsid w:val="3E000E38"/>
    <w:rsid w:val="3E037731"/>
    <w:rsid w:val="3E0F09D9"/>
    <w:rsid w:val="3E1646C1"/>
    <w:rsid w:val="3E247488"/>
    <w:rsid w:val="3E305EE4"/>
    <w:rsid w:val="3E3D25F5"/>
    <w:rsid w:val="3E4E6762"/>
    <w:rsid w:val="3E70166E"/>
    <w:rsid w:val="3E752011"/>
    <w:rsid w:val="3E8270FA"/>
    <w:rsid w:val="3E8E2505"/>
    <w:rsid w:val="3E9953AC"/>
    <w:rsid w:val="3F310E2B"/>
    <w:rsid w:val="3F3E5B85"/>
    <w:rsid w:val="3F4D19AF"/>
    <w:rsid w:val="3F837DDF"/>
    <w:rsid w:val="3FA21405"/>
    <w:rsid w:val="3FC04528"/>
    <w:rsid w:val="3FCB012B"/>
    <w:rsid w:val="3FEE1DE8"/>
    <w:rsid w:val="3FFE5EFF"/>
    <w:rsid w:val="40171145"/>
    <w:rsid w:val="402104DC"/>
    <w:rsid w:val="40742438"/>
    <w:rsid w:val="40791098"/>
    <w:rsid w:val="40932E75"/>
    <w:rsid w:val="40BC5D67"/>
    <w:rsid w:val="40D775A2"/>
    <w:rsid w:val="40F61783"/>
    <w:rsid w:val="4100601D"/>
    <w:rsid w:val="410D75D5"/>
    <w:rsid w:val="411E3000"/>
    <w:rsid w:val="41402C24"/>
    <w:rsid w:val="414E7345"/>
    <w:rsid w:val="41696F7F"/>
    <w:rsid w:val="417C0D06"/>
    <w:rsid w:val="418B25AA"/>
    <w:rsid w:val="418E56CE"/>
    <w:rsid w:val="41925E9B"/>
    <w:rsid w:val="419B1BC4"/>
    <w:rsid w:val="419D7C05"/>
    <w:rsid w:val="41B3371C"/>
    <w:rsid w:val="41E3266D"/>
    <w:rsid w:val="41F604FA"/>
    <w:rsid w:val="420F24CA"/>
    <w:rsid w:val="421C0994"/>
    <w:rsid w:val="424F02B6"/>
    <w:rsid w:val="42683145"/>
    <w:rsid w:val="427133C0"/>
    <w:rsid w:val="42715180"/>
    <w:rsid w:val="429D7D7D"/>
    <w:rsid w:val="42B45768"/>
    <w:rsid w:val="42FD1410"/>
    <w:rsid w:val="43184FA0"/>
    <w:rsid w:val="431F563A"/>
    <w:rsid w:val="432D0CD2"/>
    <w:rsid w:val="4348259E"/>
    <w:rsid w:val="434C0977"/>
    <w:rsid w:val="43705840"/>
    <w:rsid w:val="43AF6845"/>
    <w:rsid w:val="43D44FF8"/>
    <w:rsid w:val="44286453"/>
    <w:rsid w:val="444B4817"/>
    <w:rsid w:val="444C54FC"/>
    <w:rsid w:val="44615639"/>
    <w:rsid w:val="44762FC6"/>
    <w:rsid w:val="4488431A"/>
    <w:rsid w:val="448F5706"/>
    <w:rsid w:val="44944331"/>
    <w:rsid w:val="449A539D"/>
    <w:rsid w:val="44A538D4"/>
    <w:rsid w:val="44B05905"/>
    <w:rsid w:val="44B67F0B"/>
    <w:rsid w:val="451317C4"/>
    <w:rsid w:val="45575AD5"/>
    <w:rsid w:val="459B774E"/>
    <w:rsid w:val="45B72AB1"/>
    <w:rsid w:val="45CF5AD4"/>
    <w:rsid w:val="45DD06D9"/>
    <w:rsid w:val="460D21F2"/>
    <w:rsid w:val="460E0469"/>
    <w:rsid w:val="460E0A15"/>
    <w:rsid w:val="464050BB"/>
    <w:rsid w:val="466B6702"/>
    <w:rsid w:val="466F037A"/>
    <w:rsid w:val="46A075FA"/>
    <w:rsid w:val="46D7121E"/>
    <w:rsid w:val="46FF57CE"/>
    <w:rsid w:val="47700BCB"/>
    <w:rsid w:val="47C254B8"/>
    <w:rsid w:val="47DF082A"/>
    <w:rsid w:val="47EB5003"/>
    <w:rsid w:val="48081128"/>
    <w:rsid w:val="483A31DC"/>
    <w:rsid w:val="48942C25"/>
    <w:rsid w:val="4898666C"/>
    <w:rsid w:val="489B75DE"/>
    <w:rsid w:val="48B5305A"/>
    <w:rsid w:val="48B63FE7"/>
    <w:rsid w:val="48CC7D6E"/>
    <w:rsid w:val="48EB5A5C"/>
    <w:rsid w:val="490B579F"/>
    <w:rsid w:val="492A1C6E"/>
    <w:rsid w:val="492C7D33"/>
    <w:rsid w:val="493A79B5"/>
    <w:rsid w:val="4969605D"/>
    <w:rsid w:val="496D1F2A"/>
    <w:rsid w:val="497C7394"/>
    <w:rsid w:val="498A3B85"/>
    <w:rsid w:val="49AE3287"/>
    <w:rsid w:val="49C65C46"/>
    <w:rsid w:val="49D021B0"/>
    <w:rsid w:val="49D61F4B"/>
    <w:rsid w:val="49D7375C"/>
    <w:rsid w:val="49EC64E1"/>
    <w:rsid w:val="4A11668C"/>
    <w:rsid w:val="4A3546EB"/>
    <w:rsid w:val="4A4A48A6"/>
    <w:rsid w:val="4A524812"/>
    <w:rsid w:val="4A526073"/>
    <w:rsid w:val="4A56215E"/>
    <w:rsid w:val="4A5D4A40"/>
    <w:rsid w:val="4A6C1B50"/>
    <w:rsid w:val="4A7E40F2"/>
    <w:rsid w:val="4A8561F1"/>
    <w:rsid w:val="4A943BC6"/>
    <w:rsid w:val="4AAF17A9"/>
    <w:rsid w:val="4B3D4E30"/>
    <w:rsid w:val="4B413D26"/>
    <w:rsid w:val="4B8B446D"/>
    <w:rsid w:val="4BB317A2"/>
    <w:rsid w:val="4BC27F8D"/>
    <w:rsid w:val="4BCC6CCE"/>
    <w:rsid w:val="4BE44E6C"/>
    <w:rsid w:val="4BF446B8"/>
    <w:rsid w:val="4C061338"/>
    <w:rsid w:val="4C497215"/>
    <w:rsid w:val="4C4F5F99"/>
    <w:rsid w:val="4C5D0817"/>
    <w:rsid w:val="4C5E08E0"/>
    <w:rsid w:val="4CBF4AE9"/>
    <w:rsid w:val="4D0A349B"/>
    <w:rsid w:val="4D0D2E78"/>
    <w:rsid w:val="4D0F04ED"/>
    <w:rsid w:val="4D384A7C"/>
    <w:rsid w:val="4D3A0411"/>
    <w:rsid w:val="4D427C91"/>
    <w:rsid w:val="4D7706F2"/>
    <w:rsid w:val="4DBE12C2"/>
    <w:rsid w:val="4DCE6ED3"/>
    <w:rsid w:val="4E095444"/>
    <w:rsid w:val="4E333BBB"/>
    <w:rsid w:val="4E6A06E9"/>
    <w:rsid w:val="4EC206BE"/>
    <w:rsid w:val="4EC46EFB"/>
    <w:rsid w:val="4EC951FF"/>
    <w:rsid w:val="4ED04B02"/>
    <w:rsid w:val="4EE96853"/>
    <w:rsid w:val="4F105F02"/>
    <w:rsid w:val="4F121BEA"/>
    <w:rsid w:val="4F172396"/>
    <w:rsid w:val="4F3F03C1"/>
    <w:rsid w:val="4F4C2971"/>
    <w:rsid w:val="4F566ACF"/>
    <w:rsid w:val="4F704BBC"/>
    <w:rsid w:val="4F8028EE"/>
    <w:rsid w:val="4FAD0DF7"/>
    <w:rsid w:val="4FBC1F04"/>
    <w:rsid w:val="4FBD361C"/>
    <w:rsid w:val="4FBE1CEA"/>
    <w:rsid w:val="4FC15F00"/>
    <w:rsid w:val="4FF17370"/>
    <w:rsid w:val="50371519"/>
    <w:rsid w:val="503D6ACE"/>
    <w:rsid w:val="505A0A75"/>
    <w:rsid w:val="50ED0D36"/>
    <w:rsid w:val="51130AD6"/>
    <w:rsid w:val="51147068"/>
    <w:rsid w:val="511B4097"/>
    <w:rsid w:val="512452DA"/>
    <w:rsid w:val="515029F4"/>
    <w:rsid w:val="51777BA1"/>
    <w:rsid w:val="517A1ADB"/>
    <w:rsid w:val="51901189"/>
    <w:rsid w:val="51952A88"/>
    <w:rsid w:val="51B661F2"/>
    <w:rsid w:val="51BB2EED"/>
    <w:rsid w:val="51EE27E3"/>
    <w:rsid w:val="52101F45"/>
    <w:rsid w:val="5213342A"/>
    <w:rsid w:val="52163344"/>
    <w:rsid w:val="5234477C"/>
    <w:rsid w:val="52515077"/>
    <w:rsid w:val="52806E8B"/>
    <w:rsid w:val="52B118DE"/>
    <w:rsid w:val="52C52078"/>
    <w:rsid w:val="52CB6EC0"/>
    <w:rsid w:val="52D061DA"/>
    <w:rsid w:val="52D211F8"/>
    <w:rsid w:val="52F26F28"/>
    <w:rsid w:val="5315442E"/>
    <w:rsid w:val="5341530E"/>
    <w:rsid w:val="53434396"/>
    <w:rsid w:val="534D112E"/>
    <w:rsid w:val="53761C93"/>
    <w:rsid w:val="537B0A8C"/>
    <w:rsid w:val="5393301A"/>
    <w:rsid w:val="53971518"/>
    <w:rsid w:val="5399073D"/>
    <w:rsid w:val="53AB2CD5"/>
    <w:rsid w:val="53AF23D8"/>
    <w:rsid w:val="53B91D8C"/>
    <w:rsid w:val="53E56E6E"/>
    <w:rsid w:val="53EB2495"/>
    <w:rsid w:val="53F17662"/>
    <w:rsid w:val="54010C17"/>
    <w:rsid w:val="542C2C82"/>
    <w:rsid w:val="543F012A"/>
    <w:rsid w:val="54661F54"/>
    <w:rsid w:val="546C3F2D"/>
    <w:rsid w:val="547F46DA"/>
    <w:rsid w:val="549F75FE"/>
    <w:rsid w:val="54A51CC5"/>
    <w:rsid w:val="54E06144"/>
    <w:rsid w:val="550A393D"/>
    <w:rsid w:val="555E54FB"/>
    <w:rsid w:val="556D2811"/>
    <w:rsid w:val="55CE1AD5"/>
    <w:rsid w:val="55ED37B8"/>
    <w:rsid w:val="55F04C52"/>
    <w:rsid w:val="55F35D23"/>
    <w:rsid w:val="56281CBC"/>
    <w:rsid w:val="56333685"/>
    <w:rsid w:val="568F0DF7"/>
    <w:rsid w:val="56A332D5"/>
    <w:rsid w:val="56C325A5"/>
    <w:rsid w:val="56E709F8"/>
    <w:rsid w:val="56F10A56"/>
    <w:rsid w:val="56FB32FA"/>
    <w:rsid w:val="570703AF"/>
    <w:rsid w:val="572D602C"/>
    <w:rsid w:val="57364D30"/>
    <w:rsid w:val="573D71D1"/>
    <w:rsid w:val="57574216"/>
    <w:rsid w:val="57A21363"/>
    <w:rsid w:val="57A54C20"/>
    <w:rsid w:val="57B937A9"/>
    <w:rsid w:val="57BB4E50"/>
    <w:rsid w:val="57C34B39"/>
    <w:rsid w:val="57E116B4"/>
    <w:rsid w:val="580C0140"/>
    <w:rsid w:val="580F431F"/>
    <w:rsid w:val="587B6F7C"/>
    <w:rsid w:val="58A22BE9"/>
    <w:rsid w:val="58E44026"/>
    <w:rsid w:val="58E67C57"/>
    <w:rsid w:val="58E94F10"/>
    <w:rsid w:val="58F965E6"/>
    <w:rsid w:val="58FA15B8"/>
    <w:rsid w:val="58FF06B6"/>
    <w:rsid w:val="59046596"/>
    <w:rsid w:val="591C3F4A"/>
    <w:rsid w:val="593E6CC6"/>
    <w:rsid w:val="594B0A62"/>
    <w:rsid w:val="594E1B0E"/>
    <w:rsid w:val="594F32F2"/>
    <w:rsid w:val="595461B1"/>
    <w:rsid w:val="59591BB8"/>
    <w:rsid w:val="59820786"/>
    <w:rsid w:val="59A774F2"/>
    <w:rsid w:val="59AD15AB"/>
    <w:rsid w:val="59CE313C"/>
    <w:rsid w:val="59E474BD"/>
    <w:rsid w:val="59FC6B89"/>
    <w:rsid w:val="5A143012"/>
    <w:rsid w:val="5A261D0E"/>
    <w:rsid w:val="5A412A61"/>
    <w:rsid w:val="5A527BDD"/>
    <w:rsid w:val="5A905E59"/>
    <w:rsid w:val="5A9311E7"/>
    <w:rsid w:val="5AD0373D"/>
    <w:rsid w:val="5AF86253"/>
    <w:rsid w:val="5B081862"/>
    <w:rsid w:val="5B1C3DCA"/>
    <w:rsid w:val="5B340596"/>
    <w:rsid w:val="5B3F26B3"/>
    <w:rsid w:val="5B4B70AC"/>
    <w:rsid w:val="5B8A7522"/>
    <w:rsid w:val="5BA53E1C"/>
    <w:rsid w:val="5BA92AAB"/>
    <w:rsid w:val="5BB41290"/>
    <w:rsid w:val="5BC50503"/>
    <w:rsid w:val="5BF50EB6"/>
    <w:rsid w:val="5BF92128"/>
    <w:rsid w:val="5BFA7DB5"/>
    <w:rsid w:val="5C075DA6"/>
    <w:rsid w:val="5C491EC9"/>
    <w:rsid w:val="5C5028D7"/>
    <w:rsid w:val="5C81109C"/>
    <w:rsid w:val="5C9E10E9"/>
    <w:rsid w:val="5CA11D7F"/>
    <w:rsid w:val="5CAF4CE5"/>
    <w:rsid w:val="5CDA6371"/>
    <w:rsid w:val="5CFC64A7"/>
    <w:rsid w:val="5D1516BF"/>
    <w:rsid w:val="5D1569ED"/>
    <w:rsid w:val="5D1B2A4F"/>
    <w:rsid w:val="5D4F34F7"/>
    <w:rsid w:val="5D623C65"/>
    <w:rsid w:val="5D8C1819"/>
    <w:rsid w:val="5DC477E0"/>
    <w:rsid w:val="5DD05318"/>
    <w:rsid w:val="5DE97207"/>
    <w:rsid w:val="5DEF6C2B"/>
    <w:rsid w:val="5DF22741"/>
    <w:rsid w:val="5DFE50F6"/>
    <w:rsid w:val="5E186B89"/>
    <w:rsid w:val="5E2D7C7A"/>
    <w:rsid w:val="5E4E3F80"/>
    <w:rsid w:val="5E5F4BD4"/>
    <w:rsid w:val="5E852B0D"/>
    <w:rsid w:val="5ED20F44"/>
    <w:rsid w:val="5EE7073E"/>
    <w:rsid w:val="5EF67A22"/>
    <w:rsid w:val="5F123BC6"/>
    <w:rsid w:val="5F184877"/>
    <w:rsid w:val="5F1A7A37"/>
    <w:rsid w:val="5F2E3F46"/>
    <w:rsid w:val="5F474C09"/>
    <w:rsid w:val="5F475D4B"/>
    <w:rsid w:val="5F63419E"/>
    <w:rsid w:val="5F736746"/>
    <w:rsid w:val="5F880842"/>
    <w:rsid w:val="5FD95A66"/>
    <w:rsid w:val="5FDF7A00"/>
    <w:rsid w:val="5FFC4765"/>
    <w:rsid w:val="60046C0F"/>
    <w:rsid w:val="601327BB"/>
    <w:rsid w:val="60245068"/>
    <w:rsid w:val="60255BE3"/>
    <w:rsid w:val="602717FC"/>
    <w:rsid w:val="602A62F8"/>
    <w:rsid w:val="602C01A9"/>
    <w:rsid w:val="603B1B21"/>
    <w:rsid w:val="60504051"/>
    <w:rsid w:val="607F2EF2"/>
    <w:rsid w:val="60842FF2"/>
    <w:rsid w:val="60D43BFA"/>
    <w:rsid w:val="60E16AB6"/>
    <w:rsid w:val="60E40C2C"/>
    <w:rsid w:val="610D2A7D"/>
    <w:rsid w:val="61111BF1"/>
    <w:rsid w:val="61175A9A"/>
    <w:rsid w:val="612129FE"/>
    <w:rsid w:val="61375BEC"/>
    <w:rsid w:val="614E4437"/>
    <w:rsid w:val="615F1F60"/>
    <w:rsid w:val="6182631E"/>
    <w:rsid w:val="61BC217C"/>
    <w:rsid w:val="61D9772A"/>
    <w:rsid w:val="61DA1B5D"/>
    <w:rsid w:val="61DB33CF"/>
    <w:rsid w:val="61EF0933"/>
    <w:rsid w:val="61F2327B"/>
    <w:rsid w:val="61F6471A"/>
    <w:rsid w:val="62413765"/>
    <w:rsid w:val="625E2011"/>
    <w:rsid w:val="626E5BD1"/>
    <w:rsid w:val="627803DA"/>
    <w:rsid w:val="62921FA4"/>
    <w:rsid w:val="62DC2379"/>
    <w:rsid w:val="62EF16C5"/>
    <w:rsid w:val="63077DCD"/>
    <w:rsid w:val="63196725"/>
    <w:rsid w:val="631F3FB6"/>
    <w:rsid w:val="63356B20"/>
    <w:rsid w:val="633B4FC0"/>
    <w:rsid w:val="63647D08"/>
    <w:rsid w:val="63B47AD6"/>
    <w:rsid w:val="63BD1F88"/>
    <w:rsid w:val="63F34E27"/>
    <w:rsid w:val="642E2D6E"/>
    <w:rsid w:val="642F141D"/>
    <w:rsid w:val="6439179D"/>
    <w:rsid w:val="643A7D3D"/>
    <w:rsid w:val="644845EE"/>
    <w:rsid w:val="644C43F2"/>
    <w:rsid w:val="645E071A"/>
    <w:rsid w:val="64611864"/>
    <w:rsid w:val="6465357A"/>
    <w:rsid w:val="64704226"/>
    <w:rsid w:val="64870014"/>
    <w:rsid w:val="64B76AA3"/>
    <w:rsid w:val="64C61C82"/>
    <w:rsid w:val="64D124DB"/>
    <w:rsid w:val="65233DA8"/>
    <w:rsid w:val="652A1A84"/>
    <w:rsid w:val="652A5D21"/>
    <w:rsid w:val="65480BBE"/>
    <w:rsid w:val="6554639C"/>
    <w:rsid w:val="65933B3C"/>
    <w:rsid w:val="65B955CA"/>
    <w:rsid w:val="65BE6C54"/>
    <w:rsid w:val="65CC3546"/>
    <w:rsid w:val="661A0E12"/>
    <w:rsid w:val="66214D7C"/>
    <w:rsid w:val="6624580B"/>
    <w:rsid w:val="667B6C3F"/>
    <w:rsid w:val="66B40E42"/>
    <w:rsid w:val="66B56D61"/>
    <w:rsid w:val="66B56D68"/>
    <w:rsid w:val="66EA1480"/>
    <w:rsid w:val="67056631"/>
    <w:rsid w:val="676E6425"/>
    <w:rsid w:val="67776ADD"/>
    <w:rsid w:val="6779797F"/>
    <w:rsid w:val="6789047F"/>
    <w:rsid w:val="67A720F6"/>
    <w:rsid w:val="67AC1398"/>
    <w:rsid w:val="67E7540E"/>
    <w:rsid w:val="67EA1736"/>
    <w:rsid w:val="67FC02AC"/>
    <w:rsid w:val="68006207"/>
    <w:rsid w:val="68070E08"/>
    <w:rsid w:val="682D432C"/>
    <w:rsid w:val="68382592"/>
    <w:rsid w:val="684A32DA"/>
    <w:rsid w:val="68784674"/>
    <w:rsid w:val="687C00C8"/>
    <w:rsid w:val="687C4042"/>
    <w:rsid w:val="68A742AD"/>
    <w:rsid w:val="68C25CFA"/>
    <w:rsid w:val="68C731B8"/>
    <w:rsid w:val="68D536DE"/>
    <w:rsid w:val="69044A5D"/>
    <w:rsid w:val="691052CA"/>
    <w:rsid w:val="69194464"/>
    <w:rsid w:val="691D05F7"/>
    <w:rsid w:val="69312B59"/>
    <w:rsid w:val="69446209"/>
    <w:rsid w:val="698B1B24"/>
    <w:rsid w:val="6994580C"/>
    <w:rsid w:val="69BB0755"/>
    <w:rsid w:val="6A115C81"/>
    <w:rsid w:val="6A7A60F7"/>
    <w:rsid w:val="6AAC2E76"/>
    <w:rsid w:val="6AEE1969"/>
    <w:rsid w:val="6B0A125F"/>
    <w:rsid w:val="6B23484A"/>
    <w:rsid w:val="6B30457A"/>
    <w:rsid w:val="6B3B1CB3"/>
    <w:rsid w:val="6B43702A"/>
    <w:rsid w:val="6B524C27"/>
    <w:rsid w:val="6B5A1EC9"/>
    <w:rsid w:val="6B7308B4"/>
    <w:rsid w:val="6B744505"/>
    <w:rsid w:val="6BA2498F"/>
    <w:rsid w:val="6BBC51E6"/>
    <w:rsid w:val="6BCA0F7D"/>
    <w:rsid w:val="6BDE4DDD"/>
    <w:rsid w:val="6BE82C3E"/>
    <w:rsid w:val="6BE972DB"/>
    <w:rsid w:val="6BFE0452"/>
    <w:rsid w:val="6C0F2440"/>
    <w:rsid w:val="6C176418"/>
    <w:rsid w:val="6C392A9F"/>
    <w:rsid w:val="6C4D097B"/>
    <w:rsid w:val="6C5973BD"/>
    <w:rsid w:val="6C5F452A"/>
    <w:rsid w:val="6C762792"/>
    <w:rsid w:val="6C7D1213"/>
    <w:rsid w:val="6C801375"/>
    <w:rsid w:val="6C822E35"/>
    <w:rsid w:val="6CA714E6"/>
    <w:rsid w:val="6CEF6EBD"/>
    <w:rsid w:val="6CF01C95"/>
    <w:rsid w:val="6CF542B7"/>
    <w:rsid w:val="6D18295E"/>
    <w:rsid w:val="6D206AE2"/>
    <w:rsid w:val="6D5941BB"/>
    <w:rsid w:val="6D5B0CBD"/>
    <w:rsid w:val="6D8A08D8"/>
    <w:rsid w:val="6D961017"/>
    <w:rsid w:val="6DCE3EDB"/>
    <w:rsid w:val="6DD23F1E"/>
    <w:rsid w:val="6DEE2081"/>
    <w:rsid w:val="6E210E7D"/>
    <w:rsid w:val="6E336938"/>
    <w:rsid w:val="6E565A56"/>
    <w:rsid w:val="6E5D68D3"/>
    <w:rsid w:val="6E682450"/>
    <w:rsid w:val="6E7251F0"/>
    <w:rsid w:val="6E757524"/>
    <w:rsid w:val="6E7934F3"/>
    <w:rsid w:val="6EAD6286"/>
    <w:rsid w:val="6EB24C59"/>
    <w:rsid w:val="6EBD3CCD"/>
    <w:rsid w:val="6ECD60E1"/>
    <w:rsid w:val="6F2428C0"/>
    <w:rsid w:val="6F433285"/>
    <w:rsid w:val="6F591B5D"/>
    <w:rsid w:val="6F7E65DB"/>
    <w:rsid w:val="6F981073"/>
    <w:rsid w:val="6FA172A4"/>
    <w:rsid w:val="6FFF65EB"/>
    <w:rsid w:val="702D3A00"/>
    <w:rsid w:val="705A4D1B"/>
    <w:rsid w:val="705F37D3"/>
    <w:rsid w:val="709143C4"/>
    <w:rsid w:val="70930271"/>
    <w:rsid w:val="70DB5146"/>
    <w:rsid w:val="712776C4"/>
    <w:rsid w:val="7181738B"/>
    <w:rsid w:val="71820038"/>
    <w:rsid w:val="71990145"/>
    <w:rsid w:val="719E164B"/>
    <w:rsid w:val="71C90ED8"/>
    <w:rsid w:val="71D72430"/>
    <w:rsid w:val="71E12038"/>
    <w:rsid w:val="720A6753"/>
    <w:rsid w:val="720F4AFB"/>
    <w:rsid w:val="72112B83"/>
    <w:rsid w:val="72143F3C"/>
    <w:rsid w:val="721F61D9"/>
    <w:rsid w:val="723D42BE"/>
    <w:rsid w:val="72412901"/>
    <w:rsid w:val="72887B37"/>
    <w:rsid w:val="72910320"/>
    <w:rsid w:val="72A53302"/>
    <w:rsid w:val="72B3410C"/>
    <w:rsid w:val="72BD6DA9"/>
    <w:rsid w:val="72CB01B8"/>
    <w:rsid w:val="730554B3"/>
    <w:rsid w:val="73092FAA"/>
    <w:rsid w:val="73413694"/>
    <w:rsid w:val="734608F5"/>
    <w:rsid w:val="736D4BAC"/>
    <w:rsid w:val="736F1AFC"/>
    <w:rsid w:val="739B5B15"/>
    <w:rsid w:val="73CA3FB8"/>
    <w:rsid w:val="73E63732"/>
    <w:rsid w:val="73EC345F"/>
    <w:rsid w:val="73FD1118"/>
    <w:rsid w:val="74090510"/>
    <w:rsid w:val="740E2D2D"/>
    <w:rsid w:val="7410282D"/>
    <w:rsid w:val="741752A2"/>
    <w:rsid w:val="74223A5C"/>
    <w:rsid w:val="746B6757"/>
    <w:rsid w:val="747B5C9D"/>
    <w:rsid w:val="747F1177"/>
    <w:rsid w:val="748028C0"/>
    <w:rsid w:val="74A471EE"/>
    <w:rsid w:val="74C768EE"/>
    <w:rsid w:val="74E97F38"/>
    <w:rsid w:val="74F13E40"/>
    <w:rsid w:val="750B1697"/>
    <w:rsid w:val="752A3F7B"/>
    <w:rsid w:val="7533655A"/>
    <w:rsid w:val="75444F15"/>
    <w:rsid w:val="75485488"/>
    <w:rsid w:val="758516A2"/>
    <w:rsid w:val="759A2104"/>
    <w:rsid w:val="75B35E00"/>
    <w:rsid w:val="75CD1343"/>
    <w:rsid w:val="75EB2F64"/>
    <w:rsid w:val="761D1573"/>
    <w:rsid w:val="765B6CE9"/>
    <w:rsid w:val="765D3DA8"/>
    <w:rsid w:val="766852F0"/>
    <w:rsid w:val="766A6521"/>
    <w:rsid w:val="766C7968"/>
    <w:rsid w:val="766E7DAC"/>
    <w:rsid w:val="76936F16"/>
    <w:rsid w:val="76A64EB2"/>
    <w:rsid w:val="76BC1014"/>
    <w:rsid w:val="77025DC3"/>
    <w:rsid w:val="772354E1"/>
    <w:rsid w:val="77276E30"/>
    <w:rsid w:val="772C68C6"/>
    <w:rsid w:val="776C53FF"/>
    <w:rsid w:val="776E3681"/>
    <w:rsid w:val="777E5705"/>
    <w:rsid w:val="7781654E"/>
    <w:rsid w:val="779231D8"/>
    <w:rsid w:val="77B92312"/>
    <w:rsid w:val="7827423F"/>
    <w:rsid w:val="78386307"/>
    <w:rsid w:val="7850391E"/>
    <w:rsid w:val="78597E32"/>
    <w:rsid w:val="78703EBE"/>
    <w:rsid w:val="78805A36"/>
    <w:rsid w:val="78830880"/>
    <w:rsid w:val="78AE0946"/>
    <w:rsid w:val="78D17516"/>
    <w:rsid w:val="78D96E40"/>
    <w:rsid w:val="7911644D"/>
    <w:rsid w:val="79331EC1"/>
    <w:rsid w:val="79404911"/>
    <w:rsid w:val="794D0D3C"/>
    <w:rsid w:val="7986601A"/>
    <w:rsid w:val="7993616D"/>
    <w:rsid w:val="799D69BF"/>
    <w:rsid w:val="79AE14B2"/>
    <w:rsid w:val="79B1687C"/>
    <w:rsid w:val="79B22738"/>
    <w:rsid w:val="79CE4B72"/>
    <w:rsid w:val="7A055366"/>
    <w:rsid w:val="7A292C38"/>
    <w:rsid w:val="7A49541C"/>
    <w:rsid w:val="7A5F22B4"/>
    <w:rsid w:val="7A680094"/>
    <w:rsid w:val="7A7508D5"/>
    <w:rsid w:val="7A80455C"/>
    <w:rsid w:val="7A81102C"/>
    <w:rsid w:val="7AA37ECA"/>
    <w:rsid w:val="7AB16073"/>
    <w:rsid w:val="7ABB5514"/>
    <w:rsid w:val="7AC2458A"/>
    <w:rsid w:val="7ADE3222"/>
    <w:rsid w:val="7AF04DB0"/>
    <w:rsid w:val="7B1C1737"/>
    <w:rsid w:val="7B322761"/>
    <w:rsid w:val="7B3C2640"/>
    <w:rsid w:val="7B4443D1"/>
    <w:rsid w:val="7BB151FD"/>
    <w:rsid w:val="7BB43296"/>
    <w:rsid w:val="7BDE6C84"/>
    <w:rsid w:val="7BE07A81"/>
    <w:rsid w:val="7BE97D38"/>
    <w:rsid w:val="7C471D4F"/>
    <w:rsid w:val="7C7A6596"/>
    <w:rsid w:val="7CA76A22"/>
    <w:rsid w:val="7CCC4E54"/>
    <w:rsid w:val="7CEB2ACD"/>
    <w:rsid w:val="7CEF6F65"/>
    <w:rsid w:val="7CF41D8D"/>
    <w:rsid w:val="7D2D2CA0"/>
    <w:rsid w:val="7D5C29E8"/>
    <w:rsid w:val="7D7A7BC6"/>
    <w:rsid w:val="7DBB08B6"/>
    <w:rsid w:val="7DBC7173"/>
    <w:rsid w:val="7DD90B59"/>
    <w:rsid w:val="7DEF15A6"/>
    <w:rsid w:val="7DFC511B"/>
    <w:rsid w:val="7E221AFC"/>
    <w:rsid w:val="7E2A514E"/>
    <w:rsid w:val="7E2C4E20"/>
    <w:rsid w:val="7E2D20BE"/>
    <w:rsid w:val="7E5733E1"/>
    <w:rsid w:val="7E660C33"/>
    <w:rsid w:val="7E6637F7"/>
    <w:rsid w:val="7E707801"/>
    <w:rsid w:val="7E733B66"/>
    <w:rsid w:val="7EC12AAE"/>
    <w:rsid w:val="7EC52141"/>
    <w:rsid w:val="7EC73D34"/>
    <w:rsid w:val="7ED12FEE"/>
    <w:rsid w:val="7F1648D6"/>
    <w:rsid w:val="7F23784E"/>
    <w:rsid w:val="7F457080"/>
    <w:rsid w:val="7F486BDC"/>
    <w:rsid w:val="7F4C71A0"/>
    <w:rsid w:val="7F5124CE"/>
    <w:rsid w:val="7F6347A3"/>
    <w:rsid w:val="7F8805ED"/>
    <w:rsid w:val="7FB745D2"/>
    <w:rsid w:val="7FC4182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63</TotalTime>
  <ScaleCrop>false</ScaleCrop>
  <LinksUpToDate>false</LinksUpToDate>
  <CharactersWithSpaces>26786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2020-07-30T08:22:54Z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2052-11.1.0.9828</vt:lpwstr>
  </property>
</Properties>
</file>