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sz w:val="72"/>
          <w:szCs w:val="72"/>
        </w:rPr>
        <w:drawing>
          <wp:anchor distT="0" distB="0" distL="114300" distR="114300" simplePos="0" relativeHeight="251657216" behindDoc="1" locked="0" layoutInCell="1" allowOverlap="1">
            <wp:simplePos x="0" y="0"/>
            <wp:positionH relativeFrom="column">
              <wp:posOffset>-713105</wp:posOffset>
            </wp:positionH>
            <wp:positionV relativeFrom="paragraph">
              <wp:posOffset>-543560</wp:posOffset>
            </wp:positionV>
            <wp:extent cx="7560310" cy="10696575"/>
            <wp:effectExtent l="19050" t="0" r="2540" b="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560310" cy="10696575"/>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2343150</wp:posOffset>
                </wp:positionH>
                <wp:positionV relativeFrom="paragraph">
                  <wp:posOffset>95250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84.5pt;margin-top:7.5pt;height:59.4pt;width:126.6pt;z-index:251658240;mso-width-relative:page;mso-height-relative:page;" filled="f" stroked="f" coordsize="21600,21600" o:gfxdata="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sWiVLYAAAACgEAAA8AAAAAAAAAAQAgAAAAIgAAAGRycy9kb3du&#10;cmV2LnhtbFBLAQIUABQAAAAIAIdO4kBn+7IxjQEAAAEDAAAOAAAAAAAAAAEAIAAAACcBAABkcnMv&#10;ZTJvRG9jLnhtbFBLBQYAAAAABgAGAFkBAAAmBQ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w:t>
      </w:r>
      <w:r>
        <w:rPr>
          <w:rFonts w:hint="eastAsia" w:ascii="宋体" w:hAnsi="宋体"/>
          <w:b/>
          <w:sz w:val="30"/>
          <w:szCs w:val="30"/>
          <w:lang w:val="en-US" w:eastAsia="zh-CN"/>
        </w:rPr>
        <w:t>20</w:t>
      </w:r>
      <w:r>
        <w:rPr>
          <w:rFonts w:hint="eastAsia" w:ascii="宋体" w:hAnsi="宋体"/>
          <w:b/>
          <w:sz w:val="30"/>
          <w:szCs w:val="30"/>
        </w:rPr>
        <w:t>.</w:t>
      </w:r>
      <w:r>
        <w:rPr>
          <w:rFonts w:hint="eastAsia" w:ascii="宋体" w:hAnsi="宋体"/>
          <w:b/>
          <w:sz w:val="30"/>
          <w:szCs w:val="30"/>
          <w:lang w:val="en-US" w:eastAsia="zh-CN"/>
        </w:rPr>
        <w:t>7.16</w:t>
      </w: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58240;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2"/>
          <w:szCs w:val="32"/>
        </w:rPr>
      </w:pPr>
      <w:r>
        <w:rPr>
          <w:rFonts w:hint="eastAsia" w:ascii="宋体" w:hAnsi="宋体"/>
          <w:b/>
          <w:sz w:val="32"/>
          <w:szCs w:val="32"/>
        </w:rPr>
        <w:t>目 录</w:t>
      </w:r>
    </w:p>
    <w:p>
      <w:pPr>
        <w:pStyle w:val="16"/>
        <w:rPr>
          <w:rFonts w:ascii="Times New Roman" w:hAnsi="Times New Roman"/>
          <w:b w:val="0"/>
          <w:bCs w:val="0"/>
          <w:caps w:val="0"/>
          <w:color w:val="auto"/>
          <w:sz w:val="24"/>
          <w:szCs w:val="24"/>
        </w:rPr>
      </w:pPr>
      <w:r>
        <w:rPr>
          <w:b w:val="0"/>
          <w:color w:val="auto"/>
          <w:sz w:val="24"/>
          <w:szCs w:val="24"/>
        </w:rPr>
        <w:fldChar w:fldCharType="begin"/>
      </w:r>
      <w:r>
        <w:rPr>
          <w:b w:val="0"/>
          <w:color w:val="auto"/>
          <w:sz w:val="24"/>
          <w:szCs w:val="24"/>
        </w:rPr>
        <w:instrText xml:space="preserve"> TOC \o "1-3" \h \z </w:instrText>
      </w:r>
      <w:r>
        <w:rPr>
          <w:b w:val="0"/>
          <w:color w:val="auto"/>
          <w:sz w:val="24"/>
          <w:szCs w:val="24"/>
        </w:rPr>
        <w:fldChar w:fldCharType="separate"/>
      </w:r>
      <w:r>
        <w:fldChar w:fldCharType="begin"/>
      </w:r>
      <w:r>
        <w:instrText xml:space="preserve"> HYPERLINK \l "_Toc533771861" </w:instrText>
      </w:r>
      <w:r>
        <w:fldChar w:fldCharType="separate"/>
      </w:r>
      <w:r>
        <w:rPr>
          <w:rStyle w:val="31"/>
          <w:rFonts w:hint="eastAsia"/>
          <w:color w:val="auto"/>
          <w:sz w:val="24"/>
          <w:szCs w:val="24"/>
        </w:rPr>
        <w:t>一、国际原油市场回顾</w:t>
      </w:r>
      <w:r>
        <w:rPr>
          <w:color w:val="auto"/>
          <w:sz w:val="24"/>
          <w:szCs w:val="24"/>
        </w:rPr>
        <w:tab/>
      </w:r>
      <w:r>
        <w:rPr>
          <w:color w:val="auto"/>
          <w:sz w:val="24"/>
          <w:szCs w:val="24"/>
        </w:rPr>
        <w:fldChar w:fldCharType="begin"/>
      </w:r>
      <w:r>
        <w:rPr>
          <w:color w:val="auto"/>
          <w:sz w:val="24"/>
          <w:szCs w:val="24"/>
        </w:rPr>
        <w:instrText xml:space="preserve"> PAGEREF _Toc533771861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"_Toc533771862" </w:instrText>
      </w:r>
      <w:r>
        <w:fldChar w:fldCharType="separate"/>
      </w:r>
      <w:r>
        <w:rPr>
          <w:rStyle w:val="31"/>
          <w:rFonts w:ascii="宋体" w:hAnsi="宋体"/>
          <w:b/>
          <w:color w:val="auto"/>
          <w:sz w:val="24"/>
          <w:szCs w:val="24"/>
        </w:rPr>
        <w:t>1.1</w:t>
      </w:r>
      <w:r>
        <w:rPr>
          <w:rStyle w:val="31"/>
          <w:rFonts w:hint="eastAsia" w:ascii="宋体" w:hAnsi="宋体"/>
          <w:b/>
          <w:color w:val="auto"/>
          <w:sz w:val="24"/>
          <w:szCs w:val="24"/>
        </w:rPr>
        <w:t>国际原油收盘价涨跌情况（单位：美元</w:t>
      </w:r>
      <w:r>
        <w:rPr>
          <w:rStyle w:val="31"/>
          <w:rFonts w:ascii="宋体" w:hAnsi="宋体"/>
          <w:b/>
          <w:color w:val="auto"/>
          <w:sz w:val="24"/>
          <w:szCs w:val="24"/>
        </w:rPr>
        <w:t>/</w:t>
      </w:r>
      <w:r>
        <w:rPr>
          <w:rStyle w:val="31"/>
          <w:rFonts w:hint="eastAsia" w:ascii="宋体" w:hAnsi="宋体"/>
          <w:b/>
          <w:color w:val="auto"/>
          <w:sz w:val="24"/>
          <w:szCs w:val="24"/>
        </w:rPr>
        <w:t>桶）</w:t>
      </w:r>
      <w:r>
        <w:rPr>
          <w:color w:val="auto"/>
          <w:sz w:val="24"/>
          <w:szCs w:val="24"/>
        </w:rPr>
        <w:tab/>
      </w:r>
      <w:r>
        <w:rPr>
          <w:color w:val="auto"/>
          <w:sz w:val="24"/>
          <w:szCs w:val="24"/>
        </w:rPr>
        <w:fldChar w:fldCharType="begin"/>
      </w:r>
      <w:r>
        <w:rPr>
          <w:color w:val="auto"/>
          <w:sz w:val="24"/>
          <w:szCs w:val="24"/>
        </w:rPr>
        <w:instrText xml:space="preserve"> PAGEREF _Toc533771862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"_Toc533771863" </w:instrText>
      </w:r>
      <w:r>
        <w:fldChar w:fldCharType="separate"/>
      </w:r>
      <w:r>
        <w:rPr>
          <w:rStyle w:val="31"/>
          <w:rFonts w:ascii="宋体" w:hAnsi="宋体"/>
          <w:b/>
          <w:color w:val="auto"/>
          <w:sz w:val="24"/>
          <w:szCs w:val="24"/>
        </w:rPr>
        <w:t>1.2 20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年国际原油价格走势图</w:t>
      </w:r>
      <w:r>
        <w:rPr>
          <w:color w:val="auto"/>
          <w:sz w:val="24"/>
          <w:szCs w:val="24"/>
        </w:rPr>
        <w:tab/>
      </w:r>
      <w:r>
        <w:rPr>
          <w:color w:val="auto"/>
          <w:sz w:val="24"/>
          <w:szCs w:val="24"/>
        </w:rPr>
        <w:fldChar w:fldCharType="begin"/>
      </w:r>
      <w:r>
        <w:rPr>
          <w:color w:val="auto"/>
          <w:sz w:val="24"/>
          <w:szCs w:val="24"/>
        </w:rPr>
        <w:instrText xml:space="preserve"> PAGEREF _Toc533771863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"_Toc533771864" </w:instrText>
      </w:r>
      <w:r>
        <w:fldChar w:fldCharType="separate"/>
      </w:r>
      <w:r>
        <w:rPr>
          <w:rStyle w:val="31"/>
          <w:rFonts w:hint="eastAsia"/>
          <w:color w:val="auto"/>
          <w:sz w:val="24"/>
          <w:szCs w:val="24"/>
        </w:rPr>
        <w:t>二、近期影响国际原油市场的主要因素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_Toc533771864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"_Toc533771865" </w:instrText>
      </w:r>
      <w:r>
        <w:fldChar w:fldCharType="separate"/>
      </w:r>
      <w:r>
        <w:rPr>
          <w:rStyle w:val="31"/>
          <w:rFonts w:ascii="宋体" w:hAnsi="宋体"/>
          <w:b/>
          <w:color w:val="auto"/>
          <w:sz w:val="24"/>
          <w:szCs w:val="24"/>
        </w:rPr>
        <w:t>2.1</w:t>
      </w:r>
      <w:r>
        <w:rPr>
          <w:rStyle w:val="31"/>
          <w:rFonts w:hint="eastAsia" w:ascii="宋体" w:hAnsi="宋体"/>
          <w:b/>
          <w:color w:val="auto"/>
          <w:sz w:val="24"/>
          <w:szCs w:val="24"/>
        </w:rPr>
        <w:t>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_Toc533771865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"_Toc533771866" </w:instrText>
      </w:r>
      <w:r>
        <w:fldChar w:fldCharType="separate"/>
      </w:r>
      <w:r>
        <w:rPr>
          <w:rStyle w:val="31"/>
          <w:rFonts w:ascii="宋体" w:hAnsi="宋体"/>
          <w:b/>
          <w:color w:val="auto"/>
          <w:sz w:val="24"/>
          <w:szCs w:val="24"/>
        </w:rPr>
        <w:t>2.2</w:t>
      </w:r>
      <w:r>
        <w:rPr>
          <w:rStyle w:val="31"/>
          <w:rFonts w:hint="eastAsia" w:ascii="宋体" w:hAnsi="宋体"/>
          <w:b/>
          <w:color w:val="auto"/>
          <w:sz w:val="24"/>
          <w:szCs w:val="24"/>
        </w:rPr>
        <w:t>国际市场</w:t>
      </w:r>
      <w:r>
        <w:rPr>
          <w:rStyle w:val="31"/>
          <w:rFonts w:ascii="宋体" w:hAnsi="宋体"/>
          <w:b/>
          <w:color w:val="auto"/>
          <w:sz w:val="24"/>
          <w:szCs w:val="24"/>
        </w:rPr>
        <w:t>MTBE</w:t>
      </w:r>
      <w:r>
        <w:rPr>
          <w:rStyle w:val="31"/>
          <w:rFonts w:hint="eastAsia" w:ascii="宋体" w:hAnsi="宋体"/>
          <w:b/>
          <w:color w:val="auto"/>
          <w:sz w:val="24"/>
          <w:szCs w:val="24"/>
        </w:rPr>
        <w:t>价格</w:t>
      </w:r>
      <w:r>
        <w:rPr>
          <w:color w:val="auto"/>
          <w:sz w:val="24"/>
          <w:szCs w:val="24"/>
        </w:rPr>
        <w:tab/>
      </w:r>
      <w:r>
        <w:rPr>
          <w:color w:val="auto"/>
          <w:sz w:val="24"/>
          <w:szCs w:val="24"/>
        </w:rPr>
        <w:fldChar w:fldCharType="begin"/>
      </w:r>
      <w:r>
        <w:rPr>
          <w:color w:val="auto"/>
          <w:sz w:val="24"/>
          <w:szCs w:val="24"/>
        </w:rPr>
        <w:instrText xml:space="preserve"> PAGEREF _Toc533771866 \h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"_Toc533771867" </w:instrText>
      </w:r>
      <w:r>
        <w:fldChar w:fldCharType="separate"/>
      </w:r>
      <w:r>
        <w:rPr>
          <w:rStyle w:val="31"/>
          <w:rFonts w:hint="eastAsia"/>
          <w:color w:val="auto"/>
          <w:sz w:val="24"/>
          <w:szCs w:val="24"/>
        </w:rPr>
        <w:t>三、本周国内市场</w:t>
      </w:r>
      <w:r>
        <w:rPr>
          <w:color w:val="auto"/>
          <w:sz w:val="24"/>
          <w:szCs w:val="24"/>
        </w:rPr>
        <w:tab/>
      </w:r>
      <w:r>
        <w:rPr>
          <w:color w:val="auto"/>
          <w:sz w:val="24"/>
          <w:szCs w:val="24"/>
        </w:rPr>
        <w:fldChar w:fldCharType="begin"/>
      </w:r>
      <w:r>
        <w:rPr>
          <w:color w:val="auto"/>
          <w:sz w:val="24"/>
          <w:szCs w:val="24"/>
        </w:rPr>
        <w:instrText xml:space="preserve"> PAGEREF _Toc533771867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"_Toc533771868" </w:instrText>
      </w:r>
      <w:r>
        <w:fldChar w:fldCharType="separate"/>
      </w:r>
      <w:r>
        <w:rPr>
          <w:rStyle w:val="31"/>
          <w:rFonts w:ascii="宋体" w:hAnsi="宋体"/>
          <w:b/>
          <w:color w:val="auto"/>
          <w:sz w:val="24"/>
          <w:szCs w:val="24"/>
        </w:rPr>
        <w:t xml:space="preserve">3.1 </w:t>
      </w:r>
      <w:r>
        <w:rPr>
          <w:rStyle w:val="31"/>
          <w:rFonts w:hint="eastAsia" w:ascii="宋体" w:hAnsi="宋体"/>
          <w:b/>
          <w:color w:val="auto"/>
          <w:sz w:val="24"/>
          <w:szCs w:val="24"/>
        </w:rPr>
        <w:t>国内炼厂装置运行情况</w:t>
      </w:r>
      <w:r>
        <w:rPr>
          <w:color w:val="auto"/>
          <w:sz w:val="24"/>
          <w:szCs w:val="24"/>
        </w:rPr>
        <w:tab/>
      </w:r>
      <w:r>
        <w:rPr>
          <w:color w:val="auto"/>
          <w:sz w:val="24"/>
          <w:szCs w:val="24"/>
        </w:rPr>
        <w:fldChar w:fldCharType="begin"/>
      </w:r>
      <w:r>
        <w:rPr>
          <w:color w:val="auto"/>
          <w:sz w:val="24"/>
          <w:szCs w:val="24"/>
        </w:rPr>
        <w:instrText xml:space="preserve"> PAGEREF _Toc533771868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"_Toc533771869" </w:instrText>
      </w:r>
      <w:r>
        <w:fldChar w:fldCharType="separate"/>
      </w:r>
      <w:r>
        <w:rPr>
          <w:rStyle w:val="31"/>
          <w:rFonts w:ascii="宋体" w:hAnsi="宋体"/>
          <w:b/>
          <w:color w:val="auto"/>
          <w:sz w:val="24"/>
          <w:szCs w:val="24"/>
        </w:rPr>
        <w:t>3.2</w:t>
      </w:r>
      <w:r>
        <w:rPr>
          <w:rStyle w:val="31"/>
          <w:rFonts w:hint="eastAsia" w:ascii="宋体" w:hAnsi="宋体"/>
          <w:b/>
          <w:color w:val="auto"/>
          <w:sz w:val="24"/>
          <w:szCs w:val="24"/>
        </w:rPr>
        <w:t>本周成品油市场行情</w:t>
      </w:r>
      <w:r>
        <w:rPr>
          <w:color w:val="auto"/>
          <w:sz w:val="24"/>
          <w:szCs w:val="24"/>
        </w:rPr>
        <w:tab/>
      </w:r>
      <w:r>
        <w:rPr>
          <w:color w:val="auto"/>
          <w:sz w:val="24"/>
          <w:szCs w:val="24"/>
        </w:rPr>
        <w:fldChar w:fldCharType="begin"/>
      </w:r>
      <w:r>
        <w:rPr>
          <w:color w:val="auto"/>
          <w:sz w:val="24"/>
          <w:szCs w:val="24"/>
        </w:rPr>
        <w:instrText xml:space="preserve"> PAGEREF _Toc533771869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"_Toc533771870" </w:instrText>
      </w:r>
      <w:r>
        <w:fldChar w:fldCharType="separate"/>
      </w:r>
      <w:r>
        <w:rPr>
          <w:rStyle w:val="31"/>
          <w:rFonts w:ascii="宋体" w:hAnsi="宋体"/>
          <w:b/>
          <w:color w:val="auto"/>
          <w:sz w:val="24"/>
          <w:szCs w:val="24"/>
        </w:rPr>
        <w:t xml:space="preserve">3.3 </w:t>
      </w:r>
      <w:r>
        <w:rPr>
          <w:rStyle w:val="31"/>
          <w:rFonts w:hint="eastAsia" w:ascii="宋体" w:hAnsi="宋体"/>
          <w:b/>
          <w:color w:val="auto"/>
          <w:sz w:val="24"/>
          <w:szCs w:val="24"/>
        </w:rPr>
        <w:t>国内汽油价格周报</w:t>
      </w:r>
      <w:r>
        <w:rPr>
          <w:color w:val="auto"/>
          <w:sz w:val="24"/>
          <w:szCs w:val="24"/>
        </w:rPr>
        <w:tab/>
      </w:r>
      <w:r>
        <w:rPr>
          <w:color w:val="auto"/>
          <w:sz w:val="24"/>
          <w:szCs w:val="24"/>
        </w:rPr>
        <w:fldChar w:fldCharType="begin"/>
      </w:r>
      <w:r>
        <w:rPr>
          <w:color w:val="auto"/>
          <w:sz w:val="24"/>
          <w:szCs w:val="24"/>
        </w:rPr>
        <w:instrText xml:space="preserve"> PAGEREF _Toc533771870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"_Toc533771871" </w:instrText>
      </w:r>
      <w:r>
        <w:fldChar w:fldCharType="separate"/>
      </w:r>
      <w:r>
        <w:rPr>
          <w:rStyle w:val="31"/>
          <w:rFonts w:ascii="宋体" w:hAnsi="宋体"/>
          <w:b/>
          <w:color w:val="auto"/>
          <w:sz w:val="24"/>
          <w:szCs w:val="24"/>
        </w:rPr>
        <w:t>3.4</w:t>
      </w:r>
      <w:r>
        <w:rPr>
          <w:rStyle w:val="31"/>
          <w:rFonts w:hint="eastAsia" w:ascii="宋体" w:hAnsi="宋体"/>
          <w:b/>
          <w:color w:val="auto"/>
          <w:sz w:val="24"/>
          <w:szCs w:val="24"/>
        </w:rPr>
        <w:t>国内柴油价格周报</w:t>
      </w:r>
      <w:r>
        <w:rPr>
          <w:color w:val="auto"/>
          <w:sz w:val="24"/>
          <w:szCs w:val="24"/>
        </w:rPr>
        <w:tab/>
      </w:r>
      <w:r>
        <w:rPr>
          <w:color w:val="auto"/>
          <w:sz w:val="24"/>
          <w:szCs w:val="24"/>
        </w:rPr>
        <w:fldChar w:fldCharType="begin"/>
      </w:r>
      <w:r>
        <w:rPr>
          <w:color w:val="auto"/>
          <w:sz w:val="24"/>
          <w:szCs w:val="24"/>
        </w:rPr>
        <w:instrText xml:space="preserve"> PAGEREF _Toc533771871 \h </w:instrText>
      </w:r>
      <w:r>
        <w:rPr>
          <w:color w:val="auto"/>
          <w:sz w:val="24"/>
          <w:szCs w:val="24"/>
        </w:rPr>
        <w:fldChar w:fldCharType="separate"/>
      </w:r>
      <w:r>
        <w:rPr>
          <w:color w:val="auto"/>
          <w:sz w:val="24"/>
          <w:szCs w:val="24"/>
        </w:rPr>
        <w:t>25</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"_Toc533771872" </w:instrText>
      </w:r>
      <w:r>
        <w:fldChar w:fldCharType="separate"/>
      </w:r>
      <w:r>
        <w:rPr>
          <w:rStyle w:val="31"/>
          <w:rFonts w:ascii="宋体" w:hAnsi="宋体"/>
          <w:b/>
          <w:color w:val="auto"/>
          <w:sz w:val="24"/>
          <w:szCs w:val="24"/>
        </w:rPr>
        <w:t xml:space="preserve">3.5 </w:t>
      </w:r>
      <w:r>
        <w:rPr>
          <w:rStyle w:val="31"/>
          <w:rFonts w:hint="eastAsia" w:ascii="宋体" w:hAnsi="宋体"/>
          <w:b/>
          <w:color w:val="auto"/>
          <w:sz w:val="24"/>
          <w:szCs w:val="24"/>
        </w:rPr>
        <w:t>山东地炼汽油出厂价格周报</w:t>
      </w:r>
      <w:r>
        <w:rPr>
          <w:color w:val="auto"/>
          <w:sz w:val="24"/>
          <w:szCs w:val="24"/>
        </w:rPr>
        <w:tab/>
      </w:r>
      <w:r>
        <w:rPr>
          <w:color w:val="auto"/>
          <w:sz w:val="24"/>
          <w:szCs w:val="24"/>
        </w:rPr>
        <w:fldChar w:fldCharType="begin"/>
      </w:r>
      <w:r>
        <w:rPr>
          <w:color w:val="auto"/>
          <w:sz w:val="24"/>
          <w:szCs w:val="24"/>
        </w:rPr>
        <w:instrText xml:space="preserve"> PAGEREF _Toc533771872 \h </w:instrText>
      </w:r>
      <w:r>
        <w:rPr>
          <w:color w:val="auto"/>
          <w:sz w:val="24"/>
          <w:szCs w:val="24"/>
        </w:rPr>
        <w:fldChar w:fldCharType="separate"/>
      </w:r>
      <w:r>
        <w:rPr>
          <w:color w:val="auto"/>
          <w:sz w:val="24"/>
          <w:szCs w:val="24"/>
        </w:rPr>
        <w:t>25</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"_Toc533771873" </w:instrText>
      </w:r>
      <w:r>
        <w:fldChar w:fldCharType="separate"/>
      </w:r>
      <w:r>
        <w:rPr>
          <w:rStyle w:val="31"/>
          <w:rFonts w:ascii="宋体" w:hAnsi="宋体"/>
          <w:b/>
          <w:color w:val="auto"/>
          <w:sz w:val="24"/>
          <w:szCs w:val="24"/>
        </w:rPr>
        <w:t xml:space="preserve">3.6 </w:t>
      </w:r>
      <w:r>
        <w:rPr>
          <w:rStyle w:val="31"/>
          <w:rFonts w:hint="eastAsia" w:ascii="宋体" w:hAnsi="宋体"/>
          <w:b/>
          <w:color w:val="auto"/>
          <w:sz w:val="24"/>
          <w:szCs w:val="24"/>
        </w:rPr>
        <w:t>山东地炼柴油出厂价格周报</w:t>
      </w:r>
      <w:r>
        <w:rPr>
          <w:color w:val="auto"/>
          <w:sz w:val="24"/>
          <w:szCs w:val="24"/>
        </w:rPr>
        <w:tab/>
      </w:r>
      <w:r>
        <w:rPr>
          <w:color w:val="auto"/>
          <w:sz w:val="24"/>
          <w:szCs w:val="24"/>
        </w:rPr>
        <w:fldChar w:fldCharType="begin"/>
      </w:r>
      <w:r>
        <w:rPr>
          <w:color w:val="auto"/>
          <w:sz w:val="24"/>
          <w:szCs w:val="24"/>
        </w:rPr>
        <w:instrText xml:space="preserve"> PAGEREF _Toc533771873 \h </w:instrText>
      </w:r>
      <w:r>
        <w:rPr>
          <w:color w:val="auto"/>
          <w:sz w:val="24"/>
          <w:szCs w:val="24"/>
        </w:rPr>
        <w:fldChar w:fldCharType="separate"/>
      </w:r>
      <w:r>
        <w:rPr>
          <w:color w:val="auto"/>
          <w:sz w:val="24"/>
          <w:szCs w:val="24"/>
        </w:rPr>
        <w:t>28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"_Toc533771874" </w:instrText>
      </w:r>
      <w:r>
        <w:fldChar w:fldCharType="separate"/>
      </w:r>
      <w:r>
        <w:rPr>
          <w:rStyle w:val="31"/>
          <w:rFonts w:hint="eastAsia"/>
          <w:color w:val="auto"/>
          <w:sz w:val="24"/>
          <w:szCs w:val="24"/>
        </w:rPr>
        <w:t>四、</w:t>
      </w:r>
      <w:r>
        <w:rPr>
          <w:rStyle w:val="31"/>
          <w:rFonts w:hint="eastAsia"/>
          <w:color w:val="auto"/>
          <w:sz w:val="24"/>
          <w:szCs w:val="24"/>
          <w:lang w:eastAsia="zh-CN"/>
        </w:rPr>
        <w:t>成品油</w:t>
      </w:r>
      <w:r>
        <w:rPr>
          <w:rStyle w:val="31"/>
          <w:rFonts w:hint="eastAsia"/>
          <w:color w:val="auto"/>
          <w:sz w:val="24"/>
          <w:szCs w:val="24"/>
        </w:rPr>
        <w:t>进出口统计数据</w:t>
      </w:r>
      <w:r>
        <w:rPr>
          <w:color w:val="auto"/>
          <w:sz w:val="24"/>
          <w:szCs w:val="24"/>
        </w:rPr>
        <w:tab/>
      </w:r>
      <w:r>
        <w:rPr>
          <w:color w:val="auto"/>
          <w:sz w:val="24"/>
          <w:szCs w:val="24"/>
        </w:rPr>
        <w:fldChar w:fldCharType="begin"/>
      </w:r>
      <w:r>
        <w:rPr>
          <w:color w:val="auto"/>
          <w:sz w:val="24"/>
          <w:szCs w:val="24"/>
        </w:rPr>
        <w:instrText xml:space="preserve"> PAGEREF _Toc533771874 \h </w:instrText>
      </w:r>
      <w:r>
        <w:rPr>
          <w:color w:val="auto"/>
          <w:sz w:val="24"/>
          <w:szCs w:val="24"/>
        </w:rPr>
        <w:fldChar w:fldCharType="separate"/>
      </w:r>
      <w:r>
        <w:rPr>
          <w:color w:val="auto"/>
          <w:sz w:val="24"/>
          <w:szCs w:val="24"/>
        </w:rPr>
        <w:t>30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"_Toc533771875" </w:instrText>
      </w:r>
      <w:r>
        <w:fldChar w:fldCharType="separate"/>
      </w:r>
      <w:r>
        <w:rPr>
          <w:rStyle w:val="31"/>
          <w:rFonts w:ascii="宋体" w:hAnsi="宋体"/>
          <w:b/>
          <w:color w:val="auto"/>
          <w:sz w:val="24"/>
          <w:szCs w:val="24"/>
        </w:rPr>
        <w:t>4.1 20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w:t>
      </w:r>
      <w:r>
        <w:rPr>
          <w:rStyle w:val="31"/>
          <w:rFonts w:hint="eastAsia" w:ascii="宋体" w:hAnsi="宋体"/>
          <w:b/>
          <w:color w:val="auto"/>
          <w:sz w:val="24"/>
          <w:szCs w:val="24"/>
          <w:lang w:val="en-US" w:eastAsia="zh-CN"/>
        </w:rPr>
        <w:t>5</w:t>
      </w:r>
      <w:r>
        <w:rPr>
          <w:rStyle w:val="31"/>
          <w:rFonts w:hint="eastAsia" w:ascii="宋体" w:hAnsi="宋体"/>
          <w:b/>
          <w:color w:val="auto"/>
          <w:sz w:val="24"/>
          <w:szCs w:val="24"/>
        </w:rPr>
        <w:t>份全国车用汽油和航空汽油进出口统计数据</w:t>
      </w:r>
      <w:r>
        <w:rPr>
          <w:color w:val="auto"/>
          <w:sz w:val="24"/>
          <w:szCs w:val="24"/>
        </w:rPr>
        <w:tab/>
      </w:r>
      <w:r>
        <w:rPr>
          <w:color w:val="auto"/>
          <w:sz w:val="24"/>
          <w:szCs w:val="24"/>
        </w:rPr>
        <w:fldChar w:fldCharType="begin"/>
      </w:r>
      <w:r>
        <w:rPr>
          <w:color w:val="auto"/>
          <w:sz w:val="24"/>
          <w:szCs w:val="24"/>
        </w:rPr>
        <w:instrText xml:space="preserve"> PAGEREF _Toc533771875 \h </w:instrText>
      </w:r>
      <w:r>
        <w:rPr>
          <w:color w:val="auto"/>
          <w:sz w:val="24"/>
          <w:szCs w:val="24"/>
        </w:rPr>
        <w:fldChar w:fldCharType="separate"/>
      </w:r>
      <w:r>
        <w:rPr>
          <w:color w:val="auto"/>
          <w:sz w:val="24"/>
          <w:szCs w:val="24"/>
        </w:rPr>
        <w:t>32</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"_Toc533771876" </w:instrText>
      </w:r>
      <w:r>
        <w:fldChar w:fldCharType="separate"/>
      </w:r>
      <w:r>
        <w:rPr>
          <w:rStyle w:val="31"/>
          <w:rFonts w:ascii="宋体" w:hAnsi="宋体"/>
          <w:b/>
          <w:color w:val="auto"/>
          <w:sz w:val="24"/>
          <w:szCs w:val="24"/>
        </w:rPr>
        <w:t>4.2 201</w:t>
      </w:r>
      <w:r>
        <w:rPr>
          <w:rStyle w:val="31"/>
          <w:rFonts w:hint="eastAsia" w:ascii="宋体" w:hAnsi="宋体"/>
          <w:b/>
          <w:color w:val="auto"/>
          <w:sz w:val="24"/>
          <w:szCs w:val="24"/>
          <w:lang w:val="en-US" w:eastAsia="zh-CN"/>
        </w:rPr>
        <w:t>8</w:t>
      </w:r>
      <w:r>
        <w:rPr>
          <w:rStyle w:val="31"/>
          <w:rFonts w:hint="eastAsia" w:ascii="宋体" w:hAnsi="宋体"/>
          <w:b/>
          <w:color w:val="auto"/>
          <w:sz w:val="24"/>
          <w:szCs w:val="24"/>
        </w:rPr>
        <w:t>年</w:t>
      </w:r>
      <w:r>
        <w:rPr>
          <w:rStyle w:val="31"/>
          <w:rFonts w:ascii="宋体" w:hAnsi="宋体"/>
          <w:b/>
          <w:color w:val="auto"/>
          <w:sz w:val="24"/>
          <w:szCs w:val="24"/>
        </w:rPr>
        <w:t>1</w:t>
      </w:r>
      <w:r>
        <w:rPr>
          <w:rStyle w:val="31"/>
          <w:rFonts w:hint="eastAsia" w:ascii="宋体" w:hAnsi="宋体"/>
          <w:b/>
          <w:color w:val="auto"/>
          <w:sz w:val="24"/>
          <w:szCs w:val="24"/>
          <w:lang w:val="en-US" w:eastAsia="zh-CN"/>
        </w:rPr>
        <w:t>1</w:t>
      </w:r>
      <w:r>
        <w:rPr>
          <w:rStyle w:val="31"/>
          <w:rFonts w:hint="eastAsia" w:ascii="宋体" w:hAnsi="宋体"/>
          <w:b/>
          <w:color w:val="auto"/>
          <w:sz w:val="24"/>
          <w:szCs w:val="24"/>
        </w:rPr>
        <w:t>月份全国轻柴油进出口统计数据</w:t>
      </w:r>
      <w:r>
        <w:rPr>
          <w:color w:val="auto"/>
          <w:sz w:val="24"/>
          <w:szCs w:val="24"/>
        </w:rPr>
        <w:tab/>
      </w:r>
      <w:r>
        <w:rPr>
          <w:color w:val="auto"/>
          <w:sz w:val="24"/>
          <w:szCs w:val="24"/>
        </w:rPr>
        <w:fldChar w:fldCharType="begin"/>
      </w:r>
      <w:r>
        <w:rPr>
          <w:color w:val="auto"/>
          <w:sz w:val="24"/>
          <w:szCs w:val="24"/>
        </w:rPr>
        <w:instrText xml:space="preserve"> PAGEREF _Toc533771876 \h </w:instrText>
      </w:r>
      <w:r>
        <w:rPr>
          <w:color w:val="auto"/>
          <w:sz w:val="24"/>
          <w:szCs w:val="24"/>
        </w:rPr>
        <w:fldChar w:fldCharType="separate"/>
      </w:r>
      <w:r>
        <w:rPr>
          <w:color w:val="auto"/>
          <w:sz w:val="24"/>
          <w:szCs w:val="24"/>
        </w:rPr>
        <w:t>33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"_Toc533771877" </w:instrText>
      </w:r>
      <w:r>
        <w:fldChar w:fldCharType="separate"/>
      </w:r>
      <w:r>
        <w:rPr>
          <w:rStyle w:val="31"/>
          <w:rFonts w:ascii="宋体" w:hAnsi="宋体"/>
          <w:b/>
          <w:color w:val="auto"/>
          <w:sz w:val="24"/>
          <w:szCs w:val="24"/>
        </w:rPr>
        <w:t>4.3 20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w:t>
      </w:r>
      <w:r>
        <w:rPr>
          <w:rStyle w:val="31"/>
          <w:rFonts w:hint="eastAsia" w:ascii="宋体" w:hAnsi="宋体"/>
          <w:b/>
          <w:color w:val="auto"/>
          <w:sz w:val="24"/>
          <w:szCs w:val="24"/>
          <w:lang w:val="en-US" w:eastAsia="zh-CN"/>
        </w:rPr>
        <w:t>5</w:t>
      </w:r>
      <w:r>
        <w:rPr>
          <w:rStyle w:val="31"/>
          <w:rFonts w:hint="eastAsia" w:ascii="宋体" w:hAnsi="宋体"/>
          <w:b/>
          <w:color w:val="auto"/>
          <w:sz w:val="24"/>
          <w:szCs w:val="24"/>
        </w:rPr>
        <w:t>月份全国原油进出口统计数据</w:t>
      </w:r>
      <w:r>
        <w:rPr>
          <w:color w:val="auto"/>
          <w:sz w:val="24"/>
          <w:szCs w:val="24"/>
        </w:rPr>
        <w:tab/>
      </w:r>
      <w:r>
        <w:rPr>
          <w:color w:val="auto"/>
          <w:sz w:val="24"/>
          <w:szCs w:val="24"/>
        </w:rPr>
        <w:fldChar w:fldCharType="begin"/>
      </w:r>
      <w:r>
        <w:rPr>
          <w:color w:val="auto"/>
          <w:sz w:val="24"/>
          <w:szCs w:val="24"/>
        </w:rPr>
        <w:instrText xml:space="preserve"> PAGEREF _Toc533771877 \h </w:instrText>
      </w:r>
      <w:r>
        <w:rPr>
          <w:color w:val="auto"/>
          <w:sz w:val="24"/>
          <w:szCs w:val="24"/>
        </w:rPr>
        <w:fldChar w:fldCharType="separate"/>
      </w:r>
      <w:r>
        <w:rPr>
          <w:color w:val="auto"/>
          <w:sz w:val="24"/>
          <w:szCs w:val="24"/>
        </w:rPr>
        <w:t>34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"_Toc533771878" </w:instrText>
      </w:r>
      <w:r>
        <w:fldChar w:fldCharType="separate"/>
      </w:r>
      <w:r>
        <w:rPr>
          <w:rStyle w:val="31"/>
          <w:rFonts w:ascii="宋体" w:hAnsi="宋体"/>
          <w:b/>
          <w:color w:val="auto"/>
          <w:sz w:val="24"/>
          <w:szCs w:val="24"/>
        </w:rPr>
        <w:t>4.4 20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w:t>
      </w:r>
      <w:r>
        <w:rPr>
          <w:rStyle w:val="31"/>
          <w:rFonts w:hint="eastAsia" w:ascii="宋体" w:hAnsi="宋体"/>
          <w:b/>
          <w:color w:val="auto"/>
          <w:sz w:val="24"/>
          <w:szCs w:val="24"/>
          <w:lang w:val="en-US" w:eastAsia="zh-CN"/>
        </w:rPr>
        <w:t>5</w:t>
      </w:r>
      <w:r>
        <w:rPr>
          <w:rStyle w:val="31"/>
          <w:rFonts w:hint="eastAsia" w:ascii="宋体" w:hAnsi="宋体"/>
          <w:b/>
          <w:color w:val="auto"/>
          <w:sz w:val="24"/>
          <w:szCs w:val="24"/>
        </w:rPr>
        <w:t>月份全国航空煤油进出口统计数据</w:t>
      </w:r>
      <w:r>
        <w:rPr>
          <w:color w:val="auto"/>
          <w:sz w:val="24"/>
          <w:szCs w:val="24"/>
        </w:rPr>
        <w:tab/>
      </w:r>
      <w:r>
        <w:rPr>
          <w:color w:val="auto"/>
          <w:sz w:val="24"/>
          <w:szCs w:val="24"/>
        </w:rPr>
        <w:fldChar w:fldCharType="begin"/>
      </w:r>
      <w:r>
        <w:rPr>
          <w:color w:val="auto"/>
          <w:sz w:val="24"/>
          <w:szCs w:val="24"/>
        </w:rPr>
        <w:instrText xml:space="preserve"> PAGEREF _Toc533771878 \h </w:instrText>
      </w:r>
      <w:r>
        <w:rPr>
          <w:color w:val="auto"/>
          <w:sz w:val="24"/>
          <w:szCs w:val="24"/>
        </w:rPr>
        <w:fldChar w:fldCharType="separate"/>
      </w:r>
      <w:r>
        <w:rPr>
          <w:color w:val="auto"/>
          <w:sz w:val="24"/>
          <w:szCs w:val="24"/>
        </w:rPr>
        <w:t>34</w:t>
      </w:r>
      <w:r>
        <w:rPr>
          <w:color w:val="auto"/>
          <w:sz w:val="24"/>
          <w:szCs w:val="24"/>
        </w:rPr>
        <w:fldChar w:fldCharType="end"/>
      </w:r>
      <w:r>
        <w:rPr>
          <w:color w:val="auto"/>
          <w:sz w:val="24"/>
          <w:szCs w:val="24"/>
        </w:rPr>
        <w:fldChar w:fldCharType="end"/>
      </w:r>
    </w:p>
    <w:p>
      <w:pPr>
        <w:pStyle w:val="2"/>
        <w:spacing w:before="120" w:after="0" w:line="240" w:lineRule="auto"/>
        <w:rPr>
          <w:rFonts w:ascii="宋体" w:hAnsi="宋体"/>
          <w:b/>
          <w:sz w:val="24"/>
          <w:szCs w:val="24"/>
        </w:rPr>
      </w:pPr>
      <w:r>
        <w:rPr>
          <w:rFonts w:ascii="宋体" w:hAnsi="宋体"/>
          <w:b/>
          <w:kern w:val="2"/>
          <w:sz w:val="24"/>
          <w:szCs w:val="24"/>
        </w:rPr>
        <w:fldChar w:fldCharType="end"/>
      </w: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
      <w:pPr>
        <w:pStyle w:val="2"/>
        <w:spacing w:before="120" w:after="0" w:line="240" w:lineRule="auto"/>
      </w:pPr>
      <w:bookmarkStart w:id="0" w:name="_Toc533771861"/>
      <w:r>
        <w:rPr>
          <w:rFonts w:hint="eastAsia"/>
        </w:rPr>
        <w:t>一、国际原油市场回顾</w:t>
      </w:r>
      <w:bookmarkEnd w:id="0"/>
      <w:r>
        <w:rPr>
          <w:rFonts w:hint="eastAsia"/>
        </w:rPr>
        <w:t> </w:t>
      </w:r>
    </w:p>
    <w:p>
      <w:pPr>
        <w:pStyle w:val="3"/>
        <w:spacing w:before="120" w:after="120" w:line="240" w:lineRule="auto"/>
        <w:rPr>
          <w:rFonts w:hint="eastAsia" w:ascii="宋体" w:hAnsi="宋体"/>
          <w:b/>
          <w:sz w:val="30"/>
          <w:szCs w:val="30"/>
        </w:rPr>
      </w:pPr>
      <w:bookmarkStart w:id="1" w:name="_Toc533771862"/>
      <w:r>
        <w:rPr>
          <w:rFonts w:hint="eastAsia" w:ascii="宋体" w:hAnsi="宋体"/>
          <w:b/>
          <w:sz w:val="30"/>
          <w:szCs w:val="30"/>
        </w:rPr>
        <w:t>1.1国际原油收盘价涨跌情况（单位：美元/桶）</w:t>
      </w:r>
      <w:bookmarkEnd w:id="1"/>
    </w:p>
    <w:tbl>
      <w:tblPr>
        <w:tblStyle w:val="24"/>
        <w:tblW w:w="8662" w:type="dxa"/>
        <w:tblInd w:w="0" w:type="dxa"/>
        <w:tblLayout w:type="fixed"/>
        <w:tblCellMar>
          <w:top w:w="15" w:type="dxa"/>
          <w:left w:w="15" w:type="dxa"/>
          <w:bottom w:w="15" w:type="dxa"/>
          <w:right w:w="15" w:type="dxa"/>
        </w:tblCellMar>
      </w:tblPr>
      <w:tblGrid>
        <w:gridCol w:w="1291"/>
        <w:gridCol w:w="709"/>
        <w:gridCol w:w="709"/>
        <w:gridCol w:w="5953"/>
      </w:tblGrid>
      <w:tr>
        <w:tblPrEx>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日期</w:t>
            </w:r>
          </w:p>
        </w:tc>
        <w:tc>
          <w:tcPr>
            <w:tcW w:w="709"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纽交所</w:t>
            </w:r>
          </w:p>
        </w:tc>
        <w:tc>
          <w:tcPr>
            <w:tcW w:w="709"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伦交所</w:t>
            </w:r>
          </w:p>
        </w:tc>
        <w:tc>
          <w:tcPr>
            <w:tcW w:w="5953"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影响因素</w:t>
            </w:r>
          </w:p>
        </w:tc>
      </w:tr>
      <w:tr>
        <w:tblPrEx>
          <w:tblCellMar>
            <w:top w:w="15" w:type="dxa"/>
            <w:left w:w="15" w:type="dxa"/>
            <w:bottom w:w="15" w:type="dxa"/>
            <w:right w:w="15" w:type="dxa"/>
          </w:tblCellMar>
        </w:tblPrEx>
        <w:trPr>
          <w:trHeight w:val="60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2020/7/9</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39.62</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42.35</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美国周三报告了60000多例新增病例，刷新了所有国家的单日增幅纪录。美国疫情扩散严重令部分州重启封锁措施，市场担忧这会影响需求的持续复苏。</w:t>
            </w:r>
          </w:p>
        </w:tc>
      </w:tr>
      <w:tr>
        <w:tblPrEx>
          <w:tblCellMar>
            <w:top w:w="15" w:type="dxa"/>
            <w:left w:w="15" w:type="dxa"/>
            <w:bottom w:w="15" w:type="dxa"/>
            <w:right w:w="15" w:type="dxa"/>
          </w:tblCellMar>
        </w:tblPrEx>
        <w:trPr>
          <w:trHeight w:val="54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2020/7/10</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40.55</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43.24</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IEA上调今年石油需求预测提振油价，加之美国石油钻井数连续十周降至记录低位也为油价带来利好。这在一定程度上抵消了美国疫情扩散给市场带来的忧虑情绪，油价收盘反弹。</w:t>
            </w:r>
          </w:p>
        </w:tc>
      </w:tr>
      <w:tr>
        <w:tblPrEx>
          <w:tblCellMar>
            <w:top w:w="15" w:type="dxa"/>
            <w:left w:w="15" w:type="dxa"/>
            <w:bottom w:w="15" w:type="dxa"/>
            <w:right w:w="15" w:type="dxa"/>
          </w:tblCellMar>
        </w:tblPrEx>
        <w:trPr>
          <w:trHeight w:val="57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2020/7/13</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40.1</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42.72</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世界卫生组织(WHO)周日报告新增确诊病例逾23万例，创下单日增幅纪录，美国与全球单日新增病例数再创纪录加重了市场忧虑情绪,原油收盘下跌。</w:t>
            </w:r>
          </w:p>
        </w:tc>
      </w:tr>
      <w:tr>
        <w:tblPrEx>
          <w:tblCellMar>
            <w:top w:w="15" w:type="dxa"/>
            <w:left w:w="15" w:type="dxa"/>
            <w:bottom w:w="15" w:type="dxa"/>
            <w:right w:w="15" w:type="dxa"/>
          </w:tblCellMar>
        </w:tblPrEx>
        <w:trPr>
          <w:trHeight w:val="43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2020/7/14</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40.29</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42.9</w:t>
            </w:r>
          </w:p>
        </w:tc>
        <w:tc>
          <w:tcPr>
            <w:tcW w:w="5953" w:type="dxa"/>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尽管美国新增新冠感染病例导致需求担忧持续，但OPEC月报数据显示其在6月减产执行率超过了100%，这一利好提振油价收盘上涨。</w:t>
            </w:r>
          </w:p>
        </w:tc>
      </w:tr>
      <w:tr>
        <w:tblPrEx>
          <w:tblCellMar>
            <w:top w:w="15" w:type="dxa"/>
            <w:left w:w="15" w:type="dxa"/>
            <w:bottom w:w="15" w:type="dxa"/>
            <w:right w:w="15" w:type="dxa"/>
          </w:tblCellMar>
        </w:tblPrEx>
        <w:trPr>
          <w:trHeight w:val="55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2020/7/15</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43.79</w:t>
            </w:r>
          </w:p>
        </w:tc>
        <w:tc>
          <w:tcPr>
            <w:tcW w:w="5953" w:type="dxa"/>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EIA原油库存超预期大幅减少749万桶，油价受此提振收盘上涨。</w:t>
            </w:r>
          </w:p>
        </w:tc>
      </w:tr>
    </w:tbl>
    <w:p>
      <w:pPr>
        <w:rPr>
          <w:rFonts w:hint="eastAsia"/>
        </w:rPr>
      </w:pPr>
    </w:p>
    <w:p>
      <w:pPr>
        <w:pStyle w:val="3"/>
        <w:spacing w:before="120" w:after="120" w:line="240" w:lineRule="auto"/>
        <w:rPr>
          <w:rFonts w:ascii="宋体" w:hAnsi="宋体"/>
          <w:b/>
          <w:sz w:val="30"/>
          <w:szCs w:val="30"/>
        </w:rPr>
      </w:pPr>
      <w:bookmarkStart w:id="2" w:name="_Toc533771863"/>
      <w:r>
        <w:rPr>
          <w:rFonts w:hint="eastAsia" w:ascii="宋体" w:hAnsi="宋体"/>
          <w:b/>
          <w:sz w:val="30"/>
          <w:szCs w:val="30"/>
        </w:rPr>
        <w:t>1.</w:t>
      </w:r>
      <w:r>
        <w:rPr>
          <w:rFonts w:ascii="宋体" w:hAnsi="宋体"/>
          <w:b/>
          <w:sz w:val="30"/>
          <w:szCs w:val="30"/>
        </w:rPr>
        <w:t>2</w:t>
      </w:r>
      <w:r>
        <w:rPr>
          <w:rFonts w:hint="eastAsia" w:ascii="宋体" w:hAnsi="宋体"/>
          <w:b/>
          <w:sz w:val="30"/>
          <w:szCs w:val="30"/>
        </w:rPr>
        <w:t xml:space="preserve"> </w:t>
      </w:r>
      <w:r>
        <w:rPr>
          <w:rFonts w:ascii="宋体" w:hAnsi="宋体"/>
          <w:b/>
          <w:sz w:val="30"/>
          <w:szCs w:val="30"/>
        </w:rPr>
        <w:t>20</w:t>
      </w:r>
      <w:r>
        <w:rPr>
          <w:rFonts w:hint="eastAsia" w:ascii="宋体" w:hAnsi="宋体"/>
          <w:b/>
          <w:sz w:val="30"/>
          <w:szCs w:val="30"/>
          <w:lang w:val="en-US" w:eastAsia="zh-CN"/>
        </w:rPr>
        <w:t>20</w:t>
      </w:r>
      <w:r>
        <w:rPr>
          <w:rFonts w:ascii="宋体" w:hAnsi="宋体"/>
          <w:b/>
          <w:sz w:val="30"/>
          <w:szCs w:val="30"/>
        </w:rPr>
        <w:t>年</w:t>
      </w:r>
      <w:r>
        <w:rPr>
          <w:rFonts w:hint="eastAsia" w:ascii="宋体" w:hAnsi="宋体"/>
          <w:b/>
          <w:sz w:val="30"/>
          <w:szCs w:val="30"/>
        </w:rPr>
        <w:t>国际</w:t>
      </w:r>
      <w:r>
        <w:rPr>
          <w:rFonts w:ascii="宋体" w:hAnsi="宋体"/>
          <w:b/>
          <w:sz w:val="30"/>
          <w:szCs w:val="30"/>
        </w:rPr>
        <w:t>原油价格走势图</w:t>
      </w:r>
      <w:bookmarkEnd w:id="2"/>
    </w:p>
    <w:p>
      <w:pPr>
        <w:rPr>
          <w:rFonts w:hint="eastAsia" w:ascii="宋体" w:hAnsi="宋体" w:cs="Arial"/>
          <w:b/>
          <w:kern w:val="0"/>
          <w:sz w:val="30"/>
          <w:szCs w:val="30"/>
        </w:rPr>
      </w:pPr>
    </w:p>
    <w:p>
      <w:pPr>
        <w:rPr>
          <w:rFonts w:hint="eastAsia" w:ascii="宋体" w:hAnsi="宋体" w:cs="Arial"/>
          <w:b/>
          <w:kern w:val="0"/>
          <w:sz w:val="30"/>
          <w:szCs w:val="30"/>
        </w:rPr>
      </w:pPr>
      <w:r>
        <w:rPr>
          <w:rFonts w:hint="eastAsia" w:ascii="宋体" w:hAnsi="宋体" w:cs="Arial"/>
          <w:b/>
          <w:kern w:val="0"/>
          <w:sz w:val="30"/>
          <w:szCs w:val="30"/>
        </w:rPr>
        <w:drawing>
          <wp:inline distT="0" distB="0" distL="114300" distR="114300">
            <wp:extent cx="5436870" cy="3002915"/>
            <wp:effectExtent l="0" t="0" r="1143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36870" cy="3002915"/>
                    </a:xfrm>
                    <a:prstGeom prst="rect">
                      <a:avLst/>
                    </a:prstGeom>
                    <a:noFill/>
                    <a:ln>
                      <a:noFill/>
                    </a:ln>
                  </pic:spPr>
                </pic:pic>
              </a:graphicData>
            </a:graphic>
          </wp:inline>
        </w:drawing>
      </w:r>
    </w:p>
    <w:p>
      <w:pPr>
        <w:pStyle w:val="2"/>
        <w:numPr>
          <w:ilvl w:val="0"/>
          <w:numId w:val="1"/>
        </w:numPr>
        <w:spacing w:before="120" w:after="0" w:line="240" w:lineRule="auto"/>
      </w:pPr>
      <w:bookmarkStart w:id="3" w:name="_Toc533771864"/>
      <w:r>
        <w:rPr>
          <w:rFonts w:hint="eastAsia"/>
        </w:rPr>
        <w:t>近期影响国际原油市场的主要因素</w:t>
      </w:r>
      <w:bookmarkEnd w:id="3"/>
    </w:p>
    <w:p>
      <w:pPr>
        <w:pStyle w:val="3"/>
        <w:spacing w:before="120" w:after="120" w:line="240" w:lineRule="auto"/>
        <w:rPr>
          <w:rFonts w:ascii="宋体" w:hAnsi="宋体"/>
          <w:b/>
          <w:sz w:val="30"/>
          <w:szCs w:val="30"/>
        </w:rPr>
      </w:pPr>
      <w:bookmarkStart w:id="4" w:name="_Toc533771865"/>
      <w:r>
        <w:rPr>
          <w:rFonts w:hint="eastAsia" w:ascii="宋体" w:hAnsi="宋体"/>
          <w:b/>
          <w:sz w:val="30"/>
          <w:szCs w:val="30"/>
        </w:rPr>
        <w:t>2.1影响国际原油市场的主要因素</w:t>
      </w:r>
      <w:bookmarkEnd w:id="4"/>
    </w:p>
    <w:p/>
    <w:p>
      <w:pPr>
        <w:pStyle w:val="23"/>
        <w:numPr>
          <w:ilvl w:val="0"/>
          <w:numId w:val="2"/>
        </w:numPr>
        <w:spacing w:line="360" w:lineRule="auto"/>
        <w:ind w:left="0" w:leftChars="0" w:firstLine="551" w:firstLineChars="196"/>
        <w:rPr>
          <w:rFonts w:hint="eastAsia" w:ascii="黑体" w:eastAsia="黑体"/>
          <w:b/>
          <w:sz w:val="28"/>
          <w:szCs w:val="28"/>
        </w:rPr>
      </w:pPr>
      <w:bookmarkStart w:id="5" w:name="_Toc10115991"/>
      <w:r>
        <w:rPr>
          <w:rFonts w:hint="eastAsia" w:ascii="黑体" w:eastAsia="黑体"/>
          <w:b/>
          <w:sz w:val="28"/>
          <w:szCs w:val="28"/>
        </w:rPr>
        <w:t>美国原油库存情况</w:t>
      </w:r>
      <w:bookmarkEnd w:id="5"/>
      <w:r>
        <w:rPr>
          <w:rFonts w:hint="eastAsia" w:ascii="黑体" w:eastAsia="黑体"/>
          <w:b/>
          <w:sz w:val="28"/>
          <w:szCs w:val="28"/>
        </w:rPr>
        <w:t xml:space="preserve"> </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6" w:name="_Toc10115992"/>
      <w:r>
        <w:rPr>
          <w:rFonts w:hint="eastAsia" w:asciiTheme="minorEastAsia" w:hAnsiTheme="minorEastAsia" w:eastAsiaTheme="minorEastAsia" w:cstheme="minorEastAsia"/>
          <w:color w:val="333335"/>
          <w:kern w:val="2"/>
          <w:sz w:val="28"/>
          <w:szCs w:val="28"/>
          <w:shd w:val="clear" w:color="auto" w:fill="FFFFFF"/>
        </w:rPr>
        <w:t>本周美国能源信息署(EIA)周三(7月8日)公布报告显示，截至7月3日当周，美国EIA商用原油库存意外上涨，环比增加565.4万桶，预期为减少325万桶，前值为减少719.5万桶。这令美国商用原油总库存量增至5.392亿桶，较每年同一时期的五年均值高出18%，更接近6月19日当周5.407亿桶所创的历史新高记录，6月26日当周曾创2019年12月来最大单周降幅。报告显示，截至7月3日当周，美国原油期货主要交割地库欣地区的原油库存增加220.6万桶，打破了连续八周下滑的趋势，前值为减少26.3万桶，曾创5月以来最小单周降幅。报告显示，截至7月3日当周，汽油库存减少483.9万桶，预期为增加55万桶，前值为增加119.9万桶。包括柴油和取暖用油等的精炼油库存增加313.5万桶，是预期增幅28.7万桶的近11倍，这令精炼油库存升至1983年1月以来最高;前值为减少59.3万桶，曾一度打破此前连涨11周的趋势。美国石油协会(API)公布的数据显示，美国截至7月3日当周API原油库存增加205万桶，预期减少340万桶;汽油库存减少183万桶;精炼油库存减少84.7万桶。</w:t>
      </w:r>
    </w:p>
    <w:p>
      <w:pPr>
        <w:pStyle w:val="23"/>
        <w:numPr>
          <w:ilvl w:val="0"/>
          <w:numId w:val="2"/>
        </w:numPr>
        <w:spacing w:line="360" w:lineRule="auto"/>
        <w:ind w:left="0" w:leftChars="0" w:firstLine="551" w:firstLineChars="196"/>
        <w:rPr>
          <w:rFonts w:hint="eastAsia" w:ascii="黑体" w:eastAsia="黑体"/>
          <w:b/>
          <w:sz w:val="28"/>
          <w:szCs w:val="28"/>
        </w:rPr>
      </w:pPr>
      <w:r>
        <w:rPr>
          <w:rFonts w:hint="eastAsia" w:ascii="黑体" w:eastAsia="黑体"/>
          <w:b/>
          <w:sz w:val="28"/>
          <w:szCs w:val="28"/>
        </w:rPr>
        <w:t>美国经济形势</w:t>
      </w:r>
      <w:bookmarkEnd w:id="6"/>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7" w:name="_Toc10115993"/>
      <w:r>
        <w:rPr>
          <w:rFonts w:hint="eastAsia" w:asciiTheme="minorEastAsia" w:hAnsiTheme="minorEastAsia" w:eastAsiaTheme="minorEastAsia" w:cstheme="minorEastAsia"/>
          <w:color w:val="333335"/>
          <w:kern w:val="2"/>
          <w:sz w:val="28"/>
          <w:szCs w:val="28"/>
          <w:shd w:val="clear" w:color="auto" w:fill="FFFFFF"/>
        </w:rPr>
        <w:t>本周北京时间16日凌晨，美股周三收高，道指录得连续第四个交易日上涨。市场仍关注疫苗研发进展与财报。高盛二季度业绩超预期，营收创史上第二高纪录。美联储褐皮书称7月初美国经济出现复苏迹象，但前景仍高度不确定。</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道指涨227.51点，或0.85%，报26870.10点;纳指涨61.92点，或0.59%，报10550.49点;标普500指数涨29.04点，或0.91%，报3226.56点。</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美股航空、邮轮股集体上涨，波音收高4.4%，领涨道指成分股。</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皇家加勒比邮轮涨21%，挪威邮轮涨20%，嘉年华邮轮涨16%;航空股方面，美国航空涨超16%，美联航涨超14%，Spirit航空涨超12%，捷蓝航空涨超11%，达美航空涨超9%。</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Moderna疫苗研究进展提振市场信心 阿斯利康疫苗试验结果即将出炉</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Moderna公司(MRNA)和美国国立卫生研究所共同研发的冠状病毒疫苗第一期人体安全临床试验结果7月14日发表在《新英格兰医学杂志》(NEJM)上。结果显示，在所有45名受试者体内都产生了免疫反应与中和抗体，并且中和抗体水平与冠状病毒感染康复者的水平相似。</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报告数据建立在Moderna5月份报告的较早的有希望但不完整的结果上。Moderna公司是在冠状病毒疫苗研究方面的最领先公司之一。</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Moderna同时宣布，将于7月27日启动大规模第三期临床试验，拟招募3万受试者。Moderna公司在声明中表示：“如果未来的研究全都进展顺利，那么我们将实现提供5亿疫苗制剂的目标，并在2021年起达到每年10亿制剂的目标。”</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在NEJM的一篇评论中，盖茨基金会CEO彭尼-希顿(Penny Heaton)博士写道：“这项研究数据初步显示了疫苗的安全性和免疫原性，支持该疫苗的持续开发。但是我们必须意识到疫苗研发的复杂性以及在疫苗推广前需要做的工作。”</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另据报道，阿斯利康与牛津大学合作的冠状病毒疫苗初步试验将很快传来好消息，医学杂志《柳叶刀》计划于7月20日公布阿斯利康公司与牛津大学合作研发的冠状病毒疫苗一期实验结果。</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据称该疫苗能同时增加抗体和t细胞，而越来越多的证据表明，t细胞反应在防御冠状病毒中非常重要。据悉，该疫苗最初由牛津大学的Jenner Institute研发，阿斯利康于4月份与牛津大学合作，获得在全球范围内分销该新冠疫苗的权利。</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Spreadex的金融分析师Connor Campbell称：“又到了这个时候。投资者关注银行收益而非冠状病毒病例激增的状况，市场因最新疫苗消息而格外活跃。”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他说：“本周Moderna公司的报告称，其COVID-19疫苗在45名早期人体试验患者身上产生了‘强劲的’免疫应答。就像每一种新型疫苗一样，考虑到清除、大规模生产和实施的时间表，这些只是很小的一步，但这并没有阻止投资者的乐观情绪。”</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许多人认为，冠状病毒疫苗的开发、生产和配送使用是帮助日常生活恢复正常状态的重要组成部分。美国政府已向包括Moderna在内的许多制药商提供了数十亿美元的资金，希望在2021年1月之前交付3亿剂安全有效的抗冠状病毒疫苗。</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周三Moderna股价收高6.9%。今年迄今该股涨幅已涨超过310%。</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美国单日新增病例数创纪录新高 专家称是疫情扩大迹象</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根据约翰斯-霍普金斯大学数据，周二美国报告新增确诊冠状病毒病达67417例，创单日增幅新高。</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数据显示，美国过去7天每日平均新增确诊病例数为62210例，较一个月前增加了两倍多，比一周前的7天平均增加了21%。</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德州、加州与佛罗里达州三州周二的新增确诊病例数达31847例，占当天美国新增总数的将近一半。德州再创单日新增确诊纪录，休斯敦市长建议再次关闭经济。</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美国总统特朗普周二再次将感染病例的迅速增加归咎于病毒检测数量的增加。</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据独立志愿者组织Covid Tracking Project数据，美国周二进行了760282次病毒检测，为单日第二高测试数字。在7月1日至7月12日之间，美国平均每天进行了665000次检测。而在4月之前，美国每天平均进行的病毒检测略高于174000次。</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特朗普周二表示：“考虑到这一点，如果我们不进行检测，如果不对超过4000万人进行测试，或者将我们进行的检测数字减半，那么我们的确诊病例数也会减半。如果我们再把检测数字削减一半，那么确诊病例数也将再次减半。但我们总是在进行检测。”</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包括美国国家过敏和传染病研究所所长安东尼-福奇博士(Anthony Fauci)在内，特朗普的一些医学顾问都认为，最近美国确诊病例激增是冠状病毒疫情扩大的迹象，不应归咎于接受检测人数的增加。</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美联储：经济在7月初出现温和复苏迹象 但前景仍高度不确定</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美联储的褐皮书报告显示，由于许多州解除了封锁令，消费活动开始恢复，美国经济在7月初出现了复苏萌芽。</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据周三在华盛顿发布的褐皮书调查报告，“几乎所有辖区的经济活动都有所增加，但仍远低于新冠疫情前的水平”，经济前景依然维持高度不确定。该报告由芝加哥联储撰写，基于7月6日或之前从12家地区联邦储备银行采集的信息。</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褐皮书表示，因商业活动重启，经济活动增加，几乎所有地区的就业都实现了增长，特别是零售和医疗行业。但所有地区的工资水平都大大低于疫情前的水平。工作流失率仍然很高，各地区的联系人都报告了新的裁员。</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报告表示，除某些“薪资保护计划(PPP)”活动和住宅抵押贷款增加外，贷款需求持平。</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报告还称，大多数地区报告制造业活动有所增加，但水平很低。几乎所有地区对商业服务的需求都有所增加，但仍较疲弱。消费者支出出现增加，因许多非必要业务被允许重新开放。在汽车销量反弹、食品饮料以及家居装饰行业持续增长的带动下，所有地区的零售额均有所增长。休闲和酒店支出有所改善，但远低于去年同期水平。</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尽管经济活动可能在5月底和6月初有所回升，但自褐皮书调查期以来，许多州的冠状病毒病例再度增长，很可能抑制经济复苏。加利福尼亚重新实施了封锁措施， 德克萨斯和佛罗里达州也暂停某些活动。</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美联储理事Lael Brainard在周二的讲话中指出经济前景高度不确定，称美联储从长远来看应该将重点转向宽松的货币政策。</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焦点个股</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美国联合航空、美国航空集团、达美航空、波音等航空股普涨。</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疫苗公司Moderna股价大涨。该公司报告称疫苗在初步实验中产生抗体。</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高盛二季度营收与净利润均超出市场预期。二季度EPS为6.26美元，市场预期4.01美元，去年同期5.81美元;营收达133亿美元，是有史以来的第二高，市场预期97.66亿美元，去年同期94.61亿美元。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高盛二季度交易收入暴涨93%，投行业务收入创历史新高。此外，高盛将另外拨备15.9亿美元用于应对新冠病毒可能造成的信贷损失。高盛盘前涨逾4%。</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苹果在130亿欧元欠税上诉案中获胜。此外，投行Needham将苹果目标价从350美元升至450美元。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特斯拉公司美国工厂130多位工人确诊感染冠状病毒。据报道，位于北加州的特斯拉工厂有130多位一线工人确诊感染，还有部分非全职和合同工的检测结果为阳性。此外，德州特拉维斯县批准为特斯拉新工厂提供税收补贴。</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据报道，阿斯利康公司与牛津大学合作的新冠病毒疫苗初步试验结果即将公布。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联合健康第二季度净利润66.37亿美元，市场预期48.69亿美元，去年同期32.93亿美元。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谷歌将以3374亿印度卢比的价格收购印度公司Jio Platforms7.73%的股份。Jio Platforms和谷歌将开发价格便宜的入门级智能手机。</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达美航空预计将录得27-33亿美元的开支，费用涉及第三季度的自愿提前退休和离职计划。</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罗森布拉特证券将Paypal目标价从163美元升至196美元。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华尔街资管公司科文将埃克森美孚石油目标价从34美元升至40美元。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其他市场</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周三欧洲主要指数集体收高，欧洲泛欧绩优300指数收高1.85%，英国富时100指数收高2.0%，德国DAX指数收高2.0%，法国CAC指数收高2.3%，西班牙IBEX指数收高1.5%。</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原油期货价格周三收高，美国WTI原油期货创4个多月来的最高收盘价。数据显示美国上周原油库存下降，令油价得到提振。</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美国能源信息署(EIA)周三报告称，截止7月10日当周美国原油库存减少750万桶，为今年迄今的最大单周降幅。</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市场交易商同时还在评估石油输出国组织及其盟友(OPEC+)的联合部长级监测委员会会议结果。据称该委员会建议从8月份开始将原油减产量从目前的970万桶/日缩减至770万桶/日。</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委员会称，那些未能完全遵守减产协议的国家将为其超额生产行为作出补偿，从8月开始，这实际上将使每天实际减产量为834万桶。</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周三，纽约商品交易所8月交割的西德州中质原油(WTI)期货价格上涨91美分，涨幅2.3%，收于每桶41.20美元，为3月6日以来的最高收盘价。</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伦敦洲际交易所9月交割的布伦特原油期货价格上涨78美分，涨幅1.8%，收于每桶43.68美元。</w:t>
      </w:r>
    </w:p>
    <w:p>
      <w:pPr>
        <w:pStyle w:val="23"/>
        <w:spacing w:line="360" w:lineRule="auto"/>
        <w:ind w:firstLine="560" w:firstLineChars="200"/>
        <w:rPr>
          <w:rFonts w:hint="eastAsia" w:ascii="华文仿宋" w:hAnsi="华文仿宋" w:eastAsia="华文仿宋" w:cs="华文仿宋"/>
          <w:color w:val="333335"/>
          <w:kern w:val="2"/>
          <w:sz w:val="28"/>
          <w:szCs w:val="28"/>
          <w:shd w:val="clear" w:color="auto" w:fill="FFFFFF"/>
        </w:rPr>
      </w:pPr>
    </w:p>
    <w:p>
      <w:pPr>
        <w:pStyle w:val="23"/>
        <w:spacing w:line="360" w:lineRule="auto"/>
        <w:ind w:firstLine="560" w:firstLineChars="200"/>
        <w:rPr>
          <w:rFonts w:ascii="华文仿宋" w:hAnsi="华文仿宋" w:eastAsia="华文仿宋" w:cs="华文仿宋"/>
          <w:color w:val="333335"/>
          <w:kern w:val="2"/>
          <w:sz w:val="28"/>
          <w:szCs w:val="28"/>
          <w:shd w:val="clear" w:color="auto" w:fill="FFFFFF"/>
        </w:rPr>
      </w:pPr>
    </w:p>
    <w:p>
      <w:pPr>
        <w:pStyle w:val="23"/>
        <w:spacing w:line="360" w:lineRule="auto"/>
        <w:ind w:firstLine="562" w:firstLineChars="200"/>
        <w:jc w:val="both"/>
        <w:rPr>
          <w:rFonts w:hint="eastAsia" w:ascii="黑体" w:eastAsia="黑体"/>
          <w:b/>
          <w:sz w:val="28"/>
          <w:szCs w:val="28"/>
        </w:rPr>
      </w:pPr>
      <w:r>
        <w:rPr>
          <w:rFonts w:hint="eastAsia" w:ascii="黑体" w:eastAsia="黑体"/>
          <w:b/>
          <w:sz w:val="28"/>
          <w:szCs w:val="28"/>
        </w:rPr>
        <w:t>3.世界经济形势</w:t>
      </w:r>
      <w:bookmarkEnd w:id="7"/>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Vanguard亚太区首席经济学家王黔日前指出，随着疫情缓解和多国政府封锁措施的解封，全球经济随生产潜力的回升而逐步复苏。受益于宽松的货币政策环境，股票市场先于经济“探底回升”。在经济复苏步调和地缘政治风险的不确定性下，金融市场未来可能会持续波动，建议投资人通过多元化资产组合抵御风险，避免投机交易和短线行为。</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Vanguard是全球最大公募基金管理公司之一。该公司分析指出，随着疫情得到缓解，经济活动会随生产潜力的回升而开始恢复。从GDP预期走势看，目前世界各国已经完成增长率由负转正的“V型反弹”，即将进入第二阶段的“U型复苏”。在严重但短促的经济衰退之后，紧接着是快速复苏和缓慢正常化进程。</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各国政策应对的速度和规模，也为金融市场提供了正向激励。“一方面金融市场本身具有前瞻性，另外受益于宽松的货币政策环境，在大量的流动性驱动下，我们看到股票市场的反弹速度早于经济。”王黔表示。但她同时认为，短期之内市场波动高起的风险仍然存在。</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以美国股市为例，尽管持续上涨收高，但从6月中旬开始，疫情的卷土重来已经造成了包括加利福尼亚州、佛罗里达州、亚利桑那州等多地经济重启计划的暂停。在此情况下，经济数据甚至劳动力市场数据可能出现下一波恶化，进而影响经济复苏进程。王黔表示，从这个角度讲，未来一段时间美股下行或面临短期调整风险的可能性依旧很高。</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各国家、各行业经济复苏步调的不一致，有可能造成金融市场的波动与分歧。但从长远来看，王黔认为全球股市长期回报前景是有所好转的。根据Vanguard监测结果，股票市场估值自三月开始低位回升。未来十年，预计美国股票的平均年化回报率在4%至6%之间，全球股票则在7%至9%之间，较2019年底的预测高约50-60个基点。</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在全球固定收益市场，Vanguard预测，未来10年的固收类年化回报率将在0%至2%之间，接近2019年底的预期。尽管收益率和预期回报较低，但专家预期高质量的全球多元化固定收益类投资仍旧将为多元资产组合提供抵御风险的重要作用。专家建议，投资者应将重点放在长期预期回报上，尽量避免投机交易和市场择时的短线行为。</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“6月初，全球60/40多元化投资组合(即60%的股票和40%的债券)的长期回报已完全回到年初的水平。这也再次佐证了Vanguard一直以来秉承的概念，在市场波动中还是要坚持你的长期投资计划。”王黔说。</w:t>
      </w:r>
    </w:p>
    <w:p>
      <w:pPr>
        <w:pStyle w:val="23"/>
        <w:spacing w:line="360" w:lineRule="auto"/>
        <w:ind w:firstLine="560" w:firstLineChars="200"/>
        <w:rPr>
          <w:rFonts w:ascii="华文仿宋" w:hAnsi="华文仿宋" w:eastAsia="华文仿宋" w:cs="华文仿宋"/>
          <w:sz w:val="28"/>
          <w:szCs w:val="28"/>
        </w:rPr>
      </w:pPr>
    </w:p>
    <w:p>
      <w:pPr>
        <w:pStyle w:val="23"/>
        <w:spacing w:line="360" w:lineRule="auto"/>
        <w:rPr>
          <w:rFonts w:hint="eastAsia" w:asciiTheme="minorEastAsia" w:hAnsiTheme="minorEastAsia" w:eastAsiaTheme="minorEastAsia" w:cstheme="minorEastAsia"/>
          <w:color w:val="333335"/>
          <w:kern w:val="2"/>
          <w:sz w:val="28"/>
          <w:szCs w:val="28"/>
          <w:shd w:val="clear" w:color="auto" w:fill="FFFFFF"/>
        </w:rPr>
      </w:pPr>
    </w:p>
    <w:p>
      <w:pPr>
        <w:pStyle w:val="23"/>
        <w:numPr>
          <w:ilvl w:val="0"/>
          <w:numId w:val="0"/>
        </w:numPr>
        <w:rPr>
          <w:rFonts w:hint="eastAsia" w:ascii="黑体" w:eastAsia="黑体"/>
          <w:b/>
          <w:sz w:val="28"/>
          <w:szCs w:val="28"/>
        </w:rPr>
      </w:pPr>
      <w:r>
        <w:rPr>
          <w:rFonts w:hint="eastAsia" w:ascii="黑体" w:eastAsia="黑体"/>
          <w:b/>
          <w:sz w:val="28"/>
          <w:szCs w:val="28"/>
          <w:lang w:val="en-US" w:eastAsia="zh-CN"/>
        </w:rPr>
        <w:t>4、</w:t>
      </w:r>
      <w:r>
        <w:rPr>
          <w:rFonts w:hint="eastAsia" w:ascii="黑体" w:eastAsia="黑体"/>
          <w:b/>
          <w:sz w:val="28"/>
          <w:szCs w:val="28"/>
        </w:rPr>
        <w:t>后市预测</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8" w:name="_Toc533771866"/>
      <w:r>
        <w:rPr>
          <w:rFonts w:hint="eastAsia" w:asciiTheme="minorEastAsia" w:hAnsiTheme="minorEastAsia" w:eastAsiaTheme="minorEastAsia" w:cstheme="minorEastAsia"/>
          <w:color w:val="333335"/>
          <w:kern w:val="2"/>
          <w:sz w:val="28"/>
          <w:szCs w:val="28"/>
          <w:shd w:val="clear" w:color="auto" w:fill="FFFFFF"/>
        </w:rPr>
        <w:t>本周美国WTI原油原油价格在39.62-41.2美元/桶。布伦特原油价格在42.35-43.79美元/桶震荡。周内国际油价震荡整理。欧佩克联合部长级监察委员会15日召开会议，各成员国审查了此前发布的欧佩克月报，讨论了6月18日会议以来全球原油市场情况，并对下半年能源需求前景进行了分析，最终决定让现有减产协议进入第二阶段，油价周三(7月15日)收盘上涨：美国WTI原油8月期货收涨0.91美元，报41.20美元/桶，涨幅2.2%;布伦特原油9月期货收涨0.89美元，报43.79美元/桶，涨幅2.1%。欧佩克认为，随着世界各地经济重新开放，市场出现了令人鼓舞的改善迹象。虽然在一些地方可能会重新实施局部封锁措施，但无论是在实物市场还是期货市场，复苏迹象都很明显。欧佩克宣布，减产令将进入第二阶段，减产规模下调200万桶，至770万桶/日。欧佩克预计，受到疫情影响，今年能源需求的季节性表现将更加明显，未来民众对公共交通工具的需求有望回升，对于产油国而言，减产令调整对能源出口的影响是有限的。基本面利好因素：北京时间周三，美国能源信息署(EIA)公布的数据显示，截至7月10日当周，美国除却战略储备的商业原油库存大幅减少，实际减少749.3万桶，预期减少8.8万桶，前值增加565.4万桶，原油库存变化值创1月3日当周(28周)以来新低;汽油库存实际公布减少314.70万桶，预期减少108万桶，前值减少483.9万桶;精炼油库存实际公布减少45.30万桶，预期增加138.4万桶，前值增加313.5万桶。北京时间周三，美国石油协会(API)公布的数据显示，截至7月10日当周，汽油库存减少832.2万桶至5.31亿桶，此前预期为减少227.5万桶;汽油库存减少361.1万桶，此前预期为减少90万桶;库欣原油库存增加54.8万桶，较好与前值增加222万桶。北京时间周二，欧佩克公布了月度报告，将2020年全球原油需求增速预期从-907万桶/日调整至-895万桶/日，预计2021年原油需求增速恢复正增长，并创下纪录新高的700万桶/日，预计2021年欧佩克原油需求增长600万桶至2980万桶/日。资料显示，欧佩克6月原油产出减少190万桶/日，欧佩克6月原油产量降189万桶至2227万桶/日，减产执行率超100%，预计2020年全球原油需求为9070万桶/日，此预期为9059万桶/日，6月全球原油产量同比减少1276万桶/日。基本面利空因素：北京时间周三，美国石油协会(API)公布的数据显示，截至7月10日当周，API精炼油库存增加303万桶，预期增加152.4万桶。随着疫情每日新增确诊病例数量激增至超过20万，疫情在全球多个国家(尤其是在美国)出现了第二次大规模流行。通过对二次疫情的影响进行建模分析，Rystad Energy 预计2020年全球原油需求或将下降至8650万桶/日，低于基于疫情恢复估计的8900万桶/日。从影响程度上看，预计第二波疫情对原油需求的影响相较3-4月份更加温和，主要是由于限制性措施将仅在特定地区和部门实施，一定程度上熨平疫情对需求端的冲击。从波峰对比来看，第一波疫情对原油需求的冲击最大值发生于4月，全球原油需求量下滑达到2600万桶/日，Rystad Energy 预计二次疫情导致需求下滑的规模将在9月份达到最大，接近1800万桶/日。瑞士信贷经济学家预计在走高之前，油价将延续当前盘整节奏。布伦特原油延续短期盘整，但其底部保持在一季度跌势的38.2%斐波那契回撤位37.28美元上方，料进一步整理于一季度跌势的50%斐波那契回撤位43.86美元下方，若突破该点位，下一阻力位于45.18/50美元，更重要的阻力位于200日均线48.74美元，至少会暂时抑制油价进一步上涨。该行指出，短期支撑位位于5/6月价格缺口37.18/35.37美元，理想情况下33.62美元将限制油价进一步下跌。只有跌破28.86美元才会宣告底部形态构筑失败，疲弱的动能增加了油价继续受阻于43.86美元下方盘整，并可能深度回调的风险。美联储理事布雷纳德周二在全美商业经济协会主办的一次线上活动中称，大流行仍然是经济发展路径的关键驱动因素。不确定性这层浓雾仍然笼罩着我们，下行风险占主导地位。布雷纳德呼吁美联储通过前瞻性指引和大规模资产购买来提供持续的政策宽松度，并表示进一步财政支持对经济复苏的强劲程度“至关重要”，尤其在第一轮援助计划即将到期之际。</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预测下周WTI油价将触及38-42美元/桶，布油在之后几个月触及41-44美元/桶。</w:t>
      </w:r>
    </w:p>
    <w:p>
      <w:pPr>
        <w:pStyle w:val="3"/>
        <w:spacing w:before="120" w:after="120" w:line="240" w:lineRule="auto"/>
        <w:rPr>
          <w:rFonts w:hint="eastAsia" w:ascii="宋体" w:hAnsi="宋体"/>
          <w:b/>
          <w:sz w:val="30"/>
          <w:szCs w:val="30"/>
          <w:highlight w:val="none"/>
        </w:rPr>
      </w:pPr>
      <w:r>
        <w:rPr>
          <w:rFonts w:hint="eastAsia" w:ascii="宋体" w:hAnsi="宋体"/>
          <w:b/>
          <w:sz w:val="30"/>
          <w:szCs w:val="30"/>
          <w:highlight w:val="none"/>
        </w:rPr>
        <w:t>2.2国际市场MTBE价格</w:t>
      </w:r>
      <w:bookmarkEnd w:id="8"/>
    </w:p>
    <w:p/>
    <w:tbl>
      <w:tblPr>
        <w:tblStyle w:val="24"/>
        <w:tblW w:w="7230" w:type="dxa"/>
        <w:tblInd w:w="0" w:type="dxa"/>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9" w:name="_Toc533771867"/>
            <w:r>
              <w:rPr>
                <w:rFonts w:hint="eastAsia" w:ascii="宋体" w:hAnsi="宋体" w:eastAsia="宋体" w:cs="宋体"/>
                <w:i w:val="0"/>
                <w:color w:val="000000"/>
                <w:kern w:val="0"/>
                <w:sz w:val="20"/>
                <w:szCs w:val="20"/>
                <w:u w:val="none"/>
                <w:lang w:val="en-US" w:eastAsia="zh-CN" w:bidi="ar"/>
              </w:rPr>
              <w:t>日期</w:t>
            </w:r>
          </w:p>
        </w:tc>
        <w:tc>
          <w:tcPr>
            <w:tcW w:w="208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single" w:color="000000" w:sz="4" w:space="0"/>
              <w:right w:val="nil"/>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鹿特丹(美元/吨)</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7月15日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404.50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121.09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470.25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7月14日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387.00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119.38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455.25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7月13日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410.00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121.98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448.00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7月10日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122.95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441.00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7月9日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439.25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113.55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434.25 </w:t>
            </w:r>
          </w:p>
        </w:tc>
      </w:tr>
    </w:tbl>
    <w:p>
      <w:pPr>
        <w:pStyle w:val="2"/>
        <w:spacing w:before="120" w:after="0" w:line="240" w:lineRule="auto"/>
        <w:rPr>
          <w:rFonts w:hint="eastAsia"/>
        </w:rPr>
      </w:pPr>
    </w:p>
    <w:p>
      <w:pPr>
        <w:pStyle w:val="2"/>
        <w:numPr>
          <w:ilvl w:val="0"/>
          <w:numId w:val="3"/>
        </w:numPr>
        <w:spacing w:before="120" w:after="0" w:line="240" w:lineRule="auto"/>
        <w:rPr>
          <w:rFonts w:hint="eastAsia"/>
          <w:b/>
        </w:rPr>
      </w:pPr>
      <w:r>
        <w:rPr>
          <w:rFonts w:hint="eastAsia"/>
          <w:b/>
        </w:rPr>
        <w:t>本周国内市场</w:t>
      </w:r>
      <w:bookmarkEnd w:id="9"/>
    </w:p>
    <w:p>
      <w:pPr>
        <w:numPr>
          <w:ilvl w:val="0"/>
          <w:numId w:val="0"/>
        </w:numPr>
      </w:pPr>
    </w:p>
    <w:p>
      <w:pPr>
        <w:pStyle w:val="3"/>
        <w:spacing w:before="120" w:after="120" w:line="240" w:lineRule="auto"/>
      </w:pPr>
      <w:bookmarkStart w:id="10" w:name="_Toc533771868"/>
      <w:r>
        <w:rPr>
          <w:rFonts w:hint="eastAsia" w:ascii="宋体" w:hAnsi="宋体"/>
          <w:b/>
          <w:sz w:val="30"/>
          <w:szCs w:val="30"/>
          <w:highlight w:val="none"/>
        </w:rPr>
        <w:t>3.1 国内炼厂装置运行情况</w:t>
      </w:r>
      <w:bookmarkEnd w:id="10"/>
    </w:p>
    <w:p>
      <w:pPr>
        <w:rPr>
          <w:rFonts w:hint="eastAsia" w:ascii="宋体" w:hAnsi="宋体"/>
          <w:sz w:val="28"/>
          <w:szCs w:val="28"/>
          <w:highlight w:val="none"/>
        </w:rPr>
      </w:pPr>
      <w:r>
        <w:rPr>
          <w:rFonts w:hint="eastAsia" w:ascii="宋体" w:hAnsi="宋体"/>
          <w:sz w:val="28"/>
          <w:szCs w:val="28"/>
          <w:highlight w:val="none"/>
        </w:rPr>
        <w:t>（1）国内主营炼厂装置检修情况</w:t>
      </w:r>
    </w:p>
    <w:tbl>
      <w:tblPr>
        <w:tblStyle w:val="24"/>
        <w:tblW w:w="9402"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97"/>
        <w:gridCol w:w="1699"/>
        <w:gridCol w:w="1841"/>
        <w:gridCol w:w="2220"/>
        <w:gridCol w:w="21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497"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炼厂名称</w:t>
            </w:r>
          </w:p>
        </w:tc>
        <w:tc>
          <w:tcPr>
            <w:tcW w:w="1699"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检修装置</w:t>
            </w:r>
          </w:p>
        </w:tc>
        <w:tc>
          <w:tcPr>
            <w:tcW w:w="1841"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装置能力（万吨）</w:t>
            </w:r>
          </w:p>
        </w:tc>
        <w:tc>
          <w:tcPr>
            <w:tcW w:w="2220"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开始时间</w:t>
            </w:r>
          </w:p>
        </w:tc>
        <w:tc>
          <w:tcPr>
            <w:tcW w:w="2145"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结束时间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燕山石化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2020年3月下旬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2020年5月上旬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燕山石化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3#催化裂化</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2020年3月下旬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2020年5月上旬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塔河石化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2020年4月下旬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塔河石化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延迟焦化</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120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2020年4月下旬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上海石化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上海石化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3#柴油加氢</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330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镇海</w:t>
            </w:r>
            <w:r>
              <w:rPr>
                <w:rFonts w:hint="eastAsia" w:ascii="宋体" w:hAnsi="宋体" w:cs="宋体"/>
                <w:i w:val="0"/>
                <w:color w:val="000000"/>
                <w:kern w:val="0"/>
                <w:sz w:val="21"/>
                <w:szCs w:val="21"/>
                <w:u w:val="none"/>
                <w:lang w:val="en-US" w:eastAsia="zh-CN" w:bidi="ar"/>
              </w:rPr>
              <w:t>炼化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800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镇海</w:t>
            </w:r>
            <w:r>
              <w:rPr>
                <w:rFonts w:hint="eastAsia" w:ascii="宋体" w:hAnsi="宋体" w:cs="宋体"/>
                <w:i w:val="0"/>
                <w:color w:val="000000"/>
                <w:kern w:val="0"/>
                <w:sz w:val="21"/>
                <w:szCs w:val="21"/>
                <w:u w:val="none"/>
                <w:lang w:val="en-US" w:eastAsia="zh-CN" w:bidi="ar"/>
              </w:rPr>
              <w:t>炼化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1000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茂名石化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4#常减压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2020年4月中旬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北海</w:t>
            </w:r>
            <w:r>
              <w:rPr>
                <w:rFonts w:hint="eastAsia" w:ascii="宋体" w:hAnsi="宋体" w:cs="宋体"/>
                <w:i w:val="0"/>
                <w:color w:val="000000"/>
                <w:kern w:val="0"/>
                <w:sz w:val="21"/>
                <w:szCs w:val="21"/>
                <w:u w:val="none"/>
                <w:lang w:val="en-US" w:eastAsia="zh-CN" w:bidi="ar"/>
              </w:rPr>
              <w:t>炼</w:t>
            </w:r>
            <w:r>
              <w:rPr>
                <w:rFonts w:hint="eastAsia" w:ascii="宋体" w:hAnsi="宋体" w:eastAsia="宋体" w:cs="宋体"/>
                <w:i w:val="0"/>
                <w:color w:val="000000"/>
                <w:kern w:val="0"/>
                <w:sz w:val="21"/>
                <w:szCs w:val="21"/>
                <w:u w:val="none"/>
                <w:lang w:val="en-US" w:eastAsia="zh-CN" w:bidi="ar"/>
              </w:rPr>
              <w:t>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650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天津石化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250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月</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大连石化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全厂装置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w:t>
            </w:r>
            <w:r>
              <w:rPr>
                <w:rFonts w:hint="eastAsia" w:ascii="宋体" w:hAnsi="宋体" w:cs="宋体"/>
                <w:i w:val="0"/>
                <w:color w:val="000000"/>
                <w:kern w:val="0"/>
                <w:sz w:val="21"/>
                <w:szCs w:val="21"/>
                <w:u w:val="none"/>
                <w:lang w:val="en-US" w:eastAsia="zh-CN" w:bidi="ar"/>
              </w:rPr>
              <w:t>年4月上旬陆续停</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广西石化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全厂装置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2020/2/9</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宁夏</w:t>
            </w:r>
            <w:r>
              <w:rPr>
                <w:rFonts w:hint="eastAsia" w:ascii="宋体" w:hAnsi="宋体" w:eastAsia="宋体" w:cs="宋体"/>
                <w:i w:val="0"/>
                <w:color w:val="000000"/>
                <w:kern w:val="0"/>
                <w:sz w:val="21"/>
                <w:szCs w:val="21"/>
                <w:u w:val="none"/>
                <w:lang w:val="en-US" w:eastAsia="zh-CN" w:bidi="ar"/>
              </w:rPr>
              <w:t>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w:t>
            </w:r>
            <w:r>
              <w:rPr>
                <w:rFonts w:hint="eastAsia" w:ascii="宋体" w:hAnsi="宋体" w:cs="宋体"/>
                <w:i w:val="0"/>
                <w:color w:val="000000"/>
                <w:kern w:val="0"/>
                <w:sz w:val="21"/>
                <w:szCs w:val="21"/>
                <w:u w:val="none"/>
                <w:lang w:val="en-US" w:eastAsia="zh-CN" w:bidi="ar"/>
              </w:rPr>
              <w:t>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500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2020年8月中旬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锦西石化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全厂装置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700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2020年7月</w:t>
            </w:r>
            <w:r>
              <w:rPr>
                <w:rFonts w:hint="eastAsia" w:ascii="宋体" w:hAnsi="宋体" w:cs="宋体"/>
                <w:i w:val="0"/>
                <w:color w:val="000000"/>
                <w:kern w:val="0"/>
                <w:sz w:val="21"/>
                <w:szCs w:val="21"/>
                <w:u w:val="none"/>
                <w:lang w:val="en-US" w:eastAsia="zh-CN" w:bidi="ar"/>
              </w:rPr>
              <w:t>上旬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2020年9月底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惠州炼厂</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二期</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2020年10月</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2020年12月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中海油气(泰州)</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4月下旬</w:t>
            </w:r>
          </w:p>
        </w:tc>
      </w:tr>
    </w:tbl>
    <w:p>
      <w:pPr>
        <w:numPr>
          <w:ilvl w:val="0"/>
          <w:numId w:val="0"/>
        </w:numPr>
        <w:rPr>
          <w:rFonts w:hint="eastAsia" w:ascii="宋体" w:hAnsi="宋体"/>
          <w:sz w:val="28"/>
          <w:szCs w:val="28"/>
          <w:highlight w:val="none"/>
        </w:rPr>
      </w:pPr>
    </w:p>
    <w:p>
      <w:pPr>
        <w:numPr>
          <w:ilvl w:val="0"/>
          <w:numId w:val="0"/>
        </w:numPr>
        <w:rPr>
          <w:rFonts w:hint="eastAsia" w:ascii="宋体" w:hAnsi="宋体"/>
          <w:sz w:val="28"/>
          <w:szCs w:val="28"/>
          <w:highlight w:val="none"/>
        </w:rPr>
      </w:pPr>
    </w:p>
    <w:p>
      <w:pPr>
        <w:numPr>
          <w:ilvl w:val="0"/>
          <w:numId w:val="0"/>
        </w:numPr>
        <w:rPr>
          <w:rFonts w:hint="eastAsia" w:ascii="宋体" w:hAnsi="宋体"/>
          <w:sz w:val="28"/>
          <w:szCs w:val="28"/>
          <w:highlight w:val="none"/>
        </w:rPr>
      </w:pPr>
    </w:p>
    <w:p>
      <w:pPr>
        <w:numPr>
          <w:ilvl w:val="0"/>
          <w:numId w:val="4"/>
        </w:numPr>
        <w:rPr>
          <w:rFonts w:hint="eastAsia" w:ascii="宋体" w:hAnsi="宋体"/>
          <w:sz w:val="28"/>
          <w:szCs w:val="28"/>
          <w:highlight w:val="none"/>
        </w:rPr>
      </w:pPr>
      <w:r>
        <w:rPr>
          <w:rFonts w:hint="eastAsia" w:ascii="宋体" w:hAnsi="宋体"/>
          <w:sz w:val="28"/>
          <w:szCs w:val="28"/>
          <w:highlight w:val="none"/>
        </w:rPr>
        <w:t>国内地方炼厂装置检修情况</w:t>
      </w:r>
    </w:p>
    <w:tbl>
      <w:tblPr>
        <w:tblStyle w:val="24"/>
        <w:tblW w:w="9405" w:type="dxa"/>
        <w:tblInd w:w="0" w:type="dxa"/>
        <w:shd w:val="clear" w:color="auto" w:fill="auto"/>
        <w:tblLayout w:type="autofit"/>
        <w:tblCellMar>
          <w:top w:w="0" w:type="dxa"/>
          <w:left w:w="0" w:type="dxa"/>
          <w:bottom w:w="0" w:type="dxa"/>
          <w:right w:w="0" w:type="dxa"/>
        </w:tblCellMar>
      </w:tblPr>
      <w:tblGrid>
        <w:gridCol w:w="1782"/>
        <w:gridCol w:w="1188"/>
        <w:gridCol w:w="1890"/>
        <w:gridCol w:w="2385"/>
        <w:gridCol w:w="2160"/>
      </w:tblGrid>
      <w:tr>
        <w:tblPrEx>
          <w:shd w:val="clear" w:color="auto" w:fill="auto"/>
          <w:tblCellMar>
            <w:top w:w="0" w:type="dxa"/>
            <w:left w:w="0" w:type="dxa"/>
            <w:bottom w:w="0" w:type="dxa"/>
            <w:right w:w="0" w:type="dxa"/>
          </w:tblCellMar>
        </w:tblPrEx>
        <w:trPr>
          <w:trHeight w:val="240" w:hRule="atLeast"/>
        </w:trPr>
        <w:tc>
          <w:tcPr>
            <w:tcW w:w="178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炼厂名称</w:t>
            </w:r>
          </w:p>
        </w:tc>
        <w:tc>
          <w:tcPr>
            <w:tcW w:w="1188"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检修装置</w:t>
            </w:r>
          </w:p>
        </w:tc>
        <w:tc>
          <w:tcPr>
            <w:tcW w:w="18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检修产能（万吨）</w:t>
            </w:r>
          </w:p>
        </w:tc>
        <w:tc>
          <w:tcPr>
            <w:tcW w:w="23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停工时间</w:t>
            </w:r>
          </w:p>
        </w:tc>
        <w:tc>
          <w:tcPr>
            <w:tcW w:w="216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开工时间</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海右(晨曦)石化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2018年5月1日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计划2020年7月7日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万通石化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650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2019年9月14日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岚桥石化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2019年9月10日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2020年5月10日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滨阳燃化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2019年11月</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汇丰石化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2019年11月18日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2020年3月30日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奥星(亨润德)石化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2019年12月23日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2020年1月22日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海化石化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2019年12月26日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延迟重启、待定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中海精细化工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2020年1月12日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万达天弘</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500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2020年1月18日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2020年3月20日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恒源石化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2020年1月28日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2020年2月29日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富宇化工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2020年4月2</w:t>
            </w: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中海沥青滨州</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亚通石化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焦化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2020年1月27日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2020年2月15日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东方华龙</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催化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东方华龙</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汽油加氢</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尚能石化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神驰化工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260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玉皇盛世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2020年3月4日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滨阳燃化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2020年2月27日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寿光联盟</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金诚石化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2020年3月27日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胜星化工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380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2020年3月12日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科力达石化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华星石化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正和石化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昌邑石化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无棣鑫岳</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2020年2月16日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中海沥青滨州</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2020年2月19日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华联石化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2020年3月20日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2020年4月</w:t>
            </w:r>
            <w:r>
              <w:rPr>
                <w:rFonts w:hint="eastAsia" w:ascii="宋体" w:hAnsi="宋体" w:cs="宋体"/>
                <w:i w:val="0"/>
                <w:color w:val="000000"/>
                <w:kern w:val="0"/>
                <w:sz w:val="21"/>
                <w:szCs w:val="21"/>
                <w:u w:val="none"/>
                <w:lang w:val="en-US" w:eastAsia="zh-CN" w:bidi="ar"/>
              </w:rPr>
              <w:t>29</w:t>
            </w:r>
            <w:r>
              <w:rPr>
                <w:rFonts w:hint="eastAsia" w:ascii="宋体" w:hAnsi="宋体" w:eastAsia="宋体" w:cs="宋体"/>
                <w:i w:val="0"/>
                <w:color w:val="000000"/>
                <w:kern w:val="0"/>
                <w:sz w:val="21"/>
                <w:szCs w:val="21"/>
                <w:u w:val="none"/>
                <w:lang w:val="en-US" w:eastAsia="zh-CN" w:bidi="ar"/>
              </w:rPr>
              <w:t>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永鑫化工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5月初</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2020年5月20日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永鑫化工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催化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160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2020年3月15日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2020年5月1日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2020年5月18日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汇丰石化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焦化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2020年6月1日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汇丰石化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柴油加氢</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2020年6月1日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奥星石化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2020年6月23日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预计2020年7月底</w:t>
            </w:r>
          </w:p>
        </w:tc>
      </w:tr>
    </w:tbl>
    <w:p>
      <w:pPr>
        <w:numPr>
          <w:ilvl w:val="0"/>
          <w:numId w:val="0"/>
        </w:numPr>
        <w:jc w:val="center"/>
        <w:rPr>
          <w:rFonts w:hint="eastAsia" w:ascii="宋体" w:hAnsi="宋体"/>
          <w:sz w:val="28"/>
          <w:szCs w:val="28"/>
          <w:highlight w:val="none"/>
        </w:rPr>
      </w:pPr>
    </w:p>
    <w:p>
      <w:pPr>
        <w:rPr>
          <w:rFonts w:hint="eastAsia"/>
        </w:rPr>
      </w:pPr>
      <w:bookmarkStart w:id="11" w:name="_Toc533771869"/>
    </w:p>
    <w:bookmarkEnd w:id="11"/>
    <w:p>
      <w:pPr>
        <w:pStyle w:val="3"/>
        <w:spacing w:before="120" w:after="120" w:line="240" w:lineRule="auto"/>
        <w:rPr>
          <w:rFonts w:hint="eastAsia" w:ascii="宋体" w:hAnsi="宋体"/>
          <w:b/>
          <w:sz w:val="30"/>
          <w:szCs w:val="30"/>
          <w:highlight w:val="none"/>
        </w:rPr>
      </w:pPr>
      <w:bookmarkStart w:id="12" w:name="_Toc533771870"/>
      <w:r>
        <w:rPr>
          <w:rFonts w:hint="eastAsia" w:ascii="宋体" w:hAnsi="宋体"/>
          <w:b/>
          <w:sz w:val="30"/>
          <w:szCs w:val="30"/>
          <w:highlight w:val="none"/>
        </w:rPr>
        <w:t>3.2本周成品油市场行情</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国际原油期货震荡上行，据测算第四个工作日参考原油变化率为1.18%。受此影响，国内成品油市场购销氛围持淡，各地主营汽柴油销售执行优惠政策。与此同时，山东地炼成品油行情涨跌互现，各炼厂主流成交保持100元/吨左右优惠。具体来看出货方面：受季节性需求影响，夏季高温天气是的私家车出行频率增加，估零售市场加油站出货顺畅，下游商家采购步伐加快。反观柴油市场，由于当下处于需求淡季，社会单位库存消化缓慢，加之原油走势震荡，中间商大量囤货操作谨慎，成交多以散户小单为主。</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本周(7月10日-7月16日)基本面难寻利好支撑，华中区内价格波动有限 具体分析如下，周内，国际原油震荡走高，零售价于周五兑现“二连涨”，且新一轮变化率维持正向发展，消息面对市场存利好支撑。与此同时，区内四省深受频繁强降雨影响，柴油需求疲态难有改善，下游库存消耗周期延长，主营出货压力较大，柴油价格呈现稳中下滑态势，成交多暗存较大商谈空间。汽油方面受到消息面及成本面支撑，加之部分主营资源趋紧，甚至部分单位汽油处于停售状态，故汽油价格相对坚挺。下游用户入市采购意向持低，市场购销气氛十分清淡。后市而言，国际原油短期或难寻有力上涨动力，零售价小涨或搁浅概率并存，消息面或指引有限。汽油受政策面支撑，旅游行业或将全面启动，后期需求持续向好，柴油方面梅雨季节即将结束，后期雨水或有减量，户外工程或陆续恢复运行，需求面或稍有支撑。预计短期内华中地区主营价格或稳中向好，但因主营出货压力暂未缓解，上涨力度或显不足。</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9日-7月16日)，汽柴行情均有上涨，市场成交平平。具体来看，周内国际原油期货延续涨势，消息面存在一定支撑。受此影响，山东地炼汽柴油价格有所走高，主营外采成本增加。与此同时，近期疫情形势基本稳定,但是需求提升仍不明显。汽油方面，受国际油价上涨提振，主营对后市看涨预期仍然较强，挺价兴趣浓厚，汽油行情顺势上涨。相较于汽油，柴油需求暂无明显改善。近期，多地持续降雨影响，工矿、基建等终端用油单位开工仍然受限，终端需求低迷，价格涨幅不及汽油。总体来看，短期内需求难有明显好转，业者心态普遍谨慎，购销操作有限，市场成交难有改善。后市来看，国际原油期货短期仍有上涨空间，消息面利好指引。当前，汽柴油下游需求短期难有提升，业者消库之余仍将按需采购，需求对价格仍有支撑，预计下周华南地区汽柴油行情或将以稳为主。</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3日-7月9日)，华北地区主营市场汽柴行情稳中调整，市场购销气氛改善有限。分析来看，国际原油周内走势高位整理，国内调价原油变化率正向变化继续拉伸，消息面继续支撑市场。受此影响，山东地炼价格走势整体上涨，主营单位外采成本继续攀高。另外月初主营单位挺价心态较重，但下游需求表现一般，商家推价过程受阻，部分地区柴油价格高位回落刺激出货，低价资源出货进度向好，下游接货较为谨慎，大单操作稀少区内在短时补货后区内购销恢复清淡。后市而言，下周上调窗口如期开启，新一轮调价预期继续显示小涨预期，受周边地炼价格推涨影响，商家挺价心态依旧较重，但考虑出货进度受阻，预计下周区内油价走势将小幅推涨，个别单位或小幅跌价刺激出货。</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10日-7月16日)，华东地区成品油行情稳中走低，市场整体成交清淡不已。具体来看，周内国际油价震荡上行，消息面存有一定支撑。与此同时，山东地炼汽柴油价格汽涨柴跌，令主营外采成本上升。受全国大范围降雨影响，区内大部分地区工矿、基建、物流等大型项目开工依旧受阻，汽柴油终端消耗一路下跌，需求面受暴雨影响也持低迷态势发展，周内部分主营虽开始借势上调价格，但随着后期市场行情需求疲软，价格也随之回落，且各主营加大优惠力度，下游商家积极消库，但面对持续降雨，补货心态都较为谨慎，成交多为散户小单。综上所述，市场观望情绪为主，业者补货按需，整体成交清淡不已。后期来看，国际原油或下行震荡，消息面或难有力支撑反弹。预计下周华东地区成品油行情或窄幅整理为主。</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10日-7月16日)，西北地炼汽柴行情略有提升，市场成交氛围转弱。分析来看：周内国际油价震荡上行，但变化率正向小幅波动，后市行情仍存变数，消息面对市场指引有限。不过，销售公司前期出货尚可，汽柴价格仍有推涨，其中汽油累积上调200元/吨，柴油上调50元/吨。不过，业者前期多已补货到位，随着消息面支撑减弱，多退市消库为主，大单采购减量，市场活跃度下降。就后市而言，国际油价或维持震荡小涨，变化率正向波动，本轮调价存搁浅及小涨预期，消息面对市场支撑有限。不过，汽油处于消费旺季，而柴油亦有提前备货者，预计短线西北地炼汽柴行情仍有支撑，不排除存小涨可能。</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10日-7月16日)，西南地区汽柴行情震荡走高，整体交投氛围平淡。分析来看：上周五成品油零售价上调兑现，但区内主营跟涨有限。进入本周，国际油价震荡上行，变化率正向窄幅波动，本轮调价方向暂不明朗，消息面对市场指引有限。此外，多地受强降水影响较大，下游需求维持疲软，尤其柴油消费受到明显抑制。业者操作意向持低，消库之余逢低适量补货，市场成交量淡。主营单位出货不畅，汽柴价格窄幅波动，优惠政策趋于灵活。就后市而言，国际油价或震荡小涨，变化率窄幅波动，消息面对市场支撑力度有限。与此同时，下游需求维持低迷，业者入市补货谨慎，市场成交难有改善。预计短线西南地区汽柴行情横盘整理为主。</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后市前瞻：进入下周，短时间内美国疫情无法得到抑制，且OPEC+将削弱8月份起的减产份额，原油期货市场相对弱势。以WTI为例，主流运行区间在38-43(均值40.5)美元/桶之间，环比上涨0.15美元/桶或0.37%。在缺少基本面需求有力支撑下，山东地区成品油行情涨势难以持续，望终端用户及贸易商短期内切勿大量囤货，营销策略仍以快进快出为主为优。综上所述，预计山东地炼汽柴油价格止涨回稳，幅度在100元/吨左右。</w:t>
      </w:r>
    </w:p>
    <w:p>
      <w:pPr>
        <w:pStyle w:val="23"/>
        <w:spacing w:line="360" w:lineRule="auto"/>
        <w:ind w:firstLine="560" w:firstLineChars="200"/>
        <w:jc w:val="both"/>
        <w:rPr>
          <w:rFonts w:hint="default" w:ascii="宋体" w:hAnsi="宋体" w:eastAsia="宋体" w:cs="宋体"/>
          <w:color w:val="333335"/>
          <w:kern w:val="2"/>
          <w:sz w:val="28"/>
          <w:szCs w:val="28"/>
          <w:shd w:val="clear" w:color="auto" w:fill="FFFFFF"/>
          <w:lang w:eastAsia="zh-CN"/>
        </w:rPr>
      </w:pPr>
    </w:p>
    <w:p>
      <w:pPr>
        <w:pStyle w:val="3"/>
        <w:spacing w:before="120" w:after="120" w:line="240" w:lineRule="auto"/>
        <w:rPr>
          <w:rFonts w:ascii="宋体" w:hAnsi="宋体"/>
          <w:b/>
          <w:sz w:val="30"/>
          <w:szCs w:val="30"/>
        </w:rPr>
      </w:pPr>
      <w:r>
        <w:rPr>
          <w:rFonts w:hint="eastAsia" w:ascii="宋体" w:hAnsi="宋体"/>
          <w:b/>
          <w:sz w:val="30"/>
          <w:szCs w:val="30"/>
        </w:rPr>
        <w:t>3.3 国内汽油价格周报</w:t>
      </w:r>
      <w:bookmarkEnd w:id="12"/>
    </w:p>
    <w:tbl>
      <w:tblPr>
        <w:tblStyle w:val="24"/>
        <w:tblpPr w:leftFromText="180" w:rightFromText="180" w:vertAnchor="text" w:horzAnchor="page" w:tblpX="1093" w:tblpY="306"/>
        <w:tblOverlap w:val="never"/>
        <w:tblW w:w="9615" w:type="dxa"/>
        <w:tblInd w:w="0" w:type="dxa"/>
        <w:shd w:val="clear" w:color="auto" w:fill="auto"/>
        <w:tblLayout w:type="autofit"/>
        <w:tblCellMar>
          <w:top w:w="0" w:type="dxa"/>
          <w:left w:w="0" w:type="dxa"/>
          <w:bottom w:w="0" w:type="dxa"/>
          <w:right w:w="0" w:type="dxa"/>
        </w:tblCellMar>
      </w:tblPr>
      <w:tblGrid>
        <w:gridCol w:w="825"/>
        <w:gridCol w:w="1080"/>
        <w:gridCol w:w="1005"/>
        <w:gridCol w:w="945"/>
        <w:gridCol w:w="1080"/>
        <w:gridCol w:w="1080"/>
        <w:gridCol w:w="1080"/>
        <w:gridCol w:w="1260"/>
        <w:gridCol w:w="1260"/>
      </w:tblGrid>
      <w:tr>
        <w:tblPrEx>
          <w:shd w:val="clear" w:color="auto" w:fill="auto"/>
          <w:tblCellMar>
            <w:top w:w="0" w:type="dxa"/>
            <w:left w:w="0" w:type="dxa"/>
            <w:bottom w:w="0" w:type="dxa"/>
            <w:right w:w="0" w:type="dxa"/>
          </w:tblCellMar>
        </w:tblPrEx>
        <w:trPr>
          <w:trHeight w:val="2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00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2020/7/16</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2020/7/9</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连云港市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5660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5660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5960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5960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5780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5860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枣庄市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任丘市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bookmarkStart w:id="22" w:name="_GoBack"/>
            <w:bookmarkEnd w:id="22"/>
            <w:r>
              <w:rPr>
                <w:rFonts w:hint="default" w:ascii="Tahoma" w:hAnsi="Tahoma" w:eastAsia="Tahoma" w:cs="Tahoma"/>
                <w:i w:val="0"/>
                <w:color w:val="000000"/>
                <w:kern w:val="0"/>
                <w:sz w:val="18"/>
                <w:szCs w:val="18"/>
                <w:u w:val="none"/>
                <w:lang w:val="en-US" w:eastAsia="zh-CN" w:bidi="ar"/>
              </w:rPr>
              <w:t>5550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eastAsia" w:ascii="Tahoma" w:hAnsi="Tahoma" w:eastAsia="Tahoma" w:cs="Tahoma"/>
                <w:i w:val="0"/>
                <w:color w:val="000000"/>
                <w:kern w:val="0"/>
                <w:sz w:val="18"/>
                <w:szCs w:val="18"/>
                <w:u w:val="none"/>
                <w:lang w:val="en-US" w:eastAsia="zh-CN" w:bidi="ar"/>
              </w:rPr>
              <w:t>106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eastAsia" w:ascii="Tahoma" w:hAnsi="Tahoma" w:eastAsia="Tahoma" w:cs="Tahoma"/>
                <w:i w:val="0"/>
                <w:color w:val="000000"/>
                <w:kern w:val="0"/>
                <w:sz w:val="18"/>
                <w:szCs w:val="18"/>
                <w:u w:val="none"/>
                <w:lang w:val="en-US" w:eastAsia="zh-CN" w:bidi="ar"/>
              </w:rPr>
              <w:t>7136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eastAsia" w:ascii="Tahoma" w:hAnsi="Tahoma" w:eastAsia="Tahoma" w:cs="Tahoma"/>
                <w:i w:val="0"/>
                <w:color w:val="000000"/>
                <w:kern w:val="0"/>
                <w:sz w:val="18"/>
                <w:szCs w:val="18"/>
                <w:u w:val="none"/>
                <w:lang w:val="en-US" w:eastAsia="zh-CN" w:bidi="ar"/>
              </w:rPr>
              <w:t>106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eastAsia" w:ascii="Tahoma" w:hAnsi="Tahoma" w:eastAsia="Tahoma" w:cs="Tahoma"/>
                <w:i w:val="0"/>
                <w:color w:val="000000"/>
                <w:kern w:val="0"/>
                <w:sz w:val="18"/>
                <w:szCs w:val="18"/>
                <w:u w:val="none"/>
                <w:lang w:val="en-US" w:eastAsia="zh-CN" w:bidi="ar"/>
              </w:rPr>
              <w:t>7626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7520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default" w:ascii="Tahoma" w:hAnsi="Tahoma" w:eastAsia="Tahoma" w:cs="Tahoma"/>
                <w:i w:val="0"/>
                <w:color w:val="000000"/>
                <w:kern w:val="0"/>
                <w:sz w:val="18"/>
                <w:szCs w:val="18"/>
                <w:u w:val="none"/>
                <w:lang w:val="en-US" w:eastAsia="zh-CN" w:bidi="ar"/>
              </w:rPr>
              <w:t>5500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default" w:ascii="Tahoma" w:hAnsi="Tahoma" w:eastAsia="Tahoma" w:cs="Tahoma"/>
                <w:i w:val="0"/>
                <w:color w:val="000000"/>
                <w:kern w:val="0"/>
                <w:sz w:val="18"/>
                <w:szCs w:val="18"/>
                <w:u w:val="none"/>
                <w:lang w:val="en-US" w:eastAsia="zh-CN" w:bidi="ar"/>
              </w:rPr>
              <w:t>5650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eastAsia" w:ascii="Tahoma" w:hAnsi="Tahoma" w:eastAsia="Tahoma" w:cs="Tahoma"/>
                <w:i w:val="0"/>
                <w:color w:val="000000"/>
                <w:kern w:val="0"/>
                <w:sz w:val="18"/>
                <w:szCs w:val="18"/>
                <w:u w:val="none"/>
                <w:lang w:val="en-US" w:eastAsia="zh-CN" w:bidi="ar"/>
              </w:rPr>
              <w:t>106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eastAsia" w:ascii="Tahoma" w:hAnsi="Tahoma" w:eastAsia="Tahoma" w:cs="Tahoma"/>
                <w:i w:val="0"/>
                <w:color w:val="000000"/>
                <w:kern w:val="0"/>
                <w:sz w:val="18"/>
                <w:szCs w:val="18"/>
                <w:u w:val="none"/>
                <w:lang w:val="en-US" w:eastAsia="zh-CN" w:bidi="ar"/>
              </w:rPr>
              <w:t>7136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eastAsia" w:ascii="Tahoma" w:hAnsi="Tahoma" w:eastAsia="Tahoma" w:cs="Tahoma"/>
                <w:i w:val="0"/>
                <w:color w:val="000000"/>
                <w:kern w:val="0"/>
                <w:sz w:val="18"/>
                <w:szCs w:val="18"/>
                <w:u w:val="none"/>
                <w:lang w:val="en-US" w:eastAsia="zh-CN" w:bidi="ar"/>
              </w:rPr>
              <w:t>106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eastAsia" w:ascii="Tahoma" w:hAnsi="Tahoma" w:eastAsia="Tahoma" w:cs="Tahoma"/>
                <w:i w:val="0"/>
                <w:color w:val="000000"/>
                <w:kern w:val="0"/>
                <w:sz w:val="18"/>
                <w:szCs w:val="18"/>
                <w:u w:val="none"/>
                <w:lang w:val="en-US" w:eastAsia="zh-CN" w:bidi="ar"/>
              </w:rPr>
              <w:t>7626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7520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kern w:val="0"/>
                <w:sz w:val="18"/>
                <w:szCs w:val="18"/>
                <w:u w:val="none"/>
                <w:lang w:val="en-US" w:eastAsia="zh-CN" w:bidi="ar"/>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吉林市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吉林中油</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吉林市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吉林中油</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bl>
    <w:p>
      <w:pPr>
        <w:rPr>
          <w:rFonts w:hint="eastAsia"/>
        </w:rPr>
      </w:pPr>
      <w:r>
        <w:rPr>
          <w:rFonts w:hint="eastAsia"/>
        </w:rPr>
        <w:t>单位：元/吨</w:t>
      </w:r>
    </w:p>
    <w:p>
      <w:pPr>
        <w:rPr>
          <w:rFonts w:hint="eastAsia"/>
          <w:bCs/>
          <w:szCs w:val="21"/>
          <w:lang w:val="en-US" w:eastAsia="zh-CN"/>
        </w:rPr>
      </w:pPr>
    </w:p>
    <w:p>
      <w:pPr>
        <w:pStyle w:val="3"/>
        <w:spacing w:before="120" w:after="120" w:line="240" w:lineRule="auto"/>
        <w:rPr>
          <w:rFonts w:hint="eastAsia" w:ascii="宋体" w:hAnsi="宋体"/>
          <w:b/>
          <w:sz w:val="30"/>
          <w:szCs w:val="30"/>
          <w:lang w:val="en-US" w:eastAsia="zh-CN"/>
        </w:rPr>
      </w:pPr>
      <w:bookmarkStart w:id="13" w:name="_Toc533771871"/>
      <w:r>
        <w:rPr>
          <w:rFonts w:hint="eastAsia" w:ascii="宋体" w:hAnsi="宋体"/>
          <w:b/>
          <w:sz w:val="30"/>
          <w:szCs w:val="30"/>
          <w:lang w:val="en-US" w:eastAsia="zh-CN"/>
        </w:rPr>
        <w:t>3.4国内柴油价格周报</w:t>
      </w:r>
      <w:bookmarkEnd w:id="13"/>
    </w:p>
    <w:p>
      <w:pPr>
        <w:rPr>
          <w:rFonts w:hint="eastAsia"/>
          <w:lang w:val="en-US" w:eastAsia="zh-CN"/>
        </w:rPr>
      </w:pPr>
      <w:r>
        <w:rPr>
          <w:rFonts w:hint="eastAsia"/>
          <w:lang w:val="en-US" w:eastAsia="zh-CN"/>
        </w:rPr>
        <w:t>单位：元/吨</w:t>
      </w:r>
    </w:p>
    <w:tbl>
      <w:tblPr>
        <w:tblStyle w:val="24"/>
        <w:tblW w:w="9675" w:type="dxa"/>
        <w:tblInd w:w="0" w:type="dxa"/>
        <w:shd w:val="clear" w:color="auto" w:fill="auto"/>
        <w:tblLayout w:type="autofit"/>
        <w:tblCellMar>
          <w:top w:w="0" w:type="dxa"/>
          <w:left w:w="0" w:type="dxa"/>
          <w:bottom w:w="0" w:type="dxa"/>
          <w:right w:w="0" w:type="dxa"/>
        </w:tblCellMar>
      </w:tblPr>
      <w:tblGrid>
        <w:gridCol w:w="780"/>
        <w:gridCol w:w="1080"/>
        <w:gridCol w:w="1080"/>
        <w:gridCol w:w="945"/>
        <w:gridCol w:w="795"/>
        <w:gridCol w:w="1080"/>
        <w:gridCol w:w="885"/>
        <w:gridCol w:w="1515"/>
        <w:gridCol w:w="1515"/>
      </w:tblGrid>
      <w:tr>
        <w:tblPrEx>
          <w:shd w:val="clear" w:color="auto" w:fill="auto"/>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bookmarkStart w:id="14" w:name="_Toc533771872"/>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79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88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2020/7/16</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2020/7/9</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连云港市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舟山市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潮州市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海口市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5335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5335</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5260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-435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5685</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-435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5685</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184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5784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184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5784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184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5784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5340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商丘市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商丘市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九江市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4980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4980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吉林市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吉林中油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5595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5595</w:t>
            </w:r>
          </w:p>
        </w:tc>
      </w:tr>
    </w:tbl>
    <w:p>
      <w:pPr>
        <w:pStyle w:val="3"/>
        <w:spacing w:before="120" w:after="120" w:line="240" w:lineRule="auto"/>
        <w:rPr>
          <w:rFonts w:hint="eastAsia" w:ascii="宋体" w:hAnsi="宋体"/>
          <w:b/>
          <w:sz w:val="30"/>
          <w:szCs w:val="30"/>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3.5 山东地炼汽油出厂价格周报</w:t>
      </w:r>
      <w:bookmarkEnd w:id="14"/>
    </w:p>
    <w:p>
      <w:pPr>
        <w:rPr>
          <w:rFonts w:hint="eastAsia"/>
          <w:lang w:val="en-US" w:eastAsia="zh-CN"/>
        </w:rPr>
      </w:pPr>
      <w:r>
        <w:rPr>
          <w:rFonts w:hint="eastAsia"/>
          <w:lang w:val="en-US" w:eastAsia="zh-CN"/>
        </w:rPr>
        <w:t>单位：元/吨</w:t>
      </w:r>
    </w:p>
    <w:p>
      <w:pPr>
        <w:rPr>
          <w:rFonts w:hint="eastAsia"/>
          <w:lang w:val="en-US" w:eastAsia="zh-CN"/>
        </w:rPr>
      </w:pPr>
    </w:p>
    <w:p>
      <w:pPr>
        <w:rPr>
          <w:rFonts w:hint="eastAsia"/>
          <w:bCs/>
          <w:szCs w:val="21"/>
          <w:lang w:val="en-US" w:eastAsia="zh-CN"/>
        </w:rPr>
      </w:pPr>
    </w:p>
    <w:tbl>
      <w:tblPr>
        <w:tblStyle w:val="24"/>
        <w:tblpPr w:leftFromText="180" w:rightFromText="180" w:vertAnchor="text" w:horzAnchor="page" w:tblpX="1108" w:tblpY="313"/>
        <w:tblOverlap w:val="never"/>
        <w:tblW w:w="9705" w:type="dxa"/>
        <w:tblInd w:w="0" w:type="dxa"/>
        <w:shd w:val="clear" w:color="auto" w:fill="auto"/>
        <w:tblLayout w:type="autofit"/>
        <w:tblCellMar>
          <w:top w:w="0" w:type="dxa"/>
          <w:left w:w="0" w:type="dxa"/>
          <w:bottom w:w="0" w:type="dxa"/>
          <w:right w:w="0" w:type="dxa"/>
        </w:tblCellMar>
      </w:tblPr>
      <w:tblGrid>
        <w:gridCol w:w="945"/>
        <w:gridCol w:w="1470"/>
        <w:gridCol w:w="1170"/>
        <w:gridCol w:w="1155"/>
        <w:gridCol w:w="1065"/>
        <w:gridCol w:w="1080"/>
        <w:gridCol w:w="1410"/>
        <w:gridCol w:w="1410"/>
      </w:tblGrid>
      <w:tr>
        <w:tblPrEx>
          <w:shd w:val="clear" w:color="auto" w:fill="auto"/>
          <w:tblCellMar>
            <w:top w:w="0" w:type="dxa"/>
            <w:left w:w="0" w:type="dxa"/>
            <w:bottom w:w="0" w:type="dxa"/>
            <w:right w:w="0"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bookmarkStart w:id="15" w:name="_Toc533771873"/>
            <w:r>
              <w:rPr>
                <w:rFonts w:hint="eastAsia" w:ascii="宋体" w:hAnsi="宋体" w:eastAsia="宋体" w:cs="宋体"/>
                <w:i w:val="0"/>
                <w:color w:val="000000"/>
                <w:kern w:val="0"/>
                <w:sz w:val="20"/>
                <w:szCs w:val="20"/>
                <w:u w:val="none"/>
                <w:lang w:val="en-US" w:eastAsia="zh-CN" w:bidi="ar"/>
              </w:rPr>
              <w:t>省份</w:t>
            </w:r>
          </w:p>
        </w:tc>
        <w:tc>
          <w:tcPr>
            <w:tcW w:w="14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1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15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6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2020/7/16</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2020/7/9</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5060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5110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5110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垦利石化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海科瑞林</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5323</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5458</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5618</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5557</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5560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4970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5190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5290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5290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国四90#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国四93#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亚通石化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5360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5660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bl>
    <w:p>
      <w:pPr>
        <w:pStyle w:val="3"/>
        <w:spacing w:before="120" w:after="120" w:line="240" w:lineRule="auto"/>
        <w:rPr>
          <w:rFonts w:hint="eastAsia" w:ascii="宋体" w:hAnsi="宋体"/>
          <w:b/>
          <w:sz w:val="30"/>
          <w:szCs w:val="30"/>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3.6 山东地炼柴油出厂价格周报</w:t>
      </w:r>
      <w:bookmarkEnd w:id="15"/>
    </w:p>
    <w:p>
      <w:pPr>
        <w:rPr>
          <w:rFonts w:hint="eastAsia"/>
          <w:bCs/>
          <w:szCs w:val="21"/>
          <w:lang w:val="en-US" w:eastAsia="zh-CN"/>
        </w:rPr>
      </w:pPr>
      <w:r>
        <w:rPr>
          <w:rFonts w:hint="eastAsia"/>
          <w:bCs/>
          <w:szCs w:val="21"/>
          <w:lang w:val="en-US" w:eastAsia="zh-CN"/>
        </w:rPr>
        <w:t>单位：元/吨</w:t>
      </w:r>
    </w:p>
    <w:p>
      <w:pPr>
        <w:rPr>
          <w:rFonts w:hint="eastAsia"/>
          <w:bCs/>
          <w:szCs w:val="21"/>
          <w:lang w:val="en-US" w:eastAsia="zh-CN"/>
        </w:rPr>
      </w:pPr>
    </w:p>
    <w:tbl>
      <w:tblPr>
        <w:tblStyle w:val="24"/>
        <w:tblW w:w="9300" w:type="dxa"/>
        <w:tblInd w:w="0" w:type="dxa"/>
        <w:shd w:val="clear" w:color="auto" w:fill="auto"/>
        <w:tblLayout w:type="autofit"/>
        <w:tblCellMar>
          <w:top w:w="0" w:type="dxa"/>
          <w:left w:w="0" w:type="dxa"/>
          <w:bottom w:w="0" w:type="dxa"/>
          <w:right w:w="0" w:type="dxa"/>
        </w:tblCellMar>
      </w:tblPr>
      <w:tblGrid>
        <w:gridCol w:w="675"/>
        <w:gridCol w:w="1875"/>
        <w:gridCol w:w="1080"/>
        <w:gridCol w:w="1080"/>
        <w:gridCol w:w="1080"/>
        <w:gridCol w:w="1080"/>
        <w:gridCol w:w="1215"/>
        <w:gridCol w:w="1215"/>
      </w:tblGrid>
      <w:tr>
        <w:tblPrEx>
          <w:shd w:val="clear" w:color="auto" w:fill="auto"/>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bookmarkStart w:id="16" w:name="_Toc533771874"/>
            <w:r>
              <w:rPr>
                <w:rFonts w:hint="eastAsia" w:ascii="宋体" w:hAnsi="宋体" w:eastAsia="宋体" w:cs="宋体"/>
                <w:i w:val="0"/>
                <w:color w:val="000000"/>
                <w:kern w:val="0"/>
                <w:sz w:val="20"/>
                <w:szCs w:val="20"/>
                <w:u w:val="none"/>
                <w:lang w:val="en-US" w:eastAsia="zh-CN" w:bidi="ar"/>
              </w:rPr>
              <w:t>省份</w:t>
            </w:r>
          </w:p>
        </w:tc>
        <w:tc>
          <w:tcPr>
            <w:tcW w:w="18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2020/7/16</w:t>
            </w:r>
          </w:p>
        </w:tc>
        <w:tc>
          <w:tcPr>
            <w:tcW w:w="12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2020/7/9</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4750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-120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4670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4790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w:t>
            </w: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垦利石化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海科瑞林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4630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4730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常压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4730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亚通石化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鑫泰石化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岚桥港口石化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4990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4940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bl>
    <w:p>
      <w:pPr>
        <w:pStyle w:val="3"/>
        <w:spacing w:before="120" w:after="120" w:line="240" w:lineRule="auto"/>
        <w:rPr>
          <w:rFonts w:hint="eastAsia" w:ascii="宋体" w:hAnsi="宋体"/>
          <w:b/>
          <w:sz w:val="10"/>
          <w:szCs w:val="10"/>
          <w:lang w:val="en-US" w:eastAsia="zh-CN"/>
        </w:rPr>
      </w:pPr>
    </w:p>
    <w:p>
      <w:pPr>
        <w:rPr>
          <w:rFonts w:hint="eastAsia"/>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四、2020年5月份进出口统计数据</w:t>
      </w:r>
      <w:bookmarkEnd w:id="16"/>
      <w:bookmarkStart w:id="17" w:name="_Toc533771875"/>
    </w:p>
    <w:p>
      <w:pPr>
        <w:rPr>
          <w:rFonts w:hint="eastAsia"/>
        </w:rPr>
      </w:pPr>
    </w:p>
    <w:p>
      <w:pPr>
        <w:pStyle w:val="3"/>
        <w:spacing w:before="120" w:after="120" w:line="240" w:lineRule="auto"/>
        <w:rPr>
          <w:rFonts w:hint="eastAsia" w:ascii="宋体" w:hAnsi="宋体"/>
          <w:b/>
          <w:sz w:val="30"/>
          <w:szCs w:val="30"/>
        </w:rPr>
      </w:pPr>
      <w:r>
        <w:rPr>
          <w:rFonts w:hint="eastAsia" w:ascii="宋体" w:hAnsi="宋体"/>
          <w:b/>
          <w:sz w:val="30"/>
          <w:szCs w:val="30"/>
        </w:rPr>
        <w:t>4.1 20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5</w:t>
      </w:r>
      <w:r>
        <w:rPr>
          <w:rFonts w:hint="eastAsia" w:ascii="宋体" w:hAnsi="宋体"/>
          <w:b/>
          <w:sz w:val="30"/>
          <w:szCs w:val="30"/>
        </w:rPr>
        <w:t>份全国车用汽油和航空汽油进出口统计数据</w:t>
      </w:r>
      <w:bookmarkEnd w:id="17"/>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9327" w:type="dxa"/>
        <w:tblInd w:w="0" w:type="dxa"/>
        <w:shd w:val="clear" w:color="auto" w:fill="auto"/>
        <w:tblLayout w:type="autofit"/>
        <w:tblCellMar>
          <w:top w:w="0" w:type="dxa"/>
          <w:left w:w="0" w:type="dxa"/>
          <w:bottom w:w="0" w:type="dxa"/>
          <w:right w:w="0" w:type="dxa"/>
        </w:tblCellMar>
      </w:tblPr>
      <w:tblGrid>
        <w:gridCol w:w="2454"/>
        <w:gridCol w:w="1800"/>
        <w:gridCol w:w="1978"/>
        <w:gridCol w:w="3095"/>
      </w:tblGrid>
      <w:tr>
        <w:tblPrEx>
          <w:shd w:val="clear" w:color="auto" w:fill="auto"/>
          <w:tblCellMar>
            <w:top w:w="0" w:type="dxa"/>
            <w:left w:w="0" w:type="dxa"/>
            <w:bottom w:w="0" w:type="dxa"/>
            <w:right w:w="0" w:type="dxa"/>
          </w:tblCellMar>
        </w:tblPrEx>
        <w:trPr>
          <w:trHeight w:val="555" w:hRule="atLeast"/>
        </w:trPr>
        <w:tc>
          <w:tcPr>
            <w:tcW w:w="2454" w:type="dxa"/>
            <w:tcBorders>
              <w:top w:val="single" w:color="000000" w:sz="8" w:space="0"/>
              <w:left w:val="single" w:color="000000" w:sz="8" w:space="0"/>
              <w:bottom w:val="single" w:color="000000" w:sz="8" w:space="0"/>
              <w:right w:val="single" w:color="000000" w:sz="8"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kern w:val="0"/>
                <w:sz w:val="21"/>
                <w:szCs w:val="21"/>
                <w:u w:val="none"/>
                <w:lang w:val="en-US" w:eastAsia="zh-CN" w:bidi="ar"/>
              </w:rPr>
            </w:pPr>
            <w:r>
              <w:rPr>
                <w:rFonts w:hint="default" w:ascii="宋体" w:hAnsi="宋体" w:eastAsia="宋体" w:cs="宋体"/>
                <w:b/>
                <w:i w:val="0"/>
                <w:color w:val="191919"/>
                <w:kern w:val="0"/>
                <w:sz w:val="21"/>
                <w:szCs w:val="21"/>
                <w:u w:val="none"/>
                <w:lang w:val="en-US" w:eastAsia="zh-CN" w:bidi="ar"/>
              </w:rPr>
              <w:t>出口目的地</w:t>
            </w:r>
          </w:p>
        </w:tc>
        <w:tc>
          <w:tcPr>
            <w:tcW w:w="1800" w:type="dxa"/>
            <w:tcBorders>
              <w:top w:val="single" w:color="000000" w:sz="8" w:space="0"/>
              <w:left w:val="single" w:color="000000" w:sz="8" w:space="0"/>
              <w:bottom w:val="single" w:color="000000" w:sz="8" w:space="0"/>
              <w:right w:val="single" w:color="000000" w:sz="8"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191919"/>
                <w:kern w:val="0"/>
                <w:sz w:val="21"/>
                <w:szCs w:val="21"/>
                <w:u w:val="none"/>
                <w:lang w:val="en-US" w:eastAsia="zh-CN" w:bidi="ar"/>
              </w:rPr>
            </w:pPr>
            <w:r>
              <w:rPr>
                <w:rFonts w:hint="default" w:ascii="宋体" w:hAnsi="宋体" w:eastAsia="宋体" w:cs="宋体"/>
                <w:b/>
                <w:i w:val="0"/>
                <w:color w:val="191919"/>
                <w:kern w:val="0"/>
                <w:sz w:val="21"/>
                <w:szCs w:val="21"/>
                <w:u w:val="none"/>
                <w:lang w:val="en-US" w:eastAsia="zh-CN" w:bidi="ar"/>
              </w:rPr>
              <w:t>数量</w:t>
            </w:r>
          </w:p>
        </w:tc>
        <w:tc>
          <w:tcPr>
            <w:tcW w:w="1978" w:type="dxa"/>
            <w:tcBorders>
              <w:top w:val="single" w:color="000000" w:sz="8" w:space="0"/>
              <w:left w:val="single" w:color="000000" w:sz="8" w:space="0"/>
              <w:bottom w:val="single" w:color="000000" w:sz="8" w:space="0"/>
              <w:right w:val="single" w:color="000000" w:sz="8"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191919"/>
                <w:kern w:val="0"/>
                <w:sz w:val="21"/>
                <w:szCs w:val="21"/>
                <w:u w:val="none"/>
                <w:lang w:val="en-US" w:eastAsia="zh-CN" w:bidi="ar"/>
              </w:rPr>
            </w:pPr>
            <w:r>
              <w:rPr>
                <w:rFonts w:hint="default" w:ascii="宋体" w:hAnsi="宋体" w:eastAsia="宋体" w:cs="宋体"/>
                <w:b/>
                <w:i w:val="0"/>
                <w:color w:val="191919"/>
                <w:kern w:val="0"/>
                <w:sz w:val="21"/>
                <w:szCs w:val="21"/>
                <w:u w:val="none"/>
                <w:lang w:val="en-US" w:eastAsia="zh-CN" w:bidi="ar"/>
              </w:rPr>
              <w:t>单位</w:t>
            </w:r>
          </w:p>
        </w:tc>
        <w:tc>
          <w:tcPr>
            <w:tcW w:w="3095" w:type="dxa"/>
            <w:tcBorders>
              <w:top w:val="single" w:color="000000" w:sz="8" w:space="0"/>
              <w:left w:val="single" w:color="000000" w:sz="8" w:space="0"/>
              <w:bottom w:val="single" w:color="000000" w:sz="8" w:space="0"/>
              <w:right w:val="single" w:color="000000" w:sz="8"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191919"/>
                <w:kern w:val="0"/>
                <w:sz w:val="21"/>
                <w:szCs w:val="21"/>
                <w:u w:val="none"/>
                <w:lang w:val="en-US" w:eastAsia="zh-CN" w:bidi="ar"/>
              </w:rPr>
            </w:pPr>
            <w:r>
              <w:rPr>
                <w:rFonts w:hint="default" w:ascii="宋体" w:hAnsi="宋体" w:eastAsia="宋体" w:cs="宋体"/>
                <w:b/>
                <w:i w:val="0"/>
                <w:color w:val="191919"/>
                <w:kern w:val="0"/>
                <w:sz w:val="21"/>
                <w:szCs w:val="21"/>
                <w:u w:val="none"/>
                <w:lang w:val="en-US" w:eastAsia="zh-CN" w:bidi="ar"/>
              </w:rPr>
              <w:t>出口金额美元</w:t>
            </w:r>
          </w:p>
        </w:tc>
      </w:tr>
      <w:tr>
        <w:tblPrEx>
          <w:tblCellMar>
            <w:top w:w="0" w:type="dxa"/>
            <w:left w:w="0" w:type="dxa"/>
            <w:bottom w:w="0" w:type="dxa"/>
            <w:right w:w="0" w:type="dxa"/>
          </w:tblCellMar>
        </w:tblPrEx>
        <w:trPr>
          <w:trHeight w:val="784" w:hRule="atLeast"/>
        </w:trPr>
        <w:tc>
          <w:tcPr>
            <w:tcW w:w="245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菲律宾</w:t>
            </w:r>
          </w:p>
        </w:tc>
        <w:tc>
          <w:tcPr>
            <w:tcW w:w="1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88199.3</w:t>
            </w:r>
          </w:p>
        </w:tc>
        <w:tc>
          <w:tcPr>
            <w:tcW w:w="1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吨</w:t>
            </w:r>
          </w:p>
        </w:tc>
        <w:tc>
          <w:tcPr>
            <w:tcW w:w="30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15247582</w:t>
            </w:r>
          </w:p>
        </w:tc>
      </w:tr>
      <w:tr>
        <w:tblPrEx>
          <w:tblCellMar>
            <w:top w:w="0" w:type="dxa"/>
            <w:left w:w="0" w:type="dxa"/>
            <w:bottom w:w="0" w:type="dxa"/>
            <w:right w:w="0" w:type="dxa"/>
          </w:tblCellMar>
        </w:tblPrEx>
        <w:trPr>
          <w:trHeight w:val="825" w:hRule="atLeast"/>
        </w:trPr>
        <w:tc>
          <w:tcPr>
            <w:tcW w:w="245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马来西亚</w:t>
            </w:r>
          </w:p>
        </w:tc>
        <w:tc>
          <w:tcPr>
            <w:tcW w:w="1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60762.1</w:t>
            </w:r>
          </w:p>
        </w:tc>
        <w:tc>
          <w:tcPr>
            <w:tcW w:w="1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吨</w:t>
            </w:r>
          </w:p>
        </w:tc>
        <w:tc>
          <w:tcPr>
            <w:tcW w:w="30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13762326</w:t>
            </w:r>
          </w:p>
        </w:tc>
      </w:tr>
      <w:tr>
        <w:tblPrEx>
          <w:tblCellMar>
            <w:top w:w="0" w:type="dxa"/>
            <w:left w:w="0" w:type="dxa"/>
            <w:bottom w:w="0" w:type="dxa"/>
            <w:right w:w="0" w:type="dxa"/>
          </w:tblCellMar>
        </w:tblPrEx>
        <w:trPr>
          <w:trHeight w:val="825" w:hRule="atLeast"/>
        </w:trPr>
        <w:tc>
          <w:tcPr>
            <w:tcW w:w="245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蒙古</w:t>
            </w:r>
          </w:p>
        </w:tc>
        <w:tc>
          <w:tcPr>
            <w:tcW w:w="1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974.3</w:t>
            </w:r>
          </w:p>
        </w:tc>
        <w:tc>
          <w:tcPr>
            <w:tcW w:w="1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吨</w:t>
            </w:r>
          </w:p>
        </w:tc>
        <w:tc>
          <w:tcPr>
            <w:tcW w:w="30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322485</w:t>
            </w:r>
          </w:p>
        </w:tc>
      </w:tr>
      <w:tr>
        <w:tblPrEx>
          <w:tblCellMar>
            <w:top w:w="0" w:type="dxa"/>
            <w:left w:w="0" w:type="dxa"/>
            <w:bottom w:w="0" w:type="dxa"/>
            <w:right w:w="0" w:type="dxa"/>
          </w:tblCellMar>
        </w:tblPrEx>
        <w:trPr>
          <w:trHeight w:val="825" w:hRule="atLeast"/>
        </w:trPr>
        <w:tc>
          <w:tcPr>
            <w:tcW w:w="245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缅甸</w:t>
            </w:r>
          </w:p>
        </w:tc>
        <w:tc>
          <w:tcPr>
            <w:tcW w:w="1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4413.6</w:t>
            </w:r>
          </w:p>
        </w:tc>
        <w:tc>
          <w:tcPr>
            <w:tcW w:w="1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吨</w:t>
            </w:r>
          </w:p>
        </w:tc>
        <w:tc>
          <w:tcPr>
            <w:tcW w:w="30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2508367</w:t>
            </w:r>
          </w:p>
        </w:tc>
      </w:tr>
      <w:tr>
        <w:tblPrEx>
          <w:tblCellMar>
            <w:top w:w="0" w:type="dxa"/>
            <w:left w:w="0" w:type="dxa"/>
            <w:bottom w:w="0" w:type="dxa"/>
            <w:right w:w="0" w:type="dxa"/>
          </w:tblCellMar>
        </w:tblPrEx>
        <w:trPr>
          <w:trHeight w:val="825" w:hRule="atLeast"/>
        </w:trPr>
        <w:tc>
          <w:tcPr>
            <w:tcW w:w="245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墨西哥</w:t>
            </w:r>
          </w:p>
        </w:tc>
        <w:tc>
          <w:tcPr>
            <w:tcW w:w="1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68258.1</w:t>
            </w:r>
          </w:p>
        </w:tc>
        <w:tc>
          <w:tcPr>
            <w:tcW w:w="1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吨</w:t>
            </w:r>
          </w:p>
        </w:tc>
        <w:tc>
          <w:tcPr>
            <w:tcW w:w="30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10627301</w:t>
            </w:r>
          </w:p>
        </w:tc>
      </w:tr>
      <w:tr>
        <w:tblPrEx>
          <w:tblCellMar>
            <w:top w:w="0" w:type="dxa"/>
            <w:left w:w="0" w:type="dxa"/>
            <w:bottom w:w="0" w:type="dxa"/>
            <w:right w:w="0" w:type="dxa"/>
          </w:tblCellMar>
        </w:tblPrEx>
        <w:trPr>
          <w:trHeight w:val="825" w:hRule="atLeast"/>
        </w:trPr>
        <w:tc>
          <w:tcPr>
            <w:tcW w:w="245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日本</w:t>
            </w:r>
          </w:p>
        </w:tc>
        <w:tc>
          <w:tcPr>
            <w:tcW w:w="1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39384.8</w:t>
            </w:r>
          </w:p>
        </w:tc>
        <w:tc>
          <w:tcPr>
            <w:tcW w:w="1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吨</w:t>
            </w:r>
          </w:p>
        </w:tc>
        <w:tc>
          <w:tcPr>
            <w:tcW w:w="30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5957488</w:t>
            </w:r>
          </w:p>
        </w:tc>
      </w:tr>
      <w:tr>
        <w:tblPrEx>
          <w:tblCellMar>
            <w:top w:w="0" w:type="dxa"/>
            <w:left w:w="0" w:type="dxa"/>
            <w:bottom w:w="0" w:type="dxa"/>
            <w:right w:w="0" w:type="dxa"/>
          </w:tblCellMar>
        </w:tblPrEx>
        <w:trPr>
          <w:trHeight w:val="825" w:hRule="atLeast"/>
        </w:trPr>
        <w:tc>
          <w:tcPr>
            <w:tcW w:w="245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新加坡</w:t>
            </w:r>
          </w:p>
        </w:tc>
        <w:tc>
          <w:tcPr>
            <w:tcW w:w="1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355567.1</w:t>
            </w:r>
          </w:p>
        </w:tc>
        <w:tc>
          <w:tcPr>
            <w:tcW w:w="1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吨</w:t>
            </w:r>
          </w:p>
        </w:tc>
        <w:tc>
          <w:tcPr>
            <w:tcW w:w="30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81689702</w:t>
            </w:r>
          </w:p>
        </w:tc>
      </w:tr>
      <w:tr>
        <w:tblPrEx>
          <w:tblCellMar>
            <w:top w:w="0" w:type="dxa"/>
            <w:left w:w="0" w:type="dxa"/>
            <w:bottom w:w="0" w:type="dxa"/>
            <w:right w:w="0" w:type="dxa"/>
          </w:tblCellMar>
        </w:tblPrEx>
        <w:trPr>
          <w:trHeight w:val="825" w:hRule="atLeast"/>
        </w:trPr>
        <w:tc>
          <w:tcPr>
            <w:tcW w:w="245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印度尼西亚</w:t>
            </w:r>
          </w:p>
        </w:tc>
        <w:tc>
          <w:tcPr>
            <w:tcW w:w="1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32120.4</w:t>
            </w:r>
          </w:p>
        </w:tc>
        <w:tc>
          <w:tcPr>
            <w:tcW w:w="1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吨</w:t>
            </w:r>
          </w:p>
        </w:tc>
        <w:tc>
          <w:tcPr>
            <w:tcW w:w="30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4838526</w:t>
            </w:r>
          </w:p>
        </w:tc>
      </w:tr>
      <w:tr>
        <w:tblPrEx>
          <w:tblCellMar>
            <w:top w:w="0" w:type="dxa"/>
            <w:left w:w="0" w:type="dxa"/>
            <w:bottom w:w="0" w:type="dxa"/>
            <w:right w:w="0" w:type="dxa"/>
          </w:tblCellMar>
        </w:tblPrEx>
        <w:trPr>
          <w:trHeight w:val="825" w:hRule="atLeast"/>
        </w:trPr>
        <w:tc>
          <w:tcPr>
            <w:tcW w:w="245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越南</w:t>
            </w:r>
          </w:p>
        </w:tc>
        <w:tc>
          <w:tcPr>
            <w:tcW w:w="1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20005</w:t>
            </w:r>
          </w:p>
        </w:tc>
        <w:tc>
          <w:tcPr>
            <w:tcW w:w="1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吨</w:t>
            </w:r>
          </w:p>
        </w:tc>
        <w:tc>
          <w:tcPr>
            <w:tcW w:w="30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9681438</w:t>
            </w:r>
          </w:p>
        </w:tc>
      </w:tr>
      <w:tr>
        <w:tblPrEx>
          <w:tblCellMar>
            <w:top w:w="0" w:type="dxa"/>
            <w:left w:w="0" w:type="dxa"/>
            <w:bottom w:w="0" w:type="dxa"/>
            <w:right w:w="0" w:type="dxa"/>
          </w:tblCellMar>
        </w:tblPrEx>
        <w:trPr>
          <w:trHeight w:val="825" w:hRule="atLeast"/>
        </w:trPr>
        <w:tc>
          <w:tcPr>
            <w:tcW w:w="245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中国澳门</w:t>
            </w:r>
          </w:p>
        </w:tc>
        <w:tc>
          <w:tcPr>
            <w:tcW w:w="1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5953.6</w:t>
            </w:r>
          </w:p>
        </w:tc>
        <w:tc>
          <w:tcPr>
            <w:tcW w:w="1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吨</w:t>
            </w:r>
          </w:p>
        </w:tc>
        <w:tc>
          <w:tcPr>
            <w:tcW w:w="30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191919"/>
                <w:kern w:val="0"/>
                <w:sz w:val="21"/>
                <w:szCs w:val="21"/>
                <w:u w:val="none"/>
                <w:lang w:val="en-US" w:eastAsia="zh-CN" w:bidi="ar"/>
              </w:rPr>
            </w:pPr>
            <w:r>
              <w:rPr>
                <w:rFonts w:hint="default" w:ascii="宋体" w:hAnsi="宋体" w:eastAsia="宋体" w:cs="宋体"/>
                <w:i w:val="0"/>
                <w:color w:val="191919"/>
                <w:kern w:val="0"/>
                <w:sz w:val="21"/>
                <w:szCs w:val="21"/>
                <w:u w:val="none"/>
                <w:lang w:val="en-US" w:eastAsia="zh-CN" w:bidi="ar"/>
              </w:rPr>
              <w:t>2202844</w:t>
            </w:r>
          </w:p>
        </w:tc>
      </w:tr>
    </w:tbl>
    <w:p>
      <w:pPr>
        <w:rPr>
          <w:rFonts w:hint="eastAsia"/>
          <w:bCs/>
          <w:szCs w:val="21"/>
        </w:rPr>
      </w:pPr>
    </w:p>
    <w:p>
      <w:pPr>
        <w:rPr>
          <w:rFonts w:hint="eastAsia"/>
        </w:rPr>
      </w:pPr>
      <w:bookmarkStart w:id="18" w:name="_Toc533771876"/>
    </w:p>
    <w:p>
      <w:pPr>
        <w:rPr>
          <w:rFonts w:hint="eastAsia"/>
        </w:rPr>
      </w:pPr>
    </w:p>
    <w:p>
      <w:pPr>
        <w:rPr>
          <w:rFonts w:hint="eastAsia"/>
        </w:rPr>
      </w:pPr>
    </w:p>
    <w:p>
      <w:pPr>
        <w:pStyle w:val="3"/>
        <w:spacing w:before="120" w:after="120" w:line="240" w:lineRule="auto"/>
        <w:rPr>
          <w:rFonts w:hint="eastAsia" w:ascii="宋体" w:hAnsi="宋体"/>
          <w:b/>
          <w:sz w:val="30"/>
          <w:szCs w:val="30"/>
        </w:rPr>
      </w:pPr>
      <w:r>
        <w:rPr>
          <w:rFonts w:hint="eastAsia" w:ascii="宋体" w:hAnsi="宋体"/>
          <w:b/>
          <w:sz w:val="30"/>
          <w:szCs w:val="30"/>
        </w:rPr>
        <w:t>4.2 201</w:t>
      </w:r>
      <w:r>
        <w:rPr>
          <w:rFonts w:hint="eastAsia" w:ascii="宋体" w:hAnsi="宋体"/>
          <w:b/>
          <w:sz w:val="30"/>
          <w:szCs w:val="30"/>
          <w:lang w:val="en-US" w:eastAsia="zh-CN"/>
        </w:rPr>
        <w:t>8</w:t>
      </w:r>
      <w:r>
        <w:rPr>
          <w:rFonts w:hint="eastAsia" w:ascii="宋体" w:hAnsi="宋体"/>
          <w:b/>
          <w:sz w:val="30"/>
          <w:szCs w:val="30"/>
        </w:rPr>
        <w:t>年1</w:t>
      </w:r>
      <w:r>
        <w:rPr>
          <w:rFonts w:hint="eastAsia" w:ascii="宋体" w:hAnsi="宋体"/>
          <w:b/>
          <w:sz w:val="30"/>
          <w:szCs w:val="30"/>
          <w:lang w:val="en-US" w:eastAsia="zh-CN"/>
        </w:rPr>
        <w:t>1</w:t>
      </w:r>
      <w:r>
        <w:rPr>
          <w:rFonts w:hint="eastAsia" w:ascii="宋体" w:hAnsi="宋体"/>
          <w:b/>
          <w:sz w:val="30"/>
          <w:szCs w:val="30"/>
        </w:rPr>
        <w:t>月份全国轻柴油进出口统计数据</w:t>
      </w:r>
      <w:bookmarkEnd w:id="18"/>
    </w:p>
    <w:p>
      <w:pPr>
        <w:rPr>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0"/>
        <w:gridCol w:w="1726"/>
        <w:gridCol w:w="1726"/>
        <w:gridCol w:w="188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shd w:val="clear" w:color="auto" w:fill="00CCFF"/>
            <w:vAlign w:val="center"/>
          </w:tcPr>
          <w:p>
            <w:pPr>
              <w:keepNext w:val="0"/>
              <w:keepLines w:val="0"/>
              <w:widowControl/>
              <w:suppressLineNumbers w:val="0"/>
              <w:jc w:val="center"/>
              <w:textAlignment w:val="center"/>
              <w:rPr>
                <w:bCs/>
                <w:color w:val="00B0F0"/>
                <w:szCs w:val="21"/>
              </w:rPr>
            </w:pPr>
            <w:r>
              <w:rPr>
                <w:rFonts w:hint="eastAsia" w:ascii="宋体" w:hAnsi="宋体" w:eastAsia="宋体" w:cs="宋体"/>
                <w:b/>
                <w:i w:val="0"/>
                <w:color w:val="191919"/>
                <w:kern w:val="0"/>
                <w:sz w:val="21"/>
                <w:szCs w:val="21"/>
                <w:u w:val="none"/>
                <w:lang w:val="en-US" w:eastAsia="zh-CN" w:bidi="ar"/>
              </w:rPr>
              <w:t>产销国</w:t>
            </w:r>
          </w:p>
        </w:tc>
        <w:tc>
          <w:tcPr>
            <w:tcW w:w="1726"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进口数量</w:t>
            </w:r>
          </w:p>
        </w:tc>
        <w:tc>
          <w:tcPr>
            <w:tcW w:w="1726"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进口美元</w:t>
            </w:r>
          </w:p>
        </w:tc>
        <w:tc>
          <w:tcPr>
            <w:tcW w:w="1882"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出口数量</w:t>
            </w:r>
          </w:p>
        </w:tc>
        <w:tc>
          <w:tcPr>
            <w:tcW w:w="1688"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孟加拉国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105125.293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69892814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缅甸</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18170.052</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12976857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塞浦路斯</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966.84</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759340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香港</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262963.309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179445201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印度尼西亚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99.5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日本</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397.4</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老挝</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63.913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47224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澳门</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6847.894</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4588089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马来西亚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3995.198</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2556927</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94.515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巴基斯坦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74.2</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菲律宾</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175973.373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119332061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新加坡</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499.536</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399629</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270770.818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188315354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韩国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49882.569</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34382246</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173054.409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117620635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泰国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82.765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土耳其</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32.8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越南</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41937</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28282001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台澎金马关税区</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188.9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156577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利比里亚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4541.022</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3624752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多哥</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比利时</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139.8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125261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丹麦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509.5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423410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英国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981.955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787173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意大利</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荷兰</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40755.789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26653192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希腊</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384.8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313417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葡萄牙</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224.073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156493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直布罗陀</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114.5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82350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马耳他</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1318.39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1072844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挪威</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216.847</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165273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摩尔多瓦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367.5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294000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俄罗斯联邦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克罗地亚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安提瓜和巴布达</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263.103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巴哈马</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506.059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伯利兹</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多米尼克</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136400</w:t>
            </w:r>
          </w:p>
        </w:tc>
      </w:tr>
    </w:tbl>
    <w:p>
      <w:pPr>
        <w:pStyle w:val="3"/>
        <w:spacing w:before="120" w:after="120" w:line="240" w:lineRule="auto"/>
        <w:rPr>
          <w:rFonts w:hint="eastAsia" w:ascii="宋体" w:hAnsi="宋体"/>
          <w:b/>
          <w:sz w:val="30"/>
          <w:szCs w:val="30"/>
        </w:rPr>
      </w:pPr>
      <w:bookmarkStart w:id="19" w:name="_Toc533771877"/>
      <w:bookmarkStart w:id="20" w:name="_Toc533771879"/>
    </w:p>
    <w:p>
      <w:pPr>
        <w:pStyle w:val="3"/>
        <w:spacing w:before="120" w:after="120" w:line="240" w:lineRule="auto"/>
        <w:rPr>
          <w:rFonts w:hint="eastAsia" w:ascii="宋体" w:hAnsi="宋体"/>
          <w:b/>
          <w:sz w:val="30"/>
          <w:szCs w:val="30"/>
        </w:rPr>
      </w:pPr>
    </w:p>
    <w:bookmarkEnd w:id="19"/>
    <w:p>
      <w:pPr>
        <w:pStyle w:val="3"/>
        <w:spacing w:before="120" w:after="120" w:line="240" w:lineRule="auto"/>
        <w:rPr>
          <w:rFonts w:hint="eastAsia" w:ascii="宋体" w:hAnsi="宋体"/>
          <w:b/>
          <w:sz w:val="30"/>
          <w:szCs w:val="30"/>
        </w:rPr>
      </w:pPr>
      <w:bookmarkStart w:id="21" w:name="_Toc533771878"/>
      <w:r>
        <w:rPr>
          <w:rFonts w:hint="eastAsia" w:ascii="宋体" w:hAnsi="宋体"/>
          <w:b/>
          <w:sz w:val="30"/>
          <w:szCs w:val="30"/>
        </w:rPr>
        <w:t>4.3 20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5</w:t>
      </w:r>
      <w:r>
        <w:rPr>
          <w:rFonts w:hint="eastAsia" w:ascii="宋体" w:hAnsi="宋体"/>
          <w:b/>
          <w:sz w:val="30"/>
          <w:szCs w:val="30"/>
        </w:rPr>
        <w:t>月份全国原油进出口统计数据</w:t>
      </w:r>
    </w:p>
    <w:p>
      <w:pPr>
        <w:rPr>
          <w:rFonts w:hint="eastAsia"/>
          <w:bCs/>
          <w:szCs w:val="21"/>
        </w:rPr>
      </w:pPr>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p>
      <w:pPr>
        <w:rPr>
          <w:rFonts w:hint="eastAsia"/>
          <w:bCs/>
          <w:szCs w:val="21"/>
        </w:rPr>
      </w:pPr>
    </w:p>
    <w:tbl>
      <w:tblPr>
        <w:tblStyle w:val="24"/>
        <w:tblW w:w="9286" w:type="dxa"/>
        <w:tblInd w:w="0" w:type="dxa"/>
        <w:shd w:val="clear" w:color="auto" w:fill="auto"/>
        <w:tblLayout w:type="autofit"/>
        <w:tblCellMar>
          <w:top w:w="0" w:type="dxa"/>
          <w:left w:w="0" w:type="dxa"/>
          <w:bottom w:w="0" w:type="dxa"/>
          <w:right w:w="0" w:type="dxa"/>
        </w:tblCellMar>
      </w:tblPr>
      <w:tblGrid>
        <w:gridCol w:w="2070"/>
        <w:gridCol w:w="2070"/>
        <w:gridCol w:w="1942"/>
        <w:gridCol w:w="1554"/>
        <w:gridCol w:w="1650"/>
      </w:tblGrid>
      <w:tr>
        <w:tblPrEx>
          <w:shd w:val="clear" w:color="auto" w:fill="auto"/>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产销国</w:t>
            </w:r>
          </w:p>
        </w:tc>
        <w:tc>
          <w:tcPr>
            <w:tcW w:w="207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进口数量/吨</w:t>
            </w:r>
          </w:p>
        </w:tc>
        <w:tc>
          <w:tcPr>
            <w:tcW w:w="1942"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进口金额/美元</w:t>
            </w:r>
          </w:p>
        </w:tc>
        <w:tc>
          <w:tcPr>
            <w:tcW w:w="1554"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出口数量/吨</w:t>
            </w:r>
          </w:p>
        </w:tc>
        <w:tc>
          <w:tcPr>
            <w:tcW w:w="165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出口金额/美元</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阿联酋</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3249630.95</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678470714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阿曼</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3243765.35</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769446233</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阿塞拜疆</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1226616.51</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278607639</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埃及</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277238.07</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59939407</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安哥拉</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2926383.21</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614759405</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澳大利亚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278618.93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76201056</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巴布亚新几内亚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38570.99</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8287760</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巴西</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2333209.11</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512280406</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赤道几内亚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192123.04</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32096348</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俄罗斯联邦</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7707715.98</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1514823693</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厄瓜多尔</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36301.27</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7200000</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刚果(布)</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649412.49</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116163187</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哥伦比亚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904160.68</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153081889</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圭亚那</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131302.04</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34449002</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哈萨克斯坦</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292918.3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41946424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加拿大</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170344.04</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35628016</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加纳</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391588.99</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72512722</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加蓬</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756160.1</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180294417</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喀麦隆</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261321.1</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37939615</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卡塔尔</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466837.73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88939055</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科威特</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2215069.06</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387342785</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马来西亚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1006532.32</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155975331</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美国</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549839.35</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125618174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蒙古</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23635.13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2873988</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南苏丹共和国</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82100.5</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18015030</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尼日利亚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104205.53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20598904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挪威</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255928</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59738464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沙特阿拉伯</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9164983.54</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1640287729</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泰国</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38121.03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5206464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土库曼斯坦</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11495.43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4111450</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也门</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74664.43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20957585</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伊拉克</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6962503.82</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1339873340</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伊朗</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256813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42380276</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印度尼西亚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305166.26</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52258599</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英国</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957123.45</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184300309</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越南</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161027.82</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33546940</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乍得</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265695.83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62421434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合计</w:t>
            </w:r>
          </w:p>
        </w:tc>
        <w:tc>
          <w:tcPr>
            <w:tcW w:w="207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47969123.39</w:t>
            </w:r>
          </w:p>
        </w:tc>
        <w:tc>
          <w:tcPr>
            <w:tcW w:w="1942"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9468573790</w:t>
            </w:r>
          </w:p>
        </w:tc>
        <w:tc>
          <w:tcPr>
            <w:tcW w:w="1554"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0</w:t>
            </w:r>
          </w:p>
        </w:tc>
        <w:tc>
          <w:tcPr>
            <w:tcW w:w="165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0</w:t>
            </w:r>
          </w:p>
        </w:tc>
      </w:tr>
    </w:tbl>
    <w:p>
      <w:pPr>
        <w:rPr>
          <w:rFonts w:hint="eastAsia"/>
          <w:bCs/>
          <w:szCs w:val="21"/>
        </w:rPr>
      </w:pPr>
    </w:p>
    <w:p>
      <w:pPr>
        <w:pStyle w:val="3"/>
        <w:spacing w:before="120" w:after="120" w:line="240" w:lineRule="auto"/>
        <w:rPr>
          <w:rFonts w:hint="eastAsia" w:ascii="宋体" w:hAnsi="宋体"/>
          <w:b/>
          <w:sz w:val="30"/>
          <w:szCs w:val="30"/>
        </w:rPr>
      </w:pPr>
      <w:r>
        <w:rPr>
          <w:rFonts w:hint="eastAsia" w:ascii="宋体" w:hAnsi="宋体"/>
          <w:b/>
          <w:sz w:val="30"/>
          <w:szCs w:val="30"/>
        </w:rPr>
        <w:t>4.4 20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5</w:t>
      </w:r>
      <w:r>
        <w:rPr>
          <w:rFonts w:hint="eastAsia" w:ascii="宋体" w:hAnsi="宋体"/>
          <w:b/>
          <w:sz w:val="30"/>
          <w:szCs w:val="30"/>
        </w:rPr>
        <w:t>月份全国航空煤油进出口统计数据</w:t>
      </w:r>
      <w:bookmarkEnd w:id="21"/>
    </w:p>
    <w:p>
      <w:pPr>
        <w:ind w:firstLine="420" w:firstLineChars="200"/>
        <w:jc w:val="left"/>
      </w:pPr>
      <w:r>
        <w:rPr>
          <w:rFonts w:hint="eastAsia" w:ascii="宋体" w:hAnsi="宋体"/>
        </w:rPr>
        <w:t>单位：</w:t>
      </w:r>
      <w:r>
        <w:rPr>
          <w:rFonts w:hint="eastAsia" w:ascii="宋体" w:hAnsi="宋体"/>
          <w:lang w:eastAsia="zh-CN"/>
        </w:rPr>
        <w:t>吨</w:t>
      </w:r>
      <w:r>
        <w:rPr>
          <w:rFonts w:hint="eastAsia" w:ascii="宋体" w:hAnsi="宋体"/>
        </w:rPr>
        <w:t>，美元</w:t>
      </w:r>
    </w:p>
    <w:p>
      <w:pPr>
        <w:pStyle w:val="3"/>
        <w:spacing w:before="120" w:after="120" w:line="240" w:lineRule="auto"/>
        <w:rPr>
          <w:rFonts w:hint="eastAsia" w:ascii="宋体" w:hAnsi="宋体"/>
          <w:b/>
          <w:sz w:val="30"/>
          <w:szCs w:val="30"/>
        </w:rPr>
      </w:pPr>
    </w:p>
    <w:bookmarkEnd w:id="20"/>
    <w:tbl>
      <w:tblPr>
        <w:tblStyle w:val="24"/>
        <w:tblW w:w="9286" w:type="dxa"/>
        <w:tblInd w:w="0" w:type="dxa"/>
        <w:shd w:val="clear" w:color="auto" w:fill="auto"/>
        <w:tblLayout w:type="fixed"/>
        <w:tblCellMar>
          <w:top w:w="0" w:type="dxa"/>
          <w:left w:w="0" w:type="dxa"/>
          <w:bottom w:w="0" w:type="dxa"/>
          <w:right w:w="0" w:type="dxa"/>
        </w:tblCellMar>
      </w:tblPr>
      <w:tblGrid>
        <w:gridCol w:w="2291"/>
        <w:gridCol w:w="1841"/>
        <w:gridCol w:w="1813"/>
        <w:gridCol w:w="1541"/>
        <w:gridCol w:w="1800"/>
      </w:tblGrid>
      <w:tr>
        <w:tblPrEx>
          <w:shd w:val="clear" w:color="auto" w:fill="auto"/>
          <w:tblCellMar>
            <w:top w:w="0" w:type="dxa"/>
            <w:left w:w="0" w:type="dxa"/>
            <w:bottom w:w="0" w:type="dxa"/>
            <w:right w:w="0" w:type="dxa"/>
          </w:tblCellMar>
        </w:tblPrEx>
        <w:trPr>
          <w:trHeight w:val="525" w:hRule="atLeast"/>
        </w:trPr>
        <w:tc>
          <w:tcPr>
            <w:tcW w:w="2291"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国家</w:t>
            </w:r>
          </w:p>
        </w:tc>
        <w:tc>
          <w:tcPr>
            <w:tcW w:w="1841"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进口数量/吨</w:t>
            </w:r>
          </w:p>
        </w:tc>
        <w:tc>
          <w:tcPr>
            <w:tcW w:w="1813"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进口金额/美元</w:t>
            </w:r>
          </w:p>
        </w:tc>
        <w:tc>
          <w:tcPr>
            <w:tcW w:w="1541"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出口数量/吨</w:t>
            </w:r>
          </w:p>
        </w:tc>
        <w:tc>
          <w:tcPr>
            <w:tcW w:w="180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出口金额/美元</w:t>
            </w:r>
          </w:p>
        </w:tc>
      </w:tr>
      <w:tr>
        <w:tblPrEx>
          <w:tblCellMar>
            <w:top w:w="0" w:type="dxa"/>
            <w:left w:w="0" w:type="dxa"/>
            <w:bottom w:w="0" w:type="dxa"/>
            <w:right w:w="0" w:type="dxa"/>
          </w:tblCellMar>
        </w:tblPrEx>
        <w:trPr>
          <w:trHeight w:val="30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阿联酋</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10093.668</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4263199</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阿曼</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41.448</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22437</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阿塞拜疆</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4027.561</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1732613</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埃塞俄比亚</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5391.337</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2303094</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爱沙尼亚</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44.986</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20108</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奥地利</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1551.085</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644600</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澳大利亚</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40833.494</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7308756</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巴基斯坦</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432.398</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210892</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比利时</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2298.7</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999842</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波兰</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381.453</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164011</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丹麦</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37.809</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16221</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德国</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6458.091</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2715649</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俄罗斯联邦</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15473.362</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6912782</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法国</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1818.21</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772575</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菲律宾</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151.374</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64600</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芬兰</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968.198</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412154</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格鲁吉亚</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92.225</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49923</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哈萨克斯坦</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1241.057</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587494</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韩国</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320636.947</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59545598</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130403.986</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43172923</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荷兰</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37218.881</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10958642</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吉尔吉斯斯坦</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33.008</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17868</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加拿大</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41.736</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17599</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柬埔寨</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2390.014</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1136768</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卡塔尔</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7139.974</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3047447</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拉脱维亚</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44.372</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19967</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卢森堡</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19833.558</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8955213</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罗马尼亚</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294.9</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131974</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马来西亚</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23706.314</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4522536</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美国</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25732.596</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11674190</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蒙古</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99.295</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41990</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孟加拉国</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36197.775</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10644475</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葡萄牙</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96.952</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42659</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日本</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39637.264</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9719670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38793.301</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14964957</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瑞典</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57.115</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24370</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瑞士</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4006.452</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1663892</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塞尔维亚</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112.544</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55861</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斯里兰卡</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589.033</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248501</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斯洛伐克</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58.654</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26237</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斯洛文尼亚</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93.545</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41361</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泰国</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15035.504</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3352917</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4139.168</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2128612</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土耳其</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1751.845</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783174</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乌克兰</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50.985</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22943</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乌兹别克斯坦</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1064.833</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460923</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西班牙</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2675.58</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1236077</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新加坡</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39044.288</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6569595</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7502.257</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4268571</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新西兰</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2990.34</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1272031</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伊朗</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9728.449</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5008382</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以色列</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2614.988</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1115770</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意大利</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921.67</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479243</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印度</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1229.356</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518641</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印度尼西亚</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193.317</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82609</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英国</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22715.068</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8669823</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约旦</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18.03</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9760</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越南</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25471.473</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4559349</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中国</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36494.499</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6629226</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中国澳门</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5.587</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3028</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12.354</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5224</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中国台湾</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628.298</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280565</w:t>
            </w:r>
          </w:p>
        </w:tc>
      </w:tr>
      <w:tr>
        <w:tblPrEx>
          <w:tblCellMar>
            <w:top w:w="0" w:type="dxa"/>
            <w:left w:w="0" w:type="dxa"/>
            <w:bottom w:w="0" w:type="dxa"/>
            <w:right w:w="0" w:type="dxa"/>
          </w:tblCellMar>
        </w:tblPrEx>
        <w:trPr>
          <w:trHeight w:val="270" w:hRule="atLeast"/>
        </w:trPr>
        <w:tc>
          <w:tcPr>
            <w:tcW w:w="229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中国香港</w:t>
            </w:r>
          </w:p>
        </w:tc>
        <w:tc>
          <w:tcPr>
            <w:tcW w:w="18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13"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541"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61309.847</w:t>
            </w:r>
          </w:p>
        </w:tc>
        <w:tc>
          <w:tcPr>
            <w:tcW w:w="180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28493975</w:t>
            </w:r>
          </w:p>
        </w:tc>
      </w:tr>
      <w:tr>
        <w:tblPrEx>
          <w:tblCellMar>
            <w:top w:w="0" w:type="dxa"/>
            <w:left w:w="0" w:type="dxa"/>
            <w:bottom w:w="0" w:type="dxa"/>
            <w:right w:w="0" w:type="dxa"/>
          </w:tblCellMar>
        </w:tblPrEx>
        <w:trPr>
          <w:trHeight w:val="300" w:hRule="atLeast"/>
        </w:trPr>
        <w:tc>
          <w:tcPr>
            <w:tcW w:w="2291" w:type="dxa"/>
            <w:tcBorders>
              <w:top w:val="single" w:color="333333" w:sz="8" w:space="0"/>
              <w:left w:val="single" w:color="333333" w:sz="8" w:space="0"/>
              <w:bottom w:val="single" w:color="333333" w:sz="8" w:space="0"/>
              <w:right w:val="single" w:color="333333" w:sz="8" w:space="0"/>
            </w:tcBorders>
            <w:shd w:val="clear" w:color="auto" w:fill="00CCFF"/>
            <w:tcMar>
              <w:top w:w="15" w:type="dxa"/>
              <w:left w:w="15" w:type="dxa"/>
              <w:right w:w="15" w:type="dxa"/>
            </w:tcMar>
            <w:vAlign w:val="center"/>
          </w:tcPr>
          <w:p>
            <w:pPr>
              <w:rPr>
                <w:rFonts w:hint="eastAsia" w:ascii="宋体" w:hAnsi="宋体" w:eastAsia="宋体" w:cs="宋体"/>
                <w:b/>
                <w:i w:val="0"/>
                <w:color w:val="191919"/>
                <w:sz w:val="21"/>
                <w:szCs w:val="21"/>
                <w:u w:val="none"/>
              </w:rPr>
            </w:pPr>
          </w:p>
        </w:tc>
        <w:tc>
          <w:tcPr>
            <w:tcW w:w="1841"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450854.089</w:t>
            </w:r>
          </w:p>
        </w:tc>
        <w:tc>
          <w:tcPr>
            <w:tcW w:w="1813"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85820034</w:t>
            </w:r>
          </w:p>
        </w:tc>
        <w:tc>
          <w:tcPr>
            <w:tcW w:w="1541"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563298.319</w:t>
            </w:r>
          </w:p>
        </w:tc>
        <w:tc>
          <w:tcPr>
            <w:tcW w:w="180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200006052</w:t>
            </w:r>
          </w:p>
        </w:tc>
      </w:tr>
    </w:tbl>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DD852283"/>
    <w:multiLevelType w:val="singleLevel"/>
    <w:tmpl w:val="DD852283"/>
    <w:lvl w:ilvl="0" w:tentative="0">
      <w:start w:val="2"/>
      <w:numFmt w:val="chineseCounting"/>
      <w:suff w:val="nothing"/>
      <w:lvlText w:val="%1、"/>
      <w:lvlJc w:val="left"/>
      <w:rPr>
        <w:rFonts w:hint="eastAsia"/>
      </w:rPr>
    </w:lvl>
  </w:abstractNum>
  <w:abstractNum w:abstractNumId="2">
    <w:nsid w:val="1566DFC1"/>
    <w:multiLevelType w:val="singleLevel"/>
    <w:tmpl w:val="1566DFC1"/>
    <w:lvl w:ilvl="0" w:tentative="0">
      <w:start w:val="1"/>
      <w:numFmt w:val="decimal"/>
      <w:lvlText w:val="%1."/>
      <w:lvlJc w:val="left"/>
      <w:pPr>
        <w:tabs>
          <w:tab w:val="left" w:pos="312"/>
        </w:tabs>
      </w:pPr>
    </w:lvl>
  </w:abstractNum>
  <w:abstractNum w:abstractNumId="3">
    <w:nsid w:val="2263F9C1"/>
    <w:multiLevelType w:val="singleLevel"/>
    <w:tmpl w:val="2263F9C1"/>
    <w:lvl w:ilvl="0" w:tentative="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74199B"/>
    <w:rsid w:val="018C042F"/>
    <w:rsid w:val="019139BB"/>
    <w:rsid w:val="01A95B6A"/>
    <w:rsid w:val="01BD1D63"/>
    <w:rsid w:val="01FE2CFE"/>
    <w:rsid w:val="02526173"/>
    <w:rsid w:val="029A6633"/>
    <w:rsid w:val="029F2908"/>
    <w:rsid w:val="02AC60AA"/>
    <w:rsid w:val="02D71373"/>
    <w:rsid w:val="02D85611"/>
    <w:rsid w:val="02FE589D"/>
    <w:rsid w:val="031B1C80"/>
    <w:rsid w:val="03211A1D"/>
    <w:rsid w:val="0324523D"/>
    <w:rsid w:val="03331E75"/>
    <w:rsid w:val="034407FB"/>
    <w:rsid w:val="034F6246"/>
    <w:rsid w:val="03562125"/>
    <w:rsid w:val="035F2635"/>
    <w:rsid w:val="036D5E24"/>
    <w:rsid w:val="037413B6"/>
    <w:rsid w:val="03A57F11"/>
    <w:rsid w:val="042972F1"/>
    <w:rsid w:val="044E5434"/>
    <w:rsid w:val="04684ED7"/>
    <w:rsid w:val="048101D3"/>
    <w:rsid w:val="048C7CAA"/>
    <w:rsid w:val="04987F00"/>
    <w:rsid w:val="04A45D71"/>
    <w:rsid w:val="04BF7371"/>
    <w:rsid w:val="04F36106"/>
    <w:rsid w:val="05292B71"/>
    <w:rsid w:val="05314FD7"/>
    <w:rsid w:val="053B1A3D"/>
    <w:rsid w:val="05C01E8E"/>
    <w:rsid w:val="05D708A6"/>
    <w:rsid w:val="06002DF6"/>
    <w:rsid w:val="06153E6E"/>
    <w:rsid w:val="06300679"/>
    <w:rsid w:val="067746D4"/>
    <w:rsid w:val="069C6A8D"/>
    <w:rsid w:val="06B9287B"/>
    <w:rsid w:val="06DA3028"/>
    <w:rsid w:val="06F31CB3"/>
    <w:rsid w:val="06F93008"/>
    <w:rsid w:val="0718687A"/>
    <w:rsid w:val="07252677"/>
    <w:rsid w:val="076C6634"/>
    <w:rsid w:val="07820AB4"/>
    <w:rsid w:val="079B346A"/>
    <w:rsid w:val="07D15C8A"/>
    <w:rsid w:val="07E76A1F"/>
    <w:rsid w:val="0809715C"/>
    <w:rsid w:val="080A4814"/>
    <w:rsid w:val="0820276D"/>
    <w:rsid w:val="082F1BCD"/>
    <w:rsid w:val="08573B5A"/>
    <w:rsid w:val="086F6B65"/>
    <w:rsid w:val="08A4401C"/>
    <w:rsid w:val="08A55AD2"/>
    <w:rsid w:val="08CD17C0"/>
    <w:rsid w:val="09223CDC"/>
    <w:rsid w:val="09371EEF"/>
    <w:rsid w:val="093F6B95"/>
    <w:rsid w:val="09524755"/>
    <w:rsid w:val="095B63CA"/>
    <w:rsid w:val="09717916"/>
    <w:rsid w:val="098251C0"/>
    <w:rsid w:val="0984738F"/>
    <w:rsid w:val="098C4592"/>
    <w:rsid w:val="09915D75"/>
    <w:rsid w:val="0996332C"/>
    <w:rsid w:val="09F11ACB"/>
    <w:rsid w:val="09FB6243"/>
    <w:rsid w:val="0A29795D"/>
    <w:rsid w:val="0A2D68BE"/>
    <w:rsid w:val="0A3C22BA"/>
    <w:rsid w:val="0A557C07"/>
    <w:rsid w:val="0A5B4AF5"/>
    <w:rsid w:val="0A796F7C"/>
    <w:rsid w:val="0A7B7455"/>
    <w:rsid w:val="0AA33DAF"/>
    <w:rsid w:val="0AC60296"/>
    <w:rsid w:val="0AD32487"/>
    <w:rsid w:val="0B017D09"/>
    <w:rsid w:val="0B0715B1"/>
    <w:rsid w:val="0B0F0B26"/>
    <w:rsid w:val="0B400CB2"/>
    <w:rsid w:val="0B421176"/>
    <w:rsid w:val="0B721C38"/>
    <w:rsid w:val="0B860805"/>
    <w:rsid w:val="0BB16187"/>
    <w:rsid w:val="0BCE6861"/>
    <w:rsid w:val="0BDC4FBC"/>
    <w:rsid w:val="0BDF0A5F"/>
    <w:rsid w:val="0C08318F"/>
    <w:rsid w:val="0C1E7ABD"/>
    <w:rsid w:val="0C586B50"/>
    <w:rsid w:val="0C586E44"/>
    <w:rsid w:val="0C7F402D"/>
    <w:rsid w:val="0C930A24"/>
    <w:rsid w:val="0CB81916"/>
    <w:rsid w:val="0CE32FB8"/>
    <w:rsid w:val="0CE44838"/>
    <w:rsid w:val="0D731CA1"/>
    <w:rsid w:val="0DA370DA"/>
    <w:rsid w:val="0DA7099A"/>
    <w:rsid w:val="0DB01CE1"/>
    <w:rsid w:val="0DC46B30"/>
    <w:rsid w:val="0DC9706D"/>
    <w:rsid w:val="0DD115AA"/>
    <w:rsid w:val="0DEA06F6"/>
    <w:rsid w:val="0E01030B"/>
    <w:rsid w:val="0E04318C"/>
    <w:rsid w:val="0E274301"/>
    <w:rsid w:val="0E31785B"/>
    <w:rsid w:val="0E730195"/>
    <w:rsid w:val="0E8B35C9"/>
    <w:rsid w:val="0EAF107B"/>
    <w:rsid w:val="0EB4347F"/>
    <w:rsid w:val="0EC1627E"/>
    <w:rsid w:val="0ED36950"/>
    <w:rsid w:val="0EED0FC5"/>
    <w:rsid w:val="0EF248CA"/>
    <w:rsid w:val="0F034AA6"/>
    <w:rsid w:val="0F08360E"/>
    <w:rsid w:val="0F125E7D"/>
    <w:rsid w:val="0F26373F"/>
    <w:rsid w:val="0F446A41"/>
    <w:rsid w:val="0F5808CC"/>
    <w:rsid w:val="0F666559"/>
    <w:rsid w:val="0F7D42FE"/>
    <w:rsid w:val="0F820E85"/>
    <w:rsid w:val="0FC910AB"/>
    <w:rsid w:val="0FD23F99"/>
    <w:rsid w:val="0FEF79AA"/>
    <w:rsid w:val="101C7D06"/>
    <w:rsid w:val="1024515A"/>
    <w:rsid w:val="1046198D"/>
    <w:rsid w:val="10CE39DE"/>
    <w:rsid w:val="10FA6B68"/>
    <w:rsid w:val="11422692"/>
    <w:rsid w:val="11590029"/>
    <w:rsid w:val="117F7F48"/>
    <w:rsid w:val="1265739D"/>
    <w:rsid w:val="12662947"/>
    <w:rsid w:val="12BE2ADE"/>
    <w:rsid w:val="13267B35"/>
    <w:rsid w:val="134A6D86"/>
    <w:rsid w:val="13594CF7"/>
    <w:rsid w:val="135A728A"/>
    <w:rsid w:val="13772D89"/>
    <w:rsid w:val="138744BB"/>
    <w:rsid w:val="13B45FC3"/>
    <w:rsid w:val="13E7373B"/>
    <w:rsid w:val="13FE142E"/>
    <w:rsid w:val="144B6D3F"/>
    <w:rsid w:val="14546EAA"/>
    <w:rsid w:val="147759A4"/>
    <w:rsid w:val="147A75E5"/>
    <w:rsid w:val="14BC21CE"/>
    <w:rsid w:val="14BE2339"/>
    <w:rsid w:val="14D56BF6"/>
    <w:rsid w:val="14F32D76"/>
    <w:rsid w:val="14F5216B"/>
    <w:rsid w:val="151B73F8"/>
    <w:rsid w:val="15211EFF"/>
    <w:rsid w:val="15353F74"/>
    <w:rsid w:val="154F205D"/>
    <w:rsid w:val="15615E0F"/>
    <w:rsid w:val="156D2843"/>
    <w:rsid w:val="15701AB8"/>
    <w:rsid w:val="159001BC"/>
    <w:rsid w:val="15B939D5"/>
    <w:rsid w:val="15D83B2E"/>
    <w:rsid w:val="15DD70EA"/>
    <w:rsid w:val="15E11AB3"/>
    <w:rsid w:val="15E25134"/>
    <w:rsid w:val="15E8785D"/>
    <w:rsid w:val="16116F4B"/>
    <w:rsid w:val="16600954"/>
    <w:rsid w:val="16734EEE"/>
    <w:rsid w:val="16E22B33"/>
    <w:rsid w:val="17116BE2"/>
    <w:rsid w:val="17194D7A"/>
    <w:rsid w:val="172078E9"/>
    <w:rsid w:val="172D12A6"/>
    <w:rsid w:val="173C1948"/>
    <w:rsid w:val="17464B66"/>
    <w:rsid w:val="175B5D81"/>
    <w:rsid w:val="17652D76"/>
    <w:rsid w:val="177778D5"/>
    <w:rsid w:val="177C4324"/>
    <w:rsid w:val="18704C74"/>
    <w:rsid w:val="18CA4E8D"/>
    <w:rsid w:val="191B1724"/>
    <w:rsid w:val="194573ED"/>
    <w:rsid w:val="195D29F2"/>
    <w:rsid w:val="196465FF"/>
    <w:rsid w:val="196B6E10"/>
    <w:rsid w:val="198154A5"/>
    <w:rsid w:val="19850C75"/>
    <w:rsid w:val="198A3D94"/>
    <w:rsid w:val="198F27F8"/>
    <w:rsid w:val="199C5ECD"/>
    <w:rsid w:val="19B1121F"/>
    <w:rsid w:val="19E14ABD"/>
    <w:rsid w:val="1A051BC1"/>
    <w:rsid w:val="1A110D84"/>
    <w:rsid w:val="1A555BDB"/>
    <w:rsid w:val="1A660755"/>
    <w:rsid w:val="1A703BC4"/>
    <w:rsid w:val="1A7262E8"/>
    <w:rsid w:val="1ABE2D20"/>
    <w:rsid w:val="1ACC4B7F"/>
    <w:rsid w:val="1AD417D6"/>
    <w:rsid w:val="1AE7665A"/>
    <w:rsid w:val="1B816F9A"/>
    <w:rsid w:val="1B8175D6"/>
    <w:rsid w:val="1B9C1B61"/>
    <w:rsid w:val="1BBD6973"/>
    <w:rsid w:val="1BE81B85"/>
    <w:rsid w:val="1BFE2971"/>
    <w:rsid w:val="1C01336C"/>
    <w:rsid w:val="1C021382"/>
    <w:rsid w:val="1C1669BA"/>
    <w:rsid w:val="1C1C3102"/>
    <w:rsid w:val="1C2230E8"/>
    <w:rsid w:val="1C2E2C8D"/>
    <w:rsid w:val="1C6C7614"/>
    <w:rsid w:val="1CB31F52"/>
    <w:rsid w:val="1CDC7753"/>
    <w:rsid w:val="1CEC4A0D"/>
    <w:rsid w:val="1D1712A0"/>
    <w:rsid w:val="1D2B7B9F"/>
    <w:rsid w:val="1D305274"/>
    <w:rsid w:val="1D3F5714"/>
    <w:rsid w:val="1D466011"/>
    <w:rsid w:val="1D547E28"/>
    <w:rsid w:val="1D655DB6"/>
    <w:rsid w:val="1D980258"/>
    <w:rsid w:val="1D9C1F14"/>
    <w:rsid w:val="1DB113DA"/>
    <w:rsid w:val="1DFB4E0B"/>
    <w:rsid w:val="1E2278F4"/>
    <w:rsid w:val="1E5542CC"/>
    <w:rsid w:val="1E6D6ABE"/>
    <w:rsid w:val="1E755624"/>
    <w:rsid w:val="1EB15364"/>
    <w:rsid w:val="1EBE2AB5"/>
    <w:rsid w:val="1F092A2D"/>
    <w:rsid w:val="1F1C0B32"/>
    <w:rsid w:val="1F352B32"/>
    <w:rsid w:val="1F6B3A34"/>
    <w:rsid w:val="1F751CBE"/>
    <w:rsid w:val="1F963D6D"/>
    <w:rsid w:val="1F98363F"/>
    <w:rsid w:val="1FCD7675"/>
    <w:rsid w:val="1FEF77E1"/>
    <w:rsid w:val="1FFC155B"/>
    <w:rsid w:val="20010BD0"/>
    <w:rsid w:val="20137C9A"/>
    <w:rsid w:val="20261774"/>
    <w:rsid w:val="203A4D2E"/>
    <w:rsid w:val="204030A0"/>
    <w:rsid w:val="205B78B2"/>
    <w:rsid w:val="205C4184"/>
    <w:rsid w:val="206558CE"/>
    <w:rsid w:val="206901B1"/>
    <w:rsid w:val="2078018B"/>
    <w:rsid w:val="209323D8"/>
    <w:rsid w:val="20AD55FF"/>
    <w:rsid w:val="20C12FDC"/>
    <w:rsid w:val="211001E9"/>
    <w:rsid w:val="21147D43"/>
    <w:rsid w:val="2119067D"/>
    <w:rsid w:val="21216F1B"/>
    <w:rsid w:val="215A4604"/>
    <w:rsid w:val="217C7ED4"/>
    <w:rsid w:val="21862B07"/>
    <w:rsid w:val="219A3406"/>
    <w:rsid w:val="21A70D61"/>
    <w:rsid w:val="21B2244C"/>
    <w:rsid w:val="224E7428"/>
    <w:rsid w:val="2261560B"/>
    <w:rsid w:val="22944164"/>
    <w:rsid w:val="229674ED"/>
    <w:rsid w:val="22AC485D"/>
    <w:rsid w:val="22D174A6"/>
    <w:rsid w:val="22E67532"/>
    <w:rsid w:val="230F16FC"/>
    <w:rsid w:val="231C2E7E"/>
    <w:rsid w:val="232A4048"/>
    <w:rsid w:val="233344E4"/>
    <w:rsid w:val="238E2690"/>
    <w:rsid w:val="239015CD"/>
    <w:rsid w:val="23B946BE"/>
    <w:rsid w:val="23C01773"/>
    <w:rsid w:val="23EF13A7"/>
    <w:rsid w:val="24086432"/>
    <w:rsid w:val="240F1052"/>
    <w:rsid w:val="24322A62"/>
    <w:rsid w:val="24554136"/>
    <w:rsid w:val="245C2B3F"/>
    <w:rsid w:val="24836E94"/>
    <w:rsid w:val="24974A9D"/>
    <w:rsid w:val="24A21A55"/>
    <w:rsid w:val="24BC74B9"/>
    <w:rsid w:val="250D3E66"/>
    <w:rsid w:val="252754C5"/>
    <w:rsid w:val="252D3F69"/>
    <w:rsid w:val="25740BBD"/>
    <w:rsid w:val="25955E96"/>
    <w:rsid w:val="259B6E31"/>
    <w:rsid w:val="25B677AD"/>
    <w:rsid w:val="25B904A8"/>
    <w:rsid w:val="261447E7"/>
    <w:rsid w:val="26417898"/>
    <w:rsid w:val="26442276"/>
    <w:rsid w:val="26AD0D8B"/>
    <w:rsid w:val="26C17431"/>
    <w:rsid w:val="26C545A4"/>
    <w:rsid w:val="26C94300"/>
    <w:rsid w:val="26DF7D7C"/>
    <w:rsid w:val="26EE1723"/>
    <w:rsid w:val="26F154C7"/>
    <w:rsid w:val="27080E2E"/>
    <w:rsid w:val="270D21C6"/>
    <w:rsid w:val="27A7464B"/>
    <w:rsid w:val="28092464"/>
    <w:rsid w:val="282C5A3A"/>
    <w:rsid w:val="283F32F7"/>
    <w:rsid w:val="285E5BE3"/>
    <w:rsid w:val="28611CC2"/>
    <w:rsid w:val="286D2B55"/>
    <w:rsid w:val="28721E59"/>
    <w:rsid w:val="28892109"/>
    <w:rsid w:val="28A325B7"/>
    <w:rsid w:val="28B71571"/>
    <w:rsid w:val="28BA104F"/>
    <w:rsid w:val="28EF11D1"/>
    <w:rsid w:val="295C2D51"/>
    <w:rsid w:val="29A81CD2"/>
    <w:rsid w:val="29A90232"/>
    <w:rsid w:val="29C804D1"/>
    <w:rsid w:val="29CB1410"/>
    <w:rsid w:val="29D84ABC"/>
    <w:rsid w:val="2A1503FE"/>
    <w:rsid w:val="2A215E5E"/>
    <w:rsid w:val="2A252C4C"/>
    <w:rsid w:val="2A6B55C6"/>
    <w:rsid w:val="2A8475EE"/>
    <w:rsid w:val="2A951C8C"/>
    <w:rsid w:val="2A9B26F1"/>
    <w:rsid w:val="2AB25451"/>
    <w:rsid w:val="2AC063B7"/>
    <w:rsid w:val="2ACD0874"/>
    <w:rsid w:val="2AD267B8"/>
    <w:rsid w:val="2AD8059C"/>
    <w:rsid w:val="2B0D737C"/>
    <w:rsid w:val="2B0F004D"/>
    <w:rsid w:val="2B154A20"/>
    <w:rsid w:val="2B6638DE"/>
    <w:rsid w:val="2B84406F"/>
    <w:rsid w:val="2B8F58E2"/>
    <w:rsid w:val="2BA07FAD"/>
    <w:rsid w:val="2BE5055C"/>
    <w:rsid w:val="2BED5A7C"/>
    <w:rsid w:val="2BF858F4"/>
    <w:rsid w:val="2BFC6315"/>
    <w:rsid w:val="2BFD5564"/>
    <w:rsid w:val="2C823F4E"/>
    <w:rsid w:val="2CAD067B"/>
    <w:rsid w:val="2CFD0FC0"/>
    <w:rsid w:val="2D050EBF"/>
    <w:rsid w:val="2D4D17E5"/>
    <w:rsid w:val="2D6F58D8"/>
    <w:rsid w:val="2D892B5C"/>
    <w:rsid w:val="2DB328B9"/>
    <w:rsid w:val="2DC6450C"/>
    <w:rsid w:val="2DE11692"/>
    <w:rsid w:val="2DF5641D"/>
    <w:rsid w:val="2DF644E3"/>
    <w:rsid w:val="2E0D40F5"/>
    <w:rsid w:val="2E2F56E6"/>
    <w:rsid w:val="2E4A7323"/>
    <w:rsid w:val="2E98229F"/>
    <w:rsid w:val="2EA56E95"/>
    <w:rsid w:val="2EA673C9"/>
    <w:rsid w:val="2ECA710C"/>
    <w:rsid w:val="2ED4404D"/>
    <w:rsid w:val="2ED50475"/>
    <w:rsid w:val="2EE365C8"/>
    <w:rsid w:val="2F090AB4"/>
    <w:rsid w:val="2F13732E"/>
    <w:rsid w:val="2FA5716E"/>
    <w:rsid w:val="2FBE7D06"/>
    <w:rsid w:val="2FD85581"/>
    <w:rsid w:val="2FE513F6"/>
    <w:rsid w:val="2FE91ED2"/>
    <w:rsid w:val="2FF22D62"/>
    <w:rsid w:val="30037E76"/>
    <w:rsid w:val="302909D7"/>
    <w:rsid w:val="30320AA9"/>
    <w:rsid w:val="30A00CB5"/>
    <w:rsid w:val="30AF5F22"/>
    <w:rsid w:val="30C14186"/>
    <w:rsid w:val="30E73B0D"/>
    <w:rsid w:val="30FC61C2"/>
    <w:rsid w:val="31363ABC"/>
    <w:rsid w:val="314614BA"/>
    <w:rsid w:val="31490B7D"/>
    <w:rsid w:val="3153679E"/>
    <w:rsid w:val="315F2471"/>
    <w:rsid w:val="3189708E"/>
    <w:rsid w:val="318B1F3D"/>
    <w:rsid w:val="319434F7"/>
    <w:rsid w:val="31994D00"/>
    <w:rsid w:val="31A65E57"/>
    <w:rsid w:val="31AE660C"/>
    <w:rsid w:val="31B05A1F"/>
    <w:rsid w:val="31FC35FB"/>
    <w:rsid w:val="32010D04"/>
    <w:rsid w:val="320A7836"/>
    <w:rsid w:val="324163CA"/>
    <w:rsid w:val="32574FD8"/>
    <w:rsid w:val="325C547C"/>
    <w:rsid w:val="326C29F6"/>
    <w:rsid w:val="327C3888"/>
    <w:rsid w:val="32945DAC"/>
    <w:rsid w:val="32CE45BC"/>
    <w:rsid w:val="32D9201A"/>
    <w:rsid w:val="32E42D0F"/>
    <w:rsid w:val="32E779A4"/>
    <w:rsid w:val="330D4D94"/>
    <w:rsid w:val="33435E16"/>
    <w:rsid w:val="339C5454"/>
    <w:rsid w:val="33DD1D83"/>
    <w:rsid w:val="33FC5F9C"/>
    <w:rsid w:val="34005D95"/>
    <w:rsid w:val="34173060"/>
    <w:rsid w:val="3425323C"/>
    <w:rsid w:val="342E5EA7"/>
    <w:rsid w:val="34474FF1"/>
    <w:rsid w:val="344B3651"/>
    <w:rsid w:val="34B63281"/>
    <w:rsid w:val="34C105B0"/>
    <w:rsid w:val="34CA39B2"/>
    <w:rsid w:val="34D564C3"/>
    <w:rsid w:val="34DC79C0"/>
    <w:rsid w:val="34EC4B86"/>
    <w:rsid w:val="3572663B"/>
    <w:rsid w:val="357D4C50"/>
    <w:rsid w:val="35925B04"/>
    <w:rsid w:val="35963717"/>
    <w:rsid w:val="35AF3549"/>
    <w:rsid w:val="35DA5213"/>
    <w:rsid w:val="35EE7B1B"/>
    <w:rsid w:val="35F65FAD"/>
    <w:rsid w:val="364A7C84"/>
    <w:rsid w:val="36605016"/>
    <w:rsid w:val="366B7A53"/>
    <w:rsid w:val="368259EE"/>
    <w:rsid w:val="36C76D40"/>
    <w:rsid w:val="36F44E23"/>
    <w:rsid w:val="371D2966"/>
    <w:rsid w:val="373062E8"/>
    <w:rsid w:val="37785098"/>
    <w:rsid w:val="37A6234C"/>
    <w:rsid w:val="37AF1535"/>
    <w:rsid w:val="37CB57CA"/>
    <w:rsid w:val="37D337D1"/>
    <w:rsid w:val="37F16302"/>
    <w:rsid w:val="38781C56"/>
    <w:rsid w:val="38C30240"/>
    <w:rsid w:val="38D30895"/>
    <w:rsid w:val="38E95212"/>
    <w:rsid w:val="391C1C7A"/>
    <w:rsid w:val="39465968"/>
    <w:rsid w:val="39600E80"/>
    <w:rsid w:val="399B72BC"/>
    <w:rsid w:val="3A01261A"/>
    <w:rsid w:val="3A1A4CEB"/>
    <w:rsid w:val="3A247020"/>
    <w:rsid w:val="3A41027E"/>
    <w:rsid w:val="3A446ABC"/>
    <w:rsid w:val="3A481E25"/>
    <w:rsid w:val="3A562007"/>
    <w:rsid w:val="3A632ED3"/>
    <w:rsid w:val="3A6F255F"/>
    <w:rsid w:val="3A90237F"/>
    <w:rsid w:val="3B0A7991"/>
    <w:rsid w:val="3B100A85"/>
    <w:rsid w:val="3B18283A"/>
    <w:rsid w:val="3B336F2F"/>
    <w:rsid w:val="3B691338"/>
    <w:rsid w:val="3BB46CD1"/>
    <w:rsid w:val="3BB6128D"/>
    <w:rsid w:val="3BD11411"/>
    <w:rsid w:val="3BD837A5"/>
    <w:rsid w:val="3BED4242"/>
    <w:rsid w:val="3C317DDD"/>
    <w:rsid w:val="3C457CDF"/>
    <w:rsid w:val="3C742BEB"/>
    <w:rsid w:val="3C8E02B7"/>
    <w:rsid w:val="3CB004C5"/>
    <w:rsid w:val="3CB35047"/>
    <w:rsid w:val="3CB47F7E"/>
    <w:rsid w:val="3CB603EF"/>
    <w:rsid w:val="3CD82621"/>
    <w:rsid w:val="3CEA693F"/>
    <w:rsid w:val="3D475AFB"/>
    <w:rsid w:val="3D502422"/>
    <w:rsid w:val="3D5404DD"/>
    <w:rsid w:val="3D6A48AA"/>
    <w:rsid w:val="3D7C1281"/>
    <w:rsid w:val="3D8D1DDC"/>
    <w:rsid w:val="3DD2333F"/>
    <w:rsid w:val="3E037731"/>
    <w:rsid w:val="3E0F09D9"/>
    <w:rsid w:val="3E1646C1"/>
    <w:rsid w:val="3E247488"/>
    <w:rsid w:val="3E305EE4"/>
    <w:rsid w:val="3E3D25F5"/>
    <w:rsid w:val="3E4E6762"/>
    <w:rsid w:val="3E752011"/>
    <w:rsid w:val="3E8270FA"/>
    <w:rsid w:val="3E8E2505"/>
    <w:rsid w:val="3E9953AC"/>
    <w:rsid w:val="3F310E2B"/>
    <w:rsid w:val="3F3E5B85"/>
    <w:rsid w:val="3F4D19AF"/>
    <w:rsid w:val="3F837DDF"/>
    <w:rsid w:val="3FA21405"/>
    <w:rsid w:val="3FC04528"/>
    <w:rsid w:val="3FCB012B"/>
    <w:rsid w:val="3FEE1DE8"/>
    <w:rsid w:val="3FFE5EFF"/>
    <w:rsid w:val="40171145"/>
    <w:rsid w:val="402104DC"/>
    <w:rsid w:val="40742438"/>
    <w:rsid w:val="40791098"/>
    <w:rsid w:val="40932E75"/>
    <w:rsid w:val="40BC5D67"/>
    <w:rsid w:val="40F61783"/>
    <w:rsid w:val="410D75D5"/>
    <w:rsid w:val="411E3000"/>
    <w:rsid w:val="41402C24"/>
    <w:rsid w:val="414E7345"/>
    <w:rsid w:val="41696F7F"/>
    <w:rsid w:val="417C0D06"/>
    <w:rsid w:val="418B25AA"/>
    <w:rsid w:val="418E56CE"/>
    <w:rsid w:val="41925E9B"/>
    <w:rsid w:val="419B1BC4"/>
    <w:rsid w:val="419D7C05"/>
    <w:rsid w:val="41B3371C"/>
    <w:rsid w:val="41E3266D"/>
    <w:rsid w:val="41F604FA"/>
    <w:rsid w:val="420F24CA"/>
    <w:rsid w:val="421C0994"/>
    <w:rsid w:val="424F02B6"/>
    <w:rsid w:val="42683145"/>
    <w:rsid w:val="427133C0"/>
    <w:rsid w:val="42715180"/>
    <w:rsid w:val="42B45768"/>
    <w:rsid w:val="42FD1410"/>
    <w:rsid w:val="43184FA0"/>
    <w:rsid w:val="431F563A"/>
    <w:rsid w:val="432D0CD2"/>
    <w:rsid w:val="4348259E"/>
    <w:rsid w:val="434C0977"/>
    <w:rsid w:val="43705840"/>
    <w:rsid w:val="43AF6845"/>
    <w:rsid w:val="43D44FF8"/>
    <w:rsid w:val="444C54FC"/>
    <w:rsid w:val="44615639"/>
    <w:rsid w:val="44762FC6"/>
    <w:rsid w:val="4488431A"/>
    <w:rsid w:val="448F5706"/>
    <w:rsid w:val="44944331"/>
    <w:rsid w:val="449A539D"/>
    <w:rsid w:val="44A538D4"/>
    <w:rsid w:val="44B05905"/>
    <w:rsid w:val="44B67F0B"/>
    <w:rsid w:val="451317C4"/>
    <w:rsid w:val="45575AD5"/>
    <w:rsid w:val="459B774E"/>
    <w:rsid w:val="45B72AB1"/>
    <w:rsid w:val="45CF5AD4"/>
    <w:rsid w:val="45DD06D9"/>
    <w:rsid w:val="460D21F2"/>
    <w:rsid w:val="460E0469"/>
    <w:rsid w:val="464050BB"/>
    <w:rsid w:val="466B6702"/>
    <w:rsid w:val="466F037A"/>
    <w:rsid w:val="46A075FA"/>
    <w:rsid w:val="46D7121E"/>
    <w:rsid w:val="46FF57CE"/>
    <w:rsid w:val="47700BCB"/>
    <w:rsid w:val="47C254B8"/>
    <w:rsid w:val="47DF082A"/>
    <w:rsid w:val="47EB5003"/>
    <w:rsid w:val="48081128"/>
    <w:rsid w:val="483A31DC"/>
    <w:rsid w:val="48942C25"/>
    <w:rsid w:val="4898666C"/>
    <w:rsid w:val="489B75DE"/>
    <w:rsid w:val="48B5305A"/>
    <w:rsid w:val="48B63FE7"/>
    <w:rsid w:val="48CC7D6E"/>
    <w:rsid w:val="48EB5A5C"/>
    <w:rsid w:val="490B579F"/>
    <w:rsid w:val="492A1C6E"/>
    <w:rsid w:val="492C7D33"/>
    <w:rsid w:val="493A79B5"/>
    <w:rsid w:val="4969605D"/>
    <w:rsid w:val="496D1F2A"/>
    <w:rsid w:val="497C7394"/>
    <w:rsid w:val="498A3B85"/>
    <w:rsid w:val="49AE3287"/>
    <w:rsid w:val="49C65C46"/>
    <w:rsid w:val="49D021B0"/>
    <w:rsid w:val="49D7375C"/>
    <w:rsid w:val="49EC64E1"/>
    <w:rsid w:val="4A11668C"/>
    <w:rsid w:val="4A3546EB"/>
    <w:rsid w:val="4A4A48A6"/>
    <w:rsid w:val="4A524812"/>
    <w:rsid w:val="4A526073"/>
    <w:rsid w:val="4A56215E"/>
    <w:rsid w:val="4A5D4A40"/>
    <w:rsid w:val="4A6C1B50"/>
    <w:rsid w:val="4A7E40F2"/>
    <w:rsid w:val="4A8561F1"/>
    <w:rsid w:val="4A943BC6"/>
    <w:rsid w:val="4AAF17A9"/>
    <w:rsid w:val="4B3D4E30"/>
    <w:rsid w:val="4B413D26"/>
    <w:rsid w:val="4B8B446D"/>
    <w:rsid w:val="4BB317A2"/>
    <w:rsid w:val="4BC27F8D"/>
    <w:rsid w:val="4BCC6CCE"/>
    <w:rsid w:val="4BE44E6C"/>
    <w:rsid w:val="4BF446B8"/>
    <w:rsid w:val="4C061338"/>
    <w:rsid w:val="4C497215"/>
    <w:rsid w:val="4C4F5F99"/>
    <w:rsid w:val="4C5D0817"/>
    <w:rsid w:val="4C5E08E0"/>
    <w:rsid w:val="4CBF4AE9"/>
    <w:rsid w:val="4D0A349B"/>
    <w:rsid w:val="4D0D2E78"/>
    <w:rsid w:val="4D0F04ED"/>
    <w:rsid w:val="4D384A7C"/>
    <w:rsid w:val="4D3A0411"/>
    <w:rsid w:val="4D427C91"/>
    <w:rsid w:val="4D7706F2"/>
    <w:rsid w:val="4DBE12C2"/>
    <w:rsid w:val="4DCE6ED3"/>
    <w:rsid w:val="4E095444"/>
    <w:rsid w:val="4E333BBB"/>
    <w:rsid w:val="4E6A06E9"/>
    <w:rsid w:val="4EC206BE"/>
    <w:rsid w:val="4EC46EFB"/>
    <w:rsid w:val="4EC951FF"/>
    <w:rsid w:val="4ED04B02"/>
    <w:rsid w:val="4EE96853"/>
    <w:rsid w:val="4F105F02"/>
    <w:rsid w:val="4F121BEA"/>
    <w:rsid w:val="4F172396"/>
    <w:rsid w:val="4F3F03C1"/>
    <w:rsid w:val="4F4C2971"/>
    <w:rsid w:val="4F566ACF"/>
    <w:rsid w:val="4F8028EE"/>
    <w:rsid w:val="4FAD0DF7"/>
    <w:rsid w:val="4FBC1F04"/>
    <w:rsid w:val="4FBE1CEA"/>
    <w:rsid w:val="4FC15F00"/>
    <w:rsid w:val="50371519"/>
    <w:rsid w:val="503D6ACE"/>
    <w:rsid w:val="505A0A75"/>
    <w:rsid w:val="50ED0D36"/>
    <w:rsid w:val="51130AD6"/>
    <w:rsid w:val="51147068"/>
    <w:rsid w:val="511B4097"/>
    <w:rsid w:val="512452DA"/>
    <w:rsid w:val="515029F4"/>
    <w:rsid w:val="51777BA1"/>
    <w:rsid w:val="517A1ADB"/>
    <w:rsid w:val="51901189"/>
    <w:rsid w:val="51952A88"/>
    <w:rsid w:val="51B661F2"/>
    <w:rsid w:val="51BB2EED"/>
    <w:rsid w:val="51EE27E3"/>
    <w:rsid w:val="52101F45"/>
    <w:rsid w:val="5213342A"/>
    <w:rsid w:val="52163344"/>
    <w:rsid w:val="5234477C"/>
    <w:rsid w:val="52515077"/>
    <w:rsid w:val="52B118DE"/>
    <w:rsid w:val="52C52078"/>
    <w:rsid w:val="52CB6EC0"/>
    <w:rsid w:val="52D061DA"/>
    <w:rsid w:val="52D211F8"/>
    <w:rsid w:val="5315442E"/>
    <w:rsid w:val="5341530E"/>
    <w:rsid w:val="53434396"/>
    <w:rsid w:val="534D112E"/>
    <w:rsid w:val="53761C93"/>
    <w:rsid w:val="537B0A8C"/>
    <w:rsid w:val="5393301A"/>
    <w:rsid w:val="53971518"/>
    <w:rsid w:val="5399073D"/>
    <w:rsid w:val="53AB2CD5"/>
    <w:rsid w:val="53AF23D8"/>
    <w:rsid w:val="53B91D8C"/>
    <w:rsid w:val="53E56E6E"/>
    <w:rsid w:val="53EB2495"/>
    <w:rsid w:val="53F17662"/>
    <w:rsid w:val="54010C17"/>
    <w:rsid w:val="542C2C82"/>
    <w:rsid w:val="54661F54"/>
    <w:rsid w:val="546C3F2D"/>
    <w:rsid w:val="547F46DA"/>
    <w:rsid w:val="549F75FE"/>
    <w:rsid w:val="54A51CC5"/>
    <w:rsid w:val="54E06144"/>
    <w:rsid w:val="555E54FB"/>
    <w:rsid w:val="556D2811"/>
    <w:rsid w:val="55CE1AD5"/>
    <w:rsid w:val="55ED37B8"/>
    <w:rsid w:val="55F04C52"/>
    <w:rsid w:val="55F35D23"/>
    <w:rsid w:val="56281CBC"/>
    <w:rsid w:val="56333685"/>
    <w:rsid w:val="568F0DF7"/>
    <w:rsid w:val="56A332D5"/>
    <w:rsid w:val="56C325A5"/>
    <w:rsid w:val="56E709F8"/>
    <w:rsid w:val="56FB32FA"/>
    <w:rsid w:val="570703AF"/>
    <w:rsid w:val="572D602C"/>
    <w:rsid w:val="57364D30"/>
    <w:rsid w:val="573D71D1"/>
    <w:rsid w:val="57A21363"/>
    <w:rsid w:val="57A54C20"/>
    <w:rsid w:val="57B937A9"/>
    <w:rsid w:val="57BB4E50"/>
    <w:rsid w:val="57C34B39"/>
    <w:rsid w:val="57E116B4"/>
    <w:rsid w:val="580F431F"/>
    <w:rsid w:val="587B6F7C"/>
    <w:rsid w:val="58A22BE9"/>
    <w:rsid w:val="58E44026"/>
    <w:rsid w:val="58E67C57"/>
    <w:rsid w:val="58E94F10"/>
    <w:rsid w:val="58F965E6"/>
    <w:rsid w:val="58FA15B8"/>
    <w:rsid w:val="58FF06B6"/>
    <w:rsid w:val="59046596"/>
    <w:rsid w:val="591C3F4A"/>
    <w:rsid w:val="593E6CC6"/>
    <w:rsid w:val="594B0A62"/>
    <w:rsid w:val="594E1B0E"/>
    <w:rsid w:val="594F32F2"/>
    <w:rsid w:val="595461B1"/>
    <w:rsid w:val="59591BB8"/>
    <w:rsid w:val="59820786"/>
    <w:rsid w:val="59A774F2"/>
    <w:rsid w:val="59AD15AB"/>
    <w:rsid w:val="59CE313C"/>
    <w:rsid w:val="59E474BD"/>
    <w:rsid w:val="59FC6B89"/>
    <w:rsid w:val="5A143012"/>
    <w:rsid w:val="5A261D0E"/>
    <w:rsid w:val="5A412A61"/>
    <w:rsid w:val="5A527BDD"/>
    <w:rsid w:val="5A905E59"/>
    <w:rsid w:val="5A9311E7"/>
    <w:rsid w:val="5AD0373D"/>
    <w:rsid w:val="5AF86253"/>
    <w:rsid w:val="5B081862"/>
    <w:rsid w:val="5B1C3DCA"/>
    <w:rsid w:val="5B340596"/>
    <w:rsid w:val="5B3F26B3"/>
    <w:rsid w:val="5B4B70AC"/>
    <w:rsid w:val="5B8A7522"/>
    <w:rsid w:val="5BA53E1C"/>
    <w:rsid w:val="5BB41290"/>
    <w:rsid w:val="5BC50503"/>
    <w:rsid w:val="5BF50EB6"/>
    <w:rsid w:val="5BF92128"/>
    <w:rsid w:val="5BFA7DB5"/>
    <w:rsid w:val="5C075DA6"/>
    <w:rsid w:val="5C491EC9"/>
    <w:rsid w:val="5C5028D7"/>
    <w:rsid w:val="5C81109C"/>
    <w:rsid w:val="5C9E10E9"/>
    <w:rsid w:val="5CA11D7F"/>
    <w:rsid w:val="5CAF4CE5"/>
    <w:rsid w:val="5CDA6371"/>
    <w:rsid w:val="5CFC64A7"/>
    <w:rsid w:val="5D1516BF"/>
    <w:rsid w:val="5D1569ED"/>
    <w:rsid w:val="5D1B2A4F"/>
    <w:rsid w:val="5D4F34F7"/>
    <w:rsid w:val="5D623C65"/>
    <w:rsid w:val="5D8C1819"/>
    <w:rsid w:val="5DC477E0"/>
    <w:rsid w:val="5DD05318"/>
    <w:rsid w:val="5DEF6C2B"/>
    <w:rsid w:val="5DF22741"/>
    <w:rsid w:val="5DFE50F6"/>
    <w:rsid w:val="5E2D7C7A"/>
    <w:rsid w:val="5E4E3F80"/>
    <w:rsid w:val="5E5F4BD4"/>
    <w:rsid w:val="5E852B0D"/>
    <w:rsid w:val="5ED20F44"/>
    <w:rsid w:val="5EE7073E"/>
    <w:rsid w:val="5F123BC6"/>
    <w:rsid w:val="5F184877"/>
    <w:rsid w:val="5F1A7A37"/>
    <w:rsid w:val="5F2E3F46"/>
    <w:rsid w:val="5F474C09"/>
    <w:rsid w:val="5F63419E"/>
    <w:rsid w:val="5F736746"/>
    <w:rsid w:val="5F880842"/>
    <w:rsid w:val="5FD95A66"/>
    <w:rsid w:val="5FFC4765"/>
    <w:rsid w:val="60046C0F"/>
    <w:rsid w:val="601327BB"/>
    <w:rsid w:val="60245068"/>
    <w:rsid w:val="60255BE3"/>
    <w:rsid w:val="602717FC"/>
    <w:rsid w:val="602A62F8"/>
    <w:rsid w:val="602C01A9"/>
    <w:rsid w:val="603B1B21"/>
    <w:rsid w:val="607F2EF2"/>
    <w:rsid w:val="60842FF2"/>
    <w:rsid w:val="60D43BFA"/>
    <w:rsid w:val="610D2A7D"/>
    <w:rsid w:val="61111BF1"/>
    <w:rsid w:val="61175A9A"/>
    <w:rsid w:val="612129FE"/>
    <w:rsid w:val="61375BEC"/>
    <w:rsid w:val="614E4437"/>
    <w:rsid w:val="615F1F60"/>
    <w:rsid w:val="6182631E"/>
    <w:rsid w:val="61BC217C"/>
    <w:rsid w:val="61D9772A"/>
    <w:rsid w:val="61DA1B5D"/>
    <w:rsid w:val="61DB33CF"/>
    <w:rsid w:val="61EF0933"/>
    <w:rsid w:val="61F2327B"/>
    <w:rsid w:val="61F6471A"/>
    <w:rsid w:val="625E2011"/>
    <w:rsid w:val="627803DA"/>
    <w:rsid w:val="62921FA4"/>
    <w:rsid w:val="62EF16C5"/>
    <w:rsid w:val="63077DCD"/>
    <w:rsid w:val="63196725"/>
    <w:rsid w:val="631F3FB6"/>
    <w:rsid w:val="63356B20"/>
    <w:rsid w:val="63647D08"/>
    <w:rsid w:val="63B47AD6"/>
    <w:rsid w:val="63BD1F88"/>
    <w:rsid w:val="63F34E27"/>
    <w:rsid w:val="642E2D6E"/>
    <w:rsid w:val="642F141D"/>
    <w:rsid w:val="6439179D"/>
    <w:rsid w:val="643A7D3D"/>
    <w:rsid w:val="644845EE"/>
    <w:rsid w:val="644C43F2"/>
    <w:rsid w:val="645E071A"/>
    <w:rsid w:val="64611864"/>
    <w:rsid w:val="6465357A"/>
    <w:rsid w:val="64704226"/>
    <w:rsid w:val="64870014"/>
    <w:rsid w:val="64B76AA3"/>
    <w:rsid w:val="64C61C82"/>
    <w:rsid w:val="64D124DB"/>
    <w:rsid w:val="65233DA8"/>
    <w:rsid w:val="652A1A84"/>
    <w:rsid w:val="652A5D21"/>
    <w:rsid w:val="65480BBE"/>
    <w:rsid w:val="6554639C"/>
    <w:rsid w:val="65933B3C"/>
    <w:rsid w:val="65B955CA"/>
    <w:rsid w:val="65BE6C54"/>
    <w:rsid w:val="65CC3546"/>
    <w:rsid w:val="661A0E12"/>
    <w:rsid w:val="66214D7C"/>
    <w:rsid w:val="667B6C3F"/>
    <w:rsid w:val="66B40E42"/>
    <w:rsid w:val="66B56D61"/>
    <w:rsid w:val="66B56D68"/>
    <w:rsid w:val="66EA1480"/>
    <w:rsid w:val="67056631"/>
    <w:rsid w:val="676E6425"/>
    <w:rsid w:val="67776ADD"/>
    <w:rsid w:val="6779797F"/>
    <w:rsid w:val="6789047F"/>
    <w:rsid w:val="67A720F6"/>
    <w:rsid w:val="67AC1398"/>
    <w:rsid w:val="67E7540E"/>
    <w:rsid w:val="67FC02AC"/>
    <w:rsid w:val="68006207"/>
    <w:rsid w:val="682D432C"/>
    <w:rsid w:val="68382592"/>
    <w:rsid w:val="687C00C8"/>
    <w:rsid w:val="687C4042"/>
    <w:rsid w:val="68A742AD"/>
    <w:rsid w:val="68C25CFA"/>
    <w:rsid w:val="68C731B8"/>
    <w:rsid w:val="68D536DE"/>
    <w:rsid w:val="69044A5D"/>
    <w:rsid w:val="691052CA"/>
    <w:rsid w:val="69194464"/>
    <w:rsid w:val="691D05F7"/>
    <w:rsid w:val="69312B59"/>
    <w:rsid w:val="69446209"/>
    <w:rsid w:val="698B1B24"/>
    <w:rsid w:val="69BB0755"/>
    <w:rsid w:val="6A115C81"/>
    <w:rsid w:val="6A7A60F7"/>
    <w:rsid w:val="6AAC2E76"/>
    <w:rsid w:val="6AEE1969"/>
    <w:rsid w:val="6B0A125F"/>
    <w:rsid w:val="6B23484A"/>
    <w:rsid w:val="6B30457A"/>
    <w:rsid w:val="6B3B1CB3"/>
    <w:rsid w:val="6B43702A"/>
    <w:rsid w:val="6B524C27"/>
    <w:rsid w:val="6B5A1EC9"/>
    <w:rsid w:val="6B7308B4"/>
    <w:rsid w:val="6B744505"/>
    <w:rsid w:val="6BA2498F"/>
    <w:rsid w:val="6BBC51E6"/>
    <w:rsid w:val="6BCA0F7D"/>
    <w:rsid w:val="6BDE4DDD"/>
    <w:rsid w:val="6BE82C3E"/>
    <w:rsid w:val="6BE972DB"/>
    <w:rsid w:val="6BFE0452"/>
    <w:rsid w:val="6C0F2440"/>
    <w:rsid w:val="6C176418"/>
    <w:rsid w:val="6C392A9F"/>
    <w:rsid w:val="6C4D097B"/>
    <w:rsid w:val="6C5973BD"/>
    <w:rsid w:val="6C5F452A"/>
    <w:rsid w:val="6C762792"/>
    <w:rsid w:val="6C7D1213"/>
    <w:rsid w:val="6C801375"/>
    <w:rsid w:val="6C822E35"/>
    <w:rsid w:val="6CEF6EBD"/>
    <w:rsid w:val="6CF01C95"/>
    <w:rsid w:val="6CF542B7"/>
    <w:rsid w:val="6D18295E"/>
    <w:rsid w:val="6D206AE2"/>
    <w:rsid w:val="6D5941BB"/>
    <w:rsid w:val="6D8A08D8"/>
    <w:rsid w:val="6D961017"/>
    <w:rsid w:val="6DCE3EDB"/>
    <w:rsid w:val="6DD23F1E"/>
    <w:rsid w:val="6DEE2081"/>
    <w:rsid w:val="6E210E7D"/>
    <w:rsid w:val="6E336938"/>
    <w:rsid w:val="6E565A56"/>
    <w:rsid w:val="6E5D68D3"/>
    <w:rsid w:val="6E682450"/>
    <w:rsid w:val="6E7251F0"/>
    <w:rsid w:val="6E757524"/>
    <w:rsid w:val="6E7934F3"/>
    <w:rsid w:val="6EAD6286"/>
    <w:rsid w:val="6EB24C59"/>
    <w:rsid w:val="6EBD3CCD"/>
    <w:rsid w:val="6ECD60E1"/>
    <w:rsid w:val="6F2428C0"/>
    <w:rsid w:val="6F433285"/>
    <w:rsid w:val="6F591B5D"/>
    <w:rsid w:val="6F7E65DB"/>
    <w:rsid w:val="6F981073"/>
    <w:rsid w:val="6FA172A4"/>
    <w:rsid w:val="6FFF65EB"/>
    <w:rsid w:val="705A4D1B"/>
    <w:rsid w:val="705F37D3"/>
    <w:rsid w:val="709143C4"/>
    <w:rsid w:val="70930271"/>
    <w:rsid w:val="70DB5146"/>
    <w:rsid w:val="712776C4"/>
    <w:rsid w:val="7181738B"/>
    <w:rsid w:val="71820038"/>
    <w:rsid w:val="71990145"/>
    <w:rsid w:val="719E164B"/>
    <w:rsid w:val="71C90ED8"/>
    <w:rsid w:val="71D72430"/>
    <w:rsid w:val="71E12038"/>
    <w:rsid w:val="72112B83"/>
    <w:rsid w:val="721F61D9"/>
    <w:rsid w:val="723D42BE"/>
    <w:rsid w:val="72412901"/>
    <w:rsid w:val="72887B37"/>
    <w:rsid w:val="72910320"/>
    <w:rsid w:val="72A53302"/>
    <w:rsid w:val="72B3410C"/>
    <w:rsid w:val="72BD6DA9"/>
    <w:rsid w:val="72CB01B8"/>
    <w:rsid w:val="730554B3"/>
    <w:rsid w:val="73092FAA"/>
    <w:rsid w:val="73413694"/>
    <w:rsid w:val="734608F5"/>
    <w:rsid w:val="736D4BAC"/>
    <w:rsid w:val="736F1AFC"/>
    <w:rsid w:val="739B5B15"/>
    <w:rsid w:val="73CA3FB8"/>
    <w:rsid w:val="73E63732"/>
    <w:rsid w:val="73EC345F"/>
    <w:rsid w:val="73FD1118"/>
    <w:rsid w:val="74090510"/>
    <w:rsid w:val="740E2D2D"/>
    <w:rsid w:val="741752A2"/>
    <w:rsid w:val="746B6757"/>
    <w:rsid w:val="747B5C9D"/>
    <w:rsid w:val="747F1177"/>
    <w:rsid w:val="748028C0"/>
    <w:rsid w:val="74A471EE"/>
    <w:rsid w:val="74C768EE"/>
    <w:rsid w:val="74E97F38"/>
    <w:rsid w:val="74F13E40"/>
    <w:rsid w:val="750B1697"/>
    <w:rsid w:val="752A3F7B"/>
    <w:rsid w:val="75444F15"/>
    <w:rsid w:val="75485488"/>
    <w:rsid w:val="758516A2"/>
    <w:rsid w:val="759A2104"/>
    <w:rsid w:val="75B35E00"/>
    <w:rsid w:val="75CD1343"/>
    <w:rsid w:val="75EB2F64"/>
    <w:rsid w:val="761D1573"/>
    <w:rsid w:val="765141DC"/>
    <w:rsid w:val="765B6CE9"/>
    <w:rsid w:val="766852F0"/>
    <w:rsid w:val="766A6521"/>
    <w:rsid w:val="766C7968"/>
    <w:rsid w:val="766E7DAC"/>
    <w:rsid w:val="76936F16"/>
    <w:rsid w:val="76A64EB2"/>
    <w:rsid w:val="76BC1014"/>
    <w:rsid w:val="77025DC3"/>
    <w:rsid w:val="772354E1"/>
    <w:rsid w:val="77276E30"/>
    <w:rsid w:val="772C68C6"/>
    <w:rsid w:val="776C53FF"/>
    <w:rsid w:val="777E5705"/>
    <w:rsid w:val="7781654E"/>
    <w:rsid w:val="779231D8"/>
    <w:rsid w:val="77B92312"/>
    <w:rsid w:val="7827423F"/>
    <w:rsid w:val="78386307"/>
    <w:rsid w:val="7850391E"/>
    <w:rsid w:val="78703EBE"/>
    <w:rsid w:val="78805A36"/>
    <w:rsid w:val="78830880"/>
    <w:rsid w:val="78AE0946"/>
    <w:rsid w:val="78D17516"/>
    <w:rsid w:val="78D96E40"/>
    <w:rsid w:val="7911644D"/>
    <w:rsid w:val="79331EC1"/>
    <w:rsid w:val="79404911"/>
    <w:rsid w:val="794D0D3C"/>
    <w:rsid w:val="7986601A"/>
    <w:rsid w:val="7993616D"/>
    <w:rsid w:val="799D69BF"/>
    <w:rsid w:val="79AE14B2"/>
    <w:rsid w:val="79B1687C"/>
    <w:rsid w:val="79B22738"/>
    <w:rsid w:val="79CE4B72"/>
    <w:rsid w:val="7A055366"/>
    <w:rsid w:val="7A292C38"/>
    <w:rsid w:val="7A49541C"/>
    <w:rsid w:val="7A5F22B4"/>
    <w:rsid w:val="7A680094"/>
    <w:rsid w:val="7A7508D5"/>
    <w:rsid w:val="7A80455C"/>
    <w:rsid w:val="7A81102C"/>
    <w:rsid w:val="7AA37ECA"/>
    <w:rsid w:val="7AB16073"/>
    <w:rsid w:val="7ABB5514"/>
    <w:rsid w:val="7AC2458A"/>
    <w:rsid w:val="7ADE3222"/>
    <w:rsid w:val="7AF04DB0"/>
    <w:rsid w:val="7B1C1737"/>
    <w:rsid w:val="7B322761"/>
    <w:rsid w:val="7B3C2640"/>
    <w:rsid w:val="7B4443D1"/>
    <w:rsid w:val="7BB151FD"/>
    <w:rsid w:val="7BB43296"/>
    <w:rsid w:val="7BDE6C84"/>
    <w:rsid w:val="7BE07A81"/>
    <w:rsid w:val="7C471D4F"/>
    <w:rsid w:val="7C7A6596"/>
    <w:rsid w:val="7CA76A22"/>
    <w:rsid w:val="7CCC4E54"/>
    <w:rsid w:val="7CEB2ACD"/>
    <w:rsid w:val="7CEF6F65"/>
    <w:rsid w:val="7CF41D8D"/>
    <w:rsid w:val="7D2D2CA0"/>
    <w:rsid w:val="7D5C29E8"/>
    <w:rsid w:val="7DBB08B6"/>
    <w:rsid w:val="7DD90B59"/>
    <w:rsid w:val="7DEF15A6"/>
    <w:rsid w:val="7DFC511B"/>
    <w:rsid w:val="7E2A514E"/>
    <w:rsid w:val="7E2C4E20"/>
    <w:rsid w:val="7E2D20BE"/>
    <w:rsid w:val="7E5733E1"/>
    <w:rsid w:val="7E660C33"/>
    <w:rsid w:val="7E707801"/>
    <w:rsid w:val="7E733B66"/>
    <w:rsid w:val="7EC12AAE"/>
    <w:rsid w:val="7EC52141"/>
    <w:rsid w:val="7EC73D34"/>
    <w:rsid w:val="7ED12FEE"/>
    <w:rsid w:val="7F1648D6"/>
    <w:rsid w:val="7F23784E"/>
    <w:rsid w:val="7F457080"/>
    <w:rsid w:val="7F486BDC"/>
    <w:rsid w:val="7F4C71A0"/>
    <w:rsid w:val="7F5124CE"/>
    <w:rsid w:val="7F6347A3"/>
    <w:rsid w:val="7F8805ED"/>
    <w:rsid w:val="7FB745D2"/>
    <w:rsid w:val="7FC4182D"/>
    <w:rsid w:val="7FC459AC"/>
    <w:rsid w:val="7FD55C75"/>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0</TotalTime>
  <ScaleCrop>false</ScaleCrop>
  <LinksUpToDate>false</LinksUpToDate>
  <CharactersWithSpaces>26786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2020-07-21T06:16:36Z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2052-11.1.0.9828</vt:lpwstr>
  </property>
</Properties>
</file>