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0" w:name="_Toc485828985"/>
      <w:r>
        <w:pict>
          <v:shape id="图片 1" o:spid="_x0000_s1027" o:spt="75" alt="封面.jpg" type="#_x0000_t75" style="position:absolute;left:0pt;margin-left:-60.7pt;margin-top:-109.25pt;height:842.25pt;width:601.95pt;z-index:-251657216;mso-width-relative:page;mso-height-relative:page;" filled="f" o:preferrelative="t" stroked="f" coordsize="21600,21600">
            <v:path/>
            <v:fill on="f" focussize="0,0"/>
            <v:stroke on="f" joinstyle="miter"/>
            <v:imagedata r:id="rId6" o:title=""/>
            <o:lock v:ext="edit" aspectratio="t"/>
          </v:shape>
        </w:pict>
      </w:r>
    </w:p>
    <w:p>
      <w:pPr>
        <w:spacing w:line="400" w:lineRule="exact"/>
        <w:rPr>
          <w:rFonts w:cs="Times New Roman"/>
        </w:rPr>
      </w:pPr>
      <w:r>
        <w:pict>
          <v:shape id="文本框 2" o:spid="_x0000_s1028" o:spt="202" type="#_x0000_t202" style="position:absolute;left:0pt;margin-left:36.9pt;margin-top:586.45pt;height:110.7pt;width:419.1pt;z-index:251656192;mso-width-relative:page;mso-height-relative:page;" filled="f" stroked="f" coordsize="21600,21600">
            <v:path/>
            <v:fill on="f" focussize="0,0"/>
            <v:stroke on="f" joinstyle="miter"/>
            <v:imagedata o:title=""/>
            <o:lock v:ext="edit"/>
            <v:textbox>
              <w:txbxContent>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24"/>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16"/>
                      <w:rFonts w:ascii="黑体" w:hAnsi="宋体" w:eastAsia="黑体" w:cs="黑体"/>
                      <w:color w:val="auto"/>
                      <w:kern w:val="2"/>
                      <w:sz w:val="24"/>
                      <w:szCs w:val="24"/>
                      <w:u w:val="none"/>
                      <w:lang w:eastAsia="zh-CN"/>
                    </w:rPr>
                    <w:t>hljbsc2017zsw@163.com</w:t>
                  </w:r>
                  <w:r>
                    <w:rPr>
                      <w:rStyle w:val="16"/>
                      <w:rFonts w:ascii="黑体" w:hAnsi="宋体" w:eastAsia="黑体" w:cs="黑体"/>
                      <w:color w:val="auto"/>
                      <w:kern w:val="2"/>
                      <w:sz w:val="24"/>
                      <w:szCs w:val="24"/>
                      <w:u w:val="none"/>
                      <w:lang w:eastAsia="zh-CN"/>
                    </w:rPr>
                    <w:fldChar w:fldCharType="end"/>
                  </w:r>
                </w:p>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地址：北京市朝阳区高碑店东区</w:t>
                  </w:r>
                  <w:r>
                    <w:rPr>
                      <w:rFonts w:ascii="黑体" w:hAnsi="宋体" w:eastAsia="黑体" w:cs="黑体"/>
                      <w:kern w:val="2"/>
                      <w:sz w:val="24"/>
                      <w:szCs w:val="24"/>
                      <w:lang w:eastAsia="zh-CN"/>
                    </w:rPr>
                    <w:t>B</w:t>
                  </w:r>
                  <w:r>
                    <w:rPr>
                      <w:rFonts w:hint="eastAsia" w:ascii="黑体" w:hAnsi="宋体" w:eastAsia="黑体" w:cs="黑体"/>
                      <w:kern w:val="2"/>
                      <w:sz w:val="24"/>
                      <w:szCs w:val="24"/>
                      <w:lang w:eastAsia="zh-CN"/>
                    </w:rPr>
                    <w:t>区</w:t>
                  </w:r>
                  <w:r>
                    <w:rPr>
                      <w:rFonts w:ascii="黑体" w:hAnsi="宋体" w:eastAsia="黑体" w:cs="黑体"/>
                      <w:kern w:val="2"/>
                      <w:sz w:val="24"/>
                      <w:szCs w:val="24"/>
                      <w:lang w:eastAsia="zh-CN"/>
                    </w:rPr>
                    <w:t xml:space="preserve">8-1 </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p>
                <w:p>
                  <w:pPr>
                    <w:jc w:val="left"/>
                    <w:rPr>
                      <w:rFonts w:cs="Times New Roman"/>
                    </w:rPr>
                  </w:pPr>
                </w:p>
                <w:p>
                  <w:pPr>
                    <w:jc w:val="left"/>
                    <w:rPr>
                      <w:rFonts w:cs="Times New Roman"/>
                    </w:rPr>
                  </w:pPr>
                </w:p>
              </w:txbxContent>
            </v:textbox>
          </v:shape>
        </w:pict>
      </w:r>
      <w:r>
        <w:pict>
          <v:shape id="文本框 3" o:spid="_x0000_s1029" o:spt="202" type="#_x0000_t202" style="position:absolute;left:0pt;margin-left:175.45pt;margin-top:490.7pt;height:54.1pt;width:126.6pt;z-index:251657216;mso-width-relative:page;mso-height-relative:page;" filled="f" stroked="f" coordsize="21600,21600">
            <v:path/>
            <v:fill on="f" focussize="0,0"/>
            <v:stroke on="f" joinstyle="miter"/>
            <v:imagedata o:title=""/>
            <o:lock v:ext="edit"/>
            <v:textbox>
              <w:txbxContent>
                <w:p>
                  <w:pPr>
                    <w:pStyle w:val="2"/>
                    <w:rPr>
                      <w:rFonts w:hint="default" w:eastAsia="黑体"/>
                      <w:lang w:val="en-US" w:eastAsia="zh-CN"/>
                    </w:rPr>
                  </w:pPr>
                  <w:bookmarkStart w:id="476" w:name="_Toc485828984"/>
                  <w:bookmarkStart w:id="477" w:name="_Toc485981320"/>
                  <w:bookmarkStart w:id="478" w:name="_Toc13217629"/>
                  <w:r>
                    <w:rPr>
                      <w:kern w:val="2"/>
                    </w:rPr>
                    <w:t>2020.</w:t>
                  </w:r>
                  <w:bookmarkEnd w:id="476"/>
                  <w:bookmarkEnd w:id="477"/>
                  <w:r>
                    <w:rPr>
                      <w:rFonts w:hint="eastAsia"/>
                      <w:kern w:val="2"/>
                      <w:lang w:val="en-US" w:eastAsia="zh-CN"/>
                    </w:rPr>
                    <w:t>5</w:t>
                  </w:r>
                  <w:r>
                    <w:rPr>
                      <w:kern w:val="2"/>
                    </w:rPr>
                    <w:t>.</w:t>
                  </w:r>
                  <w:bookmarkEnd w:id="478"/>
                  <w:r>
                    <w:rPr>
                      <w:rFonts w:hint="eastAsia"/>
                      <w:kern w:val="2"/>
                      <w:lang w:val="en-US" w:eastAsia="zh-CN"/>
                    </w:rPr>
                    <w:t>22</w:t>
                  </w:r>
                </w:p>
              </w:txbxContent>
            </v:textbox>
          </v:shape>
        </w:pict>
      </w:r>
      <w:r>
        <w:rPr>
          <w:rFonts w:hint="eastAsia" w:cs="Times New Roman"/>
          <w:lang w:val="en-US" w:eastAsia="zh-CN"/>
        </w:rPr>
        <w:t xml:space="preserve"> </w:t>
      </w:r>
      <w:r>
        <w:rPr>
          <w:rFonts w:cs="Times New Roman"/>
        </w:rPr>
        <w:br w:type="page"/>
      </w:r>
      <w:r>
        <w:pict>
          <v:shape id="_x0000_s1030" o:spid="_x0000_s1030" o:spt="202" type="#_x0000_t202" style="position:absolute;left:0pt;margin-left:-0.9pt;margin-top:34.7pt;height:565.3pt;width:492pt;z-index:251658240;mso-width-relative:page;mso-height-relative:page;" filled="f" stroked="f" coordsize="21600,21600">
            <v:path/>
            <v:fill on="f" focussize="0,0"/>
            <v:stroke on="f" joinstyle="miter"/>
            <v:imagedata o:title=""/>
            <o:lock v:ext="edit"/>
            <v:textbox>
              <w:txbxContent>
                <w:p>
                  <w:pPr>
                    <w:pStyle w:val="24"/>
                    <w:spacing w:line="240" w:lineRule="auto"/>
                    <w:jc w:val="center"/>
                    <w:outlineLvl w:val="0"/>
                    <w:rPr>
                      <w:rFonts w:ascii="宋体" w:cs="Times New Roman"/>
                      <w:b/>
                      <w:bCs/>
                      <w:color w:val="000080"/>
                      <w:sz w:val="28"/>
                      <w:szCs w:val="28"/>
                      <w:lang w:eastAsia="zh-CN"/>
                    </w:rPr>
                  </w:pPr>
                  <w:bookmarkStart w:id="479" w:name="_Toc13217630"/>
                  <w:r>
                    <w:rPr>
                      <w:rFonts w:hint="eastAsia" w:ascii="宋体" w:hAnsi="宋体" w:cs="宋体"/>
                      <w:b/>
                      <w:bCs/>
                      <w:color w:val="000080"/>
                      <w:sz w:val="28"/>
                      <w:szCs w:val="28"/>
                      <w:lang w:eastAsia="zh-CN"/>
                    </w:rPr>
                    <w:t>氯碱市场周报目录</w:t>
                  </w:r>
                  <w:bookmarkEnd w:id="479"/>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9"/>
                    <w:rPr>
                      <w:rFonts w:ascii="Calibri" w:hAnsi="Calibri" w:cs="Calibri"/>
                      <w:b w:val="0"/>
                      <w:bCs w:val="0"/>
                      <w:caps w:val="0"/>
                      <w:color w:val="auto"/>
                      <w:sz w:val="21"/>
                      <w:szCs w:val="21"/>
                    </w:rPr>
                  </w:pPr>
                  <w:r>
                    <w:fldChar w:fldCharType="begin"/>
                  </w:r>
                  <w:r>
                    <w:instrText xml:space="preserve"> TOC \o "1-3" \h \z \u </w:instrText>
                  </w:r>
                  <w:r>
                    <w:fldChar w:fldCharType="separate"/>
                  </w:r>
                  <w:r>
                    <w:fldChar w:fldCharType="begin"/>
                  </w:r>
                  <w:r>
                    <w:instrText xml:space="preserve"> HYPERLINK "file:///C:\\Users\\Administrator.USER-20170424GR\\Desktop\\我之前\\周报\\周报\\氯碱.docx" \l "_Toc13217629" </w:instrText>
                  </w:r>
                  <w:r>
                    <w:fldChar w:fldCharType="separate"/>
                  </w:r>
                  <w:r>
                    <w:rPr>
                      <w:rStyle w:val="16"/>
                    </w:rPr>
                    <w:t>2020.</w:t>
                  </w:r>
                  <w:r>
                    <w:rPr>
                      <w:rStyle w:val="16"/>
                      <w:rFonts w:hint="eastAsia"/>
                      <w:lang w:val="en-US" w:eastAsia="zh-CN"/>
                    </w:rPr>
                    <w:t>5</w:t>
                  </w:r>
                  <w:r>
                    <w:rPr>
                      <w:rStyle w:val="16"/>
                    </w:rPr>
                    <w:t>.</w:t>
                  </w:r>
                  <w:r>
                    <w:rPr>
                      <w:rStyle w:val="16"/>
                      <w:rFonts w:hint="eastAsia"/>
                      <w:lang w:val="en-US" w:eastAsia="zh-CN"/>
                    </w:rPr>
                    <w:t>22</w:t>
                  </w:r>
                  <w:r>
                    <w:rPr>
                      <w:rFonts w:cs="Times New Roman"/>
                    </w:rPr>
                    <w:tab/>
                  </w:r>
                  <w:r>
                    <w:fldChar w:fldCharType="begin"/>
                  </w:r>
                  <w:r>
                    <w:instrText xml:space="preserve"> PAGEREF _Toc13217629 \h </w:instrText>
                  </w:r>
                  <w:r>
                    <w:fldChar w:fldCharType="separate"/>
                  </w:r>
                  <w:r>
                    <w:t>1</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"file:///C:\\Users\\Administrator.USER-20170424GR\\Desktop\\我之前\\周报\\周报\\氯碱.docx" \l "_Toc13217630" </w:instrText>
                  </w:r>
                  <w:r>
                    <w:fldChar w:fldCharType="separate"/>
                  </w:r>
                  <w:r>
                    <w:rPr>
                      <w:rStyle w:val="16"/>
                      <w:rFonts w:hint="eastAsia"/>
                    </w:rPr>
                    <w:t>氯碱市场周报目录</w:t>
                  </w:r>
                  <w:r>
                    <w:rPr>
                      <w:rFonts w:cs="Times New Roman"/>
                    </w:rPr>
                    <w:tab/>
                  </w:r>
                  <w:r>
                    <w:fldChar w:fldCharType="begin"/>
                  </w:r>
                  <w:r>
                    <w:instrText xml:space="preserve"> PAGEREF _Toc13217630 \h </w:instrText>
                  </w:r>
                  <w:r>
                    <w:fldChar w:fldCharType="separate"/>
                  </w:r>
                  <w:r>
                    <w:t>2</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\l "_Toc13217631" </w:instrText>
                  </w:r>
                  <w:r>
                    <w:fldChar w:fldCharType="separate"/>
                  </w:r>
                  <w:r>
                    <w:rPr>
                      <w:rStyle w:val="16"/>
                      <w:rFonts w:hint="eastAsia"/>
                    </w:rPr>
                    <w:t>纯碱</w:t>
                  </w:r>
                  <w:r>
                    <w:rPr>
                      <w:rFonts w:cs="Times New Roman"/>
                    </w:rPr>
                    <w:tab/>
                  </w:r>
                  <w:r>
                    <w:fldChar w:fldCharType="begin"/>
                  </w:r>
                  <w:r>
                    <w:instrText xml:space="preserve"> PAGEREF _Toc13217631 \h </w:instrText>
                  </w:r>
                  <w:r>
                    <w:fldChar w:fldCharType="separate"/>
                  </w:r>
                  <w:r>
                    <w:t>3</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"_Toc13217632" </w:instrText>
                  </w:r>
                  <w:r>
                    <w:fldChar w:fldCharType="separate"/>
                  </w:r>
                  <w:r>
                    <w:rPr>
                      <w:rStyle w:val="16"/>
                      <w:rFonts w:hint="eastAsia" w:ascii="黑体" w:hAnsi="黑体" w:eastAsia="黑体" w:cs="黑体"/>
                    </w:rPr>
                    <w:t>评述：本周纯碱市场评述及行情预测</w:t>
                  </w:r>
                  <w:r>
                    <w:rPr>
                      <w:rFonts w:cs="Times New Roman"/>
                    </w:rPr>
                    <w:tab/>
                  </w:r>
                  <w:r>
                    <w:fldChar w:fldCharType="begin"/>
                  </w:r>
                  <w:r>
                    <w:instrText xml:space="preserve"> PAGEREF _Toc13217632 \h </w:instrText>
                  </w:r>
                  <w:r>
                    <w:fldChar w:fldCharType="separate"/>
                  </w:r>
                  <w:r>
                    <w:t>3</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"_Toc13217633" </w:instrText>
                  </w:r>
                  <w:r>
                    <w:fldChar w:fldCharType="separate"/>
                  </w:r>
                  <w:r>
                    <w:rPr>
                      <w:rStyle w:val="16"/>
                      <w:rFonts w:hint="eastAsia" w:ascii="黑体" w:hAnsi="黑体" w:eastAsia="黑体" w:cs="黑体"/>
                      <w:kern w:val="0"/>
                    </w:rPr>
                    <w:t>一、纯碱市场一周综述</w:t>
                  </w:r>
                  <w:r>
                    <w:rPr>
                      <w:rFonts w:cs="Times New Roman"/>
                    </w:rPr>
                    <w:tab/>
                  </w:r>
                  <w:r>
                    <w:fldChar w:fldCharType="begin"/>
                  </w:r>
                  <w:r>
                    <w:instrText xml:space="preserve"> PAGEREF _Toc13217633 \h </w:instrText>
                  </w:r>
                  <w:r>
                    <w:fldChar w:fldCharType="separate"/>
                  </w:r>
                  <w:r>
                    <w:t>3</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"_Toc13217634" </w:instrText>
                  </w:r>
                  <w:r>
                    <w:fldChar w:fldCharType="separate"/>
                  </w:r>
                  <w:r>
                    <w:rPr>
                      <w:rStyle w:val="16"/>
                      <w:rFonts w:hint="eastAsia" w:ascii="黑体" w:hAnsi="黑体" w:eastAsia="黑体" w:cs="黑体"/>
                    </w:rPr>
                    <w:t>二、</w:t>
                  </w:r>
                  <w:r>
                    <w:rPr>
                      <w:rStyle w:val="16"/>
                      <w:rFonts w:ascii="黑体" w:hAnsi="黑体" w:eastAsia="黑体" w:cs="黑体"/>
                    </w:rPr>
                    <w:t xml:space="preserve"> </w:t>
                  </w:r>
                  <w:r>
                    <w:rPr>
                      <w:rStyle w:val="16"/>
                      <w:rFonts w:hint="eastAsia" w:ascii="黑体" w:hAnsi="黑体" w:eastAsia="黑体" w:cs="黑体"/>
                    </w:rPr>
                    <w:t>影响市场因素及后市预测</w:t>
                  </w:r>
                  <w:r>
                    <w:rPr>
                      <w:rFonts w:cs="Times New Roman"/>
                    </w:rPr>
                    <w:tab/>
                  </w:r>
                  <w:r>
                    <w:fldChar w:fldCharType="begin"/>
                  </w:r>
                  <w:r>
                    <w:instrText xml:space="preserve"> PAGEREF _Toc13217634 \h </w:instrText>
                  </w:r>
                  <w:r>
                    <w:fldChar w:fldCharType="separate"/>
                  </w:r>
                  <w:r>
                    <w:t>4</w:t>
                  </w:r>
                  <w:r>
                    <w:fldChar w:fldCharType="end"/>
                  </w:r>
                  <w:r>
                    <w:fldChar w:fldCharType="end"/>
                  </w:r>
                </w:p>
                <w:p>
                  <w:pPr>
                    <w:pStyle w:val="5"/>
                    <w:tabs>
                      <w:tab w:val="right" w:leader="dot" w:pos="8494"/>
                    </w:tabs>
                    <w:ind w:left="31680"/>
                    <w:rPr>
                      <w:rFonts w:cs="Times New Roman"/>
                    </w:rPr>
                  </w:pPr>
                  <w:r>
                    <w:fldChar w:fldCharType="begin"/>
                  </w:r>
                  <w:r>
                    <w:instrText xml:space="preserve"> HYPERLINK \l "_Toc13217635" </w:instrText>
                  </w:r>
                  <w:r>
                    <w:fldChar w:fldCharType="separate"/>
                  </w:r>
                  <w:r>
                    <w:rPr>
                      <w:rStyle w:val="16"/>
                      <w:rFonts w:hint="eastAsia" w:cs="宋体"/>
                      <w:b/>
                      <w:bCs/>
                    </w:rPr>
                    <w:t>本周国内纯碱市场价格</w:t>
                  </w:r>
                  <w:r>
                    <w:rPr>
                      <w:rFonts w:cs="Times New Roman"/>
                    </w:rPr>
                    <w:tab/>
                  </w:r>
                  <w:r>
                    <w:fldChar w:fldCharType="begin"/>
                  </w:r>
                  <w:r>
                    <w:instrText xml:space="preserve"> PAGEREF _Toc13217635 \h </w:instrText>
                  </w:r>
                  <w:r>
                    <w:fldChar w:fldCharType="separate"/>
                  </w:r>
                  <w:r>
                    <w:t>5</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\l "_Toc13217636" </w:instrText>
                  </w:r>
                  <w:r>
                    <w:fldChar w:fldCharType="separate"/>
                  </w:r>
                  <w:r>
                    <w:rPr>
                      <w:rStyle w:val="16"/>
                      <w:rFonts w:hint="eastAsia"/>
                    </w:rPr>
                    <w:t>烧碱</w:t>
                  </w:r>
                  <w:r>
                    <w:rPr>
                      <w:rFonts w:cs="Times New Roman"/>
                    </w:rPr>
                    <w:tab/>
                  </w:r>
                  <w:r>
                    <w:fldChar w:fldCharType="begin"/>
                  </w:r>
                  <w:r>
                    <w:instrText xml:space="preserve"> PAGEREF _Toc13217636 \h </w:instrText>
                  </w:r>
                  <w:r>
                    <w:fldChar w:fldCharType="separate"/>
                  </w:r>
                  <w:r>
                    <w:t>5</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"_Toc13217637" </w:instrText>
                  </w:r>
                  <w:r>
                    <w:fldChar w:fldCharType="separate"/>
                  </w:r>
                  <w:r>
                    <w:rPr>
                      <w:rStyle w:val="16"/>
                      <w:rFonts w:hint="eastAsia" w:ascii="黑体" w:hAnsi="黑体" w:eastAsia="黑体" w:cs="黑体"/>
                    </w:rPr>
                    <w:t>中国烧碱市场行情综述</w:t>
                  </w:r>
                  <w:r>
                    <w:rPr>
                      <w:rFonts w:cs="Times New Roman"/>
                    </w:rPr>
                    <w:tab/>
                  </w:r>
                  <w:r>
                    <w:fldChar w:fldCharType="begin"/>
                  </w:r>
                  <w:r>
                    <w:instrText xml:space="preserve"> PAGEREF _Toc13217637 \h </w:instrText>
                  </w:r>
                  <w:r>
                    <w:fldChar w:fldCharType="separate"/>
                  </w:r>
                  <w:r>
                    <w:t>5</w:t>
                  </w:r>
                  <w:r>
                    <w:fldChar w:fldCharType="end"/>
                  </w:r>
                  <w:r>
                    <w:fldChar w:fldCharType="end"/>
                  </w:r>
                </w:p>
                <w:p>
                  <w:pPr>
                    <w:pStyle w:val="11"/>
                    <w:tabs>
                      <w:tab w:val="left" w:pos="1050"/>
                    </w:tabs>
                    <w:rPr>
                      <w:rFonts w:ascii="Calibri" w:hAnsi="Calibri" w:cs="Calibri"/>
                      <w:b w:val="0"/>
                      <w:bCs w:val="0"/>
                      <w:smallCaps w:val="0"/>
                      <w:color w:val="auto"/>
                      <w:sz w:val="21"/>
                      <w:szCs w:val="21"/>
                    </w:rPr>
                  </w:pPr>
                  <w:r>
                    <w:fldChar w:fldCharType="begin"/>
                  </w:r>
                  <w:r>
                    <w:instrText xml:space="preserve"> HYPERLINK \l "_Toc13217638" </w:instrText>
                  </w:r>
                  <w:r>
                    <w:fldChar w:fldCharType="separate"/>
                  </w:r>
                  <w:r>
                    <w:rPr>
                      <w:rStyle w:val="16"/>
                      <w:rFonts w:hint="eastAsia" w:ascii="黑体" w:hAnsi="黑体" w:eastAsia="黑体" w:cs="黑体"/>
                    </w:rPr>
                    <w:t>一、</w:t>
                  </w:r>
                  <w:r>
                    <w:rPr>
                      <w:rFonts w:ascii="Calibri" w:hAnsi="Calibri" w:cs="Calibri"/>
                      <w:b w:val="0"/>
                      <w:bCs w:val="0"/>
                      <w:smallCaps w:val="0"/>
                      <w:color w:val="auto"/>
                      <w:sz w:val="21"/>
                      <w:szCs w:val="21"/>
                    </w:rPr>
                    <w:tab/>
                  </w:r>
                  <w:r>
                    <w:rPr>
                      <w:rStyle w:val="16"/>
                      <w:rFonts w:hint="eastAsia" w:ascii="黑体" w:hAnsi="黑体" w:eastAsia="黑体" w:cs="黑体"/>
                    </w:rPr>
                    <w:t>市场综述</w:t>
                  </w:r>
                  <w:r>
                    <w:rPr>
                      <w:rFonts w:cs="Times New Roman"/>
                    </w:rPr>
                    <w:tab/>
                  </w:r>
                  <w:r>
                    <w:fldChar w:fldCharType="begin"/>
                  </w:r>
                  <w:r>
                    <w:instrText xml:space="preserve"> PAGEREF _Toc13217638 \h </w:instrText>
                  </w:r>
                  <w:r>
                    <w:fldChar w:fldCharType="separate"/>
                  </w:r>
                  <w:r>
                    <w:t>5</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"_Toc13217639" </w:instrText>
                  </w:r>
                  <w:r>
                    <w:fldChar w:fldCharType="separate"/>
                  </w:r>
                  <w:r>
                    <w:rPr>
                      <w:rStyle w:val="16"/>
                      <w:rFonts w:hint="eastAsia"/>
                    </w:rPr>
                    <w:t>二、价格方面</w:t>
                  </w:r>
                  <w:r>
                    <w:rPr>
                      <w:rFonts w:cs="Times New Roman"/>
                    </w:rPr>
                    <w:tab/>
                  </w:r>
                  <w:r>
                    <w:fldChar w:fldCharType="begin"/>
                  </w:r>
                  <w:r>
                    <w:instrText xml:space="preserve"> PAGEREF _Toc13217639 \h </w:instrText>
                  </w:r>
                  <w:r>
                    <w:fldChar w:fldCharType="separate"/>
                  </w:r>
                  <w:r>
                    <w:t>6</w:t>
                  </w:r>
                  <w:r>
                    <w:fldChar w:fldCharType="end"/>
                  </w:r>
                  <w:r>
                    <w:fldChar w:fldCharType="end"/>
                  </w:r>
                </w:p>
                <w:p>
                  <w:pPr>
                    <w:pStyle w:val="5"/>
                    <w:tabs>
                      <w:tab w:val="right" w:leader="dot" w:pos="8494"/>
                    </w:tabs>
                    <w:ind w:left="31680"/>
                    <w:rPr>
                      <w:rFonts w:cs="Times New Roman"/>
                    </w:rPr>
                  </w:pPr>
                  <w:r>
                    <w:fldChar w:fldCharType="begin"/>
                  </w:r>
                  <w:r>
                    <w:instrText xml:space="preserve"> HYPERLINK \l "_Toc13217640" </w:instrText>
                  </w:r>
                  <w:r>
                    <w:fldChar w:fldCharType="separate"/>
                  </w:r>
                  <w:r>
                    <w:rPr>
                      <w:rStyle w:val="16"/>
                      <w:rFonts w:hint="eastAsia" w:cs="宋体"/>
                      <w:b/>
                      <w:bCs/>
                    </w:rPr>
                    <w:t>本周国内片碱实际成交周汇总</w:t>
                  </w:r>
                  <w:r>
                    <w:rPr>
                      <w:rFonts w:cs="Times New Roman"/>
                    </w:rPr>
                    <w:tab/>
                  </w:r>
                  <w:r>
                    <w:fldChar w:fldCharType="begin"/>
                  </w:r>
                  <w:r>
                    <w:instrText xml:space="preserve"> PAGEREF _Toc13217640 \h </w:instrText>
                  </w:r>
                  <w:r>
                    <w:fldChar w:fldCharType="separate"/>
                  </w:r>
                  <w:r>
                    <w:t>7</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\l "_Toc13217641" </w:instrText>
                  </w:r>
                  <w:r>
                    <w:fldChar w:fldCharType="separate"/>
                  </w:r>
                  <w:r>
                    <w:rPr>
                      <w:rStyle w:val="16"/>
                      <w:rFonts w:hint="eastAsia"/>
                    </w:rPr>
                    <w:t>液氯</w:t>
                  </w:r>
                  <w:r>
                    <w:rPr>
                      <w:rFonts w:cs="Times New Roman"/>
                    </w:rPr>
                    <w:tab/>
                  </w:r>
                  <w:r>
                    <w:fldChar w:fldCharType="begin"/>
                  </w:r>
                  <w:r>
                    <w:instrText xml:space="preserve"> PAGEREF _Toc13217641 \h </w:instrText>
                  </w:r>
                  <w:r>
                    <w:fldChar w:fldCharType="separate"/>
                  </w:r>
                  <w:r>
                    <w:t>8</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"_Toc13217642" </w:instrText>
                  </w:r>
                  <w:r>
                    <w:fldChar w:fldCharType="separate"/>
                  </w:r>
                  <w:r>
                    <w:rPr>
                      <w:rStyle w:val="16"/>
                      <w:rFonts w:hint="eastAsia" w:ascii="黑体" w:hAnsi="黑体" w:eastAsia="黑体" w:cs="黑体"/>
                    </w:rPr>
                    <w:t>评述：本周国内液氯市场评述及行情预测</w:t>
                  </w:r>
                  <w:r>
                    <w:rPr>
                      <w:rFonts w:cs="Times New Roman"/>
                    </w:rPr>
                    <w:tab/>
                  </w:r>
                  <w:r>
                    <w:fldChar w:fldCharType="begin"/>
                  </w:r>
                  <w:r>
                    <w:instrText xml:space="preserve"> PAGEREF _Toc13217642 \h </w:instrText>
                  </w:r>
                  <w:r>
                    <w:fldChar w:fldCharType="separate"/>
                  </w:r>
                  <w:r>
                    <w:t>8</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"_Toc13217643" </w:instrText>
                  </w:r>
                  <w:r>
                    <w:fldChar w:fldCharType="separate"/>
                  </w:r>
                  <w:r>
                    <w:rPr>
                      <w:rStyle w:val="16"/>
                      <w:rFonts w:hint="eastAsia" w:ascii="黑体" w:hAnsi="黑体" w:eastAsia="黑体" w:cs="黑体"/>
                    </w:rPr>
                    <w:t>一、中国液氯市场行情综述</w:t>
                  </w:r>
                  <w:r>
                    <w:rPr>
                      <w:rFonts w:cs="Times New Roman"/>
                    </w:rPr>
                    <w:tab/>
                  </w:r>
                  <w:r>
                    <w:fldChar w:fldCharType="begin"/>
                  </w:r>
                  <w:r>
                    <w:instrText xml:space="preserve"> PAGEREF _Toc13217643 \h </w:instrText>
                  </w:r>
                  <w:r>
                    <w:fldChar w:fldCharType="separate"/>
                  </w:r>
                  <w:r>
                    <w:t>8</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"_Toc13217644" </w:instrText>
                  </w:r>
                  <w:r>
                    <w:fldChar w:fldCharType="separate"/>
                  </w:r>
                  <w:r>
                    <w:rPr>
                      <w:rStyle w:val="16"/>
                      <w:rFonts w:hint="eastAsia" w:ascii="黑体" w:hAnsi="黑体" w:eastAsia="黑体" w:cs="黑体"/>
                    </w:rPr>
                    <w:t>二、市场价格</w:t>
                  </w:r>
                  <w:r>
                    <w:rPr>
                      <w:rFonts w:cs="Times New Roman"/>
                    </w:rPr>
                    <w:tab/>
                  </w:r>
                  <w:r>
                    <w:fldChar w:fldCharType="begin"/>
                  </w:r>
                  <w:r>
                    <w:instrText xml:space="preserve"> PAGEREF _Toc13217644 \h </w:instrText>
                  </w:r>
                  <w:r>
                    <w:fldChar w:fldCharType="separate"/>
                  </w:r>
                  <w:r>
                    <w:t>9</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"_Toc13217645" </w:instrText>
                  </w:r>
                  <w:r>
                    <w:fldChar w:fldCharType="separate"/>
                  </w:r>
                  <w:r>
                    <w:rPr>
                      <w:rStyle w:val="16"/>
                      <w:rFonts w:hint="eastAsia" w:ascii="黑体" w:hAnsi="黑体" w:eastAsia="黑体" w:cs="黑体"/>
                    </w:rPr>
                    <w:t>三、山东市场分析</w:t>
                  </w:r>
                  <w:r>
                    <w:rPr>
                      <w:rFonts w:cs="Times New Roman"/>
                    </w:rPr>
                    <w:tab/>
                  </w:r>
                  <w:r>
                    <w:fldChar w:fldCharType="begin"/>
                  </w:r>
                  <w:r>
                    <w:instrText xml:space="preserve"> PAGEREF _Toc13217645 \h </w:instrText>
                  </w:r>
                  <w:r>
                    <w:fldChar w:fldCharType="separate"/>
                  </w:r>
                  <w:r>
                    <w:t>9</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"_Toc13217646" </w:instrText>
                  </w:r>
                  <w:r>
                    <w:fldChar w:fldCharType="separate"/>
                  </w:r>
                  <w:r>
                    <w:rPr>
                      <w:rStyle w:val="16"/>
                      <w:rFonts w:hint="eastAsia" w:ascii="黑体" w:hAnsi="黑体" w:eastAsia="黑体" w:cs="黑体"/>
                    </w:rPr>
                    <w:t>四、后市分析</w:t>
                  </w:r>
                  <w:r>
                    <w:rPr>
                      <w:rFonts w:cs="Times New Roman"/>
                    </w:rPr>
                    <w:tab/>
                  </w:r>
                  <w:r>
                    <w:fldChar w:fldCharType="begin"/>
                  </w:r>
                  <w:r>
                    <w:instrText xml:space="preserve"> PAGEREF _Toc13217646 \h </w:instrText>
                  </w:r>
                  <w:r>
                    <w:fldChar w:fldCharType="separate"/>
                  </w:r>
                  <w:r>
                    <w:t>10</w:t>
                  </w:r>
                  <w:r>
                    <w:fldChar w:fldCharType="end"/>
                  </w:r>
                  <w:r>
                    <w:fldChar w:fldCharType="end"/>
                  </w:r>
                </w:p>
                <w:p>
                  <w:pPr>
                    <w:pStyle w:val="5"/>
                    <w:tabs>
                      <w:tab w:val="right" w:leader="dot" w:pos="8494"/>
                    </w:tabs>
                    <w:ind w:left="31680"/>
                    <w:rPr>
                      <w:rFonts w:cs="Times New Roman"/>
                    </w:rPr>
                  </w:pPr>
                  <w:r>
                    <w:fldChar w:fldCharType="begin"/>
                  </w:r>
                  <w:r>
                    <w:instrText xml:space="preserve"> HYPERLINK \l "_Toc13217647" </w:instrText>
                  </w:r>
                  <w:r>
                    <w:fldChar w:fldCharType="separate"/>
                  </w:r>
                  <w:r>
                    <w:rPr>
                      <w:rStyle w:val="16"/>
                      <w:rFonts w:hint="eastAsia" w:cs="宋体"/>
                      <w:b/>
                      <w:bCs/>
                    </w:rPr>
                    <w:t>国内地区市场价格</w:t>
                  </w:r>
                  <w:r>
                    <w:rPr>
                      <w:rFonts w:cs="Times New Roman"/>
                    </w:rPr>
                    <w:tab/>
                  </w:r>
                  <w:r>
                    <w:fldChar w:fldCharType="begin"/>
                  </w:r>
                  <w:r>
                    <w:instrText xml:space="preserve"> PAGEREF _Toc13217647 \h </w:instrText>
                  </w:r>
                  <w:r>
                    <w:fldChar w:fldCharType="separate"/>
                  </w:r>
                  <w:r>
                    <w:t>10</w:t>
                  </w:r>
                  <w:r>
                    <w:fldChar w:fldCharType="end"/>
                  </w:r>
                  <w:r>
                    <w:fldChar w:fldCharType="end"/>
                  </w:r>
                </w:p>
                <w:p>
                  <w:pPr>
                    <w:rPr>
                      <w:rFonts w:cs="Times New Roman"/>
                    </w:rPr>
                  </w:pPr>
                  <w:r>
                    <w:fldChar w:fldCharType="end"/>
                  </w:r>
                </w:p>
              </w:txbxContent>
            </v:textbox>
          </v:shape>
        </w:pict>
      </w:r>
      <w:r>
        <w:rPr>
          <w:rFonts w:cs="Times New Roman"/>
        </w:rPr>
        <w:br w:type="page"/>
      </w:r>
      <w:bookmarkEnd w:id="0"/>
      <w:bookmarkStart w:id="1" w:name="_Toc536540307"/>
      <w:bookmarkStart w:id="2" w:name="_Toc525306474"/>
      <w:bookmarkStart w:id="3" w:name="_Toc530128349"/>
      <w:bookmarkStart w:id="4" w:name="_Toc534915165"/>
      <w:bookmarkStart w:id="5" w:name="_Toc9597659"/>
      <w:bookmarkStart w:id="6" w:name="_Toc518638259"/>
      <w:bookmarkStart w:id="7" w:name="_Toc536789785"/>
      <w:bookmarkStart w:id="8" w:name="_Toc521660547"/>
      <w:bookmarkStart w:id="9" w:name="_Toc485981321"/>
      <w:bookmarkStart w:id="10" w:name="_Toc4139106"/>
      <w:bookmarkStart w:id="11" w:name="_Toc528329956"/>
      <w:bookmarkStart w:id="12" w:name="_Toc4596891"/>
      <w:bookmarkStart w:id="13" w:name="_Toc10202308"/>
      <w:bookmarkStart w:id="14" w:name="_Toc9583952"/>
      <w:bookmarkStart w:id="15" w:name="_Toc521057601"/>
      <w:bookmarkStart w:id="16" w:name="_Toc518031999"/>
      <w:bookmarkStart w:id="17" w:name="_Toc522870751"/>
      <w:bookmarkStart w:id="18" w:name="_Toc522280054"/>
      <w:bookmarkStart w:id="19" w:name="_Toc529526325"/>
      <w:bookmarkStart w:id="20" w:name="_Toc524701464"/>
      <w:bookmarkStart w:id="21" w:name="_Toc527705000"/>
      <w:bookmarkStart w:id="22" w:name="_Toc522259764"/>
      <w:bookmarkStart w:id="23" w:name="_Toc522870769"/>
      <w:bookmarkStart w:id="24" w:name="_Toc4767063"/>
      <w:bookmarkStart w:id="25" w:name="_Toc511390005"/>
      <w:bookmarkStart w:id="26" w:name="_Toc525289546"/>
      <w:bookmarkStart w:id="27" w:name="_Toc536541137"/>
      <w:bookmarkStart w:id="28" w:name="_Toc522870745"/>
      <w:bookmarkStart w:id="29" w:name="_Toc533149330"/>
      <w:bookmarkStart w:id="30" w:name="_Toc8991653"/>
      <w:bookmarkStart w:id="31" w:name="_Toc1139285"/>
      <w:bookmarkStart w:id="32" w:name="_Toc513127190"/>
      <w:bookmarkStart w:id="33" w:name="_Toc516234891"/>
      <w:bookmarkStart w:id="34" w:name="_Toc525912526"/>
      <w:bookmarkStart w:id="35" w:name="_Toc535588708"/>
      <w:bookmarkStart w:id="36" w:name="_Toc524091681"/>
      <w:bookmarkStart w:id="37" w:name="_Toc515610373"/>
      <w:bookmarkStart w:id="38" w:name="_Toc8378815"/>
      <w:bookmarkStart w:id="39" w:name="_Toc531954272"/>
      <w:bookmarkStart w:id="40" w:name="_Toc520465076"/>
      <w:bookmarkStart w:id="41" w:name="_Toc528930993"/>
      <w:bookmarkStart w:id="42" w:name="_Toc530750139"/>
      <w:bookmarkStart w:id="43" w:name="_Toc4654028"/>
      <w:bookmarkStart w:id="44" w:name="_Toc1739294"/>
      <w:bookmarkStart w:id="45" w:name="_Toc532564037"/>
      <w:bookmarkStart w:id="46" w:name="_Toc1394100"/>
      <w:bookmarkStart w:id="47" w:name="_Toc392240276"/>
      <w:bookmarkStart w:id="48" w:name="_Toc525306463"/>
      <w:bookmarkStart w:id="49" w:name="_Toc522870760"/>
      <w:bookmarkStart w:id="50" w:name="_Toc13217631"/>
      <w:bookmarkStart w:id="51" w:name="_Toc519848557"/>
      <w:bookmarkStart w:id="52" w:name="_Toc534378400"/>
      <w:bookmarkStart w:id="53" w:name="_Toc12609903"/>
      <w:bookmarkStart w:id="54" w:name="_Toc528919986"/>
      <w:bookmarkStart w:id="55" w:name="_Toc517425038"/>
      <w:bookmarkStart w:id="56" w:name="_Toc527101790"/>
      <w:bookmarkStart w:id="57" w:name="_Toc532564260"/>
      <w:bookmarkStart w:id="58" w:name="_Toc516839084"/>
      <w:bookmarkStart w:id="59" w:name="_Toc516234897"/>
      <w:bookmarkStart w:id="60" w:name="_Toc536198167"/>
      <w:bookmarkStart w:id="61" w:name="_Toc8313133"/>
      <w:bookmarkStart w:id="62" w:name="_Toc1035930"/>
      <w:bookmarkStart w:id="63" w:name="_Toc532564063"/>
      <w:bookmarkStart w:id="64" w:name="_Toc300238840"/>
    </w:p>
    <w:p>
      <w:pPr>
        <w:pStyle w:val="2"/>
        <w:spacing w:line="400" w:lineRule="exact"/>
        <w:jc w:val="center"/>
        <w:rPr>
          <w:rStyle w:val="25"/>
          <w:rFonts w:ascii="黑体"/>
          <w:sz w:val="30"/>
          <w:szCs w:val="30"/>
        </w:rPr>
      </w:pPr>
      <w:r>
        <w:rPr>
          <w:rFonts w:hint="eastAsia" w:cs="黑体"/>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16234898"/>
      <w:bookmarkStart w:id="66" w:name="_Toc536540308"/>
      <w:bookmarkStart w:id="67" w:name="_Toc4596892"/>
      <w:bookmarkStart w:id="68" w:name="_Toc515610374"/>
      <w:bookmarkStart w:id="69" w:name="_Toc528329957"/>
      <w:bookmarkStart w:id="70" w:name="_Toc525306475"/>
      <w:bookmarkStart w:id="71" w:name="_Toc532564261"/>
      <w:bookmarkStart w:id="72" w:name="_Toc529526326"/>
      <w:bookmarkStart w:id="73" w:name="_Toc532564064"/>
      <w:bookmarkStart w:id="74" w:name="_Toc530750140"/>
      <w:bookmarkStart w:id="75" w:name="_Toc516234892"/>
      <w:bookmarkStart w:id="76" w:name="_Toc511390006"/>
      <w:bookmarkStart w:id="77" w:name="_Toc528930994"/>
      <w:bookmarkStart w:id="78" w:name="_Toc528919987"/>
      <w:bookmarkStart w:id="79" w:name="_Toc536789786"/>
      <w:bookmarkStart w:id="80" w:name="_Toc520465077"/>
      <w:bookmarkStart w:id="81" w:name="_Toc1139286"/>
      <w:bookmarkStart w:id="82" w:name="_Toc1035931"/>
      <w:bookmarkStart w:id="83" w:name="_Toc532564038"/>
      <w:bookmarkStart w:id="84" w:name="_Toc522280055"/>
      <w:bookmarkStart w:id="85" w:name="_Toc513127191"/>
      <w:bookmarkStart w:id="86" w:name="_Toc524091682"/>
      <w:bookmarkStart w:id="87" w:name="_Toc517425039"/>
      <w:bookmarkStart w:id="88" w:name="_Toc1394101"/>
      <w:bookmarkStart w:id="89" w:name="_Toc525289547"/>
      <w:bookmarkStart w:id="90" w:name="_Toc4139107"/>
      <w:bookmarkStart w:id="91" w:name="_Toc522870746"/>
      <w:bookmarkStart w:id="92" w:name="_Toc527705001"/>
      <w:bookmarkStart w:id="93" w:name="_Toc485981322"/>
      <w:bookmarkStart w:id="94" w:name="_Toc536541138"/>
      <w:bookmarkStart w:id="95" w:name="_Toc534915166"/>
      <w:bookmarkStart w:id="96" w:name="_Toc518638260"/>
      <w:bookmarkStart w:id="97" w:name="_Toc522870761"/>
      <w:bookmarkStart w:id="98" w:name="_Toc536198168"/>
      <w:bookmarkStart w:id="99" w:name="_Toc392240277"/>
      <w:bookmarkStart w:id="100" w:name="_Toc524701465"/>
      <w:bookmarkStart w:id="101" w:name="_Toc519848558"/>
      <w:bookmarkStart w:id="102" w:name="_Toc518032000"/>
      <w:bookmarkStart w:id="103" w:name="_Toc535588709"/>
      <w:bookmarkStart w:id="104" w:name="_Toc522870770"/>
      <w:bookmarkStart w:id="105" w:name="_Toc527101791"/>
      <w:bookmarkStart w:id="106" w:name="_Toc1739295"/>
      <w:bookmarkStart w:id="107" w:name="_Toc525306464"/>
      <w:bookmarkStart w:id="108" w:name="_Toc533149331"/>
      <w:bookmarkStart w:id="109" w:name="_Toc525912527"/>
      <w:bookmarkStart w:id="110" w:name="_Toc534378401"/>
      <w:bookmarkStart w:id="111" w:name="_Toc530128350"/>
      <w:bookmarkStart w:id="112" w:name="_Toc522259765"/>
      <w:bookmarkStart w:id="113" w:name="_Toc521057602"/>
      <w:bookmarkStart w:id="114" w:name="_Toc4654029"/>
      <w:bookmarkStart w:id="115" w:name="_Toc531954273"/>
      <w:bookmarkStart w:id="116" w:name="_Toc521660548"/>
      <w:bookmarkStart w:id="117" w:name="_Toc522870752"/>
      <w:bookmarkStart w:id="118" w:name="_Toc516839085"/>
    </w:p>
    <w:p>
      <w:pPr>
        <w:pStyle w:val="3"/>
        <w:snapToGrid w:val="0"/>
        <w:spacing w:before="0" w:after="0" w:line="400" w:lineRule="exact"/>
        <w:ind w:right="-145" w:rightChars="-69" w:firstLine="602" w:firstLineChars="200"/>
        <w:rPr>
          <w:rFonts w:cs="Times New Roman"/>
        </w:rPr>
      </w:pPr>
      <w:bookmarkStart w:id="119" w:name="_Toc9597660"/>
      <w:bookmarkStart w:id="120" w:name="_Toc8991654"/>
      <w:bookmarkStart w:id="121" w:name="_Toc9583953"/>
      <w:bookmarkStart w:id="122" w:name="_Toc12609904"/>
      <w:bookmarkStart w:id="123" w:name="_Toc8313134"/>
      <w:bookmarkStart w:id="124" w:name="_Toc10202309"/>
      <w:bookmarkStart w:id="125" w:name="_Toc4767064"/>
      <w:bookmarkStart w:id="126" w:name="_Toc13217632"/>
      <w:bookmarkStart w:id="127" w:name="_Toc8378816"/>
      <w:r>
        <w:rPr>
          <w:rStyle w:val="25"/>
          <w:rFonts w:hint="eastAsia" w:ascii="黑体" w:hAnsi="黑体" w:eastAsia="黑体" w:cs="黑体"/>
          <w:sz w:val="30"/>
          <w:szCs w:val="30"/>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27"/>
        <w:widowControl/>
        <w:spacing w:line="400" w:lineRule="exact"/>
        <w:ind w:firstLine="31680"/>
        <w:jc w:val="left"/>
        <w:outlineLvl w:val="1"/>
        <w:rPr>
          <w:rFonts w:ascii="黑体" w:hAnsi="黑体" w:eastAsia="黑体" w:cs="Times New Roman"/>
          <w:kern w:val="0"/>
          <w:sz w:val="30"/>
          <w:szCs w:val="30"/>
        </w:rPr>
      </w:pPr>
      <w:bookmarkStart w:id="128" w:name="_Toc9597661"/>
      <w:bookmarkStart w:id="129" w:name="_Toc8378817"/>
      <w:bookmarkStart w:id="130" w:name="_Toc13217633"/>
      <w:bookmarkStart w:id="131" w:name="_Toc10202310"/>
      <w:bookmarkStart w:id="132" w:name="_Toc4767065"/>
      <w:bookmarkStart w:id="133" w:name="_Toc4654030"/>
      <w:bookmarkStart w:id="134" w:name="_Toc4596893"/>
      <w:bookmarkStart w:id="135" w:name="_Toc8991655"/>
      <w:bookmarkStart w:id="136" w:name="_Toc12609905"/>
      <w:bookmarkStart w:id="137" w:name="_Toc8313135"/>
      <w:bookmarkStart w:id="138" w:name="_Toc9583954"/>
      <w:r>
        <w:rPr>
          <w:rFonts w:ascii="黑体" w:hAnsi="黑体" w:eastAsia="黑体" w:cs="Times New Roman"/>
          <w:kern w:val="0"/>
          <w:sz w:val="30"/>
          <w:szCs w:val="30"/>
        </w:rPr>
        <w:br w:type="textWrapping"/>
      </w:r>
    </w:p>
    <w:p>
      <w:pPr>
        <w:pStyle w:val="27"/>
        <w:widowControl/>
        <w:spacing w:line="400" w:lineRule="exact"/>
        <w:ind w:firstLine="31680"/>
        <w:jc w:val="left"/>
        <w:outlineLvl w:val="1"/>
        <w:rPr>
          <w:rFonts w:ascii="黑体" w:hAnsi="黑体" w:eastAsia="黑体" w:cs="Times New Roman"/>
          <w:sz w:val="30"/>
          <w:szCs w:val="30"/>
        </w:rPr>
      </w:pPr>
      <w:r>
        <w:rPr>
          <w:rFonts w:hint="eastAsia" w:ascii="黑体" w:hAnsi="黑体" w:eastAsia="黑体" w:cs="黑体"/>
          <w:kern w:val="0"/>
          <w:sz w:val="30"/>
          <w:szCs w:val="30"/>
        </w:rPr>
        <w:t>一、纯碱市场一周</w:t>
      </w:r>
      <w:bookmarkStart w:id="139" w:name="_Toc392240278"/>
      <w:r>
        <w:rPr>
          <w:rFonts w:hint="eastAsia" w:ascii="黑体" w:hAnsi="黑体" w:eastAsia="黑体" w:cs="黑体"/>
          <w:kern w:val="0"/>
          <w:sz w:val="30"/>
          <w:szCs w:val="30"/>
        </w:rPr>
        <w:t>综述</w:t>
      </w:r>
      <w:bookmarkEnd w:id="128"/>
      <w:bookmarkEnd w:id="129"/>
      <w:bookmarkEnd w:id="130"/>
      <w:bookmarkEnd w:id="131"/>
      <w:bookmarkEnd w:id="132"/>
      <w:bookmarkEnd w:id="133"/>
      <w:bookmarkEnd w:id="134"/>
      <w:bookmarkEnd w:id="135"/>
      <w:bookmarkEnd w:id="136"/>
      <w:bookmarkEnd w:id="137"/>
      <w:bookmarkEnd w:id="138"/>
    </w:p>
    <w:p>
      <w:pPr>
        <w:pStyle w:val="12"/>
        <w:keepNext w:val="0"/>
        <w:keepLines w:val="0"/>
        <w:widowControl/>
        <w:suppressLineNumbers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周纯碱现货成交价格仍以10-50元/吨等不等幅度在继续变化，期货09主力合约价格在多因素助推中维持上下震荡。一方面，河南、江苏等地低价虽有筑底表现，但因需端灵活采购影响，导致上游企业不免持续竞争抢单，加大市场价格止跌阻力；另一方面行业库存矛盾只增无减的表现，让业者参与情绪悲观，导致综合行情跌势无下限。本周东北、华南、西南等地运距不复存在，市场主流成交价格持续向华中、华东及华北等地成交价格靠拢，一些联碱厂家依靠偏低出厂价位不断向更多远距运输半径的客户输送货源，进一步使得市场目前完全失去常规合理区域价差，整体趋向统一到货低价，轻碱用户主流到站价格在1200-1250元/吨，重碱主流到站价格在1250-1300元/吨不等。</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供应端：据统计，全国纯碱总产能为3307万吨，截止5月21日，纯碱运行产能共计2230万吨，开工率67%，较上周↓3个百分点。湘俞盐化于本周停机，云维盐化装置开产推迟、另外河南骏化开产减量、青海区域厂家普遍降负荷开产，整体持续作用减产，进一步扩大供应提振影响。使得全行业开工实现限产7成表现，但全行业库存仍未见明显好转迹象。</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需求端：平板玻璃自身产品滞销影响其开产减量2-3成，加上部分产线冷修提前，对重质纯碱需求有减量；另外日用玻璃、焦亚硫酸、泡花碱、两钠、冶金、印染、水处理等多行业需求较弱，且少量厂家减产停机增大轻碱需求量缩减表现。</w:t>
      </w:r>
    </w:p>
    <w:p>
      <w:pPr>
        <w:pStyle w:val="12"/>
        <w:keepNext w:val="0"/>
        <w:keepLines w:val="0"/>
        <w:widowControl/>
        <w:suppressLineNumbers w:val="0"/>
        <w:ind w:left="0" w:firstLine="420"/>
        <w:rPr>
          <w:rFonts w:hint="eastAsia" w:ascii="仿宋" w:hAnsi="仿宋" w:eastAsia="仿宋" w:cs="仿宋"/>
          <w:kern w:val="2"/>
          <w:sz w:val="28"/>
          <w:szCs w:val="28"/>
        </w:rPr>
      </w:pPr>
    </w:p>
    <w:p>
      <w:pPr>
        <w:pStyle w:val="12"/>
        <w:keepNext w:val="0"/>
        <w:keepLines w:val="0"/>
        <w:widowControl/>
        <w:suppressLineNumbers w:val="0"/>
        <w:rPr>
          <w:rFonts w:ascii="仿宋" w:hAnsi="仿宋" w:eastAsia="仿宋" w:cs="Times New Roman"/>
          <w:kern w:val="2"/>
          <w:sz w:val="28"/>
          <w:szCs w:val="28"/>
        </w:rPr>
      </w:pPr>
    </w:p>
    <w:p>
      <w:pPr>
        <w:pStyle w:val="27"/>
        <w:widowControl/>
        <w:spacing w:line="400" w:lineRule="exact"/>
        <w:ind w:firstLine="31680"/>
        <w:jc w:val="left"/>
        <w:outlineLvl w:val="1"/>
        <w:rPr>
          <w:rFonts w:ascii="黑体" w:hAnsi="黑体" w:eastAsia="黑体" w:cs="Times New Roman"/>
          <w:kern w:val="0"/>
          <w:sz w:val="30"/>
          <w:szCs w:val="30"/>
        </w:rPr>
      </w:pPr>
      <w:r>
        <w:rPr>
          <w:rFonts w:hint="eastAsia" w:ascii="黑体" w:hAnsi="黑体" w:eastAsia="黑体" w:cs="黑体"/>
          <w:kern w:val="0"/>
          <w:sz w:val="30"/>
          <w:szCs w:val="30"/>
        </w:rPr>
        <w:t>三、供应端：</w:t>
      </w:r>
    </w:p>
    <w:p>
      <w:pPr>
        <w:pStyle w:val="12"/>
        <w:keepNext w:val="0"/>
        <w:keepLines w:val="0"/>
        <w:widowControl/>
        <w:suppressLineNumbers w:val="0"/>
        <w:ind w:firstLine="560" w:firstLineChars="200"/>
        <w:rPr>
          <w:rFonts w:hint="eastAsia" w:ascii="仿宋" w:hAnsi="仿宋" w:eastAsia="仿宋" w:cs="仿宋"/>
          <w:kern w:val="2"/>
          <w:sz w:val="28"/>
          <w:szCs w:val="28"/>
          <w:lang w:val="en-US" w:eastAsia="zh-CN" w:bidi="ar-SA"/>
        </w:rPr>
      </w:pPr>
      <w:bookmarkStart w:id="140" w:name="_Toc4767066"/>
      <w:bookmarkStart w:id="141" w:name="_Toc10202311"/>
      <w:bookmarkStart w:id="142" w:name="_Toc8313136"/>
      <w:bookmarkStart w:id="143" w:name="_Toc8378818"/>
      <w:bookmarkStart w:id="144" w:name="_Toc13217634"/>
      <w:bookmarkStart w:id="145" w:name="_Toc9583955"/>
      <w:bookmarkStart w:id="146" w:name="_Toc8991656"/>
      <w:bookmarkStart w:id="147" w:name="_Toc12609906"/>
      <w:bookmarkStart w:id="148" w:name="_Toc9597662"/>
      <w:bookmarkStart w:id="149" w:name="_Toc4596894"/>
      <w:bookmarkStart w:id="150" w:name="_Toc4654031"/>
      <w:r>
        <w:rPr>
          <w:rFonts w:hint="eastAsia" w:ascii="仿宋" w:hAnsi="仿宋" w:eastAsia="仿宋" w:cs="仿宋"/>
          <w:kern w:val="2"/>
          <w:sz w:val="28"/>
          <w:szCs w:val="28"/>
          <w:lang w:val="en-US" w:eastAsia="zh-CN" w:bidi="ar-SA"/>
        </w:rPr>
        <w:t>轻碱主流含税出厂价格：东北地区含税出厂价在1300-1380元/吨；河北 地区含税出厂价1180-1330元/吨；山东地区含税出厂价1200-1330元/吨 ；江苏地区主流含税出厂价1050-1300元/吨；杭州地区含税出厂价 1200-1280元/吨；福建地区含税出厂价1100-1200元/吨；广东地区含税 出厂价1280-1380元/吨；华中地区主流含税出价1050-1200元/吨；西北 地区含税出厂价1050-1200元/吨，其中青海区域含税出厂价1050-1150 元/吨；川渝区域含税出价1100-1300元/吨；云贵地区含税出价1280- 1330元/吨；江西区域含税出价1150-1200元/吨。</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重碱主流含税送到价格：目前华北地区重碱含税送到1230-1350元/ 吨，沙河区域含税送达1230-1350元/吨（现汇价格）；华中区域含税送 到价格在1230-1350元/吨；西北区域含税出厂价1100-1300元/吨；川渝 区域含税送到1350-1450元/吨；东北区域重碱主流含税送到1350-1480 元/吨；广东重碱到货主流含税价格1350-1400元/吨，少量远距散单到 货价格在1450元/吨；华东片区主流含税送到1260-1380元/吨。</w:t>
      </w:r>
    </w:p>
    <w:p>
      <w:pPr>
        <w:pStyle w:val="12"/>
        <w:keepNext w:val="0"/>
        <w:keepLines w:val="0"/>
        <w:widowControl/>
        <w:suppressLineNumbers w:val="0"/>
        <w:rPr>
          <w:rFonts w:hint="eastAsia" w:ascii="仿宋" w:hAnsi="仿宋" w:eastAsia="仿宋" w:cs="仿宋"/>
          <w:kern w:val="2"/>
          <w:sz w:val="28"/>
          <w:szCs w:val="28"/>
        </w:rPr>
      </w:pPr>
    </w:p>
    <w:p>
      <w:pPr>
        <w:pStyle w:val="12"/>
        <w:keepNext w:val="0"/>
        <w:keepLines w:val="0"/>
        <w:widowControl/>
        <w:suppressLineNumbers w:val="0"/>
        <w:ind w:left="0" w:firstLine="420"/>
        <w:rPr>
          <w:rFonts w:ascii="仿宋" w:hAnsi="仿宋" w:eastAsia="仿宋" w:cs="Times New Roman"/>
          <w:sz w:val="28"/>
          <w:szCs w:val="28"/>
        </w:rPr>
      </w:pPr>
    </w:p>
    <w:p>
      <w:pPr>
        <w:widowControl/>
        <w:numPr>
          <w:ilvl w:val="0"/>
          <w:numId w:val="1"/>
        </w:numPr>
        <w:ind w:firstLine="600" w:firstLineChars="200"/>
        <w:jc w:val="left"/>
        <w:outlineLvl w:val="1"/>
        <w:rPr>
          <w:rFonts w:ascii="黑体" w:hAnsi="黑体" w:eastAsia="黑体" w:cs="Times New Roman"/>
          <w:sz w:val="30"/>
          <w:szCs w:val="30"/>
        </w:rPr>
      </w:pPr>
      <w:r>
        <w:rPr>
          <w:rFonts w:hint="eastAsia" w:ascii="黑体" w:hAnsi="黑体" w:eastAsia="黑体" w:cs="黑体"/>
          <w:sz w:val="30"/>
          <w:szCs w:val="30"/>
        </w:rPr>
        <w:t>影响市场因素及后市预测</w:t>
      </w:r>
      <w:bookmarkEnd w:id="140"/>
      <w:bookmarkEnd w:id="141"/>
      <w:bookmarkEnd w:id="142"/>
      <w:bookmarkEnd w:id="143"/>
      <w:bookmarkEnd w:id="144"/>
      <w:bookmarkEnd w:id="145"/>
      <w:bookmarkEnd w:id="146"/>
      <w:bookmarkEnd w:id="147"/>
      <w:bookmarkEnd w:id="148"/>
      <w:bookmarkEnd w:id="149"/>
      <w:bookmarkEnd w:id="150"/>
    </w:p>
    <w:p>
      <w:pPr>
        <w:widowControl/>
        <w:ind w:firstLine="420"/>
        <w:jc w:val="left"/>
        <w:rPr>
          <w:rFonts w:ascii="仿宋" w:hAnsi="仿宋" w:eastAsia="仿宋" w:cs="Times New Roman"/>
          <w:sz w:val="28"/>
          <w:szCs w:val="28"/>
        </w:rPr>
      </w:pPr>
    </w:p>
    <w:p>
      <w:pPr>
        <w:pStyle w:val="12"/>
        <w:keepNext w:val="0"/>
        <w:keepLines w:val="0"/>
        <w:widowControl/>
        <w:suppressLineNumbers w:val="0"/>
        <w:ind w:left="0" w:firstLine="420"/>
        <w:rPr>
          <w:rFonts w:hint="eastAsia" w:ascii="仿宋" w:hAnsi="仿宋" w:eastAsia="仿宋" w:cs="仿宋"/>
          <w:kern w:val="2"/>
          <w:sz w:val="28"/>
          <w:szCs w:val="28"/>
          <w:lang w:val="en-US" w:eastAsia="zh-CN" w:bidi="ar-SA"/>
        </w:rPr>
      </w:pPr>
      <w:bookmarkStart w:id="151" w:name="_Toc13217635"/>
      <w:bookmarkStart w:id="152" w:name="_Toc4596895"/>
      <w:bookmarkStart w:id="153" w:name="_Toc10202312"/>
      <w:bookmarkStart w:id="154" w:name="_Toc9583956"/>
      <w:bookmarkStart w:id="155" w:name="_Toc4767067"/>
      <w:bookmarkStart w:id="156" w:name="_Toc4654032"/>
      <w:bookmarkStart w:id="157" w:name="_Toc8313137"/>
      <w:bookmarkStart w:id="158" w:name="_Toc8378819"/>
      <w:bookmarkStart w:id="159" w:name="_Toc12609907"/>
      <w:bookmarkStart w:id="160" w:name="_Toc8991657"/>
      <w:bookmarkStart w:id="161" w:name="_Toc9597663"/>
      <w:r>
        <w:rPr>
          <w:rFonts w:hint="eastAsia" w:ascii="仿宋" w:hAnsi="仿宋" w:eastAsia="仿宋" w:cs="仿宋"/>
          <w:kern w:val="2"/>
          <w:sz w:val="28"/>
          <w:szCs w:val="28"/>
          <w:lang w:val="en-US" w:eastAsia="zh-CN" w:bidi="ar-SA"/>
        </w:rPr>
        <w:t>一，纯碱企业减产检修增多有抑制库存上升影响；二，下游用户谨慎采购情绪延续导致市场价格无下限探底；三，虽然供应矛盾仍需上游纯碱装置开产调节控制增库，但下游需求不提振持续弱行仍难以扭转未来局面。后市，纯碱市场转机除了寄希望于大量纯碱装置减产及检修带来的供应减量影响，更大程度的影响仍需依靠市场需求提振。</w:t>
      </w:r>
    </w:p>
    <w:p>
      <w:pPr>
        <w:widowControl/>
        <w:ind w:firstLine="602" w:firstLineChars="200"/>
        <w:jc w:val="left"/>
        <w:outlineLvl w:val="2"/>
        <w:rPr>
          <w:rStyle w:val="25"/>
          <w:rFonts w:cs="Times New Roman"/>
          <w:b/>
          <w:bCs/>
          <w:sz w:val="30"/>
          <w:szCs w:val="30"/>
        </w:rPr>
      </w:pPr>
      <w:r>
        <w:rPr>
          <w:rStyle w:val="25"/>
          <w:rFonts w:hint="eastAsia" w:cs="宋体"/>
          <w:b/>
          <w:bCs/>
          <w:sz w:val="30"/>
          <w:szCs w:val="30"/>
        </w:rPr>
        <w:t>本周国内纯碱市场价格</w:t>
      </w:r>
      <w:bookmarkEnd w:id="139"/>
      <w:bookmarkEnd w:id="151"/>
      <w:bookmarkEnd w:id="152"/>
      <w:bookmarkEnd w:id="153"/>
      <w:bookmarkEnd w:id="154"/>
      <w:bookmarkEnd w:id="155"/>
      <w:bookmarkEnd w:id="156"/>
      <w:bookmarkEnd w:id="157"/>
      <w:bookmarkEnd w:id="158"/>
      <w:bookmarkEnd w:id="159"/>
      <w:bookmarkEnd w:id="160"/>
      <w:bookmarkEnd w:id="161"/>
    </w:p>
    <w:p>
      <w:pPr>
        <w:widowControl/>
        <w:ind w:firstLine="602" w:firstLineChars="200"/>
        <w:jc w:val="left"/>
        <w:outlineLvl w:val="2"/>
        <w:rPr>
          <w:rStyle w:val="25"/>
          <w:rFonts w:cs="Times New Roman"/>
          <w:b/>
          <w:bCs/>
          <w:sz w:val="30"/>
          <w:szCs w:val="30"/>
        </w:rPr>
      </w:pPr>
    </w:p>
    <w:tbl>
      <w:tblPr>
        <w:tblStyle w:val="13"/>
        <w:tblW w:w="8720" w:type="dxa"/>
        <w:tblInd w:w="-106" w:type="dxa"/>
        <w:tblLayout w:type="fixed"/>
        <w:tblCellMar>
          <w:top w:w="0" w:type="dxa"/>
          <w:left w:w="108" w:type="dxa"/>
          <w:bottom w:w="0" w:type="dxa"/>
          <w:right w:w="108" w:type="dxa"/>
        </w:tblCellMar>
      </w:tblPr>
      <w:tblGrid>
        <w:gridCol w:w="1503"/>
        <w:gridCol w:w="1441"/>
        <w:gridCol w:w="1444"/>
        <w:gridCol w:w="1444"/>
        <w:gridCol w:w="1444"/>
        <w:gridCol w:w="1444"/>
      </w:tblGrid>
      <w:tr>
        <w:tblPrEx>
          <w:tblCellMar>
            <w:top w:w="0" w:type="dxa"/>
            <w:left w:w="108" w:type="dxa"/>
            <w:bottom w:w="0" w:type="dxa"/>
            <w:right w:w="108" w:type="dxa"/>
          </w:tblCellMar>
        </w:tblPrEx>
        <w:trPr>
          <w:trHeight w:val="285" w:hRule="atLeast"/>
        </w:trPr>
        <w:tc>
          <w:tcPr>
            <w:tcW w:w="1503"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441"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重质碱</w:t>
            </w:r>
          </w:p>
        </w:tc>
      </w:tr>
      <w:tr>
        <w:tblPrEx>
          <w:tblCellMar>
            <w:top w:w="0" w:type="dxa"/>
            <w:left w:w="108" w:type="dxa"/>
            <w:bottom w:w="0" w:type="dxa"/>
            <w:right w:w="108" w:type="dxa"/>
          </w:tblCellMar>
        </w:tblPrEx>
        <w:trPr>
          <w:trHeight w:val="285" w:hRule="atLeast"/>
        </w:trPr>
        <w:tc>
          <w:tcPr>
            <w:tcW w:w="150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Times New Roman"/>
                <w:b/>
                <w:bCs/>
                <w:color w:val="000000"/>
                <w:kern w:val="0"/>
                <w:sz w:val="20"/>
                <w:szCs w:val="20"/>
              </w:rPr>
            </w:pPr>
          </w:p>
        </w:tc>
        <w:tc>
          <w:tcPr>
            <w:tcW w:w="144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Times New Roman"/>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ascii="宋体" w:hAnsi="宋体" w:eastAsia="宋体" w:cs="宋体"/>
                <w:color w:val="000000"/>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05</w:t>
            </w:r>
            <w:r>
              <w:rPr>
                <w:rFonts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33</w:t>
            </w:r>
            <w:r>
              <w:rPr>
                <w:rFonts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26</w:t>
            </w:r>
            <w:r>
              <w:rPr>
                <w:rFonts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36</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9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eastAsia" w:ascii="宋体" w:hAnsi="宋体" w:cs="宋体"/>
                <w:color w:val="000000"/>
                <w:kern w:val="0"/>
                <w:sz w:val="20"/>
                <w:szCs w:val="20"/>
                <w:lang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28</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rPr>
                <w:rFonts w:cs="Times New Roman"/>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38</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rPr>
                <w:rFonts w:cs="Times New Roman"/>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rPr>
                <w:rFonts w:cs="Times New Roman"/>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40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15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33</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东北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38</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148</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33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西南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10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45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华中</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05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23</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ascii="宋体" w:hAnsi="宋体" w:cs="宋体"/>
                <w:color w:val="000000"/>
                <w:kern w:val="0"/>
                <w:sz w:val="20"/>
                <w:szCs w:val="20"/>
                <w:lang w:val="en-US"/>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西北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05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10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30</w:t>
            </w:r>
            <w:r>
              <w:rPr>
                <w:rFonts w:ascii="宋体" w:hAnsi="宋体" w:cs="宋体"/>
                <w:color w:val="000000"/>
                <w:kern w:val="0"/>
                <w:sz w:val="20"/>
                <w:szCs w:val="20"/>
              </w:rPr>
              <w:t>0</w:t>
            </w:r>
          </w:p>
        </w:tc>
      </w:tr>
    </w:tbl>
    <w:p>
      <w:pPr>
        <w:pStyle w:val="2"/>
        <w:spacing w:line="400" w:lineRule="exact"/>
        <w:ind w:left="3847" w:leftChars="608" w:hanging="2570" w:hangingChars="800"/>
        <w:rPr>
          <w:rFonts w:ascii="黑体"/>
          <w:sz w:val="30"/>
          <w:szCs w:val="30"/>
        </w:rPr>
      </w:pPr>
      <w:bookmarkStart w:id="162" w:name="_Toc525912528"/>
      <w:bookmarkStart w:id="163" w:name="_Toc528930995"/>
      <w:bookmarkStart w:id="164" w:name="_Toc1394102"/>
      <w:bookmarkStart w:id="165" w:name="_Toc529526327"/>
      <w:bookmarkStart w:id="166" w:name="_Toc525289548"/>
      <w:bookmarkStart w:id="167" w:name="_Toc522280056"/>
      <w:bookmarkStart w:id="168" w:name="_Toc1739296"/>
      <w:bookmarkStart w:id="169" w:name="_Toc536541139"/>
      <w:bookmarkStart w:id="170" w:name="_Toc533149332"/>
      <w:bookmarkStart w:id="171" w:name="_Toc534915167"/>
      <w:bookmarkStart w:id="172" w:name="_Toc525306465"/>
      <w:bookmarkStart w:id="173" w:name="_Toc522870762"/>
      <w:bookmarkStart w:id="174" w:name="_Toc4654033"/>
      <w:bookmarkStart w:id="175" w:name="_Toc532564039"/>
      <w:bookmarkStart w:id="176" w:name="_Toc532564262"/>
      <w:bookmarkStart w:id="177" w:name="_Toc531954274"/>
      <w:bookmarkStart w:id="178" w:name="_Toc525306476"/>
      <w:bookmarkStart w:id="179" w:name="_Toc532564065"/>
      <w:bookmarkStart w:id="180" w:name="_Toc513127192"/>
      <w:bookmarkStart w:id="181" w:name="_Toc524701466"/>
      <w:bookmarkStart w:id="182" w:name="_Toc515610375"/>
      <w:bookmarkStart w:id="183" w:name="_Toc511390007"/>
      <w:bookmarkStart w:id="184" w:name="_Toc517425040"/>
      <w:bookmarkStart w:id="185" w:name="_Toc527101792"/>
      <w:bookmarkStart w:id="186" w:name="_Toc8991658"/>
      <w:bookmarkStart w:id="187" w:name="_Toc9597664"/>
      <w:bookmarkStart w:id="188" w:name="_Toc9583957"/>
      <w:bookmarkStart w:id="189" w:name="_Toc536789787"/>
      <w:bookmarkStart w:id="190" w:name="_Toc536540309"/>
      <w:bookmarkStart w:id="191" w:name="_Toc10202313"/>
      <w:bookmarkStart w:id="192" w:name="_Toc8378820"/>
      <w:bookmarkStart w:id="193" w:name="_Toc4767068"/>
      <w:bookmarkStart w:id="194" w:name="_Toc12609908"/>
      <w:bookmarkStart w:id="195" w:name="_Toc8313138"/>
      <w:bookmarkStart w:id="196" w:name="_Toc516234893"/>
      <w:bookmarkStart w:id="197" w:name="_Toc485981323"/>
      <w:bookmarkStart w:id="198" w:name="_Toc1035932"/>
      <w:bookmarkStart w:id="199" w:name="_Toc527705002"/>
      <w:bookmarkStart w:id="200" w:name="_Toc522870753"/>
      <w:bookmarkStart w:id="201" w:name="_Toc535588710"/>
      <w:bookmarkStart w:id="202" w:name="_Toc519848559"/>
      <w:bookmarkStart w:id="203" w:name="_Toc1139287"/>
      <w:bookmarkStart w:id="204" w:name="_Toc4139108"/>
      <w:bookmarkStart w:id="205" w:name="_Toc518032001"/>
      <w:bookmarkStart w:id="206" w:name="_Toc522870771"/>
      <w:bookmarkStart w:id="207" w:name="_Toc534378402"/>
      <w:bookmarkStart w:id="208" w:name="_Toc536198169"/>
      <w:bookmarkStart w:id="209" w:name="_Toc522259766"/>
      <w:bookmarkStart w:id="210" w:name="_Toc13217636"/>
      <w:bookmarkStart w:id="211" w:name="_Toc516234899"/>
      <w:bookmarkStart w:id="212" w:name="_Toc518638261"/>
      <w:bookmarkStart w:id="213" w:name="_Toc520465078"/>
      <w:bookmarkStart w:id="214" w:name="_Toc521660549"/>
      <w:bookmarkStart w:id="215" w:name="_Toc528329958"/>
      <w:bookmarkStart w:id="216" w:name="_Toc516839086"/>
      <w:bookmarkStart w:id="217" w:name="_Toc4596896"/>
      <w:bookmarkStart w:id="218" w:name="_Toc530128351"/>
      <w:bookmarkStart w:id="219" w:name="_Toc521057603"/>
      <w:bookmarkStart w:id="220" w:name="_Toc528919988"/>
      <w:bookmarkStart w:id="221" w:name="_Toc392240279"/>
      <w:bookmarkStart w:id="222" w:name="_Toc522870747"/>
      <w:bookmarkStart w:id="223" w:name="_Toc530750141"/>
      <w:bookmarkStart w:id="224" w:name="_Toc524091683"/>
      <w:r>
        <w:br w:type="textWrapping"/>
      </w:r>
      <w:r>
        <w:br w:type="textWrapping"/>
      </w:r>
      <w:r>
        <w:br w:type="textWrapping"/>
      </w:r>
      <w:r>
        <w:rPr>
          <w:rFonts w:hint="eastAsia" w:cs="黑体"/>
        </w:rPr>
        <w:t>烧碱</w:t>
      </w:r>
      <w:bookmarkEnd w:id="6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252539754"/>
      <w:bookmarkStart w:id="226" w:name="_Toc300238848"/>
      <w:bookmarkStart w:id="227" w:name="_Toc4596897"/>
      <w:bookmarkStart w:id="228" w:name="_Toc4654034"/>
      <w:bookmarkStart w:id="229" w:name="_Toc295403449"/>
      <w:bookmarkStart w:id="230" w:name="_Toc250731925"/>
      <w:bookmarkStart w:id="231" w:name="_Toc8991659"/>
      <w:bookmarkStart w:id="232" w:name="_Toc9583958"/>
      <w:bookmarkStart w:id="233" w:name="_Toc9597665"/>
      <w:bookmarkStart w:id="234" w:name="_Toc13217637"/>
      <w:bookmarkStart w:id="235" w:name="_Toc12609909"/>
      <w:bookmarkStart w:id="236" w:name="_Toc4767069"/>
      <w:bookmarkStart w:id="237" w:name="_Toc8378821"/>
      <w:bookmarkStart w:id="238" w:name="_Toc8313139"/>
      <w:bookmarkStart w:id="239" w:name="_Toc10202314"/>
      <w:r>
        <w:rPr>
          <w:rFonts w:ascii="黑体"/>
          <w:sz w:val="30"/>
          <w:szCs w:val="30"/>
        </w:rPr>
        <w:br w:type="textWrapping"/>
      </w:r>
      <w:r>
        <w:rPr>
          <w:rFonts w:ascii="黑体"/>
          <w:sz w:val="30"/>
          <w:szCs w:val="30"/>
        </w:rPr>
        <w:br w:type="textWrapping"/>
      </w:r>
    </w:p>
    <w:p>
      <w:pPr>
        <w:spacing w:line="400" w:lineRule="exact"/>
        <w:ind w:firstLine="602" w:firstLineChars="200"/>
        <w:outlineLvl w:val="1"/>
        <w:rPr>
          <w:rFonts w:ascii="黑体" w:hAnsi="黑体" w:eastAsia="黑体" w:cs="Times New Roman"/>
          <w:b/>
          <w:bCs/>
          <w:sz w:val="30"/>
          <w:szCs w:val="30"/>
        </w:rPr>
      </w:pPr>
      <w:r>
        <w:rPr>
          <w:rFonts w:hint="eastAsia" w:ascii="黑体" w:hAnsi="黑体" w:eastAsia="黑体" w:cs="黑体"/>
          <w:b/>
          <w:bCs/>
          <w:sz w:val="30"/>
          <w:szCs w:val="30"/>
        </w:rPr>
        <w:t>中国烧碱市场行情综述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0" w:name="_Toc300238850"/>
      <w:bookmarkStart w:id="241" w:name="_Toc295403451"/>
      <w:bookmarkStart w:id="242" w:name="_Toc264643747"/>
      <w:bookmarkStart w:id="243" w:name="_Toc392240280"/>
    </w:p>
    <w:p>
      <w:pPr>
        <w:spacing w:line="400" w:lineRule="exact"/>
        <w:ind w:firstLine="602" w:firstLineChars="200"/>
        <w:outlineLvl w:val="1"/>
        <w:rPr>
          <w:rFonts w:ascii="黑体" w:hAnsi="黑体" w:eastAsia="黑体" w:cs="Times New Roman"/>
          <w:b/>
          <w:bCs/>
          <w:sz w:val="30"/>
          <w:szCs w:val="30"/>
        </w:rPr>
      </w:pPr>
    </w:p>
    <w:p>
      <w:pPr>
        <w:pStyle w:val="12"/>
        <w:numPr>
          <w:ilvl w:val="0"/>
          <w:numId w:val="2"/>
        </w:numPr>
        <w:spacing w:before="0" w:beforeAutospacing="0" w:after="0" w:afterAutospacing="0" w:line="400" w:lineRule="exact"/>
        <w:ind w:left="1321"/>
        <w:outlineLvl w:val="1"/>
        <w:rPr>
          <w:rFonts w:ascii="黑体" w:hAnsi="黑体" w:eastAsia="黑体" w:cs="Times New Roman"/>
          <w:sz w:val="30"/>
          <w:szCs w:val="30"/>
        </w:rPr>
      </w:pPr>
      <w:bookmarkStart w:id="244" w:name="_Toc10202315"/>
      <w:bookmarkStart w:id="245" w:name="_Toc8991660"/>
      <w:bookmarkStart w:id="246" w:name="_Toc12609910"/>
      <w:bookmarkStart w:id="247" w:name="_Toc8313140"/>
      <w:bookmarkStart w:id="248" w:name="_Toc13217638"/>
      <w:bookmarkStart w:id="249" w:name="_Toc4767070"/>
      <w:bookmarkStart w:id="250" w:name="_Toc9583959"/>
      <w:bookmarkStart w:id="251" w:name="_Toc4654035"/>
      <w:bookmarkStart w:id="252" w:name="_Toc4596898"/>
      <w:bookmarkStart w:id="253" w:name="_Toc9597666"/>
      <w:bookmarkStart w:id="254" w:name="_Toc8378822"/>
      <w:r>
        <w:rPr>
          <w:rFonts w:hint="eastAsia" w:ascii="黑体" w:hAnsi="黑体" w:eastAsia="黑体" w:cs="黑体"/>
          <w:sz w:val="30"/>
          <w:szCs w:val="30"/>
        </w:rPr>
        <w:t>市场综述</w:t>
      </w:r>
      <w:bookmarkEnd w:id="244"/>
      <w:bookmarkEnd w:id="245"/>
      <w:bookmarkEnd w:id="246"/>
      <w:bookmarkEnd w:id="247"/>
      <w:bookmarkEnd w:id="248"/>
      <w:bookmarkEnd w:id="249"/>
      <w:bookmarkEnd w:id="250"/>
      <w:bookmarkEnd w:id="251"/>
      <w:bookmarkEnd w:id="252"/>
      <w:bookmarkEnd w:id="253"/>
      <w:bookmarkEnd w:id="254"/>
    </w:p>
    <w:p>
      <w:pPr>
        <w:keepNext w:val="0"/>
        <w:keepLines w:val="0"/>
        <w:pageBreakBefore w:val="0"/>
        <w:widowControl/>
        <w:kinsoku/>
        <w:wordWrap/>
        <w:overflowPunct/>
        <w:topLinePunct w:val="0"/>
        <w:autoSpaceDE/>
        <w:autoSpaceDN/>
        <w:bidi w:val="0"/>
        <w:adjustRightInd/>
        <w:snapToGrid/>
        <w:ind w:firstLine="113"/>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本周中国液体烧碱市场涨跌互现，西北地区液碱市场稍有回暖迹象，华北山东地区成交重心回落。</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周山东地区低浓度液碱有好转趋势，省内氯碱装置开工水平下降，市场供货减量，上游企业低浓度液碱出货尚可，库存水平持续降温，主力下游氧化铝企业需求增量；高浓度液碱走势有所下滑，东营地区高浓碱价格下调40元/吨，下调原因为：上游氯碱企业高浓度碱库存水平较高，厂家为促进走货适度下调出货价格。河北地区本周持稳运行，临近两会，区域内用碱下游需求小幅下滑，但厂家多维稳观望，调价稍显谨慎。天津地区持稳观望为主，区域内氯碱企业装置开工水平稳定，省内氯碱企业以船碱订单发货为主，库存水平低位。但区域内下游用碱行业开工情况一般，区域内液碱消化能力有限。西北内蒙古地区液碱价格上调50-100元/吨（折百）。上调原因为：外围氧化铝需求有所提升，加之西北地区片碱市场回暖，且近日鄂尔多斯有检修安排，区域内供碱量减少，液碱价格持续调涨。宁夏地区受内蒙古地区液碱调涨影响，市场价格亦有所上调，省内片碱加工企业开工率提升，市场交投氛围有好转趋势。</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华东地区浙江、福建地区液碱市场成交重心上行，本周浙江地区部分氯碱企业报价上调30元/吨，区域内氯碱装置整体开工水平不高，下游印染行业开工情况稍有好转，区域内液碱出货情况尚可，上游氯碱企业挺价意识较强。福建地区低浓度液碱价格小幅上调，省内氯碱装置开工水平不高，低浓度液碱出货顺畅；高浓度碱方面来看，有部分外围液低价高浓度碱流入，制约省内高浓度液碱价格水平。江苏地区烧碱市场淡稳运行，本周液氯价格普遍下行，厂家为了维持综合利润，液碱价格暂维持稳定，但本周省内安全、环保检查交叉进行，加之下游印染行业需求情况持续不佳，预计后期市场走势以整理运行为主。安徽及江西地区本周持稳观望，区域液碱货源不多，液碱库存低位，整体市场交投情况变化不大。华中河南地区氧化铝开工有所提升，液碱需求增加，厂家走货尚可。湖南、湖北地区本周液碱市场未见起色，市场以淡稳运行为主。</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跟踪数据，5月21日中国32%离子膜液碱市场价格指数569，较5月14日数据相比↑0.89%；中国50%离子膜液碱市场平均出厂价格在1012.1元/吨，较5月14日数据相比↑0.50%。</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据统计目前全国氯碱总产能为4333.4万吨，截至5月21日，氯碱开工产能3254.7万吨，开工率75.11%。</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据统计目前全国氧化铝总产能为8614万吨，截至5月21日，氧化铝开工产能6500万吨，开工率75.46%。</w:t>
      </w:r>
    </w:p>
    <w:p>
      <w:pPr>
        <w:keepNext w:val="0"/>
        <w:keepLines w:val="0"/>
        <w:pageBreakBefore w:val="0"/>
        <w:widowControl/>
        <w:kinsoku/>
        <w:wordWrap/>
        <w:overflowPunct/>
        <w:topLinePunct w:val="0"/>
        <w:autoSpaceDE/>
        <w:autoSpaceDN/>
        <w:bidi w:val="0"/>
        <w:adjustRightInd/>
        <w:snapToGrid/>
        <w:ind w:firstLine="113"/>
        <w:jc w:val="left"/>
        <w:textAlignment w:val="auto"/>
        <w:rPr>
          <w:rFonts w:hint="eastAsia" w:ascii="仿宋" w:hAnsi="仿宋" w:eastAsia="仿宋" w:cs="仿宋"/>
          <w:kern w:val="2"/>
          <w:sz w:val="28"/>
          <w:szCs w:val="28"/>
          <w:lang w:val="en-US" w:eastAsia="zh-CN" w:bidi="ar-SA"/>
        </w:rPr>
      </w:pPr>
    </w:p>
    <w:p>
      <w:pPr>
        <w:pStyle w:val="12"/>
        <w:numPr>
          <w:ilvl w:val="0"/>
          <w:numId w:val="2"/>
        </w:numPr>
        <w:spacing w:before="0" w:beforeAutospacing="0" w:after="0" w:afterAutospacing="0" w:line="400" w:lineRule="exact"/>
        <w:ind w:left="1321"/>
        <w:outlineLvl w:val="1"/>
        <w:rPr>
          <w:rFonts w:cs="Times New Roman"/>
          <w:b/>
          <w:bCs/>
          <w:sz w:val="30"/>
          <w:szCs w:val="30"/>
        </w:rPr>
      </w:pPr>
      <w:bookmarkStart w:id="255" w:name="_Toc4596899"/>
      <w:bookmarkStart w:id="256" w:name="_Toc4654036"/>
      <w:bookmarkStart w:id="257" w:name="_Toc12609911"/>
      <w:bookmarkStart w:id="258" w:name="_Toc13217639"/>
      <w:bookmarkStart w:id="259" w:name="_Toc8313141"/>
      <w:bookmarkStart w:id="260" w:name="_Toc8378823"/>
      <w:bookmarkStart w:id="261" w:name="_Toc4767071"/>
      <w:bookmarkStart w:id="262" w:name="_Toc9597667"/>
      <w:bookmarkStart w:id="263" w:name="_Toc10202316"/>
      <w:bookmarkStart w:id="264" w:name="_Toc8991661"/>
      <w:bookmarkStart w:id="265" w:name="_Toc9583960"/>
      <w:r>
        <w:rPr>
          <w:rFonts w:hint="eastAsia"/>
          <w:b/>
          <w:bCs/>
          <w:sz w:val="30"/>
          <w:szCs w:val="30"/>
        </w:rPr>
        <w:t>价格方面</w:t>
      </w:r>
      <w:bookmarkEnd w:id="255"/>
      <w:bookmarkEnd w:id="256"/>
      <w:bookmarkEnd w:id="257"/>
      <w:bookmarkEnd w:id="258"/>
      <w:bookmarkEnd w:id="259"/>
      <w:bookmarkEnd w:id="260"/>
      <w:bookmarkEnd w:id="261"/>
      <w:bookmarkEnd w:id="262"/>
      <w:bookmarkEnd w:id="263"/>
      <w:bookmarkEnd w:id="264"/>
      <w:bookmarkEnd w:id="265"/>
      <w:bookmarkStart w:id="266" w:name="_Toc4654037"/>
      <w:bookmarkStart w:id="267" w:name="_Toc4596900"/>
      <w:bookmarkStart w:id="268" w:name="_Toc4767072"/>
    </w:p>
    <w:p>
      <w:pPr>
        <w:pStyle w:val="12"/>
        <w:spacing w:before="0" w:beforeAutospacing="0" w:after="0" w:afterAutospacing="0" w:line="400" w:lineRule="exact"/>
        <w:ind w:left="601"/>
        <w:outlineLvl w:val="1"/>
        <w:rPr>
          <w:rFonts w:cs="Times New Roman"/>
          <w:b/>
          <w:bCs/>
          <w:sz w:val="30"/>
          <w:szCs w:val="30"/>
        </w:rPr>
      </w:pPr>
    </w:p>
    <w:p>
      <w:pPr>
        <w:keepNext w:val="0"/>
        <w:keepLines w:val="0"/>
        <w:pageBreakBefore w:val="0"/>
        <w:widowControl/>
        <w:kinsoku/>
        <w:wordWrap/>
        <w:overflowPunct/>
        <w:topLinePunct w:val="0"/>
        <w:autoSpaceDE/>
        <w:autoSpaceDN/>
        <w:bidi w:val="0"/>
        <w:adjustRightInd/>
        <w:snapToGrid/>
        <w:ind w:firstLine="113"/>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截止5月21日各地区液碱价格（文中价格为现汇，承兑低浓度水碱加15元/吨，高浓度碱加30元/吨）</w:t>
      </w:r>
    </w:p>
    <w:p>
      <w:pPr>
        <w:keepNext w:val="0"/>
        <w:keepLines w:val="0"/>
        <w:pageBreakBefore w:val="0"/>
        <w:widowControl/>
        <w:kinsoku/>
        <w:wordWrap/>
        <w:overflowPunct/>
        <w:topLinePunct w:val="0"/>
        <w:autoSpaceDE/>
        <w:autoSpaceDN/>
        <w:bidi w:val="0"/>
        <w:adjustRightInd/>
        <w:snapToGrid/>
        <w:ind w:firstLine="113"/>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离子膜液碱主流出厂价格：自山东氧化铝行业用32%离子膜液碱价格自5月7日执行现汇出厂420元/吨，供其他客户主流现汇出厂价格450-540元/吨；河北460-550元/吨；天津1600-1700元/吨（折百）；浙江送到萧绍经销商720-730元/吨；江苏610-670元/吨；安徽600-670元/吨；江西地区630-710元/吨；广西720-780元/吨；河南1400-1450元/吨（折百）；内蒙古1300-1400元/吨（折百）；辽宁640-670元/吨，个别企业价格略高；四川2200-2300元/吨（折百）；福建地区32%离子膜烧碱送到价格在770-880元/吨（因距离不同，运费存有差距），个别厂家价格略高。</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高浓碱主流出厂价格：山东48%离子膜液碱出厂710-750元/吨，50%离子膜液碱出厂730-850元/吨。天津49%离子膜碱出厂价格1700-1800元/吨（折百），广西50%离子膜液碱出厂价格1120-1180元/吨；内蒙古48-50%离子膜液碱出厂价格1400-1500元/吨（折百）左右；江苏地区48%离子膜液碱出厂价格1080-1120元/吨；辽宁地区45-50%离子膜液碱出厂报价在970-1020元/吨；四川地区50%离子膜液碱主流出厂价格2350-2450元/吨（折百）。福建省50%离子膜烧碱送到价格在1200-1300元/吨。（因距离不同，运费存有差距）。</w:t>
      </w:r>
    </w:p>
    <w:p>
      <w:pPr>
        <w:keepNext w:val="0"/>
        <w:keepLines w:val="0"/>
        <w:pageBreakBefore w:val="0"/>
        <w:widowControl/>
        <w:kinsoku/>
        <w:wordWrap/>
        <w:overflowPunct/>
        <w:topLinePunct w:val="0"/>
        <w:autoSpaceDE/>
        <w:autoSpaceDN/>
        <w:bidi w:val="0"/>
        <w:adjustRightInd/>
        <w:snapToGrid/>
        <w:ind w:firstLine="113"/>
        <w:jc w:val="left"/>
        <w:textAlignment w:val="auto"/>
        <w:rPr>
          <w:rFonts w:ascii="宋体" w:cs="Times New Roman"/>
          <w:b/>
          <w:bCs/>
          <w:kern w:val="0"/>
          <w:sz w:val="30"/>
          <w:szCs w:val="30"/>
        </w:rPr>
      </w:pPr>
      <w:r>
        <w:rPr>
          <w:rFonts w:hint="eastAsia" w:ascii="仿宋" w:hAnsi="仿宋" w:eastAsia="仿宋" w:cs="仿宋"/>
          <w:kern w:val="2"/>
          <w:sz w:val="28"/>
          <w:szCs w:val="28"/>
          <w:lang w:val="en-US" w:eastAsia="zh-CN" w:bidi="ar-SA"/>
        </w:rPr>
        <w:br w:type="textWrapping"/>
      </w:r>
      <w:r>
        <w:rPr>
          <w:rFonts w:hint="eastAsia" w:ascii="仿宋" w:hAnsi="仿宋" w:eastAsia="仿宋" w:cs="仿宋"/>
          <w:sz w:val="28"/>
          <w:szCs w:val="28"/>
        </w:rPr>
        <w:br w:type="textWrapping"/>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宋体" w:hAnsi="宋体" w:cs="宋体"/>
          <w:b/>
          <w:bCs/>
          <w:kern w:val="0"/>
          <w:sz w:val="30"/>
          <w:szCs w:val="30"/>
        </w:rPr>
        <w:t>后市预测</w:t>
      </w:r>
      <w:bookmarkEnd w:id="266"/>
      <w:bookmarkEnd w:id="267"/>
      <w:bookmarkEnd w:id="268"/>
      <w:bookmarkStart w:id="269" w:name="_Toc4596901"/>
      <w:bookmarkStart w:id="270" w:name="_Toc4654038"/>
    </w:p>
    <w:p>
      <w:pPr>
        <w:keepNext w:val="0"/>
        <w:keepLines w:val="0"/>
        <w:pageBreakBefore w:val="0"/>
        <w:widowControl/>
        <w:kinsoku/>
        <w:wordWrap/>
        <w:overflowPunct/>
        <w:topLinePunct w:val="0"/>
        <w:autoSpaceDE/>
        <w:autoSpaceDN/>
        <w:bidi w:val="0"/>
        <w:adjustRightInd/>
        <w:snapToGrid/>
        <w:ind w:firstLine="113"/>
        <w:jc w:val="left"/>
        <w:textAlignment w:val="auto"/>
        <w:rPr>
          <w:rFonts w:hint="eastAsia" w:ascii="仿宋" w:hAnsi="仿宋" w:eastAsia="仿宋" w:cs="仿宋"/>
          <w:sz w:val="28"/>
          <w:szCs w:val="28"/>
        </w:rPr>
      </w:pPr>
      <w:bookmarkStart w:id="271" w:name="_Toc12609912"/>
      <w:bookmarkStart w:id="272" w:name="_Toc4767073"/>
      <w:bookmarkStart w:id="273" w:name="_Toc8313142"/>
      <w:bookmarkStart w:id="274" w:name="_Toc10202317"/>
      <w:bookmarkStart w:id="275" w:name="_Toc9583961"/>
      <w:bookmarkStart w:id="276" w:name="_Toc13217640"/>
      <w:bookmarkStart w:id="277" w:name="_Toc8378824"/>
      <w:bookmarkStart w:id="278" w:name="_Toc9597668"/>
      <w:bookmarkStart w:id="279" w:name="_Toc8991662"/>
      <w:r>
        <w:rPr>
          <w:rFonts w:hint="eastAsia" w:ascii="仿宋" w:hAnsi="仿宋" w:eastAsia="仿宋" w:cs="仿宋"/>
          <w:sz w:val="28"/>
          <w:szCs w:val="28"/>
        </w:rPr>
        <w:t> </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0"/>
          <w:sz w:val="28"/>
          <w:szCs w:val="28"/>
          <w:lang w:val="en-US" w:eastAsia="zh-CN" w:bidi="ar-SA"/>
        </w:rPr>
        <w:t> 北方地区整体液碱库存情况下降明显，近期北方氯碱负荷开工不高，液碱产量、库存皆有下滑，下月氧化铝用碱长单进入商定阶段，上游氯碱企业挺价意识较强，长单价格不乏有上调的可能。华东地区本周价格基本大稳小动为主，各家企业当前根据自身接单情况以及库存水平确定出货价格，高价回调者居多，当前南方液碱需求基本固定，预计两会过后宏观政策或将引导需求向好发展。</w:t>
      </w:r>
      <w:r>
        <w:rPr>
          <w:rFonts w:hint="eastAsia" w:ascii="仿宋" w:hAnsi="仿宋" w:eastAsia="仿宋" w:cs="仿宋"/>
          <w:sz w:val="28"/>
          <w:szCs w:val="28"/>
        </w:rPr>
        <w:br w:type="textWrapping"/>
      </w:r>
    </w:p>
    <w:p>
      <w:pPr>
        <w:widowControl/>
        <w:ind w:firstLine="602" w:firstLineChars="200"/>
        <w:jc w:val="left"/>
        <w:outlineLvl w:val="2"/>
        <w:rPr>
          <w:rStyle w:val="25"/>
          <w:rFonts w:cs="Times New Roman"/>
          <w:b/>
          <w:bCs/>
          <w:sz w:val="30"/>
          <w:szCs w:val="30"/>
        </w:rPr>
      </w:pPr>
      <w:r>
        <w:rPr>
          <w:rStyle w:val="25"/>
          <w:rFonts w:hint="eastAsia" w:cs="宋体"/>
          <w:b/>
          <w:bCs/>
          <w:sz w:val="30"/>
          <w:szCs w:val="30"/>
        </w:rPr>
        <w:t>本周国内片碱实际成交周汇总</w:t>
      </w:r>
      <w:bookmarkEnd w:id="240"/>
      <w:bookmarkEnd w:id="241"/>
      <w:bookmarkEnd w:id="242"/>
      <w:bookmarkEnd w:id="243"/>
      <w:bookmarkEnd w:id="269"/>
      <w:bookmarkEnd w:id="270"/>
      <w:bookmarkEnd w:id="271"/>
      <w:bookmarkEnd w:id="272"/>
      <w:bookmarkEnd w:id="273"/>
      <w:bookmarkEnd w:id="274"/>
      <w:bookmarkEnd w:id="275"/>
      <w:bookmarkEnd w:id="276"/>
      <w:bookmarkEnd w:id="277"/>
      <w:bookmarkEnd w:id="278"/>
      <w:bookmarkEnd w:id="279"/>
    </w:p>
    <w:p>
      <w:pPr>
        <w:snapToGrid w:val="0"/>
        <w:spacing w:line="400" w:lineRule="exact"/>
        <w:ind w:right="-149" w:rightChars="-71"/>
        <w:rPr>
          <w:rFonts w:ascii="仿宋" w:hAnsi="仿宋" w:eastAsia="仿宋" w:cs="Times New Roman"/>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3"/>
        <w:tblpPr w:leftFromText="180" w:rightFromText="180" w:vertAnchor="text" w:horzAnchor="page" w:tblpX="2166" w:tblpY="434"/>
        <w:tblOverlap w:val="never"/>
        <w:tblW w:w="7881" w:type="dxa"/>
        <w:tblInd w:w="0" w:type="dxa"/>
        <w:tblLayout w:type="fixed"/>
        <w:tblCellMar>
          <w:top w:w="0" w:type="dxa"/>
          <w:left w:w="108" w:type="dxa"/>
          <w:bottom w:w="0" w:type="dxa"/>
          <w:right w:w="108" w:type="dxa"/>
        </w:tblCellMar>
      </w:tblPr>
      <w:tblGrid>
        <w:gridCol w:w="1440"/>
        <w:gridCol w:w="2180"/>
        <w:gridCol w:w="1003"/>
        <w:gridCol w:w="1629"/>
        <w:gridCol w:w="1629"/>
      </w:tblGrid>
      <w:tr>
        <w:tblPrEx>
          <w:tblCellMar>
            <w:top w:w="0" w:type="dxa"/>
            <w:left w:w="108" w:type="dxa"/>
            <w:bottom w:w="0" w:type="dxa"/>
            <w:right w:w="108" w:type="dxa"/>
          </w:tblCellMar>
        </w:tblPrEx>
        <w:trPr>
          <w:trHeight w:val="420" w:hRule="atLeast"/>
        </w:trPr>
        <w:tc>
          <w:tcPr>
            <w:tcW w:w="144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218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4261" w:type="dxa"/>
            <w:gridSpan w:val="3"/>
            <w:tcBorders>
              <w:top w:val="single" w:color="auto" w:sz="8" w:space="0"/>
              <w:left w:val="nil"/>
              <w:bottom w:val="single" w:color="auto" w:sz="8" w:space="0"/>
              <w:right w:val="single" w:color="000000" w:sz="8" w:space="0"/>
            </w:tcBorders>
            <w:shd w:val="clear" w:color="000000" w:fill="8DB4E3"/>
            <w:noWrap/>
            <w:vAlign w:val="center"/>
          </w:tcPr>
          <w:p>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hint="eastAsia" w:ascii="宋体" w:hAnsi="宋体" w:cs="宋体"/>
                <w:b/>
                <w:bCs/>
                <w:color w:val="000000"/>
                <w:kern w:val="0"/>
                <w:sz w:val="20"/>
                <w:szCs w:val="20"/>
              </w:rPr>
              <w:t>片碱</w:t>
            </w:r>
          </w:p>
        </w:tc>
      </w:tr>
      <w:tr>
        <w:tblPrEx>
          <w:tblCellMar>
            <w:top w:w="0" w:type="dxa"/>
            <w:left w:w="108" w:type="dxa"/>
            <w:bottom w:w="0" w:type="dxa"/>
            <w:right w:w="108" w:type="dxa"/>
          </w:tblCellMar>
        </w:tblPrEx>
        <w:trPr>
          <w:trHeight w:val="450" w:hRule="atLeast"/>
        </w:trPr>
        <w:tc>
          <w:tcPr>
            <w:tcW w:w="14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cs="Times New Roman"/>
                <w:b/>
                <w:bCs/>
                <w:color w:val="000000"/>
                <w:kern w:val="0"/>
                <w:sz w:val="20"/>
                <w:szCs w:val="20"/>
              </w:rPr>
            </w:pPr>
          </w:p>
        </w:tc>
        <w:tc>
          <w:tcPr>
            <w:tcW w:w="21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cs="Times New Roman"/>
                <w:b/>
                <w:bCs/>
                <w:color w:val="000000"/>
                <w:kern w:val="0"/>
                <w:sz w:val="20"/>
                <w:szCs w:val="20"/>
              </w:rPr>
            </w:pPr>
          </w:p>
        </w:tc>
        <w:tc>
          <w:tcPr>
            <w:tcW w:w="1003"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低价</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高价</w:t>
            </w:r>
          </w:p>
        </w:tc>
      </w:tr>
      <w:tr>
        <w:tblPrEx>
          <w:tblCellMar>
            <w:top w:w="0" w:type="dxa"/>
            <w:left w:w="108" w:type="dxa"/>
            <w:bottom w:w="0" w:type="dxa"/>
            <w:right w:w="108" w:type="dxa"/>
          </w:tblCellMar>
        </w:tblPrEx>
        <w:trPr>
          <w:trHeight w:val="375" w:hRule="atLeast"/>
        </w:trPr>
        <w:tc>
          <w:tcPr>
            <w:tcW w:w="1440" w:type="dxa"/>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hint="default" w:ascii="宋体" w:eastAsia="宋体" w:cs="Times New Roman"/>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rPr>
            </w:pPr>
            <w:r>
              <w:rPr>
                <w:rFonts w:hint="eastAsia" w:ascii="宋体" w:hAnsi="宋体" w:cs="宋体"/>
                <w:kern w:val="0"/>
              </w:rPr>
              <w:t>主流</w:t>
            </w:r>
          </w:p>
        </w:tc>
        <w:tc>
          <w:tcPr>
            <w:tcW w:w="100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hint="eastAsia" w:ascii="宋体" w:hAnsi="宋体" w:cs="宋体"/>
                <w:color w:val="000000"/>
                <w:kern w:val="0"/>
                <w:sz w:val="18"/>
                <w:szCs w:val="18"/>
                <w:lang w:val="en-US" w:eastAsia="zh-CN"/>
              </w:rPr>
              <w:t>19</w:t>
            </w:r>
            <w:r>
              <w:rPr>
                <w:rFonts w:ascii="宋体" w:hAnsi="宋体" w:cs="宋体"/>
                <w:color w:val="000000"/>
                <w:kern w:val="0"/>
                <w:sz w:val="18"/>
                <w:szCs w:val="18"/>
              </w:rPr>
              <w:t>00</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hint="eastAsia" w:ascii="宋体" w:hAnsi="宋体" w:cs="宋体"/>
                <w:color w:val="000000"/>
                <w:kern w:val="0"/>
                <w:sz w:val="18"/>
                <w:szCs w:val="18"/>
                <w:lang w:val="en-US" w:eastAsia="zh-CN"/>
              </w:rPr>
              <w:t>26</w:t>
            </w:r>
            <w:r>
              <w:rPr>
                <w:rFonts w:ascii="宋体" w:hAnsi="宋体" w:cs="宋体"/>
                <w:color w:val="000000"/>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rPr>
            </w:pPr>
            <w:r>
              <w:rPr>
                <w:rFonts w:hint="eastAsia" w:ascii="宋体" w:hAnsi="宋体" w:cs="宋体"/>
                <w:kern w:val="0"/>
              </w:rPr>
              <w:t>主流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hint="eastAsia" w:ascii="宋体" w:hAnsi="宋体" w:cs="宋体"/>
                <w:color w:val="000000"/>
                <w:kern w:val="0"/>
                <w:sz w:val="18"/>
                <w:szCs w:val="18"/>
                <w:lang w:val="en-US" w:eastAsia="zh-CN"/>
              </w:rPr>
              <w:t>185</w:t>
            </w:r>
            <w:r>
              <w:rPr>
                <w:rFonts w:ascii="宋体" w:hAnsi="宋体" w:cs="宋体"/>
                <w:color w:val="000000"/>
                <w:kern w:val="0"/>
                <w:sz w:val="18"/>
                <w:szCs w:val="18"/>
              </w:rPr>
              <w:t>0</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lang w:val="en-US" w:eastAsia="zh-CN"/>
              </w:rPr>
              <w:t>6</w:t>
            </w:r>
            <w:r>
              <w:rPr>
                <w:rFonts w:ascii="宋体" w:hAnsi="宋体" w:cs="宋体"/>
                <w:color w:val="000000"/>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淄博环拓</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6</w:t>
            </w:r>
            <w:r>
              <w:rPr>
                <w:rFonts w:ascii="宋体" w:hAnsi="宋体" w:cs="宋体"/>
                <w:kern w:val="0"/>
                <w:sz w:val="18"/>
                <w:szCs w:val="18"/>
              </w:rPr>
              <w:t>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6</w:t>
            </w:r>
            <w:r>
              <w:rPr>
                <w:rFonts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山东永嘉</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淄博青临鸿金</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山东苗栗</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26</w:t>
            </w:r>
            <w:r>
              <w:rPr>
                <w:rFonts w:ascii="宋体" w:hAnsi="宋体" w:cs="宋体"/>
                <w:kern w:val="0"/>
                <w:sz w:val="18"/>
                <w:szCs w:val="18"/>
              </w:rPr>
              <w:t>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26</w:t>
            </w:r>
            <w:r>
              <w:rPr>
                <w:rFonts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淄博鲁威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210</w:t>
            </w:r>
            <w:r>
              <w:rPr>
                <w:rFonts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210</w:t>
            </w:r>
            <w:r>
              <w:rPr>
                <w:rFonts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实得工贸</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淄博丰通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天津红三环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20</w:t>
            </w:r>
            <w:r>
              <w:rPr>
                <w:rFonts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2</w:t>
            </w:r>
            <w:r>
              <w:rPr>
                <w:rFonts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天津兴凯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天津云海碳素</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天津鹏坤</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唐山汇成</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2650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2650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沧州市荣庆</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19</w:t>
            </w:r>
            <w:r>
              <w:rPr>
                <w:rFonts w:ascii="宋体" w:hAnsi="宋体" w:cs="宋体"/>
                <w:kern w:val="0"/>
                <w:sz w:val="18"/>
                <w:szCs w:val="18"/>
              </w:rPr>
              <w:t>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19</w:t>
            </w:r>
            <w:r>
              <w:rPr>
                <w:rFonts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hint="default" w:ascii="宋体" w:cs="宋体"/>
                <w:color w:val="000000"/>
                <w:kern w:val="0"/>
                <w:sz w:val="20"/>
                <w:szCs w:val="20"/>
                <w:lang w:val="en-US"/>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内蒙乌海欣业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kern w:val="0"/>
                <w:sz w:val="18"/>
                <w:szCs w:val="18"/>
                <w:lang w:val="en-US" w:eastAsia="zh-CN"/>
              </w:rPr>
            </w:pPr>
            <w:r>
              <w:rPr>
                <w:rFonts w:hint="eastAsia" w:ascii="宋体" w:cs="Times New Roman"/>
                <w:kern w:val="0"/>
                <w:sz w:val="18"/>
                <w:szCs w:val="18"/>
                <w:lang w:val="en-US" w:eastAsia="zh-CN"/>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kern w:val="0"/>
                <w:sz w:val="18"/>
                <w:szCs w:val="18"/>
                <w:lang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hint="default" w:ascii="宋体" w:cs="宋体"/>
                <w:color w:val="000000"/>
                <w:kern w:val="0"/>
                <w:sz w:val="20"/>
                <w:szCs w:val="20"/>
                <w:lang w:val="en-US"/>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内蒙古中盐吉兰泰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185</w:t>
            </w:r>
            <w:r>
              <w:rPr>
                <w:rFonts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hint="eastAsia" w:ascii="宋体" w:hAnsi="宋体" w:cs="宋体"/>
                <w:kern w:val="0"/>
                <w:sz w:val="18"/>
                <w:szCs w:val="18"/>
                <w:lang w:val="en-US" w:eastAsia="zh-CN"/>
              </w:rPr>
              <w:t>185</w:t>
            </w:r>
            <w:r>
              <w:rPr>
                <w:rFonts w:ascii="宋体" w:hAnsi="宋体" w:cs="宋体"/>
                <w:kern w:val="0"/>
                <w:sz w:val="18"/>
                <w:szCs w:val="18"/>
              </w:rPr>
              <w:t>0</w:t>
            </w:r>
          </w:p>
        </w:tc>
      </w:tr>
    </w:tbl>
    <w:p>
      <w:pPr>
        <w:rPr>
          <w:rFonts w:cs="Times New Roman"/>
        </w:rPr>
      </w:pPr>
      <w:bookmarkStart w:id="280" w:name="_Toc295403452"/>
      <w:bookmarkStart w:id="281" w:name="_Toc527705003"/>
      <w:bookmarkStart w:id="282" w:name="_Toc525289549"/>
      <w:bookmarkStart w:id="283" w:name="_Toc233795930"/>
      <w:bookmarkStart w:id="284" w:name="_Toc516234900"/>
      <w:bookmarkStart w:id="285" w:name="_Toc1394103"/>
      <w:bookmarkStart w:id="286" w:name="_Toc521057604"/>
      <w:bookmarkStart w:id="287" w:name="_Toc250731929"/>
      <w:bookmarkStart w:id="288" w:name="_Toc4139109"/>
      <w:bookmarkStart w:id="289" w:name="_Toc4596902"/>
      <w:bookmarkStart w:id="290" w:name="_Toc300238851"/>
      <w:bookmarkStart w:id="291" w:name="_Toc518638262"/>
      <w:bookmarkStart w:id="292" w:name="_Toc515610376"/>
      <w:bookmarkStart w:id="293" w:name="_Toc528930996"/>
      <w:bookmarkStart w:id="294" w:name="_Toc525912529"/>
      <w:bookmarkStart w:id="295" w:name="_Toc518032002"/>
      <w:bookmarkStart w:id="296" w:name="_Toc516234894"/>
      <w:bookmarkStart w:id="297" w:name="_Toc522870763"/>
      <w:bookmarkStart w:id="298" w:name="_Toc527101793"/>
      <w:bookmarkStart w:id="299" w:name="_Toc511390008"/>
      <w:bookmarkStart w:id="300" w:name="_Toc517425041"/>
      <w:bookmarkStart w:id="301" w:name="_Toc528329959"/>
      <w:bookmarkStart w:id="302" w:name="_Toc9597669"/>
      <w:bookmarkStart w:id="303" w:name="_Toc12609913"/>
      <w:bookmarkStart w:id="304" w:name="_Toc532564066"/>
      <w:bookmarkStart w:id="305" w:name="_Toc13217641"/>
      <w:bookmarkStart w:id="306" w:name="_Toc530128352"/>
      <w:bookmarkStart w:id="307" w:name="_Toc532564040"/>
      <w:bookmarkStart w:id="308" w:name="_Toc528919989"/>
      <w:bookmarkStart w:id="309" w:name="_Toc520465079"/>
      <w:bookmarkStart w:id="310" w:name="_Toc10202318"/>
      <w:bookmarkStart w:id="311" w:name="_Toc534378403"/>
      <w:bookmarkStart w:id="312" w:name="_Toc524701467"/>
      <w:bookmarkStart w:id="313" w:name="_Toc532564263"/>
      <w:bookmarkStart w:id="314" w:name="_Toc525306466"/>
      <w:bookmarkStart w:id="315" w:name="_Toc535588711"/>
      <w:bookmarkStart w:id="316" w:name="_Toc534915168"/>
      <w:bookmarkStart w:id="317" w:name="_Toc536198170"/>
      <w:bookmarkStart w:id="318" w:name="_Toc536540310"/>
      <w:bookmarkStart w:id="319" w:name="_Toc1739297"/>
      <w:bookmarkStart w:id="320" w:name="_Toc533149333"/>
      <w:bookmarkStart w:id="321" w:name="_Toc1139288"/>
      <w:bookmarkStart w:id="322" w:name="_Toc8991663"/>
      <w:bookmarkStart w:id="323" w:name="_Toc9583962"/>
      <w:bookmarkStart w:id="324" w:name="_Toc4654039"/>
      <w:bookmarkStart w:id="325" w:name="_Toc392240282"/>
      <w:bookmarkStart w:id="326" w:name="_Toc8378825"/>
      <w:bookmarkStart w:id="327" w:name="_Toc8313143"/>
      <w:bookmarkStart w:id="328" w:name="_Toc4767074"/>
      <w:bookmarkStart w:id="329" w:name="_Toc522870748"/>
      <w:bookmarkStart w:id="330" w:name="_Toc524091684"/>
      <w:bookmarkStart w:id="331" w:name="_Toc513127193"/>
      <w:bookmarkStart w:id="332" w:name="_Toc522870772"/>
      <w:bookmarkStart w:id="333" w:name="_Toc536541140"/>
      <w:bookmarkStart w:id="334" w:name="_Toc1035933"/>
      <w:bookmarkStart w:id="335" w:name="_Toc530750142"/>
      <w:bookmarkStart w:id="336" w:name="_Toc252539758"/>
      <w:bookmarkStart w:id="337" w:name="_Toc531954275"/>
      <w:bookmarkStart w:id="338" w:name="_Toc485981325"/>
      <w:bookmarkStart w:id="339" w:name="_Toc536789788"/>
      <w:bookmarkStart w:id="340" w:name="_Toc529526328"/>
      <w:bookmarkStart w:id="341" w:name="_Toc522259767"/>
      <w:bookmarkStart w:id="342" w:name="_Toc522280057"/>
      <w:bookmarkStart w:id="343" w:name="_Toc521660550"/>
      <w:bookmarkStart w:id="344" w:name="_Toc525306477"/>
      <w:bookmarkStart w:id="345" w:name="_Toc522870754"/>
      <w:bookmarkStart w:id="346" w:name="_Toc516839087"/>
      <w:bookmarkStart w:id="347" w:name="_Toc519848560"/>
    </w:p>
    <w:p>
      <w:pPr>
        <w:rPr>
          <w:rFonts w:cs="Times New Roman"/>
        </w:rPr>
      </w:pPr>
    </w:p>
    <w:p>
      <w:pPr>
        <w:pStyle w:val="2"/>
        <w:spacing w:line="400" w:lineRule="exact"/>
        <w:ind w:left="3847" w:leftChars="608" w:hanging="2570" w:hangingChars="800"/>
        <w:rPr>
          <w:rFonts w:hint="eastAsia" w:cs="黑体"/>
          <w:lang w:val="en-US" w:eastAsia="zh-CN"/>
        </w:rPr>
      </w:pPr>
      <w:r>
        <w:rPr>
          <w:rFonts w:hint="eastAsia" w:cs="黑体"/>
          <w:lang w:val="en-US" w:eastAsia="zh-CN"/>
        </w:rPr>
        <w:t>液氯</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48" w:name="_Toc233795931"/>
      <w:bookmarkEnd w:id="348"/>
      <w:bookmarkStart w:id="349" w:name="_Toc525289550"/>
      <w:bookmarkStart w:id="350" w:name="_Toc522870764"/>
      <w:bookmarkStart w:id="351" w:name="_Toc522870755"/>
      <w:bookmarkStart w:id="352" w:name="_Toc522870773"/>
      <w:bookmarkStart w:id="353" w:name="_Toc524701468"/>
      <w:bookmarkStart w:id="354" w:name="_Toc524091685"/>
      <w:bookmarkStart w:id="355" w:name="_Toc525306467"/>
      <w:bookmarkStart w:id="356" w:name="_Toc525306478"/>
      <w:bookmarkStart w:id="357" w:name="_Toc527101794"/>
      <w:bookmarkStart w:id="358" w:name="_Toc525912530"/>
      <w:bookmarkStart w:id="359" w:name="_Toc527705004"/>
      <w:bookmarkStart w:id="360" w:name="_Toc528329960"/>
      <w:bookmarkStart w:id="361" w:name="_Toc528930997"/>
      <w:bookmarkStart w:id="362" w:name="_Toc529526329"/>
      <w:bookmarkStart w:id="363" w:name="_Toc528919990"/>
      <w:bookmarkStart w:id="364" w:name="_Toc185611021"/>
      <w:bookmarkStart w:id="365" w:name="_Toc250731930"/>
      <w:bookmarkStart w:id="366" w:name="_Toc300238852"/>
      <w:bookmarkStart w:id="367" w:name="_Toc485981326"/>
      <w:bookmarkStart w:id="368" w:name="_Toc392240283"/>
      <w:bookmarkStart w:id="369" w:name="_Toc252539759"/>
      <w:bookmarkStart w:id="370" w:name="_Toc295403453"/>
      <w:bookmarkStart w:id="371" w:name="_Toc4654040"/>
      <w:bookmarkStart w:id="372" w:name="_Toc4139110"/>
      <w:bookmarkStart w:id="373" w:name="_Toc532564041"/>
      <w:bookmarkStart w:id="374" w:name="_Toc4596903"/>
      <w:bookmarkStart w:id="375" w:name="_Toc530750143"/>
      <w:bookmarkStart w:id="376" w:name="_Toc531954276"/>
      <w:bookmarkStart w:id="377" w:name="_Toc533149334"/>
      <w:bookmarkStart w:id="378" w:name="_Toc532564264"/>
      <w:bookmarkStart w:id="379" w:name="_Toc535588712"/>
      <w:bookmarkStart w:id="380" w:name="_Toc534915169"/>
      <w:bookmarkStart w:id="381" w:name="_Toc517425042"/>
      <w:bookmarkStart w:id="382" w:name="_Toc516839088"/>
      <w:bookmarkStart w:id="383" w:name="_Toc516234901"/>
      <w:bookmarkStart w:id="384" w:name="_Toc516234895"/>
      <w:bookmarkStart w:id="385" w:name="_Toc515610377"/>
      <w:bookmarkStart w:id="386" w:name="_Toc1739298"/>
      <w:bookmarkStart w:id="387" w:name="_Toc513127194"/>
      <w:bookmarkStart w:id="388" w:name="_Toc511390009"/>
      <w:bookmarkStart w:id="389" w:name="_Toc1394104"/>
      <w:bookmarkStart w:id="390" w:name="_Toc1139289"/>
      <w:bookmarkStart w:id="391" w:name="_Toc1035934"/>
      <w:bookmarkStart w:id="392" w:name="_Toc536789789"/>
      <w:bookmarkStart w:id="393" w:name="_Toc536541141"/>
      <w:bookmarkStart w:id="394" w:name="_Toc536540311"/>
      <w:bookmarkStart w:id="395" w:name="_Toc536198171"/>
      <w:bookmarkStart w:id="396" w:name="_Toc532564067"/>
      <w:bookmarkStart w:id="397" w:name="_Toc522870749"/>
      <w:bookmarkStart w:id="398" w:name="_Toc522280058"/>
      <w:bookmarkStart w:id="399" w:name="_Toc522259768"/>
      <w:bookmarkStart w:id="400" w:name="_Toc521660551"/>
      <w:bookmarkStart w:id="401" w:name="_Toc519848561"/>
      <w:bookmarkStart w:id="402" w:name="_Toc521057605"/>
      <w:bookmarkStart w:id="403" w:name="_Toc530128353"/>
      <w:bookmarkStart w:id="404" w:name="_Toc534378404"/>
      <w:bookmarkStart w:id="405" w:name="_Toc518638263"/>
      <w:bookmarkStart w:id="406" w:name="_Toc520465080"/>
      <w:bookmarkStart w:id="407" w:name="_Toc518032003"/>
    </w:p>
    <w:p>
      <w:pPr>
        <w:spacing w:line="400" w:lineRule="exact"/>
        <w:ind w:firstLine="602" w:firstLineChars="200"/>
        <w:outlineLvl w:val="1"/>
        <w:rPr>
          <w:rFonts w:ascii="黑体" w:hAnsi="黑体" w:eastAsia="黑体" w:cs="Times New Roman"/>
          <w:b/>
          <w:bCs/>
          <w:sz w:val="30"/>
          <w:szCs w:val="30"/>
        </w:rPr>
      </w:pPr>
      <w:bookmarkStart w:id="408" w:name="_Toc4767075"/>
      <w:bookmarkStart w:id="409" w:name="_Toc12609914"/>
      <w:bookmarkStart w:id="410" w:name="_Toc13217642"/>
      <w:bookmarkStart w:id="411" w:name="_Toc8991664"/>
      <w:bookmarkStart w:id="412" w:name="_Toc9583963"/>
      <w:bookmarkStart w:id="413" w:name="_Toc8378826"/>
      <w:bookmarkStart w:id="414" w:name="_Toc10202319"/>
      <w:bookmarkStart w:id="415" w:name="_Toc8313144"/>
      <w:bookmarkStart w:id="416" w:name="_Toc9597670"/>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ascii="黑体" w:hAnsi="黑体" w:eastAsia="黑体" w:cs="黑体"/>
          <w:b/>
          <w:bCs/>
          <w:sz w:val="30"/>
          <w:szCs w:val="30"/>
        </w:rPr>
        <w:t xml:space="preserve">    </w:t>
      </w:r>
      <w:r>
        <w:rPr>
          <w:rFonts w:hint="eastAsia" w:ascii="黑体" w:hAnsi="黑体" w:eastAsia="黑体" w:cs="黑体"/>
          <w:b/>
          <w:bCs/>
          <w:sz w:val="30"/>
          <w:szCs w:val="30"/>
        </w:rPr>
        <w:t>评述：本周国内液氯市场评述及行情预测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52539760"/>
      <w:bookmarkStart w:id="418" w:name="_Toc250731931"/>
    </w:p>
    <w:p>
      <w:pPr>
        <w:pStyle w:val="12"/>
        <w:spacing w:before="0" w:beforeAutospacing="0" w:after="0" w:afterAutospacing="0" w:line="400" w:lineRule="exact"/>
        <w:outlineLvl w:val="1"/>
        <w:rPr>
          <w:rFonts w:ascii="黑体" w:hAnsi="黑体" w:eastAsia="黑体" w:cs="Times New Roman"/>
          <w:sz w:val="30"/>
          <w:szCs w:val="30"/>
        </w:rPr>
      </w:pPr>
      <w:bookmarkStart w:id="419" w:name="_Toc8313145"/>
      <w:bookmarkStart w:id="420" w:name="_Toc4767076"/>
      <w:bookmarkStart w:id="421" w:name="_Toc8991665"/>
      <w:bookmarkStart w:id="422" w:name="_Toc4654041"/>
      <w:bookmarkStart w:id="423" w:name="_Toc4596904"/>
      <w:bookmarkStart w:id="424" w:name="_Toc8378827"/>
      <w:bookmarkStart w:id="425" w:name="_Toc9583964"/>
      <w:bookmarkStart w:id="426" w:name="_Toc9597671"/>
      <w:bookmarkStart w:id="427" w:name="_Toc13217643"/>
      <w:bookmarkStart w:id="428" w:name="_Toc10202320"/>
      <w:bookmarkStart w:id="429" w:name="_Toc12609915"/>
    </w:p>
    <w:p>
      <w:pPr>
        <w:pStyle w:val="12"/>
        <w:spacing w:before="0" w:beforeAutospacing="0" w:after="0" w:afterAutospacing="0" w:line="400" w:lineRule="exact"/>
        <w:outlineLvl w:val="1"/>
        <w:rPr>
          <w:rFonts w:ascii="黑体" w:hAnsi="黑体" w:eastAsia="黑体" w:cs="Times New Roman"/>
          <w:sz w:val="30"/>
          <w:szCs w:val="30"/>
        </w:rPr>
      </w:pPr>
    </w:p>
    <w:p>
      <w:pPr>
        <w:pStyle w:val="12"/>
        <w:numPr>
          <w:ilvl w:val="0"/>
          <w:numId w:val="3"/>
        </w:numPr>
        <w:spacing w:before="0" w:beforeAutospacing="0" w:after="0" w:afterAutospacing="0" w:line="400" w:lineRule="exact"/>
        <w:ind w:firstLine="600" w:firstLineChars="200"/>
        <w:outlineLvl w:val="1"/>
        <w:rPr>
          <w:rFonts w:ascii="黑体" w:hAnsi="黑体" w:eastAsia="黑体" w:cs="Times New Roman"/>
          <w:sz w:val="30"/>
          <w:szCs w:val="30"/>
        </w:rPr>
      </w:pPr>
      <w:r>
        <w:rPr>
          <w:rFonts w:hint="eastAsia" w:ascii="黑体" w:hAnsi="黑体" w:eastAsia="黑体" w:cs="黑体"/>
          <w:sz w:val="30"/>
          <w:szCs w:val="30"/>
        </w:rPr>
        <w:t>中国液氯市场行情综述</w:t>
      </w:r>
      <w:bookmarkEnd w:id="419"/>
      <w:bookmarkEnd w:id="420"/>
      <w:bookmarkEnd w:id="421"/>
      <w:bookmarkEnd w:id="422"/>
      <w:bookmarkEnd w:id="423"/>
      <w:bookmarkEnd w:id="424"/>
      <w:bookmarkEnd w:id="425"/>
      <w:bookmarkEnd w:id="426"/>
      <w:bookmarkEnd w:id="427"/>
      <w:bookmarkEnd w:id="428"/>
      <w:bookmarkEnd w:id="429"/>
    </w:p>
    <w:p>
      <w:pPr>
        <w:keepNext w:val="0"/>
        <w:keepLines w:val="0"/>
        <w:widowControl/>
        <w:suppressLineNumbers w:val="0"/>
        <w:spacing w:before="0" w:beforeAutospacing="0" w:after="0" w:afterAutospacing="0" w:line="239" w:lineRule="atLeast"/>
        <w:ind w:left="0" w:right="0" w:firstLine="420"/>
        <w:jc w:val="left"/>
        <w:rPr>
          <w:rFonts w:hint="eastAsia" w:ascii="仿宋" w:hAnsi="仿宋" w:eastAsia="仿宋" w:cs="仿宋"/>
          <w:kern w:val="0"/>
          <w:sz w:val="28"/>
          <w:szCs w:val="28"/>
          <w:lang w:val="en-US" w:eastAsia="zh-CN" w:bidi="ar-SA"/>
        </w:rPr>
      </w:pPr>
      <w:bookmarkStart w:id="430" w:name="_Toc4596905"/>
      <w:bookmarkStart w:id="431" w:name="_Toc4654042"/>
      <w:bookmarkStart w:id="432" w:name="_Toc8313146"/>
      <w:bookmarkStart w:id="433" w:name="_Toc4767077"/>
      <w:bookmarkStart w:id="434" w:name="_Toc8378828"/>
      <w:bookmarkStart w:id="435" w:name="_Toc9597672"/>
      <w:bookmarkStart w:id="436" w:name="_Toc8991666"/>
      <w:bookmarkStart w:id="437" w:name="_Toc9583965"/>
      <w:bookmarkStart w:id="438" w:name="_Toc13217644"/>
      <w:bookmarkStart w:id="439" w:name="_Toc10202321"/>
      <w:bookmarkStart w:id="440" w:name="_Toc12609916"/>
      <w:r>
        <w:rPr>
          <w:rFonts w:hint="eastAsia" w:ascii="仿宋" w:hAnsi="仿宋" w:eastAsia="仿宋" w:cs="Times New Roman"/>
          <w:sz w:val="28"/>
          <w:szCs w:val="28"/>
          <w:lang w:val="en-US" w:eastAsia="zh-CN"/>
        </w:rPr>
        <w:t xml:space="preserve"> </w:t>
      </w:r>
      <w:r>
        <w:rPr>
          <w:rFonts w:hint="eastAsia" w:ascii="仿宋" w:hAnsi="仿宋" w:eastAsia="仿宋" w:cs="仿宋"/>
          <w:kern w:val="0"/>
          <w:sz w:val="28"/>
          <w:szCs w:val="28"/>
          <w:lang w:val="en-US" w:eastAsia="zh-CN" w:bidi="ar-SA"/>
        </w:rPr>
        <w:t>本周北方地区高位盘整运行，华东地区液氯市场持续回调。</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据统计目前全国氯碱总产能为4333.4万吨，截至5月21日，氯碱开工产能3254.7万吨，开工率75.11%。</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山东地区液氯市场自上周末提涨，涨幅100-200元/吨均有。本次涨价支撑多为检修影响：5.16开始聊城大型液氯外销氯碱企业检修33万吨氯碱装置，5.18济宁中银检修氯碱装置全停检修7天左右，整体山东液氯供应缩减1300吨/天，日供应7690吨/天。但下游需求情况不断萎缩，本周环氧丙烷行业外采情况较为稳定，甲烷氯化物少量外采，但小型耗氯企业本周环保、安监检查较多，加之对高价抵触，降产或停产整顿，整体需求面不振，上游碱厂发货情况不温不火，5.21开始有部分厂家下调100元/吨。河北地区本周需求陆续减少，氯化石蜡以及甘氨酸企业受两会影响或因高价接货吃力，逐渐停产，对液氯需求转差，5.21衡水地区随山东地区下调100元/吨。山西地区本周基本持稳发货，整体变化不大，供应面下周有增加的可能。</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华东地区本周安徽、江苏、浙江地区均有下调表现，本周碱厂积压一定库存待售且液氯供应量有增加的趋势，大客户接单价格不断下行，整体上本周下游需求萎缩，供需失衡情况明显，液氯价格下行情理之中。江西地区本周江西理文甲烷氯化物装置开工提升，液氯外销减少，江西地区液氯出货价格保持稳定。浙江地区当地需求面较窄以甲烷氯化物和CPE企业为主，上周以上行业需求情况不佳，本周浙江适当下行。</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华中地区整体基本持稳，河南豫北厂家本周上调50元/吨，整体需求面改善不大，跟随外省调整为主；湖南地区自用量稳定，湖北地区少量供应，液氯价格高位盘整。</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东北地区本周辽宁地区新单开标，长单价格持续走跌约120元/吨，辽宁出货价格个别下行100元/吨，辽宁地区近期营口一带液氯量保持稳定外销态势，辽宁地区需求面暂无转好的可能。</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西南重庆、四川地区液氯市场供应持稳，本周液氯出货价格维稳，后期当地企业有检修，或将减少供应。</w:t>
      </w:r>
    </w:p>
    <w:p>
      <w:pPr>
        <w:pStyle w:val="12"/>
        <w:keepNext w:val="0"/>
        <w:keepLines w:val="0"/>
        <w:widowControl/>
        <w:suppressLineNumbers w:val="0"/>
        <w:ind w:left="0" w:firstLine="0"/>
        <w:rPr>
          <w:rFonts w:hint="eastAsia" w:ascii="仿宋" w:hAnsi="仿宋" w:eastAsia="仿宋" w:cs="仿宋"/>
          <w:sz w:val="28"/>
          <w:szCs w:val="28"/>
        </w:rPr>
      </w:pPr>
    </w:p>
    <w:p>
      <w:pPr>
        <w:widowControl/>
        <w:ind w:firstLine="420"/>
        <w:jc w:val="left"/>
        <w:rPr>
          <w:rFonts w:ascii="仿宋" w:hAnsi="仿宋" w:eastAsia="仿宋" w:cs="Times New Roman"/>
          <w:sz w:val="28"/>
          <w:szCs w:val="28"/>
        </w:rPr>
      </w:pPr>
      <w:r>
        <w:rPr>
          <w:rFonts w:hint="eastAsia" w:ascii="仿宋" w:hAnsi="仿宋" w:eastAsia="仿宋" w:cs="仿宋"/>
          <w:sz w:val="28"/>
          <w:szCs w:val="28"/>
        </w:rPr>
        <w:t> </w:t>
      </w:r>
    </w:p>
    <w:p>
      <w:pPr>
        <w:pStyle w:val="12"/>
        <w:numPr>
          <w:ilvl w:val="0"/>
          <w:numId w:val="3"/>
        </w:numPr>
        <w:spacing w:before="0" w:beforeAutospacing="0" w:after="0" w:afterAutospacing="0" w:line="400" w:lineRule="exact"/>
        <w:ind w:firstLine="600" w:firstLineChars="200"/>
        <w:outlineLvl w:val="1"/>
        <w:rPr>
          <w:rFonts w:ascii="黑体" w:hAnsi="黑体" w:eastAsia="黑体" w:cs="Times New Roman"/>
          <w:sz w:val="30"/>
          <w:szCs w:val="30"/>
        </w:rPr>
      </w:pPr>
      <w:r>
        <w:rPr>
          <w:rFonts w:hint="eastAsia" w:ascii="黑体" w:hAnsi="黑体" w:eastAsia="黑体" w:cs="黑体"/>
          <w:sz w:val="30"/>
          <w:szCs w:val="30"/>
        </w:rPr>
        <w:t>市场价格</w:t>
      </w:r>
      <w:bookmarkEnd w:id="430"/>
      <w:bookmarkEnd w:id="431"/>
      <w:bookmarkEnd w:id="432"/>
      <w:bookmarkEnd w:id="433"/>
      <w:bookmarkEnd w:id="434"/>
      <w:bookmarkEnd w:id="435"/>
      <w:bookmarkEnd w:id="436"/>
      <w:bookmarkEnd w:id="437"/>
      <w:bookmarkEnd w:id="438"/>
      <w:bookmarkEnd w:id="439"/>
      <w:bookmarkEnd w:id="440"/>
      <w:bookmarkStart w:id="441" w:name="_Toc13217645"/>
      <w:bookmarkStart w:id="442" w:name="_Toc8991667"/>
      <w:bookmarkStart w:id="443" w:name="_Toc9583966"/>
      <w:bookmarkStart w:id="444" w:name="_Toc9597673"/>
      <w:bookmarkStart w:id="445" w:name="_Toc10202322"/>
      <w:bookmarkStart w:id="446" w:name="_Toc12609917"/>
    </w:p>
    <w:p>
      <w:pPr>
        <w:keepNext w:val="0"/>
        <w:keepLines w:val="0"/>
        <w:widowControl/>
        <w:suppressLineNumbers w:val="0"/>
        <w:spacing w:before="0" w:beforeAutospacing="0" w:after="0" w:afterAutospacing="0" w:line="239" w:lineRule="atLeast"/>
        <w:ind w:left="0" w:right="0" w:firstLine="420"/>
        <w:jc w:val="left"/>
        <w:rPr>
          <w:rFonts w:hint="eastAsia" w:ascii="仿宋" w:hAnsi="仿宋" w:eastAsia="仿宋" w:cs="仿宋"/>
          <w:kern w:val="0"/>
          <w:sz w:val="28"/>
          <w:szCs w:val="28"/>
          <w:lang w:val="en-US" w:eastAsia="zh-CN" w:bidi="ar-SA"/>
        </w:rPr>
      </w:pPr>
      <w:r>
        <w:rPr>
          <w:rFonts w:ascii="仿宋" w:hAnsi="仿宋" w:eastAsia="仿宋" w:cs="Times New Roman"/>
          <w:sz w:val="28"/>
          <w:szCs w:val="28"/>
        </w:rPr>
        <w:t> </w:t>
      </w:r>
      <w:r>
        <w:rPr>
          <w:rFonts w:hint="eastAsia" w:ascii="仿宋" w:hAnsi="仿宋" w:eastAsia="仿宋" w:cs="仿宋"/>
          <w:sz w:val="28"/>
          <w:szCs w:val="28"/>
        </w:rPr>
        <w:t xml:space="preserve"> </w:t>
      </w:r>
      <w:r>
        <w:rPr>
          <w:rFonts w:hint="eastAsia" w:ascii="仿宋" w:hAnsi="仿宋" w:eastAsia="仿宋" w:cs="仿宋"/>
          <w:kern w:val="0"/>
          <w:sz w:val="28"/>
          <w:szCs w:val="28"/>
          <w:lang w:val="en-US" w:eastAsia="zh-CN" w:bidi="ar-SA"/>
        </w:rPr>
        <w:t>截止到5月21日发稿，各地区液氯槽车主流出厂价格：</w:t>
      </w:r>
    </w:p>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bookmarkStart w:id="480" w:name="_GoBack"/>
      <w:bookmarkEnd w:id="480"/>
      <w:r>
        <w:rPr>
          <w:rFonts w:hint="eastAsia" w:ascii="仿宋" w:hAnsi="仿宋" w:eastAsia="仿宋" w:cs="仿宋"/>
          <w:kern w:val="0"/>
          <w:sz w:val="28"/>
          <w:szCs w:val="28"/>
          <w:lang w:val="en-US" w:eastAsia="zh-CN" w:bidi="ar-SA"/>
        </w:rPr>
        <w:t>山东省内主流槽车700-800元/吨，河北省内主流槽车执行850-1000元/吨；河南省槽车主流出货价格在650-700元/吨均有，钢瓶槽车同价；山西地区槽车出货主流在400元/吨；浙江地区当前槽车出货价格为700-800元/吨均有；安徽、江苏地区槽车出厂400-550元/吨；江西槽车出厂700-750元/吨；辽宁地区槽车出厂600元/吨；内蒙液氯槽车900元/吨；湖北地区少量槽车出厂价格在900元/吨；四川地区500-700元/吨，当地高价成交有限。</w:t>
      </w:r>
    </w:p>
    <w:p>
      <w:pPr>
        <w:pStyle w:val="12"/>
        <w:keepNext w:val="0"/>
        <w:keepLines w:val="0"/>
        <w:widowControl/>
        <w:suppressLineNumbers w:val="0"/>
        <w:ind w:left="0" w:firstLine="0"/>
        <w:rPr>
          <w:rFonts w:hint="eastAsia" w:ascii="仿宋" w:hAnsi="仿宋" w:eastAsia="仿宋" w:cs="仿宋"/>
          <w:kern w:val="0"/>
          <w:sz w:val="28"/>
          <w:szCs w:val="28"/>
          <w:lang w:val="en-US" w:eastAsia="zh-CN" w:bidi="ar-SA"/>
        </w:rPr>
      </w:pPr>
    </w:p>
    <w:p>
      <w:pPr>
        <w:pStyle w:val="12"/>
        <w:keepNext w:val="0"/>
        <w:keepLines w:val="0"/>
        <w:widowControl/>
        <w:suppressLineNumbers w:val="0"/>
        <w:ind w:firstLine="560" w:firstLineChars="200"/>
        <w:rPr>
          <w:rFonts w:hint="eastAsia" w:ascii="仿宋" w:hAnsi="仿宋" w:eastAsia="仿宋" w:cs="仿宋"/>
          <w:sz w:val="28"/>
          <w:szCs w:val="28"/>
          <w:lang w:val="en-US" w:eastAsia="zh-CN"/>
        </w:rPr>
      </w:pPr>
    </w:p>
    <w:p>
      <w:pPr>
        <w:widowControl/>
        <w:jc w:val="left"/>
        <w:rPr>
          <w:rFonts w:hint="eastAsia" w:ascii="仿宋" w:hAnsi="仿宋" w:eastAsia="仿宋" w:cs="Times New Roman"/>
          <w:kern w:val="2"/>
          <w:sz w:val="28"/>
          <w:szCs w:val="28"/>
          <w:lang w:eastAsia="zh-CN"/>
        </w:rPr>
      </w:pPr>
    </w:p>
    <w:p>
      <w:pPr>
        <w:pStyle w:val="12"/>
        <w:spacing w:before="0" w:beforeAutospacing="0" w:after="0" w:afterAutospacing="0" w:line="400" w:lineRule="exact"/>
        <w:ind w:firstLine="600" w:firstLineChars="200"/>
        <w:outlineLvl w:val="1"/>
        <w:rPr>
          <w:rFonts w:ascii="黑体" w:hAnsi="黑体" w:eastAsia="黑体" w:cs="Times New Roman"/>
          <w:sz w:val="30"/>
          <w:szCs w:val="30"/>
        </w:rPr>
      </w:pPr>
      <w:r>
        <w:rPr>
          <w:rFonts w:hint="eastAsia" w:ascii="黑体" w:hAnsi="黑体" w:eastAsia="黑体" w:cs="黑体"/>
          <w:sz w:val="30"/>
          <w:szCs w:val="30"/>
        </w:rPr>
        <w:t>三、</w:t>
      </w:r>
      <w:bookmarkStart w:id="447" w:name="_Toc4654043"/>
      <w:bookmarkStart w:id="448" w:name="_Toc4767078"/>
      <w:bookmarkStart w:id="449" w:name="_Toc8378829"/>
      <w:bookmarkStart w:id="450" w:name="_Toc4596906"/>
      <w:bookmarkStart w:id="451" w:name="_Toc8313147"/>
      <w:r>
        <w:rPr>
          <w:rFonts w:hint="eastAsia" w:ascii="黑体" w:hAnsi="黑体" w:eastAsia="黑体" w:cs="黑体"/>
          <w:sz w:val="30"/>
          <w:szCs w:val="30"/>
        </w:rPr>
        <w:t>山东市场分析</w:t>
      </w:r>
      <w:bookmarkEnd w:id="441"/>
      <w:bookmarkEnd w:id="442"/>
      <w:bookmarkEnd w:id="443"/>
      <w:bookmarkEnd w:id="444"/>
      <w:bookmarkEnd w:id="445"/>
      <w:bookmarkEnd w:id="446"/>
      <w:bookmarkEnd w:id="447"/>
      <w:bookmarkEnd w:id="448"/>
      <w:bookmarkEnd w:id="449"/>
      <w:bookmarkEnd w:id="450"/>
      <w:bookmarkEnd w:id="451"/>
      <w:bookmarkStart w:id="452" w:name="OLE_LINK56"/>
    </w:p>
    <w:bookmarkEnd w:id="452"/>
    <w:p>
      <w:pPr>
        <w:keepNext w:val="0"/>
        <w:keepLines w:val="0"/>
        <w:widowControl/>
        <w:suppressLineNumbers w:val="0"/>
        <w:spacing w:before="0" w:beforeAutospacing="0" w:after="0" w:afterAutospacing="0" w:line="239" w:lineRule="atLeast"/>
        <w:ind w:right="0" w:firstLine="560" w:firstLineChars="200"/>
        <w:jc w:val="left"/>
        <w:rPr>
          <w:rFonts w:hint="eastAsia" w:ascii="仿宋" w:hAnsi="仿宋" w:eastAsia="仿宋" w:cs="仿宋"/>
          <w:kern w:val="0"/>
          <w:sz w:val="28"/>
          <w:szCs w:val="28"/>
          <w:lang w:val="en-US" w:eastAsia="zh-CN" w:bidi="ar-SA"/>
        </w:rPr>
      </w:pPr>
      <w:bookmarkStart w:id="453" w:name="_Toc8991668"/>
      <w:bookmarkStart w:id="454" w:name="_Toc8378830"/>
      <w:bookmarkStart w:id="455" w:name="_Toc8313148"/>
      <w:bookmarkStart w:id="456" w:name="_Toc9583967"/>
      <w:bookmarkStart w:id="457" w:name="_Toc4767079"/>
      <w:bookmarkStart w:id="458" w:name="_Toc4654044"/>
      <w:bookmarkStart w:id="459" w:name="_Toc4596907"/>
      <w:bookmarkStart w:id="460" w:name="_Toc13217646"/>
      <w:bookmarkStart w:id="461" w:name="_Toc12609918"/>
      <w:bookmarkStart w:id="462" w:name="_Toc10202323"/>
      <w:bookmarkStart w:id="463" w:name="_Toc9597674"/>
      <w:r>
        <w:rPr>
          <w:rFonts w:hint="eastAsia" w:ascii="仿宋" w:hAnsi="仿宋" w:eastAsia="仿宋" w:cs="仿宋"/>
          <w:kern w:val="0"/>
          <w:sz w:val="28"/>
          <w:szCs w:val="28"/>
          <w:lang w:val="en-US" w:eastAsia="zh-CN" w:bidi="ar-SA"/>
        </w:rPr>
        <w:t>山东地区液氯市场自上周末提涨，涨幅100-200元/吨均有。本次涨价支撑多为检修影响：5.16开始聊城大型液氯外销氯碱企业检修33万吨氯碱装置，5.18济宁中银检修氯碱装置全停检修7天左右，整体山东液氯供应缩减1300吨/天，日供应7690吨/天。但下游需求情况不断萎缩，本周环氧丙烷行业外采情况较为稳定，甲烷氯化物少量外采，但小型耗氯企业本周环保、安监检查较多，加之对高价抵触，降产或停产整顿，整体需求面不振，上游碱厂发货情况不温不火，5.21开始有部分厂家下调100元/吨。河北地区本周需求陆续减少，氯化石蜡以及甘氨酸企业受两会影响或因高价接货吃力，逐渐停产，对液氯需求转差，5.21衡水地区随山东地区下调100元/吨。山西地区本周基本持稳发货，整体变化不大，供应面下周有增加的可能。</w:t>
      </w:r>
    </w:p>
    <w:p>
      <w:pPr>
        <w:pStyle w:val="12"/>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br w:type="textWrapping"/>
      </w:r>
    </w:p>
    <w:p>
      <w:pPr>
        <w:pStyle w:val="12"/>
        <w:rPr>
          <w:rFonts w:hint="eastAsia" w:ascii="仿宋" w:hAnsi="仿宋" w:eastAsia="仿宋" w:cs="仿宋"/>
          <w:sz w:val="28"/>
          <w:szCs w:val="28"/>
          <w:lang w:val="en-US" w:eastAsia="zh-CN"/>
        </w:rPr>
      </w:pPr>
      <w:r>
        <w:rPr>
          <w:rFonts w:ascii="Arial" w:hAnsi="Arial" w:cs="Arial"/>
          <w:color w:val="191919"/>
          <w:shd w:val="clear" w:color="auto" w:fill="FFFFFF"/>
        </w:rPr>
        <w:t>  </w:t>
      </w:r>
      <w:r>
        <w:rPr>
          <w:rFonts w:hint="eastAsia" w:ascii="黑体" w:hAnsi="黑体" w:eastAsia="黑体" w:cs="黑体"/>
          <w:sz w:val="30"/>
          <w:szCs w:val="30"/>
        </w:rPr>
        <w:t>四、后市分析</w:t>
      </w:r>
      <w:bookmarkEnd w:id="453"/>
      <w:bookmarkEnd w:id="454"/>
      <w:bookmarkEnd w:id="455"/>
      <w:bookmarkEnd w:id="456"/>
      <w:bookmarkEnd w:id="457"/>
      <w:bookmarkEnd w:id="458"/>
      <w:bookmarkEnd w:id="459"/>
      <w:bookmarkEnd w:id="460"/>
      <w:bookmarkEnd w:id="461"/>
      <w:bookmarkEnd w:id="462"/>
      <w:bookmarkEnd w:id="463"/>
      <w:r>
        <w:rPr>
          <w:rFonts w:ascii="黑体" w:hAnsi="黑体" w:eastAsia="黑体" w:cs="Times New Roman"/>
          <w:sz w:val="30"/>
          <w:szCs w:val="30"/>
        </w:rPr>
        <w:br w:type="textWrapping"/>
      </w:r>
      <w:r>
        <w:rPr>
          <w:rFonts w:ascii="仿宋" w:hAnsi="仿宋" w:eastAsia="仿宋" w:cs="Times New Roman"/>
          <w:sz w:val="28"/>
          <w:szCs w:val="28"/>
        </w:rPr>
        <w:t>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下周预计华东地区液氯出货情况难有改善，下周安徽、江苏碱厂液氯出货价格难好，预计下周各地区综合利润情况考虑，液氯价格多维持弱稳运行；北方地区预计山东检修碱厂恢复开车，供应增加价格不乏下调的可能。后市预测：下周北方地区液氯市场需密切关注供需量端变化，南方地区多维持低稳态势，预计下周全国液氯市场调整幅度在200-400元/吨之间。</w:t>
      </w:r>
    </w:p>
    <w:p>
      <w:pPr>
        <w:pStyle w:val="12"/>
        <w:spacing w:before="0" w:beforeAutospacing="0" w:after="0" w:afterAutospacing="0" w:line="400" w:lineRule="exact"/>
        <w:outlineLvl w:val="1"/>
        <w:rPr>
          <w:rFonts w:ascii="仿宋" w:hAnsi="仿宋" w:eastAsia="仿宋" w:cs="Times New Roman"/>
          <w:kern w:val="2"/>
          <w:sz w:val="28"/>
          <w:szCs w:val="28"/>
        </w:rPr>
      </w:pPr>
    </w:p>
    <w:p>
      <w:pPr>
        <w:pStyle w:val="12"/>
        <w:ind w:firstLine="602" w:firstLineChars="200"/>
        <w:rPr>
          <w:rFonts w:cs="Times New Roman"/>
          <w:b/>
          <w:bCs/>
          <w:sz w:val="30"/>
          <w:szCs w:val="30"/>
        </w:rPr>
      </w:pPr>
      <w:bookmarkStart w:id="464" w:name="_Toc8313149"/>
      <w:bookmarkStart w:id="465" w:name="_Toc8991669"/>
      <w:bookmarkStart w:id="466" w:name="_Toc8378831"/>
      <w:bookmarkStart w:id="467" w:name="_Toc9597675"/>
      <w:bookmarkStart w:id="468" w:name="_Toc9583968"/>
      <w:bookmarkStart w:id="469" w:name="_Toc12609919"/>
      <w:bookmarkStart w:id="470" w:name="_Toc13217647"/>
      <w:bookmarkStart w:id="471" w:name="_Toc10202324"/>
      <w:bookmarkStart w:id="472" w:name="_Toc4596908"/>
      <w:bookmarkStart w:id="473" w:name="_Toc4654045"/>
      <w:bookmarkStart w:id="474" w:name="_Toc4767080"/>
      <w:r>
        <w:rPr>
          <w:rFonts w:hint="eastAsia"/>
          <w:b/>
          <w:bCs/>
          <w:sz w:val="30"/>
          <w:szCs w:val="30"/>
        </w:rPr>
        <w:t>国内地区市场价格</w:t>
      </w:r>
      <w:bookmarkEnd w:id="417"/>
      <w:bookmarkEnd w:id="418"/>
      <w:bookmarkEnd w:id="464"/>
      <w:bookmarkEnd w:id="465"/>
      <w:bookmarkEnd w:id="466"/>
      <w:bookmarkEnd w:id="467"/>
      <w:bookmarkEnd w:id="468"/>
      <w:bookmarkEnd w:id="469"/>
      <w:bookmarkEnd w:id="470"/>
      <w:bookmarkEnd w:id="471"/>
      <w:bookmarkEnd w:id="472"/>
      <w:bookmarkEnd w:id="473"/>
      <w:bookmarkEnd w:id="474"/>
    </w:p>
    <w:tbl>
      <w:tblPr>
        <w:tblStyle w:val="13"/>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bookmarkStart w:id="475" w:name="_Toc233795926"/>
            <w:bookmarkEnd w:id="475"/>
          </w:p>
          <w:p>
            <w:pPr>
              <w:widowControl/>
              <w:jc w:val="center"/>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hint="default" w:ascii="宋体" w:eastAsia="宋体" w:cs="Times New Roman"/>
                <w:color w:val="000000"/>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75</w:t>
            </w:r>
            <w:r>
              <w:rPr>
                <w:rFonts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85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900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cs="Times New Roman"/>
                <w:color w:val="000000"/>
                <w:kern w:val="0"/>
                <w:sz w:val="20"/>
                <w:szCs w:val="20"/>
                <w:lang w:val="en-US"/>
              </w:rPr>
            </w:pPr>
            <w:r>
              <w:rPr>
                <w:rFonts w:hint="eastAsia" w:ascii="宋体" w:hAnsi="宋体" w:cs="宋体"/>
                <w:color w:val="000000"/>
                <w:kern w:val="0"/>
                <w:sz w:val="20"/>
                <w:szCs w:val="20"/>
                <w:lang w:val="en-US" w:eastAsia="zh-CN"/>
              </w:rPr>
              <w:t>1000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700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900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40</w:t>
            </w:r>
            <w:r>
              <w:rPr>
                <w:rFonts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60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lang w:val="en-US" w:eastAsia="zh-CN"/>
              </w:rPr>
              <w:t>0</w:t>
            </w:r>
            <w:r>
              <w:rPr>
                <w:rFonts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lang w:val="en-US" w:eastAsia="zh-CN"/>
              </w:rPr>
              <w:t>8</w:t>
            </w:r>
            <w:r>
              <w:rPr>
                <w:rFonts w:ascii="宋体" w:hAnsi="宋体" w:cs="宋体"/>
                <w:color w:val="000000"/>
                <w:kern w:val="0"/>
                <w:sz w:val="20"/>
                <w:szCs w:val="20"/>
              </w:rPr>
              <w:t>0</w:t>
            </w:r>
            <w:r>
              <w:rPr>
                <w:rFonts w:ascii="宋体" w:cs="宋体"/>
                <w:color w:val="000000"/>
                <w:kern w:val="0"/>
                <w:sz w:val="20"/>
                <w:szCs w:val="20"/>
              </w:rPr>
              <w:t>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700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80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750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900</w:t>
            </w:r>
          </w:p>
        </w:tc>
      </w:tr>
    </w:tbl>
    <w:p>
      <w:pPr>
        <w:spacing w:line="400" w:lineRule="exact"/>
        <w:rPr>
          <w:rFonts w:cs="Times New Roman"/>
        </w:rPr>
      </w:pPr>
    </w:p>
    <w:p>
      <w:pPr>
        <w:spacing w:line="400" w:lineRule="exact"/>
        <w:rPr>
          <w:rFonts w:ascii="Arial" w:hAnsi="Arial" w:cs="Arial"/>
          <w:kern w:val="0"/>
        </w:rPr>
      </w:pPr>
    </w:p>
    <w:p>
      <w:pPr>
        <w:spacing w:line="400" w:lineRule="exact"/>
        <w:ind w:firstLine="1600" w:firstLineChars="4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16"/>
          <w:rFonts w:hint="eastAsia" w:ascii="方正粗宋简体" w:eastAsia="方正粗宋简体" w:cs="方正粗宋简体"/>
          <w:spacing w:val="20"/>
          <w:sz w:val="36"/>
          <w:szCs w:val="36"/>
        </w:rPr>
        <w:t>中华商务网</w:t>
      </w:r>
      <w:r>
        <w:rPr>
          <w:rStyle w:val="16"/>
          <w:rFonts w:hint="eastAsia" w:ascii="方正粗宋简体" w:eastAsia="方正粗宋简体" w:cs="方正粗宋简体"/>
          <w:spacing w:val="20"/>
          <w:sz w:val="36"/>
          <w:szCs w:val="36"/>
        </w:rPr>
        <w:fldChar w:fldCharType="end"/>
      </w:r>
    </w:p>
    <w:p>
      <w:pPr>
        <w:spacing w:line="400" w:lineRule="exact"/>
        <w:jc w:val="center"/>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w:instrText>
    </w:r>
    <w:r>
      <w:rPr>
        <w:b/>
        <w:bCs/>
      </w:rPr>
      <w:fldChar w:fldCharType="separate"/>
    </w:r>
    <w:r>
      <w:rPr>
        <w:b/>
        <w:bCs/>
      </w:rPr>
      <w:t>14</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14</w:t>
    </w:r>
    <w:r>
      <w:rPr>
        <w:b/>
        <w:bCs/>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pict>
        <v:shape id="图片 7" o:spid="_x0000_s2049" o:spt="75" alt="内页.jpg" type="#_x0000_t75" style="position:absolute;left:0pt;margin-left:-84.15pt;margin-top:-38.8pt;height:842.25pt;width:594.75pt;z-index:-251656192;mso-width-relative:page;mso-height-relative:page;" filled="f" o:preferrelative="t" stroked="f" coordsize="21600,21600">
          <v:path/>
          <v:fill on="f" focussize="0,0"/>
          <v:stroke on="f" joinstyle="miter"/>
          <v:imagedata r:id="rId1" o:title=""/>
          <o:lock v:ext="edit" aspectratio="t"/>
        </v:shape>
      </w:pict>
    </w:r>
  </w:p>
  <w:p>
    <w:pPr>
      <w:pStyle w:val="8"/>
      <w:pBdr>
        <w:bottom w:val="none" w:color="auto" w:sz="0" w:space="0"/>
      </w:pBdr>
    </w:pP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9B408"/>
    <w:multiLevelType w:val="singleLevel"/>
    <w:tmpl w:val="8E59B408"/>
    <w:lvl w:ilvl="0" w:tentative="0">
      <w:start w:val="2"/>
      <w:numFmt w:val="chineseCounting"/>
      <w:suff w:val="nothing"/>
      <w:lvlText w:val="%1、"/>
      <w:lvlJc w:val="left"/>
      <w:rPr>
        <w:rFonts w:hint="eastAsia"/>
      </w:rPr>
    </w:lvl>
  </w:abstractNum>
  <w:abstractNum w:abstractNumId="1">
    <w:nsid w:val="AA80BF45"/>
    <w:multiLevelType w:val="singleLevel"/>
    <w:tmpl w:val="AA80BF45"/>
    <w:lvl w:ilvl="0" w:tentative="0">
      <w:start w:val="1"/>
      <w:numFmt w:val="chineseCounting"/>
      <w:suff w:val="nothing"/>
      <w:lvlText w:val="%1、"/>
      <w:lvlJc w:val="left"/>
      <w:rPr>
        <w:rFonts w:hint="eastAsia"/>
      </w:rPr>
    </w:lvl>
  </w:abstractNum>
  <w:abstractNum w:abstractNumId="2">
    <w:nsid w:val="17A37270"/>
    <w:multiLevelType w:val="multilevel"/>
    <w:tmpl w:val="17A37270"/>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2CE3"/>
    <w:rsid w:val="000053FD"/>
    <w:rsid w:val="00010DB4"/>
    <w:rsid w:val="000112E5"/>
    <w:rsid w:val="000154EF"/>
    <w:rsid w:val="000161BE"/>
    <w:rsid w:val="00026A36"/>
    <w:rsid w:val="00034D9D"/>
    <w:rsid w:val="0004320C"/>
    <w:rsid w:val="00045C9C"/>
    <w:rsid w:val="00057044"/>
    <w:rsid w:val="00057676"/>
    <w:rsid w:val="0005772F"/>
    <w:rsid w:val="0006570B"/>
    <w:rsid w:val="00065726"/>
    <w:rsid w:val="0006615F"/>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0FF"/>
    <w:rsid w:val="000B43A4"/>
    <w:rsid w:val="000B7162"/>
    <w:rsid w:val="000C4607"/>
    <w:rsid w:val="000C72ED"/>
    <w:rsid w:val="000C7673"/>
    <w:rsid w:val="000D1869"/>
    <w:rsid w:val="000D33D7"/>
    <w:rsid w:val="000D3DBE"/>
    <w:rsid w:val="000E1971"/>
    <w:rsid w:val="000E26FB"/>
    <w:rsid w:val="000E41C2"/>
    <w:rsid w:val="000F061D"/>
    <w:rsid w:val="000F4985"/>
    <w:rsid w:val="000F4BC2"/>
    <w:rsid w:val="000F582E"/>
    <w:rsid w:val="001055DB"/>
    <w:rsid w:val="00105BD3"/>
    <w:rsid w:val="00105C40"/>
    <w:rsid w:val="001078AB"/>
    <w:rsid w:val="00113EEE"/>
    <w:rsid w:val="001164A9"/>
    <w:rsid w:val="00120F03"/>
    <w:rsid w:val="00123320"/>
    <w:rsid w:val="00125B5F"/>
    <w:rsid w:val="0012620F"/>
    <w:rsid w:val="00135248"/>
    <w:rsid w:val="001364CB"/>
    <w:rsid w:val="00136A19"/>
    <w:rsid w:val="001410DE"/>
    <w:rsid w:val="0014366D"/>
    <w:rsid w:val="0014784B"/>
    <w:rsid w:val="00153176"/>
    <w:rsid w:val="00154128"/>
    <w:rsid w:val="00161430"/>
    <w:rsid w:val="00163783"/>
    <w:rsid w:val="0016388A"/>
    <w:rsid w:val="0016559E"/>
    <w:rsid w:val="00180C42"/>
    <w:rsid w:val="001825CB"/>
    <w:rsid w:val="00190ADA"/>
    <w:rsid w:val="00192B10"/>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767"/>
    <w:rsid w:val="0042197D"/>
    <w:rsid w:val="00422CED"/>
    <w:rsid w:val="00423EC4"/>
    <w:rsid w:val="004257BC"/>
    <w:rsid w:val="00427C92"/>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3C75"/>
    <w:rsid w:val="004E73EE"/>
    <w:rsid w:val="004E7B26"/>
    <w:rsid w:val="004F1861"/>
    <w:rsid w:val="004F3262"/>
    <w:rsid w:val="004F4195"/>
    <w:rsid w:val="004F76E6"/>
    <w:rsid w:val="00500399"/>
    <w:rsid w:val="0050040A"/>
    <w:rsid w:val="005020F8"/>
    <w:rsid w:val="00505022"/>
    <w:rsid w:val="005060EF"/>
    <w:rsid w:val="0050664D"/>
    <w:rsid w:val="00506FA1"/>
    <w:rsid w:val="00507CF3"/>
    <w:rsid w:val="00513273"/>
    <w:rsid w:val="00514979"/>
    <w:rsid w:val="005203DB"/>
    <w:rsid w:val="00523E89"/>
    <w:rsid w:val="005270C8"/>
    <w:rsid w:val="0053120E"/>
    <w:rsid w:val="0053159E"/>
    <w:rsid w:val="0053365B"/>
    <w:rsid w:val="005337DE"/>
    <w:rsid w:val="00533B75"/>
    <w:rsid w:val="00537D9E"/>
    <w:rsid w:val="00543B15"/>
    <w:rsid w:val="00553BB2"/>
    <w:rsid w:val="0056058C"/>
    <w:rsid w:val="005641D1"/>
    <w:rsid w:val="00565264"/>
    <w:rsid w:val="0057264B"/>
    <w:rsid w:val="0057406A"/>
    <w:rsid w:val="005806E8"/>
    <w:rsid w:val="005808B0"/>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53"/>
    <w:rsid w:val="006C43CA"/>
    <w:rsid w:val="006C47AF"/>
    <w:rsid w:val="006C5409"/>
    <w:rsid w:val="006D003B"/>
    <w:rsid w:val="006D1855"/>
    <w:rsid w:val="006D37BF"/>
    <w:rsid w:val="006D6B32"/>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097"/>
    <w:rsid w:val="0076752D"/>
    <w:rsid w:val="00770753"/>
    <w:rsid w:val="007731FD"/>
    <w:rsid w:val="00773E14"/>
    <w:rsid w:val="00774026"/>
    <w:rsid w:val="0077403D"/>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B5EC4"/>
    <w:rsid w:val="007C32F6"/>
    <w:rsid w:val="007C5699"/>
    <w:rsid w:val="007D0A5B"/>
    <w:rsid w:val="007D29D0"/>
    <w:rsid w:val="007D6B00"/>
    <w:rsid w:val="007E0972"/>
    <w:rsid w:val="007E0F08"/>
    <w:rsid w:val="007E21DF"/>
    <w:rsid w:val="007E3FCF"/>
    <w:rsid w:val="007E6632"/>
    <w:rsid w:val="007F1C52"/>
    <w:rsid w:val="007F2624"/>
    <w:rsid w:val="007F4D63"/>
    <w:rsid w:val="007F6E36"/>
    <w:rsid w:val="008007E4"/>
    <w:rsid w:val="00803FAD"/>
    <w:rsid w:val="008074F4"/>
    <w:rsid w:val="008125AA"/>
    <w:rsid w:val="008144B6"/>
    <w:rsid w:val="00815E03"/>
    <w:rsid w:val="0082114E"/>
    <w:rsid w:val="00822A25"/>
    <w:rsid w:val="00824742"/>
    <w:rsid w:val="00824FA2"/>
    <w:rsid w:val="00831C9E"/>
    <w:rsid w:val="008342A1"/>
    <w:rsid w:val="00842CA3"/>
    <w:rsid w:val="00846284"/>
    <w:rsid w:val="00850EDB"/>
    <w:rsid w:val="00851423"/>
    <w:rsid w:val="0086256C"/>
    <w:rsid w:val="00863F79"/>
    <w:rsid w:val="00864D7D"/>
    <w:rsid w:val="00865BDE"/>
    <w:rsid w:val="0087043F"/>
    <w:rsid w:val="0087619A"/>
    <w:rsid w:val="00885B66"/>
    <w:rsid w:val="00885E16"/>
    <w:rsid w:val="0089028B"/>
    <w:rsid w:val="00892DB9"/>
    <w:rsid w:val="00892F48"/>
    <w:rsid w:val="00892F70"/>
    <w:rsid w:val="0089332E"/>
    <w:rsid w:val="008A450F"/>
    <w:rsid w:val="008A670B"/>
    <w:rsid w:val="008B7EB0"/>
    <w:rsid w:val="008C0312"/>
    <w:rsid w:val="008C17FA"/>
    <w:rsid w:val="008C26E2"/>
    <w:rsid w:val="008C28FC"/>
    <w:rsid w:val="008D073F"/>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2D4D"/>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6859"/>
    <w:rsid w:val="00A17E67"/>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278E"/>
    <w:rsid w:val="00A74680"/>
    <w:rsid w:val="00A82147"/>
    <w:rsid w:val="00A842A6"/>
    <w:rsid w:val="00A8638B"/>
    <w:rsid w:val="00A873D2"/>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2069"/>
    <w:rsid w:val="00AE3F8C"/>
    <w:rsid w:val="00AE5DE8"/>
    <w:rsid w:val="00AF0F65"/>
    <w:rsid w:val="00AF20FE"/>
    <w:rsid w:val="00AF25E1"/>
    <w:rsid w:val="00AF5BF1"/>
    <w:rsid w:val="00B049BC"/>
    <w:rsid w:val="00B05414"/>
    <w:rsid w:val="00B05606"/>
    <w:rsid w:val="00B1158A"/>
    <w:rsid w:val="00B11A21"/>
    <w:rsid w:val="00B142A2"/>
    <w:rsid w:val="00B17B07"/>
    <w:rsid w:val="00B20CBC"/>
    <w:rsid w:val="00B260C3"/>
    <w:rsid w:val="00B34D11"/>
    <w:rsid w:val="00B40A83"/>
    <w:rsid w:val="00B41197"/>
    <w:rsid w:val="00B46E60"/>
    <w:rsid w:val="00B51A50"/>
    <w:rsid w:val="00B52C30"/>
    <w:rsid w:val="00B5300C"/>
    <w:rsid w:val="00B5325A"/>
    <w:rsid w:val="00B60F55"/>
    <w:rsid w:val="00B6114B"/>
    <w:rsid w:val="00B63456"/>
    <w:rsid w:val="00B66A74"/>
    <w:rsid w:val="00B67096"/>
    <w:rsid w:val="00B734BA"/>
    <w:rsid w:val="00B7594B"/>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6D83"/>
    <w:rsid w:val="00BF7D26"/>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60172"/>
    <w:rsid w:val="00C61ECF"/>
    <w:rsid w:val="00C632D9"/>
    <w:rsid w:val="00C6616D"/>
    <w:rsid w:val="00C70AD6"/>
    <w:rsid w:val="00C76BD7"/>
    <w:rsid w:val="00C8000C"/>
    <w:rsid w:val="00C83A27"/>
    <w:rsid w:val="00C9137A"/>
    <w:rsid w:val="00C91F22"/>
    <w:rsid w:val="00C96363"/>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3ED4"/>
    <w:rsid w:val="00D043E7"/>
    <w:rsid w:val="00D0593E"/>
    <w:rsid w:val="00D116BB"/>
    <w:rsid w:val="00D14E9C"/>
    <w:rsid w:val="00D205C2"/>
    <w:rsid w:val="00D22E99"/>
    <w:rsid w:val="00D23F9B"/>
    <w:rsid w:val="00D24CD9"/>
    <w:rsid w:val="00D257E5"/>
    <w:rsid w:val="00D27BAE"/>
    <w:rsid w:val="00D32A4D"/>
    <w:rsid w:val="00D36CAE"/>
    <w:rsid w:val="00D36EF5"/>
    <w:rsid w:val="00D3773D"/>
    <w:rsid w:val="00D431F2"/>
    <w:rsid w:val="00D47173"/>
    <w:rsid w:val="00D50CC7"/>
    <w:rsid w:val="00D5399D"/>
    <w:rsid w:val="00D700BE"/>
    <w:rsid w:val="00D72263"/>
    <w:rsid w:val="00D726A4"/>
    <w:rsid w:val="00D73706"/>
    <w:rsid w:val="00D76C80"/>
    <w:rsid w:val="00D839AE"/>
    <w:rsid w:val="00D865B9"/>
    <w:rsid w:val="00D86AD0"/>
    <w:rsid w:val="00D93F80"/>
    <w:rsid w:val="00D9559B"/>
    <w:rsid w:val="00D96DE5"/>
    <w:rsid w:val="00DA2865"/>
    <w:rsid w:val="00DA39CD"/>
    <w:rsid w:val="00DA4C07"/>
    <w:rsid w:val="00DA5671"/>
    <w:rsid w:val="00DA66D7"/>
    <w:rsid w:val="00DB70BA"/>
    <w:rsid w:val="00DB7174"/>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41AC"/>
    <w:rsid w:val="00E14507"/>
    <w:rsid w:val="00E16F09"/>
    <w:rsid w:val="00E26184"/>
    <w:rsid w:val="00E26B1F"/>
    <w:rsid w:val="00E32EB6"/>
    <w:rsid w:val="00E403E5"/>
    <w:rsid w:val="00E40936"/>
    <w:rsid w:val="00E4253D"/>
    <w:rsid w:val="00E45DBB"/>
    <w:rsid w:val="00E50F72"/>
    <w:rsid w:val="00E51CFA"/>
    <w:rsid w:val="00E51E94"/>
    <w:rsid w:val="00E53C80"/>
    <w:rsid w:val="00E54662"/>
    <w:rsid w:val="00E54C5D"/>
    <w:rsid w:val="00E55032"/>
    <w:rsid w:val="00E6203C"/>
    <w:rsid w:val="00E679A7"/>
    <w:rsid w:val="00E703BA"/>
    <w:rsid w:val="00E70F83"/>
    <w:rsid w:val="00E7238F"/>
    <w:rsid w:val="00E7364E"/>
    <w:rsid w:val="00E745C6"/>
    <w:rsid w:val="00E74E3E"/>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35DB5"/>
    <w:rsid w:val="00F4062B"/>
    <w:rsid w:val="00F40B0F"/>
    <w:rsid w:val="00F41922"/>
    <w:rsid w:val="00F4206D"/>
    <w:rsid w:val="00F421B4"/>
    <w:rsid w:val="00F50E9F"/>
    <w:rsid w:val="00F52099"/>
    <w:rsid w:val="00F56B77"/>
    <w:rsid w:val="00F5736E"/>
    <w:rsid w:val="00F5787A"/>
    <w:rsid w:val="00F60A0A"/>
    <w:rsid w:val="00F61DEB"/>
    <w:rsid w:val="00F64519"/>
    <w:rsid w:val="00F66669"/>
    <w:rsid w:val="00F708E1"/>
    <w:rsid w:val="00F70E4F"/>
    <w:rsid w:val="00F76CD7"/>
    <w:rsid w:val="00F77473"/>
    <w:rsid w:val="00F800D5"/>
    <w:rsid w:val="00F87861"/>
    <w:rsid w:val="00F91123"/>
    <w:rsid w:val="00F91E8D"/>
    <w:rsid w:val="00F93826"/>
    <w:rsid w:val="00F974D5"/>
    <w:rsid w:val="00F97DAE"/>
    <w:rsid w:val="00FA2047"/>
    <w:rsid w:val="00FA6490"/>
    <w:rsid w:val="00FB164A"/>
    <w:rsid w:val="00FB1EDD"/>
    <w:rsid w:val="00FB3554"/>
    <w:rsid w:val="00FB54E9"/>
    <w:rsid w:val="00FB718A"/>
    <w:rsid w:val="00FC26DE"/>
    <w:rsid w:val="00FD138F"/>
    <w:rsid w:val="00FD366D"/>
    <w:rsid w:val="00FD4C8A"/>
    <w:rsid w:val="00FD61D3"/>
    <w:rsid w:val="00FD7572"/>
    <w:rsid w:val="00FD7747"/>
    <w:rsid w:val="00FE2332"/>
    <w:rsid w:val="00FE42AC"/>
    <w:rsid w:val="00FE4912"/>
    <w:rsid w:val="00FE7C37"/>
    <w:rsid w:val="00FF5698"/>
    <w:rsid w:val="00FF6B16"/>
    <w:rsid w:val="01334AEA"/>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93261F"/>
    <w:rsid w:val="02A87A41"/>
    <w:rsid w:val="02AC0079"/>
    <w:rsid w:val="02C35F1A"/>
    <w:rsid w:val="02CD7F2A"/>
    <w:rsid w:val="02E1043D"/>
    <w:rsid w:val="02EC4EBD"/>
    <w:rsid w:val="02FE6E3A"/>
    <w:rsid w:val="031E4A8F"/>
    <w:rsid w:val="032376BD"/>
    <w:rsid w:val="0336482E"/>
    <w:rsid w:val="03395DA9"/>
    <w:rsid w:val="03576141"/>
    <w:rsid w:val="036B397B"/>
    <w:rsid w:val="038B5487"/>
    <w:rsid w:val="039454F7"/>
    <w:rsid w:val="03954B71"/>
    <w:rsid w:val="03A32B9E"/>
    <w:rsid w:val="03E02912"/>
    <w:rsid w:val="03F74F5B"/>
    <w:rsid w:val="03FB760D"/>
    <w:rsid w:val="040C03BD"/>
    <w:rsid w:val="041550AB"/>
    <w:rsid w:val="042A0F92"/>
    <w:rsid w:val="04545041"/>
    <w:rsid w:val="045D4337"/>
    <w:rsid w:val="049E4FF2"/>
    <w:rsid w:val="04A17507"/>
    <w:rsid w:val="04AC619C"/>
    <w:rsid w:val="04B510B6"/>
    <w:rsid w:val="04C83E06"/>
    <w:rsid w:val="05382FEF"/>
    <w:rsid w:val="0543483B"/>
    <w:rsid w:val="054826E6"/>
    <w:rsid w:val="05486BF5"/>
    <w:rsid w:val="05527BDA"/>
    <w:rsid w:val="055C366D"/>
    <w:rsid w:val="058548CC"/>
    <w:rsid w:val="0592632F"/>
    <w:rsid w:val="059D0C5B"/>
    <w:rsid w:val="05AA6458"/>
    <w:rsid w:val="05AD79F9"/>
    <w:rsid w:val="05AE0EA7"/>
    <w:rsid w:val="05CB7009"/>
    <w:rsid w:val="05D8436B"/>
    <w:rsid w:val="06421F4B"/>
    <w:rsid w:val="065C721B"/>
    <w:rsid w:val="06870DAC"/>
    <w:rsid w:val="06922C24"/>
    <w:rsid w:val="06B70CF8"/>
    <w:rsid w:val="06BF4FE7"/>
    <w:rsid w:val="06CB3731"/>
    <w:rsid w:val="06CD277C"/>
    <w:rsid w:val="07023E05"/>
    <w:rsid w:val="072421F9"/>
    <w:rsid w:val="075549A0"/>
    <w:rsid w:val="07740842"/>
    <w:rsid w:val="07773497"/>
    <w:rsid w:val="07890D0A"/>
    <w:rsid w:val="07984BBF"/>
    <w:rsid w:val="07AE4A7D"/>
    <w:rsid w:val="07DD4E6B"/>
    <w:rsid w:val="08016807"/>
    <w:rsid w:val="080240DB"/>
    <w:rsid w:val="08351D21"/>
    <w:rsid w:val="08A903BD"/>
    <w:rsid w:val="08BC3F7D"/>
    <w:rsid w:val="08C1740A"/>
    <w:rsid w:val="08D0436B"/>
    <w:rsid w:val="091B1A08"/>
    <w:rsid w:val="091F10BB"/>
    <w:rsid w:val="09281147"/>
    <w:rsid w:val="093F027C"/>
    <w:rsid w:val="09410D16"/>
    <w:rsid w:val="09593BE6"/>
    <w:rsid w:val="095A6794"/>
    <w:rsid w:val="096C6451"/>
    <w:rsid w:val="097B6FF1"/>
    <w:rsid w:val="09996C4F"/>
    <w:rsid w:val="09A068DB"/>
    <w:rsid w:val="09CE0444"/>
    <w:rsid w:val="09D346B2"/>
    <w:rsid w:val="09DF4FD2"/>
    <w:rsid w:val="0A1366BF"/>
    <w:rsid w:val="0A1428E0"/>
    <w:rsid w:val="0A1519B0"/>
    <w:rsid w:val="0A152E7E"/>
    <w:rsid w:val="0A2D1211"/>
    <w:rsid w:val="0A461ACB"/>
    <w:rsid w:val="0A66188B"/>
    <w:rsid w:val="0A7C32A0"/>
    <w:rsid w:val="0A841691"/>
    <w:rsid w:val="0A863285"/>
    <w:rsid w:val="0A890607"/>
    <w:rsid w:val="0AA70C4A"/>
    <w:rsid w:val="0AA8524A"/>
    <w:rsid w:val="0B1F782B"/>
    <w:rsid w:val="0B255A7F"/>
    <w:rsid w:val="0B6A1FAD"/>
    <w:rsid w:val="0B71544D"/>
    <w:rsid w:val="0B724EE3"/>
    <w:rsid w:val="0B9904E2"/>
    <w:rsid w:val="0B9C51ED"/>
    <w:rsid w:val="0BA13902"/>
    <w:rsid w:val="0BB56ECA"/>
    <w:rsid w:val="0BC604FD"/>
    <w:rsid w:val="0BD71EE3"/>
    <w:rsid w:val="0BEE0FE3"/>
    <w:rsid w:val="0BFF5725"/>
    <w:rsid w:val="0C083ECC"/>
    <w:rsid w:val="0C172775"/>
    <w:rsid w:val="0C695DCD"/>
    <w:rsid w:val="0C890544"/>
    <w:rsid w:val="0CA66CC1"/>
    <w:rsid w:val="0CA858AC"/>
    <w:rsid w:val="0CAC78A5"/>
    <w:rsid w:val="0CB30323"/>
    <w:rsid w:val="0CC017E9"/>
    <w:rsid w:val="0CE73CE2"/>
    <w:rsid w:val="0CFF137A"/>
    <w:rsid w:val="0D0E3B3C"/>
    <w:rsid w:val="0D4956AC"/>
    <w:rsid w:val="0D6A3A1C"/>
    <w:rsid w:val="0D6F211C"/>
    <w:rsid w:val="0D7F2DE6"/>
    <w:rsid w:val="0D816C41"/>
    <w:rsid w:val="0D8E74B5"/>
    <w:rsid w:val="0DA059E8"/>
    <w:rsid w:val="0DB57890"/>
    <w:rsid w:val="0DDF2CA9"/>
    <w:rsid w:val="0DDF6DC0"/>
    <w:rsid w:val="0DFA218B"/>
    <w:rsid w:val="0E037EF0"/>
    <w:rsid w:val="0E106155"/>
    <w:rsid w:val="0E1378E5"/>
    <w:rsid w:val="0E2813BC"/>
    <w:rsid w:val="0E330069"/>
    <w:rsid w:val="0E5A009E"/>
    <w:rsid w:val="0E5A539A"/>
    <w:rsid w:val="0E6A7FD0"/>
    <w:rsid w:val="0E7C335A"/>
    <w:rsid w:val="0E8858EA"/>
    <w:rsid w:val="0E89241D"/>
    <w:rsid w:val="0E9A42BB"/>
    <w:rsid w:val="0EA904FB"/>
    <w:rsid w:val="0EAB4CB7"/>
    <w:rsid w:val="0ECB511F"/>
    <w:rsid w:val="0F1126A3"/>
    <w:rsid w:val="0F130CA2"/>
    <w:rsid w:val="0F6C01DF"/>
    <w:rsid w:val="0F717475"/>
    <w:rsid w:val="0FA16C1B"/>
    <w:rsid w:val="0FAD679A"/>
    <w:rsid w:val="0FC9079A"/>
    <w:rsid w:val="0FCE492A"/>
    <w:rsid w:val="0FEF5CB8"/>
    <w:rsid w:val="0FF22D75"/>
    <w:rsid w:val="100148E0"/>
    <w:rsid w:val="10063A9E"/>
    <w:rsid w:val="101007C5"/>
    <w:rsid w:val="101B49EE"/>
    <w:rsid w:val="10455784"/>
    <w:rsid w:val="104760F9"/>
    <w:rsid w:val="10574567"/>
    <w:rsid w:val="107C6290"/>
    <w:rsid w:val="10C922FB"/>
    <w:rsid w:val="10FC00C4"/>
    <w:rsid w:val="113A2D61"/>
    <w:rsid w:val="11491BDE"/>
    <w:rsid w:val="114C30E7"/>
    <w:rsid w:val="1152164B"/>
    <w:rsid w:val="115B59BF"/>
    <w:rsid w:val="116C0DA5"/>
    <w:rsid w:val="11A93C51"/>
    <w:rsid w:val="11CB369C"/>
    <w:rsid w:val="11CD5F3B"/>
    <w:rsid w:val="11D60FB3"/>
    <w:rsid w:val="11D846FA"/>
    <w:rsid w:val="123329CA"/>
    <w:rsid w:val="12335050"/>
    <w:rsid w:val="124B4831"/>
    <w:rsid w:val="124C21D7"/>
    <w:rsid w:val="126B642D"/>
    <w:rsid w:val="127C6F0A"/>
    <w:rsid w:val="12904C2A"/>
    <w:rsid w:val="1294653E"/>
    <w:rsid w:val="12DD29B7"/>
    <w:rsid w:val="12E74761"/>
    <w:rsid w:val="12F91650"/>
    <w:rsid w:val="130C0C4A"/>
    <w:rsid w:val="1326106F"/>
    <w:rsid w:val="13345CE6"/>
    <w:rsid w:val="133C140F"/>
    <w:rsid w:val="13417428"/>
    <w:rsid w:val="135D0BF3"/>
    <w:rsid w:val="136F5708"/>
    <w:rsid w:val="138C04F1"/>
    <w:rsid w:val="138C1E03"/>
    <w:rsid w:val="139F4C26"/>
    <w:rsid w:val="13D429E2"/>
    <w:rsid w:val="13EF32B1"/>
    <w:rsid w:val="13F73898"/>
    <w:rsid w:val="140677C1"/>
    <w:rsid w:val="141B3E3E"/>
    <w:rsid w:val="14326994"/>
    <w:rsid w:val="14494DA0"/>
    <w:rsid w:val="14532C5D"/>
    <w:rsid w:val="14573098"/>
    <w:rsid w:val="1462559C"/>
    <w:rsid w:val="146F074D"/>
    <w:rsid w:val="14784453"/>
    <w:rsid w:val="147B1568"/>
    <w:rsid w:val="147C5C40"/>
    <w:rsid w:val="148C6287"/>
    <w:rsid w:val="14B91A4D"/>
    <w:rsid w:val="14CD3865"/>
    <w:rsid w:val="14CE79A3"/>
    <w:rsid w:val="15030BEA"/>
    <w:rsid w:val="15034109"/>
    <w:rsid w:val="151379CF"/>
    <w:rsid w:val="151765DE"/>
    <w:rsid w:val="152016D6"/>
    <w:rsid w:val="1526060F"/>
    <w:rsid w:val="15951836"/>
    <w:rsid w:val="159E1414"/>
    <w:rsid w:val="159F491B"/>
    <w:rsid w:val="15C13076"/>
    <w:rsid w:val="15C147C6"/>
    <w:rsid w:val="15E11224"/>
    <w:rsid w:val="15F91225"/>
    <w:rsid w:val="15FC0E4B"/>
    <w:rsid w:val="16001B5A"/>
    <w:rsid w:val="16004BF4"/>
    <w:rsid w:val="16142C2C"/>
    <w:rsid w:val="162A219C"/>
    <w:rsid w:val="163B3001"/>
    <w:rsid w:val="164160AE"/>
    <w:rsid w:val="1645490F"/>
    <w:rsid w:val="16794E7B"/>
    <w:rsid w:val="16C22502"/>
    <w:rsid w:val="16E82364"/>
    <w:rsid w:val="16F54AFF"/>
    <w:rsid w:val="17173AA4"/>
    <w:rsid w:val="1728225C"/>
    <w:rsid w:val="174626B0"/>
    <w:rsid w:val="17493299"/>
    <w:rsid w:val="17597E67"/>
    <w:rsid w:val="17706F19"/>
    <w:rsid w:val="17771166"/>
    <w:rsid w:val="17856D8D"/>
    <w:rsid w:val="17C12A54"/>
    <w:rsid w:val="17CE67EB"/>
    <w:rsid w:val="17D17B3F"/>
    <w:rsid w:val="17E920D7"/>
    <w:rsid w:val="180F2A86"/>
    <w:rsid w:val="18224EC6"/>
    <w:rsid w:val="18384184"/>
    <w:rsid w:val="1840362C"/>
    <w:rsid w:val="185D6678"/>
    <w:rsid w:val="1867600E"/>
    <w:rsid w:val="186B591E"/>
    <w:rsid w:val="188A4289"/>
    <w:rsid w:val="18A14D73"/>
    <w:rsid w:val="18D10787"/>
    <w:rsid w:val="18E221CE"/>
    <w:rsid w:val="190A77DB"/>
    <w:rsid w:val="190E6FE5"/>
    <w:rsid w:val="1911312B"/>
    <w:rsid w:val="191D4EF9"/>
    <w:rsid w:val="19330B5D"/>
    <w:rsid w:val="193D0AFF"/>
    <w:rsid w:val="193E0D82"/>
    <w:rsid w:val="1978453B"/>
    <w:rsid w:val="199961DA"/>
    <w:rsid w:val="19C52BBD"/>
    <w:rsid w:val="19C865E2"/>
    <w:rsid w:val="19E45DAB"/>
    <w:rsid w:val="1A046DA2"/>
    <w:rsid w:val="1A0C340A"/>
    <w:rsid w:val="1A1A1834"/>
    <w:rsid w:val="1A2D3805"/>
    <w:rsid w:val="1A311A98"/>
    <w:rsid w:val="1A3A659C"/>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D4216"/>
    <w:rsid w:val="1B6A0D2E"/>
    <w:rsid w:val="1B7A32F1"/>
    <w:rsid w:val="1B8F2AC9"/>
    <w:rsid w:val="1B9202B4"/>
    <w:rsid w:val="1BBA7630"/>
    <w:rsid w:val="1BF251FB"/>
    <w:rsid w:val="1BFA1C6C"/>
    <w:rsid w:val="1C1E7791"/>
    <w:rsid w:val="1C2C1439"/>
    <w:rsid w:val="1C4C0DD0"/>
    <w:rsid w:val="1C530D68"/>
    <w:rsid w:val="1C622547"/>
    <w:rsid w:val="1C891F29"/>
    <w:rsid w:val="1C953F06"/>
    <w:rsid w:val="1CB3000F"/>
    <w:rsid w:val="1CBA0992"/>
    <w:rsid w:val="1CDE5D67"/>
    <w:rsid w:val="1CFA7100"/>
    <w:rsid w:val="1D1A225D"/>
    <w:rsid w:val="1D5E1FCF"/>
    <w:rsid w:val="1D6C20FF"/>
    <w:rsid w:val="1D7338A6"/>
    <w:rsid w:val="1DC07CB1"/>
    <w:rsid w:val="1DD7185B"/>
    <w:rsid w:val="1DDD3152"/>
    <w:rsid w:val="1DE91C96"/>
    <w:rsid w:val="1E014C06"/>
    <w:rsid w:val="1E166D72"/>
    <w:rsid w:val="1E2A13EE"/>
    <w:rsid w:val="1E400032"/>
    <w:rsid w:val="1E4F567E"/>
    <w:rsid w:val="1E5429AD"/>
    <w:rsid w:val="1EA17D82"/>
    <w:rsid w:val="1EA56EB4"/>
    <w:rsid w:val="1EA80D12"/>
    <w:rsid w:val="1EA91AD4"/>
    <w:rsid w:val="1EB26E40"/>
    <w:rsid w:val="1EF15311"/>
    <w:rsid w:val="1F1A1E89"/>
    <w:rsid w:val="1F1C3E22"/>
    <w:rsid w:val="1F2914FD"/>
    <w:rsid w:val="1F312568"/>
    <w:rsid w:val="1F43662E"/>
    <w:rsid w:val="1F85078D"/>
    <w:rsid w:val="1F9B15F7"/>
    <w:rsid w:val="1FA92C1C"/>
    <w:rsid w:val="1FB40E7B"/>
    <w:rsid w:val="1FC65118"/>
    <w:rsid w:val="20081DAE"/>
    <w:rsid w:val="200C3229"/>
    <w:rsid w:val="203175DD"/>
    <w:rsid w:val="203239BF"/>
    <w:rsid w:val="20645B40"/>
    <w:rsid w:val="206A1AAA"/>
    <w:rsid w:val="20A21432"/>
    <w:rsid w:val="20A73498"/>
    <w:rsid w:val="20B8519B"/>
    <w:rsid w:val="20C22B0F"/>
    <w:rsid w:val="2120667F"/>
    <w:rsid w:val="212577C9"/>
    <w:rsid w:val="2129013A"/>
    <w:rsid w:val="213132B3"/>
    <w:rsid w:val="21381DD1"/>
    <w:rsid w:val="214977FA"/>
    <w:rsid w:val="21A93D88"/>
    <w:rsid w:val="21B2378E"/>
    <w:rsid w:val="21CD5E7B"/>
    <w:rsid w:val="21E309CC"/>
    <w:rsid w:val="21F062E3"/>
    <w:rsid w:val="22140ABA"/>
    <w:rsid w:val="223566E9"/>
    <w:rsid w:val="22750885"/>
    <w:rsid w:val="22781FE1"/>
    <w:rsid w:val="228C1924"/>
    <w:rsid w:val="22C473F8"/>
    <w:rsid w:val="22DD0E5E"/>
    <w:rsid w:val="22F90566"/>
    <w:rsid w:val="22F96E4B"/>
    <w:rsid w:val="231321D1"/>
    <w:rsid w:val="231B3006"/>
    <w:rsid w:val="233D2C59"/>
    <w:rsid w:val="236D4DD4"/>
    <w:rsid w:val="23A51F6E"/>
    <w:rsid w:val="23B3714F"/>
    <w:rsid w:val="23BB66DD"/>
    <w:rsid w:val="23E75641"/>
    <w:rsid w:val="244D7E8B"/>
    <w:rsid w:val="247D3D24"/>
    <w:rsid w:val="248017D2"/>
    <w:rsid w:val="248C0836"/>
    <w:rsid w:val="24C42B0E"/>
    <w:rsid w:val="24E5063A"/>
    <w:rsid w:val="24EE6EEF"/>
    <w:rsid w:val="250E36D4"/>
    <w:rsid w:val="251131AC"/>
    <w:rsid w:val="252C7CDE"/>
    <w:rsid w:val="252E0C75"/>
    <w:rsid w:val="2531647C"/>
    <w:rsid w:val="255A3A3C"/>
    <w:rsid w:val="255C23D7"/>
    <w:rsid w:val="25744003"/>
    <w:rsid w:val="25A42C90"/>
    <w:rsid w:val="25A726E9"/>
    <w:rsid w:val="25B21C3C"/>
    <w:rsid w:val="25BB5832"/>
    <w:rsid w:val="25CC34A8"/>
    <w:rsid w:val="25EA196B"/>
    <w:rsid w:val="25F762BD"/>
    <w:rsid w:val="260B23EF"/>
    <w:rsid w:val="26222797"/>
    <w:rsid w:val="26365347"/>
    <w:rsid w:val="26411875"/>
    <w:rsid w:val="264B33E4"/>
    <w:rsid w:val="26B1588A"/>
    <w:rsid w:val="26BE1C99"/>
    <w:rsid w:val="26BF5437"/>
    <w:rsid w:val="26C2123A"/>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E73B9"/>
    <w:rsid w:val="294F6A51"/>
    <w:rsid w:val="295900AA"/>
    <w:rsid w:val="296D1228"/>
    <w:rsid w:val="2986681D"/>
    <w:rsid w:val="299E51AB"/>
    <w:rsid w:val="29A25E9A"/>
    <w:rsid w:val="29BC0DD8"/>
    <w:rsid w:val="29D354ED"/>
    <w:rsid w:val="29ED7A0D"/>
    <w:rsid w:val="2A0F4DF1"/>
    <w:rsid w:val="2A1255D9"/>
    <w:rsid w:val="2A430EFC"/>
    <w:rsid w:val="2A513500"/>
    <w:rsid w:val="2AD333D3"/>
    <w:rsid w:val="2B0B0E1A"/>
    <w:rsid w:val="2B0E711C"/>
    <w:rsid w:val="2B185B0D"/>
    <w:rsid w:val="2B24515F"/>
    <w:rsid w:val="2B264B60"/>
    <w:rsid w:val="2B28757D"/>
    <w:rsid w:val="2B325797"/>
    <w:rsid w:val="2B485786"/>
    <w:rsid w:val="2B584813"/>
    <w:rsid w:val="2B90764A"/>
    <w:rsid w:val="2BCC41E9"/>
    <w:rsid w:val="2BF10248"/>
    <w:rsid w:val="2BF66797"/>
    <w:rsid w:val="2BFA48BC"/>
    <w:rsid w:val="2C012BF1"/>
    <w:rsid w:val="2C1F7200"/>
    <w:rsid w:val="2C2448FD"/>
    <w:rsid w:val="2C2F57E0"/>
    <w:rsid w:val="2C4347F7"/>
    <w:rsid w:val="2C587B92"/>
    <w:rsid w:val="2C794137"/>
    <w:rsid w:val="2C7A1C49"/>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12121F"/>
    <w:rsid w:val="2E3428A1"/>
    <w:rsid w:val="2E4658C1"/>
    <w:rsid w:val="2E504770"/>
    <w:rsid w:val="2E50628F"/>
    <w:rsid w:val="2E5D760A"/>
    <w:rsid w:val="2E8621CD"/>
    <w:rsid w:val="2E997E89"/>
    <w:rsid w:val="2EA02B25"/>
    <w:rsid w:val="2EA422D0"/>
    <w:rsid w:val="2EBB4636"/>
    <w:rsid w:val="2EBD789D"/>
    <w:rsid w:val="2EFB73F6"/>
    <w:rsid w:val="2F17473F"/>
    <w:rsid w:val="2F753772"/>
    <w:rsid w:val="2F7863FE"/>
    <w:rsid w:val="2F7E591D"/>
    <w:rsid w:val="2F83148E"/>
    <w:rsid w:val="2FA20646"/>
    <w:rsid w:val="2FD00CD8"/>
    <w:rsid w:val="2FE92E77"/>
    <w:rsid w:val="300710B9"/>
    <w:rsid w:val="301469DB"/>
    <w:rsid w:val="30443666"/>
    <w:rsid w:val="30445BE2"/>
    <w:rsid w:val="304478B7"/>
    <w:rsid w:val="30567232"/>
    <w:rsid w:val="306C68A0"/>
    <w:rsid w:val="308244A3"/>
    <w:rsid w:val="30D70886"/>
    <w:rsid w:val="30E71295"/>
    <w:rsid w:val="30F8032D"/>
    <w:rsid w:val="31054673"/>
    <w:rsid w:val="312416D2"/>
    <w:rsid w:val="31373757"/>
    <w:rsid w:val="31455588"/>
    <w:rsid w:val="31487165"/>
    <w:rsid w:val="317871ED"/>
    <w:rsid w:val="318800B8"/>
    <w:rsid w:val="318B7C3C"/>
    <w:rsid w:val="31A34525"/>
    <w:rsid w:val="31A67991"/>
    <w:rsid w:val="31C66375"/>
    <w:rsid w:val="31CB7ECB"/>
    <w:rsid w:val="31DD66AD"/>
    <w:rsid w:val="321A19AC"/>
    <w:rsid w:val="32351768"/>
    <w:rsid w:val="32573668"/>
    <w:rsid w:val="327169B3"/>
    <w:rsid w:val="329711D4"/>
    <w:rsid w:val="329F67D2"/>
    <w:rsid w:val="32B413B0"/>
    <w:rsid w:val="32BD5199"/>
    <w:rsid w:val="32DA04F5"/>
    <w:rsid w:val="32DF5292"/>
    <w:rsid w:val="331B49F3"/>
    <w:rsid w:val="33272875"/>
    <w:rsid w:val="33423785"/>
    <w:rsid w:val="33525A0A"/>
    <w:rsid w:val="335912D0"/>
    <w:rsid w:val="3386387A"/>
    <w:rsid w:val="33896F89"/>
    <w:rsid w:val="33984B88"/>
    <w:rsid w:val="33A06C52"/>
    <w:rsid w:val="33C62097"/>
    <w:rsid w:val="33D67664"/>
    <w:rsid w:val="33F45FEE"/>
    <w:rsid w:val="33F6199A"/>
    <w:rsid w:val="33FF5135"/>
    <w:rsid w:val="343D3244"/>
    <w:rsid w:val="34A7148E"/>
    <w:rsid w:val="34BE693E"/>
    <w:rsid w:val="34C23899"/>
    <w:rsid w:val="34DF2DE7"/>
    <w:rsid w:val="34E50B27"/>
    <w:rsid w:val="35234A71"/>
    <w:rsid w:val="35557C7A"/>
    <w:rsid w:val="35742838"/>
    <w:rsid w:val="3588299B"/>
    <w:rsid w:val="35C50C14"/>
    <w:rsid w:val="35CA1A52"/>
    <w:rsid w:val="35DA7511"/>
    <w:rsid w:val="35E314D0"/>
    <w:rsid w:val="3606082A"/>
    <w:rsid w:val="3612427D"/>
    <w:rsid w:val="361B2B11"/>
    <w:rsid w:val="36303022"/>
    <w:rsid w:val="36316BE9"/>
    <w:rsid w:val="36607940"/>
    <w:rsid w:val="3679122E"/>
    <w:rsid w:val="369F6B64"/>
    <w:rsid w:val="36B80F79"/>
    <w:rsid w:val="36C17239"/>
    <w:rsid w:val="36E22959"/>
    <w:rsid w:val="36E42503"/>
    <w:rsid w:val="36F122F6"/>
    <w:rsid w:val="37381588"/>
    <w:rsid w:val="374B61EE"/>
    <w:rsid w:val="3757126C"/>
    <w:rsid w:val="376C6EF7"/>
    <w:rsid w:val="37AA2055"/>
    <w:rsid w:val="37C67B3A"/>
    <w:rsid w:val="37C80B52"/>
    <w:rsid w:val="37CC1A51"/>
    <w:rsid w:val="37DA37B0"/>
    <w:rsid w:val="37F20161"/>
    <w:rsid w:val="37FF790F"/>
    <w:rsid w:val="3801773F"/>
    <w:rsid w:val="380C4B30"/>
    <w:rsid w:val="382617B5"/>
    <w:rsid w:val="38330778"/>
    <w:rsid w:val="38352242"/>
    <w:rsid w:val="38515BD6"/>
    <w:rsid w:val="389C6B7F"/>
    <w:rsid w:val="38AB399D"/>
    <w:rsid w:val="38AC3553"/>
    <w:rsid w:val="38AF7D4D"/>
    <w:rsid w:val="38B7769F"/>
    <w:rsid w:val="38CE672F"/>
    <w:rsid w:val="38DE5926"/>
    <w:rsid w:val="38E24762"/>
    <w:rsid w:val="38F3390A"/>
    <w:rsid w:val="38FB076B"/>
    <w:rsid w:val="39094032"/>
    <w:rsid w:val="396C2796"/>
    <w:rsid w:val="3980152A"/>
    <w:rsid w:val="399223FA"/>
    <w:rsid w:val="39955780"/>
    <w:rsid w:val="39AE0D4E"/>
    <w:rsid w:val="3A03584E"/>
    <w:rsid w:val="3A197AC1"/>
    <w:rsid w:val="3A4D56C0"/>
    <w:rsid w:val="3A592602"/>
    <w:rsid w:val="3A65734A"/>
    <w:rsid w:val="3A825A80"/>
    <w:rsid w:val="3A9123C0"/>
    <w:rsid w:val="3AA77AD9"/>
    <w:rsid w:val="3AAD45FC"/>
    <w:rsid w:val="3AB23C7E"/>
    <w:rsid w:val="3ADF50E9"/>
    <w:rsid w:val="3AE3199B"/>
    <w:rsid w:val="3AFF438C"/>
    <w:rsid w:val="3B3576D3"/>
    <w:rsid w:val="3B594B04"/>
    <w:rsid w:val="3B751CEA"/>
    <w:rsid w:val="3BCD1350"/>
    <w:rsid w:val="3BFA6E54"/>
    <w:rsid w:val="3C264D71"/>
    <w:rsid w:val="3C2D6A5B"/>
    <w:rsid w:val="3C567AB8"/>
    <w:rsid w:val="3C6A413D"/>
    <w:rsid w:val="3C791086"/>
    <w:rsid w:val="3CCF420F"/>
    <w:rsid w:val="3CF81306"/>
    <w:rsid w:val="3D010241"/>
    <w:rsid w:val="3D096174"/>
    <w:rsid w:val="3D1E3E3D"/>
    <w:rsid w:val="3D5F6BC7"/>
    <w:rsid w:val="3D6019E2"/>
    <w:rsid w:val="3D694746"/>
    <w:rsid w:val="3D74565B"/>
    <w:rsid w:val="3D8A359B"/>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E0E18"/>
    <w:rsid w:val="3ECB10CB"/>
    <w:rsid w:val="3F150C00"/>
    <w:rsid w:val="3F263F12"/>
    <w:rsid w:val="3F287E14"/>
    <w:rsid w:val="3F353321"/>
    <w:rsid w:val="3F6B4D22"/>
    <w:rsid w:val="3F6D245D"/>
    <w:rsid w:val="3F7529B9"/>
    <w:rsid w:val="3F972198"/>
    <w:rsid w:val="3FCA2DCB"/>
    <w:rsid w:val="3FEA1764"/>
    <w:rsid w:val="401477C2"/>
    <w:rsid w:val="40224A29"/>
    <w:rsid w:val="402B380D"/>
    <w:rsid w:val="404919BE"/>
    <w:rsid w:val="405465C5"/>
    <w:rsid w:val="407812DD"/>
    <w:rsid w:val="40865790"/>
    <w:rsid w:val="40A724DA"/>
    <w:rsid w:val="40BE43E7"/>
    <w:rsid w:val="40C62591"/>
    <w:rsid w:val="40E71174"/>
    <w:rsid w:val="41183806"/>
    <w:rsid w:val="411C7A1B"/>
    <w:rsid w:val="412D189F"/>
    <w:rsid w:val="41612651"/>
    <w:rsid w:val="41B55023"/>
    <w:rsid w:val="41BD2E20"/>
    <w:rsid w:val="41ED63ED"/>
    <w:rsid w:val="42203EF6"/>
    <w:rsid w:val="423C58E6"/>
    <w:rsid w:val="424A6830"/>
    <w:rsid w:val="42643689"/>
    <w:rsid w:val="426E2D48"/>
    <w:rsid w:val="427F06AC"/>
    <w:rsid w:val="428F2D0E"/>
    <w:rsid w:val="42D3670D"/>
    <w:rsid w:val="42EC38FC"/>
    <w:rsid w:val="42ED2564"/>
    <w:rsid w:val="42F04B90"/>
    <w:rsid w:val="436D793C"/>
    <w:rsid w:val="43950EAA"/>
    <w:rsid w:val="43BC78EC"/>
    <w:rsid w:val="43CD4F08"/>
    <w:rsid w:val="43D44F9D"/>
    <w:rsid w:val="44013332"/>
    <w:rsid w:val="44151576"/>
    <w:rsid w:val="444E0AA1"/>
    <w:rsid w:val="44574BE4"/>
    <w:rsid w:val="44626811"/>
    <w:rsid w:val="44AC2A64"/>
    <w:rsid w:val="44DD1F9C"/>
    <w:rsid w:val="45192E41"/>
    <w:rsid w:val="455F61E0"/>
    <w:rsid w:val="456A7115"/>
    <w:rsid w:val="45757DC8"/>
    <w:rsid w:val="458512A6"/>
    <w:rsid w:val="45EA14EE"/>
    <w:rsid w:val="45F4257A"/>
    <w:rsid w:val="45F520F7"/>
    <w:rsid w:val="4606352C"/>
    <w:rsid w:val="463A30BE"/>
    <w:rsid w:val="463B1AAA"/>
    <w:rsid w:val="463F04DF"/>
    <w:rsid w:val="467807FF"/>
    <w:rsid w:val="467E02AE"/>
    <w:rsid w:val="46851492"/>
    <w:rsid w:val="46975AF3"/>
    <w:rsid w:val="469C5DED"/>
    <w:rsid w:val="46E6270B"/>
    <w:rsid w:val="47174E47"/>
    <w:rsid w:val="471A4BF0"/>
    <w:rsid w:val="474F32D6"/>
    <w:rsid w:val="47657879"/>
    <w:rsid w:val="47772291"/>
    <w:rsid w:val="477E37E3"/>
    <w:rsid w:val="47842B8D"/>
    <w:rsid w:val="478949E3"/>
    <w:rsid w:val="47C03AAC"/>
    <w:rsid w:val="48091C5A"/>
    <w:rsid w:val="48152FCE"/>
    <w:rsid w:val="48461E10"/>
    <w:rsid w:val="485263FC"/>
    <w:rsid w:val="48550B5D"/>
    <w:rsid w:val="48634D88"/>
    <w:rsid w:val="486C7629"/>
    <w:rsid w:val="48A861D6"/>
    <w:rsid w:val="48C71E24"/>
    <w:rsid w:val="48DC2BE3"/>
    <w:rsid w:val="48F51468"/>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A1E5602"/>
    <w:rsid w:val="4A4E09C7"/>
    <w:rsid w:val="4A705D29"/>
    <w:rsid w:val="4AA919F3"/>
    <w:rsid w:val="4AC026BD"/>
    <w:rsid w:val="4AC901FE"/>
    <w:rsid w:val="4ADC1C12"/>
    <w:rsid w:val="4AED74A4"/>
    <w:rsid w:val="4B120DC9"/>
    <w:rsid w:val="4B2211C1"/>
    <w:rsid w:val="4B392FD5"/>
    <w:rsid w:val="4B687AF9"/>
    <w:rsid w:val="4B697C3A"/>
    <w:rsid w:val="4BA00211"/>
    <w:rsid w:val="4BA14D45"/>
    <w:rsid w:val="4BCB1550"/>
    <w:rsid w:val="4BCD0145"/>
    <w:rsid w:val="4BD13ABF"/>
    <w:rsid w:val="4BDC0F6E"/>
    <w:rsid w:val="4C092281"/>
    <w:rsid w:val="4C386E5E"/>
    <w:rsid w:val="4CBE5360"/>
    <w:rsid w:val="4CE47A3E"/>
    <w:rsid w:val="4CEB2A43"/>
    <w:rsid w:val="4CF05BF2"/>
    <w:rsid w:val="4D0642BA"/>
    <w:rsid w:val="4D1D1F4F"/>
    <w:rsid w:val="4D2852AE"/>
    <w:rsid w:val="4D3231B6"/>
    <w:rsid w:val="4D7369A5"/>
    <w:rsid w:val="4D7E1D77"/>
    <w:rsid w:val="4DA05E92"/>
    <w:rsid w:val="4DA064AE"/>
    <w:rsid w:val="4DAF2B52"/>
    <w:rsid w:val="4DCA1EB3"/>
    <w:rsid w:val="4DCA4E81"/>
    <w:rsid w:val="4DD26988"/>
    <w:rsid w:val="4DE70D75"/>
    <w:rsid w:val="4DEA081D"/>
    <w:rsid w:val="4DF412CA"/>
    <w:rsid w:val="4DF81C8C"/>
    <w:rsid w:val="4E0F4C77"/>
    <w:rsid w:val="4E257207"/>
    <w:rsid w:val="4E41582A"/>
    <w:rsid w:val="4E432385"/>
    <w:rsid w:val="4E7536C8"/>
    <w:rsid w:val="4E7C569A"/>
    <w:rsid w:val="4E9E2006"/>
    <w:rsid w:val="4EB77DE7"/>
    <w:rsid w:val="4ECE5499"/>
    <w:rsid w:val="4EEB79F2"/>
    <w:rsid w:val="4F2D38A3"/>
    <w:rsid w:val="4F4F6D93"/>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B97677"/>
    <w:rsid w:val="50C01636"/>
    <w:rsid w:val="50C10213"/>
    <w:rsid w:val="50D84841"/>
    <w:rsid w:val="50DB4E74"/>
    <w:rsid w:val="50FA62D1"/>
    <w:rsid w:val="510F7E36"/>
    <w:rsid w:val="511B312B"/>
    <w:rsid w:val="51366CD6"/>
    <w:rsid w:val="51560155"/>
    <w:rsid w:val="515735BB"/>
    <w:rsid w:val="515D4468"/>
    <w:rsid w:val="516B456F"/>
    <w:rsid w:val="51806A22"/>
    <w:rsid w:val="51863E1B"/>
    <w:rsid w:val="519B1BA0"/>
    <w:rsid w:val="51B311DF"/>
    <w:rsid w:val="51D35FF4"/>
    <w:rsid w:val="51DE5599"/>
    <w:rsid w:val="51EA7D0E"/>
    <w:rsid w:val="51F77181"/>
    <w:rsid w:val="521064AA"/>
    <w:rsid w:val="521B2924"/>
    <w:rsid w:val="522A5BC1"/>
    <w:rsid w:val="522E7730"/>
    <w:rsid w:val="52621F83"/>
    <w:rsid w:val="52656504"/>
    <w:rsid w:val="526D1B5E"/>
    <w:rsid w:val="52D56489"/>
    <w:rsid w:val="52E346E8"/>
    <w:rsid w:val="52EF68FB"/>
    <w:rsid w:val="532B50F8"/>
    <w:rsid w:val="532E0FBE"/>
    <w:rsid w:val="535D6073"/>
    <w:rsid w:val="53811A4D"/>
    <w:rsid w:val="53D32837"/>
    <w:rsid w:val="53D964FA"/>
    <w:rsid w:val="53F372ED"/>
    <w:rsid w:val="543F4416"/>
    <w:rsid w:val="54996CCE"/>
    <w:rsid w:val="54A41DDC"/>
    <w:rsid w:val="54AA1B76"/>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97748"/>
    <w:rsid w:val="555C3769"/>
    <w:rsid w:val="556B488F"/>
    <w:rsid w:val="557B1E49"/>
    <w:rsid w:val="55A46035"/>
    <w:rsid w:val="55AE0410"/>
    <w:rsid w:val="55AF59E2"/>
    <w:rsid w:val="55B57473"/>
    <w:rsid w:val="55CF5877"/>
    <w:rsid w:val="55DC43C0"/>
    <w:rsid w:val="56081FC6"/>
    <w:rsid w:val="5608399A"/>
    <w:rsid w:val="565551BA"/>
    <w:rsid w:val="567A50EC"/>
    <w:rsid w:val="56885A23"/>
    <w:rsid w:val="56E24E8C"/>
    <w:rsid w:val="56E84980"/>
    <w:rsid w:val="57132849"/>
    <w:rsid w:val="572D0997"/>
    <w:rsid w:val="5751077E"/>
    <w:rsid w:val="57711F0E"/>
    <w:rsid w:val="577C0782"/>
    <w:rsid w:val="577D5D27"/>
    <w:rsid w:val="57856773"/>
    <w:rsid w:val="57A17572"/>
    <w:rsid w:val="57E56DE8"/>
    <w:rsid w:val="57F11178"/>
    <w:rsid w:val="58210661"/>
    <w:rsid w:val="5821275B"/>
    <w:rsid w:val="58655558"/>
    <w:rsid w:val="586D1B1A"/>
    <w:rsid w:val="58B55086"/>
    <w:rsid w:val="58B94825"/>
    <w:rsid w:val="58EB2CF3"/>
    <w:rsid w:val="591C3E8D"/>
    <w:rsid w:val="5948587F"/>
    <w:rsid w:val="595B0456"/>
    <w:rsid w:val="595B27F8"/>
    <w:rsid w:val="597A0CF9"/>
    <w:rsid w:val="59A16AD5"/>
    <w:rsid w:val="5A0B28DF"/>
    <w:rsid w:val="5A48354A"/>
    <w:rsid w:val="5A992B2C"/>
    <w:rsid w:val="5AF11251"/>
    <w:rsid w:val="5AFB1B92"/>
    <w:rsid w:val="5B047FE2"/>
    <w:rsid w:val="5B501BC4"/>
    <w:rsid w:val="5B5271CD"/>
    <w:rsid w:val="5B726178"/>
    <w:rsid w:val="5B785B04"/>
    <w:rsid w:val="5B8E3E86"/>
    <w:rsid w:val="5BC2364E"/>
    <w:rsid w:val="5BE96B43"/>
    <w:rsid w:val="5C001A72"/>
    <w:rsid w:val="5C0D75D7"/>
    <w:rsid w:val="5C54349C"/>
    <w:rsid w:val="5C7239E0"/>
    <w:rsid w:val="5C7A0907"/>
    <w:rsid w:val="5C84480B"/>
    <w:rsid w:val="5C9725E4"/>
    <w:rsid w:val="5CE94F9D"/>
    <w:rsid w:val="5CF46AC5"/>
    <w:rsid w:val="5D247B08"/>
    <w:rsid w:val="5D2817F2"/>
    <w:rsid w:val="5D365FD4"/>
    <w:rsid w:val="5D416689"/>
    <w:rsid w:val="5D424649"/>
    <w:rsid w:val="5D491E3A"/>
    <w:rsid w:val="5D5010C4"/>
    <w:rsid w:val="5D5521A5"/>
    <w:rsid w:val="5D805323"/>
    <w:rsid w:val="5D8D0F26"/>
    <w:rsid w:val="5D94396F"/>
    <w:rsid w:val="5D94403E"/>
    <w:rsid w:val="5D9E4E72"/>
    <w:rsid w:val="5DB11371"/>
    <w:rsid w:val="5DF83CD8"/>
    <w:rsid w:val="5E180D90"/>
    <w:rsid w:val="5E1E0ACC"/>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B64157"/>
    <w:rsid w:val="5FDF4377"/>
    <w:rsid w:val="5FEC0957"/>
    <w:rsid w:val="5FFE79FF"/>
    <w:rsid w:val="600338D6"/>
    <w:rsid w:val="60143A90"/>
    <w:rsid w:val="60145E67"/>
    <w:rsid w:val="60173016"/>
    <w:rsid w:val="601C7F53"/>
    <w:rsid w:val="60433B36"/>
    <w:rsid w:val="604F6F69"/>
    <w:rsid w:val="60811565"/>
    <w:rsid w:val="608A0AB8"/>
    <w:rsid w:val="60C61D45"/>
    <w:rsid w:val="60F56F66"/>
    <w:rsid w:val="614B4BC0"/>
    <w:rsid w:val="61557EEB"/>
    <w:rsid w:val="616D01B4"/>
    <w:rsid w:val="619133FF"/>
    <w:rsid w:val="61B131C8"/>
    <w:rsid w:val="61C23685"/>
    <w:rsid w:val="61C73342"/>
    <w:rsid w:val="61DF6B8E"/>
    <w:rsid w:val="61F652EC"/>
    <w:rsid w:val="62185659"/>
    <w:rsid w:val="621971D8"/>
    <w:rsid w:val="62674E7A"/>
    <w:rsid w:val="628711C7"/>
    <w:rsid w:val="629B181D"/>
    <w:rsid w:val="62A5476F"/>
    <w:rsid w:val="62B3538F"/>
    <w:rsid w:val="62B40821"/>
    <w:rsid w:val="62CA6F3E"/>
    <w:rsid w:val="62D843C3"/>
    <w:rsid w:val="63251CCE"/>
    <w:rsid w:val="632C41E5"/>
    <w:rsid w:val="632E67C9"/>
    <w:rsid w:val="632F0E9F"/>
    <w:rsid w:val="633C501C"/>
    <w:rsid w:val="6347127C"/>
    <w:rsid w:val="6366592D"/>
    <w:rsid w:val="63711198"/>
    <w:rsid w:val="638463AE"/>
    <w:rsid w:val="63974A64"/>
    <w:rsid w:val="63A74447"/>
    <w:rsid w:val="63D66457"/>
    <w:rsid w:val="63E5706E"/>
    <w:rsid w:val="6409526A"/>
    <w:rsid w:val="640A0796"/>
    <w:rsid w:val="645B39C1"/>
    <w:rsid w:val="645D6907"/>
    <w:rsid w:val="64642B57"/>
    <w:rsid w:val="64761BE9"/>
    <w:rsid w:val="649D217D"/>
    <w:rsid w:val="64DA4F14"/>
    <w:rsid w:val="64F87041"/>
    <w:rsid w:val="65142B50"/>
    <w:rsid w:val="651A1AB7"/>
    <w:rsid w:val="65233802"/>
    <w:rsid w:val="653C762B"/>
    <w:rsid w:val="654928CF"/>
    <w:rsid w:val="658A52E8"/>
    <w:rsid w:val="65B637F2"/>
    <w:rsid w:val="65BC2C98"/>
    <w:rsid w:val="664837EC"/>
    <w:rsid w:val="666D2168"/>
    <w:rsid w:val="667003EB"/>
    <w:rsid w:val="6677768C"/>
    <w:rsid w:val="66803472"/>
    <w:rsid w:val="66A1426F"/>
    <w:rsid w:val="66BA23F6"/>
    <w:rsid w:val="672512E6"/>
    <w:rsid w:val="672D4C66"/>
    <w:rsid w:val="677231B7"/>
    <w:rsid w:val="67825159"/>
    <w:rsid w:val="67825212"/>
    <w:rsid w:val="679D7F83"/>
    <w:rsid w:val="67A14053"/>
    <w:rsid w:val="67CD2154"/>
    <w:rsid w:val="67D37C61"/>
    <w:rsid w:val="67EF32BF"/>
    <w:rsid w:val="67F0621A"/>
    <w:rsid w:val="68220F0A"/>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E960EE"/>
    <w:rsid w:val="6A511A1B"/>
    <w:rsid w:val="6A57307A"/>
    <w:rsid w:val="6A5942E5"/>
    <w:rsid w:val="6A686AC7"/>
    <w:rsid w:val="6AAE6795"/>
    <w:rsid w:val="6AE23FED"/>
    <w:rsid w:val="6B0F4999"/>
    <w:rsid w:val="6B242E96"/>
    <w:rsid w:val="6B33144F"/>
    <w:rsid w:val="6B391AB4"/>
    <w:rsid w:val="6B4F3FBD"/>
    <w:rsid w:val="6B617A1C"/>
    <w:rsid w:val="6B6443A0"/>
    <w:rsid w:val="6B983C17"/>
    <w:rsid w:val="6BA01F61"/>
    <w:rsid w:val="6BB077DB"/>
    <w:rsid w:val="6BBB7E74"/>
    <w:rsid w:val="6BC46FCF"/>
    <w:rsid w:val="6BC77588"/>
    <w:rsid w:val="6BD95261"/>
    <w:rsid w:val="6BE03119"/>
    <w:rsid w:val="6C0D0AC9"/>
    <w:rsid w:val="6C1B4224"/>
    <w:rsid w:val="6C323D43"/>
    <w:rsid w:val="6C324A19"/>
    <w:rsid w:val="6C593DD9"/>
    <w:rsid w:val="6C6C0877"/>
    <w:rsid w:val="6C831A37"/>
    <w:rsid w:val="6CBC59F5"/>
    <w:rsid w:val="6CE94783"/>
    <w:rsid w:val="6D006EA7"/>
    <w:rsid w:val="6D042494"/>
    <w:rsid w:val="6D394FFA"/>
    <w:rsid w:val="6D5C3B68"/>
    <w:rsid w:val="6D700CB2"/>
    <w:rsid w:val="6D79044B"/>
    <w:rsid w:val="6D8F163B"/>
    <w:rsid w:val="6D9134DA"/>
    <w:rsid w:val="6D954BC6"/>
    <w:rsid w:val="6DD17F13"/>
    <w:rsid w:val="6DDA4176"/>
    <w:rsid w:val="6E1E3674"/>
    <w:rsid w:val="6E36087C"/>
    <w:rsid w:val="6E404696"/>
    <w:rsid w:val="6E4861B3"/>
    <w:rsid w:val="6E531A13"/>
    <w:rsid w:val="6E5C3894"/>
    <w:rsid w:val="6E9411A1"/>
    <w:rsid w:val="6EAF1EE4"/>
    <w:rsid w:val="6EC2522B"/>
    <w:rsid w:val="6ED40A7D"/>
    <w:rsid w:val="6ED62804"/>
    <w:rsid w:val="6F0408C9"/>
    <w:rsid w:val="6F270EF2"/>
    <w:rsid w:val="6F5D44F7"/>
    <w:rsid w:val="6F5F358F"/>
    <w:rsid w:val="6F6534EC"/>
    <w:rsid w:val="6F6D114B"/>
    <w:rsid w:val="6F9F5752"/>
    <w:rsid w:val="6FEA13A8"/>
    <w:rsid w:val="6FF4258B"/>
    <w:rsid w:val="70225701"/>
    <w:rsid w:val="702F63A9"/>
    <w:rsid w:val="705B7E7B"/>
    <w:rsid w:val="70663B37"/>
    <w:rsid w:val="707B663F"/>
    <w:rsid w:val="70891E5F"/>
    <w:rsid w:val="70A2775A"/>
    <w:rsid w:val="70A43BB4"/>
    <w:rsid w:val="70DA78F6"/>
    <w:rsid w:val="70E24EF9"/>
    <w:rsid w:val="70FB6A58"/>
    <w:rsid w:val="711E7C8C"/>
    <w:rsid w:val="71731E37"/>
    <w:rsid w:val="718B49CA"/>
    <w:rsid w:val="719052CA"/>
    <w:rsid w:val="719533EC"/>
    <w:rsid w:val="71AD598D"/>
    <w:rsid w:val="71CC1159"/>
    <w:rsid w:val="71CF1479"/>
    <w:rsid w:val="71CF7C7E"/>
    <w:rsid w:val="71D504AD"/>
    <w:rsid w:val="71E24166"/>
    <w:rsid w:val="71FA2076"/>
    <w:rsid w:val="71FE3A25"/>
    <w:rsid w:val="72176D98"/>
    <w:rsid w:val="72484353"/>
    <w:rsid w:val="72560B66"/>
    <w:rsid w:val="727577AE"/>
    <w:rsid w:val="729F7BB7"/>
    <w:rsid w:val="72AA7E6B"/>
    <w:rsid w:val="72C65AEF"/>
    <w:rsid w:val="734E035F"/>
    <w:rsid w:val="735108E5"/>
    <w:rsid w:val="73573C3F"/>
    <w:rsid w:val="736E4518"/>
    <w:rsid w:val="737C45BB"/>
    <w:rsid w:val="7385199B"/>
    <w:rsid w:val="73A46695"/>
    <w:rsid w:val="73D65692"/>
    <w:rsid w:val="73D70882"/>
    <w:rsid w:val="73DA15A9"/>
    <w:rsid w:val="73E2393B"/>
    <w:rsid w:val="73EC233E"/>
    <w:rsid w:val="73F3719F"/>
    <w:rsid w:val="740D406E"/>
    <w:rsid w:val="74172103"/>
    <w:rsid w:val="741B4516"/>
    <w:rsid w:val="74394A4C"/>
    <w:rsid w:val="743A7DFE"/>
    <w:rsid w:val="745D4D92"/>
    <w:rsid w:val="746956DF"/>
    <w:rsid w:val="748D6E61"/>
    <w:rsid w:val="74BE5FE1"/>
    <w:rsid w:val="74C42AE5"/>
    <w:rsid w:val="74E508E4"/>
    <w:rsid w:val="74E6353F"/>
    <w:rsid w:val="74F508B5"/>
    <w:rsid w:val="74FB1FDB"/>
    <w:rsid w:val="75055D70"/>
    <w:rsid w:val="751403C7"/>
    <w:rsid w:val="751C14F6"/>
    <w:rsid w:val="753D18D7"/>
    <w:rsid w:val="754B60BE"/>
    <w:rsid w:val="75680DDE"/>
    <w:rsid w:val="75760EE2"/>
    <w:rsid w:val="75B95C08"/>
    <w:rsid w:val="75E10FAF"/>
    <w:rsid w:val="75F44536"/>
    <w:rsid w:val="75FC515E"/>
    <w:rsid w:val="76AD09DA"/>
    <w:rsid w:val="76DF0481"/>
    <w:rsid w:val="76E60207"/>
    <w:rsid w:val="76F834E6"/>
    <w:rsid w:val="77031636"/>
    <w:rsid w:val="772D2F3E"/>
    <w:rsid w:val="77497184"/>
    <w:rsid w:val="77624665"/>
    <w:rsid w:val="776C4D39"/>
    <w:rsid w:val="778B6DD4"/>
    <w:rsid w:val="77A66074"/>
    <w:rsid w:val="77AB311E"/>
    <w:rsid w:val="77C127EA"/>
    <w:rsid w:val="77C27B37"/>
    <w:rsid w:val="77FB607A"/>
    <w:rsid w:val="780A2C9F"/>
    <w:rsid w:val="78200181"/>
    <w:rsid w:val="78364F56"/>
    <w:rsid w:val="783D79A3"/>
    <w:rsid w:val="7841115D"/>
    <w:rsid w:val="78557BF3"/>
    <w:rsid w:val="78664122"/>
    <w:rsid w:val="787607F1"/>
    <w:rsid w:val="787668E5"/>
    <w:rsid w:val="78B36915"/>
    <w:rsid w:val="78BD27B1"/>
    <w:rsid w:val="78C52524"/>
    <w:rsid w:val="78CE39A2"/>
    <w:rsid w:val="78DD1447"/>
    <w:rsid w:val="79175E9B"/>
    <w:rsid w:val="791B706C"/>
    <w:rsid w:val="79466DE7"/>
    <w:rsid w:val="796D1CE6"/>
    <w:rsid w:val="797A3FDB"/>
    <w:rsid w:val="798761A1"/>
    <w:rsid w:val="79B00EC3"/>
    <w:rsid w:val="79B31ED1"/>
    <w:rsid w:val="79B96A83"/>
    <w:rsid w:val="79C66977"/>
    <w:rsid w:val="79CF362B"/>
    <w:rsid w:val="79D8107D"/>
    <w:rsid w:val="79EA39E0"/>
    <w:rsid w:val="7A11414D"/>
    <w:rsid w:val="7A265B7B"/>
    <w:rsid w:val="7A305F97"/>
    <w:rsid w:val="7A390AEB"/>
    <w:rsid w:val="7A4E760D"/>
    <w:rsid w:val="7A6D3DC8"/>
    <w:rsid w:val="7A7F3D81"/>
    <w:rsid w:val="7AAF3901"/>
    <w:rsid w:val="7AB74955"/>
    <w:rsid w:val="7ADE77A7"/>
    <w:rsid w:val="7B5070D7"/>
    <w:rsid w:val="7B5E40BF"/>
    <w:rsid w:val="7B5E4B72"/>
    <w:rsid w:val="7B5F5E64"/>
    <w:rsid w:val="7B7C059C"/>
    <w:rsid w:val="7B8C3430"/>
    <w:rsid w:val="7BB66F56"/>
    <w:rsid w:val="7BB74F57"/>
    <w:rsid w:val="7BC567A7"/>
    <w:rsid w:val="7BCC0D8A"/>
    <w:rsid w:val="7C013357"/>
    <w:rsid w:val="7C1A111F"/>
    <w:rsid w:val="7C1E6C20"/>
    <w:rsid w:val="7C3D0B95"/>
    <w:rsid w:val="7C4077D0"/>
    <w:rsid w:val="7C425014"/>
    <w:rsid w:val="7C4922FE"/>
    <w:rsid w:val="7C531374"/>
    <w:rsid w:val="7C924462"/>
    <w:rsid w:val="7CA97827"/>
    <w:rsid w:val="7CC05F6A"/>
    <w:rsid w:val="7CCE4378"/>
    <w:rsid w:val="7CD27F73"/>
    <w:rsid w:val="7CF466D4"/>
    <w:rsid w:val="7D1D2F8B"/>
    <w:rsid w:val="7D4E5134"/>
    <w:rsid w:val="7D670B73"/>
    <w:rsid w:val="7D6A7849"/>
    <w:rsid w:val="7D6C7FAD"/>
    <w:rsid w:val="7D785784"/>
    <w:rsid w:val="7D7C0818"/>
    <w:rsid w:val="7D9A3483"/>
    <w:rsid w:val="7D9D34B0"/>
    <w:rsid w:val="7DA63861"/>
    <w:rsid w:val="7DBA1AE1"/>
    <w:rsid w:val="7DCE5BB3"/>
    <w:rsid w:val="7DD37D92"/>
    <w:rsid w:val="7DDC21CF"/>
    <w:rsid w:val="7DDD2547"/>
    <w:rsid w:val="7DDE2A58"/>
    <w:rsid w:val="7E0F4721"/>
    <w:rsid w:val="7E1A5D65"/>
    <w:rsid w:val="7E3B119E"/>
    <w:rsid w:val="7E3E49D2"/>
    <w:rsid w:val="7E400B0C"/>
    <w:rsid w:val="7E415179"/>
    <w:rsid w:val="7E7E2A4A"/>
    <w:rsid w:val="7ED8429E"/>
    <w:rsid w:val="7EE61C9F"/>
    <w:rsid w:val="7F8F13A0"/>
    <w:rsid w:val="7FA75BD1"/>
    <w:rsid w:val="7FE44C9D"/>
    <w:rsid w:val="7FF4404C"/>
    <w:rsid w:val="7FF47716"/>
    <w:rsid w:val="7FF861D3"/>
    <w:rsid w:val="7FFA28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qFormat/>
    <w:uiPriority w:val="99"/>
    <w:rPr>
      <w:rFonts w:ascii="宋体" w:cs="宋体"/>
      <w:sz w:val="18"/>
      <w:szCs w:val="18"/>
    </w:rPr>
  </w:style>
  <w:style w:type="paragraph" w:styleId="5">
    <w:name w:val="toc 3"/>
    <w:basedOn w:val="1"/>
    <w:next w:val="1"/>
    <w:semiHidden/>
    <w:qFormat/>
    <w:locked/>
    <w:uiPriority w:val="99"/>
    <w:pPr>
      <w:ind w:left="840" w:leftChars="400"/>
    </w:pPr>
  </w:style>
  <w:style w:type="paragraph" w:styleId="6">
    <w:name w:val="Balloon Text"/>
    <w:basedOn w:val="1"/>
    <w:link w:val="20"/>
    <w:semiHidden/>
    <w:qFormat/>
    <w:uiPriority w:val="99"/>
    <w:rPr>
      <w:rFonts w:ascii="Times New Roman" w:hAnsi="Times New Roman" w:cs="Times New Roman"/>
      <w:kern w:val="0"/>
      <w:sz w:val="18"/>
      <w:szCs w:val="18"/>
    </w:rPr>
  </w:style>
  <w:style w:type="paragraph" w:styleId="7">
    <w:name w:val="footer"/>
    <w:basedOn w:val="1"/>
    <w:link w:val="2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toc 1"/>
    <w:basedOn w:val="1"/>
    <w:next w:val="1"/>
    <w:semiHidden/>
    <w:qFormat/>
    <w:uiPriority w:val="99"/>
    <w:pPr>
      <w:tabs>
        <w:tab w:val="right" w:leader="dot" w:pos="9170"/>
      </w:tabs>
      <w:spacing w:before="120" w:after="120"/>
      <w:jc w:val="left"/>
    </w:pPr>
    <w:rPr>
      <w:rFonts w:ascii="宋体" w:hAnsi="宋体" w:cs="宋体"/>
      <w:b/>
      <w:bCs/>
      <w:caps/>
      <w:color w:val="000000"/>
      <w:sz w:val="24"/>
      <w:szCs w:val="24"/>
    </w:rPr>
  </w:style>
  <w:style w:type="paragraph" w:styleId="10">
    <w:name w:val="Subtitle"/>
    <w:basedOn w:val="1"/>
    <w:next w:val="1"/>
    <w:link w:val="23"/>
    <w:qFormat/>
    <w:uiPriority w:val="99"/>
    <w:pPr>
      <w:spacing w:before="240" w:after="60" w:line="312" w:lineRule="auto"/>
      <w:jc w:val="center"/>
      <w:outlineLvl w:val="1"/>
    </w:pPr>
    <w:rPr>
      <w:rFonts w:ascii="Cambria" w:hAnsi="Cambria" w:cs="Cambria"/>
      <w:b/>
      <w:bCs/>
      <w:kern w:val="28"/>
      <w:sz w:val="32"/>
      <w:szCs w:val="32"/>
    </w:rPr>
  </w:style>
  <w:style w:type="paragraph" w:styleId="11">
    <w:name w:val="toc 2"/>
    <w:basedOn w:val="1"/>
    <w:next w:val="1"/>
    <w:semiHidden/>
    <w:qFormat/>
    <w:uiPriority w:val="99"/>
    <w:pPr>
      <w:tabs>
        <w:tab w:val="right" w:leader="dot" w:pos="9170"/>
      </w:tabs>
      <w:spacing w:line="360" w:lineRule="auto"/>
      <w:ind w:left="210"/>
    </w:pPr>
    <w:rPr>
      <w:rFonts w:ascii="宋体" w:hAnsi="宋体" w:cs="宋体"/>
      <w:b/>
      <w:bCs/>
      <w:smallCaps/>
      <w:color w:val="00000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Hyperlink"/>
    <w:basedOn w:val="14"/>
    <w:qFormat/>
    <w:uiPriority w:val="99"/>
    <w:rPr>
      <w:color w:val="0000FF"/>
      <w:u w:val="single"/>
    </w:rPr>
  </w:style>
  <w:style w:type="character" w:customStyle="1" w:styleId="17">
    <w:name w:val="Heading 1 Char"/>
    <w:basedOn w:val="14"/>
    <w:link w:val="2"/>
    <w:qFormat/>
    <w:locked/>
    <w:uiPriority w:val="99"/>
    <w:rPr>
      <w:rFonts w:eastAsia="黑体"/>
      <w:b/>
      <w:bCs/>
      <w:kern w:val="44"/>
      <w:sz w:val="44"/>
      <w:szCs w:val="44"/>
    </w:rPr>
  </w:style>
  <w:style w:type="character" w:customStyle="1" w:styleId="18">
    <w:name w:val="Heading 2 Char"/>
    <w:basedOn w:val="14"/>
    <w:link w:val="3"/>
    <w:qFormat/>
    <w:locked/>
    <w:uiPriority w:val="99"/>
    <w:rPr>
      <w:rFonts w:ascii="Cambria" w:hAnsi="Cambria" w:cs="Cambria"/>
      <w:b/>
      <w:bCs/>
      <w:kern w:val="2"/>
      <w:sz w:val="32"/>
      <w:szCs w:val="32"/>
    </w:rPr>
  </w:style>
  <w:style w:type="character" w:customStyle="1" w:styleId="19">
    <w:name w:val="Document Map Char"/>
    <w:basedOn w:val="14"/>
    <w:link w:val="4"/>
    <w:semiHidden/>
    <w:qFormat/>
    <w:locked/>
    <w:uiPriority w:val="99"/>
    <w:rPr>
      <w:rFonts w:ascii="宋体" w:hAnsi="Calibri" w:cs="宋体"/>
      <w:kern w:val="2"/>
      <w:sz w:val="18"/>
      <w:szCs w:val="18"/>
    </w:rPr>
  </w:style>
  <w:style w:type="character" w:customStyle="1" w:styleId="20">
    <w:name w:val="Balloon Text Char"/>
    <w:basedOn w:val="14"/>
    <w:link w:val="6"/>
    <w:semiHidden/>
    <w:qFormat/>
    <w:locked/>
    <w:uiPriority w:val="99"/>
    <w:rPr>
      <w:sz w:val="18"/>
      <w:szCs w:val="18"/>
    </w:rPr>
  </w:style>
  <w:style w:type="character" w:customStyle="1" w:styleId="21">
    <w:name w:val="Footer Char"/>
    <w:basedOn w:val="14"/>
    <w:link w:val="7"/>
    <w:qFormat/>
    <w:locked/>
    <w:uiPriority w:val="99"/>
    <w:rPr>
      <w:sz w:val="18"/>
      <w:szCs w:val="18"/>
    </w:rPr>
  </w:style>
  <w:style w:type="character" w:customStyle="1" w:styleId="22">
    <w:name w:val="Header Char"/>
    <w:basedOn w:val="14"/>
    <w:link w:val="8"/>
    <w:qFormat/>
    <w:locked/>
    <w:uiPriority w:val="99"/>
    <w:rPr>
      <w:sz w:val="18"/>
      <w:szCs w:val="18"/>
    </w:rPr>
  </w:style>
  <w:style w:type="character" w:customStyle="1" w:styleId="23">
    <w:name w:val="Subtitle Char"/>
    <w:basedOn w:val="14"/>
    <w:link w:val="10"/>
    <w:qFormat/>
    <w:locked/>
    <w:uiPriority w:val="99"/>
    <w:rPr>
      <w:rFonts w:ascii="Cambria" w:hAnsi="Cambria" w:cs="Cambria"/>
      <w:b/>
      <w:bCs/>
      <w:kern w:val="28"/>
      <w:sz w:val="32"/>
      <w:szCs w:val="32"/>
    </w:rPr>
  </w:style>
  <w:style w:type="paragraph" w:customStyle="1" w:styleId="24">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25">
    <w:name w:val="txt4"/>
    <w:basedOn w:val="14"/>
    <w:qFormat/>
    <w:uiPriority w:val="99"/>
  </w:style>
  <w:style w:type="paragraph" w:customStyle="1" w:styleId="26">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27">
    <w:name w:val="列出段落1"/>
    <w:basedOn w:val="1"/>
    <w:qFormat/>
    <w:uiPriority w:val="99"/>
    <w:pPr>
      <w:ind w:firstLine="420" w:firstLineChars="200"/>
    </w:pPr>
  </w:style>
  <w:style w:type="character" w:customStyle="1" w:styleId="28">
    <w:name w:val="apple-converted-space"/>
    <w:basedOn w:val="14"/>
    <w:qFormat/>
    <w:uiPriority w:val="99"/>
  </w:style>
  <w:style w:type="paragraph" w:styleId="29">
    <w:name w:val="No Spacing"/>
    <w:link w:val="30"/>
    <w:qFormat/>
    <w:uiPriority w:val="99"/>
    <w:rPr>
      <w:rFonts w:ascii="Calibri" w:hAnsi="Calibri" w:eastAsia="宋体" w:cs="Calibri"/>
      <w:kern w:val="0"/>
      <w:sz w:val="22"/>
      <w:szCs w:val="22"/>
      <w:lang w:val="en-US" w:eastAsia="zh-CN" w:bidi="ar-SA"/>
    </w:rPr>
  </w:style>
  <w:style w:type="character" w:customStyle="1" w:styleId="30">
    <w:name w:val="No Spacing Char"/>
    <w:basedOn w:val="14"/>
    <w:link w:val="29"/>
    <w:qFormat/>
    <w:locked/>
    <w:uiPriority w:val="99"/>
    <w:rPr>
      <w:rFonts w:ascii="Calibri" w:hAnsi="Calibri" w:eastAsia="宋体" w:cs="Calibri"/>
      <w:sz w:val="22"/>
      <w:szCs w:val="22"/>
      <w:lang w:val="en-US" w:eastAsia="zh-CN"/>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14</Pages>
  <Words>877</Words>
  <Characters>5003</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2018-07-12T05:18:00Z</dcterms:created>
  <dc:creator>AutoBVT</dc:creator>
  <cp:lastModifiedBy>Administrator</cp:lastModifiedBy>
  <dcterms:modified xsi:type="dcterms:W3CDTF">2020-05-22T06:19:16Z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