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BD2DE3" w:rsidP="00F6162F">
      <w:pPr>
        <w:outlineLvl w:val="0"/>
        <w:rPr>
          <w:rFonts w:ascii="黑体" w:eastAsia="黑体" w:hAnsi="宋体" w:cs="Arial"/>
          <w:b/>
          <w:bCs/>
          <w:kern w:val="0"/>
          <w:sz w:val="30"/>
          <w:szCs w:val="30"/>
        </w:rPr>
      </w:pPr>
      <w:r w:rsidRPr="00BD2DE3">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62728D" w:rsidRDefault="0062728D">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62728D" w:rsidRDefault="0062728D">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62728D" w:rsidRDefault="0062728D">
                  <w:pPr>
                    <w:jc w:val="left"/>
                  </w:pPr>
                </w:p>
              </w:txbxContent>
            </v:textbox>
          </v:shape>
        </w:pict>
      </w:r>
      <w:r w:rsidRPr="00BD2DE3">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62728D" w:rsidRDefault="0062728D">
                  <w:pPr>
                    <w:pStyle w:val="1"/>
                    <w:jc w:val="center"/>
                    <w:rPr>
                      <w:kern w:val="2"/>
                    </w:rPr>
                  </w:pPr>
                  <w:bookmarkStart w:id="0" w:name="_Toc39155443"/>
                  <w:r>
                    <w:rPr>
                      <w:rFonts w:hint="eastAsia"/>
                      <w:kern w:val="2"/>
                    </w:rPr>
                    <w:t>2020.4.</w:t>
                  </w:r>
                  <w:r w:rsidR="008518C3">
                    <w:rPr>
                      <w:rFonts w:hint="eastAsia"/>
                      <w:kern w:val="2"/>
                    </w:rPr>
                    <w:t>30</w:t>
                  </w:r>
                  <w:bookmarkEnd w:id="0"/>
                </w:p>
                <w:p w:rsidR="0062728D" w:rsidRDefault="0062728D"/>
              </w:txbxContent>
            </v:textbox>
          </v:shape>
        </w:pict>
      </w:r>
      <w:r w:rsidR="004F4F55">
        <w:br w:type="page"/>
      </w:r>
      <w:bookmarkStart w:id="1" w:name="_Toc485828985"/>
      <w:r w:rsidRPr="00BD2DE3">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62728D" w:rsidRDefault="0062728D">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8A3034" w:rsidRDefault="00BD2DE3">
                  <w:pPr>
                    <w:pStyle w:val="10"/>
                    <w:rPr>
                      <w:rFonts w:asciiTheme="minorHAnsi" w:eastAsiaTheme="minorEastAsia" w:hAnsiTheme="minorHAnsi" w:cstheme="minorBidi"/>
                      <w:b w:val="0"/>
                      <w:bCs w:val="0"/>
                      <w:caps w:val="0"/>
                      <w:noProof/>
                      <w:color w:val="auto"/>
                      <w:sz w:val="21"/>
                      <w:szCs w:val="22"/>
                    </w:rPr>
                  </w:pPr>
                  <w:r w:rsidRPr="00BD2DE3">
                    <w:rPr>
                      <w:sz w:val="20"/>
                    </w:rPr>
                    <w:fldChar w:fldCharType="begin"/>
                  </w:r>
                  <w:r w:rsidR="0062728D">
                    <w:rPr>
                      <w:sz w:val="20"/>
                    </w:rPr>
                    <w:instrText xml:space="preserve"> TOC \o "1-3" \h \z \u </w:instrText>
                  </w:r>
                  <w:r w:rsidRPr="00BD2DE3">
                    <w:rPr>
                      <w:sz w:val="20"/>
                    </w:rPr>
                    <w:fldChar w:fldCharType="separate"/>
                  </w:r>
                  <w:hyperlink r:id="rId10" w:anchor="_Toc39155443" w:history="1">
                    <w:r w:rsidR="008A3034" w:rsidRPr="00181CEB">
                      <w:rPr>
                        <w:rStyle w:val="af0"/>
                        <w:noProof/>
                      </w:rPr>
                      <w:t>2020.4.30</w:t>
                    </w:r>
                    <w:r w:rsidR="008A3034">
                      <w:rPr>
                        <w:noProof/>
                        <w:webHidden/>
                      </w:rPr>
                      <w:tab/>
                    </w:r>
                    <w:r w:rsidR="008A3034">
                      <w:rPr>
                        <w:noProof/>
                        <w:webHidden/>
                      </w:rPr>
                      <w:fldChar w:fldCharType="begin"/>
                    </w:r>
                    <w:r w:rsidR="008A3034">
                      <w:rPr>
                        <w:noProof/>
                        <w:webHidden/>
                      </w:rPr>
                      <w:instrText xml:space="preserve"> PAGEREF _Toc39155443 \h </w:instrText>
                    </w:r>
                    <w:r w:rsidR="008A3034">
                      <w:rPr>
                        <w:noProof/>
                        <w:webHidden/>
                      </w:rPr>
                    </w:r>
                    <w:r w:rsidR="008A3034">
                      <w:rPr>
                        <w:noProof/>
                        <w:webHidden/>
                      </w:rPr>
                      <w:fldChar w:fldCharType="separate"/>
                    </w:r>
                    <w:r w:rsidR="008A3034">
                      <w:rPr>
                        <w:noProof/>
                        <w:webHidden/>
                      </w:rPr>
                      <w:t>1</w:t>
                    </w:r>
                    <w:r w:rsidR="008A3034">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44" w:history="1">
                    <w:r w:rsidRPr="00181CEB">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_Toc39155444 \h </w:instrText>
                    </w:r>
                    <w:r>
                      <w:rPr>
                        <w:noProof/>
                        <w:webHidden/>
                      </w:rPr>
                    </w:r>
                    <w:r>
                      <w:rPr>
                        <w:noProof/>
                        <w:webHidden/>
                      </w:rPr>
                      <w:fldChar w:fldCharType="separate"/>
                    </w:r>
                    <w:r>
                      <w:rPr>
                        <w:noProof/>
                        <w:webHidden/>
                      </w:rPr>
                      <w:t>3</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45" w:history="1">
                    <w:r w:rsidRPr="00181CEB">
                      <w:rPr>
                        <w:rStyle w:val="af0"/>
                        <w:rFonts w:ascii="黑体" w:eastAsia="黑体" w:cs="Arial"/>
                        <w:noProof/>
                        <w:kern w:val="0"/>
                      </w:rPr>
                      <w:t>(</w:t>
                    </w:r>
                    <w:r w:rsidRPr="00181CEB">
                      <w:rPr>
                        <w:rStyle w:val="af0"/>
                        <w:rFonts w:ascii="黑体" w:eastAsia="黑体" w:cs="Arial" w:hint="eastAsia"/>
                        <w:noProof/>
                        <w:kern w:val="0"/>
                      </w:rPr>
                      <w:t>一</w:t>
                    </w:r>
                    <w:r w:rsidRPr="00181CEB">
                      <w:rPr>
                        <w:rStyle w:val="af0"/>
                        <w:rFonts w:ascii="黑体" w:eastAsia="黑体" w:cs="Arial"/>
                        <w:noProof/>
                        <w:kern w:val="0"/>
                      </w:rPr>
                      <w:t>)</w:t>
                    </w:r>
                    <w:r w:rsidRPr="00181CEB">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_Toc39155445 \h </w:instrText>
                    </w:r>
                    <w:r>
                      <w:rPr>
                        <w:noProof/>
                        <w:webHidden/>
                      </w:rPr>
                    </w:r>
                    <w:r>
                      <w:rPr>
                        <w:noProof/>
                        <w:webHidden/>
                      </w:rPr>
                      <w:fldChar w:fldCharType="separate"/>
                    </w:r>
                    <w:r>
                      <w:rPr>
                        <w:noProof/>
                        <w:webHidden/>
                      </w:rPr>
                      <w:t>3</w:t>
                    </w:r>
                    <w:r>
                      <w:rPr>
                        <w:noProof/>
                        <w:webHidden/>
                      </w:rPr>
                      <w:fldChar w:fldCharType="end"/>
                    </w:r>
                  </w:hyperlink>
                </w:p>
                <w:p w:rsidR="008A3034" w:rsidRDefault="008A3034">
                  <w:pPr>
                    <w:pStyle w:val="21"/>
                    <w:rPr>
                      <w:rFonts w:asciiTheme="minorHAnsi" w:eastAsiaTheme="minorEastAsia" w:hAnsiTheme="minorHAnsi" w:cstheme="minorBidi"/>
                      <w:b w:val="0"/>
                      <w:smallCaps w:val="0"/>
                      <w:noProof/>
                      <w:color w:val="auto"/>
                      <w:sz w:val="21"/>
                      <w:szCs w:val="22"/>
                    </w:rPr>
                  </w:pPr>
                  <w:hyperlink w:anchor="_Toc39155446" w:history="1">
                    <w:r w:rsidRPr="00181CEB">
                      <w:rPr>
                        <w:rStyle w:val="af0"/>
                        <w:rFonts w:cs="Arial"/>
                        <w:noProof/>
                        <w:kern w:val="0"/>
                      </w:rPr>
                      <w:t>1</w:t>
                    </w:r>
                    <w:r w:rsidRPr="00181CEB">
                      <w:rPr>
                        <w:rStyle w:val="af0"/>
                        <w:rFonts w:cs="Arial" w:hint="eastAsia"/>
                        <w:noProof/>
                        <w:kern w:val="0"/>
                      </w:rPr>
                      <w:t>、国际原油收盘价涨跌情况（单位：美元</w:t>
                    </w:r>
                    <w:r w:rsidRPr="00181CEB">
                      <w:rPr>
                        <w:rStyle w:val="af0"/>
                        <w:rFonts w:cs="Arial"/>
                        <w:noProof/>
                        <w:kern w:val="0"/>
                      </w:rPr>
                      <w:t>/</w:t>
                    </w:r>
                    <w:r w:rsidRPr="00181CEB">
                      <w:rPr>
                        <w:rStyle w:val="af0"/>
                        <w:rFonts w:cs="Arial" w:hint="eastAsia"/>
                        <w:noProof/>
                        <w:kern w:val="0"/>
                      </w:rPr>
                      <w:t>桶）</w:t>
                    </w:r>
                    <w:r>
                      <w:rPr>
                        <w:noProof/>
                        <w:webHidden/>
                      </w:rPr>
                      <w:tab/>
                    </w:r>
                    <w:r>
                      <w:rPr>
                        <w:noProof/>
                        <w:webHidden/>
                      </w:rPr>
                      <w:fldChar w:fldCharType="begin"/>
                    </w:r>
                    <w:r>
                      <w:rPr>
                        <w:noProof/>
                        <w:webHidden/>
                      </w:rPr>
                      <w:instrText xml:space="preserve"> PAGEREF _Toc39155446 \h </w:instrText>
                    </w:r>
                    <w:r>
                      <w:rPr>
                        <w:noProof/>
                        <w:webHidden/>
                      </w:rPr>
                    </w:r>
                    <w:r>
                      <w:rPr>
                        <w:noProof/>
                        <w:webHidden/>
                      </w:rPr>
                      <w:fldChar w:fldCharType="separate"/>
                    </w:r>
                    <w:r>
                      <w:rPr>
                        <w:noProof/>
                        <w:webHidden/>
                      </w:rPr>
                      <w:t>3</w:t>
                    </w:r>
                    <w:r>
                      <w:rPr>
                        <w:noProof/>
                        <w:webHidden/>
                      </w:rPr>
                      <w:fldChar w:fldCharType="end"/>
                    </w:r>
                  </w:hyperlink>
                </w:p>
                <w:p w:rsidR="008A3034" w:rsidRDefault="008A3034">
                  <w:pPr>
                    <w:pStyle w:val="21"/>
                    <w:rPr>
                      <w:rFonts w:asciiTheme="minorHAnsi" w:eastAsiaTheme="minorEastAsia" w:hAnsiTheme="minorHAnsi" w:cstheme="minorBidi"/>
                      <w:b w:val="0"/>
                      <w:smallCaps w:val="0"/>
                      <w:noProof/>
                      <w:color w:val="auto"/>
                      <w:sz w:val="21"/>
                      <w:szCs w:val="22"/>
                    </w:rPr>
                  </w:pPr>
                  <w:hyperlink w:anchor="_Toc39155447" w:history="1">
                    <w:r w:rsidRPr="00181CEB">
                      <w:rPr>
                        <w:rStyle w:val="af0"/>
                        <w:rFonts w:cs="Arial"/>
                        <w:noProof/>
                        <w:kern w:val="0"/>
                      </w:rPr>
                      <w:t>2.2020</w:t>
                    </w:r>
                    <w:r w:rsidRPr="00181CEB">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_Toc39155447 \h </w:instrText>
                    </w:r>
                    <w:r>
                      <w:rPr>
                        <w:noProof/>
                        <w:webHidden/>
                      </w:rPr>
                    </w:r>
                    <w:r>
                      <w:rPr>
                        <w:noProof/>
                        <w:webHidden/>
                      </w:rPr>
                      <w:fldChar w:fldCharType="separate"/>
                    </w:r>
                    <w:r>
                      <w:rPr>
                        <w:noProof/>
                        <w:webHidden/>
                      </w:rPr>
                      <w:t>5</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48" w:history="1">
                    <w:r w:rsidRPr="00181CEB">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_Toc39155448 \h </w:instrText>
                    </w:r>
                    <w:r>
                      <w:rPr>
                        <w:noProof/>
                        <w:webHidden/>
                      </w:rPr>
                    </w:r>
                    <w:r>
                      <w:rPr>
                        <w:noProof/>
                        <w:webHidden/>
                      </w:rPr>
                      <w:fldChar w:fldCharType="separate"/>
                    </w:r>
                    <w:r>
                      <w:rPr>
                        <w:noProof/>
                        <w:webHidden/>
                      </w:rPr>
                      <w:t>6</w:t>
                    </w:r>
                    <w:r>
                      <w:rPr>
                        <w:noProof/>
                        <w:webHidden/>
                      </w:rPr>
                      <w:fldChar w:fldCharType="end"/>
                    </w:r>
                  </w:hyperlink>
                </w:p>
                <w:p w:rsidR="008A3034" w:rsidRDefault="008A3034">
                  <w:pPr>
                    <w:pStyle w:val="21"/>
                    <w:rPr>
                      <w:rFonts w:asciiTheme="minorHAnsi" w:eastAsiaTheme="minorEastAsia" w:hAnsiTheme="minorHAnsi" w:cstheme="minorBidi"/>
                      <w:b w:val="0"/>
                      <w:smallCaps w:val="0"/>
                      <w:noProof/>
                      <w:color w:val="auto"/>
                      <w:sz w:val="21"/>
                      <w:szCs w:val="22"/>
                    </w:rPr>
                  </w:pPr>
                  <w:hyperlink w:anchor="_Toc39155449" w:history="1">
                    <w:r w:rsidRPr="00181CEB">
                      <w:rPr>
                        <w:rStyle w:val="af0"/>
                        <w:rFonts w:ascii="黑体" w:eastAsia="黑体"/>
                        <w:noProof/>
                      </w:rPr>
                      <w:t>1.</w:t>
                    </w:r>
                    <w:r w:rsidRPr="00181CEB">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_Toc39155449 \h </w:instrText>
                    </w:r>
                    <w:r>
                      <w:rPr>
                        <w:noProof/>
                        <w:webHidden/>
                      </w:rPr>
                    </w:r>
                    <w:r>
                      <w:rPr>
                        <w:noProof/>
                        <w:webHidden/>
                      </w:rPr>
                      <w:fldChar w:fldCharType="separate"/>
                    </w:r>
                    <w:r>
                      <w:rPr>
                        <w:noProof/>
                        <w:webHidden/>
                      </w:rPr>
                      <w:t>6</w:t>
                    </w:r>
                    <w:r>
                      <w:rPr>
                        <w:noProof/>
                        <w:webHidden/>
                      </w:rPr>
                      <w:fldChar w:fldCharType="end"/>
                    </w:r>
                  </w:hyperlink>
                </w:p>
                <w:p w:rsidR="008A3034" w:rsidRDefault="008A3034">
                  <w:pPr>
                    <w:pStyle w:val="21"/>
                    <w:rPr>
                      <w:rFonts w:asciiTheme="minorHAnsi" w:eastAsiaTheme="minorEastAsia" w:hAnsiTheme="minorHAnsi" w:cstheme="minorBidi"/>
                      <w:b w:val="0"/>
                      <w:smallCaps w:val="0"/>
                      <w:noProof/>
                      <w:color w:val="auto"/>
                      <w:sz w:val="21"/>
                      <w:szCs w:val="22"/>
                    </w:rPr>
                  </w:pPr>
                  <w:hyperlink w:anchor="_Toc39155450" w:history="1">
                    <w:r w:rsidRPr="00181CEB">
                      <w:rPr>
                        <w:rStyle w:val="af0"/>
                        <w:rFonts w:ascii="黑体" w:eastAsia="黑体"/>
                        <w:noProof/>
                      </w:rPr>
                      <w:t>2.</w:t>
                    </w:r>
                    <w:r w:rsidRPr="00181CEB">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_Toc39155450 \h </w:instrText>
                    </w:r>
                    <w:r>
                      <w:rPr>
                        <w:noProof/>
                        <w:webHidden/>
                      </w:rPr>
                    </w:r>
                    <w:r>
                      <w:rPr>
                        <w:noProof/>
                        <w:webHidden/>
                      </w:rPr>
                      <w:fldChar w:fldCharType="separate"/>
                    </w:r>
                    <w:r>
                      <w:rPr>
                        <w:noProof/>
                        <w:webHidden/>
                      </w:rPr>
                      <w:t>7</w:t>
                    </w:r>
                    <w:r>
                      <w:rPr>
                        <w:noProof/>
                        <w:webHidden/>
                      </w:rPr>
                      <w:fldChar w:fldCharType="end"/>
                    </w:r>
                  </w:hyperlink>
                </w:p>
                <w:p w:rsidR="008A3034" w:rsidRDefault="008A3034">
                  <w:pPr>
                    <w:pStyle w:val="21"/>
                    <w:rPr>
                      <w:rFonts w:asciiTheme="minorHAnsi" w:eastAsiaTheme="minorEastAsia" w:hAnsiTheme="minorHAnsi" w:cstheme="minorBidi"/>
                      <w:b w:val="0"/>
                      <w:smallCaps w:val="0"/>
                      <w:noProof/>
                      <w:color w:val="auto"/>
                      <w:sz w:val="21"/>
                      <w:szCs w:val="22"/>
                    </w:rPr>
                  </w:pPr>
                  <w:hyperlink w:anchor="_Toc39155451" w:history="1">
                    <w:r w:rsidRPr="00181CEB">
                      <w:rPr>
                        <w:rStyle w:val="af0"/>
                        <w:rFonts w:cs="Arial"/>
                        <w:bCs/>
                        <w:noProof/>
                      </w:rPr>
                      <w:t>3.</w:t>
                    </w:r>
                    <w:r w:rsidRPr="00181CEB">
                      <w:rPr>
                        <w:rStyle w:val="af0"/>
                        <w:rFonts w:cs="Arial" w:hint="eastAsia"/>
                        <w:bCs/>
                        <w:noProof/>
                      </w:rPr>
                      <w:t>世界经济形势</w:t>
                    </w:r>
                    <w:r>
                      <w:rPr>
                        <w:noProof/>
                        <w:webHidden/>
                      </w:rPr>
                      <w:tab/>
                    </w:r>
                    <w:r>
                      <w:rPr>
                        <w:noProof/>
                        <w:webHidden/>
                      </w:rPr>
                      <w:fldChar w:fldCharType="begin"/>
                    </w:r>
                    <w:r>
                      <w:rPr>
                        <w:noProof/>
                        <w:webHidden/>
                      </w:rPr>
                      <w:instrText xml:space="preserve"> PAGEREF _Toc39155451 \h </w:instrText>
                    </w:r>
                    <w:r>
                      <w:rPr>
                        <w:noProof/>
                        <w:webHidden/>
                      </w:rPr>
                    </w:r>
                    <w:r>
                      <w:rPr>
                        <w:noProof/>
                        <w:webHidden/>
                      </w:rPr>
                      <w:fldChar w:fldCharType="separate"/>
                    </w:r>
                    <w:r>
                      <w:rPr>
                        <w:noProof/>
                        <w:webHidden/>
                      </w:rPr>
                      <w:t>13</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52" w:history="1">
                    <w:r w:rsidRPr="00181CEB">
                      <w:rPr>
                        <w:rStyle w:val="af0"/>
                        <w:rFonts w:cs="Arial" w:hint="eastAsia"/>
                        <w:noProof/>
                        <w:kern w:val="0"/>
                      </w:rPr>
                      <w:t>（三）、</w:t>
                    </w:r>
                    <w:r w:rsidRPr="00181CEB">
                      <w:rPr>
                        <w:rStyle w:val="af0"/>
                        <w:rFonts w:cs="Arial"/>
                        <w:noProof/>
                        <w:kern w:val="0"/>
                      </w:rPr>
                      <w:t>2020</w:t>
                    </w:r>
                    <w:r w:rsidRPr="00181CEB">
                      <w:rPr>
                        <w:rStyle w:val="af0"/>
                        <w:rFonts w:cs="Arial" w:hint="eastAsia"/>
                        <w:noProof/>
                        <w:kern w:val="0"/>
                      </w:rPr>
                      <w:t>年</w:t>
                    </w:r>
                    <w:r w:rsidRPr="00181CEB">
                      <w:rPr>
                        <w:rStyle w:val="af0"/>
                        <w:rFonts w:cs="Arial"/>
                        <w:noProof/>
                        <w:kern w:val="0"/>
                      </w:rPr>
                      <w:t>2</w:t>
                    </w:r>
                    <w:r w:rsidRPr="00181CEB">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_Toc39155452 \h </w:instrText>
                    </w:r>
                    <w:r>
                      <w:rPr>
                        <w:noProof/>
                        <w:webHidden/>
                      </w:rPr>
                    </w:r>
                    <w:r>
                      <w:rPr>
                        <w:noProof/>
                        <w:webHidden/>
                      </w:rPr>
                      <w:fldChar w:fldCharType="separate"/>
                    </w:r>
                    <w:r>
                      <w:rPr>
                        <w:noProof/>
                        <w:webHidden/>
                      </w:rPr>
                      <w:t>16</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53" w:history="1">
                    <w:r w:rsidRPr="00181CEB">
                      <w:rPr>
                        <w:rStyle w:val="af0"/>
                        <w:rFonts w:cs="Arial" w:hint="eastAsia"/>
                        <w:noProof/>
                        <w:kern w:val="0"/>
                      </w:rPr>
                      <w:t>（四）、后市预测</w:t>
                    </w:r>
                    <w:r>
                      <w:rPr>
                        <w:noProof/>
                        <w:webHidden/>
                      </w:rPr>
                      <w:tab/>
                    </w:r>
                    <w:r>
                      <w:rPr>
                        <w:noProof/>
                        <w:webHidden/>
                      </w:rPr>
                      <w:fldChar w:fldCharType="begin"/>
                    </w:r>
                    <w:r>
                      <w:rPr>
                        <w:noProof/>
                        <w:webHidden/>
                      </w:rPr>
                      <w:instrText xml:space="preserve"> PAGEREF _Toc39155453 \h </w:instrText>
                    </w:r>
                    <w:r>
                      <w:rPr>
                        <w:noProof/>
                        <w:webHidden/>
                      </w:rPr>
                    </w:r>
                    <w:r>
                      <w:rPr>
                        <w:noProof/>
                        <w:webHidden/>
                      </w:rPr>
                      <w:fldChar w:fldCharType="separate"/>
                    </w:r>
                    <w:r>
                      <w:rPr>
                        <w:noProof/>
                        <w:webHidden/>
                      </w:rPr>
                      <w:t>20</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54" w:history="1">
                    <w:r w:rsidRPr="00181CEB">
                      <w:rPr>
                        <w:rStyle w:val="af0"/>
                        <w:rFonts w:ascii="黑体" w:eastAsia="黑体" w:hint="eastAsia"/>
                        <w:noProof/>
                      </w:rPr>
                      <w:t>二、</w:t>
                    </w:r>
                    <w:r w:rsidRPr="00181CEB">
                      <w:rPr>
                        <w:rStyle w:val="af0"/>
                        <w:rFonts w:ascii="黑体" w:eastAsia="黑体"/>
                        <w:noProof/>
                      </w:rPr>
                      <w:t xml:space="preserve"> </w:t>
                    </w:r>
                    <w:r w:rsidRPr="00181CEB">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_Toc39155454 \h </w:instrText>
                    </w:r>
                    <w:r>
                      <w:rPr>
                        <w:noProof/>
                        <w:webHidden/>
                      </w:rPr>
                    </w:r>
                    <w:r>
                      <w:rPr>
                        <w:noProof/>
                        <w:webHidden/>
                      </w:rPr>
                      <w:fldChar w:fldCharType="separate"/>
                    </w:r>
                    <w:r>
                      <w:rPr>
                        <w:noProof/>
                        <w:webHidden/>
                      </w:rPr>
                      <w:t>22</w:t>
                    </w:r>
                    <w:r>
                      <w:rPr>
                        <w:noProof/>
                        <w:webHidden/>
                      </w:rPr>
                      <w:fldChar w:fldCharType="end"/>
                    </w:r>
                  </w:hyperlink>
                </w:p>
                <w:p w:rsidR="008A3034" w:rsidRDefault="008A3034">
                  <w:pPr>
                    <w:pStyle w:val="21"/>
                    <w:rPr>
                      <w:rFonts w:asciiTheme="minorHAnsi" w:eastAsiaTheme="minorEastAsia" w:hAnsiTheme="minorHAnsi" w:cstheme="minorBidi"/>
                      <w:b w:val="0"/>
                      <w:smallCaps w:val="0"/>
                      <w:noProof/>
                      <w:color w:val="auto"/>
                      <w:sz w:val="21"/>
                      <w:szCs w:val="22"/>
                    </w:rPr>
                  </w:pPr>
                  <w:hyperlink w:anchor="_Toc39155455" w:history="1">
                    <w:r w:rsidRPr="00181CEB">
                      <w:rPr>
                        <w:rStyle w:val="af0"/>
                        <w:noProof/>
                      </w:rPr>
                      <w:t>2.1</w:t>
                    </w:r>
                    <w:r w:rsidRPr="00181CEB">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_Toc39155455 \h </w:instrText>
                    </w:r>
                    <w:r>
                      <w:rPr>
                        <w:noProof/>
                        <w:webHidden/>
                      </w:rPr>
                    </w:r>
                    <w:r>
                      <w:rPr>
                        <w:noProof/>
                        <w:webHidden/>
                      </w:rPr>
                      <w:fldChar w:fldCharType="separate"/>
                    </w:r>
                    <w:r>
                      <w:rPr>
                        <w:noProof/>
                        <w:webHidden/>
                      </w:rPr>
                      <w:t>22</w:t>
                    </w:r>
                    <w:r>
                      <w:rPr>
                        <w:noProof/>
                        <w:webHidden/>
                      </w:rPr>
                      <w:fldChar w:fldCharType="end"/>
                    </w:r>
                  </w:hyperlink>
                </w:p>
                <w:p w:rsidR="008A3034" w:rsidRDefault="008A3034">
                  <w:pPr>
                    <w:pStyle w:val="21"/>
                    <w:rPr>
                      <w:rFonts w:asciiTheme="minorHAnsi" w:eastAsiaTheme="minorEastAsia" w:hAnsiTheme="minorHAnsi" w:cstheme="minorBidi"/>
                      <w:b w:val="0"/>
                      <w:smallCaps w:val="0"/>
                      <w:noProof/>
                      <w:color w:val="auto"/>
                      <w:sz w:val="21"/>
                      <w:szCs w:val="22"/>
                    </w:rPr>
                  </w:pPr>
                  <w:hyperlink w:anchor="_Toc39155456" w:history="1">
                    <w:r w:rsidRPr="00181CEB">
                      <w:rPr>
                        <w:rStyle w:val="af0"/>
                        <w:rFonts w:asciiTheme="minorEastAsia" w:hAnsiTheme="minorEastAsia"/>
                        <w:noProof/>
                      </w:rPr>
                      <w:t>2.2</w:t>
                    </w:r>
                    <w:r w:rsidRPr="00181CEB">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_Toc39155456 \h </w:instrText>
                    </w:r>
                    <w:r>
                      <w:rPr>
                        <w:noProof/>
                        <w:webHidden/>
                      </w:rPr>
                    </w:r>
                    <w:r>
                      <w:rPr>
                        <w:noProof/>
                        <w:webHidden/>
                      </w:rPr>
                      <w:fldChar w:fldCharType="separate"/>
                    </w:r>
                    <w:r>
                      <w:rPr>
                        <w:noProof/>
                        <w:webHidden/>
                      </w:rPr>
                      <w:t>23</w:t>
                    </w:r>
                    <w:r>
                      <w:rPr>
                        <w:noProof/>
                        <w:webHidden/>
                      </w:rPr>
                      <w:fldChar w:fldCharType="end"/>
                    </w:r>
                  </w:hyperlink>
                </w:p>
                <w:p w:rsidR="008A3034" w:rsidRDefault="008A3034">
                  <w:pPr>
                    <w:pStyle w:val="21"/>
                    <w:rPr>
                      <w:rFonts w:asciiTheme="minorHAnsi" w:eastAsiaTheme="minorEastAsia" w:hAnsiTheme="minorHAnsi" w:cstheme="minorBidi"/>
                      <w:b w:val="0"/>
                      <w:smallCaps w:val="0"/>
                      <w:noProof/>
                      <w:color w:val="auto"/>
                      <w:sz w:val="21"/>
                      <w:szCs w:val="22"/>
                    </w:rPr>
                  </w:pPr>
                  <w:hyperlink w:anchor="_Toc39155457" w:history="1">
                    <w:r w:rsidRPr="00181CEB">
                      <w:rPr>
                        <w:rStyle w:val="af0"/>
                        <w:rFonts w:asciiTheme="minorEastAsia" w:hAnsiTheme="minorEastAsia"/>
                        <w:noProof/>
                      </w:rPr>
                      <w:t>2.3</w:t>
                    </w:r>
                    <w:r w:rsidRPr="00181CEB">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_Toc39155457 \h </w:instrText>
                    </w:r>
                    <w:r>
                      <w:rPr>
                        <w:noProof/>
                        <w:webHidden/>
                      </w:rPr>
                    </w:r>
                    <w:r>
                      <w:rPr>
                        <w:noProof/>
                        <w:webHidden/>
                      </w:rPr>
                      <w:fldChar w:fldCharType="separate"/>
                    </w:r>
                    <w:r>
                      <w:rPr>
                        <w:noProof/>
                        <w:webHidden/>
                      </w:rPr>
                      <w:t>23</w:t>
                    </w:r>
                    <w:r>
                      <w:rPr>
                        <w:noProof/>
                        <w:webHidden/>
                      </w:rPr>
                      <w:fldChar w:fldCharType="end"/>
                    </w:r>
                  </w:hyperlink>
                </w:p>
                <w:p w:rsidR="008A3034" w:rsidRDefault="008A3034">
                  <w:pPr>
                    <w:pStyle w:val="21"/>
                    <w:rPr>
                      <w:rFonts w:asciiTheme="minorHAnsi" w:eastAsiaTheme="minorEastAsia" w:hAnsiTheme="minorHAnsi" w:cstheme="minorBidi"/>
                      <w:b w:val="0"/>
                      <w:smallCaps w:val="0"/>
                      <w:noProof/>
                      <w:color w:val="auto"/>
                      <w:sz w:val="21"/>
                      <w:szCs w:val="22"/>
                    </w:rPr>
                  </w:pPr>
                  <w:hyperlink w:anchor="_Toc39155458" w:history="1">
                    <w:r w:rsidRPr="00181CEB">
                      <w:rPr>
                        <w:rStyle w:val="af0"/>
                        <w:rFonts w:asciiTheme="minorEastAsia" w:hAnsiTheme="minorEastAsia"/>
                        <w:noProof/>
                      </w:rPr>
                      <w:t>2.4</w:t>
                    </w:r>
                    <w:r w:rsidRPr="00181CEB">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_Toc39155458 \h </w:instrText>
                    </w:r>
                    <w:r>
                      <w:rPr>
                        <w:noProof/>
                        <w:webHidden/>
                      </w:rPr>
                    </w:r>
                    <w:r>
                      <w:rPr>
                        <w:noProof/>
                        <w:webHidden/>
                      </w:rPr>
                      <w:fldChar w:fldCharType="separate"/>
                    </w:r>
                    <w:r>
                      <w:rPr>
                        <w:noProof/>
                        <w:webHidden/>
                      </w:rPr>
                      <w:t>26</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59" w:history="1">
                    <w:r w:rsidRPr="00181CEB">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_Toc39155459 \h </w:instrText>
                    </w:r>
                    <w:r>
                      <w:rPr>
                        <w:noProof/>
                        <w:webHidden/>
                      </w:rPr>
                    </w:r>
                    <w:r>
                      <w:rPr>
                        <w:noProof/>
                        <w:webHidden/>
                      </w:rPr>
                      <w:fldChar w:fldCharType="separate"/>
                    </w:r>
                    <w:r>
                      <w:rPr>
                        <w:noProof/>
                        <w:webHidden/>
                      </w:rPr>
                      <w:t>27</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60" w:history="1">
                    <w:r w:rsidRPr="00181CEB">
                      <w:rPr>
                        <w:rStyle w:val="af0"/>
                        <w:rFonts w:asciiTheme="minorEastAsia" w:hAnsiTheme="minorEastAsia"/>
                        <w:noProof/>
                      </w:rPr>
                      <w:t>3</w:t>
                    </w:r>
                    <w:r w:rsidRPr="00181CEB">
                      <w:rPr>
                        <w:rStyle w:val="af0"/>
                        <w:rFonts w:asciiTheme="minorEastAsia" w:hAnsiTheme="minorEastAsia" w:hint="eastAsia"/>
                        <w:noProof/>
                      </w:rPr>
                      <w:t>．</w:t>
                    </w:r>
                    <w:r w:rsidRPr="00181CEB">
                      <w:rPr>
                        <w:rStyle w:val="af0"/>
                        <w:rFonts w:asciiTheme="minorEastAsia" w:hAnsiTheme="minorEastAsia"/>
                        <w:noProof/>
                      </w:rPr>
                      <w:t xml:space="preserve">1  </w:t>
                    </w:r>
                    <w:r w:rsidRPr="00181CEB">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_Toc39155460 \h </w:instrText>
                    </w:r>
                    <w:r>
                      <w:rPr>
                        <w:noProof/>
                        <w:webHidden/>
                      </w:rPr>
                    </w:r>
                    <w:r>
                      <w:rPr>
                        <w:noProof/>
                        <w:webHidden/>
                      </w:rPr>
                      <w:fldChar w:fldCharType="separate"/>
                    </w:r>
                    <w:r>
                      <w:rPr>
                        <w:noProof/>
                        <w:webHidden/>
                      </w:rPr>
                      <w:t>27</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61" w:history="1">
                    <w:r w:rsidRPr="00181CEB">
                      <w:rPr>
                        <w:rStyle w:val="af0"/>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_Toc39155461 \h </w:instrText>
                    </w:r>
                    <w:r>
                      <w:rPr>
                        <w:noProof/>
                        <w:webHidden/>
                      </w:rPr>
                    </w:r>
                    <w:r>
                      <w:rPr>
                        <w:noProof/>
                        <w:webHidden/>
                      </w:rPr>
                      <w:fldChar w:fldCharType="separate"/>
                    </w:r>
                    <w:r>
                      <w:rPr>
                        <w:noProof/>
                        <w:webHidden/>
                      </w:rPr>
                      <w:t>30</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62" w:history="1">
                    <w:r w:rsidRPr="00181CEB">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_Toc39155462 \h </w:instrText>
                    </w:r>
                    <w:r>
                      <w:rPr>
                        <w:noProof/>
                        <w:webHidden/>
                      </w:rPr>
                    </w:r>
                    <w:r>
                      <w:rPr>
                        <w:noProof/>
                        <w:webHidden/>
                      </w:rPr>
                      <w:fldChar w:fldCharType="separate"/>
                    </w:r>
                    <w:r>
                      <w:rPr>
                        <w:noProof/>
                        <w:webHidden/>
                      </w:rPr>
                      <w:t>32</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63" w:history="1">
                    <w:r w:rsidRPr="00181CEB">
                      <w:rPr>
                        <w:rStyle w:val="af0"/>
                        <w:rFonts w:ascii="黑体" w:hint="eastAsia"/>
                        <w:noProof/>
                      </w:rPr>
                      <w:t>六、</w:t>
                    </w:r>
                    <w:r w:rsidRPr="00181CEB">
                      <w:rPr>
                        <w:rStyle w:val="af0"/>
                        <w:rFonts w:ascii="黑体"/>
                        <w:noProof/>
                      </w:rPr>
                      <w:t>D</w:t>
                    </w:r>
                    <w:r w:rsidRPr="00181CEB">
                      <w:rPr>
                        <w:rStyle w:val="af0"/>
                        <w:rFonts w:ascii="黑体" w:hint="eastAsia"/>
                        <w:noProof/>
                      </w:rPr>
                      <w:t>系列特种溶剂油</w:t>
                    </w:r>
                    <w:r>
                      <w:rPr>
                        <w:noProof/>
                        <w:webHidden/>
                      </w:rPr>
                      <w:tab/>
                    </w:r>
                    <w:r>
                      <w:rPr>
                        <w:noProof/>
                        <w:webHidden/>
                      </w:rPr>
                      <w:fldChar w:fldCharType="begin"/>
                    </w:r>
                    <w:r>
                      <w:rPr>
                        <w:noProof/>
                        <w:webHidden/>
                      </w:rPr>
                      <w:instrText xml:space="preserve"> PAGEREF _Toc39155463 \h </w:instrText>
                    </w:r>
                    <w:r>
                      <w:rPr>
                        <w:noProof/>
                        <w:webHidden/>
                      </w:rPr>
                    </w:r>
                    <w:r>
                      <w:rPr>
                        <w:noProof/>
                        <w:webHidden/>
                      </w:rPr>
                      <w:fldChar w:fldCharType="separate"/>
                    </w:r>
                    <w:r>
                      <w:rPr>
                        <w:noProof/>
                        <w:webHidden/>
                      </w:rPr>
                      <w:t>39</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64" w:history="1">
                    <w:r w:rsidRPr="00181CEB">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_Toc39155464 \h </w:instrText>
                    </w:r>
                    <w:r>
                      <w:rPr>
                        <w:noProof/>
                        <w:webHidden/>
                      </w:rPr>
                    </w:r>
                    <w:r>
                      <w:rPr>
                        <w:noProof/>
                        <w:webHidden/>
                      </w:rPr>
                      <w:fldChar w:fldCharType="separate"/>
                    </w:r>
                    <w:r>
                      <w:rPr>
                        <w:noProof/>
                        <w:webHidden/>
                      </w:rPr>
                      <w:t>43</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65" w:history="1">
                    <w:r w:rsidRPr="00181CEB">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_Toc39155465 \h </w:instrText>
                    </w:r>
                    <w:r>
                      <w:rPr>
                        <w:noProof/>
                        <w:webHidden/>
                      </w:rPr>
                    </w:r>
                    <w:r>
                      <w:rPr>
                        <w:noProof/>
                        <w:webHidden/>
                      </w:rPr>
                      <w:fldChar w:fldCharType="separate"/>
                    </w:r>
                    <w:r>
                      <w:rPr>
                        <w:noProof/>
                        <w:webHidden/>
                      </w:rPr>
                      <w:t>51</w:t>
                    </w:r>
                    <w:r>
                      <w:rPr>
                        <w:noProof/>
                        <w:webHidden/>
                      </w:rPr>
                      <w:fldChar w:fldCharType="end"/>
                    </w:r>
                  </w:hyperlink>
                </w:p>
                <w:p w:rsidR="008A3034" w:rsidRDefault="008A3034">
                  <w:pPr>
                    <w:pStyle w:val="10"/>
                    <w:rPr>
                      <w:rFonts w:asciiTheme="minorHAnsi" w:eastAsiaTheme="minorEastAsia" w:hAnsiTheme="minorHAnsi" w:cstheme="minorBidi"/>
                      <w:b w:val="0"/>
                      <w:bCs w:val="0"/>
                      <w:caps w:val="0"/>
                      <w:noProof/>
                      <w:color w:val="auto"/>
                      <w:sz w:val="21"/>
                      <w:szCs w:val="22"/>
                    </w:rPr>
                  </w:pPr>
                  <w:hyperlink w:anchor="_Toc39155466" w:history="1">
                    <w:r w:rsidRPr="00181CEB">
                      <w:rPr>
                        <w:rStyle w:val="af0"/>
                        <w:rFonts w:ascii="华文仿宋" w:eastAsia="华文仿宋" w:hAnsi="华文仿宋" w:hint="eastAsia"/>
                        <w:noProof/>
                      </w:rPr>
                      <w:t>九、</w:t>
                    </w:r>
                    <w:r w:rsidRPr="00181CEB">
                      <w:rPr>
                        <w:rStyle w:val="af0"/>
                        <w:rFonts w:ascii="华文仿宋" w:eastAsia="华文仿宋" w:hAnsi="华文仿宋"/>
                        <w:noProof/>
                      </w:rPr>
                      <w:t>2020</w:t>
                    </w:r>
                    <w:r w:rsidRPr="00181CEB">
                      <w:rPr>
                        <w:rStyle w:val="af0"/>
                        <w:rFonts w:ascii="华文仿宋" w:eastAsia="华文仿宋" w:hAnsi="华文仿宋" w:hint="eastAsia"/>
                        <w:noProof/>
                      </w:rPr>
                      <w:t>年</w:t>
                    </w:r>
                    <w:r w:rsidRPr="00181CEB">
                      <w:rPr>
                        <w:rStyle w:val="af0"/>
                        <w:rFonts w:ascii="华文仿宋" w:eastAsia="华文仿宋" w:hAnsi="华文仿宋"/>
                        <w:noProof/>
                      </w:rPr>
                      <w:t>2</w:t>
                    </w:r>
                    <w:r w:rsidRPr="00181CEB">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_Toc39155466 \h </w:instrText>
                    </w:r>
                    <w:r>
                      <w:rPr>
                        <w:noProof/>
                        <w:webHidden/>
                      </w:rPr>
                    </w:r>
                    <w:r>
                      <w:rPr>
                        <w:noProof/>
                        <w:webHidden/>
                      </w:rPr>
                      <w:fldChar w:fldCharType="separate"/>
                    </w:r>
                    <w:r>
                      <w:rPr>
                        <w:noProof/>
                        <w:webHidden/>
                      </w:rPr>
                      <w:t>53</w:t>
                    </w:r>
                    <w:r>
                      <w:rPr>
                        <w:noProof/>
                        <w:webHidden/>
                      </w:rPr>
                      <w:fldChar w:fldCharType="end"/>
                    </w:r>
                  </w:hyperlink>
                </w:p>
                <w:p w:rsidR="0062728D" w:rsidRDefault="00BD2DE3">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19195105"/>
      <w:bookmarkStart w:id="24" w:name="_Toc19887427"/>
      <w:bookmarkStart w:id="25" w:name="_Toc20494322"/>
      <w:bookmarkStart w:id="26" w:name="_Toc21702276"/>
      <w:bookmarkStart w:id="27" w:name="_Toc22307195"/>
      <w:bookmarkStart w:id="28" w:name="_Toc22911753"/>
      <w:bookmarkStart w:id="29" w:name="_Toc23513668"/>
      <w:bookmarkStart w:id="30" w:name="_Toc24117015"/>
      <w:bookmarkStart w:id="31" w:name="_Toc24722669"/>
      <w:bookmarkStart w:id="32" w:name="_Toc25325017"/>
      <w:bookmarkStart w:id="33" w:name="_Toc25932472"/>
      <w:bookmarkStart w:id="34" w:name="_Toc26536323"/>
      <w:bookmarkStart w:id="35" w:name="_Toc27141681"/>
      <w:bookmarkStart w:id="36" w:name="_Toc27745324"/>
      <w:bookmarkStart w:id="37" w:name="_Toc28351972"/>
      <w:bookmarkStart w:id="38" w:name="_Toc28955190"/>
      <w:bookmarkStart w:id="39" w:name="_Toc29558243"/>
      <w:bookmarkStart w:id="40" w:name="_Toc30169327"/>
      <w:bookmarkStart w:id="41" w:name="_Toc31978535"/>
      <w:bookmarkStart w:id="42" w:name="_Toc32586730"/>
      <w:bookmarkStart w:id="43" w:name="_Toc33192388"/>
      <w:bookmarkStart w:id="44" w:name="_Toc33798259"/>
      <w:bookmarkStart w:id="45" w:name="_Toc34399801"/>
      <w:bookmarkStart w:id="46" w:name="_Toc35004638"/>
      <w:bookmarkStart w:id="47" w:name="_Toc35607044"/>
      <w:bookmarkStart w:id="48" w:name="_Toc36211375"/>
      <w:bookmarkStart w:id="49" w:name="_Toc38634423"/>
      <w:bookmarkStart w:id="50" w:name="_Toc27193"/>
      <w:bookmarkStart w:id="51" w:name="_Toc536797012"/>
      <w:bookmarkStart w:id="52" w:name="_Toc505350007"/>
      <w:bookmarkStart w:id="53" w:name="_Toc296600809"/>
      <w:bookmarkStart w:id="54" w:name="_Toc281568199"/>
      <w:bookmarkStart w:id="55" w:name="_Toc158203127"/>
      <w:bookmarkStart w:id="56" w:name="_Toc239847712"/>
      <w:bookmarkStart w:id="57" w:name="_Toc485828984"/>
      <w:bookmarkStart w:id="58" w:name="_Toc5976969"/>
      <w:bookmarkStart w:id="59" w:name="_Toc39155444"/>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9"/>
    </w:p>
    <w:p w:rsidR="00F6162F" w:rsidRDefault="00F6162F" w:rsidP="00F6162F">
      <w:pPr>
        <w:outlineLvl w:val="0"/>
        <w:rPr>
          <w:rFonts w:ascii="黑体" w:eastAsia="黑体" w:hAnsi="宋体" w:cs="Arial"/>
          <w:b/>
          <w:bCs/>
          <w:kern w:val="0"/>
          <w:sz w:val="30"/>
          <w:szCs w:val="30"/>
        </w:rPr>
      </w:pPr>
      <w:bookmarkStart w:id="60" w:name="_Toc4768329"/>
      <w:bookmarkStart w:id="61" w:name="_Toc1736576"/>
      <w:bookmarkStart w:id="62" w:name="_Toc5976951"/>
      <w:bookmarkStart w:id="63" w:name="_Toc4768349"/>
      <w:bookmarkStart w:id="64" w:name="_Toc5281976"/>
      <w:bookmarkStart w:id="65" w:name="_Toc2934039"/>
      <w:bookmarkStart w:id="66" w:name="_Toc5976971"/>
      <w:bookmarkStart w:id="67" w:name="_Toc2934018"/>
      <w:bookmarkStart w:id="68" w:name="_Toc504051935"/>
      <w:bookmarkStart w:id="69" w:name="_Toc4160079"/>
      <w:bookmarkStart w:id="70" w:name="_Toc10211758"/>
      <w:bookmarkStart w:id="71" w:name="_Toc15022873"/>
      <w:bookmarkStart w:id="72" w:name="_Toc15049630"/>
      <w:bookmarkStart w:id="73" w:name="_Toc15654572"/>
      <w:bookmarkStart w:id="74" w:name="_Toc16257695"/>
      <w:bookmarkStart w:id="75" w:name="_Toc16861047"/>
      <w:bookmarkStart w:id="76" w:name="_Toc17467205"/>
      <w:bookmarkStart w:id="77" w:name="_Toc18072984"/>
      <w:bookmarkStart w:id="78" w:name="_Toc18680403"/>
      <w:bookmarkStart w:id="79" w:name="_Toc19195106"/>
      <w:bookmarkStart w:id="80" w:name="_Toc19887428"/>
      <w:bookmarkStart w:id="81" w:name="_Toc20494323"/>
      <w:bookmarkStart w:id="82" w:name="_Toc21702277"/>
      <w:bookmarkStart w:id="83" w:name="_Toc22307196"/>
      <w:bookmarkStart w:id="84" w:name="_Toc22911754"/>
      <w:bookmarkStart w:id="85" w:name="_Toc23513669"/>
      <w:bookmarkStart w:id="86" w:name="_Toc24117016"/>
      <w:bookmarkStart w:id="87" w:name="_Toc24722670"/>
      <w:bookmarkStart w:id="88" w:name="_Toc25325018"/>
      <w:bookmarkStart w:id="89" w:name="_Toc25932473"/>
      <w:bookmarkStart w:id="90" w:name="_Toc26536324"/>
      <w:bookmarkStart w:id="91" w:name="_Toc27141682"/>
      <w:bookmarkStart w:id="92" w:name="_Toc27745325"/>
      <w:bookmarkStart w:id="93" w:name="_Toc28351973"/>
      <w:bookmarkStart w:id="94" w:name="_Toc28955191"/>
      <w:bookmarkStart w:id="95" w:name="_Toc29558244"/>
      <w:bookmarkStart w:id="96" w:name="_Toc30169328"/>
      <w:bookmarkStart w:id="97" w:name="_Toc31978536"/>
      <w:bookmarkStart w:id="98" w:name="_Toc32586731"/>
      <w:bookmarkStart w:id="99" w:name="_Toc33192389"/>
      <w:bookmarkStart w:id="100" w:name="_Toc33798260"/>
      <w:bookmarkStart w:id="101" w:name="_Toc34399802"/>
      <w:bookmarkStart w:id="102" w:name="_Toc35004639"/>
      <w:bookmarkStart w:id="103" w:name="_Toc35607045"/>
      <w:bookmarkStart w:id="104" w:name="_Toc36211376"/>
      <w:bookmarkStart w:id="105" w:name="_Toc38634424"/>
      <w:bookmarkStart w:id="106" w:name="_Toc39155445"/>
      <w:r>
        <w:rPr>
          <w:rFonts w:ascii="黑体" w:eastAsia="黑体" w:hAnsi="宋体" w:cs="Arial" w:hint="eastAsia"/>
          <w:b/>
          <w:bCs/>
          <w:kern w:val="0"/>
          <w:sz w:val="30"/>
          <w:szCs w:val="30"/>
        </w:rPr>
        <w:t>(一)、国际原油市场回顾</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107" w:name="_Toc15022874"/>
      <w:bookmarkStart w:id="108" w:name="_Toc15049631"/>
      <w:bookmarkStart w:id="109" w:name="_Toc15654573"/>
      <w:bookmarkStart w:id="110" w:name="_Toc16257696"/>
      <w:bookmarkStart w:id="111" w:name="_Toc16861048"/>
      <w:bookmarkStart w:id="112" w:name="_Toc17467206"/>
      <w:bookmarkStart w:id="113" w:name="_Toc18072985"/>
      <w:bookmarkStart w:id="114" w:name="_Toc18680404"/>
      <w:bookmarkStart w:id="115" w:name="_Toc19195107"/>
      <w:bookmarkStart w:id="116" w:name="_Toc19887429"/>
      <w:bookmarkStart w:id="117" w:name="_Toc20494324"/>
      <w:bookmarkStart w:id="118" w:name="_Toc21702278"/>
      <w:bookmarkStart w:id="119" w:name="_Toc22307197"/>
      <w:bookmarkStart w:id="120" w:name="_Toc22911755"/>
      <w:bookmarkStart w:id="121" w:name="_Toc23513670"/>
      <w:bookmarkStart w:id="122" w:name="_Toc24117017"/>
      <w:bookmarkStart w:id="123" w:name="_Toc24722671"/>
      <w:bookmarkStart w:id="124" w:name="_Toc25325019"/>
      <w:bookmarkStart w:id="125" w:name="_Toc25932474"/>
      <w:bookmarkStart w:id="126" w:name="_Toc26536325"/>
      <w:bookmarkStart w:id="127" w:name="_Toc27141683"/>
      <w:bookmarkStart w:id="128" w:name="_Toc27745326"/>
      <w:bookmarkStart w:id="129" w:name="_Toc28351974"/>
      <w:bookmarkStart w:id="130" w:name="_Toc28955192"/>
      <w:bookmarkStart w:id="131" w:name="_Toc29558245"/>
      <w:bookmarkStart w:id="132" w:name="_Toc30169329"/>
      <w:bookmarkStart w:id="133" w:name="_Toc31978537"/>
      <w:bookmarkStart w:id="134" w:name="_Toc32586732"/>
      <w:bookmarkStart w:id="135" w:name="_Toc33192390"/>
      <w:bookmarkStart w:id="136" w:name="_Toc33798261"/>
      <w:bookmarkStart w:id="137" w:name="_Toc34399803"/>
      <w:bookmarkStart w:id="138" w:name="_Toc35004640"/>
      <w:bookmarkStart w:id="139" w:name="_Toc35607046"/>
      <w:bookmarkStart w:id="140" w:name="_Toc36211377"/>
      <w:bookmarkStart w:id="141" w:name="_Toc38634425"/>
      <w:bookmarkStart w:id="142" w:name="_Toc39155446"/>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5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8864C4" w:rsidTr="0056768F">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864C4" w:rsidRDefault="008864C4" w:rsidP="0056768F">
            <w:pPr>
              <w:widowControl/>
              <w:jc w:val="center"/>
              <w:textAlignment w:val="center"/>
              <w:rPr>
                <w:rFonts w:ascii="华文仿宋" w:eastAsia="华文仿宋" w:hAnsi="华文仿宋" w:cs="华文仿宋"/>
                <w:b/>
                <w:color w:val="000000"/>
                <w:sz w:val="28"/>
                <w:szCs w:val="28"/>
              </w:rPr>
            </w:pPr>
            <w:bookmarkStart w:id="143" w:name="_Toc28586"/>
            <w:r>
              <w:rPr>
                <w:rFonts w:ascii="华文仿宋" w:eastAsia="华文仿宋" w:hAnsi="华文仿宋" w:cs="华文仿宋" w:hint="eastAsia"/>
                <w:b/>
                <w:color w:val="000000"/>
                <w:kern w:val="0"/>
                <w:sz w:val="28"/>
                <w:szCs w:val="28"/>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864C4" w:rsidRDefault="008864C4" w:rsidP="0056768F">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864C4" w:rsidRDefault="008864C4" w:rsidP="0056768F">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864C4" w:rsidRDefault="008864C4" w:rsidP="0056768F">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8864C4" w:rsidTr="0056768F">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2020/4/29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15.06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22.54</w:t>
            </w:r>
          </w:p>
        </w:tc>
        <w:tc>
          <w:tcPr>
            <w:tcW w:w="5953" w:type="dxa"/>
            <w:tcBorders>
              <w:top w:val="single" w:sz="4" w:space="0" w:color="000000"/>
              <w:left w:val="single" w:sz="4" w:space="0" w:color="000000"/>
              <w:bottom w:val="single" w:sz="4" w:space="0" w:color="000000"/>
              <w:right w:val="single" w:sz="4" w:space="0" w:color="000000"/>
            </w:tcBorders>
            <w:vAlign w:val="center"/>
          </w:tcPr>
          <w:p w:rsidR="008864C4" w:rsidRPr="000B35ED"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color w:val="333335"/>
                <w:kern w:val="2"/>
                <w:sz w:val="28"/>
                <w:szCs w:val="28"/>
                <w:shd w:val="clear" w:color="auto" w:fill="FFFFFF"/>
              </w:rPr>
              <w:t>因前夜电子盘时段公布的美国石油协会(API)最新周报和当天美市早盘公布的美国能源信息署(EIA)最近周报数据皆显示，在截至4月24日的上周期间美国原油库存增量小于预期，并且同期美国汽油库存录得下降，从而一定程度上减轻了市场对美国境内原油仓储空间紧缺状况的担忧情绪。此外，新版970万桶/日规模的OPEC+减产协议即将于5月初开始落地执行，并且近日内部分西方国家和其他经济体先后公布了经济重启路线图和时间表，并将逐渐放宽抗疫管制措施，这令投资者看到了石油消费回升的预期，从而对国际原油期货涨势形成支撑。截至当日收盘，WTI和布伦特即期合约的结算价格皆录得较大涨幅</w:t>
            </w:r>
            <w:r w:rsidRPr="00DC78CD">
              <w:rPr>
                <w:rFonts w:ascii="华文仿宋" w:eastAsia="华文仿宋" w:hAnsi="华文仿宋" w:cs="华文仿宋" w:hint="eastAsia"/>
                <w:color w:val="333335"/>
                <w:kern w:val="2"/>
                <w:sz w:val="28"/>
                <w:szCs w:val="28"/>
                <w:shd w:val="clear" w:color="auto" w:fill="FFFFFF"/>
              </w:rPr>
              <w:t>。</w:t>
            </w:r>
          </w:p>
        </w:tc>
      </w:tr>
      <w:tr w:rsidR="008864C4" w:rsidTr="0056768F">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2020/4/28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12.34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20.46</w:t>
            </w:r>
          </w:p>
        </w:tc>
        <w:tc>
          <w:tcPr>
            <w:tcW w:w="5953" w:type="dxa"/>
            <w:tcBorders>
              <w:top w:val="single" w:sz="4" w:space="0" w:color="000000"/>
              <w:left w:val="single" w:sz="4" w:space="0" w:color="000000"/>
              <w:bottom w:val="single" w:sz="4" w:space="0" w:color="000000"/>
              <w:right w:val="single" w:sz="4" w:space="0" w:color="000000"/>
            </w:tcBorders>
            <w:vAlign w:val="center"/>
          </w:tcPr>
          <w:p w:rsidR="008864C4" w:rsidRPr="000B35ED"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color w:val="333335"/>
                <w:kern w:val="2"/>
                <w:sz w:val="28"/>
                <w:szCs w:val="28"/>
                <w:shd w:val="clear" w:color="auto" w:fill="FFFFFF"/>
              </w:rPr>
              <w:t>因投资者预期全球范围内闲置原油存储空间紧缺的局面在短期内难以缓解，且受到全球最大石油ETF——美国石油基金将于月内剩余时间内出清</w:t>
            </w:r>
            <w:r w:rsidRPr="00AF4C56">
              <w:rPr>
                <w:rFonts w:ascii="华文仿宋" w:eastAsia="华文仿宋" w:hAnsi="华文仿宋" w:cs="华文仿宋"/>
                <w:color w:val="333335"/>
                <w:kern w:val="2"/>
                <w:sz w:val="28"/>
                <w:szCs w:val="28"/>
                <w:shd w:val="clear" w:color="auto" w:fill="FFFFFF"/>
              </w:rPr>
              <w:lastRenderedPageBreak/>
              <w:t>其在WTI6月合约中的全部头寸以进行展期操作，从而规避该合约可能面临再次进入负值的情形这一消息影响，国际原油期货价格在当日亚市盘交易中一度承压走低。不过，由于规模高达970万桶/日的新版减产协议即将于5月初落地执行，且部分国家已经公布了在5月期间逐步放松封锁措施并重启经济活动的计划，从而为行情反弹提供了看多基础，在部分投资者的回补操作影响下，国际油价在欧市盘初自当日低位反弹。不过，由于美国境内疫情在前期持续扩散，且面临着更加严峻的库容压力，因此WTI行情反弹相对乏力，两大原油期货收盘录得跌涨互现</w:t>
            </w:r>
            <w:r w:rsidRPr="00DC78CD">
              <w:rPr>
                <w:rFonts w:ascii="华文仿宋" w:eastAsia="华文仿宋" w:hAnsi="华文仿宋" w:cs="华文仿宋" w:hint="eastAsia"/>
                <w:color w:val="333335"/>
                <w:kern w:val="2"/>
                <w:sz w:val="28"/>
                <w:szCs w:val="28"/>
                <w:shd w:val="clear" w:color="auto" w:fill="FFFFFF"/>
              </w:rPr>
              <w:t>。</w:t>
            </w:r>
          </w:p>
        </w:tc>
      </w:tr>
      <w:tr w:rsidR="008864C4" w:rsidTr="0056768F">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lastRenderedPageBreak/>
              <w:t>2020/4/27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12.78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19.99</w:t>
            </w:r>
          </w:p>
        </w:tc>
        <w:tc>
          <w:tcPr>
            <w:tcW w:w="5953" w:type="dxa"/>
            <w:tcBorders>
              <w:top w:val="single" w:sz="4" w:space="0" w:color="000000"/>
              <w:left w:val="single" w:sz="4" w:space="0" w:color="000000"/>
              <w:bottom w:val="single" w:sz="4" w:space="0" w:color="000000"/>
              <w:right w:val="single" w:sz="4" w:space="0" w:color="000000"/>
            </w:tcBorders>
            <w:vAlign w:val="center"/>
          </w:tcPr>
          <w:p w:rsidR="008864C4" w:rsidRPr="000B35ED"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color w:val="333335"/>
                <w:kern w:val="2"/>
                <w:sz w:val="28"/>
                <w:szCs w:val="28"/>
                <w:shd w:val="clear" w:color="auto" w:fill="FFFFFF"/>
              </w:rPr>
              <w:t>截至当天，OPEC+产油国尚未表现出在5月之前就启动新版减产协议以稳定原油市场行情的意向，而供应过剩局面正令全球闲置石油储存空间(包括地上储油罐和海上油轮浮仓)短缺的状况进一步加重。另据数家机构的最新调查结果显示，按照目前的石油资源累库情况，即使在实施了新版减产协议(970万桶/日)后，全球原油仓储能力仍有在6月份出现见顶的可能性。由于油市投资者担忧原油储存空间紧缺和供应过剩累积的状况在新版减产协议落地执行之前将继续加重，从而</w:t>
            </w:r>
            <w:r w:rsidRPr="00AF4C56">
              <w:rPr>
                <w:rFonts w:ascii="华文仿宋" w:eastAsia="华文仿宋" w:hAnsi="华文仿宋" w:cs="华文仿宋"/>
                <w:color w:val="333335"/>
                <w:kern w:val="2"/>
                <w:sz w:val="28"/>
                <w:szCs w:val="28"/>
                <w:shd w:val="clear" w:color="auto" w:fill="FFFFFF"/>
              </w:rPr>
              <w:lastRenderedPageBreak/>
              <w:t>打压当天国际原油期货价格收盘再度重挫</w:t>
            </w:r>
            <w:r w:rsidRPr="00E463EA">
              <w:rPr>
                <w:rFonts w:ascii="华文仿宋" w:eastAsia="华文仿宋" w:hAnsi="华文仿宋" w:cs="华文仿宋" w:hint="eastAsia"/>
                <w:color w:val="333335"/>
                <w:kern w:val="2"/>
                <w:sz w:val="28"/>
                <w:szCs w:val="28"/>
                <w:shd w:val="clear" w:color="auto" w:fill="FFFFFF"/>
              </w:rPr>
              <w:t>。</w:t>
            </w:r>
          </w:p>
        </w:tc>
      </w:tr>
      <w:tr w:rsidR="008864C4" w:rsidTr="0056768F">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lastRenderedPageBreak/>
              <w:t>2020/4/24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16.94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21.44</w:t>
            </w:r>
          </w:p>
        </w:tc>
        <w:tc>
          <w:tcPr>
            <w:tcW w:w="5953" w:type="dxa"/>
            <w:tcBorders>
              <w:top w:val="single" w:sz="4" w:space="0" w:color="000000"/>
              <w:left w:val="single" w:sz="4" w:space="0" w:color="000000"/>
              <w:bottom w:val="single" w:sz="4" w:space="0" w:color="000000"/>
              <w:right w:val="single" w:sz="4" w:space="0" w:color="000000"/>
            </w:tcBorders>
            <w:vAlign w:val="bottom"/>
          </w:tcPr>
          <w:p w:rsidR="008864C4" w:rsidRPr="000B35ED"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color w:val="333335"/>
                <w:kern w:val="2"/>
                <w:sz w:val="28"/>
                <w:szCs w:val="28"/>
                <w:shd w:val="clear" w:color="auto" w:fill="FFFFFF"/>
              </w:rPr>
              <w:t>当天原油市场消息面相对清淡，日内公布的贝克休斯钻井调查数据和交易所持仓数据等周期性报告未能引发投资者的有效回应，市场观望氛围较重，国际原油期货价格呈现横盘整理走势，整体波动性有限，收盘录得小幅上涨</w:t>
            </w:r>
            <w:r w:rsidRPr="00DC78CD">
              <w:rPr>
                <w:rFonts w:ascii="华文仿宋" w:eastAsia="华文仿宋" w:hAnsi="华文仿宋" w:cs="华文仿宋" w:hint="eastAsia"/>
                <w:color w:val="333335"/>
                <w:kern w:val="2"/>
                <w:sz w:val="28"/>
                <w:szCs w:val="28"/>
                <w:shd w:val="clear" w:color="auto" w:fill="FFFFFF"/>
              </w:rPr>
              <w:t>。</w:t>
            </w:r>
          </w:p>
        </w:tc>
      </w:tr>
      <w:tr w:rsidR="008864C4" w:rsidTr="0056768F">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2020/4/23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864C4" w:rsidRPr="00AF4C56"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hint="eastAsia"/>
                <w:color w:val="333335"/>
                <w:kern w:val="2"/>
                <w:sz w:val="28"/>
                <w:szCs w:val="28"/>
                <w:shd w:val="clear" w:color="auto" w:fill="FFFFFF"/>
              </w:rPr>
              <w:t>21.33</w:t>
            </w:r>
          </w:p>
        </w:tc>
        <w:tc>
          <w:tcPr>
            <w:tcW w:w="5953" w:type="dxa"/>
            <w:tcBorders>
              <w:top w:val="single" w:sz="4" w:space="0" w:color="000000"/>
              <w:left w:val="single" w:sz="4" w:space="0" w:color="000000"/>
              <w:bottom w:val="single" w:sz="4" w:space="0" w:color="000000"/>
              <w:right w:val="single" w:sz="4" w:space="0" w:color="000000"/>
            </w:tcBorders>
            <w:vAlign w:val="bottom"/>
          </w:tcPr>
          <w:p w:rsidR="008864C4" w:rsidRPr="00504B42" w:rsidRDefault="008864C4" w:rsidP="0056768F">
            <w:pPr>
              <w:pStyle w:val="aa"/>
              <w:rPr>
                <w:rFonts w:ascii="华文仿宋" w:eastAsia="华文仿宋" w:hAnsi="华文仿宋" w:cs="华文仿宋"/>
                <w:color w:val="333335"/>
                <w:kern w:val="2"/>
                <w:sz w:val="28"/>
                <w:szCs w:val="28"/>
                <w:shd w:val="clear" w:color="auto" w:fill="FFFFFF"/>
              </w:rPr>
            </w:pPr>
            <w:r w:rsidRPr="00AF4C56">
              <w:rPr>
                <w:rFonts w:ascii="华文仿宋" w:eastAsia="华文仿宋" w:hAnsi="华文仿宋" w:cs="华文仿宋"/>
                <w:color w:val="333335"/>
                <w:kern w:val="2"/>
                <w:sz w:val="28"/>
                <w:szCs w:val="28"/>
                <w:shd w:val="clear" w:color="auto" w:fill="FFFFFF"/>
              </w:rPr>
              <w:t>在美国总统于22日欧市盘末时段宣称美军可以击沉发动骚扰的伊朗炮艇后，伊朗于22日盘后宣布当天成功发射该国首颗军事卫星，并且伊朗革命卫队指挥官在23日对美国的“威胁”进行了直接的回应。这些迹象向市场释放了美伊两国地缘摩擦存在升温风险的预期，从而刺激空头继续自油市获利离场。受此影响，国际原油期货价格收盘继续录得反弹</w:t>
            </w:r>
            <w:r w:rsidRPr="005139EC">
              <w:rPr>
                <w:rFonts w:ascii="华文仿宋" w:eastAsia="华文仿宋" w:hAnsi="华文仿宋" w:cs="华文仿宋" w:hint="eastAsia"/>
                <w:color w:val="333335"/>
                <w:kern w:val="2"/>
                <w:sz w:val="28"/>
                <w:szCs w:val="28"/>
                <w:shd w:val="clear" w:color="auto" w:fill="FFFFFF"/>
              </w:rPr>
              <w:t>。</w:t>
            </w:r>
          </w:p>
        </w:tc>
      </w:tr>
    </w:tbl>
    <w:p w:rsidR="00294EAC" w:rsidRPr="00EC5C0E"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6D0F82" w:rsidP="002918B5">
      <w:pPr>
        <w:widowControl/>
        <w:wordWrap w:val="0"/>
        <w:spacing w:after="90" w:line="288" w:lineRule="auto"/>
        <w:jc w:val="left"/>
        <w:outlineLvl w:val="1"/>
        <w:rPr>
          <w:rFonts w:ascii="宋体" w:hAnsi="宋体" w:cs="Arial"/>
          <w:b/>
          <w:kern w:val="0"/>
          <w:sz w:val="30"/>
          <w:szCs w:val="30"/>
        </w:rPr>
      </w:pPr>
      <w:bookmarkStart w:id="144" w:name="_Toc15022875"/>
      <w:bookmarkStart w:id="145" w:name="_Toc15049632"/>
      <w:bookmarkStart w:id="146" w:name="_Toc15654574"/>
      <w:bookmarkStart w:id="147" w:name="_Toc16257697"/>
      <w:bookmarkStart w:id="148" w:name="_Toc16861049"/>
      <w:bookmarkStart w:id="149" w:name="_Toc17467207"/>
      <w:bookmarkStart w:id="150" w:name="_Toc18072986"/>
      <w:bookmarkStart w:id="151" w:name="_Toc18680405"/>
      <w:bookmarkStart w:id="152" w:name="_Toc19195108"/>
      <w:bookmarkStart w:id="153" w:name="_Toc19887430"/>
      <w:bookmarkStart w:id="154" w:name="_Toc20494325"/>
      <w:bookmarkStart w:id="155" w:name="_Toc21702279"/>
      <w:bookmarkStart w:id="156" w:name="_Toc22307198"/>
      <w:bookmarkStart w:id="157" w:name="_Toc22911756"/>
      <w:bookmarkStart w:id="158" w:name="_Toc23513671"/>
      <w:bookmarkStart w:id="159" w:name="_Toc24117018"/>
      <w:bookmarkStart w:id="160" w:name="_Toc24722672"/>
      <w:bookmarkStart w:id="161" w:name="_Toc25325020"/>
      <w:bookmarkStart w:id="162" w:name="_Toc25932475"/>
      <w:bookmarkStart w:id="163" w:name="_Toc26536326"/>
      <w:bookmarkStart w:id="164" w:name="_Toc27141684"/>
      <w:bookmarkStart w:id="165" w:name="_Toc27745327"/>
      <w:bookmarkStart w:id="166" w:name="_Toc28351975"/>
      <w:bookmarkStart w:id="167" w:name="_Toc28955193"/>
      <w:bookmarkStart w:id="168" w:name="_Toc29558246"/>
      <w:bookmarkStart w:id="169" w:name="_Toc30169330"/>
      <w:bookmarkStart w:id="170" w:name="_Toc31978538"/>
      <w:bookmarkStart w:id="171" w:name="_Toc32586733"/>
      <w:bookmarkStart w:id="172" w:name="_Toc33192391"/>
      <w:bookmarkStart w:id="173" w:name="_Toc33798262"/>
      <w:bookmarkStart w:id="174" w:name="_Toc34399804"/>
      <w:bookmarkStart w:id="175" w:name="_Toc35004641"/>
      <w:bookmarkStart w:id="176" w:name="_Toc35607047"/>
      <w:bookmarkStart w:id="177" w:name="_Toc36211378"/>
      <w:bookmarkStart w:id="178" w:name="_Toc38634426"/>
      <w:bookmarkStart w:id="179" w:name="_Toc39155447"/>
      <w:r>
        <w:rPr>
          <w:rFonts w:ascii="宋体" w:hAnsi="宋体" w:cs="Arial"/>
          <w:b/>
          <w:kern w:val="0"/>
          <w:sz w:val="30"/>
          <w:szCs w:val="30"/>
        </w:rPr>
        <w:t>2.20</w:t>
      </w:r>
      <w:r>
        <w:rPr>
          <w:rFonts w:ascii="宋体" w:hAnsi="宋体" w:cs="Arial" w:hint="eastAsia"/>
          <w:b/>
          <w:kern w:val="0"/>
          <w:sz w:val="30"/>
          <w:szCs w:val="30"/>
        </w:rPr>
        <w:t>20</w:t>
      </w:r>
      <w:r w:rsidR="002918B5">
        <w:rPr>
          <w:rFonts w:ascii="宋体" w:hAnsi="宋体" w:cs="Arial"/>
          <w:b/>
          <w:kern w:val="0"/>
          <w:sz w:val="30"/>
          <w:szCs w:val="30"/>
        </w:rPr>
        <w:t>年</w:t>
      </w:r>
      <w:r w:rsidR="002918B5">
        <w:rPr>
          <w:rFonts w:ascii="宋体" w:hAnsi="宋体" w:cs="Arial" w:hint="eastAsia"/>
          <w:b/>
          <w:kern w:val="0"/>
          <w:sz w:val="30"/>
          <w:szCs w:val="30"/>
        </w:rPr>
        <w:t>国际</w:t>
      </w:r>
      <w:r w:rsidR="002918B5">
        <w:rPr>
          <w:rFonts w:ascii="宋体" w:hAnsi="宋体" w:cs="Arial"/>
          <w:b/>
          <w:kern w:val="0"/>
          <w:sz w:val="30"/>
          <w:szCs w:val="30"/>
        </w:rPr>
        <w:t>原油价格走势图</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4727F6" w:rsidRPr="00294EAC" w:rsidRDefault="008864C4"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lastRenderedPageBreak/>
        <w:drawing>
          <wp:inline distT="0" distB="0" distL="0" distR="0">
            <wp:extent cx="4200525" cy="40481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00525" cy="4048125"/>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180" w:name="_Toc23356"/>
      <w:bookmarkStart w:id="181" w:name="_Toc15022876"/>
      <w:bookmarkStart w:id="182" w:name="_Toc15049633"/>
      <w:bookmarkStart w:id="183" w:name="_Toc15654575"/>
      <w:bookmarkStart w:id="184" w:name="_Toc16257698"/>
      <w:bookmarkStart w:id="185" w:name="_Toc16861050"/>
      <w:bookmarkStart w:id="186" w:name="_Toc17467208"/>
      <w:bookmarkStart w:id="187" w:name="_Toc18072987"/>
      <w:bookmarkStart w:id="188" w:name="_Toc18680406"/>
      <w:bookmarkStart w:id="189" w:name="_Toc19195109"/>
      <w:bookmarkStart w:id="190" w:name="_Toc19887431"/>
      <w:bookmarkStart w:id="191" w:name="_Toc20494326"/>
      <w:bookmarkStart w:id="192" w:name="_Toc21702280"/>
      <w:bookmarkStart w:id="193" w:name="_Toc22307199"/>
      <w:bookmarkStart w:id="194" w:name="_Toc22911757"/>
      <w:bookmarkStart w:id="195" w:name="_Toc23513672"/>
      <w:bookmarkStart w:id="196" w:name="_Toc24117019"/>
      <w:bookmarkStart w:id="197" w:name="_Toc24722673"/>
      <w:bookmarkStart w:id="198" w:name="_Toc25325021"/>
      <w:bookmarkStart w:id="199" w:name="_Toc25932476"/>
      <w:bookmarkStart w:id="200" w:name="_Toc26536327"/>
      <w:bookmarkStart w:id="201" w:name="_Toc27141685"/>
      <w:bookmarkStart w:id="202" w:name="_Toc27745328"/>
      <w:bookmarkStart w:id="203" w:name="_Toc28351976"/>
      <w:bookmarkStart w:id="204" w:name="_Toc28955194"/>
      <w:bookmarkStart w:id="205" w:name="_Toc29558247"/>
      <w:bookmarkStart w:id="206" w:name="_Toc30169331"/>
      <w:bookmarkStart w:id="207" w:name="_Toc31978539"/>
      <w:bookmarkStart w:id="208" w:name="_Toc32586734"/>
      <w:bookmarkStart w:id="209" w:name="_Toc33192392"/>
      <w:bookmarkStart w:id="210" w:name="_Toc33798263"/>
      <w:bookmarkStart w:id="211" w:name="_Toc34399805"/>
      <w:bookmarkStart w:id="212" w:name="_Toc35004642"/>
      <w:bookmarkStart w:id="213" w:name="_Toc35607048"/>
      <w:bookmarkStart w:id="214" w:name="_Toc36211379"/>
      <w:bookmarkStart w:id="215" w:name="_Toc38634427"/>
      <w:bookmarkStart w:id="216" w:name="_Toc39155448"/>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217" w:name="_Toc14938351"/>
      <w:bookmarkStart w:id="218" w:name="_Toc15022877"/>
      <w:bookmarkStart w:id="219" w:name="_Toc15049634"/>
      <w:bookmarkStart w:id="220" w:name="_Toc15654576"/>
      <w:bookmarkStart w:id="221" w:name="_Toc16257699"/>
      <w:bookmarkStart w:id="222" w:name="_Toc16861051"/>
      <w:bookmarkStart w:id="223" w:name="_Toc17467209"/>
      <w:bookmarkStart w:id="224" w:name="_Toc18072988"/>
      <w:bookmarkStart w:id="225" w:name="_Toc18680407"/>
      <w:bookmarkStart w:id="226" w:name="_Toc19195110"/>
      <w:bookmarkStart w:id="227" w:name="_Toc19887432"/>
      <w:bookmarkStart w:id="228" w:name="_Toc20494327"/>
      <w:bookmarkStart w:id="229" w:name="_Toc21702281"/>
      <w:bookmarkStart w:id="230" w:name="_Toc22307200"/>
      <w:bookmarkStart w:id="231" w:name="_Toc22911758"/>
      <w:bookmarkStart w:id="232" w:name="_Toc23513673"/>
      <w:bookmarkStart w:id="233" w:name="_Toc24117020"/>
      <w:bookmarkStart w:id="234" w:name="_Toc24722674"/>
      <w:bookmarkStart w:id="235" w:name="_Toc25325022"/>
      <w:bookmarkStart w:id="236" w:name="_Toc25932477"/>
      <w:bookmarkStart w:id="237" w:name="_Toc26536328"/>
      <w:bookmarkStart w:id="238" w:name="_Toc27141686"/>
      <w:bookmarkStart w:id="239" w:name="_Toc27745329"/>
      <w:bookmarkStart w:id="240" w:name="_Toc28351977"/>
      <w:bookmarkStart w:id="241" w:name="_Toc28955195"/>
      <w:bookmarkStart w:id="242" w:name="_Toc29558248"/>
      <w:bookmarkStart w:id="243" w:name="_Toc30169332"/>
      <w:bookmarkStart w:id="244" w:name="_Toc31978540"/>
      <w:bookmarkStart w:id="245" w:name="_Toc32586735"/>
      <w:bookmarkStart w:id="246" w:name="_Toc33192393"/>
      <w:bookmarkStart w:id="247" w:name="_Toc33798264"/>
      <w:bookmarkStart w:id="248" w:name="_Toc34399806"/>
      <w:bookmarkStart w:id="249" w:name="_Toc35004643"/>
      <w:bookmarkStart w:id="250" w:name="_Toc35607049"/>
      <w:bookmarkStart w:id="251" w:name="_Toc36211380"/>
      <w:bookmarkStart w:id="252" w:name="_Toc38634428"/>
      <w:bookmarkStart w:id="253" w:name="_Toc27878"/>
      <w:bookmarkStart w:id="254" w:name="_Toc39155449"/>
      <w:r>
        <w:rPr>
          <w:rFonts w:ascii="黑体" w:eastAsia="黑体" w:hAnsi="宋体" w:hint="eastAsia"/>
          <w:b/>
          <w:color w:val="000000"/>
          <w:sz w:val="28"/>
          <w:szCs w:val="28"/>
        </w:rPr>
        <w:t>1.美国原油库存情况</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4"/>
      <w:r>
        <w:rPr>
          <w:rFonts w:ascii="黑体" w:eastAsia="黑体" w:hAnsi="宋体" w:hint="eastAsia"/>
          <w:b/>
          <w:color w:val="000000"/>
          <w:sz w:val="28"/>
          <w:szCs w:val="28"/>
        </w:rPr>
        <w:t xml:space="preserve"> </w:t>
      </w:r>
    </w:p>
    <w:p w:rsidR="008864C4" w:rsidRPr="006B4A04"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55" w:name="_Toc14938352"/>
      <w:bookmarkStart w:id="256" w:name="_Toc15022878"/>
      <w:bookmarkStart w:id="257" w:name="_Toc15049635"/>
      <w:bookmarkStart w:id="258" w:name="_Toc15654577"/>
      <w:bookmarkStart w:id="259" w:name="_Toc16257700"/>
      <w:bookmarkStart w:id="260" w:name="_Toc16861052"/>
      <w:bookmarkStart w:id="261" w:name="_Toc17467210"/>
      <w:bookmarkStart w:id="262" w:name="_Toc18072989"/>
      <w:bookmarkStart w:id="263" w:name="_Toc18680408"/>
      <w:bookmarkStart w:id="264" w:name="_Toc19195111"/>
      <w:bookmarkStart w:id="265" w:name="_Toc19887433"/>
      <w:bookmarkStart w:id="266" w:name="_Toc20494328"/>
      <w:bookmarkStart w:id="267" w:name="_Toc21702282"/>
      <w:bookmarkStart w:id="268" w:name="_Toc22307201"/>
      <w:bookmarkStart w:id="269" w:name="_Toc22911759"/>
      <w:bookmarkStart w:id="270" w:name="_Toc23513674"/>
      <w:bookmarkStart w:id="271" w:name="_Toc24117021"/>
      <w:bookmarkStart w:id="272" w:name="_Toc24722675"/>
      <w:bookmarkStart w:id="273" w:name="_Toc25325023"/>
      <w:bookmarkStart w:id="274" w:name="_Toc25932478"/>
      <w:bookmarkStart w:id="275" w:name="_Toc26536329"/>
      <w:bookmarkStart w:id="276" w:name="_Toc27141687"/>
      <w:bookmarkStart w:id="277" w:name="_Toc27745330"/>
      <w:bookmarkStart w:id="278" w:name="_Toc28351978"/>
      <w:bookmarkStart w:id="279" w:name="_Toc28955196"/>
      <w:bookmarkStart w:id="280" w:name="_Toc29558249"/>
      <w:bookmarkStart w:id="281" w:name="_Toc30169333"/>
      <w:bookmarkStart w:id="282" w:name="_Toc31978541"/>
      <w:bookmarkStart w:id="283" w:name="_Toc32586736"/>
      <w:bookmarkStart w:id="284" w:name="_Toc33192394"/>
      <w:bookmarkStart w:id="285" w:name="_Toc33798265"/>
      <w:bookmarkStart w:id="286" w:name="_Toc34399807"/>
      <w:bookmarkStart w:id="287" w:name="_Toc35004644"/>
      <w:bookmarkStart w:id="288" w:name="_Toc35607050"/>
      <w:bookmarkStart w:id="289" w:name="_Toc36211381"/>
      <w:bookmarkStart w:id="290" w:name="_Toc38634429"/>
      <w:r w:rsidRPr="00DE3CBA">
        <w:rPr>
          <w:rFonts w:ascii="华文仿宋" w:eastAsia="华文仿宋" w:hAnsi="华文仿宋" w:cs="华文仿宋" w:hint="eastAsia"/>
          <w:color w:val="333335"/>
          <w:kern w:val="2"/>
          <w:sz w:val="28"/>
          <w:szCs w:val="28"/>
          <w:shd w:val="clear" w:color="auto" w:fill="FFFFFF"/>
        </w:rPr>
        <w:t>本周</w:t>
      </w:r>
      <w:r w:rsidRPr="000008FC">
        <w:rPr>
          <w:rFonts w:ascii="华文仿宋" w:eastAsia="华文仿宋" w:hAnsi="华文仿宋" w:cs="华文仿宋"/>
          <w:color w:val="333335"/>
          <w:kern w:val="2"/>
          <w:sz w:val="28"/>
          <w:szCs w:val="28"/>
          <w:shd w:val="clear" w:color="auto" w:fill="FFFFFF"/>
        </w:rPr>
        <w:t>美国能源信息署(EIA)周三(4月22日)报告显示，截至4月17日当周美国除却战略储备的商业原油库存增幅超预期，精炼油库存增幅超预期，汽油库存增幅不及预期。具体数据显示，美国截至4月17日当周EIA原油库存变动实际公布增加1502.20万桶，预期增加1392万桶，前值增加1924.8万桶。此外，美国截至4月17日当周EIA汽油库存实际公布增加101.70万桶，预期增加455.1万桶，前值增加491.4万桶;美国截至4月17日当周EIA精炼油库存实际公布增加787.60</w:t>
      </w:r>
      <w:r w:rsidRPr="000008FC">
        <w:rPr>
          <w:rFonts w:ascii="华文仿宋" w:eastAsia="华文仿宋" w:hAnsi="华文仿宋" w:cs="华文仿宋"/>
          <w:color w:val="333335"/>
          <w:kern w:val="2"/>
          <w:sz w:val="28"/>
          <w:szCs w:val="28"/>
          <w:shd w:val="clear" w:color="auto" w:fill="FFFFFF"/>
        </w:rPr>
        <w:lastRenderedPageBreak/>
        <w:t>万桶，预期增加365.9万桶，前值增加628万桶。美国石油协会(API)公布的数据显示，美国截至4月17日当周API原油库存增加1322.6万桶，预期增加1613.3万桶;汽油库存增加343.5万桶;精炼油库存增加763.9万桶</w:t>
      </w:r>
      <w:r w:rsidRPr="006B4A04">
        <w:rPr>
          <w:rFonts w:ascii="华文仿宋" w:eastAsia="华文仿宋" w:hAnsi="华文仿宋" w:cs="华文仿宋"/>
          <w:color w:val="333335"/>
          <w:kern w:val="2"/>
          <w:sz w:val="28"/>
          <w:szCs w:val="28"/>
          <w:shd w:val="clear" w:color="auto" w:fill="FFFFFF"/>
        </w:rPr>
        <w:t>。</w:t>
      </w:r>
    </w:p>
    <w:p w:rsidR="00F6162F" w:rsidRDefault="00F6162F" w:rsidP="00E547CE">
      <w:pPr>
        <w:pStyle w:val="aa"/>
        <w:spacing w:line="360" w:lineRule="auto"/>
        <w:ind w:firstLineChars="200" w:firstLine="562"/>
        <w:outlineLvl w:val="1"/>
        <w:rPr>
          <w:rFonts w:ascii="黑体" w:eastAsia="黑体"/>
          <w:b/>
          <w:sz w:val="28"/>
          <w:szCs w:val="28"/>
        </w:rPr>
      </w:pPr>
      <w:bookmarkStart w:id="291" w:name="_Toc39155450"/>
      <w:r>
        <w:rPr>
          <w:rFonts w:ascii="黑体" w:eastAsia="黑体" w:hint="eastAsia"/>
          <w:b/>
          <w:sz w:val="28"/>
          <w:szCs w:val="28"/>
        </w:rPr>
        <w:t>2.美国经济形势</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92" w:name="_Toc14938353"/>
      <w:bookmarkStart w:id="293" w:name="_Toc15022879"/>
      <w:bookmarkStart w:id="294" w:name="_Toc15049636"/>
      <w:bookmarkStart w:id="295" w:name="_Toc15654578"/>
      <w:bookmarkStart w:id="296" w:name="_Toc16257701"/>
      <w:bookmarkStart w:id="297" w:name="_Toc16861053"/>
      <w:bookmarkStart w:id="298" w:name="_Toc17467211"/>
      <w:bookmarkStart w:id="299" w:name="_Toc18072990"/>
      <w:bookmarkStart w:id="300" w:name="_Toc18680409"/>
      <w:bookmarkStart w:id="301" w:name="_Toc19195112"/>
      <w:bookmarkStart w:id="302" w:name="_Toc19887434"/>
      <w:bookmarkStart w:id="303" w:name="_Toc20494329"/>
      <w:bookmarkStart w:id="304" w:name="_Toc21702283"/>
      <w:bookmarkStart w:id="305" w:name="_Toc22307202"/>
      <w:bookmarkStart w:id="306" w:name="_Toc22911760"/>
      <w:bookmarkStart w:id="307" w:name="_Toc23513675"/>
      <w:bookmarkStart w:id="308" w:name="_Toc24117022"/>
      <w:bookmarkStart w:id="309" w:name="_Toc24722676"/>
      <w:bookmarkStart w:id="310" w:name="_Toc25325024"/>
      <w:bookmarkStart w:id="311" w:name="_Toc25932479"/>
      <w:bookmarkStart w:id="312" w:name="_Toc26536330"/>
      <w:bookmarkStart w:id="313" w:name="_Toc27141688"/>
      <w:bookmarkStart w:id="314" w:name="_Toc27745331"/>
      <w:bookmarkStart w:id="315" w:name="_Toc28351979"/>
      <w:bookmarkStart w:id="316" w:name="_Toc28955197"/>
      <w:bookmarkStart w:id="317" w:name="_Toc29558250"/>
      <w:bookmarkStart w:id="318" w:name="_Toc30169334"/>
      <w:bookmarkStart w:id="319" w:name="_Toc31978542"/>
      <w:bookmarkStart w:id="320" w:name="_Toc32586737"/>
      <w:bookmarkStart w:id="321" w:name="_Toc33192395"/>
      <w:bookmarkStart w:id="322" w:name="_Toc33798266"/>
      <w:bookmarkStart w:id="323" w:name="_Toc34399808"/>
      <w:bookmarkStart w:id="324" w:name="_Toc35004645"/>
      <w:bookmarkStart w:id="325" w:name="_Toc35607051"/>
      <w:bookmarkStart w:id="326" w:name="_Toc36211382"/>
      <w:bookmarkStart w:id="327" w:name="_Toc38634430"/>
      <w:r w:rsidRPr="00DE3CBA">
        <w:rPr>
          <w:rFonts w:ascii="华文仿宋" w:eastAsia="华文仿宋" w:hAnsi="华文仿宋" w:cs="华文仿宋" w:hint="eastAsia"/>
          <w:color w:val="333335"/>
          <w:kern w:val="2"/>
          <w:sz w:val="28"/>
          <w:szCs w:val="28"/>
          <w:shd w:val="clear" w:color="auto" w:fill="FFFFFF"/>
        </w:rPr>
        <w:t>本周</w:t>
      </w:r>
      <w:r w:rsidRPr="002D13F2">
        <w:rPr>
          <w:rFonts w:ascii="华文仿宋" w:eastAsia="华文仿宋" w:hAnsi="华文仿宋" w:cs="华文仿宋"/>
          <w:color w:val="333335"/>
          <w:kern w:val="2"/>
          <w:sz w:val="28"/>
          <w:szCs w:val="28"/>
          <w:shd w:val="clear" w:color="auto" w:fill="FFFFFF"/>
        </w:rPr>
        <w:t>北京时间30日凌晨，美股周三收高，纳指大涨逾300点，涨幅近3.6%。瑞德西韦临床试验达到主要评估目标。美联储维持利率范围不变，呼吁加码财政支持。美一季度GDP萎缩4.8%。特朗普密集会晤各界人士以推动重启经济进程。</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道指收盘上涨532.31点，或2.21%，报24633.86点;纳指涨306.98点，或3.57%，报8914.71点;标普500指数涨76.12点，或2.66%，报2939.51点。</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能源、航空及科技股集体上涨。美国运通公司收高8.99%、维萨卡公司涨6.15%、波音公司涨5.86%、迪士尼涨5.69%、英特尔涨5.19%。</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衡量市场恐慌程度的CBOE波动率指数(VIX)下跌近7%，报31.27点，显示市场恐慌程度降低。</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受油价攀升推动，美股石油股普涨。埃克森美孚收高5.54%，雪佛龙上涨5.24%。</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经济数据面</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lastRenderedPageBreak/>
        <w:t>美国商务部周三报告称，今年第一季度美国实际国内生产总值(GDP)下降4.8%，远低于前值的2.1%，这也是2009年以来最大的季度跌幅。同一时间公布的美国第一季度实际个人消费支出季率初值录得-7.6%。</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根据美国全国商业经济协会4月27日发布的调查报告显示，受新冠肺炎疫情蔓延导致美国经济大面积“停摆”影响，消费者开始脱离经济活动，一季度个人消费支出出现负值。同时，商业投资支出疲软，部分企业更为谨慎，在正式实施封锁措施之前就已经开始削减支出，因此多数经济学家预计美国经济将陷入萎缩。</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更有分析人士指出，第一季度的GDP数据可能只是对第二季度实际情况的预演，那时所有停摆实际上都开始生效了。市场普遍预期新冠肺炎疫情将较大程度冲击第二季度美国经济。</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前美国政府财政顾问拉特纳表示，美国第一季度GDP年化季率录得6年来首次下跌，但这可能只是冰山一角，第二季度GDP可能萎缩40%左右。</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机构评美国第一季度GDP数据：美国经济第一季度出现大衰退以来最严重的收缩，因为采取严格措施减缓新冠疫情蔓延几乎使美国陷入停顿，并结束了美国历史上最长的经济扩张。GDP数据的下降反映了3月最后两周经济活动的大幅下滑，逾千万美国人在这两周内寻求失业救济。该数据将强化分析师的预测，即美国经济已经陷入深度衰退。</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古根海姆全球首席投资官认为，美国经济出现V型复苏只是痴人说梦，除了GDP数据之外，美国接下来还会公布一系列糟糕的经济数据。他表示：“认为</w:t>
      </w:r>
      <w:r w:rsidRPr="002D13F2">
        <w:rPr>
          <w:rFonts w:ascii="华文仿宋" w:eastAsia="华文仿宋" w:hAnsi="华文仿宋" w:cs="华文仿宋"/>
          <w:color w:val="333335"/>
          <w:kern w:val="2"/>
          <w:sz w:val="28"/>
          <w:szCs w:val="28"/>
          <w:shd w:val="clear" w:color="auto" w:fill="FFFFFF"/>
        </w:rPr>
        <w:lastRenderedPageBreak/>
        <w:t>美国经济将在第三季度重新加速、GDP数据会以V形反弹到疫情前的水平，是十分不现实的。美国经济可能需要四年时间才会恢复到疫情前水平，失业率可能会上升到30%，且到今年年底仍可能达到两位数。”</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白宫经济顾问委员会主席哈西特也表示，投资者应该为即将到来的大量负面数据做好准备，预计美国第二季度GDP数据将出现更大幅度的滑坡。</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另一份数据表明，美国3月份二手房销售签约量环比下降20.8%，为2010年以来最大降幅。预估为-13.6%，前值修正为2.3%。</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瑞德西韦新冠临床试验已达到主要评估指标</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吉利德科学(GILD)公司宣布瑞德西韦用于治疗冠状病毒的临床试验已达到主要评估指标。瑞德西韦的首个新冠临床试验研究结果显示：64%的患者在14天内出现临床改善，61%的患者出院。</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吉利德科学报告称，接受5天治疗与接受10天治疗的患者取得了相似的治疗结果，两组患者的中位临床改善时间分别为10天与11天，除意大利外，两个治疗组中第14天的总死亡率为7%，64%的患者在14天内出现临床改善，61%的患者出院，该试验纳入的均为重症患者。</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美国国家过敏症和传染病研究所所长福奇表示，吉利德科学的瑞德西韦临床试验在多个国家进行，不只是美国。该公司的数据表明，“有一种药是能够抑制(新冠)病毒的”，(瑞德西韦)在缩短病患的恢复时间上有显著的积极作用。</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lastRenderedPageBreak/>
        <w:t>福奇还称，吉利德科学的数据需要进一步分析，其数据“提醒我，当艾滋病取得进展时，有可能为新冠病毒治疗打开了大门。”</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美联储将基准利率维持在0%-0.25%不变强调新冠病毒带来冲击</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美联储周三下午宣布最新货币政策决定：基准利率维持在0%-0.25%不变。</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联邦公开市场委员会(FOMC)声明称：委员们一致同意此次的利率决定。公共卫生危机令经济活动承受重压。将超额准备金利率维持在0.1%不变。新冠病毒在中期内构成重大风险，新冠病毒疫情的爆发导致了经济活动的急剧下降和失业率的激增。</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FOMC称，将继续按照所需数量购买国债和抵押贷款支持证券;将维持利率在低位，直至美联储有信心通胀能回归正轨。</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FOMC承诺使用所有工具以支撑美国经济，承诺继续进行大规模隔夜和定期回购操作;将继续监测经济前景和公共卫生方面的最新信息，以及制定未来政策方面的全球发展状况。</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DailyFX首席策略师Kicklighter评论称：“毫无疑问，美联储声明通篇都在着重强调新冠病毒带来的冲击。”</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美联储FOMC声明后，据CME“美联储观察”：美联储维持利率在0%-0.25%区间的概率直至明年3月均为100%。</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lastRenderedPageBreak/>
        <w:t>在随后举行的新闻发布会上，美联储主席鲍威尔表示：“新冠病毒爆发首先是健康危机。下一份就业报告可能会显示两位数的失业率。4月份制造业可能下滑更快。第二季度经济活动将以前所未有的速度下滑。我们致力于使用所有工具。随着市场好转，我们已经放慢了购债速度。”</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鲍威尔称：“经济下行的严重程度将取决于政府应对公共卫生危机的措施和政策行动。保持信贷流动至关重要。我们的计划可以帮助私人银行提供信贷。我们将继续有力的使用我们的权力。我们有贷款的能力，不是指支出能力。许多人可能需要直接的财政支持。财政援助可以帮助那些需要帮助的人，减少经济损失。”</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他表示：“最近几周美联储的资产购买显著帮助了市场。将使用所有权力，直至有信心经济在复苏的道路上。有可能需要做得更多(采取更多措施)。”</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鲍威尔还呼吁提高财政支持力度。他称：仅靠低利率不会刺激经济活动。信贷政策没有金额限制。美联储、国会可能需要加大支持。经济可能需要“来自全美”的更多支持。他敦促保护企业免受“可避免的破产”。</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华盛顿邮报经济专栏记者NeilIrwin指出，美联储主席鲍威尔今日传递的总体信息是明确无误的，即直接针对国会。仅靠美联储的贷款并不能使我们摆脱困境，若要使经济摆脱危机，就需要采取迄今为止尚未采取的财政行动。</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特朗普密集会晤各界人士以推动重启美国经济</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lastRenderedPageBreak/>
        <w:t>为提振经济，美国总统特朗普近期密集与各行业代表以及各州州长会面：周三上午10点，特朗普与食品和农业行业高管进行会面;上午11点与路易斯安那州州长进行会面，协调经济重启计划;下午4点，特朗普与行业高管就重启经济举行会谈。</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除了重启经济之外，有市场消息称特朗普仍在考虑税收的方案，尤其是削减工资税。美国国家经济顾问库德洛昨日表示，特朗普已要求经纪顾问团队研究为中产提供税务减免的具体措施。</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然而，特朗普的计划可能会遭到美国国会的反对。市场消息称，美国参议院多数党(共和党)领袖麦康奈尔告知共和党参议员，他将不会支持第四份经济刺激法案中的基础设施建设支出。美国众议院议长佩洛西则表示，国会可以考虑为各州和地方政府提供单独的援助方案。</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美国国务卿蓬佩奥称，正努力尽快解除因疫情采取的旅行禁令。</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在欧洲，法国宣布重启经济计划，5月11日开始允许商店恢复营业。西班牙计划未来八周内解除防疫封锁。</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其他市场</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原油期货价格周三收高。美国WTI期货上涨22%，原因是政府数据显示美国上周原油库存政府略低于预期，并且汽油库存和石油产量均有所下降。</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lastRenderedPageBreak/>
        <w:t>由于一些国家陆续放开抗疫管制措施、重启经济，并且吉利德科学公司的瑞德西韦药物在治疗冠状病毒的临床试验中取得明显进展，也使得原油价格获得支撑。</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RystadEnergy公司石油市场负责人BjornarTonhaugen表示：“世界各国都迫切希望重启经济，甚至遭受重创的意大利和美国也都表示有意尽快恢复经济运转。”</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他说：“这些进展确实可以带回一些石油需求。但由于旅行限制仍然存在，因此对于受灾最严重的交通工具燃料而言，其需求恢复程度并不太多。其次，许多国家的重启经济目前还只是一种愿望，尚未付诸行动。”</w:t>
      </w:r>
    </w:p>
    <w:p w:rsidR="008864C4" w:rsidRPr="002D13F2"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纽约商业交易所6月份交割的西德克萨斯中质原油(WTI)期货价格上涨2.72美元，涨幅为22%，报收于每桶15.06美元。道琼斯市场数据显示，本月该期货价格可能下跌超过26%，原因是冠状病毒大流行减少了对原油和产品的需求。</w:t>
      </w:r>
    </w:p>
    <w:p w:rsidR="008864C4" w:rsidRPr="003E289F"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2D13F2">
        <w:rPr>
          <w:rFonts w:ascii="华文仿宋" w:eastAsia="华文仿宋" w:hAnsi="华文仿宋" w:cs="华文仿宋"/>
          <w:color w:val="333335"/>
          <w:kern w:val="2"/>
          <w:sz w:val="28"/>
          <w:szCs w:val="28"/>
          <w:shd w:val="clear" w:color="auto" w:fill="FFFFFF"/>
        </w:rPr>
        <w:t>伦敦洲际交易所6月交割的布伦特原油期货价格上涨2.08美元，涨幅10.2%，收于每桶22.54美元</w:t>
      </w:r>
      <w:r w:rsidRPr="003E289F">
        <w:rPr>
          <w:rFonts w:ascii="华文仿宋" w:eastAsia="华文仿宋" w:hAnsi="华文仿宋" w:cs="华文仿宋"/>
          <w:color w:val="333335"/>
          <w:kern w:val="2"/>
          <w:sz w:val="28"/>
          <w:szCs w:val="28"/>
          <w:shd w:val="clear" w:color="auto" w:fill="FFFFFF"/>
        </w:rPr>
        <w:t>。</w:t>
      </w:r>
    </w:p>
    <w:p w:rsidR="00F6162F" w:rsidRDefault="00F6162F" w:rsidP="00564596">
      <w:pPr>
        <w:pStyle w:val="aa"/>
        <w:ind w:firstLineChars="200" w:firstLine="643"/>
        <w:outlineLvl w:val="1"/>
        <w:rPr>
          <w:rFonts w:cs="Arial"/>
          <w:b/>
          <w:bCs/>
          <w:sz w:val="32"/>
          <w:szCs w:val="32"/>
        </w:rPr>
      </w:pPr>
      <w:bookmarkStart w:id="328" w:name="_Toc39155451"/>
      <w:r>
        <w:rPr>
          <w:rFonts w:cs="Arial" w:hint="eastAsia"/>
          <w:b/>
          <w:bCs/>
          <w:sz w:val="32"/>
          <w:szCs w:val="32"/>
        </w:rPr>
        <w:t>3.世界经济形势</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t>近期，冲突不断、经济动荡的中东及北非地区同时遭受新冠肺炎疫情肆虐和国际油价暴跌两大冲击，原本就十分脆弱的中东经济更是雪上加霜。</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lastRenderedPageBreak/>
        <w:t>目前，中东地区新冠肺炎确诊病例已突破20万例，疫情还在持续蔓延。就在疫情严重影响民众健康的同时，供需失衡引发的国际原油价格暴跌加剧了中东地区的经济震荡。</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t>国际货币基金组织(IMF)最新一期《世界经济展望报告》预测，今年中东及北非地区经济将萎缩3.3%，衰退程度高于全球平均水平。除埃及外，该地区其他国家今年经济预期均为负增长，其中两个最大经济体沙特阿拉伯和阿拉伯联合酋长国经济将分别萎缩2.3%和3.5%。</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t>石油输出国组织(欧佩克)与俄罗斯等非欧佩克产油国达成的历史性减产协议未能挽救油价颓势。在全球石油需求萎靡、库存高企、储油能力不足及市场投机行为等多重因素作用下，纽约原油期货价格近日出现暴跌，历史上首次跌至负值。27日，国际原油期货价格再度大跌，纽约油价一度下跌近30%。</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t>根据国际金融协会的数据，假设国际油价降至每桶44美元，九个中东和北非地区石油出口国的累计经常账户余额将从2019年的盈余640亿美元转变为2020年的赤字1040亿美元。如果油价保持在30美元上下，沙特的财政赤字占国内生产总值(GDP)的比例将从2019年的4.6%扩大到2020年的18.6%，政府债务也将大幅攀升。</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t>面对近期徘徊在10美元上下的国际油价，世界头号石油出口国沙特以及阿联酋、卡塔尔等地区主要石油出口国不得不应对棘手的财政收入锐减、预算赤字扩大、债务持续增加等问题。IMF公布的数据显示，由于油价暴跌，预计中东地区的石油出口额将减少2500亿美元以上，不少国家财政余额将因此转为负数。</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lastRenderedPageBreak/>
        <w:t>埃及金字塔政治与战略研究中心能源研究部门负责人艾哈迈德·甘迪勒表示，油价危机不仅影响海湾国家，还导致来自埃及等周边国家数以百万计的外籍劳工失业返回，加重周边国家就业难题。</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t>对于高度依赖能源的海湾经济体而言，不仅要承担油价暴跌带来的财政重创，还要承受疫情对经济多样化转型的拖累。华盛顿阿拉伯海湾国家研究所驻地学者罗伯特·莫吉尼克认为，摆脱石油依赖、实现经济多样化仍然是一个持续且代价不菲的过程，海湾国家为此付出诸多努力，其一就是让非石油产业高度优先，但这依赖于国际游客和实物商品的跨国流动。</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t>在疫情冲击下，许多被认为是海湾经济多样化的支柱产业，包括旅游业、酒店业、航空业和物流业都遭到冲击。旅游业在阿联酋经济中占比达12%，但迪拜2月酒店入住率下降近10%，每间可用客房收入下降约23%。阿布扎比关闭了主要旅游景点，如卢浮宫阿布扎比博物馆和法拉利主题公园。另据预测，疫情或将导致海湾国家航空公司收入损失70亿美元。</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t>中东地区不少国家贫困人口多、失业率高、公共卫生条件差、医疗资源捉襟见肘，加上饱经战乱，防疫难度可想而知。许多国家经济结构脆弱，既没有充足的防疫经费，也无力解决防疫导致的经济停摆冲击。对于危机何时能止，IMF的报告表示，目前全球疫情冲击的持续时间和强度存在显著不确定性。</w:t>
      </w:r>
    </w:p>
    <w:p w:rsidR="008864C4" w:rsidRPr="002D13F2"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t>中东国家的当务之急是通过必要的卫生支出挽救感染人群生命以及保障居民健康，向低收入群体提供有针对性的支持，如果政策空间有限，应寻求外部援助。迄今为止，IMF已收到来自中东和中亚地区的12份融资请求。</w:t>
      </w:r>
    </w:p>
    <w:p w:rsidR="00EC5C0E" w:rsidRPr="00690B73" w:rsidRDefault="008864C4" w:rsidP="008864C4">
      <w:pPr>
        <w:pStyle w:val="aa"/>
        <w:spacing w:line="360" w:lineRule="auto"/>
        <w:ind w:firstLineChars="200" w:firstLine="560"/>
        <w:rPr>
          <w:rFonts w:ascii="华文仿宋" w:eastAsia="华文仿宋" w:hAnsi="华文仿宋" w:cs="华文仿宋"/>
          <w:sz w:val="28"/>
          <w:szCs w:val="28"/>
        </w:rPr>
      </w:pPr>
      <w:r w:rsidRPr="002D13F2">
        <w:rPr>
          <w:rFonts w:ascii="华文仿宋" w:eastAsia="华文仿宋" w:hAnsi="华文仿宋" w:cs="华文仿宋"/>
          <w:sz w:val="28"/>
          <w:szCs w:val="28"/>
        </w:rPr>
        <w:lastRenderedPageBreak/>
        <w:t>当前中东国家政府高度重视疫情防控，多数国家采取“封城”、宵禁等积极措施应对，然而“封城”导致经济活动停滞，失业率骤增。在“高年轻人口占比、高失业率、高通胀率”的“三高”挤压之下，政府在挽救生命与维持经济之间进退维谷，单靠自救难以抵御外部冲击。无论是医疗抗疫，还是金融援助，急需国际社会雪中送炭。</w:t>
      </w:r>
    </w:p>
    <w:p w:rsidR="007D2157" w:rsidRPr="00EC5C0E"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329" w:name="_Toc15022880"/>
      <w:bookmarkStart w:id="330" w:name="_Toc15049637"/>
      <w:bookmarkStart w:id="331" w:name="_Toc15654579"/>
      <w:bookmarkStart w:id="332" w:name="_Toc16257702"/>
      <w:bookmarkStart w:id="333" w:name="_Toc16861054"/>
      <w:bookmarkStart w:id="334" w:name="_Toc17467212"/>
      <w:bookmarkStart w:id="335" w:name="_Toc18072991"/>
      <w:bookmarkStart w:id="336" w:name="_Toc18680410"/>
      <w:bookmarkStart w:id="337" w:name="_Toc19195113"/>
      <w:bookmarkStart w:id="338" w:name="_Toc19887435"/>
      <w:bookmarkStart w:id="339" w:name="_Toc20494330"/>
      <w:bookmarkStart w:id="340" w:name="_Toc21702284"/>
      <w:bookmarkStart w:id="341" w:name="_Toc22307203"/>
      <w:bookmarkStart w:id="342" w:name="_Toc22911761"/>
      <w:bookmarkStart w:id="343" w:name="_Toc23513676"/>
      <w:bookmarkStart w:id="344" w:name="_Toc24117023"/>
      <w:bookmarkStart w:id="345" w:name="_Toc24722677"/>
      <w:bookmarkStart w:id="346" w:name="_Toc25325025"/>
      <w:bookmarkStart w:id="347" w:name="_Toc25932480"/>
      <w:bookmarkStart w:id="348" w:name="_Toc26536331"/>
      <w:bookmarkStart w:id="349" w:name="_Toc27141689"/>
      <w:bookmarkStart w:id="350" w:name="_Toc27745332"/>
      <w:bookmarkStart w:id="351" w:name="_Toc28351980"/>
      <w:bookmarkStart w:id="352" w:name="_Toc28955198"/>
      <w:bookmarkStart w:id="353" w:name="_Toc29558251"/>
      <w:bookmarkStart w:id="354" w:name="_Toc30169335"/>
      <w:bookmarkStart w:id="355" w:name="_Toc31978543"/>
      <w:bookmarkStart w:id="356" w:name="_Toc32586738"/>
      <w:bookmarkStart w:id="357" w:name="_Toc33192396"/>
      <w:bookmarkStart w:id="358" w:name="_Toc33798267"/>
      <w:bookmarkStart w:id="359" w:name="_Toc34399809"/>
      <w:bookmarkStart w:id="360" w:name="_Toc35004646"/>
      <w:bookmarkStart w:id="361" w:name="_Toc35607052"/>
      <w:bookmarkStart w:id="362" w:name="_Toc36211383"/>
      <w:bookmarkStart w:id="363" w:name="_Toc38634431"/>
      <w:bookmarkStart w:id="364" w:name="_Toc39155452"/>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w:t>
      </w:r>
      <w:r w:rsidR="00EC5C0E">
        <w:rPr>
          <w:rFonts w:ascii="宋体" w:hAnsi="宋体" w:cs="Arial" w:hint="eastAsia"/>
          <w:b/>
          <w:bCs/>
          <w:kern w:val="0"/>
          <w:sz w:val="32"/>
          <w:szCs w:val="32"/>
        </w:rPr>
        <w:t>20</w:t>
      </w:r>
      <w:r w:rsidR="002918B5">
        <w:rPr>
          <w:rFonts w:ascii="宋体" w:hAnsi="宋体" w:cs="Arial" w:hint="eastAsia"/>
          <w:b/>
          <w:bCs/>
          <w:kern w:val="0"/>
          <w:sz w:val="32"/>
          <w:szCs w:val="32"/>
        </w:rPr>
        <w:t>年</w:t>
      </w:r>
      <w:r w:rsidR="00E547CE">
        <w:rPr>
          <w:rFonts w:ascii="宋体" w:hAnsi="宋体" w:cs="Arial" w:hint="eastAsia"/>
          <w:b/>
          <w:bCs/>
          <w:kern w:val="0"/>
          <w:sz w:val="32"/>
          <w:szCs w:val="32"/>
        </w:rPr>
        <w:t>2</w:t>
      </w:r>
      <w:r w:rsidR="002918B5">
        <w:rPr>
          <w:rFonts w:ascii="宋体" w:hAnsi="宋体" w:cs="Arial" w:hint="eastAsia"/>
          <w:b/>
          <w:bCs/>
          <w:kern w:val="0"/>
          <w:sz w:val="32"/>
          <w:szCs w:val="32"/>
        </w:rPr>
        <w:t>月份全国原油进出口统计数据（产销国）</w:t>
      </w:r>
      <w:bookmarkEnd w:id="253"/>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2918B5" w:rsidRDefault="002918B5" w:rsidP="002918B5">
      <w:pPr>
        <w:jc w:val="right"/>
        <w:rPr>
          <w:rFonts w:ascii="宋体" w:hAnsi="宋体"/>
        </w:rPr>
      </w:pPr>
    </w:p>
    <w:p w:rsidR="002918B5" w:rsidRDefault="002918B5" w:rsidP="002918B5">
      <w:pPr>
        <w:jc w:val="right"/>
        <w:rPr>
          <w:rFonts w:ascii="宋体" w:hAnsi="宋体"/>
        </w:rPr>
      </w:pPr>
    </w:p>
    <w:tbl>
      <w:tblPr>
        <w:tblW w:w="5000" w:type="pct"/>
        <w:tblLook w:val="04A0"/>
      </w:tblPr>
      <w:tblGrid>
        <w:gridCol w:w="1043"/>
        <w:gridCol w:w="1043"/>
        <w:gridCol w:w="1043"/>
        <w:gridCol w:w="1045"/>
        <w:gridCol w:w="1666"/>
        <w:gridCol w:w="1741"/>
        <w:gridCol w:w="1066"/>
        <w:gridCol w:w="1315"/>
      </w:tblGrid>
      <w:tr w:rsidR="00EC5C0E" w:rsidRPr="00F30C5C" w:rsidTr="009722FD">
        <w:trPr>
          <w:trHeight w:val="825"/>
        </w:trPr>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产品</w:t>
            </w:r>
          </w:p>
        </w:tc>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年度</w:t>
            </w:r>
          </w:p>
        </w:tc>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月份</w:t>
            </w:r>
          </w:p>
        </w:tc>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产销国</w:t>
            </w:r>
          </w:p>
        </w:tc>
        <w:tc>
          <w:tcPr>
            <w:tcW w:w="837"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进口数量/吨</w:t>
            </w:r>
          </w:p>
        </w:tc>
        <w:tc>
          <w:tcPr>
            <w:tcW w:w="87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进口金额/美元</w:t>
            </w:r>
          </w:p>
        </w:tc>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出口数量/吨</w:t>
            </w:r>
          </w:p>
        </w:tc>
        <w:tc>
          <w:tcPr>
            <w:tcW w:w="661"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出口金额/美元</w:t>
            </w:r>
          </w:p>
        </w:tc>
      </w:tr>
      <w:tr w:rsidR="00EC5C0E" w:rsidRPr="00F30C5C" w:rsidTr="009722FD">
        <w:trPr>
          <w:trHeight w:val="450"/>
        </w:trPr>
        <w:tc>
          <w:tcPr>
            <w:tcW w:w="525" w:type="pct"/>
            <w:vMerge w:val="restart"/>
            <w:tcBorders>
              <w:top w:val="nil"/>
              <w:left w:val="single" w:sz="8" w:space="0" w:color="333333"/>
              <w:bottom w:val="single" w:sz="8" w:space="0" w:color="333333"/>
              <w:right w:val="single" w:sz="8" w:space="0" w:color="333333"/>
            </w:tcBorders>
            <w:shd w:val="clear" w:color="auto" w:fill="auto"/>
            <w:vAlign w:val="bottom"/>
            <w:hideMark/>
          </w:tcPr>
          <w:p w:rsidR="00EC5C0E" w:rsidRPr="00F30C5C" w:rsidRDefault="00EC5C0E" w:rsidP="009722FD">
            <w:pPr>
              <w:widowControl/>
              <w:jc w:val="center"/>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石油原油(包括从沥青矿物提取的原油)</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印度尼西亚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50988.68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21344227.5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伊朗</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333327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171418888</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伊拉克</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5312911.8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2569651603</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科威特</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2269290.52</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1144376708</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马来西亚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1790241.94</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721909405.5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30723.4</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11100379</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蒙古</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24119.91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9224962.5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阿曼</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2989182.25</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1518049540</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卡塔尔</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98393.3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49756002</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沙特阿拉伯</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7369825.47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3727178034</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泰国</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111459.98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50440726</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阿联酋</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1629423.73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812790333.5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也门</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255725.72</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131323493</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越南</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61265.37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33168437</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哈萨克斯坦</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360199.23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189734133.5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w:t>
            </w:r>
            <w:r w:rsidRPr="00F30C5C">
              <w:rPr>
                <w:rFonts w:ascii="华文仿宋" w:eastAsia="华文仿宋" w:hAnsi="华文仿宋" w:cs="宋体" w:hint="eastAsia"/>
                <w:color w:val="333333"/>
                <w:kern w:val="0"/>
                <w:sz w:val="28"/>
                <w:szCs w:val="28"/>
              </w:rPr>
              <w:lastRenderedPageBreak/>
              <w:t>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lastRenderedPageBreak/>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阿尔</w:t>
            </w:r>
            <w:r w:rsidRPr="00F30C5C">
              <w:rPr>
                <w:rFonts w:ascii="华文仿宋" w:eastAsia="华文仿宋" w:hAnsi="华文仿宋" w:cs="宋体" w:hint="eastAsia"/>
                <w:color w:val="333333"/>
                <w:kern w:val="0"/>
                <w:sz w:val="28"/>
                <w:szCs w:val="28"/>
              </w:rPr>
              <w:lastRenderedPageBreak/>
              <w:t>及利亚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lastRenderedPageBreak/>
              <w:t>67393.85</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34087089</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安哥拉</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3157218.25</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1550480137</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乍得</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28064.61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14407536</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刚果(布)</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754960.8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368471873</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埃及</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108059.18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57204614</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赤道几内亚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245503.62</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123981814.5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加蓬</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523554.13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262477122</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加纳</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378802.3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189118242</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科特迪瓦</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65599</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33498593</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利比亚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564174.51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311119981</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尼日利亚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128606</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66218461</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南苏丹共和国</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196686.57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103314456.5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英国</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570766.9</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312610581</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挪威</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1075213.97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488796214.5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俄罗斯联邦</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7027375.57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3463681940</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 xml:space="preserve">　</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阿根廷</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72117.31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36877354.5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 xml:space="preserve">　</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巴西</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3826157.55</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1820770469</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哥伦比亚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1001741.81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429963541</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30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厄瓜多尔</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205712.9</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94386676.5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30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w:t>
            </w:r>
            <w:r w:rsidRPr="00F30C5C">
              <w:rPr>
                <w:rFonts w:ascii="华文仿宋" w:eastAsia="华文仿宋" w:hAnsi="华文仿宋" w:cs="宋体" w:hint="eastAsia"/>
                <w:color w:val="333333"/>
                <w:kern w:val="0"/>
                <w:sz w:val="28"/>
                <w:szCs w:val="28"/>
              </w:rPr>
              <w:lastRenderedPageBreak/>
              <w:t>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lastRenderedPageBreak/>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墨西</w:t>
            </w:r>
            <w:r w:rsidRPr="00F30C5C">
              <w:rPr>
                <w:rFonts w:ascii="华文仿宋" w:eastAsia="华文仿宋" w:hAnsi="华文仿宋" w:cs="宋体" w:hint="eastAsia"/>
                <w:color w:val="333333"/>
                <w:kern w:val="0"/>
                <w:sz w:val="28"/>
                <w:szCs w:val="28"/>
              </w:rPr>
              <w:lastRenderedPageBreak/>
              <w:t>哥</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lastRenderedPageBreak/>
              <w:t>32797.53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14977167</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525"/>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加拿大</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210422.59</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90484750</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825"/>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澳大利亚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146729.94</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74926037.5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80"/>
        </w:trPr>
        <w:tc>
          <w:tcPr>
            <w:tcW w:w="2101" w:type="pct"/>
            <w:gridSpan w:val="4"/>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center"/>
              <w:rPr>
                <w:rFonts w:ascii="华文仿宋" w:eastAsia="华文仿宋" w:hAnsi="华文仿宋" w:cs="宋体"/>
                <w:b/>
                <w:bCs/>
                <w:color w:val="333333"/>
                <w:kern w:val="0"/>
                <w:sz w:val="28"/>
                <w:szCs w:val="28"/>
              </w:rPr>
            </w:pPr>
            <w:r w:rsidRPr="00F30C5C">
              <w:rPr>
                <w:rFonts w:ascii="华文仿宋" w:eastAsia="华文仿宋" w:hAnsi="华文仿宋" w:cs="宋体" w:hint="eastAsia"/>
                <w:b/>
                <w:bCs/>
                <w:color w:val="333333"/>
                <w:kern w:val="0"/>
                <w:sz w:val="28"/>
                <w:szCs w:val="28"/>
              </w:rPr>
              <w:t>2020年2月合计</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43044013.78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21092221142</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30723.4</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11100379</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365" w:name="_Toc19701"/>
      <w:bookmarkStart w:id="366" w:name="_Toc15022881"/>
      <w:bookmarkStart w:id="367" w:name="_Toc15049638"/>
      <w:bookmarkStart w:id="368" w:name="_Toc15654580"/>
      <w:bookmarkStart w:id="369" w:name="_Toc16257703"/>
      <w:bookmarkStart w:id="370" w:name="_Toc16861055"/>
      <w:bookmarkStart w:id="371" w:name="_Toc17467213"/>
      <w:bookmarkStart w:id="372" w:name="_Toc18072992"/>
      <w:bookmarkStart w:id="373" w:name="_Toc18680411"/>
      <w:bookmarkStart w:id="374" w:name="_Toc19195114"/>
      <w:bookmarkStart w:id="375" w:name="_Toc19887436"/>
      <w:bookmarkStart w:id="376" w:name="_Toc20494331"/>
      <w:bookmarkStart w:id="377" w:name="_Toc21702285"/>
      <w:bookmarkStart w:id="378" w:name="_Toc22307204"/>
      <w:bookmarkStart w:id="379" w:name="_Toc22911762"/>
      <w:bookmarkStart w:id="380" w:name="_Toc23513677"/>
      <w:bookmarkStart w:id="381" w:name="_Toc24117024"/>
      <w:bookmarkStart w:id="382" w:name="_Toc24722678"/>
      <w:bookmarkStart w:id="383" w:name="_Toc25325026"/>
      <w:bookmarkStart w:id="384" w:name="_Toc25932481"/>
      <w:bookmarkStart w:id="385" w:name="_Toc26536332"/>
      <w:bookmarkStart w:id="386" w:name="_Toc27141690"/>
      <w:bookmarkStart w:id="387" w:name="_Toc27745333"/>
      <w:bookmarkStart w:id="388" w:name="_Toc28351981"/>
      <w:bookmarkStart w:id="389" w:name="_Toc28955199"/>
      <w:bookmarkStart w:id="390" w:name="_Toc29558252"/>
      <w:bookmarkStart w:id="391" w:name="_Toc30169336"/>
      <w:bookmarkStart w:id="392" w:name="_Toc31978544"/>
      <w:bookmarkStart w:id="393" w:name="_Toc32586739"/>
      <w:bookmarkStart w:id="394" w:name="_Toc33192397"/>
      <w:bookmarkStart w:id="395" w:name="_Toc33798268"/>
      <w:bookmarkStart w:id="396" w:name="_Toc34399810"/>
      <w:bookmarkStart w:id="397" w:name="_Toc35004647"/>
      <w:bookmarkStart w:id="398" w:name="_Toc35607053"/>
      <w:bookmarkStart w:id="399" w:name="_Toc36211384"/>
      <w:bookmarkStart w:id="400" w:name="_Toc38634432"/>
      <w:bookmarkStart w:id="401" w:name="_Toc39155453"/>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EC5C0E" w:rsidRPr="00DE3CBA" w:rsidRDefault="008864C4"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402" w:name="_Toc2934025"/>
      <w:bookmarkStart w:id="403" w:name="_Toc2934046"/>
      <w:bookmarkStart w:id="404" w:name="_Toc1736583"/>
      <w:bookmarkStart w:id="405" w:name="_Toc4160086"/>
      <w:bookmarkStart w:id="406" w:name="_Toc4768336"/>
      <w:bookmarkStart w:id="407" w:name="_Toc5976978"/>
      <w:bookmarkStart w:id="408" w:name="_Toc5281983"/>
      <w:bookmarkStart w:id="409" w:name="_Toc4768356"/>
      <w:bookmarkStart w:id="410" w:name="_Toc5976958"/>
      <w:bookmarkStart w:id="411" w:name="_Toc10211767"/>
      <w:bookmarkStart w:id="412" w:name="_Toc10731579"/>
      <w:bookmarkStart w:id="413" w:name="_Toc12625691"/>
      <w:bookmarkStart w:id="414" w:name="_Toc12625781"/>
      <w:bookmarkStart w:id="415" w:name="_Toc15022882"/>
      <w:bookmarkStart w:id="416" w:name="_Toc15049639"/>
      <w:bookmarkStart w:id="417" w:name="_Toc15654581"/>
      <w:bookmarkStart w:id="418" w:name="_Toc16257704"/>
      <w:bookmarkStart w:id="419" w:name="_Toc16861056"/>
      <w:bookmarkStart w:id="420" w:name="_Toc17467214"/>
      <w:bookmarkStart w:id="421" w:name="_Toc18072993"/>
      <w:bookmarkStart w:id="422" w:name="_Toc18680412"/>
      <w:bookmarkStart w:id="423" w:name="_Toc19195115"/>
      <w:bookmarkStart w:id="424" w:name="_Toc19887437"/>
      <w:bookmarkStart w:id="425" w:name="_Toc20494332"/>
      <w:bookmarkStart w:id="426" w:name="_Toc21702286"/>
      <w:bookmarkStart w:id="427" w:name="_Toc22307205"/>
      <w:bookmarkStart w:id="428" w:name="_Toc22911763"/>
      <w:bookmarkStart w:id="429" w:name="_Toc23513678"/>
      <w:bookmarkStart w:id="430" w:name="_Toc24117025"/>
      <w:bookmarkStart w:id="431" w:name="_Toc24722679"/>
      <w:bookmarkStart w:id="432" w:name="_Toc25325027"/>
      <w:bookmarkStart w:id="433" w:name="_Toc25932482"/>
      <w:bookmarkStart w:id="434" w:name="_Toc26536333"/>
      <w:bookmarkStart w:id="435" w:name="_Toc27141691"/>
      <w:bookmarkStart w:id="436" w:name="_Toc27745334"/>
      <w:bookmarkStart w:id="437" w:name="_Toc28351982"/>
      <w:bookmarkStart w:id="438" w:name="_Toc28955200"/>
      <w:bookmarkStart w:id="439" w:name="_Toc29558253"/>
      <w:bookmarkStart w:id="440" w:name="_Toc30169337"/>
      <w:bookmarkStart w:id="441" w:name="_Toc31978545"/>
      <w:bookmarkStart w:id="442" w:name="_Toc32586740"/>
      <w:bookmarkStart w:id="443" w:name="_Toc33192398"/>
      <w:bookmarkStart w:id="444" w:name="_Toc33798269"/>
      <w:bookmarkStart w:id="445" w:name="_Toc34399811"/>
      <w:bookmarkStart w:id="446" w:name="_Toc35004648"/>
      <w:bookmarkStart w:id="447" w:name="_Toc35607054"/>
      <w:bookmarkStart w:id="448" w:name="_Toc36211385"/>
      <w:r w:rsidRPr="00DE3CBA">
        <w:rPr>
          <w:rFonts w:ascii="华文仿宋" w:eastAsia="华文仿宋" w:hAnsi="华文仿宋" w:cs="华文仿宋" w:hint="eastAsia"/>
          <w:color w:val="333335"/>
          <w:kern w:val="2"/>
          <w:sz w:val="28"/>
          <w:szCs w:val="28"/>
          <w:shd w:val="clear" w:color="auto" w:fill="FFFFFF"/>
        </w:rPr>
        <w:t>本周美国WTI原油原油价格在</w:t>
      </w:r>
      <w:r>
        <w:rPr>
          <w:rFonts w:ascii="华文仿宋" w:eastAsia="华文仿宋" w:hAnsi="华文仿宋" w:cs="华文仿宋" w:hint="eastAsia"/>
          <w:color w:val="333335"/>
          <w:kern w:val="2"/>
          <w:sz w:val="28"/>
          <w:szCs w:val="28"/>
          <w:shd w:val="clear" w:color="auto" w:fill="FFFFFF"/>
        </w:rPr>
        <w:t>12.78-16.94</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19.99-22</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54</w:t>
      </w:r>
      <w:r w:rsidRPr="00DE3CBA">
        <w:rPr>
          <w:rFonts w:ascii="华文仿宋" w:eastAsia="华文仿宋" w:hAnsi="华文仿宋" w:cs="华文仿宋" w:hint="eastAsia"/>
          <w:color w:val="333335"/>
          <w:kern w:val="2"/>
          <w:sz w:val="28"/>
          <w:szCs w:val="28"/>
          <w:shd w:val="clear" w:color="auto" w:fill="FFFFFF"/>
        </w:rPr>
        <w:t>美元/桶震荡。周内国际油</w:t>
      </w:r>
      <w:r>
        <w:rPr>
          <w:rFonts w:ascii="华文仿宋" w:eastAsia="华文仿宋" w:hAnsi="华文仿宋" w:cs="华文仿宋" w:hint="eastAsia"/>
          <w:color w:val="333335"/>
          <w:kern w:val="2"/>
          <w:sz w:val="28"/>
          <w:szCs w:val="28"/>
          <w:shd w:val="clear" w:color="auto" w:fill="FFFFFF"/>
        </w:rPr>
        <w:t>震荡不稳</w:t>
      </w:r>
      <w:r w:rsidRPr="00DE3CBA">
        <w:rPr>
          <w:rFonts w:ascii="华文仿宋" w:eastAsia="华文仿宋" w:hAnsi="华文仿宋" w:cs="华文仿宋" w:hint="eastAsia"/>
          <w:color w:val="333335"/>
          <w:kern w:val="2"/>
          <w:sz w:val="28"/>
          <w:szCs w:val="28"/>
          <w:shd w:val="clear" w:color="auto" w:fill="FFFFFF"/>
        </w:rPr>
        <w:t>。</w:t>
      </w:r>
      <w:r w:rsidRPr="002D13F2">
        <w:rPr>
          <w:rFonts w:ascii="华文仿宋" w:eastAsia="华文仿宋" w:hAnsi="华文仿宋" w:cs="华文仿宋"/>
          <w:color w:val="333335"/>
          <w:kern w:val="2"/>
          <w:sz w:val="28"/>
          <w:szCs w:val="28"/>
          <w:shd w:val="clear" w:color="auto" w:fill="FFFFFF"/>
        </w:rPr>
        <w:t>投资者试图在美国企业重新开张的乐观情绪与新冠疫情对美国人健康和经济的持续威胁之间取得平衡，加之对没有地方储存石油的担心，导致油价近期大幅波动。周三(4月29日)，吉利德科技宣布其研发的瑞德西韦(Remdesivir)在治疗新冠肺炎的临床试验中得出了积极的数据，令市场备受提振，油价随即收盘走高：美国WTI原油6月期货收涨2.72美元，涨幅22%，报15.06美元/桶，其一度触及16.78美元/桶的盘中高点;布伦特原油6月期货上涨2.08美元，或10%，报22.54美元/桶。基本面利好因素：美国能源信息署(EIA)周三公布报告显示，至4月24日当周，EIA汽油库存减少366.9万桶，远低于其增加274.9万桶的预期以及此前一周增加的101.7万桶;除却战略储备的商业原油库存增加899.1万桶至5.276亿桶，远低于其1502.2万桶的前值以及1153.4万桶的预期。美国国内原油产量减少10万桶至1210万桶/日。美国原油产品四周平均供应量为1452.5万桶/日，较去年同期减少28%。美国石油协会</w:t>
      </w:r>
      <w:r w:rsidRPr="002D13F2">
        <w:rPr>
          <w:rFonts w:ascii="华文仿宋" w:eastAsia="华文仿宋" w:hAnsi="华文仿宋" w:cs="华文仿宋"/>
          <w:color w:val="333335"/>
          <w:kern w:val="2"/>
          <w:sz w:val="28"/>
          <w:szCs w:val="28"/>
          <w:shd w:val="clear" w:color="auto" w:fill="FFFFFF"/>
        </w:rPr>
        <w:lastRenderedPageBreak/>
        <w:t>(API)周三公布报告显示，至4月24日当周，API原油库存增加998万桶，至5.1亿桶。该值低于此前预期的1060万桶，远低于1322.6万桶的前值;API汽油库存减少111万桶，远低于此前一周增加的343.5万桶，以及预期的267.3万桶;API库欣原油库存增加249万桶，低于此前一周的491.3万桶。备受期待的欧佩克及其全球盟友减产行动将于本周五正式开始。欧佩克第四大产油国科威特表示，它已开始提前减产。而因为没有地方可以放更多的石油，尼日利亚也是如此。赤道几内亚将石油日产量逐步降至9.8万桶/日。美国钻探公司在六周时间里减少了305个石油钻井平台，从技术上讲，页岩油产量减少了45%。国际文传电讯社称，俄罗斯石油公司董事会将在4月30日考虑在5-7月进行的减产。基本面利空因素：美国能源信息署(EIA)周三公布报告显示，至4月24日当周，EIA精炼油库存增加509.2万桶，高于其427.5万桶的预期，但低于787.6万桶的前值，精炼油库存变化值连续4周录得增长。美国石油协会(API)周三公布报告显示，至4月24日当周，API精炼油库存增加546万桶，高于预期的375万桶;原油进口增加22万桶/日。摩根士丹利认为，原油需求恐怕不会在2019年第四季度之前恢复至2019年的平均水平，到2021年，预计WTI原油价格将稳定在40美元/桶、布伦特原油将稳定在45美元/桶。目前，炼油厂的产能闲置规模大约为2000万桶/日。能源分析师Fernando Valle指出，随着经济活动放缓，柴油库存的增加正迅速成为一个令人担忧的问题。柴油库存增加将进一步降低炼油企业的利润率，导致工厂在未来几周内暂时关闭，并将美国的产能利用率降至60%左右。而汽油库存仍处于历史高位附近，随着拉丁美洲的经济封锁变得更加严重，出口可能下降，并加剧供应过剩。美国石油基金加快了原油风险规避的步伐，该基金出人意料地开始出售其所持最活跃的WTI原油期货合约的全部头寸，这引发了WTI原油6月和</w:t>
      </w:r>
      <w:r w:rsidRPr="002D13F2">
        <w:rPr>
          <w:rFonts w:ascii="华文仿宋" w:eastAsia="华文仿宋" w:hAnsi="华文仿宋" w:cs="华文仿宋"/>
          <w:color w:val="333335"/>
          <w:kern w:val="2"/>
          <w:sz w:val="28"/>
          <w:szCs w:val="28"/>
          <w:shd w:val="clear" w:color="auto" w:fill="FFFFFF"/>
        </w:rPr>
        <w:lastRenderedPageBreak/>
        <w:t>7月合约之间价格关系的大幅波动。WTI原油6月期货合约的未平仓合约数量已经落后于WTI原油7月的期货合约，表明投资者更倾向于“更安全”的合约，这种合约承诺在市场供过于求的情况下晚于早交货。这也表明，在5月19日到期时，现货合约可能会遭遇另一轮金融紧缩和新一轮为负的价格。美国商务部表示，因3月中旬以来新冠疫情导致企业倒闭，美国经济今年第一季度萎缩4.8%，这是美国经济大衰退以来最大的降幅。纽约在线交易平台OANDA的分析师Ed Moya称：“市场焦点将迅速转向第二季度，尽管重新开启乐观情绪，但经济仍可能萎缩30-40%。美国经济要想迅速复苏，还有太多的工作要做，而这在很大程度上将取决于能否获得快速、广泛的检测、治疗方法的批准，以及制药公司是否有能力在国内外提高产量。乐观似乎是合理的，但它可能是第三季度的最佳选择。”</w:t>
      </w:r>
      <w:r w:rsidRPr="00DE3CBA">
        <w:rPr>
          <w:rFonts w:ascii="华文仿宋" w:eastAsia="华文仿宋" w:hAnsi="华文仿宋" w:cs="华文仿宋" w:hint="eastAsia"/>
          <w:color w:val="333335"/>
          <w:kern w:val="2"/>
          <w:sz w:val="28"/>
          <w:szCs w:val="28"/>
          <w:shd w:val="clear" w:color="auto" w:fill="FFFFFF"/>
        </w:rPr>
        <w:t>预测下周WTI油价将触及</w:t>
      </w:r>
      <w:r>
        <w:rPr>
          <w:rFonts w:ascii="华文仿宋" w:eastAsia="华文仿宋" w:hAnsi="华文仿宋" w:cs="华文仿宋" w:hint="eastAsia"/>
          <w:color w:val="333335"/>
          <w:kern w:val="2"/>
          <w:sz w:val="28"/>
          <w:szCs w:val="28"/>
          <w:shd w:val="clear" w:color="auto" w:fill="FFFFFF"/>
        </w:rPr>
        <w:t>11-17</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18</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23</w:t>
      </w:r>
      <w:r w:rsidRPr="00DE3CBA">
        <w:rPr>
          <w:rFonts w:ascii="华文仿宋" w:eastAsia="华文仿宋" w:hAnsi="华文仿宋" w:cs="华文仿宋" w:hint="eastAsia"/>
          <w:color w:val="333335"/>
          <w:kern w:val="2"/>
          <w:sz w:val="28"/>
          <w:szCs w:val="28"/>
          <w:shd w:val="clear" w:color="auto" w:fill="FFFFFF"/>
        </w:rPr>
        <w:t>美元/桶。</w:t>
      </w:r>
    </w:p>
    <w:p w:rsidR="002F12E4" w:rsidRDefault="004F4F55" w:rsidP="00402A04">
      <w:pPr>
        <w:tabs>
          <w:tab w:val="center" w:pos="4873"/>
        </w:tabs>
        <w:spacing w:line="360" w:lineRule="auto"/>
        <w:outlineLvl w:val="0"/>
        <w:rPr>
          <w:rFonts w:ascii="黑体" w:eastAsia="黑体" w:hAnsi="宋体"/>
          <w:b/>
          <w:sz w:val="28"/>
          <w:szCs w:val="28"/>
        </w:rPr>
      </w:pPr>
      <w:bookmarkStart w:id="449" w:name="_Toc38634433"/>
      <w:bookmarkStart w:id="450" w:name="_Toc39155454"/>
      <w:r>
        <w:rPr>
          <w:rFonts w:ascii="黑体" w:eastAsia="黑体" w:hAnsi="宋体" w:hint="eastAsia"/>
          <w:b/>
          <w:sz w:val="28"/>
          <w:szCs w:val="28"/>
        </w:rPr>
        <w:t>二、 石脑油</w:t>
      </w:r>
      <w:bookmarkEnd w:id="51"/>
      <w:bookmarkEnd w:id="52"/>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00402A04">
        <w:rPr>
          <w:rFonts w:ascii="黑体" w:eastAsia="黑体" w:hAnsi="宋体"/>
          <w:b/>
          <w:sz w:val="28"/>
          <w:szCs w:val="28"/>
        </w:rPr>
        <w:tab/>
      </w:r>
    </w:p>
    <w:p w:rsidR="002F12E4" w:rsidRDefault="008A2F63">
      <w:pPr>
        <w:pStyle w:val="2"/>
        <w:spacing w:line="240" w:lineRule="auto"/>
        <w:rPr>
          <w:rFonts w:ascii="宋体" w:hAnsi="宋体" w:cs="Arial"/>
          <w:b w:val="0"/>
          <w:bCs w:val="0"/>
          <w:kern w:val="0"/>
          <w:szCs w:val="28"/>
        </w:rPr>
      </w:pPr>
      <w:bookmarkStart w:id="451" w:name="_Toc460250404"/>
      <w:bookmarkStart w:id="452" w:name="_Toc536797013"/>
      <w:bookmarkStart w:id="453" w:name="_Toc505350008"/>
      <w:bookmarkStart w:id="454" w:name="_Toc2934047"/>
      <w:bookmarkStart w:id="455" w:name="_Toc2934026"/>
      <w:bookmarkStart w:id="456" w:name="_Toc1736584"/>
      <w:bookmarkStart w:id="457" w:name="_Toc5281984"/>
      <w:bookmarkStart w:id="458" w:name="_Toc4768357"/>
      <w:bookmarkStart w:id="459" w:name="_Toc4160087"/>
      <w:bookmarkStart w:id="460" w:name="_Toc4768337"/>
      <w:bookmarkStart w:id="461" w:name="_Toc5976959"/>
      <w:bookmarkStart w:id="462" w:name="_Toc5976979"/>
      <w:bookmarkStart w:id="463" w:name="_Toc10211768"/>
      <w:bookmarkStart w:id="464" w:name="_Toc10731580"/>
      <w:bookmarkStart w:id="465" w:name="_Toc12625692"/>
      <w:bookmarkStart w:id="466" w:name="_Toc12625782"/>
      <w:bookmarkStart w:id="467" w:name="_Toc15022883"/>
      <w:bookmarkStart w:id="468" w:name="_Toc15049640"/>
      <w:bookmarkStart w:id="469" w:name="_Toc15654582"/>
      <w:bookmarkStart w:id="470" w:name="_Toc16257705"/>
      <w:bookmarkStart w:id="471" w:name="_Toc16861057"/>
      <w:bookmarkStart w:id="472" w:name="_Toc17467215"/>
      <w:bookmarkStart w:id="473" w:name="_Toc18072994"/>
      <w:bookmarkStart w:id="474" w:name="_Toc18680413"/>
      <w:bookmarkStart w:id="475" w:name="_Toc19195116"/>
      <w:bookmarkStart w:id="476" w:name="_Toc19887438"/>
      <w:bookmarkStart w:id="477" w:name="_Toc20494333"/>
      <w:bookmarkStart w:id="478" w:name="_Toc21702287"/>
      <w:bookmarkStart w:id="479" w:name="_Toc22307206"/>
      <w:bookmarkStart w:id="480" w:name="_Toc22911764"/>
      <w:bookmarkStart w:id="481" w:name="_Toc23513679"/>
      <w:bookmarkStart w:id="482" w:name="_Toc24117026"/>
      <w:bookmarkStart w:id="483" w:name="_Toc24722680"/>
      <w:bookmarkStart w:id="484" w:name="_Toc25325028"/>
      <w:bookmarkStart w:id="485" w:name="_Toc25932483"/>
      <w:bookmarkStart w:id="486" w:name="_Toc26536334"/>
      <w:bookmarkStart w:id="487" w:name="_Toc27141692"/>
      <w:bookmarkStart w:id="488" w:name="_Toc27745335"/>
      <w:bookmarkStart w:id="489" w:name="_Toc28351983"/>
      <w:bookmarkStart w:id="490" w:name="_Toc28955201"/>
      <w:bookmarkStart w:id="491" w:name="_Toc29558254"/>
      <w:bookmarkStart w:id="492" w:name="_Toc30169338"/>
      <w:bookmarkStart w:id="493" w:name="_Toc31978546"/>
      <w:bookmarkStart w:id="494" w:name="_Toc32586741"/>
      <w:bookmarkStart w:id="495" w:name="_Toc33192399"/>
      <w:bookmarkStart w:id="496" w:name="_Toc33798270"/>
      <w:bookmarkStart w:id="497" w:name="_Toc34399812"/>
      <w:bookmarkStart w:id="498" w:name="_Toc35004649"/>
      <w:bookmarkStart w:id="499" w:name="_Toc35607055"/>
      <w:bookmarkStart w:id="500" w:name="_Toc36211386"/>
      <w:bookmarkStart w:id="501" w:name="_Toc38634434"/>
      <w:bookmarkStart w:id="502" w:name="_Toc39155455"/>
      <w:r>
        <w:rPr>
          <w:rFonts w:hint="eastAsia"/>
        </w:rPr>
        <w:t>2.</w:t>
      </w:r>
      <w:r w:rsidR="004F4F55">
        <w:rPr>
          <w:rFonts w:hint="eastAsia"/>
        </w:rPr>
        <w:t>1</w:t>
      </w:r>
      <w:r w:rsidR="004F4F55">
        <w:rPr>
          <w:rFonts w:hint="eastAsia"/>
          <w:kern w:val="0"/>
        </w:rPr>
        <w:t>国际石脑油市场价格</w:t>
      </w:r>
      <w:bookmarkEnd w:id="53"/>
      <w:bookmarkEnd w:id="54"/>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A06C5E"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503" w:name="_Toc281568202"/>
            <w:bookmarkStart w:id="504" w:name="_Toc239847715"/>
            <w:bookmarkStart w:id="505" w:name="_Toc296600812"/>
            <w:bookmarkStart w:id="506" w:name="_Toc460250405"/>
            <w:bookmarkStart w:id="507" w:name="_Toc505350009"/>
            <w:r>
              <w:rPr>
                <w:rFonts w:ascii="华文仿宋" w:eastAsia="华文仿宋" w:hAnsi="华文仿宋" w:cs="Times New Roman" w:hint="eastAsia"/>
                <w:kern w:val="2"/>
                <w:sz w:val="28"/>
                <w:szCs w:val="28"/>
              </w:rPr>
              <w:t>4</w:t>
            </w:r>
            <w:r w:rsidR="004F4F55" w:rsidRPr="002C1452">
              <w:rPr>
                <w:rFonts w:ascii="华文仿宋" w:eastAsia="华文仿宋" w:hAnsi="华文仿宋" w:cs="Times New Roman" w:hint="eastAsia"/>
                <w:kern w:val="2"/>
                <w:sz w:val="28"/>
                <w:szCs w:val="28"/>
              </w:rPr>
              <w:t>月</w:t>
            </w:r>
            <w:r w:rsidR="00FC27A0">
              <w:rPr>
                <w:rFonts w:ascii="华文仿宋" w:eastAsia="华文仿宋" w:hAnsi="华文仿宋" w:cs="Times New Roman" w:hint="eastAsia"/>
                <w:kern w:val="2"/>
                <w:sz w:val="28"/>
                <w:szCs w:val="28"/>
              </w:rPr>
              <w:t>2</w:t>
            </w:r>
            <w:r w:rsidR="00E72BA2">
              <w:rPr>
                <w:rFonts w:ascii="华文仿宋" w:eastAsia="华文仿宋" w:hAnsi="华文仿宋" w:cs="Times New Roman" w:hint="eastAsia"/>
                <w:kern w:val="2"/>
                <w:sz w:val="28"/>
                <w:szCs w:val="28"/>
              </w:rPr>
              <w:t>9</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E72BA2"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14.30美元/桶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14.34美元/桶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0.72</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34.048-34.143</w:t>
            </w:r>
          </w:p>
        </w:tc>
      </w:tr>
      <w:tr w:rsidR="00E72BA2"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185.75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189.50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6.00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49.140-50.132</w:t>
            </w:r>
          </w:p>
        </w:tc>
      </w:tr>
      <w:tr w:rsidR="00E72BA2"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54.43</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58.18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3.12</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14.399-15.392</w:t>
            </w:r>
          </w:p>
        </w:tc>
      </w:tr>
      <w:tr w:rsidR="00E72BA2" w:rsidRPr="00D8034F" w:rsidTr="0012626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lastRenderedPageBreak/>
              <w:t>ARA到岸价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136.50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137.00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21.50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36.497-36.631</w:t>
            </w:r>
          </w:p>
        </w:tc>
      </w:tr>
      <w:tr w:rsidR="00E72BA2"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132.50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133.00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21.50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35.428-35.561</w:t>
            </w:r>
          </w:p>
        </w:tc>
      </w:tr>
      <w:tr w:rsidR="00E72BA2"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48.75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49.25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29.50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13.035-13.168</w:t>
            </w:r>
          </w:p>
        </w:tc>
      </w:tr>
      <w:tr w:rsidR="00E72BA2"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100.75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101.25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25.00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26.939-27.072</w:t>
            </w:r>
          </w:p>
        </w:tc>
      </w:tr>
      <w:tr w:rsidR="00E72BA2"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161.66</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161.76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-6g/c</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E72BA2" w:rsidRPr="00E72BA2" w:rsidRDefault="00E72BA2" w:rsidP="00E72BA2">
            <w:pPr>
              <w:pStyle w:val="aa"/>
              <w:spacing w:before="0" w:beforeAutospacing="0" w:after="0" w:afterAutospacing="0" w:line="390" w:lineRule="atLeast"/>
              <w:jc w:val="center"/>
              <w:rPr>
                <w:rFonts w:ascii="华文仿宋" w:eastAsia="华文仿宋" w:hAnsi="华文仿宋" w:cs="Times New Roman"/>
                <w:kern w:val="2"/>
                <w:sz w:val="28"/>
                <w:szCs w:val="28"/>
              </w:rPr>
            </w:pPr>
            <w:r w:rsidRPr="00E72BA2">
              <w:rPr>
                <w:rFonts w:ascii="华文仿宋" w:eastAsia="华文仿宋" w:hAnsi="华文仿宋" w:cs="Times New Roman"/>
                <w:kern w:val="2"/>
                <w:sz w:val="28"/>
                <w:szCs w:val="28"/>
              </w:rPr>
              <w:t>-</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508" w:name="_Toc5976980"/>
      <w:bookmarkStart w:id="509" w:name="_Toc4768358"/>
      <w:bookmarkStart w:id="510" w:name="_Toc5976960"/>
      <w:bookmarkStart w:id="511" w:name="_Toc5281985"/>
      <w:bookmarkStart w:id="512" w:name="_Toc4768338"/>
      <w:bookmarkStart w:id="513" w:name="_Toc4160088"/>
      <w:bookmarkStart w:id="514" w:name="_Toc1736585"/>
      <w:bookmarkStart w:id="515" w:name="_Toc2934027"/>
      <w:bookmarkStart w:id="516" w:name="_Toc536797014"/>
      <w:bookmarkStart w:id="517" w:name="_Toc2934048"/>
      <w:bookmarkStart w:id="518" w:name="_Toc10211769"/>
      <w:bookmarkStart w:id="519" w:name="_Toc10731581"/>
      <w:bookmarkStart w:id="520" w:name="_Toc12625693"/>
      <w:bookmarkStart w:id="521" w:name="_Toc12625783"/>
      <w:bookmarkStart w:id="522" w:name="_Toc15022884"/>
      <w:bookmarkStart w:id="523" w:name="_Toc15049641"/>
      <w:bookmarkStart w:id="524" w:name="_Toc15654583"/>
      <w:bookmarkStart w:id="525" w:name="_Toc16257706"/>
      <w:bookmarkStart w:id="526" w:name="_Toc16861058"/>
      <w:bookmarkStart w:id="527" w:name="_Toc17467216"/>
      <w:bookmarkStart w:id="528" w:name="_Toc18072995"/>
      <w:bookmarkStart w:id="529" w:name="_Toc18680414"/>
      <w:bookmarkStart w:id="530" w:name="_Toc19195117"/>
      <w:bookmarkStart w:id="531" w:name="_Toc19887439"/>
      <w:bookmarkStart w:id="532" w:name="_Toc20494334"/>
      <w:bookmarkStart w:id="533" w:name="_Toc21702288"/>
      <w:bookmarkStart w:id="534" w:name="_Toc22307207"/>
      <w:bookmarkStart w:id="535" w:name="_Toc22911765"/>
      <w:bookmarkStart w:id="536" w:name="_Toc23513680"/>
      <w:bookmarkStart w:id="537" w:name="_Toc24117027"/>
      <w:bookmarkStart w:id="538" w:name="_Toc24722681"/>
      <w:bookmarkStart w:id="539" w:name="_Toc25325029"/>
      <w:bookmarkStart w:id="540" w:name="_Toc25932484"/>
      <w:bookmarkStart w:id="541" w:name="_Toc26536335"/>
      <w:bookmarkStart w:id="542" w:name="_Toc27141693"/>
      <w:bookmarkStart w:id="543" w:name="_Toc27745336"/>
      <w:bookmarkStart w:id="544" w:name="_Toc28351984"/>
      <w:bookmarkStart w:id="545" w:name="_Toc28955202"/>
      <w:bookmarkStart w:id="546" w:name="_Toc29558255"/>
      <w:bookmarkStart w:id="547" w:name="_Toc30169339"/>
      <w:bookmarkStart w:id="548" w:name="_Toc31978547"/>
      <w:bookmarkStart w:id="549" w:name="_Toc32586742"/>
      <w:bookmarkStart w:id="550" w:name="_Toc33192400"/>
      <w:bookmarkStart w:id="551" w:name="_Toc33798271"/>
      <w:bookmarkStart w:id="552" w:name="_Toc34399813"/>
      <w:bookmarkStart w:id="553" w:name="_Toc35004650"/>
      <w:bookmarkStart w:id="554" w:name="_Toc35607056"/>
      <w:bookmarkStart w:id="555" w:name="_Toc36211387"/>
      <w:bookmarkStart w:id="556" w:name="_Toc38634435"/>
      <w:bookmarkStart w:id="557" w:name="_Toc39155456"/>
      <w:r>
        <w:rPr>
          <w:rFonts w:asciiTheme="minorEastAsia" w:eastAsiaTheme="minorEastAsia" w:hAnsiTheme="minorEastAsia" w:hint="eastAsia"/>
          <w:bCs w:val="0"/>
          <w:color w:val="000000" w:themeColor="text1"/>
          <w:szCs w:val="28"/>
        </w:rPr>
        <w:t>2.2地炼石脑油市场</w:t>
      </w:r>
      <w:bookmarkEnd w:id="55"/>
      <w:bookmarkEnd w:id="56"/>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E547CE" w:rsidRPr="00E547CE" w:rsidRDefault="001D1868" w:rsidP="00E547C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E72BA2" w:rsidRPr="00E72BA2">
        <w:rPr>
          <w:rFonts w:ascii="华文仿宋" w:eastAsia="华文仿宋" w:hAnsi="华文仿宋" w:cs="华文仿宋"/>
          <w:color w:val="333335"/>
          <w:kern w:val="2"/>
          <w:sz w:val="28"/>
          <w:szCs w:val="28"/>
          <w:shd w:val="clear" w:color="auto" w:fill="FFFFFF"/>
        </w:rPr>
        <w:t>外围原油期现货市场剧烈震荡，这一定程度冲击了石油制品市场，但亚洲石脑油价格表现录得回升，因裂解利润攀高且替代能源性价比大幅下降。因油轮跨区域运费率大幅度拉升，即期欧美套利船货规模下降，且近期液化石油气市场表现强劲价格快速上涨，这迫使亚洲石脑油终端用户重新选择石脑油作为原料。市场消息，LG化学、Hyundai、CNOOC和联合石化发布石脑油船货购买标书。现货市场表现趋于稳健，更多需求将推动亚洲石脑油递价回升。国内市场方面受到原油暴跌影响再度下探交投历史低点价格，不过近期现货市场交投活性提高，下一周期国内主力石脑油交投区域市场递价水平有望上移</w:t>
      </w:r>
      <w:r w:rsidR="00E547CE" w:rsidRPr="00E547CE">
        <w:rPr>
          <w:rFonts w:ascii="华文仿宋" w:eastAsia="华文仿宋" w:hAnsi="华文仿宋" w:cs="华文仿宋"/>
          <w:color w:val="333335"/>
          <w:kern w:val="2"/>
          <w:sz w:val="28"/>
          <w:szCs w:val="28"/>
          <w:shd w:val="clear" w:color="auto" w:fill="FFFFFF"/>
        </w:rPr>
        <w:t>。</w:t>
      </w:r>
    </w:p>
    <w:p w:rsidR="00531500" w:rsidRPr="00E547CE" w:rsidRDefault="00531500" w:rsidP="005315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E63712" w:rsidRPr="00531500" w:rsidRDefault="00E63712" w:rsidP="00807B1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pPr>
        <w:outlineLvl w:val="1"/>
        <w:rPr>
          <w:rFonts w:asciiTheme="minorEastAsia" w:eastAsiaTheme="minorEastAsia" w:hAnsiTheme="minorEastAsia"/>
          <w:b/>
          <w:sz w:val="28"/>
          <w:szCs w:val="28"/>
        </w:rPr>
      </w:pPr>
      <w:bookmarkStart w:id="558" w:name="_Toc296600813"/>
      <w:bookmarkStart w:id="559" w:name="_Toc460250406"/>
      <w:bookmarkStart w:id="560" w:name="_Toc505350010"/>
      <w:bookmarkStart w:id="561" w:name="_Toc536797015"/>
      <w:bookmarkStart w:id="562" w:name="_Toc1736586"/>
      <w:bookmarkStart w:id="563" w:name="_Toc281568203"/>
      <w:bookmarkStart w:id="564" w:name="_Toc2934028"/>
      <w:bookmarkStart w:id="565" w:name="_Toc2934049"/>
      <w:bookmarkStart w:id="566" w:name="_Toc4160089"/>
      <w:bookmarkStart w:id="567" w:name="_Toc4768339"/>
      <w:bookmarkStart w:id="568" w:name="_Toc5281986"/>
      <w:bookmarkStart w:id="569" w:name="_Toc4768359"/>
      <w:bookmarkStart w:id="570" w:name="_Toc5976981"/>
      <w:bookmarkStart w:id="571" w:name="_Toc5976961"/>
      <w:bookmarkStart w:id="572" w:name="_Toc10211770"/>
      <w:bookmarkStart w:id="573" w:name="_Toc10731582"/>
      <w:bookmarkStart w:id="574" w:name="_Toc12625694"/>
      <w:bookmarkStart w:id="575" w:name="_Toc12625784"/>
      <w:bookmarkStart w:id="576" w:name="_Toc15022885"/>
      <w:bookmarkStart w:id="577" w:name="_Toc15049642"/>
      <w:bookmarkStart w:id="578" w:name="_Toc15654584"/>
      <w:bookmarkStart w:id="579" w:name="_Toc16257707"/>
      <w:bookmarkStart w:id="580" w:name="_Toc16861059"/>
      <w:bookmarkStart w:id="581" w:name="_Toc17467217"/>
      <w:bookmarkStart w:id="582" w:name="_Toc18072996"/>
      <w:bookmarkStart w:id="583" w:name="_Toc18680415"/>
      <w:bookmarkStart w:id="584" w:name="_Toc19195118"/>
      <w:bookmarkStart w:id="585" w:name="_Toc19887440"/>
      <w:bookmarkStart w:id="586" w:name="_Toc20494335"/>
      <w:bookmarkStart w:id="587" w:name="_Toc21702289"/>
      <w:bookmarkStart w:id="588" w:name="_Toc22307208"/>
      <w:bookmarkStart w:id="589" w:name="_Toc22911766"/>
      <w:bookmarkStart w:id="590" w:name="_Toc23513681"/>
      <w:bookmarkStart w:id="591" w:name="_Toc24117028"/>
      <w:bookmarkStart w:id="592" w:name="_Toc24722682"/>
      <w:bookmarkStart w:id="593" w:name="_Toc25325030"/>
      <w:bookmarkStart w:id="594" w:name="_Toc25932485"/>
      <w:bookmarkStart w:id="595" w:name="_Toc26536336"/>
      <w:bookmarkStart w:id="596" w:name="_Toc27141694"/>
      <w:bookmarkStart w:id="597" w:name="_Toc27745337"/>
      <w:bookmarkStart w:id="598" w:name="_Toc28351985"/>
      <w:bookmarkStart w:id="599" w:name="_Toc28955203"/>
      <w:bookmarkStart w:id="600" w:name="_Toc29558256"/>
      <w:bookmarkStart w:id="601" w:name="_Toc30169340"/>
      <w:bookmarkStart w:id="602" w:name="_Toc31978548"/>
      <w:bookmarkStart w:id="603" w:name="_Toc32586743"/>
      <w:bookmarkStart w:id="604" w:name="_Toc33192401"/>
      <w:bookmarkStart w:id="605" w:name="_Toc33798272"/>
      <w:bookmarkStart w:id="606" w:name="_Toc34399814"/>
      <w:bookmarkStart w:id="607" w:name="_Toc35004651"/>
      <w:bookmarkStart w:id="608" w:name="_Toc35607057"/>
      <w:bookmarkStart w:id="609" w:name="_Toc36211388"/>
      <w:bookmarkStart w:id="610" w:name="_Toc38634436"/>
      <w:bookmarkStart w:id="611" w:name="_Toc39155457"/>
      <w:r>
        <w:rPr>
          <w:rFonts w:asciiTheme="minorEastAsia" w:eastAsiaTheme="minorEastAsia" w:hAnsiTheme="minorEastAsia" w:hint="eastAsia"/>
          <w:b/>
          <w:sz w:val="28"/>
          <w:szCs w:val="28"/>
        </w:rPr>
        <w:t>2.3本周国内石脑油价格汇总</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160" w:type="dxa"/>
        <w:tblInd w:w="93" w:type="dxa"/>
        <w:tblLook w:val="04A0"/>
      </w:tblPr>
      <w:tblGrid>
        <w:gridCol w:w="1080"/>
        <w:gridCol w:w="1520"/>
        <w:gridCol w:w="1540"/>
        <w:gridCol w:w="1400"/>
        <w:gridCol w:w="1540"/>
        <w:gridCol w:w="1540"/>
        <w:gridCol w:w="1540"/>
      </w:tblGrid>
      <w:tr w:rsidR="006468F6" w:rsidRPr="00F45309" w:rsidTr="00F45309">
        <w:trPr>
          <w:trHeight w:val="405"/>
        </w:trPr>
        <w:tc>
          <w:tcPr>
            <w:tcW w:w="108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468F6" w:rsidRPr="00F45309" w:rsidRDefault="006468F6"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地区</w:t>
            </w:r>
          </w:p>
        </w:tc>
        <w:tc>
          <w:tcPr>
            <w:tcW w:w="1520" w:type="dxa"/>
            <w:tcBorders>
              <w:top w:val="single" w:sz="4" w:space="0" w:color="auto"/>
              <w:left w:val="nil"/>
              <w:bottom w:val="single" w:sz="4" w:space="0" w:color="auto"/>
              <w:right w:val="single" w:sz="4" w:space="0" w:color="auto"/>
            </w:tcBorders>
            <w:shd w:val="clear" w:color="000000" w:fill="99CCFF"/>
            <w:vAlign w:val="center"/>
            <w:hideMark/>
          </w:tcPr>
          <w:p w:rsidR="006468F6" w:rsidRPr="00F45309" w:rsidRDefault="006468F6"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生产厂家</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6468F6" w:rsidRPr="00F45309" w:rsidRDefault="006468F6"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产品名称</w:t>
            </w:r>
          </w:p>
        </w:tc>
        <w:tc>
          <w:tcPr>
            <w:tcW w:w="1400" w:type="dxa"/>
            <w:tcBorders>
              <w:top w:val="single" w:sz="4" w:space="0" w:color="auto"/>
              <w:left w:val="nil"/>
              <w:bottom w:val="single" w:sz="4" w:space="0" w:color="auto"/>
              <w:right w:val="single" w:sz="4" w:space="0" w:color="auto"/>
            </w:tcBorders>
            <w:shd w:val="clear" w:color="000000" w:fill="99CCFF"/>
            <w:vAlign w:val="center"/>
            <w:hideMark/>
          </w:tcPr>
          <w:p w:rsidR="006468F6" w:rsidRPr="00F45309" w:rsidRDefault="006468F6"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价格类型</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2020/4/30</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2020/4/24</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金城石化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恒源石化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东明石化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2200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2400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中海石化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弘润石化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华星石化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海科石化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广饶石化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鑫泰石化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2650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2850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利津石化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胜华石化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长城石化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安邦石化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日照源丰</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富海石化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京博石化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昌邑石化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-140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2610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2750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垦利石化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寿光石化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神驰石化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2100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2300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汇丰石化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宝塔石化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滨化石化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高青宏远石化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河口实业</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科力达石化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4400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4400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东方华龙</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2600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2600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齐成工贸</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4330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4330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广悦化工</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石大昌盛能源</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永鑫化工</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2900</w:t>
            </w:r>
          </w:p>
        </w:tc>
      </w:tr>
      <w:tr w:rsidR="006468F6"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日照岚桥港口石化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无棣鑫岳石化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4170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4270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尚能石化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海右石化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亚通石化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鑫泉焦化</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盘锦北沥</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2106</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2506</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盘锦宏业</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中天浩业</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陕西华航</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神木天元</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2920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3020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神木富油</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r>
      <w:tr w:rsidR="006468F6"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内蒙古庆华</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陕西未来</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6468F6"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华东</w:t>
            </w:r>
          </w:p>
        </w:tc>
        <w:tc>
          <w:tcPr>
            <w:tcW w:w="152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江苏新海</w:t>
            </w:r>
          </w:p>
        </w:tc>
        <w:tc>
          <w:tcPr>
            <w:tcW w:w="154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6468F6" w:rsidRPr="00F45309" w:rsidRDefault="006468F6"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6468F6" w:rsidRDefault="006468F6">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612" w:name="_Toc5281987"/>
      <w:bookmarkStart w:id="613" w:name="_Toc4160090"/>
      <w:bookmarkStart w:id="614" w:name="_Toc4768340"/>
      <w:bookmarkStart w:id="615" w:name="_Toc5976982"/>
      <w:bookmarkStart w:id="616" w:name="_Toc4768360"/>
      <w:bookmarkStart w:id="617" w:name="_Toc5976962"/>
      <w:bookmarkStart w:id="618" w:name="_Toc2934050"/>
      <w:bookmarkStart w:id="619" w:name="_Toc2934029"/>
      <w:bookmarkStart w:id="620" w:name="_Toc281568204"/>
      <w:bookmarkStart w:id="621" w:name="_Toc505350011"/>
      <w:bookmarkStart w:id="622" w:name="_Toc1736587"/>
      <w:bookmarkStart w:id="623" w:name="_Toc536797016"/>
      <w:bookmarkStart w:id="624" w:name="_Toc460250407"/>
      <w:bookmarkStart w:id="625" w:name="_Toc296600814"/>
      <w:bookmarkStart w:id="626" w:name="_Toc10211771"/>
      <w:bookmarkStart w:id="627" w:name="_Toc10731583"/>
      <w:bookmarkStart w:id="628" w:name="_Toc12625695"/>
      <w:bookmarkStart w:id="629" w:name="_Toc12625785"/>
      <w:bookmarkStart w:id="630" w:name="_Toc15022886"/>
      <w:bookmarkStart w:id="631" w:name="_Toc15049643"/>
      <w:bookmarkStart w:id="632" w:name="_Toc15654585"/>
      <w:bookmarkStart w:id="633" w:name="_Toc16257708"/>
      <w:bookmarkStart w:id="634" w:name="_Toc16861060"/>
      <w:bookmarkStart w:id="635" w:name="_Toc17467218"/>
      <w:bookmarkStart w:id="636" w:name="_Toc18072997"/>
      <w:bookmarkStart w:id="637" w:name="_Toc18680416"/>
      <w:bookmarkStart w:id="638" w:name="_Toc19195119"/>
      <w:bookmarkStart w:id="639" w:name="_Toc19887441"/>
      <w:bookmarkStart w:id="640" w:name="_Toc20494336"/>
      <w:bookmarkStart w:id="641" w:name="_Toc21702290"/>
      <w:bookmarkStart w:id="642" w:name="_Toc22307209"/>
      <w:bookmarkStart w:id="643" w:name="_Toc22911767"/>
      <w:bookmarkStart w:id="644" w:name="_Toc23513682"/>
      <w:bookmarkStart w:id="645" w:name="_Toc24117029"/>
      <w:bookmarkStart w:id="646" w:name="_Toc24722683"/>
      <w:bookmarkStart w:id="647" w:name="_Toc25325031"/>
      <w:bookmarkStart w:id="648" w:name="_Toc25932486"/>
      <w:bookmarkStart w:id="649" w:name="_Toc26536337"/>
      <w:bookmarkStart w:id="650" w:name="_Toc27141695"/>
      <w:bookmarkStart w:id="651" w:name="_Toc27745338"/>
      <w:bookmarkStart w:id="652" w:name="_Toc28351986"/>
      <w:bookmarkStart w:id="653" w:name="_Toc28955204"/>
      <w:bookmarkStart w:id="654" w:name="_Toc29558257"/>
      <w:bookmarkStart w:id="655" w:name="_Toc30169341"/>
      <w:bookmarkStart w:id="656" w:name="_Toc31978549"/>
      <w:bookmarkStart w:id="657" w:name="_Toc32586744"/>
      <w:bookmarkStart w:id="658" w:name="_Toc33192402"/>
      <w:bookmarkStart w:id="659" w:name="_Toc33798273"/>
      <w:bookmarkStart w:id="660" w:name="_Toc34399815"/>
      <w:bookmarkStart w:id="661" w:name="_Toc35004652"/>
      <w:bookmarkStart w:id="662" w:name="_Toc35607058"/>
      <w:bookmarkStart w:id="663" w:name="_Toc36211389"/>
      <w:bookmarkStart w:id="664" w:name="_Toc38634437"/>
      <w:bookmarkStart w:id="665" w:name="_Toc239847719"/>
      <w:bookmarkStart w:id="666" w:name="_Toc158203132"/>
      <w:bookmarkStart w:id="667" w:name="_Toc39155458"/>
      <w:r>
        <w:rPr>
          <w:rFonts w:asciiTheme="minorEastAsia" w:eastAsiaTheme="minorEastAsia" w:hAnsiTheme="minorEastAsia" w:hint="eastAsia"/>
          <w:szCs w:val="28"/>
        </w:rPr>
        <w:t>2.4山东地炼石脑油价格走势图</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7"/>
    </w:p>
    <w:p w:rsidR="002F12E4" w:rsidRDefault="002F12E4">
      <w:pPr>
        <w:rPr>
          <w:sz w:val="20"/>
          <w:szCs w:val="20"/>
        </w:rPr>
      </w:pPr>
    </w:p>
    <w:p w:rsidR="003135BD" w:rsidRDefault="006468F6">
      <w:pPr>
        <w:rPr>
          <w:sz w:val="20"/>
          <w:szCs w:val="20"/>
        </w:rPr>
      </w:pPr>
      <w:r>
        <w:rPr>
          <w:noProof/>
          <w:sz w:val="20"/>
          <w:szCs w:val="20"/>
        </w:rPr>
        <w:drawing>
          <wp:inline distT="0" distB="0" distL="0" distR="0">
            <wp:extent cx="5057775" cy="304800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057775" cy="3048000"/>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668" w:name="_Toc237428455"/>
      <w:bookmarkStart w:id="669" w:name="_Toc460250408"/>
      <w:bookmarkStart w:id="670" w:name="_Toc5976963"/>
      <w:bookmarkStart w:id="671" w:name="_Toc296600816"/>
      <w:bookmarkStart w:id="672" w:name="_Toc2934030"/>
      <w:bookmarkStart w:id="673" w:name="_Toc536797017"/>
      <w:bookmarkStart w:id="674" w:name="_Toc5976983"/>
      <w:bookmarkStart w:id="675" w:name="_Toc1736588"/>
      <w:bookmarkStart w:id="676" w:name="_Toc4768361"/>
      <w:bookmarkStart w:id="677" w:name="_Toc281568206"/>
      <w:bookmarkStart w:id="678" w:name="_Toc5281988"/>
      <w:bookmarkStart w:id="679" w:name="_Toc4160091"/>
      <w:bookmarkStart w:id="680" w:name="_Toc4768341"/>
      <w:bookmarkStart w:id="681" w:name="_Toc505350012"/>
      <w:bookmarkStart w:id="682" w:name="_Toc2934051"/>
      <w:bookmarkStart w:id="683" w:name="_Toc10211772"/>
      <w:bookmarkStart w:id="684" w:name="_Toc10731584"/>
      <w:bookmarkStart w:id="685" w:name="_Toc12625696"/>
      <w:bookmarkStart w:id="686" w:name="_Toc12625786"/>
      <w:bookmarkStart w:id="687" w:name="_Toc15022887"/>
      <w:bookmarkStart w:id="688" w:name="_Toc15049644"/>
      <w:bookmarkStart w:id="689" w:name="_Toc15654586"/>
      <w:bookmarkStart w:id="690" w:name="_Toc16257709"/>
      <w:bookmarkStart w:id="691" w:name="_Toc16861061"/>
      <w:bookmarkStart w:id="692" w:name="_Toc17467219"/>
      <w:bookmarkStart w:id="693" w:name="_Toc18072998"/>
      <w:bookmarkStart w:id="694" w:name="_Toc18680417"/>
      <w:bookmarkStart w:id="695" w:name="_Toc19195120"/>
      <w:bookmarkStart w:id="696" w:name="_Toc19887442"/>
      <w:bookmarkStart w:id="697" w:name="_Toc20494337"/>
      <w:bookmarkStart w:id="698" w:name="_Toc21702291"/>
      <w:bookmarkStart w:id="699" w:name="_Toc22307210"/>
      <w:bookmarkStart w:id="700" w:name="_Toc22911768"/>
      <w:bookmarkStart w:id="701" w:name="_Toc23513683"/>
      <w:bookmarkStart w:id="702" w:name="_Toc24117030"/>
      <w:bookmarkStart w:id="703" w:name="_Toc24722684"/>
      <w:bookmarkStart w:id="704" w:name="_Toc25325032"/>
      <w:bookmarkStart w:id="705" w:name="_Toc25932487"/>
      <w:bookmarkStart w:id="706" w:name="_Toc26536338"/>
      <w:bookmarkStart w:id="707" w:name="_Toc27141696"/>
      <w:bookmarkStart w:id="708" w:name="_Toc27745339"/>
      <w:bookmarkStart w:id="709" w:name="_Toc28351987"/>
      <w:bookmarkStart w:id="710" w:name="_Toc28955205"/>
      <w:bookmarkStart w:id="711" w:name="_Toc29558258"/>
      <w:bookmarkStart w:id="712" w:name="_Toc30169342"/>
      <w:bookmarkStart w:id="713" w:name="_Toc31978550"/>
      <w:bookmarkStart w:id="714" w:name="_Toc32586745"/>
      <w:bookmarkStart w:id="715" w:name="_Toc33192403"/>
      <w:bookmarkStart w:id="716" w:name="_Toc33798274"/>
      <w:bookmarkStart w:id="717" w:name="_Toc34399816"/>
      <w:bookmarkStart w:id="718" w:name="_Toc35004653"/>
      <w:bookmarkStart w:id="719" w:name="_Toc35607059"/>
      <w:bookmarkStart w:id="720" w:name="_Toc36211390"/>
      <w:bookmarkStart w:id="721" w:name="_Toc38634438"/>
      <w:bookmarkStart w:id="722" w:name="_Toc39155459"/>
      <w:bookmarkEnd w:id="665"/>
      <w:bookmarkEnd w:id="666"/>
      <w:r>
        <w:rPr>
          <w:rFonts w:ascii="黑体" w:eastAsia="黑体" w:hint="eastAsia"/>
          <w:b/>
          <w:sz w:val="28"/>
          <w:szCs w:val="28"/>
        </w:rPr>
        <w:t>三、本周国内油品市场分析及预测</w:t>
      </w:r>
      <w:bookmarkStart w:id="723" w:name="_Toc460250409"/>
      <w:bookmarkStart w:id="724" w:name="_Toc281568207"/>
      <w:bookmarkStart w:id="725" w:name="_Toc296600817"/>
      <w:bookmarkStart w:id="726" w:name="_Toc237428456"/>
      <w:bookmarkStart w:id="727" w:name="_Toc176571903"/>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2F12E4" w:rsidRDefault="004F4F55">
      <w:pPr>
        <w:pStyle w:val="1"/>
        <w:spacing w:line="360" w:lineRule="auto"/>
        <w:rPr>
          <w:rFonts w:asciiTheme="minorEastAsia" w:eastAsiaTheme="minorEastAsia" w:hAnsiTheme="minorEastAsia"/>
          <w:kern w:val="2"/>
          <w:sz w:val="28"/>
          <w:szCs w:val="28"/>
        </w:rPr>
      </w:pPr>
      <w:bookmarkStart w:id="728" w:name="_Toc505350013"/>
      <w:bookmarkStart w:id="729" w:name="_Toc536797018"/>
      <w:bookmarkStart w:id="730" w:name="_Toc2934031"/>
      <w:bookmarkStart w:id="731" w:name="_Toc4160092"/>
      <w:bookmarkStart w:id="732" w:name="_Toc4768342"/>
      <w:bookmarkStart w:id="733" w:name="_Toc1736589"/>
      <w:bookmarkStart w:id="734" w:name="_Toc4768362"/>
      <w:bookmarkStart w:id="735" w:name="_Toc2934052"/>
      <w:bookmarkStart w:id="736" w:name="_Toc5281989"/>
      <w:bookmarkStart w:id="737" w:name="_Toc5976984"/>
      <w:bookmarkStart w:id="738" w:name="_Toc5976964"/>
      <w:bookmarkStart w:id="739" w:name="_Toc10211773"/>
      <w:bookmarkStart w:id="740" w:name="_Toc10731585"/>
      <w:bookmarkStart w:id="741" w:name="_Toc12625697"/>
      <w:bookmarkStart w:id="742" w:name="_Toc12625787"/>
      <w:bookmarkStart w:id="743" w:name="_Toc15022888"/>
      <w:bookmarkStart w:id="744" w:name="_Toc15049645"/>
      <w:bookmarkStart w:id="745" w:name="_Toc15654587"/>
      <w:bookmarkStart w:id="746" w:name="_Toc16257710"/>
      <w:bookmarkStart w:id="747" w:name="_Toc16861062"/>
      <w:bookmarkStart w:id="748" w:name="_Toc17467220"/>
      <w:bookmarkStart w:id="749" w:name="_Toc18072999"/>
      <w:bookmarkStart w:id="750" w:name="_Toc18680418"/>
      <w:bookmarkStart w:id="751" w:name="_Toc19195121"/>
      <w:bookmarkStart w:id="752" w:name="_Toc19887443"/>
      <w:bookmarkStart w:id="753" w:name="_Toc20494338"/>
      <w:bookmarkStart w:id="754" w:name="_Toc21702292"/>
      <w:bookmarkStart w:id="755" w:name="_Toc22307211"/>
      <w:bookmarkStart w:id="756" w:name="_Toc22911769"/>
      <w:bookmarkStart w:id="757" w:name="_Toc23513684"/>
      <w:bookmarkStart w:id="758" w:name="_Toc24117031"/>
      <w:bookmarkStart w:id="759" w:name="_Toc24722685"/>
      <w:bookmarkStart w:id="760" w:name="_Toc25325033"/>
      <w:bookmarkStart w:id="761" w:name="_Toc25932488"/>
      <w:bookmarkStart w:id="762" w:name="_Toc26536339"/>
      <w:bookmarkStart w:id="763" w:name="_Toc27141697"/>
      <w:bookmarkStart w:id="764" w:name="_Toc27745340"/>
      <w:bookmarkStart w:id="765" w:name="_Toc28351988"/>
      <w:bookmarkStart w:id="766" w:name="_Toc28955206"/>
      <w:bookmarkStart w:id="767" w:name="_Toc29558259"/>
      <w:bookmarkStart w:id="768" w:name="_Toc30169343"/>
      <w:bookmarkStart w:id="769" w:name="_Toc31978551"/>
      <w:bookmarkStart w:id="770" w:name="_Toc32586746"/>
      <w:bookmarkStart w:id="771" w:name="_Toc33192404"/>
      <w:bookmarkStart w:id="772" w:name="_Toc33798275"/>
      <w:bookmarkStart w:id="773" w:name="_Toc34399817"/>
      <w:bookmarkStart w:id="774" w:name="_Toc35004654"/>
      <w:bookmarkStart w:id="775" w:name="_Toc35607060"/>
      <w:bookmarkStart w:id="776" w:name="_Toc36211391"/>
      <w:bookmarkStart w:id="777" w:name="_Toc38634439"/>
      <w:bookmarkStart w:id="778" w:name="_Toc39155460"/>
      <w:r>
        <w:rPr>
          <w:rFonts w:asciiTheme="minorEastAsia" w:eastAsiaTheme="minorEastAsia" w:hAnsiTheme="minorEastAsia" w:hint="eastAsia"/>
          <w:kern w:val="2"/>
          <w:sz w:val="28"/>
          <w:szCs w:val="28"/>
        </w:rPr>
        <w:t>3．1  成品油市场动态</w:t>
      </w:r>
      <w:bookmarkEnd w:id="723"/>
      <w:bookmarkEnd w:id="724"/>
      <w:bookmarkEnd w:id="725"/>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0C0535" w:rsidRPr="000C0535" w:rsidRDefault="000C0535" w:rsidP="000C0535">
      <w:pPr>
        <w:pStyle w:val="aa"/>
        <w:ind w:firstLineChars="200" w:firstLine="560"/>
        <w:rPr>
          <w:rFonts w:ascii="华文仿宋" w:eastAsia="华文仿宋" w:hAnsi="华文仿宋" w:cs="华文仿宋"/>
          <w:color w:val="333335"/>
          <w:kern w:val="2"/>
          <w:sz w:val="28"/>
          <w:szCs w:val="28"/>
          <w:shd w:val="clear" w:color="auto" w:fill="FFFFFF"/>
        </w:rPr>
      </w:pPr>
      <w:r w:rsidRPr="000C0535">
        <w:rPr>
          <w:rFonts w:ascii="华文仿宋" w:eastAsia="华文仿宋" w:hAnsi="华文仿宋" w:cs="华文仿宋"/>
          <w:color w:val="333335"/>
          <w:kern w:val="2"/>
          <w:sz w:val="28"/>
          <w:szCs w:val="28"/>
          <w:shd w:val="clear" w:color="auto" w:fill="FFFFFF"/>
        </w:rPr>
        <w:t>本周，国际原油期货先抑后扬，据测算第二个工作日参考原油变化率为-1.82%。受此影响，国内成品油市场购销氛围清淡，各地主营单位汽柴油价格基本稳定。与此同时，山东地炼成品油行情跌势放缓，各炼厂报价低位调整，其成交保持100元/吨左右优惠。具体来看出货方面：周初，受原油弱势打压，买卖双方操作较为谨慎，区内油市观望气氛浓厚。临近周末，外盘油价大涨提振业者心态，而节后高速公路恢复收费使得中下游商家抓紧采购，从而使得地炼整体出货表现向好，库存普遍处于中低位。</w:t>
      </w:r>
    </w:p>
    <w:p w:rsidR="000C0535" w:rsidRPr="000C0535" w:rsidRDefault="000C0535" w:rsidP="000C0535">
      <w:pPr>
        <w:pStyle w:val="aa"/>
        <w:rPr>
          <w:rFonts w:ascii="华文仿宋" w:eastAsia="华文仿宋" w:hAnsi="华文仿宋" w:cs="华文仿宋"/>
          <w:color w:val="333335"/>
          <w:kern w:val="2"/>
          <w:sz w:val="28"/>
          <w:szCs w:val="28"/>
          <w:shd w:val="clear" w:color="auto" w:fill="FFFFFF"/>
        </w:rPr>
      </w:pPr>
      <w:r w:rsidRPr="000C0535">
        <w:rPr>
          <w:rFonts w:ascii="华文仿宋" w:eastAsia="华文仿宋" w:hAnsi="华文仿宋" w:cs="华文仿宋"/>
          <w:color w:val="333335"/>
          <w:kern w:val="2"/>
          <w:sz w:val="28"/>
          <w:szCs w:val="28"/>
          <w:shd w:val="clear" w:color="auto" w:fill="FFFFFF"/>
        </w:rPr>
        <w:t xml:space="preserve">　　后市前瞻：进入下周，国际原油期价有望适度上调。以WTI为例，预计主流运行区间在12-18(均值15)美元/桶之间，环比上涨0.28美元/桶或1.9%。在消息面利好提振下，山东地区成品油行情有望保持坚挺，市场交投气氛温和。综上所述，预计山东地炼汽柴油价格稳中上涨，涨幅在100元/吨左右。</w:t>
      </w:r>
    </w:p>
    <w:p w:rsidR="000C0535" w:rsidRPr="000C0535" w:rsidRDefault="000C0535" w:rsidP="000C0535">
      <w:pPr>
        <w:pStyle w:val="aa"/>
        <w:rPr>
          <w:rFonts w:ascii="华文仿宋" w:eastAsia="华文仿宋" w:hAnsi="华文仿宋" w:cs="华文仿宋"/>
          <w:color w:val="333335"/>
          <w:kern w:val="2"/>
          <w:sz w:val="28"/>
          <w:szCs w:val="28"/>
          <w:shd w:val="clear" w:color="auto" w:fill="FFFFFF"/>
        </w:rPr>
      </w:pPr>
      <w:r w:rsidRPr="000C0535">
        <w:rPr>
          <w:rFonts w:ascii="华文仿宋" w:eastAsia="华文仿宋" w:hAnsi="华文仿宋" w:cs="华文仿宋"/>
          <w:color w:val="333335"/>
          <w:kern w:val="2"/>
          <w:sz w:val="28"/>
          <w:szCs w:val="28"/>
          <w:shd w:val="clear" w:color="auto" w:fill="FFFFFF"/>
        </w:rPr>
        <w:t xml:space="preserve">　　本周(4月24日-4月30日)消息面难寻支撑，华中区内油价维持弱势运行，具体分析如下，本周，国际原油均价较上周提升，但整体仍维持低位震荡走势，零售价调价窗口再度搁浅，消息面对市场指引十分有限。周边地炼因炼油成本维持低位，为维持合理库存，地炼汽柴价格弱势回调。主营因销售任务多已提前完成，压价意向持低，不过低价资源充斥市场，为保证市场份额，主营汽柴价格适度回落，实盘成交多维持宽松优惠。下游入市心态较为悲观，消库之余谨慎采购，整</w:t>
      </w:r>
      <w:r w:rsidRPr="000C0535">
        <w:rPr>
          <w:rFonts w:ascii="华文仿宋" w:eastAsia="华文仿宋" w:hAnsi="华文仿宋" w:cs="华文仿宋"/>
          <w:color w:val="333335"/>
          <w:kern w:val="2"/>
          <w:sz w:val="28"/>
          <w:szCs w:val="28"/>
          <w:shd w:val="clear" w:color="auto" w:fill="FFFFFF"/>
        </w:rPr>
        <w:lastRenderedPageBreak/>
        <w:t>体购销气氛十分清淡。后市而言，若原油减产得到较好落实，国际原油或有望获得一定支撑。不过目前主营汽柴价格仍处于高位，即将步入新一销售周期，主营出货意向积极。故预计短期区内汽柴油价格或难有上行，部分单位或进一步压价促销，五一假期归来，下游存一定补货预期，市场购销或较本周有所缓和。</w:t>
      </w:r>
    </w:p>
    <w:p w:rsidR="000C0535" w:rsidRPr="000C0535" w:rsidRDefault="000C0535" w:rsidP="000C0535">
      <w:pPr>
        <w:pStyle w:val="aa"/>
        <w:rPr>
          <w:rFonts w:ascii="华文仿宋" w:eastAsia="华文仿宋" w:hAnsi="华文仿宋" w:cs="华文仿宋"/>
          <w:color w:val="333335"/>
          <w:kern w:val="2"/>
          <w:sz w:val="28"/>
          <w:szCs w:val="28"/>
          <w:shd w:val="clear" w:color="auto" w:fill="FFFFFF"/>
        </w:rPr>
      </w:pPr>
      <w:r w:rsidRPr="000C0535">
        <w:rPr>
          <w:rFonts w:ascii="华文仿宋" w:eastAsia="华文仿宋" w:hAnsi="华文仿宋" w:cs="华文仿宋"/>
          <w:color w:val="333335"/>
          <w:kern w:val="2"/>
          <w:sz w:val="28"/>
          <w:szCs w:val="28"/>
          <w:shd w:val="clear" w:color="auto" w:fill="FFFFFF"/>
        </w:rPr>
        <w:t xml:space="preserve">　　本周(4月24日-4月30日)华东地区成品油价格窄幅盘整，市场整体成交淡稳。具体来看，周内国际原油期价涨跌不一，消息面难寻有力支撑，区内成品油价格窄幅横盘整理，整体呈现柴跌汽涨。与此同时，山东地炼汽柴油价格过低，冲击区内成品油市场，市场情绪一度低迷，且进入月底主营销售任务已陆续完成，部分主营优惠政策收窄，价格高挂以保利润，故业内下游商家补货受限，多以消库观望为主，成交多为散户小单。综上所述，业内入市采购寥寥，市场整体成交淡稳。后期来看，原油期价或震荡上扬，消息面迎来利好支撑，市场看空情绪有所缓和，业者进入采买阶段。预计下周华东地区成品油行情或稳中上扬。</w:t>
      </w:r>
    </w:p>
    <w:p w:rsidR="000C0535" w:rsidRPr="000C0535" w:rsidRDefault="000C0535" w:rsidP="000C0535">
      <w:pPr>
        <w:pStyle w:val="aa"/>
        <w:rPr>
          <w:rFonts w:ascii="华文仿宋" w:eastAsia="华文仿宋" w:hAnsi="华文仿宋" w:cs="华文仿宋"/>
          <w:color w:val="333335"/>
          <w:kern w:val="2"/>
          <w:sz w:val="28"/>
          <w:szCs w:val="28"/>
          <w:shd w:val="clear" w:color="auto" w:fill="FFFFFF"/>
        </w:rPr>
      </w:pPr>
      <w:r w:rsidRPr="000C0535">
        <w:rPr>
          <w:rFonts w:ascii="华文仿宋" w:eastAsia="华文仿宋" w:hAnsi="华文仿宋" w:cs="华文仿宋"/>
          <w:color w:val="333335"/>
          <w:kern w:val="2"/>
          <w:sz w:val="28"/>
          <w:szCs w:val="28"/>
          <w:shd w:val="clear" w:color="auto" w:fill="FFFFFF"/>
        </w:rPr>
        <w:t xml:space="preserve">　　本周(4月24日-4月30日)华北地区主营汽柴油行情趋稳整理，下游业者操作谨慎按需。分析来看，国际原油期价震荡走高，消息面对市场支撑有限。山东地炼汽柴油行情依然维持弱势，主营外采成本依然处于低位，成本面亦无明显支撑。与此同时，月底临近主营方面销售任务完成尚可，侧重保利政策为主。另外下游需求呈现“柴强汽弱”趋势，多重因素影响下，本周区内主营汽柴油行情趋稳整理为主。中下游用户入市操作积极性有限，按需小单为主。后市来看，国际原油短期或存小涨可能，消息面提供一定支撑，预计短期区内成品油行情仍偏强整理为主。</w:t>
      </w:r>
    </w:p>
    <w:p w:rsidR="000C0535" w:rsidRPr="000C0535" w:rsidRDefault="000C0535" w:rsidP="000C0535">
      <w:pPr>
        <w:pStyle w:val="aa"/>
        <w:rPr>
          <w:rFonts w:ascii="华文仿宋" w:eastAsia="华文仿宋" w:hAnsi="华文仿宋" w:cs="华文仿宋"/>
          <w:color w:val="333335"/>
          <w:kern w:val="2"/>
          <w:sz w:val="28"/>
          <w:szCs w:val="28"/>
          <w:shd w:val="clear" w:color="auto" w:fill="FFFFFF"/>
        </w:rPr>
      </w:pPr>
      <w:r w:rsidRPr="000C0535">
        <w:rPr>
          <w:rFonts w:ascii="华文仿宋" w:eastAsia="华文仿宋" w:hAnsi="华文仿宋" w:cs="华文仿宋"/>
          <w:color w:val="333335"/>
          <w:kern w:val="2"/>
          <w:sz w:val="28"/>
          <w:szCs w:val="28"/>
          <w:shd w:val="clear" w:color="auto" w:fill="FFFFFF"/>
        </w:rPr>
        <w:lastRenderedPageBreak/>
        <w:t xml:space="preserve">　　本周(4月24日-4月30日)华南地区成品油行情继续走低，市场购销气氛清淡难改。具体来看，国际原油期货震荡走高，零售价继续停调，消息方面支撑有限。与此同时，山东地炼汽柴油价格下跌，主营单位外采成本继续走低。受此影响，业者场外消库观望为主，入市操作意向低迷，主营单位出货节奏迟缓，汽柴油价格双双下跌。尽管临近五一假期，但由于当前市场库存高位，业者入市备货意向淡薄，市场购销清淡难改。后市来看，国际原油期货震荡上涨，消息方面支撑尚可。但步入五一假期，市场交投基本停滞。节后归来，预计华南地区汽柴油行情仍难言乐观。</w:t>
      </w:r>
    </w:p>
    <w:p w:rsidR="000C0535" w:rsidRPr="000C0535" w:rsidRDefault="000C0535" w:rsidP="000C0535">
      <w:pPr>
        <w:pStyle w:val="aa"/>
        <w:rPr>
          <w:rFonts w:ascii="华文仿宋" w:eastAsia="华文仿宋" w:hAnsi="华文仿宋" w:cs="华文仿宋"/>
          <w:color w:val="333335"/>
          <w:kern w:val="2"/>
          <w:sz w:val="28"/>
          <w:szCs w:val="28"/>
          <w:shd w:val="clear" w:color="auto" w:fill="FFFFFF"/>
        </w:rPr>
      </w:pPr>
      <w:r w:rsidRPr="000C0535">
        <w:rPr>
          <w:rFonts w:ascii="华文仿宋" w:eastAsia="华文仿宋" w:hAnsi="华文仿宋" w:cs="华文仿宋"/>
          <w:color w:val="333335"/>
          <w:kern w:val="2"/>
          <w:sz w:val="28"/>
          <w:szCs w:val="28"/>
          <w:shd w:val="clear" w:color="auto" w:fill="FFFFFF"/>
        </w:rPr>
        <w:t xml:space="preserve">　　本周(4月24日-4月30日)西南地区汽柴行情维持跌势，整体交投氛围平淡。分析来看：周内国际油价跌后反弹，本轮成品油零售价继续停调，消息面对市场难有指引。此外，临近月末，部分地区主营降价冲量，并暗中增加优惠力度，整体行情有所下移。目前工矿基建等行业多已正常开工，柴油需求较前期提升，同时，私家车出行增多，汽油需求亦有提量。不过，业者前期积极补货，社会库存维持高位。另外，考虑到后期随着资源供应增加，汽柴行情仍存下行压力。业者操作心态谨慎，节前补货有限，市场成交难改平淡。就后市而言：新版减产协议即将落地执行，受此支撑，国际油价或震荡走高，消息面有所好转。不过，主营即将开启新的销售周期，出货积极性增加，部分单位或促销走量，因此预计下周西南地区汽柴行情或延续跌势。但假期内业者消耗前期库存为主，市场成交难有提升。</w:t>
      </w:r>
    </w:p>
    <w:p w:rsidR="000C0535" w:rsidRPr="000C0535" w:rsidRDefault="000C0535" w:rsidP="000C0535">
      <w:pPr>
        <w:pStyle w:val="aa"/>
        <w:rPr>
          <w:rFonts w:ascii="华文仿宋" w:eastAsia="华文仿宋" w:hAnsi="华文仿宋" w:cs="华文仿宋"/>
          <w:color w:val="333335"/>
          <w:kern w:val="2"/>
          <w:sz w:val="28"/>
          <w:szCs w:val="28"/>
          <w:shd w:val="clear" w:color="auto" w:fill="FFFFFF"/>
        </w:rPr>
      </w:pPr>
      <w:r w:rsidRPr="000C0535">
        <w:rPr>
          <w:rFonts w:ascii="华文仿宋" w:eastAsia="华文仿宋" w:hAnsi="华文仿宋" w:cs="华文仿宋"/>
          <w:color w:val="333335"/>
          <w:kern w:val="2"/>
          <w:sz w:val="28"/>
          <w:szCs w:val="28"/>
          <w:shd w:val="clear" w:color="auto" w:fill="FFFFFF"/>
        </w:rPr>
        <w:t xml:space="preserve">　　本周(4月24日-4月30日)西北地炼汽柴行情维持淡稳运行，市场成交气氛平平。分析来看：周内国际原油期价跌后反弹，但均价仍低于40美元/桶，成品油</w:t>
      </w:r>
      <w:r w:rsidRPr="000C0535">
        <w:rPr>
          <w:rFonts w:ascii="华文仿宋" w:eastAsia="华文仿宋" w:hAnsi="华文仿宋" w:cs="华文仿宋"/>
          <w:color w:val="333335"/>
          <w:kern w:val="2"/>
          <w:sz w:val="28"/>
          <w:szCs w:val="28"/>
          <w:shd w:val="clear" w:color="auto" w:fill="FFFFFF"/>
        </w:rPr>
        <w:lastRenderedPageBreak/>
        <w:t>零售价继续停调，消息面对市场难有支撑。与此同时，山东及周边地方炼厂价格仍下跌为主，低价资源对市场仍有打压。不过，受延安炼厂检修影响，市场供应减量，支撑区内价格保持稳定。业者操作心态谨慎，节前大单补货有限，市场交投氛围难改平淡。就后市而言，国际油价或震荡走高，消息面略有好转。此外，假期期间，下游库存或得到一定消化，节后业者适量补货，市场成交或稍有改善。预计短线西北地炼汽柴行情或维持平稳运行。</w:t>
      </w:r>
    </w:p>
    <w:p w:rsidR="008015EA" w:rsidRPr="00E4247F" w:rsidRDefault="008015EA" w:rsidP="000C0535">
      <w:pPr>
        <w:pStyle w:val="aa"/>
        <w:spacing w:line="360" w:lineRule="auto"/>
        <w:ind w:firstLineChars="200" w:firstLine="560"/>
        <w:rPr>
          <w:rFonts w:ascii="华文仿宋" w:eastAsia="华文仿宋" w:hAnsi="华文仿宋" w:cs="华文仿宋"/>
          <w:sz w:val="28"/>
          <w:szCs w:val="28"/>
        </w:rPr>
      </w:pPr>
    </w:p>
    <w:p w:rsidR="002F12E4" w:rsidRDefault="004F4F55" w:rsidP="00266404">
      <w:pPr>
        <w:outlineLvl w:val="0"/>
        <w:rPr>
          <w:rFonts w:ascii="黑体" w:eastAsia="黑体"/>
          <w:b/>
          <w:sz w:val="28"/>
          <w:szCs w:val="28"/>
        </w:rPr>
      </w:pPr>
      <w:bookmarkStart w:id="779" w:name="_Toc1736590"/>
      <w:bookmarkStart w:id="780" w:name="_Toc505350014"/>
      <w:bookmarkStart w:id="781" w:name="_Toc2934053"/>
      <w:bookmarkStart w:id="782" w:name="_Toc2934032"/>
      <w:bookmarkStart w:id="783" w:name="_Toc536797019"/>
      <w:bookmarkStart w:id="784" w:name="_Toc10211774"/>
      <w:bookmarkStart w:id="785" w:name="_Toc10731586"/>
      <w:bookmarkStart w:id="786" w:name="_Toc12625698"/>
      <w:bookmarkStart w:id="787" w:name="_Toc12625788"/>
      <w:bookmarkStart w:id="788" w:name="_Toc15022889"/>
      <w:bookmarkStart w:id="789" w:name="_Toc15049646"/>
      <w:bookmarkStart w:id="790" w:name="_Toc15654588"/>
      <w:bookmarkStart w:id="791" w:name="_Toc16257711"/>
      <w:bookmarkStart w:id="792" w:name="_Toc16861063"/>
      <w:bookmarkStart w:id="793" w:name="_Toc17467221"/>
      <w:bookmarkStart w:id="794" w:name="_Toc18073000"/>
      <w:bookmarkStart w:id="795" w:name="_Toc18680419"/>
      <w:bookmarkStart w:id="796" w:name="_Toc19195122"/>
      <w:bookmarkStart w:id="797" w:name="_Toc19887444"/>
      <w:bookmarkStart w:id="798" w:name="_Toc20494339"/>
      <w:bookmarkStart w:id="799" w:name="_Toc21702293"/>
      <w:bookmarkStart w:id="800" w:name="_Toc22307212"/>
      <w:bookmarkStart w:id="801" w:name="_Toc22911770"/>
      <w:bookmarkStart w:id="802" w:name="_Toc23513685"/>
      <w:bookmarkStart w:id="803" w:name="_Toc24117032"/>
      <w:bookmarkStart w:id="804" w:name="_Toc24722686"/>
      <w:bookmarkStart w:id="805" w:name="_Toc25325034"/>
      <w:bookmarkStart w:id="806" w:name="_Toc25932489"/>
      <w:bookmarkStart w:id="807" w:name="_Toc26536340"/>
      <w:bookmarkStart w:id="808" w:name="_Toc27141698"/>
      <w:bookmarkStart w:id="809" w:name="_Toc27745341"/>
      <w:bookmarkStart w:id="810" w:name="_Toc28351989"/>
      <w:bookmarkStart w:id="811" w:name="_Toc28955207"/>
      <w:bookmarkStart w:id="812" w:name="_Toc29558260"/>
      <w:bookmarkStart w:id="813" w:name="_Toc30169344"/>
      <w:bookmarkStart w:id="814" w:name="_Toc31978552"/>
      <w:bookmarkStart w:id="815" w:name="_Toc32586747"/>
      <w:bookmarkStart w:id="816" w:name="_Toc33192405"/>
      <w:bookmarkStart w:id="817" w:name="_Toc33798276"/>
      <w:bookmarkStart w:id="818" w:name="_Toc34399818"/>
      <w:bookmarkStart w:id="819" w:name="_Toc35004655"/>
      <w:bookmarkStart w:id="820" w:name="_Toc35607061"/>
      <w:bookmarkStart w:id="821" w:name="_Toc36211392"/>
      <w:bookmarkStart w:id="822" w:name="_Toc38634440"/>
      <w:bookmarkStart w:id="823" w:name="_Toc460250410"/>
      <w:bookmarkStart w:id="824" w:name="_Toc180485827"/>
      <w:bookmarkStart w:id="825" w:name="_Toc281568208"/>
      <w:bookmarkStart w:id="826" w:name="_Toc296600818"/>
      <w:bookmarkStart w:id="827" w:name="_Toc369858747"/>
      <w:bookmarkStart w:id="828" w:name="_Toc296600819"/>
      <w:bookmarkStart w:id="829" w:name="_Toc281568211"/>
      <w:bookmarkStart w:id="830" w:name="_Toc39155461"/>
      <w:bookmarkEnd w:id="726"/>
      <w:bookmarkEnd w:id="727"/>
      <w:r>
        <w:rPr>
          <w:rFonts w:ascii="黑体" w:eastAsia="黑体" w:hint="eastAsia"/>
          <w:b/>
          <w:sz w:val="28"/>
          <w:szCs w:val="28"/>
        </w:rPr>
        <w:t>四、国内溶剂油市场综述</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30"/>
    </w:p>
    <w:p w:rsidR="00CF5F97" w:rsidRPr="00CF5F97" w:rsidRDefault="00DF7CAA" w:rsidP="00CF5F97">
      <w:pPr>
        <w:widowControl/>
        <w:ind w:firstLineChars="200" w:firstLine="560"/>
        <w:jc w:val="left"/>
        <w:rPr>
          <w:rFonts w:ascii="华文仿宋" w:eastAsia="华文仿宋" w:hAnsi="华文仿宋" w:cs="宋体"/>
          <w:kern w:val="0"/>
          <w:sz w:val="28"/>
          <w:szCs w:val="28"/>
        </w:rPr>
      </w:pPr>
      <w:bookmarkStart w:id="831" w:name="_Toc505350015"/>
      <w:bookmarkStart w:id="832" w:name="_Toc460250411"/>
      <w:bookmarkEnd w:id="823"/>
      <w:bookmarkEnd w:id="824"/>
      <w:bookmarkEnd w:id="825"/>
      <w:bookmarkEnd w:id="826"/>
      <w:bookmarkEnd w:id="827"/>
      <w:r>
        <w:rPr>
          <w:rFonts w:ascii="华文仿宋" w:eastAsia="华文仿宋" w:hAnsi="华文仿宋" w:cs="宋体" w:hint="eastAsia"/>
          <w:kern w:val="0"/>
          <w:sz w:val="28"/>
          <w:szCs w:val="28"/>
        </w:rPr>
        <w:t>本周</w:t>
      </w:r>
      <w:r w:rsidR="000C0535" w:rsidRPr="000C0535">
        <w:rPr>
          <w:rFonts w:ascii="华文仿宋" w:eastAsia="华文仿宋" w:hAnsi="华文仿宋" w:cs="宋体"/>
          <w:kern w:val="0"/>
          <w:sz w:val="28"/>
          <w:szCs w:val="28"/>
        </w:rPr>
        <w:t>4月29日国际原油收盘：6月WTI：15.06涨2.72;布伦特：22.54涨2.08。投资者试图在美国企业重新开张的乐观情绪与新冠疫情对美国人健康和经济的持续威胁之间取得平衡，加之对没有地方储存石油的担心，导致油价近期大幅波动。本轮第2个工作日，原油估价18.382美元/桶，较基准价跌1.179或-6.03%，暂预计5月14日24时成品油零售限价对应下调150元/吨，但由于原油水平低于40美元/桶，调价窗口暂不开启。今日原油收盘回涨，预计今日地炼非标溶剂油市场或将止跌回稳，并且不排除个别低价资源或有小幅回涨行情出现，不过由于五一小假逼近，五一期间物流运输或存在一定的压力，即便市场有回涨趋势出现，涨幅及涨势也相对受限。截至4月30日，监测数据显示，两大集团国标6#溶剂油均价4800元/吨，国标120#溶剂油均价5600元/吨。山东地区国标6#溶剂油均价3950元/吨，国标120#溶剂油均价3550元/吨，国标200#溶剂油均价4200元/吨。非标120#溶剂油均价2650跌25元/吨;非标200#溶剂油均价3100跌40元/吨。虽今日原油收盘小幅调涨，但今日溶剂油市场主流市场依旧延续盘稳运</w:t>
      </w:r>
      <w:r w:rsidR="000C0535" w:rsidRPr="000C0535">
        <w:rPr>
          <w:rFonts w:ascii="华文仿宋" w:eastAsia="华文仿宋" w:hAnsi="华文仿宋" w:cs="宋体"/>
          <w:kern w:val="0"/>
          <w:sz w:val="28"/>
          <w:szCs w:val="28"/>
        </w:rPr>
        <w:lastRenderedPageBreak/>
        <w:t>行，零星仍有稳中下跌的行情出现。非标溶剂油市场方面，今日国际油价回涨，地炼柴油市场跟涨趋势明显，但非标溶剂油市场整体表现并不乐观，因五一小假在即，假期间高速危险品车辆限行影响，下游及贸易商已提前完成采买计划，导致今日市场成交平平，故今日非标溶剂油价格仍有低位下探的行情出现，其中非标120#溶剂油市场成交低位下探至2500元/吨，国四资源甚至有2350元/吨的低端价位出现，非标200#溶剂油市场目前需求表现亦平淡难改，市场成交区间至2800-3500元/吨左右。场内整体看交投局势并不乐观，调油需求目前表现平平，柴油需求好过汽油需求，五一假期间市场成交或依旧表现平淡。国标溶剂油市场方面目前依旧延续稳势，主营炼厂方面因石脑油结算价格下跌影响，五一节后或有适度下调行情出现，民营炼厂方面近期表现平淡，市场维持刚需为主，因此短期内看民营炼厂国标溶剂油价格方面易跌难涨</w:t>
      </w:r>
      <w:r w:rsidR="00CF5F97" w:rsidRPr="00CF5F97">
        <w:rPr>
          <w:rFonts w:ascii="华文仿宋" w:eastAsia="华文仿宋" w:hAnsi="华文仿宋" w:cs="宋体"/>
          <w:kern w:val="0"/>
          <w:sz w:val="28"/>
          <w:szCs w:val="28"/>
        </w:rPr>
        <w:t>。</w:t>
      </w:r>
    </w:p>
    <w:p w:rsidR="008C5A42" w:rsidRPr="00F50221" w:rsidRDefault="008C5A42" w:rsidP="00482CAE">
      <w:pPr>
        <w:widowControl/>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833" w:name="_Toc10211775"/>
      <w:bookmarkStart w:id="834" w:name="_Toc10731587"/>
      <w:bookmarkStart w:id="835" w:name="_Toc12625699"/>
      <w:bookmarkStart w:id="836" w:name="_Toc12625789"/>
      <w:bookmarkStart w:id="837" w:name="_Toc15022890"/>
      <w:bookmarkStart w:id="838" w:name="_Toc15049647"/>
      <w:bookmarkStart w:id="839" w:name="_Toc15654589"/>
      <w:bookmarkStart w:id="840" w:name="_Toc16257712"/>
      <w:bookmarkStart w:id="841" w:name="_Toc16861064"/>
      <w:bookmarkStart w:id="842" w:name="_Toc17467222"/>
      <w:bookmarkStart w:id="843" w:name="_Toc18073001"/>
      <w:bookmarkStart w:id="844" w:name="_Toc18680420"/>
      <w:bookmarkStart w:id="845" w:name="_Toc19195123"/>
      <w:bookmarkStart w:id="846" w:name="_Toc19887445"/>
      <w:bookmarkStart w:id="847" w:name="_Toc20494340"/>
      <w:bookmarkStart w:id="848" w:name="_Toc21702294"/>
      <w:bookmarkStart w:id="849" w:name="_Toc22307213"/>
      <w:bookmarkStart w:id="850" w:name="_Toc22911771"/>
      <w:bookmarkStart w:id="851" w:name="_Toc23513686"/>
      <w:bookmarkStart w:id="852" w:name="_Toc24117033"/>
      <w:bookmarkStart w:id="853" w:name="_Toc24722687"/>
      <w:bookmarkStart w:id="854" w:name="_Toc25325035"/>
      <w:bookmarkStart w:id="855" w:name="_Toc25932490"/>
      <w:bookmarkStart w:id="856" w:name="_Toc26536341"/>
      <w:bookmarkStart w:id="857" w:name="_Toc27141699"/>
      <w:bookmarkStart w:id="858" w:name="_Toc27745342"/>
      <w:bookmarkStart w:id="859" w:name="_Toc28351990"/>
      <w:bookmarkStart w:id="860" w:name="_Toc28955208"/>
      <w:bookmarkStart w:id="861" w:name="_Toc29558261"/>
      <w:bookmarkStart w:id="862" w:name="_Toc30169345"/>
      <w:bookmarkStart w:id="863" w:name="_Toc31978553"/>
      <w:bookmarkStart w:id="864" w:name="_Toc32586748"/>
      <w:bookmarkStart w:id="865" w:name="_Toc33192406"/>
      <w:bookmarkStart w:id="866" w:name="_Toc33798277"/>
      <w:bookmarkStart w:id="867" w:name="_Toc34399819"/>
      <w:bookmarkStart w:id="868" w:name="_Toc35004656"/>
      <w:bookmarkStart w:id="869" w:name="_Toc35607062"/>
      <w:bookmarkStart w:id="870" w:name="_Toc36211393"/>
      <w:bookmarkStart w:id="871" w:name="_Toc38634441"/>
      <w:bookmarkStart w:id="872" w:name="_Toc39155462"/>
      <w:r>
        <w:rPr>
          <w:rFonts w:ascii="黑体" w:hint="eastAsia"/>
          <w:b/>
          <w:bCs/>
          <w:sz w:val="28"/>
          <w:szCs w:val="28"/>
        </w:rPr>
        <w:t>五、本周国内炼厂溶剂油产品价格对比</w:t>
      </w:r>
      <w:bookmarkEnd w:id="828"/>
      <w:bookmarkEnd w:id="829"/>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6468F6"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2020/4/30</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2020/4/24</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2600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2800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w:t>
            </w:r>
            <w:r w:rsidRPr="002300C3">
              <w:rPr>
                <w:rFonts w:ascii="华文仿宋" w:eastAsia="华文仿宋" w:hAnsi="华文仿宋" w:cs="宋体" w:hint="eastAsia"/>
                <w:kern w:val="0"/>
                <w:sz w:val="28"/>
                <w:szCs w:val="28"/>
              </w:rPr>
              <w:lastRenderedPageBreak/>
              <w:t>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-850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2350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3200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3600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3800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3900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4200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4300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4600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5150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5150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4450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4450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4500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4500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468F6" w:rsidRPr="002300C3" w:rsidRDefault="006468F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873" w:name="_Toc281568213"/>
      <w:bookmarkStart w:id="874" w:name="_Toc505350016"/>
      <w:bookmarkStart w:id="875" w:name="_Toc460250412"/>
      <w:bookmarkStart w:id="876" w:name="_Toc2934054"/>
      <w:bookmarkStart w:id="877" w:name="_Toc536797020"/>
      <w:bookmarkStart w:id="878" w:name="_Toc296600821"/>
      <w:bookmarkStart w:id="879" w:name="_Toc1736591"/>
      <w:bookmarkStart w:id="880" w:name="_Toc2934033"/>
      <w:bookmarkStart w:id="881" w:name="_Toc4768343"/>
      <w:bookmarkStart w:id="882" w:name="_Toc5281990"/>
      <w:bookmarkStart w:id="883" w:name="_Toc4160093"/>
      <w:bookmarkStart w:id="884" w:name="_Toc5976985"/>
      <w:bookmarkStart w:id="885" w:name="_Toc5976965"/>
      <w:bookmarkStart w:id="886" w:name="_Toc4768363"/>
      <w:bookmarkStart w:id="887" w:name="_Toc10211776"/>
      <w:bookmarkStart w:id="888" w:name="_Toc10731588"/>
      <w:bookmarkStart w:id="889" w:name="_Toc12625700"/>
      <w:bookmarkStart w:id="890" w:name="_Toc12625790"/>
      <w:bookmarkStart w:id="891" w:name="_Toc15022891"/>
      <w:bookmarkStart w:id="892" w:name="_Toc15049648"/>
      <w:bookmarkStart w:id="893" w:name="_Toc15654590"/>
      <w:bookmarkStart w:id="894" w:name="_Toc16257713"/>
      <w:bookmarkStart w:id="895" w:name="_Toc16861065"/>
      <w:bookmarkStart w:id="896" w:name="_Toc17467223"/>
      <w:bookmarkStart w:id="897" w:name="_Toc18073002"/>
      <w:bookmarkStart w:id="898" w:name="_Toc18680421"/>
      <w:bookmarkStart w:id="899" w:name="_Toc19195124"/>
      <w:bookmarkStart w:id="900" w:name="_Toc19887446"/>
      <w:bookmarkStart w:id="901" w:name="_Toc20494341"/>
      <w:bookmarkStart w:id="902" w:name="_Toc21702295"/>
      <w:bookmarkStart w:id="903" w:name="_Toc22307214"/>
      <w:bookmarkStart w:id="904" w:name="_Toc22911772"/>
      <w:bookmarkStart w:id="905" w:name="_Toc23513687"/>
      <w:bookmarkStart w:id="906" w:name="_Toc24117034"/>
      <w:bookmarkStart w:id="907" w:name="_Toc24722688"/>
      <w:bookmarkStart w:id="908" w:name="_Toc25325036"/>
      <w:bookmarkStart w:id="909" w:name="_Toc25932491"/>
      <w:bookmarkStart w:id="910" w:name="_Toc26536342"/>
      <w:bookmarkStart w:id="911" w:name="_Toc27141700"/>
      <w:bookmarkStart w:id="912" w:name="_Toc27745343"/>
      <w:bookmarkStart w:id="913" w:name="_Toc28351991"/>
      <w:bookmarkStart w:id="914" w:name="_Toc28955209"/>
      <w:bookmarkStart w:id="915" w:name="_Toc29558262"/>
      <w:bookmarkStart w:id="916" w:name="_Toc30169346"/>
      <w:bookmarkStart w:id="917" w:name="_Toc31978554"/>
      <w:bookmarkStart w:id="918" w:name="_Toc32586749"/>
      <w:bookmarkStart w:id="919" w:name="_Toc33192407"/>
      <w:bookmarkStart w:id="920" w:name="_Toc33798278"/>
      <w:bookmarkStart w:id="921" w:name="_Toc34399820"/>
      <w:bookmarkStart w:id="922" w:name="_Toc35004657"/>
      <w:bookmarkStart w:id="923" w:name="_Toc35607063"/>
      <w:bookmarkStart w:id="924" w:name="_Toc36211394"/>
      <w:bookmarkStart w:id="925" w:name="_Toc38634442"/>
      <w:bookmarkStart w:id="926" w:name="_Toc39155463"/>
      <w:r>
        <w:rPr>
          <w:rFonts w:ascii="黑体" w:hAnsi="宋体" w:hint="eastAsia"/>
          <w:sz w:val="28"/>
          <w:szCs w:val="28"/>
        </w:rPr>
        <w:t>六、D系列特种溶剂油</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35"/>
        <w:gridCol w:w="1220"/>
        <w:gridCol w:w="1035"/>
        <w:gridCol w:w="1060"/>
        <w:gridCol w:w="1035"/>
        <w:gridCol w:w="1034"/>
        <w:gridCol w:w="1547"/>
        <w:gridCol w:w="1547"/>
      </w:tblGrid>
      <w:tr w:rsidR="006468F6"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2020/4/30</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2020/4/24</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2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7400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7400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w:t>
            </w:r>
            <w:r w:rsidRPr="00F93674">
              <w:rPr>
                <w:rFonts w:ascii="华文仿宋" w:eastAsia="华文仿宋" w:hAnsi="华文仿宋" w:cs="宋体" w:hint="eastAsia"/>
                <w:kern w:val="0"/>
                <w:sz w:val="28"/>
                <w:szCs w:val="28"/>
              </w:rPr>
              <w:lastRenderedPageBreak/>
              <w:t>桥爱思开</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7200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w:t>
            </w:r>
            <w:r w:rsidRPr="00F93674">
              <w:rPr>
                <w:rFonts w:ascii="华文仿宋" w:eastAsia="华文仿宋" w:hAnsi="华文仿宋" w:cs="宋体" w:hint="eastAsia"/>
                <w:kern w:val="0"/>
                <w:sz w:val="28"/>
                <w:szCs w:val="28"/>
              </w:rPr>
              <w:lastRenderedPageBreak/>
              <w:t>华</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-600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5850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6450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6100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-450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6250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华中</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468F6" w:rsidRPr="00F93674" w:rsidRDefault="006468F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927" w:name="_Toc460250413"/>
      <w:bookmarkStart w:id="928" w:name="_Toc296600822"/>
      <w:bookmarkStart w:id="929" w:name="_Toc281568214"/>
      <w:bookmarkStart w:id="930" w:name="_Toc505350017"/>
      <w:bookmarkStart w:id="931" w:name="_Toc1736592"/>
      <w:bookmarkStart w:id="932" w:name="_Toc536797021"/>
      <w:bookmarkStart w:id="933" w:name="_Toc4160094"/>
      <w:bookmarkStart w:id="934" w:name="_Toc4768364"/>
      <w:bookmarkStart w:id="935" w:name="_Toc5281991"/>
      <w:bookmarkStart w:id="936" w:name="_Toc2934034"/>
      <w:bookmarkStart w:id="937" w:name="_Toc4768344"/>
      <w:bookmarkStart w:id="938" w:name="_Toc2934055"/>
      <w:bookmarkStart w:id="939" w:name="_Toc5976966"/>
      <w:bookmarkStart w:id="940" w:name="_Toc5976986"/>
      <w:bookmarkStart w:id="941" w:name="_Toc10211777"/>
      <w:bookmarkStart w:id="942" w:name="_Toc10731589"/>
      <w:bookmarkStart w:id="943" w:name="_Toc12625701"/>
      <w:bookmarkStart w:id="944" w:name="_Toc12625791"/>
      <w:bookmarkStart w:id="945" w:name="_Toc15022892"/>
      <w:bookmarkStart w:id="946" w:name="_Toc15049649"/>
      <w:bookmarkStart w:id="947" w:name="_Toc15654591"/>
      <w:bookmarkStart w:id="948" w:name="_Toc16257714"/>
      <w:bookmarkStart w:id="949" w:name="_Toc16861066"/>
      <w:bookmarkStart w:id="950" w:name="_Toc17467224"/>
      <w:bookmarkStart w:id="951" w:name="_Toc18073003"/>
      <w:bookmarkStart w:id="952" w:name="_Toc18680422"/>
      <w:bookmarkStart w:id="953" w:name="_Toc19195125"/>
      <w:bookmarkStart w:id="954" w:name="_Toc19887447"/>
      <w:bookmarkStart w:id="955" w:name="_Toc20494342"/>
      <w:bookmarkStart w:id="956" w:name="_Toc21702296"/>
      <w:bookmarkStart w:id="957" w:name="_Toc22307215"/>
      <w:bookmarkStart w:id="958" w:name="_Toc22911773"/>
      <w:bookmarkStart w:id="959" w:name="_Toc23513688"/>
      <w:bookmarkStart w:id="960" w:name="_Toc24117035"/>
      <w:bookmarkStart w:id="961" w:name="_Toc24722689"/>
      <w:bookmarkStart w:id="962" w:name="_Toc25325037"/>
      <w:bookmarkStart w:id="963" w:name="_Toc25932492"/>
      <w:bookmarkStart w:id="964" w:name="_Toc26536343"/>
      <w:bookmarkStart w:id="965" w:name="_Toc27141701"/>
      <w:bookmarkStart w:id="966" w:name="_Toc27745344"/>
      <w:bookmarkStart w:id="967" w:name="_Toc28351992"/>
      <w:bookmarkStart w:id="968" w:name="_Toc28955210"/>
      <w:bookmarkStart w:id="969" w:name="_Toc29558263"/>
      <w:bookmarkStart w:id="970" w:name="_Toc30169347"/>
      <w:bookmarkStart w:id="971" w:name="_Toc31978555"/>
      <w:bookmarkStart w:id="972" w:name="_Toc32586750"/>
      <w:bookmarkStart w:id="973" w:name="_Toc33192408"/>
      <w:bookmarkStart w:id="974" w:name="_Toc33798279"/>
      <w:bookmarkStart w:id="975" w:name="_Toc34399821"/>
      <w:bookmarkStart w:id="976" w:name="_Toc35004658"/>
      <w:bookmarkStart w:id="977" w:name="_Toc35607064"/>
      <w:bookmarkStart w:id="978" w:name="_Toc36211395"/>
      <w:bookmarkStart w:id="979" w:name="_Toc38634443"/>
      <w:bookmarkStart w:id="980" w:name="_Toc39155464"/>
      <w:r>
        <w:rPr>
          <w:rFonts w:ascii="华文仿宋" w:eastAsia="华文仿宋" w:hAnsi="华文仿宋" w:hint="eastAsia"/>
          <w:bCs w:val="0"/>
          <w:kern w:val="2"/>
          <w:sz w:val="28"/>
          <w:szCs w:val="28"/>
        </w:rPr>
        <w:t>七、重芳烃溶剂油</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6468F6"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2020/4/30</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2020/4/24</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w:t>
            </w:r>
            <w:r w:rsidRPr="00B14058">
              <w:rPr>
                <w:rFonts w:ascii="华文仿宋" w:eastAsia="华文仿宋" w:hAnsi="华文仿宋" w:cs="宋体" w:hint="eastAsia"/>
                <w:kern w:val="0"/>
                <w:sz w:val="28"/>
                <w:szCs w:val="28"/>
              </w:rPr>
              <w:lastRenderedPageBreak/>
              <w:t>厂</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S-1000#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S180#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5700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5700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5650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5650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S1000#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S200#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6468F6"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468F6"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6468F6"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3850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3850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130#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1000#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C10</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华南</w:t>
            </w:r>
          </w:p>
        </w:tc>
        <w:tc>
          <w:tcPr>
            <w:tcW w:w="998"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981" w:name="_Toc4768345"/>
      <w:bookmarkStart w:id="982" w:name="_Toc2934056"/>
      <w:bookmarkStart w:id="983" w:name="_Toc505350018"/>
      <w:bookmarkStart w:id="984" w:name="_Toc5976987"/>
      <w:bookmarkStart w:id="985" w:name="_Toc4768365"/>
      <w:bookmarkStart w:id="986" w:name="_Toc4160095"/>
      <w:bookmarkStart w:id="987" w:name="_Toc5281992"/>
      <w:bookmarkStart w:id="988" w:name="_Toc5976967"/>
      <w:bookmarkStart w:id="989" w:name="_Toc296600823"/>
      <w:bookmarkStart w:id="990" w:name="_Toc460250414"/>
      <w:bookmarkStart w:id="991" w:name="_Toc281568215"/>
      <w:bookmarkStart w:id="992" w:name="_Toc1736593"/>
      <w:bookmarkStart w:id="993" w:name="_Toc536797022"/>
      <w:bookmarkStart w:id="994" w:name="_Toc180485835"/>
      <w:bookmarkStart w:id="995" w:name="_Toc2934035"/>
      <w:bookmarkStart w:id="996" w:name="_Toc10211778"/>
      <w:bookmarkStart w:id="997" w:name="_Toc10731590"/>
      <w:bookmarkStart w:id="998" w:name="_Toc12625702"/>
      <w:bookmarkStart w:id="999" w:name="_Toc12625792"/>
      <w:bookmarkStart w:id="1000" w:name="_Toc15022893"/>
      <w:bookmarkStart w:id="1001" w:name="_Toc15049650"/>
      <w:bookmarkStart w:id="1002" w:name="_Toc15654592"/>
      <w:bookmarkStart w:id="1003" w:name="_Toc16257715"/>
      <w:bookmarkStart w:id="1004" w:name="_Toc16861067"/>
      <w:bookmarkStart w:id="1005" w:name="_Toc17467225"/>
      <w:bookmarkStart w:id="1006" w:name="_Toc18073004"/>
      <w:bookmarkStart w:id="1007" w:name="_Toc18680423"/>
      <w:bookmarkStart w:id="1008" w:name="_Toc19195126"/>
      <w:bookmarkStart w:id="1009" w:name="_Toc19887448"/>
      <w:bookmarkStart w:id="1010" w:name="_Toc20494343"/>
      <w:bookmarkStart w:id="1011" w:name="_Toc21702297"/>
      <w:bookmarkStart w:id="1012" w:name="_Toc22307216"/>
      <w:bookmarkStart w:id="1013" w:name="_Toc22911774"/>
      <w:bookmarkStart w:id="1014" w:name="_Toc23513689"/>
      <w:bookmarkStart w:id="1015" w:name="_Toc24117036"/>
      <w:bookmarkStart w:id="1016" w:name="_Toc24722690"/>
      <w:bookmarkStart w:id="1017" w:name="_Toc25325038"/>
      <w:bookmarkStart w:id="1018" w:name="_Toc25932493"/>
      <w:bookmarkStart w:id="1019" w:name="_Toc26536344"/>
      <w:bookmarkStart w:id="1020" w:name="_Toc27141702"/>
      <w:bookmarkStart w:id="1021" w:name="_Toc27745345"/>
      <w:bookmarkStart w:id="1022" w:name="_Toc28351993"/>
      <w:bookmarkStart w:id="1023" w:name="_Toc28955211"/>
      <w:bookmarkStart w:id="1024" w:name="_Toc29558264"/>
      <w:bookmarkStart w:id="1025" w:name="_Toc30169348"/>
      <w:bookmarkStart w:id="1026" w:name="_Toc31978556"/>
      <w:bookmarkStart w:id="1027" w:name="_Toc32586751"/>
      <w:bookmarkStart w:id="1028" w:name="_Toc33192409"/>
      <w:bookmarkStart w:id="1029" w:name="_Toc33798280"/>
      <w:bookmarkStart w:id="1030" w:name="_Toc34399822"/>
      <w:bookmarkStart w:id="1031" w:name="_Toc35004659"/>
      <w:bookmarkStart w:id="1032" w:name="_Toc35607065"/>
      <w:bookmarkStart w:id="1033" w:name="_Toc36211396"/>
      <w:bookmarkStart w:id="1034" w:name="_Toc38634444"/>
      <w:bookmarkStart w:id="1035" w:name="_Toc39155465"/>
      <w:r>
        <w:rPr>
          <w:rFonts w:ascii="华文仿宋" w:eastAsia="华文仿宋" w:hAnsi="华文仿宋" w:hint="eastAsia"/>
          <w:bCs w:val="0"/>
          <w:kern w:val="2"/>
          <w:sz w:val="28"/>
          <w:szCs w:val="28"/>
        </w:rPr>
        <w:t>八、正己烷</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6468F6"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2020/4/30</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2020/4/24</w:t>
            </w:r>
          </w:p>
        </w:tc>
      </w:tr>
      <w:tr w:rsidR="006468F6"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5600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6468F6"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468F6"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6468F6"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6468F6"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6468F6"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兰州石化</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7100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7100</w:t>
            </w:r>
          </w:p>
        </w:tc>
      </w:tr>
      <w:tr w:rsidR="006468F6"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468F6" w:rsidRPr="00B14058" w:rsidRDefault="006468F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468F6" w:rsidRDefault="006468F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036" w:name="_Toc281568216"/>
      <w:bookmarkStart w:id="1037" w:name="_Toc2934036"/>
      <w:bookmarkStart w:id="1038" w:name="_Toc1736594"/>
      <w:bookmarkStart w:id="1039" w:name="_Toc5976968"/>
      <w:bookmarkStart w:id="1040" w:name="_Toc5976988"/>
      <w:bookmarkStart w:id="1041" w:name="_Toc4160096"/>
      <w:bookmarkStart w:id="1042" w:name="_Toc4768366"/>
      <w:bookmarkStart w:id="1043" w:name="_Toc2934057"/>
      <w:bookmarkStart w:id="1044" w:name="_Toc4768346"/>
      <w:bookmarkStart w:id="1045" w:name="_Toc296600824"/>
      <w:bookmarkStart w:id="1046" w:name="_Toc536797023"/>
      <w:bookmarkStart w:id="1047" w:name="_Toc505350019"/>
      <w:bookmarkStart w:id="1048" w:name="_Toc5281993"/>
      <w:bookmarkStart w:id="1049" w:name="_Toc460250415"/>
      <w:bookmarkStart w:id="1050" w:name="_Toc10211779"/>
      <w:bookmarkStart w:id="1051" w:name="_Toc10731591"/>
      <w:bookmarkStart w:id="1052" w:name="_Toc12625703"/>
      <w:bookmarkStart w:id="1053" w:name="_Toc12625793"/>
      <w:bookmarkStart w:id="1054" w:name="_Toc15022894"/>
      <w:bookmarkStart w:id="1055" w:name="_Toc15049651"/>
      <w:bookmarkStart w:id="1056" w:name="_Toc15654593"/>
      <w:bookmarkStart w:id="1057" w:name="_Toc16257716"/>
      <w:bookmarkStart w:id="1058" w:name="_Toc16861068"/>
      <w:bookmarkStart w:id="1059" w:name="_Toc17467226"/>
      <w:bookmarkStart w:id="1060" w:name="_Toc18073005"/>
      <w:bookmarkStart w:id="1061" w:name="_Toc18680424"/>
      <w:bookmarkStart w:id="1062" w:name="_Toc19195127"/>
      <w:bookmarkStart w:id="1063" w:name="_Toc19887449"/>
      <w:bookmarkStart w:id="1064" w:name="_Toc20494344"/>
      <w:bookmarkStart w:id="1065" w:name="_Toc21702298"/>
      <w:bookmarkStart w:id="1066" w:name="_Toc22307217"/>
      <w:bookmarkStart w:id="1067" w:name="_Toc22911775"/>
      <w:bookmarkStart w:id="1068" w:name="_Toc23513690"/>
      <w:bookmarkStart w:id="1069" w:name="_Toc24117037"/>
      <w:bookmarkStart w:id="1070" w:name="_Toc24722691"/>
      <w:bookmarkStart w:id="1071" w:name="_Toc25325039"/>
      <w:bookmarkStart w:id="1072" w:name="_Toc25932494"/>
      <w:bookmarkStart w:id="1073" w:name="_Toc26536345"/>
      <w:bookmarkStart w:id="1074" w:name="_Toc27141703"/>
      <w:bookmarkStart w:id="1075" w:name="_Toc27745346"/>
      <w:bookmarkStart w:id="1076" w:name="_Toc28351994"/>
      <w:bookmarkStart w:id="1077" w:name="_Toc28955212"/>
      <w:bookmarkStart w:id="1078" w:name="_Toc29558265"/>
      <w:bookmarkStart w:id="1079" w:name="_Toc30169349"/>
      <w:bookmarkStart w:id="1080" w:name="_Toc31978557"/>
      <w:bookmarkStart w:id="1081" w:name="_Toc32586752"/>
      <w:bookmarkStart w:id="1082" w:name="_Toc33192410"/>
      <w:bookmarkStart w:id="1083" w:name="_Toc33798281"/>
      <w:bookmarkStart w:id="1084" w:name="_Toc34399823"/>
      <w:bookmarkStart w:id="1085" w:name="_Toc35004660"/>
      <w:bookmarkStart w:id="1086" w:name="_Toc35607066"/>
      <w:bookmarkStart w:id="1087" w:name="_Toc36211397"/>
      <w:bookmarkStart w:id="1088" w:name="_Toc38634445"/>
      <w:bookmarkStart w:id="1089" w:name="_Toc39155466"/>
      <w:r>
        <w:rPr>
          <w:rFonts w:ascii="华文仿宋" w:eastAsia="华文仿宋" w:hAnsi="华文仿宋" w:hint="eastAsia"/>
          <w:bCs w:val="0"/>
          <w:kern w:val="2"/>
          <w:sz w:val="28"/>
          <w:szCs w:val="28"/>
        </w:rPr>
        <w:t>九、</w:t>
      </w:r>
      <w:r w:rsidR="002F4108">
        <w:rPr>
          <w:rFonts w:ascii="华文仿宋" w:eastAsia="华文仿宋" w:hAnsi="华文仿宋" w:hint="eastAsia"/>
          <w:bCs w:val="0"/>
          <w:kern w:val="2"/>
          <w:sz w:val="28"/>
          <w:szCs w:val="28"/>
        </w:rPr>
        <w:t>20</w:t>
      </w:r>
      <w:r w:rsidR="00C951DA">
        <w:rPr>
          <w:rFonts w:ascii="华文仿宋" w:eastAsia="华文仿宋" w:hAnsi="华文仿宋" w:hint="eastAsia"/>
          <w:bCs w:val="0"/>
          <w:kern w:val="2"/>
          <w:sz w:val="28"/>
          <w:szCs w:val="28"/>
        </w:rPr>
        <w:t>20</w:t>
      </w:r>
      <w:r>
        <w:rPr>
          <w:rFonts w:ascii="华文仿宋" w:eastAsia="华文仿宋" w:hAnsi="华文仿宋" w:hint="eastAsia"/>
          <w:bCs w:val="0"/>
          <w:kern w:val="2"/>
          <w:sz w:val="28"/>
          <w:szCs w:val="28"/>
        </w:rPr>
        <w:t>年</w:t>
      </w:r>
      <w:r w:rsidR="009E6F64">
        <w:rPr>
          <w:rFonts w:ascii="华文仿宋" w:eastAsia="华文仿宋" w:hAnsi="华文仿宋" w:hint="eastAsia"/>
          <w:bCs w:val="0"/>
          <w:kern w:val="2"/>
          <w:sz w:val="28"/>
          <w:szCs w:val="28"/>
        </w:rPr>
        <w:t>2</w:t>
      </w:r>
      <w:r>
        <w:rPr>
          <w:rFonts w:ascii="华文仿宋" w:eastAsia="华文仿宋" w:hAnsi="华文仿宋" w:hint="eastAsia"/>
          <w:bCs w:val="0"/>
          <w:kern w:val="2"/>
          <w:sz w:val="28"/>
          <w:szCs w:val="28"/>
        </w:rPr>
        <w:t>月中国溶剂油进出口数据统计</w:t>
      </w:r>
      <w:bookmarkEnd w:id="57"/>
      <w:bookmarkEnd w:id="58"/>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2F12E4" w:rsidRDefault="002F12E4"/>
    <w:p w:rsidR="002F12E4" w:rsidRDefault="00B9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2020</w:t>
      </w:r>
      <w:r w:rsidR="004F4F55">
        <w:rPr>
          <w:rFonts w:ascii="华文仿宋" w:eastAsia="华文仿宋" w:hAnsi="华文仿宋" w:hint="eastAsia"/>
          <w:b/>
          <w:sz w:val="28"/>
          <w:szCs w:val="28"/>
        </w:rPr>
        <w:t>年</w:t>
      </w:r>
      <w:r w:rsidR="009E6F64">
        <w:rPr>
          <w:rFonts w:ascii="华文仿宋" w:eastAsia="华文仿宋" w:hAnsi="华文仿宋" w:hint="eastAsia"/>
          <w:b/>
          <w:sz w:val="28"/>
          <w:szCs w:val="28"/>
        </w:rPr>
        <w:t>2</w:t>
      </w:r>
      <w:r w:rsidR="004F4F55">
        <w:rPr>
          <w:rFonts w:ascii="华文仿宋" w:eastAsia="华文仿宋" w:hAnsi="华文仿宋" w:hint="eastAsia"/>
          <w:b/>
          <w:sz w:val="28"/>
          <w:szCs w:val="28"/>
        </w:rPr>
        <w:t>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020" w:type="dxa"/>
        <w:tblInd w:w="93" w:type="dxa"/>
        <w:tblLook w:val="04A0"/>
      </w:tblPr>
      <w:tblGrid>
        <w:gridCol w:w="1080"/>
        <w:gridCol w:w="1080"/>
        <w:gridCol w:w="1080"/>
        <w:gridCol w:w="1080"/>
        <w:gridCol w:w="1120"/>
        <w:gridCol w:w="1420"/>
        <w:gridCol w:w="1080"/>
        <w:gridCol w:w="1080"/>
      </w:tblGrid>
      <w:tr w:rsidR="00B9393A" w:rsidRPr="00B9393A" w:rsidTr="00B9393A">
        <w:trPr>
          <w:trHeight w:val="825"/>
        </w:trPr>
        <w:tc>
          <w:tcPr>
            <w:tcW w:w="1080" w:type="dxa"/>
            <w:tcBorders>
              <w:top w:val="single" w:sz="8" w:space="0" w:color="000000"/>
              <w:left w:val="single" w:sz="8" w:space="0" w:color="auto"/>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产品</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年度</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月份</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产销国</w:t>
            </w:r>
            <w:r w:rsidRPr="00B9393A">
              <w:rPr>
                <w:rFonts w:ascii="华文仿宋" w:eastAsia="华文仿宋" w:hAnsi="华文仿宋" w:cs="宋体" w:hint="eastAsia"/>
                <w:b/>
                <w:bCs/>
                <w:color w:val="000000"/>
                <w:kern w:val="0"/>
                <w:sz w:val="28"/>
                <w:szCs w:val="28"/>
              </w:rPr>
              <w:lastRenderedPageBreak/>
              <w:t>及地区</w:t>
            </w:r>
          </w:p>
        </w:tc>
        <w:tc>
          <w:tcPr>
            <w:tcW w:w="112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lastRenderedPageBreak/>
              <w:t>进口数</w:t>
            </w:r>
            <w:r w:rsidRPr="00B9393A">
              <w:rPr>
                <w:rFonts w:ascii="华文仿宋" w:eastAsia="华文仿宋" w:hAnsi="华文仿宋" w:cs="宋体" w:hint="eastAsia"/>
                <w:b/>
                <w:bCs/>
                <w:color w:val="000000"/>
                <w:kern w:val="0"/>
                <w:sz w:val="28"/>
                <w:szCs w:val="28"/>
              </w:rPr>
              <w:lastRenderedPageBreak/>
              <w:t>量</w:t>
            </w:r>
          </w:p>
        </w:tc>
        <w:tc>
          <w:tcPr>
            <w:tcW w:w="142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lastRenderedPageBreak/>
              <w:t>进口美元</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出口数</w:t>
            </w:r>
            <w:r w:rsidRPr="00B9393A">
              <w:rPr>
                <w:rFonts w:ascii="华文仿宋" w:eastAsia="华文仿宋" w:hAnsi="华文仿宋" w:cs="宋体" w:hint="eastAsia"/>
                <w:b/>
                <w:bCs/>
                <w:color w:val="000000"/>
                <w:kern w:val="0"/>
                <w:sz w:val="28"/>
                <w:szCs w:val="28"/>
              </w:rPr>
              <w:lastRenderedPageBreak/>
              <w:t>量</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lastRenderedPageBreak/>
              <w:t>出口美</w:t>
            </w:r>
            <w:r w:rsidRPr="00B9393A">
              <w:rPr>
                <w:rFonts w:ascii="华文仿宋" w:eastAsia="华文仿宋" w:hAnsi="华文仿宋" w:cs="宋体" w:hint="eastAsia"/>
                <w:b/>
                <w:bCs/>
                <w:color w:val="000000"/>
                <w:kern w:val="0"/>
                <w:sz w:val="28"/>
                <w:szCs w:val="28"/>
              </w:rPr>
              <w:lastRenderedPageBreak/>
              <w:t>元</w:t>
            </w:r>
          </w:p>
        </w:tc>
      </w:tr>
      <w:tr w:rsidR="00B9393A" w:rsidRPr="00B9393A" w:rsidTr="00B9393A">
        <w:trPr>
          <w:trHeight w:val="420"/>
        </w:trPr>
        <w:tc>
          <w:tcPr>
            <w:tcW w:w="1080" w:type="dxa"/>
            <w:vMerge w:val="restart"/>
            <w:tcBorders>
              <w:top w:val="nil"/>
              <w:left w:val="single" w:sz="8" w:space="0" w:color="auto"/>
              <w:bottom w:val="single" w:sz="8" w:space="0" w:color="000000"/>
              <w:right w:val="single" w:sz="8" w:space="0" w:color="000000"/>
            </w:tcBorders>
            <w:shd w:val="clear" w:color="auto" w:fill="auto"/>
            <w:vAlign w:val="bottom"/>
            <w:hideMark/>
          </w:tcPr>
          <w:p w:rsidR="00B9393A" w:rsidRPr="00B9393A" w:rsidRDefault="00B9393A" w:rsidP="00B9393A">
            <w:pPr>
              <w:widowControl/>
              <w:jc w:val="center"/>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lastRenderedPageBreak/>
              <w:t>溶剂油，不含有生物柴油</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新加坡</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1,219 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1,539,112 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日本</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760 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1,007,732 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德国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451 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498,738 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美国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364 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481,603 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韩国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111 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96,328 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英国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42 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62,343 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比利时</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25 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35,450 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台湾</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12 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27,336 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中国香港</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96 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77,175 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泰国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22 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35,952 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缅甸</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3,028 </w:t>
            </w:r>
          </w:p>
        </w:tc>
      </w:tr>
      <w:tr w:rsidR="00B9393A" w:rsidRPr="00B9393A" w:rsidTr="00B9393A">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巴基斯坦</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1,219 </w:t>
            </w:r>
          </w:p>
        </w:tc>
      </w:tr>
      <w:tr w:rsidR="00B9393A" w:rsidRPr="00B9393A" w:rsidTr="00B9393A">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土耳其</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1,251 </w:t>
            </w:r>
          </w:p>
        </w:tc>
      </w:tr>
      <w:tr w:rsidR="00B9393A" w:rsidRPr="00B9393A" w:rsidTr="00B9393A">
        <w:trPr>
          <w:trHeight w:val="420"/>
        </w:trPr>
        <w:tc>
          <w:tcPr>
            <w:tcW w:w="4320"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合计</w:t>
            </w:r>
          </w:p>
        </w:tc>
        <w:tc>
          <w:tcPr>
            <w:tcW w:w="112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2984</w:t>
            </w:r>
          </w:p>
        </w:tc>
        <w:tc>
          <w:tcPr>
            <w:tcW w:w="142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3748642</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121.62</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118624</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2E8" w:rsidRDefault="008622E8" w:rsidP="002F12E4">
      <w:r>
        <w:separator/>
      </w:r>
    </w:p>
  </w:endnote>
  <w:endnote w:type="continuationSeparator" w:id="1">
    <w:p w:rsidR="008622E8" w:rsidRDefault="008622E8"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8D" w:rsidRDefault="00BD2DE3">
    <w:pPr>
      <w:pStyle w:val="a7"/>
      <w:jc w:val="center"/>
    </w:pPr>
    <w:r>
      <w:rPr>
        <w:b/>
        <w:bCs/>
        <w:sz w:val="24"/>
        <w:szCs w:val="24"/>
      </w:rPr>
      <w:fldChar w:fldCharType="begin"/>
    </w:r>
    <w:r w:rsidR="0062728D">
      <w:rPr>
        <w:b/>
        <w:bCs/>
      </w:rPr>
      <w:instrText>PAGE</w:instrText>
    </w:r>
    <w:r>
      <w:rPr>
        <w:b/>
        <w:bCs/>
        <w:sz w:val="24"/>
        <w:szCs w:val="24"/>
      </w:rPr>
      <w:fldChar w:fldCharType="separate"/>
    </w:r>
    <w:r w:rsidR="00AA5EA8">
      <w:rPr>
        <w:b/>
        <w:bCs/>
        <w:noProof/>
      </w:rPr>
      <w:t>53</w:t>
    </w:r>
    <w:r>
      <w:rPr>
        <w:b/>
        <w:bCs/>
        <w:sz w:val="24"/>
        <w:szCs w:val="24"/>
      </w:rPr>
      <w:fldChar w:fldCharType="end"/>
    </w:r>
    <w:r w:rsidR="0062728D">
      <w:rPr>
        <w:lang w:val="zh-CN"/>
      </w:rPr>
      <w:t xml:space="preserve"> / </w:t>
    </w:r>
    <w:r>
      <w:rPr>
        <w:b/>
        <w:bCs/>
        <w:sz w:val="24"/>
        <w:szCs w:val="24"/>
      </w:rPr>
      <w:fldChar w:fldCharType="begin"/>
    </w:r>
    <w:r w:rsidR="0062728D">
      <w:rPr>
        <w:b/>
        <w:bCs/>
      </w:rPr>
      <w:instrText>NUMPAGES</w:instrText>
    </w:r>
    <w:r>
      <w:rPr>
        <w:b/>
        <w:bCs/>
        <w:sz w:val="24"/>
        <w:szCs w:val="24"/>
      </w:rPr>
      <w:fldChar w:fldCharType="separate"/>
    </w:r>
    <w:r w:rsidR="00AA5EA8">
      <w:rPr>
        <w:b/>
        <w:bCs/>
        <w:noProof/>
      </w:rPr>
      <w:t>54</w:t>
    </w:r>
    <w:r>
      <w:rPr>
        <w:b/>
        <w:bCs/>
        <w:sz w:val="24"/>
        <w:szCs w:val="24"/>
      </w:rPr>
      <w:fldChar w:fldCharType="end"/>
    </w:r>
  </w:p>
  <w:p w:rsidR="0062728D" w:rsidRDefault="006272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2E8" w:rsidRDefault="008622E8" w:rsidP="002F12E4">
      <w:r>
        <w:separator/>
      </w:r>
    </w:p>
  </w:footnote>
  <w:footnote w:type="continuationSeparator" w:id="1">
    <w:p w:rsidR="008622E8" w:rsidRDefault="008622E8"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8D" w:rsidRDefault="0062728D">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62728D" w:rsidRDefault="0062728D">
    <w:pPr>
      <w:pStyle w:val="a8"/>
      <w:pBdr>
        <w:bottom w:val="none" w:sz="0" w:space="0" w:color="auto"/>
      </w:pBdr>
      <w:tabs>
        <w:tab w:val="clear" w:pos="8306"/>
        <w:tab w:val="left" w:pos="4200"/>
        <w:tab w:val="left" w:pos="4620"/>
      </w:tabs>
      <w:jc w:val="left"/>
    </w:pPr>
    <w:r>
      <w:tab/>
    </w:r>
    <w:r>
      <w:tab/>
    </w:r>
    <w:r>
      <w:tab/>
    </w:r>
    <w:r>
      <w:tab/>
    </w:r>
  </w:p>
  <w:p w:rsidR="0062728D" w:rsidRDefault="0062728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5154"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09D1"/>
    <w:rsid w:val="00001473"/>
    <w:rsid w:val="0000274E"/>
    <w:rsid w:val="0000362D"/>
    <w:rsid w:val="00004CFF"/>
    <w:rsid w:val="000071C7"/>
    <w:rsid w:val="00007808"/>
    <w:rsid w:val="00007BC8"/>
    <w:rsid w:val="000117C2"/>
    <w:rsid w:val="0001218B"/>
    <w:rsid w:val="000121DE"/>
    <w:rsid w:val="000130B9"/>
    <w:rsid w:val="00013FDF"/>
    <w:rsid w:val="00020192"/>
    <w:rsid w:val="00020B39"/>
    <w:rsid w:val="0003077E"/>
    <w:rsid w:val="0003360D"/>
    <w:rsid w:val="00037E49"/>
    <w:rsid w:val="00040130"/>
    <w:rsid w:val="000408B1"/>
    <w:rsid w:val="0004192E"/>
    <w:rsid w:val="000425F6"/>
    <w:rsid w:val="000436BC"/>
    <w:rsid w:val="000460B0"/>
    <w:rsid w:val="00047AD4"/>
    <w:rsid w:val="000516D9"/>
    <w:rsid w:val="00052A4E"/>
    <w:rsid w:val="00052B46"/>
    <w:rsid w:val="00054CF7"/>
    <w:rsid w:val="0005567F"/>
    <w:rsid w:val="000570B3"/>
    <w:rsid w:val="00057ECC"/>
    <w:rsid w:val="00060511"/>
    <w:rsid w:val="00061563"/>
    <w:rsid w:val="00062A8E"/>
    <w:rsid w:val="00062E0B"/>
    <w:rsid w:val="00063B35"/>
    <w:rsid w:val="00064D33"/>
    <w:rsid w:val="00064F6D"/>
    <w:rsid w:val="000654E9"/>
    <w:rsid w:val="000659EB"/>
    <w:rsid w:val="00066E32"/>
    <w:rsid w:val="000672ED"/>
    <w:rsid w:val="0007498D"/>
    <w:rsid w:val="00075984"/>
    <w:rsid w:val="000773A7"/>
    <w:rsid w:val="000824CA"/>
    <w:rsid w:val="000828AD"/>
    <w:rsid w:val="000835A9"/>
    <w:rsid w:val="00083947"/>
    <w:rsid w:val="00084C53"/>
    <w:rsid w:val="00085917"/>
    <w:rsid w:val="00085ADA"/>
    <w:rsid w:val="000862A0"/>
    <w:rsid w:val="00087B10"/>
    <w:rsid w:val="00090B39"/>
    <w:rsid w:val="00091349"/>
    <w:rsid w:val="0009414D"/>
    <w:rsid w:val="00095AAD"/>
    <w:rsid w:val="00096A95"/>
    <w:rsid w:val="00097DEF"/>
    <w:rsid w:val="000A0D0E"/>
    <w:rsid w:val="000A3783"/>
    <w:rsid w:val="000A3833"/>
    <w:rsid w:val="000A5588"/>
    <w:rsid w:val="000A772C"/>
    <w:rsid w:val="000B010E"/>
    <w:rsid w:val="000B03A3"/>
    <w:rsid w:val="000B1002"/>
    <w:rsid w:val="000B1594"/>
    <w:rsid w:val="000B2483"/>
    <w:rsid w:val="000B326F"/>
    <w:rsid w:val="000B3A25"/>
    <w:rsid w:val="000B4670"/>
    <w:rsid w:val="000B674E"/>
    <w:rsid w:val="000C0535"/>
    <w:rsid w:val="000C1D5E"/>
    <w:rsid w:val="000C2905"/>
    <w:rsid w:val="000C3871"/>
    <w:rsid w:val="000C409C"/>
    <w:rsid w:val="000C4C8D"/>
    <w:rsid w:val="000C70FB"/>
    <w:rsid w:val="000D02E6"/>
    <w:rsid w:val="000D07A4"/>
    <w:rsid w:val="000D3112"/>
    <w:rsid w:val="000D3893"/>
    <w:rsid w:val="000D403C"/>
    <w:rsid w:val="000D6DB7"/>
    <w:rsid w:val="000D7C1F"/>
    <w:rsid w:val="000E0D04"/>
    <w:rsid w:val="000E12DD"/>
    <w:rsid w:val="000E2789"/>
    <w:rsid w:val="000E2F16"/>
    <w:rsid w:val="000E34FD"/>
    <w:rsid w:val="000E3ED3"/>
    <w:rsid w:val="000E4486"/>
    <w:rsid w:val="000E58ED"/>
    <w:rsid w:val="000F27A7"/>
    <w:rsid w:val="000F4930"/>
    <w:rsid w:val="000F6AFC"/>
    <w:rsid w:val="000F72F8"/>
    <w:rsid w:val="000F79C7"/>
    <w:rsid w:val="00100B41"/>
    <w:rsid w:val="00102080"/>
    <w:rsid w:val="00102456"/>
    <w:rsid w:val="001028D9"/>
    <w:rsid w:val="00102BAA"/>
    <w:rsid w:val="00102C13"/>
    <w:rsid w:val="00103D77"/>
    <w:rsid w:val="001045A7"/>
    <w:rsid w:val="00107647"/>
    <w:rsid w:val="00111DD8"/>
    <w:rsid w:val="00111F37"/>
    <w:rsid w:val="0011230E"/>
    <w:rsid w:val="00113D3C"/>
    <w:rsid w:val="00114C42"/>
    <w:rsid w:val="00114D13"/>
    <w:rsid w:val="0011778E"/>
    <w:rsid w:val="0012102D"/>
    <w:rsid w:val="00121E0C"/>
    <w:rsid w:val="0012267A"/>
    <w:rsid w:val="00123276"/>
    <w:rsid w:val="00126260"/>
    <w:rsid w:val="00130438"/>
    <w:rsid w:val="001316A0"/>
    <w:rsid w:val="00133CC8"/>
    <w:rsid w:val="00133EB5"/>
    <w:rsid w:val="001346D7"/>
    <w:rsid w:val="001351B0"/>
    <w:rsid w:val="00137FFE"/>
    <w:rsid w:val="0014013A"/>
    <w:rsid w:val="00140710"/>
    <w:rsid w:val="00141FA8"/>
    <w:rsid w:val="00142491"/>
    <w:rsid w:val="001460D5"/>
    <w:rsid w:val="001479D7"/>
    <w:rsid w:val="00147D86"/>
    <w:rsid w:val="001501E5"/>
    <w:rsid w:val="00150B7B"/>
    <w:rsid w:val="001546FC"/>
    <w:rsid w:val="00156DA8"/>
    <w:rsid w:val="00165F76"/>
    <w:rsid w:val="00167025"/>
    <w:rsid w:val="00174197"/>
    <w:rsid w:val="00174DDE"/>
    <w:rsid w:val="00177FF6"/>
    <w:rsid w:val="001805D9"/>
    <w:rsid w:val="00183F2A"/>
    <w:rsid w:val="00186802"/>
    <w:rsid w:val="001909B4"/>
    <w:rsid w:val="00190EB4"/>
    <w:rsid w:val="00191D80"/>
    <w:rsid w:val="00194FD7"/>
    <w:rsid w:val="00194FF2"/>
    <w:rsid w:val="00195689"/>
    <w:rsid w:val="001A1504"/>
    <w:rsid w:val="001A2F27"/>
    <w:rsid w:val="001A3318"/>
    <w:rsid w:val="001A3BEB"/>
    <w:rsid w:val="001A58F5"/>
    <w:rsid w:val="001A7ED8"/>
    <w:rsid w:val="001B0F30"/>
    <w:rsid w:val="001B2E5D"/>
    <w:rsid w:val="001B317F"/>
    <w:rsid w:val="001B32BE"/>
    <w:rsid w:val="001B45E6"/>
    <w:rsid w:val="001B4A1F"/>
    <w:rsid w:val="001B7F7D"/>
    <w:rsid w:val="001C077C"/>
    <w:rsid w:val="001C20CD"/>
    <w:rsid w:val="001C2EBD"/>
    <w:rsid w:val="001C37E2"/>
    <w:rsid w:val="001C5CC6"/>
    <w:rsid w:val="001C6F15"/>
    <w:rsid w:val="001C7052"/>
    <w:rsid w:val="001C7707"/>
    <w:rsid w:val="001D0919"/>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200758"/>
    <w:rsid w:val="002020F1"/>
    <w:rsid w:val="00203C88"/>
    <w:rsid w:val="00207892"/>
    <w:rsid w:val="00210717"/>
    <w:rsid w:val="002115F5"/>
    <w:rsid w:val="00212A13"/>
    <w:rsid w:val="00214955"/>
    <w:rsid w:val="0021517F"/>
    <w:rsid w:val="00216D04"/>
    <w:rsid w:val="00216E11"/>
    <w:rsid w:val="00223AF9"/>
    <w:rsid w:val="00224DAB"/>
    <w:rsid w:val="00225CE6"/>
    <w:rsid w:val="00227F1B"/>
    <w:rsid w:val="00227F5A"/>
    <w:rsid w:val="002300C3"/>
    <w:rsid w:val="00231BFF"/>
    <w:rsid w:val="00231D5F"/>
    <w:rsid w:val="00234D42"/>
    <w:rsid w:val="0023608D"/>
    <w:rsid w:val="002366DE"/>
    <w:rsid w:val="00237B6C"/>
    <w:rsid w:val="00240DF6"/>
    <w:rsid w:val="00241625"/>
    <w:rsid w:val="00241E3C"/>
    <w:rsid w:val="00242655"/>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6715F"/>
    <w:rsid w:val="00271669"/>
    <w:rsid w:val="00274D99"/>
    <w:rsid w:val="0027542A"/>
    <w:rsid w:val="00277A2E"/>
    <w:rsid w:val="00277D2C"/>
    <w:rsid w:val="002828E1"/>
    <w:rsid w:val="00283EB6"/>
    <w:rsid w:val="00284E04"/>
    <w:rsid w:val="002868C1"/>
    <w:rsid w:val="0028779B"/>
    <w:rsid w:val="00287A7F"/>
    <w:rsid w:val="00290A13"/>
    <w:rsid w:val="0029167F"/>
    <w:rsid w:val="002918B5"/>
    <w:rsid w:val="00292507"/>
    <w:rsid w:val="00294A26"/>
    <w:rsid w:val="00294EAC"/>
    <w:rsid w:val="0029581D"/>
    <w:rsid w:val="00296032"/>
    <w:rsid w:val="0029698F"/>
    <w:rsid w:val="002A0B34"/>
    <w:rsid w:val="002A1698"/>
    <w:rsid w:val="002A4F6D"/>
    <w:rsid w:val="002A7925"/>
    <w:rsid w:val="002B018D"/>
    <w:rsid w:val="002B3AF4"/>
    <w:rsid w:val="002B4300"/>
    <w:rsid w:val="002B4781"/>
    <w:rsid w:val="002B52B0"/>
    <w:rsid w:val="002B62D9"/>
    <w:rsid w:val="002C1452"/>
    <w:rsid w:val="002C3203"/>
    <w:rsid w:val="002C5EDB"/>
    <w:rsid w:val="002C6CDA"/>
    <w:rsid w:val="002C7B93"/>
    <w:rsid w:val="002D0CDE"/>
    <w:rsid w:val="002D1062"/>
    <w:rsid w:val="002D12FA"/>
    <w:rsid w:val="002D67FA"/>
    <w:rsid w:val="002E1DC1"/>
    <w:rsid w:val="002E38DB"/>
    <w:rsid w:val="002F12E4"/>
    <w:rsid w:val="002F33D8"/>
    <w:rsid w:val="002F4108"/>
    <w:rsid w:val="002F4F0E"/>
    <w:rsid w:val="002F5234"/>
    <w:rsid w:val="002F54D8"/>
    <w:rsid w:val="00300609"/>
    <w:rsid w:val="00302851"/>
    <w:rsid w:val="00304FA5"/>
    <w:rsid w:val="00305C4B"/>
    <w:rsid w:val="00307354"/>
    <w:rsid w:val="003135BD"/>
    <w:rsid w:val="0031365E"/>
    <w:rsid w:val="00315174"/>
    <w:rsid w:val="0032110B"/>
    <w:rsid w:val="003240B9"/>
    <w:rsid w:val="00324F27"/>
    <w:rsid w:val="00326F50"/>
    <w:rsid w:val="00327FC0"/>
    <w:rsid w:val="0033114C"/>
    <w:rsid w:val="00334BA1"/>
    <w:rsid w:val="00335FD6"/>
    <w:rsid w:val="00337A4C"/>
    <w:rsid w:val="00337ABE"/>
    <w:rsid w:val="00341C36"/>
    <w:rsid w:val="00344452"/>
    <w:rsid w:val="00351DA0"/>
    <w:rsid w:val="003530D9"/>
    <w:rsid w:val="00355C68"/>
    <w:rsid w:val="00356436"/>
    <w:rsid w:val="003572B9"/>
    <w:rsid w:val="0035738C"/>
    <w:rsid w:val="0036061A"/>
    <w:rsid w:val="00361079"/>
    <w:rsid w:val="00365DE0"/>
    <w:rsid w:val="0036649D"/>
    <w:rsid w:val="003677FB"/>
    <w:rsid w:val="00370336"/>
    <w:rsid w:val="00370DF6"/>
    <w:rsid w:val="0037465B"/>
    <w:rsid w:val="0037670E"/>
    <w:rsid w:val="00376D68"/>
    <w:rsid w:val="00377F89"/>
    <w:rsid w:val="00380D44"/>
    <w:rsid w:val="00381DF6"/>
    <w:rsid w:val="00384C31"/>
    <w:rsid w:val="003860B8"/>
    <w:rsid w:val="00387771"/>
    <w:rsid w:val="00391FCD"/>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220D"/>
    <w:rsid w:val="003C393A"/>
    <w:rsid w:val="003C4307"/>
    <w:rsid w:val="003D0110"/>
    <w:rsid w:val="003D18AF"/>
    <w:rsid w:val="003D4FDD"/>
    <w:rsid w:val="003D6166"/>
    <w:rsid w:val="003D632C"/>
    <w:rsid w:val="003D6751"/>
    <w:rsid w:val="003E2A66"/>
    <w:rsid w:val="003E3F79"/>
    <w:rsid w:val="003E4601"/>
    <w:rsid w:val="003E5B5C"/>
    <w:rsid w:val="003E6C5C"/>
    <w:rsid w:val="003F0853"/>
    <w:rsid w:val="003F15E2"/>
    <w:rsid w:val="003F22DF"/>
    <w:rsid w:val="003F26E1"/>
    <w:rsid w:val="003F29A5"/>
    <w:rsid w:val="003F30FD"/>
    <w:rsid w:val="003F4C7B"/>
    <w:rsid w:val="003F5F7C"/>
    <w:rsid w:val="003F6DCC"/>
    <w:rsid w:val="003F76C3"/>
    <w:rsid w:val="0040092A"/>
    <w:rsid w:val="004012D2"/>
    <w:rsid w:val="0040278A"/>
    <w:rsid w:val="00402A04"/>
    <w:rsid w:val="0040554A"/>
    <w:rsid w:val="00405A2D"/>
    <w:rsid w:val="00405CEB"/>
    <w:rsid w:val="00407D07"/>
    <w:rsid w:val="0041068E"/>
    <w:rsid w:val="004120E8"/>
    <w:rsid w:val="0041230B"/>
    <w:rsid w:val="00412C3D"/>
    <w:rsid w:val="00416FC3"/>
    <w:rsid w:val="00417CA3"/>
    <w:rsid w:val="00420769"/>
    <w:rsid w:val="00421410"/>
    <w:rsid w:val="004220B2"/>
    <w:rsid w:val="004228A8"/>
    <w:rsid w:val="0042390B"/>
    <w:rsid w:val="00424E11"/>
    <w:rsid w:val="00425D79"/>
    <w:rsid w:val="004326DA"/>
    <w:rsid w:val="00432A38"/>
    <w:rsid w:val="00433478"/>
    <w:rsid w:val="004371A4"/>
    <w:rsid w:val="00437B9F"/>
    <w:rsid w:val="00445837"/>
    <w:rsid w:val="00447890"/>
    <w:rsid w:val="00452199"/>
    <w:rsid w:val="00452E7F"/>
    <w:rsid w:val="004535CF"/>
    <w:rsid w:val="0045387A"/>
    <w:rsid w:val="00455FD1"/>
    <w:rsid w:val="00461576"/>
    <w:rsid w:val="00465636"/>
    <w:rsid w:val="00465A63"/>
    <w:rsid w:val="004663E4"/>
    <w:rsid w:val="00466F56"/>
    <w:rsid w:val="0047082D"/>
    <w:rsid w:val="004727F6"/>
    <w:rsid w:val="00474BA0"/>
    <w:rsid w:val="00475BC4"/>
    <w:rsid w:val="00476DE0"/>
    <w:rsid w:val="00476F38"/>
    <w:rsid w:val="004774BB"/>
    <w:rsid w:val="0048025C"/>
    <w:rsid w:val="00482CAE"/>
    <w:rsid w:val="00484D43"/>
    <w:rsid w:val="00485005"/>
    <w:rsid w:val="004911BC"/>
    <w:rsid w:val="0049171C"/>
    <w:rsid w:val="00491A4E"/>
    <w:rsid w:val="00494524"/>
    <w:rsid w:val="00494D03"/>
    <w:rsid w:val="004A2527"/>
    <w:rsid w:val="004A2995"/>
    <w:rsid w:val="004A6E28"/>
    <w:rsid w:val="004A7473"/>
    <w:rsid w:val="004A7B5F"/>
    <w:rsid w:val="004B02A7"/>
    <w:rsid w:val="004B078A"/>
    <w:rsid w:val="004B2762"/>
    <w:rsid w:val="004B2AE6"/>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434A"/>
    <w:rsid w:val="004D6F1B"/>
    <w:rsid w:val="004D70E1"/>
    <w:rsid w:val="004E0D9B"/>
    <w:rsid w:val="004E117F"/>
    <w:rsid w:val="004E2F19"/>
    <w:rsid w:val="004E42E8"/>
    <w:rsid w:val="004E4A10"/>
    <w:rsid w:val="004E54AD"/>
    <w:rsid w:val="004E7263"/>
    <w:rsid w:val="004F05F4"/>
    <w:rsid w:val="004F1799"/>
    <w:rsid w:val="004F1D3D"/>
    <w:rsid w:val="004F3817"/>
    <w:rsid w:val="004F491D"/>
    <w:rsid w:val="004F4DFF"/>
    <w:rsid w:val="004F4F55"/>
    <w:rsid w:val="004F57CD"/>
    <w:rsid w:val="004F7B37"/>
    <w:rsid w:val="0050120B"/>
    <w:rsid w:val="00501686"/>
    <w:rsid w:val="00501DD8"/>
    <w:rsid w:val="0050387D"/>
    <w:rsid w:val="00504E0E"/>
    <w:rsid w:val="00505881"/>
    <w:rsid w:val="005077F2"/>
    <w:rsid w:val="00510901"/>
    <w:rsid w:val="0051359C"/>
    <w:rsid w:val="0051526E"/>
    <w:rsid w:val="005153F9"/>
    <w:rsid w:val="00515CF7"/>
    <w:rsid w:val="0051621C"/>
    <w:rsid w:val="00516CDB"/>
    <w:rsid w:val="00517918"/>
    <w:rsid w:val="00520AEF"/>
    <w:rsid w:val="00521B26"/>
    <w:rsid w:val="0052375A"/>
    <w:rsid w:val="00524DE5"/>
    <w:rsid w:val="00527E80"/>
    <w:rsid w:val="00530810"/>
    <w:rsid w:val="00530A70"/>
    <w:rsid w:val="00531500"/>
    <w:rsid w:val="0053224A"/>
    <w:rsid w:val="00533757"/>
    <w:rsid w:val="00535151"/>
    <w:rsid w:val="005351E4"/>
    <w:rsid w:val="00536658"/>
    <w:rsid w:val="00536E37"/>
    <w:rsid w:val="00541C07"/>
    <w:rsid w:val="005429EE"/>
    <w:rsid w:val="00542C07"/>
    <w:rsid w:val="0054523B"/>
    <w:rsid w:val="00547632"/>
    <w:rsid w:val="00547B9C"/>
    <w:rsid w:val="005579EC"/>
    <w:rsid w:val="005623A0"/>
    <w:rsid w:val="00563850"/>
    <w:rsid w:val="00564596"/>
    <w:rsid w:val="00565438"/>
    <w:rsid w:val="00565506"/>
    <w:rsid w:val="00565F85"/>
    <w:rsid w:val="005664BD"/>
    <w:rsid w:val="005666EC"/>
    <w:rsid w:val="00566E0F"/>
    <w:rsid w:val="005670E7"/>
    <w:rsid w:val="005673DC"/>
    <w:rsid w:val="00570216"/>
    <w:rsid w:val="00570DB3"/>
    <w:rsid w:val="00572BA7"/>
    <w:rsid w:val="005734C8"/>
    <w:rsid w:val="00581114"/>
    <w:rsid w:val="00581F9C"/>
    <w:rsid w:val="005831ED"/>
    <w:rsid w:val="00585462"/>
    <w:rsid w:val="00585C56"/>
    <w:rsid w:val="00586698"/>
    <w:rsid w:val="00587D98"/>
    <w:rsid w:val="00595764"/>
    <w:rsid w:val="00595E1A"/>
    <w:rsid w:val="005963B5"/>
    <w:rsid w:val="0059652E"/>
    <w:rsid w:val="005965F5"/>
    <w:rsid w:val="00597091"/>
    <w:rsid w:val="00597232"/>
    <w:rsid w:val="00597C09"/>
    <w:rsid w:val="005A244F"/>
    <w:rsid w:val="005A4118"/>
    <w:rsid w:val="005A4B85"/>
    <w:rsid w:val="005B0F38"/>
    <w:rsid w:val="005B0F6A"/>
    <w:rsid w:val="005B12A5"/>
    <w:rsid w:val="005B18CF"/>
    <w:rsid w:val="005B36D7"/>
    <w:rsid w:val="005B40A1"/>
    <w:rsid w:val="005B4843"/>
    <w:rsid w:val="005B5D5F"/>
    <w:rsid w:val="005B67FC"/>
    <w:rsid w:val="005C1130"/>
    <w:rsid w:val="005C1227"/>
    <w:rsid w:val="005C2613"/>
    <w:rsid w:val="005C4C2D"/>
    <w:rsid w:val="005C4DA6"/>
    <w:rsid w:val="005C5518"/>
    <w:rsid w:val="005C6091"/>
    <w:rsid w:val="005D1871"/>
    <w:rsid w:val="005D3683"/>
    <w:rsid w:val="005D7693"/>
    <w:rsid w:val="005D7C50"/>
    <w:rsid w:val="005E01E3"/>
    <w:rsid w:val="005E1F2A"/>
    <w:rsid w:val="005E2512"/>
    <w:rsid w:val="005E5619"/>
    <w:rsid w:val="005F3DC7"/>
    <w:rsid w:val="005F4FD4"/>
    <w:rsid w:val="00600CD1"/>
    <w:rsid w:val="00603412"/>
    <w:rsid w:val="00603B62"/>
    <w:rsid w:val="006074F5"/>
    <w:rsid w:val="006124EF"/>
    <w:rsid w:val="00612D28"/>
    <w:rsid w:val="00612F43"/>
    <w:rsid w:val="006145D2"/>
    <w:rsid w:val="00616239"/>
    <w:rsid w:val="006178B0"/>
    <w:rsid w:val="006229EB"/>
    <w:rsid w:val="00623915"/>
    <w:rsid w:val="00623E59"/>
    <w:rsid w:val="0062574B"/>
    <w:rsid w:val="00626279"/>
    <w:rsid w:val="0062728D"/>
    <w:rsid w:val="00627BE6"/>
    <w:rsid w:val="00630ED3"/>
    <w:rsid w:val="00631520"/>
    <w:rsid w:val="00632B23"/>
    <w:rsid w:val="00632EE1"/>
    <w:rsid w:val="00634572"/>
    <w:rsid w:val="0063461D"/>
    <w:rsid w:val="00635578"/>
    <w:rsid w:val="006409F2"/>
    <w:rsid w:val="00640ACF"/>
    <w:rsid w:val="00642D7D"/>
    <w:rsid w:val="006468F6"/>
    <w:rsid w:val="00646B93"/>
    <w:rsid w:val="00650197"/>
    <w:rsid w:val="00650D2E"/>
    <w:rsid w:val="00652624"/>
    <w:rsid w:val="00654D32"/>
    <w:rsid w:val="00654F34"/>
    <w:rsid w:val="00657E9F"/>
    <w:rsid w:val="00660BE8"/>
    <w:rsid w:val="00660FA3"/>
    <w:rsid w:val="00661E23"/>
    <w:rsid w:val="006667CE"/>
    <w:rsid w:val="00670DCC"/>
    <w:rsid w:val="00672B6D"/>
    <w:rsid w:val="00673BF4"/>
    <w:rsid w:val="00674F58"/>
    <w:rsid w:val="0067630E"/>
    <w:rsid w:val="00677703"/>
    <w:rsid w:val="00677A2A"/>
    <w:rsid w:val="00680293"/>
    <w:rsid w:val="006805C3"/>
    <w:rsid w:val="006813E0"/>
    <w:rsid w:val="006832D5"/>
    <w:rsid w:val="00685EB7"/>
    <w:rsid w:val="00685F6D"/>
    <w:rsid w:val="00687EAA"/>
    <w:rsid w:val="00690BA2"/>
    <w:rsid w:val="00690DD2"/>
    <w:rsid w:val="006918BC"/>
    <w:rsid w:val="00693C56"/>
    <w:rsid w:val="00695E69"/>
    <w:rsid w:val="00697E63"/>
    <w:rsid w:val="006A3863"/>
    <w:rsid w:val="006A3B86"/>
    <w:rsid w:val="006B256B"/>
    <w:rsid w:val="006B315F"/>
    <w:rsid w:val="006B389F"/>
    <w:rsid w:val="006B4454"/>
    <w:rsid w:val="006B4EFD"/>
    <w:rsid w:val="006B4F5F"/>
    <w:rsid w:val="006B5B77"/>
    <w:rsid w:val="006B6761"/>
    <w:rsid w:val="006C00D9"/>
    <w:rsid w:val="006C0BE2"/>
    <w:rsid w:val="006C1AEF"/>
    <w:rsid w:val="006C37A4"/>
    <w:rsid w:val="006C3AAF"/>
    <w:rsid w:val="006C55E2"/>
    <w:rsid w:val="006C57F5"/>
    <w:rsid w:val="006C5DE9"/>
    <w:rsid w:val="006C745D"/>
    <w:rsid w:val="006C7494"/>
    <w:rsid w:val="006C7D15"/>
    <w:rsid w:val="006D0372"/>
    <w:rsid w:val="006D0B7F"/>
    <w:rsid w:val="006D0C94"/>
    <w:rsid w:val="006D0F82"/>
    <w:rsid w:val="006D1B6F"/>
    <w:rsid w:val="006D23A3"/>
    <w:rsid w:val="006D4053"/>
    <w:rsid w:val="006D5471"/>
    <w:rsid w:val="006D6ABD"/>
    <w:rsid w:val="006D7444"/>
    <w:rsid w:val="006E172C"/>
    <w:rsid w:val="006E195D"/>
    <w:rsid w:val="006E58D9"/>
    <w:rsid w:val="006E7999"/>
    <w:rsid w:val="006E7A6F"/>
    <w:rsid w:val="006F2697"/>
    <w:rsid w:val="006F4CF5"/>
    <w:rsid w:val="006F7170"/>
    <w:rsid w:val="00700A36"/>
    <w:rsid w:val="00700E6B"/>
    <w:rsid w:val="00702F77"/>
    <w:rsid w:val="007056A7"/>
    <w:rsid w:val="00707175"/>
    <w:rsid w:val="00707732"/>
    <w:rsid w:val="0070783A"/>
    <w:rsid w:val="00713586"/>
    <w:rsid w:val="00713A74"/>
    <w:rsid w:val="007146B7"/>
    <w:rsid w:val="00715AEB"/>
    <w:rsid w:val="00720A30"/>
    <w:rsid w:val="00721AE4"/>
    <w:rsid w:val="00723454"/>
    <w:rsid w:val="007271CA"/>
    <w:rsid w:val="007271DC"/>
    <w:rsid w:val="00730840"/>
    <w:rsid w:val="00730BB5"/>
    <w:rsid w:val="00731203"/>
    <w:rsid w:val="007314A0"/>
    <w:rsid w:val="00731F5F"/>
    <w:rsid w:val="007324AB"/>
    <w:rsid w:val="007326DF"/>
    <w:rsid w:val="00734A2B"/>
    <w:rsid w:val="0073510E"/>
    <w:rsid w:val="0073688D"/>
    <w:rsid w:val="00737AF5"/>
    <w:rsid w:val="0074111D"/>
    <w:rsid w:val="00742A37"/>
    <w:rsid w:val="00743C14"/>
    <w:rsid w:val="00744555"/>
    <w:rsid w:val="007535E8"/>
    <w:rsid w:val="00754B00"/>
    <w:rsid w:val="0075685A"/>
    <w:rsid w:val="00763F6F"/>
    <w:rsid w:val="00765F8B"/>
    <w:rsid w:val="007664B4"/>
    <w:rsid w:val="00767C71"/>
    <w:rsid w:val="00772232"/>
    <w:rsid w:val="00772443"/>
    <w:rsid w:val="007734E2"/>
    <w:rsid w:val="00773D99"/>
    <w:rsid w:val="00774217"/>
    <w:rsid w:val="007752FF"/>
    <w:rsid w:val="00776D2B"/>
    <w:rsid w:val="00777F50"/>
    <w:rsid w:val="007812FC"/>
    <w:rsid w:val="007815C0"/>
    <w:rsid w:val="00782BC6"/>
    <w:rsid w:val="00783A4E"/>
    <w:rsid w:val="007849B1"/>
    <w:rsid w:val="00785313"/>
    <w:rsid w:val="00785EE7"/>
    <w:rsid w:val="00786646"/>
    <w:rsid w:val="00786E8E"/>
    <w:rsid w:val="007873C3"/>
    <w:rsid w:val="007900E0"/>
    <w:rsid w:val="00791D07"/>
    <w:rsid w:val="007928D6"/>
    <w:rsid w:val="00793DD7"/>
    <w:rsid w:val="00797A26"/>
    <w:rsid w:val="007A3B57"/>
    <w:rsid w:val="007A73BE"/>
    <w:rsid w:val="007A78BE"/>
    <w:rsid w:val="007B067C"/>
    <w:rsid w:val="007B0E9B"/>
    <w:rsid w:val="007B0EA0"/>
    <w:rsid w:val="007B2431"/>
    <w:rsid w:val="007B38A5"/>
    <w:rsid w:val="007B3E0D"/>
    <w:rsid w:val="007B400E"/>
    <w:rsid w:val="007B4C66"/>
    <w:rsid w:val="007C001C"/>
    <w:rsid w:val="007C0E95"/>
    <w:rsid w:val="007C326D"/>
    <w:rsid w:val="007C32F6"/>
    <w:rsid w:val="007C4690"/>
    <w:rsid w:val="007C748B"/>
    <w:rsid w:val="007D2157"/>
    <w:rsid w:val="007D28DE"/>
    <w:rsid w:val="007D375F"/>
    <w:rsid w:val="007D442A"/>
    <w:rsid w:val="007D70EC"/>
    <w:rsid w:val="007D72AD"/>
    <w:rsid w:val="007D78B8"/>
    <w:rsid w:val="007E012D"/>
    <w:rsid w:val="007E0262"/>
    <w:rsid w:val="007E177D"/>
    <w:rsid w:val="007E52C7"/>
    <w:rsid w:val="007E621D"/>
    <w:rsid w:val="007E6808"/>
    <w:rsid w:val="007E6FF7"/>
    <w:rsid w:val="007F0394"/>
    <w:rsid w:val="007F1029"/>
    <w:rsid w:val="007F4AE2"/>
    <w:rsid w:val="007F4B19"/>
    <w:rsid w:val="008015EA"/>
    <w:rsid w:val="008025BC"/>
    <w:rsid w:val="0080356F"/>
    <w:rsid w:val="00806040"/>
    <w:rsid w:val="00807B1E"/>
    <w:rsid w:val="008156F9"/>
    <w:rsid w:val="008161B2"/>
    <w:rsid w:val="00820E03"/>
    <w:rsid w:val="00821F3D"/>
    <w:rsid w:val="00823808"/>
    <w:rsid w:val="00825E46"/>
    <w:rsid w:val="00831BDD"/>
    <w:rsid w:val="00832565"/>
    <w:rsid w:val="008336D0"/>
    <w:rsid w:val="0083598C"/>
    <w:rsid w:val="00835D26"/>
    <w:rsid w:val="00836111"/>
    <w:rsid w:val="008370FE"/>
    <w:rsid w:val="00837F73"/>
    <w:rsid w:val="00837FE5"/>
    <w:rsid w:val="008400E1"/>
    <w:rsid w:val="00844D40"/>
    <w:rsid w:val="00847F03"/>
    <w:rsid w:val="0085080D"/>
    <w:rsid w:val="00851423"/>
    <w:rsid w:val="008518C3"/>
    <w:rsid w:val="00851ABE"/>
    <w:rsid w:val="00851B6D"/>
    <w:rsid w:val="00851E9E"/>
    <w:rsid w:val="008526E8"/>
    <w:rsid w:val="00853A64"/>
    <w:rsid w:val="00853E0E"/>
    <w:rsid w:val="00853E97"/>
    <w:rsid w:val="00854715"/>
    <w:rsid w:val="00856FC8"/>
    <w:rsid w:val="00857CF5"/>
    <w:rsid w:val="00857CFE"/>
    <w:rsid w:val="00860184"/>
    <w:rsid w:val="008621D8"/>
    <w:rsid w:val="008622E8"/>
    <w:rsid w:val="00863076"/>
    <w:rsid w:val="00863887"/>
    <w:rsid w:val="00863FA6"/>
    <w:rsid w:val="0086589C"/>
    <w:rsid w:val="00867B6F"/>
    <w:rsid w:val="00871AD9"/>
    <w:rsid w:val="00872119"/>
    <w:rsid w:val="00872609"/>
    <w:rsid w:val="008767CF"/>
    <w:rsid w:val="00880326"/>
    <w:rsid w:val="00881178"/>
    <w:rsid w:val="00881E5D"/>
    <w:rsid w:val="00884F2A"/>
    <w:rsid w:val="00885369"/>
    <w:rsid w:val="00885420"/>
    <w:rsid w:val="0088641B"/>
    <w:rsid w:val="008864C4"/>
    <w:rsid w:val="0088710F"/>
    <w:rsid w:val="00887728"/>
    <w:rsid w:val="00887BB7"/>
    <w:rsid w:val="00890FEA"/>
    <w:rsid w:val="00892EAB"/>
    <w:rsid w:val="00894685"/>
    <w:rsid w:val="00897839"/>
    <w:rsid w:val="008A0EA8"/>
    <w:rsid w:val="008A2F63"/>
    <w:rsid w:val="008A3034"/>
    <w:rsid w:val="008A470C"/>
    <w:rsid w:val="008A4B61"/>
    <w:rsid w:val="008A551C"/>
    <w:rsid w:val="008A64CC"/>
    <w:rsid w:val="008A71DE"/>
    <w:rsid w:val="008C237C"/>
    <w:rsid w:val="008C599F"/>
    <w:rsid w:val="008C5A42"/>
    <w:rsid w:val="008D3798"/>
    <w:rsid w:val="008D3C02"/>
    <w:rsid w:val="008D4C33"/>
    <w:rsid w:val="008D6398"/>
    <w:rsid w:val="008E1DDE"/>
    <w:rsid w:val="008E2155"/>
    <w:rsid w:val="008E2C6F"/>
    <w:rsid w:val="008E6CAE"/>
    <w:rsid w:val="008F047D"/>
    <w:rsid w:val="008F309D"/>
    <w:rsid w:val="008F4D12"/>
    <w:rsid w:val="008F6EB4"/>
    <w:rsid w:val="00900B08"/>
    <w:rsid w:val="009136FA"/>
    <w:rsid w:val="00913FB0"/>
    <w:rsid w:val="009140F6"/>
    <w:rsid w:val="00914B70"/>
    <w:rsid w:val="009166B6"/>
    <w:rsid w:val="00916884"/>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0B2B"/>
    <w:rsid w:val="0096398A"/>
    <w:rsid w:val="00964933"/>
    <w:rsid w:val="0097156C"/>
    <w:rsid w:val="009717D1"/>
    <w:rsid w:val="009722FD"/>
    <w:rsid w:val="00974AAA"/>
    <w:rsid w:val="00974DF6"/>
    <w:rsid w:val="00974FDE"/>
    <w:rsid w:val="00975441"/>
    <w:rsid w:val="00975BF1"/>
    <w:rsid w:val="00980070"/>
    <w:rsid w:val="00980354"/>
    <w:rsid w:val="00980E9A"/>
    <w:rsid w:val="009811DE"/>
    <w:rsid w:val="00987DE6"/>
    <w:rsid w:val="00990170"/>
    <w:rsid w:val="00992AF4"/>
    <w:rsid w:val="00992CDC"/>
    <w:rsid w:val="00993180"/>
    <w:rsid w:val="009955F9"/>
    <w:rsid w:val="00996866"/>
    <w:rsid w:val="0099759A"/>
    <w:rsid w:val="00997B04"/>
    <w:rsid w:val="00997EE3"/>
    <w:rsid w:val="009A3031"/>
    <w:rsid w:val="009A335B"/>
    <w:rsid w:val="009A579C"/>
    <w:rsid w:val="009A6AB7"/>
    <w:rsid w:val="009B11C6"/>
    <w:rsid w:val="009B1709"/>
    <w:rsid w:val="009B4ABC"/>
    <w:rsid w:val="009B5D68"/>
    <w:rsid w:val="009B6343"/>
    <w:rsid w:val="009B6F0C"/>
    <w:rsid w:val="009B7A1E"/>
    <w:rsid w:val="009C365B"/>
    <w:rsid w:val="009C52F3"/>
    <w:rsid w:val="009C5E0B"/>
    <w:rsid w:val="009D10D6"/>
    <w:rsid w:val="009D1533"/>
    <w:rsid w:val="009D30D0"/>
    <w:rsid w:val="009D3DF0"/>
    <w:rsid w:val="009D4031"/>
    <w:rsid w:val="009D4038"/>
    <w:rsid w:val="009D4595"/>
    <w:rsid w:val="009D4EB3"/>
    <w:rsid w:val="009E4F67"/>
    <w:rsid w:val="009E55A3"/>
    <w:rsid w:val="009E69A9"/>
    <w:rsid w:val="009E6F64"/>
    <w:rsid w:val="009E7083"/>
    <w:rsid w:val="009F05BF"/>
    <w:rsid w:val="009F103A"/>
    <w:rsid w:val="009F1D70"/>
    <w:rsid w:val="009F5944"/>
    <w:rsid w:val="009F6EED"/>
    <w:rsid w:val="00A0021C"/>
    <w:rsid w:val="00A0021E"/>
    <w:rsid w:val="00A01BCF"/>
    <w:rsid w:val="00A03977"/>
    <w:rsid w:val="00A0658F"/>
    <w:rsid w:val="00A06C5E"/>
    <w:rsid w:val="00A13F55"/>
    <w:rsid w:val="00A140B5"/>
    <w:rsid w:val="00A154A5"/>
    <w:rsid w:val="00A2031A"/>
    <w:rsid w:val="00A20C84"/>
    <w:rsid w:val="00A22AA0"/>
    <w:rsid w:val="00A23B8A"/>
    <w:rsid w:val="00A25050"/>
    <w:rsid w:val="00A26CD6"/>
    <w:rsid w:val="00A31F3B"/>
    <w:rsid w:val="00A32518"/>
    <w:rsid w:val="00A33138"/>
    <w:rsid w:val="00A342A9"/>
    <w:rsid w:val="00A36CBA"/>
    <w:rsid w:val="00A40391"/>
    <w:rsid w:val="00A428C3"/>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41C6"/>
    <w:rsid w:val="00A563EE"/>
    <w:rsid w:val="00A57187"/>
    <w:rsid w:val="00A6075D"/>
    <w:rsid w:val="00A63181"/>
    <w:rsid w:val="00A66B7D"/>
    <w:rsid w:val="00A7005E"/>
    <w:rsid w:val="00A701E5"/>
    <w:rsid w:val="00A71778"/>
    <w:rsid w:val="00A71790"/>
    <w:rsid w:val="00A72CA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473A"/>
    <w:rsid w:val="00AA5EA8"/>
    <w:rsid w:val="00AA5F39"/>
    <w:rsid w:val="00AB0525"/>
    <w:rsid w:val="00AB0E0A"/>
    <w:rsid w:val="00AB0F41"/>
    <w:rsid w:val="00AB4BB0"/>
    <w:rsid w:val="00AB4BD8"/>
    <w:rsid w:val="00AB5344"/>
    <w:rsid w:val="00AB65DD"/>
    <w:rsid w:val="00AC0BBE"/>
    <w:rsid w:val="00AC2EAE"/>
    <w:rsid w:val="00AC5E29"/>
    <w:rsid w:val="00AC5EFA"/>
    <w:rsid w:val="00AC6FE2"/>
    <w:rsid w:val="00AD1F63"/>
    <w:rsid w:val="00AD48C6"/>
    <w:rsid w:val="00AD515B"/>
    <w:rsid w:val="00AD5B60"/>
    <w:rsid w:val="00AD6713"/>
    <w:rsid w:val="00AD745A"/>
    <w:rsid w:val="00AE6981"/>
    <w:rsid w:val="00AE6B0A"/>
    <w:rsid w:val="00AF044A"/>
    <w:rsid w:val="00AF0F7A"/>
    <w:rsid w:val="00AF2497"/>
    <w:rsid w:val="00AF4C0D"/>
    <w:rsid w:val="00AF6CC8"/>
    <w:rsid w:val="00AF6EDC"/>
    <w:rsid w:val="00B002B8"/>
    <w:rsid w:val="00B03E2E"/>
    <w:rsid w:val="00B049AB"/>
    <w:rsid w:val="00B079E9"/>
    <w:rsid w:val="00B10345"/>
    <w:rsid w:val="00B10C3E"/>
    <w:rsid w:val="00B14058"/>
    <w:rsid w:val="00B14284"/>
    <w:rsid w:val="00B1469F"/>
    <w:rsid w:val="00B14D22"/>
    <w:rsid w:val="00B16BEF"/>
    <w:rsid w:val="00B16FDE"/>
    <w:rsid w:val="00B1736E"/>
    <w:rsid w:val="00B2022A"/>
    <w:rsid w:val="00B23B73"/>
    <w:rsid w:val="00B2427E"/>
    <w:rsid w:val="00B25F3F"/>
    <w:rsid w:val="00B26353"/>
    <w:rsid w:val="00B26CF4"/>
    <w:rsid w:val="00B26FCB"/>
    <w:rsid w:val="00B274F5"/>
    <w:rsid w:val="00B27C6C"/>
    <w:rsid w:val="00B32F59"/>
    <w:rsid w:val="00B330CE"/>
    <w:rsid w:val="00B338AC"/>
    <w:rsid w:val="00B34DB9"/>
    <w:rsid w:val="00B35A3B"/>
    <w:rsid w:val="00B35DBD"/>
    <w:rsid w:val="00B3655C"/>
    <w:rsid w:val="00B36918"/>
    <w:rsid w:val="00B36B92"/>
    <w:rsid w:val="00B37BD5"/>
    <w:rsid w:val="00B4089B"/>
    <w:rsid w:val="00B41501"/>
    <w:rsid w:val="00B4225A"/>
    <w:rsid w:val="00B4252A"/>
    <w:rsid w:val="00B43FD3"/>
    <w:rsid w:val="00B46280"/>
    <w:rsid w:val="00B478BB"/>
    <w:rsid w:val="00B54753"/>
    <w:rsid w:val="00B556BC"/>
    <w:rsid w:val="00B56DAC"/>
    <w:rsid w:val="00B60CEA"/>
    <w:rsid w:val="00B63422"/>
    <w:rsid w:val="00B65C66"/>
    <w:rsid w:val="00B66525"/>
    <w:rsid w:val="00B713B3"/>
    <w:rsid w:val="00B7201D"/>
    <w:rsid w:val="00B72421"/>
    <w:rsid w:val="00B72D56"/>
    <w:rsid w:val="00B73385"/>
    <w:rsid w:val="00B7660A"/>
    <w:rsid w:val="00B77137"/>
    <w:rsid w:val="00B80D78"/>
    <w:rsid w:val="00B80F1F"/>
    <w:rsid w:val="00B81A33"/>
    <w:rsid w:val="00B81D14"/>
    <w:rsid w:val="00B850E0"/>
    <w:rsid w:val="00B85715"/>
    <w:rsid w:val="00B86CFA"/>
    <w:rsid w:val="00B87EBA"/>
    <w:rsid w:val="00B92B61"/>
    <w:rsid w:val="00B93322"/>
    <w:rsid w:val="00B9393A"/>
    <w:rsid w:val="00B949E5"/>
    <w:rsid w:val="00B94A66"/>
    <w:rsid w:val="00B9569B"/>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5A03"/>
    <w:rsid w:val="00BC6912"/>
    <w:rsid w:val="00BC7BD6"/>
    <w:rsid w:val="00BD0F18"/>
    <w:rsid w:val="00BD1EE5"/>
    <w:rsid w:val="00BD20DE"/>
    <w:rsid w:val="00BD2DE3"/>
    <w:rsid w:val="00BD3E25"/>
    <w:rsid w:val="00BD4147"/>
    <w:rsid w:val="00BE0143"/>
    <w:rsid w:val="00BE088D"/>
    <w:rsid w:val="00BE41D1"/>
    <w:rsid w:val="00BE4927"/>
    <w:rsid w:val="00BE576B"/>
    <w:rsid w:val="00BE60C2"/>
    <w:rsid w:val="00BE656B"/>
    <w:rsid w:val="00BF0E0C"/>
    <w:rsid w:val="00BF4005"/>
    <w:rsid w:val="00BF56EB"/>
    <w:rsid w:val="00BF5D53"/>
    <w:rsid w:val="00BF5FDD"/>
    <w:rsid w:val="00C010CC"/>
    <w:rsid w:val="00C017F9"/>
    <w:rsid w:val="00C0315D"/>
    <w:rsid w:val="00C04234"/>
    <w:rsid w:val="00C13B78"/>
    <w:rsid w:val="00C143F0"/>
    <w:rsid w:val="00C14E57"/>
    <w:rsid w:val="00C15280"/>
    <w:rsid w:val="00C16649"/>
    <w:rsid w:val="00C20656"/>
    <w:rsid w:val="00C20AB6"/>
    <w:rsid w:val="00C21042"/>
    <w:rsid w:val="00C22F47"/>
    <w:rsid w:val="00C24580"/>
    <w:rsid w:val="00C25298"/>
    <w:rsid w:val="00C25F87"/>
    <w:rsid w:val="00C263DA"/>
    <w:rsid w:val="00C2719B"/>
    <w:rsid w:val="00C30738"/>
    <w:rsid w:val="00C36DA8"/>
    <w:rsid w:val="00C501F2"/>
    <w:rsid w:val="00C510E8"/>
    <w:rsid w:val="00C5471C"/>
    <w:rsid w:val="00C550AF"/>
    <w:rsid w:val="00C558A1"/>
    <w:rsid w:val="00C56029"/>
    <w:rsid w:val="00C5695E"/>
    <w:rsid w:val="00C6171B"/>
    <w:rsid w:val="00C63E4A"/>
    <w:rsid w:val="00C64026"/>
    <w:rsid w:val="00C65C4C"/>
    <w:rsid w:val="00C665A1"/>
    <w:rsid w:val="00C7198C"/>
    <w:rsid w:val="00C7213E"/>
    <w:rsid w:val="00C76F2B"/>
    <w:rsid w:val="00C771C0"/>
    <w:rsid w:val="00C820FE"/>
    <w:rsid w:val="00C84381"/>
    <w:rsid w:val="00C85235"/>
    <w:rsid w:val="00C8580D"/>
    <w:rsid w:val="00C876BD"/>
    <w:rsid w:val="00C90782"/>
    <w:rsid w:val="00C91326"/>
    <w:rsid w:val="00C91B70"/>
    <w:rsid w:val="00C951DA"/>
    <w:rsid w:val="00C95585"/>
    <w:rsid w:val="00C964F5"/>
    <w:rsid w:val="00CA0E82"/>
    <w:rsid w:val="00CA45B5"/>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D66F6"/>
    <w:rsid w:val="00CE2915"/>
    <w:rsid w:val="00CE48BB"/>
    <w:rsid w:val="00CE5886"/>
    <w:rsid w:val="00CF1825"/>
    <w:rsid w:val="00CF1CB7"/>
    <w:rsid w:val="00CF30C9"/>
    <w:rsid w:val="00CF5F97"/>
    <w:rsid w:val="00CF7DD5"/>
    <w:rsid w:val="00D00BB2"/>
    <w:rsid w:val="00D013C8"/>
    <w:rsid w:val="00D01D8D"/>
    <w:rsid w:val="00D03E8B"/>
    <w:rsid w:val="00D06BE0"/>
    <w:rsid w:val="00D07006"/>
    <w:rsid w:val="00D07F15"/>
    <w:rsid w:val="00D13DC7"/>
    <w:rsid w:val="00D1545C"/>
    <w:rsid w:val="00D167DD"/>
    <w:rsid w:val="00D16B1B"/>
    <w:rsid w:val="00D2082B"/>
    <w:rsid w:val="00D252F8"/>
    <w:rsid w:val="00D30499"/>
    <w:rsid w:val="00D340ED"/>
    <w:rsid w:val="00D414AB"/>
    <w:rsid w:val="00D427FD"/>
    <w:rsid w:val="00D445EC"/>
    <w:rsid w:val="00D4509F"/>
    <w:rsid w:val="00D476C4"/>
    <w:rsid w:val="00D47CCE"/>
    <w:rsid w:val="00D47D8A"/>
    <w:rsid w:val="00D50C45"/>
    <w:rsid w:val="00D51E6B"/>
    <w:rsid w:val="00D526B7"/>
    <w:rsid w:val="00D56268"/>
    <w:rsid w:val="00D56F92"/>
    <w:rsid w:val="00D57F76"/>
    <w:rsid w:val="00D61116"/>
    <w:rsid w:val="00D61586"/>
    <w:rsid w:val="00D6680C"/>
    <w:rsid w:val="00D671D1"/>
    <w:rsid w:val="00D703A6"/>
    <w:rsid w:val="00D70593"/>
    <w:rsid w:val="00D70FE7"/>
    <w:rsid w:val="00D766DC"/>
    <w:rsid w:val="00D766E5"/>
    <w:rsid w:val="00D8034F"/>
    <w:rsid w:val="00D81013"/>
    <w:rsid w:val="00D82BDA"/>
    <w:rsid w:val="00D82E79"/>
    <w:rsid w:val="00D83ED1"/>
    <w:rsid w:val="00D84ADA"/>
    <w:rsid w:val="00D853F5"/>
    <w:rsid w:val="00D859DE"/>
    <w:rsid w:val="00D86D2D"/>
    <w:rsid w:val="00D87B28"/>
    <w:rsid w:val="00D87D5F"/>
    <w:rsid w:val="00D919D9"/>
    <w:rsid w:val="00D9238E"/>
    <w:rsid w:val="00D9297B"/>
    <w:rsid w:val="00D9776A"/>
    <w:rsid w:val="00DA2CDC"/>
    <w:rsid w:val="00DA4501"/>
    <w:rsid w:val="00DA4F2B"/>
    <w:rsid w:val="00DA5348"/>
    <w:rsid w:val="00DA5FEE"/>
    <w:rsid w:val="00DA6C7F"/>
    <w:rsid w:val="00DB08D5"/>
    <w:rsid w:val="00DB1006"/>
    <w:rsid w:val="00DB57C9"/>
    <w:rsid w:val="00DB5F48"/>
    <w:rsid w:val="00DB617D"/>
    <w:rsid w:val="00DB6D1F"/>
    <w:rsid w:val="00DB79D6"/>
    <w:rsid w:val="00DC417D"/>
    <w:rsid w:val="00DC432D"/>
    <w:rsid w:val="00DC43C2"/>
    <w:rsid w:val="00DC496E"/>
    <w:rsid w:val="00DC59D6"/>
    <w:rsid w:val="00DC60AC"/>
    <w:rsid w:val="00DC66A4"/>
    <w:rsid w:val="00DD0B3A"/>
    <w:rsid w:val="00DD21B3"/>
    <w:rsid w:val="00DD26B0"/>
    <w:rsid w:val="00DD364C"/>
    <w:rsid w:val="00DD4A91"/>
    <w:rsid w:val="00DD4D46"/>
    <w:rsid w:val="00DD4EB3"/>
    <w:rsid w:val="00DD7167"/>
    <w:rsid w:val="00DD7719"/>
    <w:rsid w:val="00DD7B1E"/>
    <w:rsid w:val="00DD7E7D"/>
    <w:rsid w:val="00DE139B"/>
    <w:rsid w:val="00DE2119"/>
    <w:rsid w:val="00DE34F1"/>
    <w:rsid w:val="00DE3C73"/>
    <w:rsid w:val="00DE40FB"/>
    <w:rsid w:val="00DE5B79"/>
    <w:rsid w:val="00DE5D71"/>
    <w:rsid w:val="00DE71BE"/>
    <w:rsid w:val="00DF3050"/>
    <w:rsid w:val="00DF462D"/>
    <w:rsid w:val="00DF52E0"/>
    <w:rsid w:val="00DF65D2"/>
    <w:rsid w:val="00DF7CAA"/>
    <w:rsid w:val="00E00471"/>
    <w:rsid w:val="00E0195B"/>
    <w:rsid w:val="00E0381A"/>
    <w:rsid w:val="00E04811"/>
    <w:rsid w:val="00E05707"/>
    <w:rsid w:val="00E0713D"/>
    <w:rsid w:val="00E072B6"/>
    <w:rsid w:val="00E10A36"/>
    <w:rsid w:val="00E124EE"/>
    <w:rsid w:val="00E141C3"/>
    <w:rsid w:val="00E15879"/>
    <w:rsid w:val="00E15CC8"/>
    <w:rsid w:val="00E166B7"/>
    <w:rsid w:val="00E2087D"/>
    <w:rsid w:val="00E222B8"/>
    <w:rsid w:val="00E230E3"/>
    <w:rsid w:val="00E25E6A"/>
    <w:rsid w:val="00E30A09"/>
    <w:rsid w:val="00E30FC1"/>
    <w:rsid w:val="00E33D32"/>
    <w:rsid w:val="00E36209"/>
    <w:rsid w:val="00E36FDA"/>
    <w:rsid w:val="00E4010A"/>
    <w:rsid w:val="00E412DE"/>
    <w:rsid w:val="00E4247F"/>
    <w:rsid w:val="00E43C72"/>
    <w:rsid w:val="00E508F5"/>
    <w:rsid w:val="00E54015"/>
    <w:rsid w:val="00E547CE"/>
    <w:rsid w:val="00E55DA0"/>
    <w:rsid w:val="00E57AE9"/>
    <w:rsid w:val="00E6086B"/>
    <w:rsid w:val="00E61CE5"/>
    <w:rsid w:val="00E6237C"/>
    <w:rsid w:val="00E630B7"/>
    <w:rsid w:val="00E63712"/>
    <w:rsid w:val="00E6395E"/>
    <w:rsid w:val="00E63FA3"/>
    <w:rsid w:val="00E656D8"/>
    <w:rsid w:val="00E65C43"/>
    <w:rsid w:val="00E66893"/>
    <w:rsid w:val="00E66AF9"/>
    <w:rsid w:val="00E70F83"/>
    <w:rsid w:val="00E71E4A"/>
    <w:rsid w:val="00E72BA2"/>
    <w:rsid w:val="00E73393"/>
    <w:rsid w:val="00E737F1"/>
    <w:rsid w:val="00E747E0"/>
    <w:rsid w:val="00E74D23"/>
    <w:rsid w:val="00E74DFA"/>
    <w:rsid w:val="00E75979"/>
    <w:rsid w:val="00E75CFD"/>
    <w:rsid w:val="00E7767E"/>
    <w:rsid w:val="00E77733"/>
    <w:rsid w:val="00E77A87"/>
    <w:rsid w:val="00E8370B"/>
    <w:rsid w:val="00E83EC9"/>
    <w:rsid w:val="00E84AD0"/>
    <w:rsid w:val="00E87184"/>
    <w:rsid w:val="00E87533"/>
    <w:rsid w:val="00E876ED"/>
    <w:rsid w:val="00E91F42"/>
    <w:rsid w:val="00E94089"/>
    <w:rsid w:val="00E944D7"/>
    <w:rsid w:val="00E94998"/>
    <w:rsid w:val="00E96F2D"/>
    <w:rsid w:val="00EA5075"/>
    <w:rsid w:val="00EA5E30"/>
    <w:rsid w:val="00EA7391"/>
    <w:rsid w:val="00EB0B7B"/>
    <w:rsid w:val="00EC014D"/>
    <w:rsid w:val="00EC02F1"/>
    <w:rsid w:val="00EC2966"/>
    <w:rsid w:val="00EC3FCC"/>
    <w:rsid w:val="00EC509C"/>
    <w:rsid w:val="00EC5C0E"/>
    <w:rsid w:val="00ED6259"/>
    <w:rsid w:val="00ED7073"/>
    <w:rsid w:val="00EE38F2"/>
    <w:rsid w:val="00EE468B"/>
    <w:rsid w:val="00EE47B0"/>
    <w:rsid w:val="00EE7555"/>
    <w:rsid w:val="00EE78E5"/>
    <w:rsid w:val="00EF02F6"/>
    <w:rsid w:val="00EF05B9"/>
    <w:rsid w:val="00EF434E"/>
    <w:rsid w:val="00EF50FB"/>
    <w:rsid w:val="00EF59C3"/>
    <w:rsid w:val="00EF749C"/>
    <w:rsid w:val="00F0222D"/>
    <w:rsid w:val="00F036AB"/>
    <w:rsid w:val="00F04B53"/>
    <w:rsid w:val="00F051D9"/>
    <w:rsid w:val="00F07784"/>
    <w:rsid w:val="00F07E46"/>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7571"/>
    <w:rsid w:val="00F4011D"/>
    <w:rsid w:val="00F4237A"/>
    <w:rsid w:val="00F42600"/>
    <w:rsid w:val="00F42FEF"/>
    <w:rsid w:val="00F43CCE"/>
    <w:rsid w:val="00F43FF4"/>
    <w:rsid w:val="00F45309"/>
    <w:rsid w:val="00F50221"/>
    <w:rsid w:val="00F51331"/>
    <w:rsid w:val="00F53EB5"/>
    <w:rsid w:val="00F543E2"/>
    <w:rsid w:val="00F548A0"/>
    <w:rsid w:val="00F54A24"/>
    <w:rsid w:val="00F54FEA"/>
    <w:rsid w:val="00F55262"/>
    <w:rsid w:val="00F553FB"/>
    <w:rsid w:val="00F611CA"/>
    <w:rsid w:val="00F61215"/>
    <w:rsid w:val="00F6162F"/>
    <w:rsid w:val="00F61D33"/>
    <w:rsid w:val="00F6247A"/>
    <w:rsid w:val="00F656E7"/>
    <w:rsid w:val="00F6621F"/>
    <w:rsid w:val="00F66767"/>
    <w:rsid w:val="00F67AE8"/>
    <w:rsid w:val="00F67CC5"/>
    <w:rsid w:val="00F72F22"/>
    <w:rsid w:val="00F7306D"/>
    <w:rsid w:val="00F733F0"/>
    <w:rsid w:val="00F76D8B"/>
    <w:rsid w:val="00F80C18"/>
    <w:rsid w:val="00F8269A"/>
    <w:rsid w:val="00F846AC"/>
    <w:rsid w:val="00F86930"/>
    <w:rsid w:val="00F87D35"/>
    <w:rsid w:val="00F90A7E"/>
    <w:rsid w:val="00F92C8C"/>
    <w:rsid w:val="00F93674"/>
    <w:rsid w:val="00F9529D"/>
    <w:rsid w:val="00F9678C"/>
    <w:rsid w:val="00FA0050"/>
    <w:rsid w:val="00FA0D01"/>
    <w:rsid w:val="00FA7FF5"/>
    <w:rsid w:val="00FB1CB7"/>
    <w:rsid w:val="00FB3204"/>
    <w:rsid w:val="00FB4493"/>
    <w:rsid w:val="00FB59C8"/>
    <w:rsid w:val="00FB68FF"/>
    <w:rsid w:val="00FB70D8"/>
    <w:rsid w:val="00FC27A0"/>
    <w:rsid w:val="00FC29B1"/>
    <w:rsid w:val="00FC56F6"/>
    <w:rsid w:val="00FC6B14"/>
    <w:rsid w:val="00FC7592"/>
    <w:rsid w:val="00FC770F"/>
    <w:rsid w:val="00FD1357"/>
    <w:rsid w:val="00FD2679"/>
    <w:rsid w:val="00FD2BBF"/>
    <w:rsid w:val="00FD40EB"/>
    <w:rsid w:val="00FD44C2"/>
    <w:rsid w:val="00FD46B2"/>
    <w:rsid w:val="00FD47D5"/>
    <w:rsid w:val="00FD6021"/>
    <w:rsid w:val="00FD63AC"/>
    <w:rsid w:val="00FD6913"/>
    <w:rsid w:val="00FD696F"/>
    <w:rsid w:val="00FE1CDB"/>
    <w:rsid w:val="00FE2355"/>
    <w:rsid w:val="00FE2871"/>
    <w:rsid w:val="00FE2B19"/>
    <w:rsid w:val="00FE2B76"/>
    <w:rsid w:val="00FE2DBD"/>
    <w:rsid w:val="00FE32DD"/>
    <w:rsid w:val="00FE3BE9"/>
    <w:rsid w:val="00FE6042"/>
    <w:rsid w:val="00FE6581"/>
    <w:rsid w:val="00FE6C55"/>
    <w:rsid w:val="00FF10DD"/>
    <w:rsid w:val="00FF173F"/>
    <w:rsid w:val="00FF269E"/>
    <w:rsid w:val="00FF3251"/>
    <w:rsid w:val="00FF3578"/>
    <w:rsid w:val="00FF4B1C"/>
    <w:rsid w:val="00FF5826"/>
    <w:rsid w:val="00FF5933"/>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515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4325617">
      <w:bodyDiv w:val="1"/>
      <w:marLeft w:val="0"/>
      <w:marRight w:val="0"/>
      <w:marTop w:val="0"/>
      <w:marBottom w:val="0"/>
      <w:divBdr>
        <w:top w:val="none" w:sz="0" w:space="0" w:color="auto"/>
        <w:left w:val="none" w:sz="0" w:space="0" w:color="auto"/>
        <w:bottom w:val="none" w:sz="0" w:space="0" w:color="auto"/>
        <w:right w:val="none" w:sz="0" w:space="0" w:color="auto"/>
      </w:divBdr>
    </w:div>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06977576">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2481076">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378895806">
      <w:bodyDiv w:val="1"/>
      <w:marLeft w:val="0"/>
      <w:marRight w:val="0"/>
      <w:marTop w:val="0"/>
      <w:marBottom w:val="0"/>
      <w:divBdr>
        <w:top w:val="none" w:sz="0" w:space="0" w:color="auto"/>
        <w:left w:val="none" w:sz="0" w:space="0" w:color="auto"/>
        <w:bottom w:val="none" w:sz="0" w:space="0" w:color="auto"/>
        <w:right w:val="none" w:sz="0" w:space="0" w:color="auto"/>
      </w:divBdr>
      <w:divsChild>
        <w:div w:id="1418672371">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34896514">
          <w:marLeft w:val="0"/>
          <w:marRight w:val="0"/>
          <w:marTop w:val="0"/>
          <w:marBottom w:val="0"/>
          <w:divBdr>
            <w:top w:val="none" w:sz="0" w:space="0" w:color="auto"/>
            <w:left w:val="none" w:sz="0" w:space="0" w:color="auto"/>
            <w:bottom w:val="none" w:sz="0" w:space="0" w:color="auto"/>
            <w:right w:val="none" w:sz="0" w:space="0" w:color="auto"/>
          </w:divBdr>
        </w:div>
        <w:div w:id="1062099461">
          <w:marLeft w:val="0"/>
          <w:marRight w:val="0"/>
          <w:marTop w:val="0"/>
          <w:marBottom w:val="0"/>
          <w:divBdr>
            <w:top w:val="none" w:sz="0" w:space="0" w:color="auto"/>
            <w:left w:val="none" w:sz="0" w:space="0" w:color="auto"/>
            <w:bottom w:val="none" w:sz="0" w:space="0" w:color="auto"/>
            <w:right w:val="none" w:sz="0" w:space="0" w:color="auto"/>
          </w:divBdr>
        </w:div>
        <w:div w:id="194541174">
          <w:marLeft w:val="0"/>
          <w:marRight w:val="0"/>
          <w:marTop w:val="0"/>
          <w:marBottom w:val="0"/>
          <w:divBdr>
            <w:top w:val="none" w:sz="0" w:space="0" w:color="auto"/>
            <w:left w:val="none" w:sz="0" w:space="0" w:color="auto"/>
            <w:bottom w:val="none" w:sz="0" w:space="0" w:color="auto"/>
            <w:right w:val="none" w:sz="0" w:space="0" w:color="auto"/>
          </w:divBdr>
        </w:div>
        <w:div w:id="804156526">
          <w:marLeft w:val="0"/>
          <w:marRight w:val="0"/>
          <w:marTop w:val="0"/>
          <w:marBottom w:val="0"/>
          <w:divBdr>
            <w:top w:val="none" w:sz="0" w:space="0" w:color="auto"/>
            <w:left w:val="none" w:sz="0" w:space="0" w:color="auto"/>
            <w:bottom w:val="none" w:sz="0" w:space="0" w:color="auto"/>
            <w:right w:val="none" w:sz="0" w:space="0" w:color="auto"/>
          </w:divBdr>
        </w:div>
        <w:div w:id="968163926">
          <w:marLeft w:val="0"/>
          <w:marRight w:val="0"/>
          <w:marTop w:val="0"/>
          <w:marBottom w:val="0"/>
          <w:divBdr>
            <w:top w:val="none" w:sz="0" w:space="0" w:color="auto"/>
            <w:left w:val="none" w:sz="0" w:space="0" w:color="auto"/>
            <w:bottom w:val="none" w:sz="0" w:space="0" w:color="auto"/>
            <w:right w:val="none" w:sz="0" w:space="0" w:color="auto"/>
          </w:divBdr>
        </w:div>
        <w:div w:id="550072094">
          <w:marLeft w:val="0"/>
          <w:marRight w:val="0"/>
          <w:marTop w:val="0"/>
          <w:marBottom w:val="0"/>
          <w:divBdr>
            <w:top w:val="none" w:sz="0" w:space="0" w:color="auto"/>
            <w:left w:val="none" w:sz="0" w:space="0" w:color="auto"/>
            <w:bottom w:val="none" w:sz="0" w:space="0" w:color="auto"/>
            <w:right w:val="none" w:sz="0" w:space="0" w:color="auto"/>
          </w:divBdr>
        </w:div>
        <w:div w:id="2040661421">
          <w:marLeft w:val="0"/>
          <w:marRight w:val="0"/>
          <w:marTop w:val="0"/>
          <w:marBottom w:val="0"/>
          <w:divBdr>
            <w:top w:val="none" w:sz="0" w:space="0" w:color="auto"/>
            <w:left w:val="none" w:sz="0" w:space="0" w:color="auto"/>
            <w:bottom w:val="none" w:sz="0" w:space="0" w:color="auto"/>
            <w:right w:val="none" w:sz="0" w:space="0" w:color="auto"/>
          </w:divBdr>
        </w:div>
        <w:div w:id="977884195">
          <w:marLeft w:val="0"/>
          <w:marRight w:val="0"/>
          <w:marTop w:val="0"/>
          <w:marBottom w:val="0"/>
          <w:divBdr>
            <w:top w:val="none" w:sz="0" w:space="0" w:color="auto"/>
            <w:left w:val="none" w:sz="0" w:space="0" w:color="auto"/>
            <w:bottom w:val="none" w:sz="0" w:space="0" w:color="auto"/>
            <w:right w:val="none" w:sz="0" w:space="0" w:color="auto"/>
          </w:divBdr>
        </w:div>
        <w:div w:id="1433550558">
          <w:marLeft w:val="0"/>
          <w:marRight w:val="0"/>
          <w:marTop w:val="0"/>
          <w:marBottom w:val="0"/>
          <w:divBdr>
            <w:top w:val="none" w:sz="0" w:space="0" w:color="auto"/>
            <w:left w:val="none" w:sz="0" w:space="0" w:color="auto"/>
            <w:bottom w:val="none" w:sz="0" w:space="0" w:color="auto"/>
            <w:right w:val="none" w:sz="0" w:space="0" w:color="auto"/>
          </w:divBdr>
        </w:div>
        <w:div w:id="1506823341">
          <w:marLeft w:val="0"/>
          <w:marRight w:val="0"/>
          <w:marTop w:val="0"/>
          <w:marBottom w:val="0"/>
          <w:divBdr>
            <w:top w:val="none" w:sz="0" w:space="0" w:color="auto"/>
            <w:left w:val="none" w:sz="0" w:space="0" w:color="auto"/>
            <w:bottom w:val="none" w:sz="0" w:space="0" w:color="auto"/>
            <w:right w:val="none" w:sz="0" w:space="0" w:color="auto"/>
          </w:divBdr>
        </w:div>
        <w:div w:id="672536385">
          <w:marLeft w:val="0"/>
          <w:marRight w:val="0"/>
          <w:marTop w:val="0"/>
          <w:marBottom w:val="0"/>
          <w:divBdr>
            <w:top w:val="none" w:sz="0" w:space="0" w:color="auto"/>
            <w:left w:val="none" w:sz="0" w:space="0" w:color="auto"/>
            <w:bottom w:val="none" w:sz="0" w:space="0" w:color="auto"/>
            <w:right w:val="none" w:sz="0" w:space="0" w:color="auto"/>
          </w:divBdr>
        </w:div>
        <w:div w:id="729571519">
          <w:marLeft w:val="0"/>
          <w:marRight w:val="0"/>
          <w:marTop w:val="0"/>
          <w:marBottom w:val="0"/>
          <w:divBdr>
            <w:top w:val="none" w:sz="0" w:space="0" w:color="auto"/>
            <w:left w:val="none" w:sz="0" w:space="0" w:color="auto"/>
            <w:bottom w:val="none" w:sz="0" w:space="0" w:color="auto"/>
            <w:right w:val="none" w:sz="0" w:space="0" w:color="auto"/>
          </w:divBdr>
        </w:div>
        <w:div w:id="477654227">
          <w:marLeft w:val="0"/>
          <w:marRight w:val="0"/>
          <w:marTop w:val="0"/>
          <w:marBottom w:val="0"/>
          <w:divBdr>
            <w:top w:val="none" w:sz="0" w:space="0" w:color="auto"/>
            <w:left w:val="none" w:sz="0" w:space="0" w:color="auto"/>
            <w:bottom w:val="none" w:sz="0" w:space="0" w:color="auto"/>
            <w:right w:val="none" w:sz="0" w:space="0" w:color="auto"/>
          </w:divBdr>
        </w:div>
        <w:div w:id="1940915791">
          <w:marLeft w:val="0"/>
          <w:marRight w:val="0"/>
          <w:marTop w:val="0"/>
          <w:marBottom w:val="0"/>
          <w:divBdr>
            <w:top w:val="none" w:sz="0" w:space="0" w:color="auto"/>
            <w:left w:val="none" w:sz="0" w:space="0" w:color="auto"/>
            <w:bottom w:val="none" w:sz="0" w:space="0" w:color="auto"/>
            <w:right w:val="none" w:sz="0" w:space="0" w:color="auto"/>
          </w:divBdr>
        </w:div>
        <w:div w:id="309330686">
          <w:marLeft w:val="0"/>
          <w:marRight w:val="0"/>
          <w:marTop w:val="0"/>
          <w:marBottom w:val="0"/>
          <w:divBdr>
            <w:top w:val="none" w:sz="0" w:space="0" w:color="auto"/>
            <w:left w:val="none" w:sz="0" w:space="0" w:color="auto"/>
            <w:bottom w:val="none" w:sz="0" w:space="0" w:color="auto"/>
            <w:right w:val="none" w:sz="0" w:space="0" w:color="auto"/>
          </w:divBdr>
        </w:div>
        <w:div w:id="1280793684">
          <w:marLeft w:val="0"/>
          <w:marRight w:val="0"/>
          <w:marTop w:val="0"/>
          <w:marBottom w:val="0"/>
          <w:divBdr>
            <w:top w:val="none" w:sz="0" w:space="0" w:color="auto"/>
            <w:left w:val="none" w:sz="0" w:space="0" w:color="auto"/>
            <w:bottom w:val="none" w:sz="0" w:space="0" w:color="auto"/>
            <w:right w:val="none" w:sz="0" w:space="0" w:color="auto"/>
          </w:divBdr>
        </w:div>
        <w:div w:id="550071440">
          <w:marLeft w:val="0"/>
          <w:marRight w:val="0"/>
          <w:marTop w:val="0"/>
          <w:marBottom w:val="0"/>
          <w:divBdr>
            <w:top w:val="none" w:sz="0" w:space="0" w:color="auto"/>
            <w:left w:val="none" w:sz="0" w:space="0" w:color="auto"/>
            <w:bottom w:val="none" w:sz="0" w:space="0" w:color="auto"/>
            <w:right w:val="none" w:sz="0" w:space="0" w:color="auto"/>
          </w:divBdr>
        </w:div>
        <w:div w:id="1920747362">
          <w:marLeft w:val="0"/>
          <w:marRight w:val="0"/>
          <w:marTop w:val="0"/>
          <w:marBottom w:val="0"/>
          <w:divBdr>
            <w:top w:val="none" w:sz="0" w:space="0" w:color="auto"/>
            <w:left w:val="none" w:sz="0" w:space="0" w:color="auto"/>
            <w:bottom w:val="none" w:sz="0" w:space="0" w:color="auto"/>
            <w:right w:val="none" w:sz="0" w:space="0" w:color="auto"/>
          </w:divBdr>
        </w:div>
        <w:div w:id="659891121">
          <w:marLeft w:val="0"/>
          <w:marRight w:val="0"/>
          <w:marTop w:val="0"/>
          <w:marBottom w:val="0"/>
          <w:divBdr>
            <w:top w:val="none" w:sz="0" w:space="0" w:color="auto"/>
            <w:left w:val="none" w:sz="0" w:space="0" w:color="auto"/>
            <w:bottom w:val="none" w:sz="0" w:space="0" w:color="auto"/>
            <w:right w:val="none" w:sz="0" w:space="0" w:color="auto"/>
          </w:divBdr>
        </w:div>
        <w:div w:id="1021585152">
          <w:marLeft w:val="0"/>
          <w:marRight w:val="0"/>
          <w:marTop w:val="0"/>
          <w:marBottom w:val="0"/>
          <w:divBdr>
            <w:top w:val="none" w:sz="0" w:space="0" w:color="auto"/>
            <w:left w:val="none" w:sz="0" w:space="0" w:color="auto"/>
            <w:bottom w:val="none" w:sz="0" w:space="0" w:color="auto"/>
            <w:right w:val="none" w:sz="0" w:space="0" w:color="auto"/>
          </w:divBdr>
        </w:div>
        <w:div w:id="1277984564">
          <w:marLeft w:val="0"/>
          <w:marRight w:val="0"/>
          <w:marTop w:val="0"/>
          <w:marBottom w:val="0"/>
          <w:divBdr>
            <w:top w:val="none" w:sz="0" w:space="0" w:color="auto"/>
            <w:left w:val="none" w:sz="0" w:space="0" w:color="auto"/>
            <w:bottom w:val="none" w:sz="0" w:space="0" w:color="auto"/>
            <w:right w:val="none" w:sz="0" w:space="0" w:color="auto"/>
          </w:divBdr>
        </w:div>
        <w:div w:id="350187165">
          <w:marLeft w:val="0"/>
          <w:marRight w:val="0"/>
          <w:marTop w:val="0"/>
          <w:marBottom w:val="0"/>
          <w:divBdr>
            <w:top w:val="none" w:sz="0" w:space="0" w:color="auto"/>
            <w:left w:val="none" w:sz="0" w:space="0" w:color="auto"/>
            <w:bottom w:val="none" w:sz="0" w:space="0" w:color="auto"/>
            <w:right w:val="none" w:sz="0" w:space="0" w:color="auto"/>
          </w:divBdr>
        </w:div>
        <w:div w:id="422730567">
          <w:marLeft w:val="0"/>
          <w:marRight w:val="0"/>
          <w:marTop w:val="0"/>
          <w:marBottom w:val="0"/>
          <w:divBdr>
            <w:top w:val="none" w:sz="0" w:space="0" w:color="auto"/>
            <w:left w:val="none" w:sz="0" w:space="0" w:color="auto"/>
            <w:bottom w:val="none" w:sz="0" w:space="0" w:color="auto"/>
            <w:right w:val="none" w:sz="0" w:space="0" w:color="auto"/>
          </w:divBdr>
        </w:div>
        <w:div w:id="1162937789">
          <w:marLeft w:val="0"/>
          <w:marRight w:val="0"/>
          <w:marTop w:val="0"/>
          <w:marBottom w:val="0"/>
          <w:divBdr>
            <w:top w:val="none" w:sz="0" w:space="0" w:color="auto"/>
            <w:left w:val="none" w:sz="0" w:space="0" w:color="auto"/>
            <w:bottom w:val="none" w:sz="0" w:space="0" w:color="auto"/>
            <w:right w:val="none" w:sz="0" w:space="0" w:color="auto"/>
          </w:divBdr>
        </w:div>
        <w:div w:id="501506953">
          <w:marLeft w:val="0"/>
          <w:marRight w:val="0"/>
          <w:marTop w:val="0"/>
          <w:marBottom w:val="0"/>
          <w:divBdr>
            <w:top w:val="none" w:sz="0" w:space="0" w:color="auto"/>
            <w:left w:val="none" w:sz="0" w:space="0" w:color="auto"/>
            <w:bottom w:val="none" w:sz="0" w:space="0" w:color="auto"/>
            <w:right w:val="none" w:sz="0" w:space="0" w:color="auto"/>
          </w:divBdr>
        </w:div>
        <w:div w:id="672030467">
          <w:marLeft w:val="0"/>
          <w:marRight w:val="0"/>
          <w:marTop w:val="0"/>
          <w:marBottom w:val="0"/>
          <w:divBdr>
            <w:top w:val="none" w:sz="0" w:space="0" w:color="auto"/>
            <w:left w:val="none" w:sz="0" w:space="0" w:color="auto"/>
            <w:bottom w:val="none" w:sz="0" w:space="0" w:color="auto"/>
            <w:right w:val="none" w:sz="0" w:space="0" w:color="auto"/>
          </w:divBdr>
        </w:div>
      </w:divsChild>
    </w:div>
    <w:div w:id="389614010">
      <w:bodyDiv w:val="1"/>
      <w:marLeft w:val="0"/>
      <w:marRight w:val="0"/>
      <w:marTop w:val="0"/>
      <w:marBottom w:val="0"/>
      <w:divBdr>
        <w:top w:val="none" w:sz="0" w:space="0" w:color="auto"/>
        <w:left w:val="none" w:sz="0" w:space="0" w:color="auto"/>
        <w:bottom w:val="none" w:sz="0" w:space="0" w:color="auto"/>
        <w:right w:val="none" w:sz="0" w:space="0" w:color="auto"/>
      </w:divBdr>
    </w:div>
    <w:div w:id="391775789">
      <w:bodyDiv w:val="1"/>
      <w:marLeft w:val="0"/>
      <w:marRight w:val="0"/>
      <w:marTop w:val="0"/>
      <w:marBottom w:val="0"/>
      <w:divBdr>
        <w:top w:val="none" w:sz="0" w:space="0" w:color="auto"/>
        <w:left w:val="none" w:sz="0" w:space="0" w:color="auto"/>
        <w:bottom w:val="none" w:sz="0" w:space="0" w:color="auto"/>
        <w:right w:val="none" w:sz="0" w:space="0" w:color="auto"/>
      </w:divBdr>
    </w:div>
    <w:div w:id="402677467">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34538619">
      <w:bodyDiv w:val="1"/>
      <w:marLeft w:val="0"/>
      <w:marRight w:val="0"/>
      <w:marTop w:val="0"/>
      <w:marBottom w:val="0"/>
      <w:divBdr>
        <w:top w:val="none" w:sz="0" w:space="0" w:color="auto"/>
        <w:left w:val="none" w:sz="0" w:space="0" w:color="auto"/>
        <w:bottom w:val="none" w:sz="0" w:space="0" w:color="auto"/>
        <w:right w:val="none" w:sz="0" w:space="0" w:color="auto"/>
      </w:divBdr>
    </w:div>
    <w:div w:id="546263815">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63027028">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046192">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89112603">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03945376">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8405037">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58932748">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15671896">
      <w:bodyDiv w:val="1"/>
      <w:marLeft w:val="0"/>
      <w:marRight w:val="0"/>
      <w:marTop w:val="0"/>
      <w:marBottom w:val="0"/>
      <w:divBdr>
        <w:top w:val="none" w:sz="0" w:space="0" w:color="auto"/>
        <w:left w:val="none" w:sz="0" w:space="0" w:color="auto"/>
        <w:bottom w:val="none" w:sz="0" w:space="0" w:color="auto"/>
        <w:right w:val="none" w:sz="0" w:space="0" w:color="auto"/>
      </w:divBdr>
      <w:divsChild>
        <w:div w:id="1808812045">
          <w:marLeft w:val="0"/>
          <w:marRight w:val="0"/>
          <w:marTop w:val="0"/>
          <w:marBottom w:val="0"/>
          <w:divBdr>
            <w:top w:val="none" w:sz="0" w:space="0" w:color="auto"/>
            <w:left w:val="none" w:sz="0" w:space="0" w:color="auto"/>
            <w:bottom w:val="none" w:sz="0" w:space="0" w:color="auto"/>
            <w:right w:val="none" w:sz="0" w:space="0" w:color="auto"/>
          </w:divBdr>
        </w:div>
      </w:divsChild>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3924465">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78746048">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17600393">
      <w:bodyDiv w:val="1"/>
      <w:marLeft w:val="0"/>
      <w:marRight w:val="0"/>
      <w:marTop w:val="0"/>
      <w:marBottom w:val="0"/>
      <w:divBdr>
        <w:top w:val="none" w:sz="0" w:space="0" w:color="auto"/>
        <w:left w:val="none" w:sz="0" w:space="0" w:color="auto"/>
        <w:bottom w:val="none" w:sz="0" w:space="0" w:color="auto"/>
        <w:right w:val="none" w:sz="0" w:space="0" w:color="auto"/>
      </w:divBdr>
    </w:div>
    <w:div w:id="1118991271">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01865797">
      <w:bodyDiv w:val="1"/>
      <w:marLeft w:val="0"/>
      <w:marRight w:val="0"/>
      <w:marTop w:val="0"/>
      <w:marBottom w:val="0"/>
      <w:divBdr>
        <w:top w:val="none" w:sz="0" w:space="0" w:color="auto"/>
        <w:left w:val="none" w:sz="0" w:space="0" w:color="auto"/>
        <w:bottom w:val="none" w:sz="0" w:space="0" w:color="auto"/>
        <w:right w:val="none" w:sz="0" w:space="0" w:color="auto"/>
      </w:divBdr>
    </w:div>
    <w:div w:id="1212381738">
      <w:bodyDiv w:val="1"/>
      <w:marLeft w:val="0"/>
      <w:marRight w:val="0"/>
      <w:marTop w:val="0"/>
      <w:marBottom w:val="0"/>
      <w:divBdr>
        <w:top w:val="none" w:sz="0" w:space="0" w:color="auto"/>
        <w:left w:val="none" w:sz="0" w:space="0" w:color="auto"/>
        <w:bottom w:val="none" w:sz="0" w:space="0" w:color="auto"/>
        <w:right w:val="none" w:sz="0" w:space="0" w:color="auto"/>
      </w:divBdr>
    </w:div>
    <w:div w:id="1220823029">
      <w:bodyDiv w:val="1"/>
      <w:marLeft w:val="0"/>
      <w:marRight w:val="0"/>
      <w:marTop w:val="0"/>
      <w:marBottom w:val="0"/>
      <w:divBdr>
        <w:top w:val="none" w:sz="0" w:space="0" w:color="auto"/>
        <w:left w:val="none" w:sz="0" w:space="0" w:color="auto"/>
        <w:bottom w:val="none" w:sz="0" w:space="0" w:color="auto"/>
        <w:right w:val="none" w:sz="0" w:space="0" w:color="auto"/>
      </w:divBdr>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51430902">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299342554">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19380886">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514225547">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5481949">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79642006">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17839593">
      <w:bodyDiv w:val="1"/>
      <w:marLeft w:val="0"/>
      <w:marRight w:val="0"/>
      <w:marTop w:val="0"/>
      <w:marBottom w:val="0"/>
      <w:divBdr>
        <w:top w:val="none" w:sz="0" w:space="0" w:color="auto"/>
        <w:left w:val="none" w:sz="0" w:space="0" w:color="auto"/>
        <w:bottom w:val="none" w:sz="0" w:space="0" w:color="auto"/>
        <w:right w:val="none" w:sz="0" w:space="0" w:color="auto"/>
      </w:divBdr>
    </w:div>
    <w:div w:id="1829050698">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2014937">
      <w:bodyDiv w:val="1"/>
      <w:marLeft w:val="0"/>
      <w:marRight w:val="0"/>
      <w:marTop w:val="0"/>
      <w:marBottom w:val="0"/>
      <w:divBdr>
        <w:top w:val="none" w:sz="0" w:space="0" w:color="auto"/>
        <w:left w:val="none" w:sz="0" w:space="0" w:color="auto"/>
        <w:bottom w:val="none" w:sz="0" w:space="0" w:color="auto"/>
        <w:right w:val="none" w:sz="0" w:space="0" w:color="auto"/>
      </w:divBdr>
    </w:div>
    <w:div w:id="1888561413">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1948072757">
      <w:bodyDiv w:val="1"/>
      <w:marLeft w:val="0"/>
      <w:marRight w:val="0"/>
      <w:marTop w:val="0"/>
      <w:marBottom w:val="0"/>
      <w:divBdr>
        <w:top w:val="none" w:sz="0" w:space="0" w:color="auto"/>
        <w:left w:val="none" w:sz="0" w:space="0" w:color="auto"/>
        <w:bottom w:val="none" w:sz="0" w:space="0" w:color="auto"/>
        <w:right w:val="none" w:sz="0" w:space="0" w:color="auto"/>
      </w:divBdr>
    </w:div>
    <w:div w:id="1990287069">
      <w:bodyDiv w:val="1"/>
      <w:marLeft w:val="0"/>
      <w:marRight w:val="0"/>
      <w:marTop w:val="0"/>
      <w:marBottom w:val="0"/>
      <w:divBdr>
        <w:top w:val="none" w:sz="0" w:space="0" w:color="auto"/>
        <w:left w:val="none" w:sz="0" w:space="0" w:color="auto"/>
        <w:bottom w:val="none" w:sz="0" w:space="0" w:color="auto"/>
        <w:right w:val="none" w:sz="0" w:space="0" w:color="auto"/>
      </w:divBdr>
    </w:div>
    <w:div w:id="2019311897">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47901465">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20-4-30.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53</Pages>
  <Words>3309</Words>
  <Characters>18862</Characters>
  <Application>Microsoft Office Word</Application>
  <DocSecurity>0</DocSecurity>
  <Lines>157</Lines>
  <Paragraphs>44</Paragraphs>
  <ScaleCrop>false</ScaleCrop>
  <Company>china</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10</cp:revision>
  <dcterms:created xsi:type="dcterms:W3CDTF">2020-04-30T03:05:00Z</dcterms:created>
  <dcterms:modified xsi:type="dcterms:W3CDTF">2020-04-30T08:14:00Z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