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0" w:name="_Toc485828985"/>
      <w:r>
        <w:pict>
          <v:shape id="图片 1" o:spid="_x0000_s1027" o:spt="75" alt="封面.jpg" type="#_x0000_t75" style="position:absolute;left:0pt;margin-left:-60.7pt;margin-top:-109.25pt;height:842.25pt;width:601.95pt;z-index:-251657216;mso-width-relative:page;mso-height-relative:page;" filled="f" o:preferrelative="t" stroked="f" coordsize="21600,21600">
            <v:path/>
            <v:fill on="f" focussize="0,0"/>
            <v:stroke on="f" joinstyle="miter"/>
            <v:imagedata r:id="rId6" o:title=""/>
            <o:lock v:ext="edit" aspectratio="t"/>
          </v:shape>
        </w:pict>
      </w:r>
    </w:p>
    <w:p>
      <w:pPr>
        <w:spacing w:line="400" w:lineRule="exact"/>
        <w:rPr>
          <w:rFonts w:cs="Times New Roman"/>
        </w:rPr>
      </w:pPr>
      <w:r>
        <w:pict>
          <v:shape id="文本框 2" o:spid="_x0000_s1028" o:spt="202" type="#_x0000_t202" style="position:absolute;left:0pt;margin-left:36.9pt;margin-top:586.45pt;height:110.7pt;width:419.1pt;z-index:251656192;mso-width-relative:page;mso-height-relative:page;" filled="f" stroked="f" coordsize="21600,21600">
            <v:path/>
            <v:fill on="f" focussize="0,0"/>
            <v:stroke on="f" joinstyle="miter"/>
            <v:imagedata o:title=""/>
            <o:lock v:ext="edit"/>
            <v:textbox>
              <w:txbxContent>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24"/>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16"/>
                      <w:rFonts w:ascii="黑体" w:hAnsi="宋体" w:eastAsia="黑体" w:cs="黑体"/>
                      <w:color w:val="auto"/>
                      <w:kern w:val="2"/>
                      <w:sz w:val="24"/>
                      <w:szCs w:val="24"/>
                      <w:u w:val="none"/>
                      <w:lang w:eastAsia="zh-CN"/>
                    </w:rPr>
                    <w:t>hljbsc2017zsw@163.com</w:t>
                  </w:r>
                  <w:r>
                    <w:rPr>
                      <w:rStyle w:val="16"/>
                      <w:rFonts w:ascii="黑体" w:hAnsi="宋体" w:eastAsia="黑体" w:cs="黑体"/>
                      <w:color w:val="auto"/>
                      <w:kern w:val="2"/>
                      <w:sz w:val="24"/>
                      <w:szCs w:val="24"/>
                      <w:u w:val="none"/>
                      <w:lang w:eastAsia="zh-CN"/>
                    </w:rPr>
                    <w:fldChar w:fldCharType="end"/>
                  </w:r>
                </w:p>
                <w:p>
                  <w:pPr>
                    <w:pStyle w:val="24"/>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jc w:val="left"/>
                    <w:rPr>
                      <w:rFonts w:cs="Times New Roman"/>
                    </w:rPr>
                  </w:pPr>
                </w:p>
                <w:p>
                  <w:pPr>
                    <w:jc w:val="left"/>
                    <w:rPr>
                      <w:rFonts w:cs="Times New Roman"/>
                    </w:rPr>
                  </w:pPr>
                </w:p>
              </w:txbxContent>
            </v:textbox>
          </v:shape>
        </w:pict>
      </w:r>
      <w:r>
        <w:pict>
          <v:shape id="文本框 3" o:spid="_x0000_s1029" o:spt="202" type="#_x0000_t202" style="position:absolute;left:0pt;margin-left:175.45pt;margin-top:490.7pt;height:54.1pt;width:126.6pt;z-index:251657216;mso-width-relative:page;mso-height-relative:page;" filled="f" stroked="f" coordsize="21600,21600">
            <v:path/>
            <v:fill on="f" focussize="0,0"/>
            <v:stroke on="f" joinstyle="miter"/>
            <v:imagedata o:title=""/>
            <o:lock v:ext="edit"/>
            <v:textbox>
              <w:txbxContent>
                <w:p>
                  <w:pPr>
                    <w:pStyle w:val="2"/>
                    <w:rPr>
                      <w:rFonts w:hint="eastAsia" w:eastAsia="黑体"/>
                      <w:lang w:val="en-US" w:eastAsia="zh-CN"/>
                    </w:rPr>
                  </w:pPr>
                  <w:bookmarkStart w:id="476" w:name="_Toc485828984"/>
                  <w:bookmarkStart w:id="477" w:name="_Toc485981320"/>
                  <w:bookmarkStart w:id="478" w:name="_Toc13217629"/>
                  <w:r>
                    <w:rPr>
                      <w:kern w:val="2"/>
                    </w:rPr>
                    <w:t>2020.</w:t>
                  </w:r>
                  <w:bookmarkEnd w:id="476"/>
                  <w:bookmarkEnd w:id="477"/>
                  <w:r>
                    <w:rPr>
                      <w:rFonts w:hint="eastAsia"/>
                      <w:kern w:val="2"/>
                      <w:lang w:val="en-US" w:eastAsia="zh-CN"/>
                    </w:rPr>
                    <w:t>4</w:t>
                  </w:r>
                  <w:r>
                    <w:rPr>
                      <w:kern w:val="2"/>
                    </w:rPr>
                    <w:t>.</w:t>
                  </w:r>
                  <w:bookmarkEnd w:id="478"/>
                  <w:r>
                    <w:rPr>
                      <w:rFonts w:hint="eastAsia"/>
                      <w:kern w:val="2"/>
                      <w:lang w:val="en-US" w:eastAsia="zh-CN"/>
                    </w:rPr>
                    <w:t>3</w:t>
                  </w:r>
                </w:p>
              </w:txbxContent>
            </v:textbox>
          </v:shape>
        </w:pict>
      </w:r>
      <w:r>
        <w:rPr>
          <w:rFonts w:cs="Times New Roman"/>
        </w:rPr>
        <w:br w:type="page"/>
      </w:r>
      <w:r>
        <w:pict>
          <v:shape id="_x0000_s1030" o:spid="_x0000_s1030" o:spt="202" type="#_x0000_t202" style="position:absolute;left:0pt;margin-left:-0.9pt;margin-top:34.7pt;height:565.3pt;width:492pt;z-index:251658240;mso-width-relative:page;mso-height-relative:page;" filled="f" stroked="f" coordsize="21600,21600">
            <v:path/>
            <v:fill on="f" focussize="0,0"/>
            <v:stroke on="f" joinstyle="miter"/>
            <v:imagedata o:title=""/>
            <o:lock v:ext="edit"/>
            <v:textbox>
              <w:txbxContent>
                <w:p>
                  <w:pPr>
                    <w:pStyle w:val="24"/>
                    <w:spacing w:line="240" w:lineRule="auto"/>
                    <w:jc w:val="center"/>
                    <w:outlineLvl w:val="0"/>
                    <w:rPr>
                      <w:rFonts w:ascii="宋体" w:cs="Times New Roman"/>
                      <w:b/>
                      <w:bCs/>
                      <w:color w:val="000080"/>
                      <w:sz w:val="28"/>
                      <w:szCs w:val="28"/>
                      <w:lang w:eastAsia="zh-CN"/>
                    </w:rPr>
                  </w:pPr>
                  <w:bookmarkStart w:id="479" w:name="_Toc13217630"/>
                  <w:r>
                    <w:rPr>
                      <w:rFonts w:hint="eastAsia" w:ascii="宋体" w:hAnsi="宋体" w:cs="宋体"/>
                      <w:b/>
                      <w:bCs/>
                      <w:color w:val="000080"/>
                      <w:sz w:val="28"/>
                      <w:szCs w:val="28"/>
                      <w:lang w:eastAsia="zh-CN"/>
                    </w:rPr>
                    <w:t>氯碱市场周报目录</w:t>
                  </w:r>
                  <w:bookmarkEnd w:id="479"/>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9"/>
                    <w:rPr>
                      <w:rFonts w:ascii="Calibri" w:hAnsi="Calibri" w:cs="Calibri"/>
                      <w:b w:val="0"/>
                      <w:bCs w:val="0"/>
                      <w:caps w:val="0"/>
                      <w:color w:val="auto"/>
                      <w:sz w:val="21"/>
                      <w:szCs w:val="21"/>
                    </w:rPr>
                  </w:pPr>
                  <w:r>
                    <w:fldChar w:fldCharType="begin"/>
                  </w:r>
                  <w:r>
                    <w:instrText xml:space="preserve"> TOC \o "1-3" \h \z \u </w:instrText>
                  </w:r>
                  <w:r>
                    <w:fldChar w:fldCharType="separate"/>
                  </w:r>
                  <w:r>
                    <w:fldChar w:fldCharType="begin"/>
                  </w:r>
                  <w:r>
                    <w:instrText xml:space="preserve"> HYPERLINK "file:///C:\\Users\\Administrator.USER-20170424GR\\Desktop\\我之前\\周报\\周报\\氯碱.docx" \l "_Toc13217629" </w:instrText>
                  </w:r>
                  <w:r>
                    <w:fldChar w:fldCharType="separate"/>
                  </w:r>
                  <w:r>
                    <w:rPr>
                      <w:rStyle w:val="16"/>
                    </w:rPr>
                    <w:t>2020.</w:t>
                  </w:r>
                  <w:r>
                    <w:rPr>
                      <w:rStyle w:val="16"/>
                      <w:rFonts w:hint="eastAsia"/>
                      <w:lang w:val="en-US" w:eastAsia="zh-CN"/>
                    </w:rPr>
                    <w:t>4</w:t>
                  </w:r>
                  <w:r>
                    <w:rPr>
                      <w:rStyle w:val="16"/>
                    </w:rPr>
                    <w:t>.</w:t>
                  </w:r>
                  <w:r>
                    <w:rPr>
                      <w:rStyle w:val="16"/>
                      <w:rFonts w:hint="eastAsia"/>
                      <w:lang w:val="en-US" w:eastAsia="zh-CN"/>
                    </w:rPr>
                    <w:t>3</w:t>
                  </w:r>
                  <w:r>
                    <w:rPr>
                      <w:rFonts w:cs="Times New Roman"/>
                    </w:rPr>
                    <w:tab/>
                  </w:r>
                  <w:r>
                    <w:fldChar w:fldCharType="begin"/>
                  </w:r>
                  <w:r>
                    <w:instrText xml:space="preserve"> PAGEREF _Toc13217629 \h </w:instrText>
                  </w:r>
                  <w:r>
                    <w:fldChar w:fldCharType="separate"/>
                  </w:r>
                  <w:r>
                    <w:t>1</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"file:///C:\\Users\\Administrator.USER-20170424GR\\Desktop\\我之前\\周报\\周报\\氯碱.docx" \l "_Toc13217630" </w:instrText>
                  </w:r>
                  <w:r>
                    <w:fldChar w:fldCharType="separate"/>
                  </w:r>
                  <w:r>
                    <w:rPr>
                      <w:rStyle w:val="16"/>
                      <w:rFonts w:hint="eastAsia"/>
                    </w:rPr>
                    <w:t>氯碱市场周报目录</w:t>
                  </w:r>
                  <w:r>
                    <w:rPr>
                      <w:rFonts w:cs="Times New Roman"/>
                    </w:rPr>
                    <w:tab/>
                  </w:r>
                  <w:r>
                    <w:fldChar w:fldCharType="begin"/>
                  </w:r>
                  <w:r>
                    <w:instrText xml:space="preserve"> PAGEREF _Toc13217630 \h </w:instrText>
                  </w:r>
                  <w:r>
                    <w:fldChar w:fldCharType="separate"/>
                  </w:r>
                  <w:r>
                    <w:t>2</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"_Toc13217631" </w:instrText>
                  </w:r>
                  <w:r>
                    <w:fldChar w:fldCharType="separate"/>
                  </w:r>
                  <w:r>
                    <w:rPr>
                      <w:rStyle w:val="16"/>
                      <w:rFonts w:hint="eastAsia"/>
                    </w:rPr>
                    <w:t>纯碱</w:t>
                  </w:r>
                  <w:r>
                    <w:rPr>
                      <w:rFonts w:cs="Times New Roman"/>
                    </w:rPr>
                    <w:tab/>
                  </w:r>
                  <w:r>
                    <w:fldChar w:fldCharType="begin"/>
                  </w:r>
                  <w:r>
                    <w:instrText xml:space="preserve"> PAGEREF _Toc13217631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"_Toc13217632" </w:instrText>
                  </w:r>
                  <w:r>
                    <w:fldChar w:fldCharType="separate"/>
                  </w:r>
                  <w:r>
                    <w:rPr>
                      <w:rStyle w:val="16"/>
                      <w:rFonts w:hint="eastAsia" w:ascii="黑体" w:hAnsi="黑体" w:eastAsia="黑体" w:cs="黑体"/>
                    </w:rPr>
                    <w:t>评述：本周纯碱市场评述及行情预测</w:t>
                  </w:r>
                  <w:r>
                    <w:rPr>
                      <w:rFonts w:cs="Times New Roman"/>
                    </w:rPr>
                    <w:tab/>
                  </w:r>
                  <w:r>
                    <w:fldChar w:fldCharType="begin"/>
                  </w:r>
                  <w:r>
                    <w:instrText xml:space="preserve"> PAGEREF _Toc13217632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"_Toc13217633" </w:instrText>
                  </w:r>
                  <w:r>
                    <w:fldChar w:fldCharType="separate"/>
                  </w:r>
                  <w:r>
                    <w:rPr>
                      <w:rStyle w:val="16"/>
                      <w:rFonts w:hint="eastAsia" w:ascii="黑体" w:hAnsi="黑体" w:eastAsia="黑体" w:cs="黑体"/>
                      <w:kern w:val="0"/>
                    </w:rPr>
                    <w:t>一、纯碱市场一周综述</w:t>
                  </w:r>
                  <w:r>
                    <w:rPr>
                      <w:rFonts w:cs="Times New Roman"/>
                    </w:rPr>
                    <w:tab/>
                  </w:r>
                  <w:r>
                    <w:fldChar w:fldCharType="begin"/>
                  </w:r>
                  <w:r>
                    <w:instrText xml:space="preserve"> PAGEREF _Toc13217633 \h </w:instrText>
                  </w:r>
                  <w:r>
                    <w:fldChar w:fldCharType="separate"/>
                  </w:r>
                  <w:r>
                    <w:t>3</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"_Toc13217634" </w:instrText>
                  </w:r>
                  <w:r>
                    <w:fldChar w:fldCharType="separate"/>
                  </w:r>
                  <w:r>
                    <w:rPr>
                      <w:rStyle w:val="16"/>
                      <w:rFonts w:hint="eastAsia" w:ascii="黑体" w:hAnsi="黑体" w:eastAsia="黑体" w:cs="黑体"/>
                    </w:rPr>
                    <w:t>二、</w:t>
                  </w:r>
                  <w:r>
                    <w:rPr>
                      <w:rStyle w:val="16"/>
                      <w:rFonts w:ascii="黑体" w:hAnsi="黑体" w:eastAsia="黑体" w:cs="黑体"/>
                    </w:rPr>
                    <w:t xml:space="preserve"> </w:t>
                  </w:r>
                  <w:r>
                    <w:rPr>
                      <w:rStyle w:val="16"/>
                      <w:rFonts w:hint="eastAsia" w:ascii="黑体" w:hAnsi="黑体" w:eastAsia="黑体" w:cs="黑体"/>
                    </w:rPr>
                    <w:t>影响市场因素及后市预测</w:t>
                  </w:r>
                  <w:r>
                    <w:rPr>
                      <w:rFonts w:cs="Times New Roman"/>
                    </w:rPr>
                    <w:tab/>
                  </w:r>
                  <w:r>
                    <w:fldChar w:fldCharType="begin"/>
                  </w:r>
                  <w:r>
                    <w:instrText xml:space="preserve"> PAGEREF _Toc13217634 \h </w:instrText>
                  </w:r>
                  <w:r>
                    <w:fldChar w:fldCharType="separate"/>
                  </w:r>
                  <w:r>
                    <w:t>4</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"_Toc13217635" </w:instrText>
                  </w:r>
                  <w:r>
                    <w:fldChar w:fldCharType="separate"/>
                  </w:r>
                  <w:r>
                    <w:rPr>
                      <w:rStyle w:val="16"/>
                      <w:rFonts w:hint="eastAsia" w:cs="宋体"/>
                      <w:b/>
                      <w:bCs/>
                    </w:rPr>
                    <w:t>本周国内纯碱市场价格</w:t>
                  </w:r>
                  <w:r>
                    <w:rPr>
                      <w:rFonts w:cs="Times New Roman"/>
                    </w:rPr>
                    <w:tab/>
                  </w:r>
                  <w:r>
                    <w:fldChar w:fldCharType="begin"/>
                  </w:r>
                  <w:r>
                    <w:instrText xml:space="preserve"> PAGEREF _Toc13217635 \h </w:instrText>
                  </w:r>
                  <w:r>
                    <w:fldChar w:fldCharType="separate"/>
                  </w:r>
                  <w:r>
                    <w:t>5</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"_Toc13217636" </w:instrText>
                  </w:r>
                  <w:r>
                    <w:fldChar w:fldCharType="separate"/>
                  </w:r>
                  <w:r>
                    <w:rPr>
                      <w:rStyle w:val="16"/>
                      <w:rFonts w:hint="eastAsia"/>
                    </w:rPr>
                    <w:t>烧碱</w:t>
                  </w:r>
                  <w:r>
                    <w:rPr>
                      <w:rFonts w:cs="Times New Roman"/>
                    </w:rPr>
                    <w:tab/>
                  </w:r>
                  <w:r>
                    <w:fldChar w:fldCharType="begin"/>
                  </w:r>
                  <w:r>
                    <w:instrText xml:space="preserve"> PAGEREF _Toc13217636 \h </w:instrText>
                  </w:r>
                  <w:r>
                    <w:fldChar w:fldCharType="separate"/>
                  </w:r>
                  <w:r>
                    <w:t>5</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"_Toc13217637" </w:instrText>
                  </w:r>
                  <w:r>
                    <w:fldChar w:fldCharType="separate"/>
                  </w:r>
                  <w:r>
                    <w:rPr>
                      <w:rStyle w:val="16"/>
                      <w:rFonts w:hint="eastAsia" w:ascii="黑体" w:hAnsi="黑体" w:eastAsia="黑体" w:cs="黑体"/>
                    </w:rPr>
                    <w:t>中国烧碱市场行情综述</w:t>
                  </w:r>
                  <w:r>
                    <w:rPr>
                      <w:rFonts w:cs="Times New Roman"/>
                    </w:rPr>
                    <w:tab/>
                  </w:r>
                  <w:r>
                    <w:fldChar w:fldCharType="begin"/>
                  </w:r>
                  <w:r>
                    <w:instrText xml:space="preserve"> PAGEREF _Toc13217637 \h </w:instrText>
                  </w:r>
                  <w:r>
                    <w:fldChar w:fldCharType="separate"/>
                  </w:r>
                  <w:r>
                    <w:t>5</w:t>
                  </w:r>
                  <w:r>
                    <w:fldChar w:fldCharType="end"/>
                  </w:r>
                  <w:r>
                    <w:fldChar w:fldCharType="end"/>
                  </w:r>
                </w:p>
                <w:p>
                  <w:pPr>
                    <w:pStyle w:val="11"/>
                    <w:tabs>
                      <w:tab w:val="left" w:pos="1050"/>
                    </w:tabs>
                    <w:rPr>
                      <w:rFonts w:ascii="Calibri" w:hAnsi="Calibri" w:cs="Calibri"/>
                      <w:b w:val="0"/>
                      <w:bCs w:val="0"/>
                      <w:smallCaps w:val="0"/>
                      <w:color w:val="auto"/>
                      <w:sz w:val="21"/>
                      <w:szCs w:val="21"/>
                    </w:rPr>
                  </w:pPr>
                  <w:r>
                    <w:fldChar w:fldCharType="begin"/>
                  </w:r>
                  <w:r>
                    <w:instrText xml:space="preserve"> HYPERLINK \l "_Toc13217638" </w:instrText>
                  </w:r>
                  <w:r>
                    <w:fldChar w:fldCharType="separate"/>
                  </w:r>
                  <w:r>
                    <w:rPr>
                      <w:rStyle w:val="16"/>
                      <w:rFonts w:hint="eastAsia" w:ascii="黑体" w:hAnsi="黑体" w:eastAsia="黑体" w:cs="黑体"/>
                    </w:rPr>
                    <w:t>一、</w:t>
                  </w:r>
                  <w:r>
                    <w:rPr>
                      <w:rFonts w:ascii="Calibri" w:hAnsi="Calibri" w:cs="Calibri"/>
                      <w:b w:val="0"/>
                      <w:bCs w:val="0"/>
                      <w:smallCaps w:val="0"/>
                      <w:color w:val="auto"/>
                      <w:sz w:val="21"/>
                      <w:szCs w:val="21"/>
                    </w:rPr>
                    <w:tab/>
                  </w:r>
                  <w:r>
                    <w:rPr>
                      <w:rStyle w:val="16"/>
                      <w:rFonts w:hint="eastAsia" w:ascii="黑体" w:hAnsi="黑体" w:eastAsia="黑体" w:cs="黑体"/>
                    </w:rPr>
                    <w:t>市场综述</w:t>
                  </w:r>
                  <w:r>
                    <w:rPr>
                      <w:rFonts w:cs="Times New Roman"/>
                    </w:rPr>
                    <w:tab/>
                  </w:r>
                  <w:r>
                    <w:fldChar w:fldCharType="begin"/>
                  </w:r>
                  <w:r>
                    <w:instrText xml:space="preserve"> PAGEREF _Toc13217638 \h </w:instrText>
                  </w:r>
                  <w:r>
                    <w:fldChar w:fldCharType="separate"/>
                  </w:r>
                  <w:r>
                    <w:t>5</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"_Toc13217639" </w:instrText>
                  </w:r>
                  <w:r>
                    <w:fldChar w:fldCharType="separate"/>
                  </w:r>
                  <w:r>
                    <w:rPr>
                      <w:rStyle w:val="16"/>
                      <w:rFonts w:hint="eastAsia"/>
                    </w:rPr>
                    <w:t>二、价格方面</w:t>
                  </w:r>
                  <w:r>
                    <w:rPr>
                      <w:rFonts w:cs="Times New Roman"/>
                    </w:rPr>
                    <w:tab/>
                  </w:r>
                  <w:r>
                    <w:fldChar w:fldCharType="begin"/>
                  </w:r>
                  <w:r>
                    <w:instrText xml:space="preserve"> PAGEREF _Toc13217639 \h </w:instrText>
                  </w:r>
                  <w:r>
                    <w:fldChar w:fldCharType="separate"/>
                  </w:r>
                  <w:r>
                    <w:t>6</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"_Toc13217640" </w:instrText>
                  </w:r>
                  <w:r>
                    <w:fldChar w:fldCharType="separate"/>
                  </w:r>
                  <w:r>
                    <w:rPr>
                      <w:rStyle w:val="16"/>
                      <w:rFonts w:hint="eastAsia" w:cs="宋体"/>
                      <w:b/>
                      <w:bCs/>
                    </w:rPr>
                    <w:t>本周国内片碱实际成交周汇总</w:t>
                  </w:r>
                  <w:r>
                    <w:rPr>
                      <w:rFonts w:cs="Times New Roman"/>
                    </w:rPr>
                    <w:tab/>
                  </w:r>
                  <w:r>
                    <w:fldChar w:fldCharType="begin"/>
                  </w:r>
                  <w:r>
                    <w:instrText xml:space="preserve"> PAGEREF _Toc13217640 \h </w:instrText>
                  </w:r>
                  <w:r>
                    <w:fldChar w:fldCharType="separate"/>
                  </w:r>
                  <w:r>
                    <w:t>7</w:t>
                  </w:r>
                  <w:r>
                    <w:fldChar w:fldCharType="end"/>
                  </w:r>
                  <w:r>
                    <w:fldChar w:fldCharType="end"/>
                  </w:r>
                </w:p>
                <w:p>
                  <w:pPr>
                    <w:pStyle w:val="9"/>
                    <w:rPr>
                      <w:rFonts w:ascii="Calibri" w:hAnsi="Calibri" w:cs="Calibri"/>
                      <w:b w:val="0"/>
                      <w:bCs w:val="0"/>
                      <w:caps w:val="0"/>
                      <w:color w:val="auto"/>
                      <w:sz w:val="21"/>
                      <w:szCs w:val="21"/>
                    </w:rPr>
                  </w:pPr>
                  <w:r>
                    <w:fldChar w:fldCharType="begin"/>
                  </w:r>
                  <w:r>
                    <w:instrText xml:space="preserve"> HYPERLINK \l "_Toc13217641" </w:instrText>
                  </w:r>
                  <w:r>
                    <w:fldChar w:fldCharType="separate"/>
                  </w:r>
                  <w:r>
                    <w:rPr>
                      <w:rStyle w:val="16"/>
                      <w:rFonts w:hint="eastAsia"/>
                    </w:rPr>
                    <w:t>液氯</w:t>
                  </w:r>
                  <w:r>
                    <w:rPr>
                      <w:rFonts w:cs="Times New Roman"/>
                    </w:rPr>
                    <w:tab/>
                  </w:r>
                  <w:r>
                    <w:fldChar w:fldCharType="begin"/>
                  </w:r>
                  <w:r>
                    <w:instrText xml:space="preserve"> PAGEREF _Toc13217641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"_Toc13217642" </w:instrText>
                  </w:r>
                  <w:r>
                    <w:fldChar w:fldCharType="separate"/>
                  </w:r>
                  <w:r>
                    <w:rPr>
                      <w:rStyle w:val="16"/>
                      <w:rFonts w:hint="eastAsia" w:ascii="黑体" w:hAnsi="黑体" w:eastAsia="黑体" w:cs="黑体"/>
                    </w:rPr>
                    <w:t>评述：本周国内液氯市场评述及行情预测</w:t>
                  </w:r>
                  <w:r>
                    <w:rPr>
                      <w:rFonts w:cs="Times New Roman"/>
                    </w:rPr>
                    <w:tab/>
                  </w:r>
                  <w:r>
                    <w:fldChar w:fldCharType="begin"/>
                  </w:r>
                  <w:r>
                    <w:instrText xml:space="preserve"> PAGEREF _Toc13217642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"_Toc13217643" </w:instrText>
                  </w:r>
                  <w:r>
                    <w:fldChar w:fldCharType="separate"/>
                  </w:r>
                  <w:r>
                    <w:rPr>
                      <w:rStyle w:val="16"/>
                      <w:rFonts w:hint="eastAsia" w:ascii="黑体" w:hAnsi="黑体" w:eastAsia="黑体" w:cs="黑体"/>
                    </w:rPr>
                    <w:t>一、中国液氯市场行情综述</w:t>
                  </w:r>
                  <w:r>
                    <w:rPr>
                      <w:rFonts w:cs="Times New Roman"/>
                    </w:rPr>
                    <w:tab/>
                  </w:r>
                  <w:r>
                    <w:fldChar w:fldCharType="begin"/>
                  </w:r>
                  <w:r>
                    <w:instrText xml:space="preserve"> PAGEREF _Toc13217643 \h </w:instrText>
                  </w:r>
                  <w:r>
                    <w:fldChar w:fldCharType="separate"/>
                  </w:r>
                  <w:r>
                    <w:t>8</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"_Toc13217644" </w:instrText>
                  </w:r>
                  <w:r>
                    <w:fldChar w:fldCharType="separate"/>
                  </w:r>
                  <w:r>
                    <w:rPr>
                      <w:rStyle w:val="16"/>
                      <w:rFonts w:hint="eastAsia" w:ascii="黑体" w:hAnsi="黑体" w:eastAsia="黑体" w:cs="黑体"/>
                    </w:rPr>
                    <w:t>二、市场价格</w:t>
                  </w:r>
                  <w:r>
                    <w:rPr>
                      <w:rFonts w:cs="Times New Roman"/>
                    </w:rPr>
                    <w:tab/>
                  </w:r>
                  <w:r>
                    <w:fldChar w:fldCharType="begin"/>
                  </w:r>
                  <w:r>
                    <w:instrText xml:space="preserve"> PAGEREF _Toc13217644 \h </w:instrText>
                  </w:r>
                  <w:r>
                    <w:fldChar w:fldCharType="separate"/>
                  </w:r>
                  <w:r>
                    <w:t>9</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"_Toc13217645" </w:instrText>
                  </w:r>
                  <w:r>
                    <w:fldChar w:fldCharType="separate"/>
                  </w:r>
                  <w:r>
                    <w:rPr>
                      <w:rStyle w:val="16"/>
                      <w:rFonts w:hint="eastAsia" w:ascii="黑体" w:hAnsi="黑体" w:eastAsia="黑体" w:cs="黑体"/>
                    </w:rPr>
                    <w:t>三、山东市场分析</w:t>
                  </w:r>
                  <w:r>
                    <w:rPr>
                      <w:rFonts w:cs="Times New Roman"/>
                    </w:rPr>
                    <w:tab/>
                  </w:r>
                  <w:r>
                    <w:fldChar w:fldCharType="begin"/>
                  </w:r>
                  <w:r>
                    <w:instrText xml:space="preserve"> PAGEREF _Toc13217645 \h </w:instrText>
                  </w:r>
                  <w:r>
                    <w:fldChar w:fldCharType="separate"/>
                  </w:r>
                  <w:r>
                    <w:t>9</w:t>
                  </w:r>
                  <w:r>
                    <w:fldChar w:fldCharType="end"/>
                  </w:r>
                  <w:r>
                    <w:fldChar w:fldCharType="end"/>
                  </w:r>
                </w:p>
                <w:p>
                  <w:pPr>
                    <w:pStyle w:val="11"/>
                    <w:rPr>
                      <w:rFonts w:ascii="Calibri" w:hAnsi="Calibri" w:cs="Calibri"/>
                      <w:b w:val="0"/>
                      <w:bCs w:val="0"/>
                      <w:smallCaps w:val="0"/>
                      <w:color w:val="auto"/>
                      <w:sz w:val="21"/>
                      <w:szCs w:val="21"/>
                    </w:rPr>
                  </w:pPr>
                  <w:r>
                    <w:fldChar w:fldCharType="begin"/>
                  </w:r>
                  <w:r>
                    <w:instrText xml:space="preserve"> HYPERLINK \l "_Toc13217646" </w:instrText>
                  </w:r>
                  <w:r>
                    <w:fldChar w:fldCharType="separate"/>
                  </w:r>
                  <w:r>
                    <w:rPr>
                      <w:rStyle w:val="16"/>
                      <w:rFonts w:hint="eastAsia" w:ascii="黑体" w:hAnsi="黑体" w:eastAsia="黑体" w:cs="黑体"/>
                    </w:rPr>
                    <w:t>四、后市分析</w:t>
                  </w:r>
                  <w:r>
                    <w:rPr>
                      <w:rFonts w:cs="Times New Roman"/>
                    </w:rPr>
                    <w:tab/>
                  </w:r>
                  <w:r>
                    <w:fldChar w:fldCharType="begin"/>
                  </w:r>
                  <w:r>
                    <w:instrText xml:space="preserve"> PAGEREF _Toc13217646 \h </w:instrText>
                  </w:r>
                  <w:r>
                    <w:fldChar w:fldCharType="separate"/>
                  </w:r>
                  <w:r>
                    <w:t>10</w:t>
                  </w:r>
                  <w:r>
                    <w:fldChar w:fldCharType="end"/>
                  </w:r>
                  <w:r>
                    <w:fldChar w:fldCharType="end"/>
                  </w:r>
                </w:p>
                <w:p>
                  <w:pPr>
                    <w:pStyle w:val="5"/>
                    <w:tabs>
                      <w:tab w:val="right" w:leader="dot" w:pos="8494"/>
                    </w:tabs>
                    <w:ind w:left="31680"/>
                    <w:rPr>
                      <w:rFonts w:cs="Times New Roman"/>
                    </w:rPr>
                  </w:pPr>
                  <w:r>
                    <w:fldChar w:fldCharType="begin"/>
                  </w:r>
                  <w:r>
                    <w:instrText xml:space="preserve"> HYPERLINK \l "_Toc13217647" </w:instrText>
                  </w:r>
                  <w:r>
                    <w:fldChar w:fldCharType="separate"/>
                  </w:r>
                  <w:r>
                    <w:rPr>
                      <w:rStyle w:val="16"/>
                      <w:rFonts w:hint="eastAsia" w:cs="宋体"/>
                      <w:b/>
                      <w:bCs/>
                    </w:rPr>
                    <w:t>国内地区市场价格</w:t>
                  </w:r>
                  <w:r>
                    <w:rPr>
                      <w:rFonts w:cs="Times New Roman"/>
                    </w:rPr>
                    <w:tab/>
                  </w:r>
                  <w:r>
                    <w:fldChar w:fldCharType="begin"/>
                  </w:r>
                  <w:r>
                    <w:instrText xml:space="preserve"> PAGEREF _Toc13217647 \h </w:instrText>
                  </w:r>
                  <w:r>
                    <w:fldChar w:fldCharType="separate"/>
                  </w:r>
                  <w:r>
                    <w:t>10</w:t>
                  </w:r>
                  <w:r>
                    <w:fldChar w:fldCharType="end"/>
                  </w:r>
                  <w:r>
                    <w:fldChar w:fldCharType="end"/>
                  </w:r>
                </w:p>
                <w:p>
                  <w:pPr>
                    <w:rPr>
                      <w:rFonts w:cs="Times New Roman"/>
                    </w:rPr>
                  </w:pPr>
                  <w:r>
                    <w:fldChar w:fldCharType="end"/>
                  </w:r>
                </w:p>
              </w:txbxContent>
            </v:textbox>
          </v:shape>
        </w:pict>
      </w:r>
      <w:r>
        <w:rPr>
          <w:rFonts w:cs="Times New Roman"/>
        </w:rPr>
        <w:br w:type="page"/>
      </w:r>
      <w:bookmarkEnd w:id="0"/>
      <w:bookmarkStart w:id="1" w:name="_Toc8991653"/>
      <w:bookmarkStart w:id="2" w:name="_Toc532564063"/>
      <w:bookmarkStart w:id="3" w:name="_Toc515610373"/>
      <w:bookmarkStart w:id="4" w:name="_Toc527705000"/>
      <w:bookmarkStart w:id="5" w:name="_Toc522870745"/>
      <w:bookmarkStart w:id="6" w:name="_Toc533149330"/>
      <w:bookmarkStart w:id="7" w:name="_Toc536541137"/>
      <w:bookmarkStart w:id="8" w:name="_Toc531954272"/>
      <w:bookmarkStart w:id="9" w:name="_Toc516839084"/>
      <w:bookmarkStart w:id="10" w:name="_Toc522870769"/>
      <w:bookmarkStart w:id="11" w:name="_Toc525289546"/>
      <w:bookmarkStart w:id="12" w:name="_Toc8378815"/>
      <w:bookmarkStart w:id="13" w:name="_Toc528930993"/>
      <w:bookmarkStart w:id="14" w:name="_Toc520465076"/>
      <w:bookmarkStart w:id="15" w:name="_Toc516234897"/>
      <w:bookmarkStart w:id="16" w:name="_Toc522259764"/>
      <w:bookmarkStart w:id="17" w:name="_Toc519848557"/>
      <w:bookmarkStart w:id="18" w:name="_Toc524701464"/>
      <w:bookmarkStart w:id="19" w:name="_Toc522280054"/>
      <w:bookmarkStart w:id="20" w:name="_Toc13217631"/>
      <w:bookmarkStart w:id="21" w:name="_Toc532564260"/>
      <w:bookmarkStart w:id="22" w:name="_Toc522870760"/>
      <w:bookmarkStart w:id="23" w:name="_Toc534915165"/>
      <w:bookmarkStart w:id="24" w:name="_Toc518638259"/>
      <w:bookmarkStart w:id="25" w:name="_Toc4767063"/>
      <w:bookmarkStart w:id="26" w:name="_Toc513127190"/>
      <w:bookmarkStart w:id="27" w:name="_Toc528919986"/>
      <w:bookmarkStart w:id="28" w:name="_Toc12609903"/>
      <w:bookmarkStart w:id="29" w:name="_Toc1035930"/>
      <w:bookmarkStart w:id="30" w:name="_Toc530128349"/>
      <w:bookmarkStart w:id="31" w:name="_Toc8313133"/>
      <w:bookmarkStart w:id="32" w:name="_Toc536198167"/>
      <w:bookmarkStart w:id="33" w:name="_Toc1139285"/>
      <w:bookmarkStart w:id="34" w:name="_Toc4596891"/>
      <w:bookmarkStart w:id="35" w:name="_Toc535588708"/>
      <w:bookmarkStart w:id="36" w:name="_Toc525306474"/>
      <w:bookmarkStart w:id="37" w:name="_Toc534378400"/>
      <w:bookmarkStart w:id="38" w:name="_Toc532564037"/>
      <w:bookmarkStart w:id="39" w:name="_Toc517425038"/>
      <w:bookmarkStart w:id="40" w:name="_Toc1739294"/>
      <w:bookmarkStart w:id="41" w:name="_Toc522870751"/>
      <w:bookmarkStart w:id="42" w:name="_Toc524091681"/>
      <w:bookmarkStart w:id="43" w:name="_Toc529526325"/>
      <w:bookmarkStart w:id="44" w:name="_Toc528329956"/>
      <w:bookmarkStart w:id="45" w:name="_Toc527101790"/>
      <w:bookmarkStart w:id="46" w:name="_Toc511390005"/>
      <w:bookmarkStart w:id="47" w:name="_Toc518031999"/>
      <w:bookmarkStart w:id="48" w:name="_Toc9583952"/>
      <w:bookmarkStart w:id="49" w:name="_Toc516234891"/>
      <w:bookmarkStart w:id="50" w:name="_Toc530750139"/>
      <w:bookmarkStart w:id="51" w:name="_Toc525306463"/>
      <w:bookmarkStart w:id="52" w:name="_Toc485981321"/>
      <w:bookmarkStart w:id="53" w:name="_Toc521660547"/>
      <w:bookmarkStart w:id="54" w:name="_Toc9597659"/>
      <w:bookmarkStart w:id="55" w:name="_Toc536789785"/>
      <w:bookmarkStart w:id="56" w:name="_Toc4654028"/>
      <w:bookmarkStart w:id="57" w:name="_Toc521057601"/>
      <w:bookmarkStart w:id="58" w:name="_Toc392240276"/>
      <w:bookmarkStart w:id="59" w:name="_Toc4139106"/>
      <w:bookmarkStart w:id="60" w:name="_Toc10202308"/>
      <w:bookmarkStart w:id="61" w:name="_Toc536540307"/>
      <w:bookmarkStart w:id="62" w:name="_Toc1394100"/>
      <w:bookmarkStart w:id="63" w:name="_Toc525912526"/>
      <w:bookmarkStart w:id="64" w:name="_Toc300238840"/>
    </w:p>
    <w:p>
      <w:pPr>
        <w:pStyle w:val="2"/>
        <w:spacing w:line="400" w:lineRule="exact"/>
        <w:jc w:val="center"/>
        <w:rPr>
          <w:rStyle w:val="25"/>
          <w:rFonts w:ascii="黑体"/>
          <w:sz w:val="30"/>
          <w:szCs w:val="30"/>
        </w:rPr>
      </w:pPr>
      <w:r>
        <w:rPr>
          <w:rFonts w:hint="eastAsia" w:cs="黑体"/>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21660548"/>
      <w:bookmarkStart w:id="66" w:name="_Toc1394101"/>
      <w:bookmarkStart w:id="67" w:name="_Toc527705001"/>
      <w:bookmarkStart w:id="68" w:name="_Toc516839085"/>
      <w:bookmarkStart w:id="69" w:name="_Toc522870761"/>
      <w:bookmarkStart w:id="70" w:name="_Toc485981322"/>
      <w:bookmarkStart w:id="71" w:name="_Toc4596892"/>
      <w:bookmarkStart w:id="72" w:name="_Toc521057602"/>
      <w:bookmarkStart w:id="73" w:name="_Toc536541138"/>
      <w:bookmarkStart w:id="74" w:name="_Toc534915166"/>
      <w:bookmarkStart w:id="75" w:name="_Toc518638260"/>
      <w:bookmarkStart w:id="76" w:name="_Toc531954273"/>
      <w:bookmarkStart w:id="77" w:name="_Toc527101791"/>
      <w:bookmarkStart w:id="78" w:name="_Toc4654029"/>
      <w:bookmarkStart w:id="79" w:name="_Toc392240277"/>
      <w:bookmarkStart w:id="80" w:name="_Toc532564038"/>
      <w:bookmarkStart w:id="81" w:name="_Toc525912527"/>
      <w:bookmarkStart w:id="82" w:name="_Toc534378401"/>
      <w:bookmarkStart w:id="83" w:name="_Toc530128350"/>
      <w:bookmarkStart w:id="84" w:name="_Toc511390006"/>
      <w:bookmarkStart w:id="85" w:name="_Toc525306464"/>
      <w:bookmarkStart w:id="86" w:name="_Toc528919987"/>
      <w:bookmarkStart w:id="87" w:name="_Toc522259765"/>
      <w:bookmarkStart w:id="88" w:name="_Toc515610374"/>
      <w:bookmarkStart w:id="89" w:name="_Toc518032000"/>
      <w:bookmarkStart w:id="90" w:name="_Toc530750140"/>
      <w:bookmarkStart w:id="91" w:name="_Toc528329957"/>
      <w:bookmarkStart w:id="92" w:name="_Toc532564261"/>
      <w:bookmarkStart w:id="93" w:name="_Toc536789786"/>
      <w:bookmarkStart w:id="94" w:name="_Toc525306475"/>
      <w:bookmarkStart w:id="95" w:name="_Toc528930994"/>
      <w:bookmarkStart w:id="96" w:name="_Toc524091682"/>
      <w:bookmarkStart w:id="97" w:name="_Toc532564064"/>
      <w:bookmarkStart w:id="98" w:name="_Toc522870746"/>
      <w:bookmarkStart w:id="99" w:name="_Toc529526326"/>
      <w:bookmarkStart w:id="100" w:name="_Toc533149331"/>
      <w:bookmarkStart w:id="101" w:name="_Toc1035931"/>
      <w:bookmarkStart w:id="102" w:name="_Toc517425039"/>
      <w:bookmarkStart w:id="103" w:name="_Toc536540308"/>
      <w:bookmarkStart w:id="104" w:name="_Toc516234898"/>
      <w:bookmarkStart w:id="105" w:name="_Toc516234892"/>
      <w:bookmarkStart w:id="106" w:name="_Toc1739295"/>
      <w:bookmarkStart w:id="107" w:name="_Toc1139286"/>
      <w:bookmarkStart w:id="108" w:name="_Toc524701465"/>
      <w:bookmarkStart w:id="109" w:name="_Toc536198168"/>
      <w:bookmarkStart w:id="110" w:name="_Toc535588709"/>
      <w:bookmarkStart w:id="111" w:name="_Toc522870752"/>
      <w:bookmarkStart w:id="112" w:name="_Toc525289547"/>
      <w:bookmarkStart w:id="113" w:name="_Toc519848558"/>
      <w:bookmarkStart w:id="114" w:name="_Toc4139107"/>
      <w:bookmarkStart w:id="115" w:name="_Toc520465077"/>
      <w:bookmarkStart w:id="116" w:name="_Toc513127191"/>
      <w:bookmarkStart w:id="117" w:name="_Toc522280055"/>
      <w:bookmarkStart w:id="118" w:name="_Toc522870770"/>
    </w:p>
    <w:p>
      <w:pPr>
        <w:pStyle w:val="3"/>
        <w:snapToGrid w:val="0"/>
        <w:spacing w:before="0" w:after="0" w:line="400" w:lineRule="exact"/>
        <w:ind w:right="-145" w:rightChars="-69" w:firstLine="602" w:firstLineChars="200"/>
        <w:rPr>
          <w:rFonts w:cs="Times New Roman"/>
        </w:rPr>
      </w:pPr>
      <w:bookmarkStart w:id="119" w:name="_Toc10202309"/>
      <w:bookmarkStart w:id="120" w:name="_Toc8991654"/>
      <w:bookmarkStart w:id="121" w:name="_Toc9583953"/>
      <w:bookmarkStart w:id="122" w:name="_Toc9597660"/>
      <w:bookmarkStart w:id="123" w:name="_Toc12609904"/>
      <w:bookmarkStart w:id="124" w:name="_Toc8378816"/>
      <w:bookmarkStart w:id="125" w:name="_Toc13217632"/>
      <w:bookmarkStart w:id="126" w:name="_Toc4767064"/>
      <w:bookmarkStart w:id="127" w:name="_Toc8313134"/>
      <w:r>
        <w:rPr>
          <w:rStyle w:val="25"/>
          <w:rFonts w:hint="eastAsia" w:ascii="黑体" w:hAnsi="黑体" w:eastAsia="黑体" w:cs="黑体"/>
          <w:sz w:val="30"/>
          <w:szCs w:val="30"/>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27"/>
        <w:widowControl/>
        <w:spacing w:line="400" w:lineRule="exact"/>
        <w:ind w:firstLine="31680"/>
        <w:jc w:val="left"/>
        <w:outlineLvl w:val="1"/>
        <w:rPr>
          <w:rFonts w:ascii="黑体" w:hAnsi="黑体" w:eastAsia="黑体" w:cs="Times New Roman"/>
          <w:kern w:val="0"/>
          <w:sz w:val="30"/>
          <w:szCs w:val="30"/>
        </w:rPr>
      </w:pPr>
      <w:bookmarkStart w:id="128" w:name="_Toc4596893"/>
      <w:bookmarkStart w:id="129" w:name="_Toc9583954"/>
      <w:bookmarkStart w:id="130" w:name="_Toc10202310"/>
      <w:bookmarkStart w:id="131" w:name="_Toc8313135"/>
      <w:bookmarkStart w:id="132" w:name="_Toc4654030"/>
      <w:bookmarkStart w:id="133" w:name="_Toc8991655"/>
      <w:bookmarkStart w:id="134" w:name="_Toc13217633"/>
      <w:bookmarkStart w:id="135" w:name="_Toc12609905"/>
      <w:bookmarkStart w:id="136" w:name="_Toc9597661"/>
      <w:bookmarkStart w:id="137" w:name="_Toc8378817"/>
      <w:bookmarkStart w:id="138" w:name="_Toc4767065"/>
      <w:r>
        <w:rPr>
          <w:rFonts w:ascii="黑体" w:hAnsi="黑体" w:eastAsia="黑体" w:cs="Times New Roman"/>
          <w:kern w:val="0"/>
          <w:sz w:val="30"/>
          <w:szCs w:val="30"/>
        </w:rPr>
        <w:br w:type="textWrapping"/>
      </w:r>
    </w:p>
    <w:p>
      <w:pPr>
        <w:pStyle w:val="27"/>
        <w:widowControl/>
        <w:spacing w:line="400" w:lineRule="exact"/>
        <w:ind w:firstLine="31680"/>
        <w:jc w:val="left"/>
        <w:outlineLvl w:val="1"/>
        <w:rPr>
          <w:rFonts w:ascii="黑体" w:hAnsi="黑体" w:eastAsia="黑体" w:cs="Times New Roman"/>
          <w:sz w:val="30"/>
          <w:szCs w:val="30"/>
        </w:rPr>
      </w:pPr>
      <w:r>
        <w:rPr>
          <w:rFonts w:hint="eastAsia" w:ascii="黑体" w:hAnsi="黑体" w:eastAsia="黑体" w:cs="黑体"/>
          <w:kern w:val="0"/>
          <w:sz w:val="30"/>
          <w:szCs w:val="30"/>
        </w:rPr>
        <w:t>一、纯碱市场一周</w:t>
      </w:r>
      <w:bookmarkStart w:id="139" w:name="_Toc392240278"/>
      <w:r>
        <w:rPr>
          <w:rFonts w:hint="eastAsia" w:ascii="黑体" w:hAnsi="黑体" w:eastAsia="黑体" w:cs="黑体"/>
          <w:kern w:val="0"/>
          <w:sz w:val="30"/>
          <w:szCs w:val="30"/>
        </w:rPr>
        <w:t>综述</w:t>
      </w:r>
      <w:bookmarkEnd w:id="128"/>
      <w:bookmarkEnd w:id="129"/>
      <w:bookmarkEnd w:id="130"/>
      <w:bookmarkEnd w:id="131"/>
      <w:bookmarkEnd w:id="132"/>
      <w:bookmarkEnd w:id="133"/>
      <w:bookmarkEnd w:id="134"/>
      <w:bookmarkEnd w:id="135"/>
      <w:bookmarkEnd w:id="136"/>
      <w:bookmarkEnd w:id="137"/>
      <w:bookmarkEnd w:id="138"/>
    </w:p>
    <w:p>
      <w:pPr>
        <w:pStyle w:val="12"/>
        <w:keepNext w:val="0"/>
        <w:keepLines w:val="0"/>
        <w:widowControl/>
        <w:suppressLineNumbers w:val="0"/>
        <w:ind w:left="0" w:firstLine="420"/>
        <w:rPr>
          <w:rFonts w:hint="eastAsia" w:ascii="仿宋" w:hAnsi="仿宋" w:eastAsia="仿宋" w:cs="仿宋"/>
          <w:kern w:val="2"/>
          <w:sz w:val="28"/>
          <w:szCs w:val="28"/>
        </w:rPr>
      </w:pPr>
      <w:r>
        <w:rPr>
          <w:rFonts w:hint="eastAsia" w:ascii="仿宋" w:hAnsi="仿宋" w:eastAsia="仿宋" w:cs="仿宋"/>
          <w:kern w:val="2"/>
          <w:sz w:val="28"/>
          <w:szCs w:val="28"/>
        </w:rPr>
        <w:t>本周纯碱市场价格有零星走低表现，行情趋低整理运行为主。受纯碱行业供应宽松持续影响，一方面，国内纯碱企业销售心态多显悲观；另一方面，下游平板玻璃、日用玻璃、泡花碱、焦亚硫酸钠等多个行业开产状态不佳，且多行业面临收缩成本影响，故纯碱作为化工基础原料，下游采购多有比价议定成交表现。综合以上，当期纯碱议价走量普遍，河南及湖北区域成交价格多有灵活趋低表现；另外青海区域为随行签单走量，部分新单价格签单出现新低；华东、华北、西南等多地企业表示均可按单议价，价格松动程度不一，有企业考虑保持市场份额，价格调整空间大，具体多根据订单成交为主。业者近期多持谨慎参与心态，月初僵持博弈居多，也有部分交易以月底结算运行，整体市场在成交方式中多以灵活确定订单为主，整体行情向弱。</w:t>
      </w:r>
      <w:r>
        <w:rPr>
          <w:rFonts w:hint="eastAsia" w:ascii="仿宋" w:hAnsi="仿宋" w:eastAsia="仿宋" w:cs="仿宋"/>
          <w:kern w:val="2"/>
          <w:sz w:val="28"/>
          <w:szCs w:val="28"/>
        </w:rPr>
        <w:br w:type="textWrapping"/>
      </w:r>
      <w:r>
        <w:rPr>
          <w:rFonts w:hint="eastAsia" w:ascii="仿宋" w:hAnsi="仿宋" w:eastAsia="仿宋" w:cs="仿宋"/>
          <w:kern w:val="2"/>
          <w:sz w:val="28"/>
          <w:szCs w:val="28"/>
        </w:rPr>
        <w:t>    供应面，据统计，全国纯碱总产能为3270万吨，截止4月2日，纯碱运行产能共计2743万吨，开工率84%，较上周82%↑2个百分点。中源化学三期装置开产提升行业开工水平，由于月初下游订单议定阶段，多企业走量状态不佳，库存有缓和升温表现，供应整体偏宽松。</w:t>
      </w:r>
      <w:r>
        <w:rPr>
          <w:rFonts w:hint="eastAsia" w:ascii="仿宋" w:hAnsi="仿宋" w:eastAsia="仿宋" w:cs="仿宋"/>
          <w:kern w:val="2"/>
          <w:sz w:val="28"/>
          <w:szCs w:val="28"/>
        </w:rPr>
        <w:br w:type="textWrapping"/>
      </w:r>
      <w:r>
        <w:rPr>
          <w:rFonts w:hint="eastAsia" w:ascii="仿宋" w:hAnsi="仿宋" w:eastAsia="仿宋" w:cs="仿宋"/>
          <w:kern w:val="2"/>
          <w:sz w:val="28"/>
          <w:szCs w:val="28"/>
        </w:rPr>
        <w:t>    从需求面了解，中小型下游复工状态不佳对于纯碱的需求增长影响有限，另外下游考虑资金流转，对采购成本多有控制，进一步制约订单放量，整体需求偏弱运行。</w:t>
      </w:r>
    </w:p>
    <w:p>
      <w:pPr>
        <w:pStyle w:val="12"/>
        <w:keepNext w:val="0"/>
        <w:keepLines w:val="0"/>
        <w:widowControl/>
        <w:suppressLineNumbers w:val="0"/>
        <w:ind w:left="0" w:firstLine="420"/>
        <w:rPr>
          <w:rFonts w:hint="eastAsia" w:ascii="仿宋" w:hAnsi="仿宋" w:eastAsia="仿宋" w:cs="仿宋"/>
          <w:kern w:val="2"/>
          <w:sz w:val="28"/>
          <w:szCs w:val="28"/>
        </w:rPr>
      </w:pPr>
    </w:p>
    <w:p>
      <w:pPr>
        <w:pStyle w:val="12"/>
        <w:keepNext w:val="0"/>
        <w:keepLines w:val="0"/>
        <w:widowControl/>
        <w:suppressLineNumbers w:val="0"/>
        <w:ind w:left="0" w:firstLine="420"/>
        <w:rPr>
          <w:rFonts w:ascii="仿宋" w:hAnsi="仿宋" w:eastAsia="仿宋" w:cs="Times New Roman"/>
          <w:kern w:val="2"/>
          <w:sz w:val="28"/>
          <w:szCs w:val="28"/>
        </w:rPr>
      </w:pPr>
      <w:r>
        <w:rPr>
          <w:rFonts w:ascii="仿宋" w:hAnsi="仿宋" w:eastAsia="仿宋" w:cs="Times New Roman"/>
          <w:kern w:val="2"/>
          <w:sz w:val="28"/>
          <w:szCs w:val="28"/>
        </w:rPr>
        <w:br w:type="textWrapping"/>
      </w:r>
    </w:p>
    <w:p>
      <w:pPr>
        <w:pStyle w:val="27"/>
        <w:widowControl/>
        <w:spacing w:line="400" w:lineRule="exact"/>
        <w:ind w:firstLine="31680"/>
        <w:jc w:val="left"/>
        <w:outlineLvl w:val="1"/>
        <w:rPr>
          <w:rFonts w:ascii="黑体" w:hAnsi="黑体" w:eastAsia="黑体" w:cs="Times New Roman"/>
          <w:kern w:val="0"/>
          <w:sz w:val="30"/>
          <w:szCs w:val="30"/>
        </w:rPr>
      </w:pPr>
      <w:r>
        <w:rPr>
          <w:rFonts w:hint="eastAsia" w:ascii="黑体" w:hAnsi="黑体" w:eastAsia="黑体" w:cs="黑体"/>
          <w:kern w:val="0"/>
          <w:sz w:val="30"/>
          <w:szCs w:val="30"/>
        </w:rPr>
        <w:t>三、供应端：</w:t>
      </w:r>
    </w:p>
    <w:p>
      <w:pPr>
        <w:pStyle w:val="12"/>
        <w:keepNext w:val="0"/>
        <w:keepLines w:val="0"/>
        <w:widowControl/>
        <w:suppressLineNumbers w:val="0"/>
        <w:ind w:left="0" w:firstLine="420"/>
        <w:rPr>
          <w:rFonts w:ascii="仿宋" w:hAnsi="仿宋" w:eastAsia="仿宋" w:cs="Times New Roman"/>
          <w:sz w:val="28"/>
          <w:szCs w:val="28"/>
        </w:rPr>
      </w:pPr>
      <w:bookmarkStart w:id="140" w:name="_Toc9583955"/>
      <w:bookmarkStart w:id="141" w:name="_Toc4596894"/>
      <w:bookmarkStart w:id="142" w:name="_Toc9597662"/>
      <w:bookmarkStart w:id="143" w:name="_Toc4767066"/>
      <w:bookmarkStart w:id="144" w:name="_Toc10202311"/>
      <w:bookmarkStart w:id="145" w:name="_Toc8378818"/>
      <w:bookmarkStart w:id="146" w:name="_Toc12609906"/>
      <w:bookmarkStart w:id="147" w:name="_Toc4654031"/>
      <w:bookmarkStart w:id="148" w:name="_Toc13217634"/>
      <w:bookmarkStart w:id="149" w:name="_Toc8313136"/>
      <w:bookmarkStart w:id="150" w:name="_Toc8991656"/>
      <w:r>
        <w:rPr>
          <w:rFonts w:hint="eastAsia" w:ascii="仿宋" w:hAnsi="仿宋" w:eastAsia="仿宋" w:cs="仿宋"/>
          <w:kern w:val="2"/>
          <w:sz w:val="28"/>
          <w:szCs w:val="28"/>
        </w:rPr>
        <w:t>轻碱主流含税出厂价格：东北地区含税出厂价在1450-1550元/吨；河北地区含税出厂价1480-1550元/吨；山东地区含税出厂价1450-1530元/吨；江苏地区主流含税出厂价1300-1400元/吨，部分高价以1400-1500元/吨；杭州地区含税出厂价1450-1500元/吨；福建地区含税出厂价1350-1400元/吨；广东地区含税出厂价1500-1600元/吨；华中地区主流含税出价1225-1380元/吨；西北地区含税出厂价1050-1300元/吨，其中青海区域含税出厂价1050-1250元/吨；川渝区域含税出价1400-1500元/吨；云贵地区含税出价1450-1500元/吨；江西区域含税出价1480-1550元/吨。</w:t>
      </w:r>
      <w:r>
        <w:rPr>
          <w:rFonts w:hint="eastAsia" w:ascii="仿宋" w:hAnsi="仿宋" w:eastAsia="仿宋" w:cs="仿宋"/>
          <w:kern w:val="2"/>
          <w:sz w:val="28"/>
          <w:szCs w:val="28"/>
        </w:rPr>
        <w:br w:type="textWrapping"/>
      </w:r>
      <w:r>
        <w:rPr>
          <w:rFonts w:hint="eastAsia" w:ascii="仿宋" w:hAnsi="仿宋" w:eastAsia="仿宋" w:cs="仿宋"/>
          <w:kern w:val="2"/>
          <w:sz w:val="28"/>
          <w:szCs w:val="28"/>
        </w:rPr>
        <w:br w:type="textWrapping"/>
      </w:r>
      <w:r>
        <w:rPr>
          <w:rFonts w:hint="eastAsia" w:ascii="仿宋" w:hAnsi="仿宋" w:eastAsia="仿宋" w:cs="仿宋"/>
          <w:kern w:val="2"/>
          <w:sz w:val="28"/>
          <w:szCs w:val="28"/>
        </w:rPr>
        <w:t>    重碱主流含税送到价格：目前华北地区重碱含税送到1420-1600元/吨，沙河区域含税送达1420-1480元/吨（现汇价格）；华中区域含税送到价格在1420-1550元/吨；西北区域含税出厂价1150-1380元/吨；川渝区域含税送到1500-1600元/吨；东北区域重碱主流含税送到1550-1650元/吨；广东重碱含税送到价格1600-1650元/吨；华东片区主流含税送到1420-1580元/吨。</w:t>
      </w:r>
      <w:r>
        <w:rPr>
          <w:rFonts w:ascii="仿宋" w:hAnsi="仿宋" w:eastAsia="仿宋" w:cs="Times New Roman"/>
          <w:sz w:val="28"/>
          <w:szCs w:val="28"/>
        </w:rPr>
        <w:br w:type="textWrapping"/>
      </w:r>
    </w:p>
    <w:p>
      <w:pPr>
        <w:widowControl/>
        <w:numPr>
          <w:ilvl w:val="0"/>
          <w:numId w:val="1"/>
        </w:numPr>
        <w:ind w:firstLine="600" w:firstLineChars="200"/>
        <w:jc w:val="left"/>
        <w:outlineLvl w:val="1"/>
        <w:rPr>
          <w:rFonts w:ascii="黑体" w:hAnsi="黑体" w:eastAsia="黑体" w:cs="Times New Roman"/>
          <w:sz w:val="30"/>
          <w:szCs w:val="30"/>
        </w:rPr>
      </w:pPr>
      <w:r>
        <w:rPr>
          <w:rFonts w:hint="eastAsia" w:ascii="黑体" w:hAnsi="黑体" w:eastAsia="黑体" w:cs="黑体"/>
          <w:sz w:val="30"/>
          <w:szCs w:val="30"/>
        </w:rPr>
        <w:t>影响市场因素及后市预测</w:t>
      </w:r>
      <w:bookmarkEnd w:id="140"/>
      <w:bookmarkEnd w:id="141"/>
      <w:bookmarkEnd w:id="142"/>
      <w:bookmarkEnd w:id="143"/>
      <w:bookmarkEnd w:id="144"/>
      <w:bookmarkEnd w:id="145"/>
      <w:bookmarkEnd w:id="146"/>
      <w:bookmarkEnd w:id="147"/>
      <w:bookmarkEnd w:id="148"/>
      <w:bookmarkEnd w:id="149"/>
      <w:bookmarkEnd w:id="150"/>
    </w:p>
    <w:p>
      <w:pPr>
        <w:widowControl/>
        <w:ind w:firstLine="420"/>
        <w:jc w:val="left"/>
        <w:rPr>
          <w:rFonts w:ascii="仿宋" w:hAnsi="仿宋" w:eastAsia="仿宋" w:cs="Times New Roman"/>
          <w:sz w:val="28"/>
          <w:szCs w:val="28"/>
        </w:rPr>
      </w:pPr>
    </w:p>
    <w:p>
      <w:pPr>
        <w:pStyle w:val="12"/>
        <w:keepNext w:val="0"/>
        <w:keepLines w:val="0"/>
        <w:widowControl/>
        <w:suppressLineNumbers w:val="0"/>
        <w:ind w:left="0" w:firstLine="420"/>
        <w:rPr>
          <w:rFonts w:hint="eastAsia" w:ascii="仿宋" w:hAnsi="仿宋" w:eastAsia="仿宋" w:cs="仿宋"/>
          <w:sz w:val="28"/>
          <w:szCs w:val="28"/>
        </w:rPr>
      </w:pPr>
      <w:bookmarkStart w:id="151" w:name="_Toc10202312"/>
      <w:bookmarkStart w:id="152" w:name="_Toc4596895"/>
      <w:bookmarkStart w:id="153" w:name="_Toc4654032"/>
      <w:bookmarkStart w:id="154" w:name="_Toc8313137"/>
      <w:bookmarkStart w:id="155" w:name="_Toc9597663"/>
      <w:bookmarkStart w:id="156" w:name="_Toc4767067"/>
      <w:bookmarkStart w:id="157" w:name="_Toc13217635"/>
      <w:bookmarkStart w:id="158" w:name="_Toc9583956"/>
      <w:bookmarkStart w:id="159" w:name="_Toc8991657"/>
      <w:bookmarkStart w:id="160" w:name="_Toc12609907"/>
      <w:bookmarkStart w:id="161" w:name="_Toc8378819"/>
      <w:r>
        <w:rPr>
          <w:rFonts w:hint="eastAsia" w:ascii="仿宋" w:hAnsi="仿宋" w:eastAsia="仿宋" w:cs="仿宋"/>
          <w:sz w:val="28"/>
          <w:szCs w:val="28"/>
        </w:rPr>
        <w:t>供应方面：行业开工负荷将维持84%；库存方面，月初签单僵持氛围加重，走单放缓或导致各企业库存小涨，中旬订单确定或有加速出货表现，库存有小幅波动；</w:t>
      </w:r>
      <w:r>
        <w:rPr>
          <w:rFonts w:hint="eastAsia" w:ascii="仿宋" w:hAnsi="仿宋" w:eastAsia="仿宋" w:cs="仿宋"/>
          <w:sz w:val="28"/>
          <w:szCs w:val="28"/>
        </w:rPr>
        <w:br w:type="textWrapping"/>
      </w:r>
      <w:r>
        <w:rPr>
          <w:rFonts w:hint="eastAsia" w:ascii="仿宋" w:hAnsi="仿宋" w:eastAsia="仿宋" w:cs="仿宋"/>
          <w:sz w:val="28"/>
          <w:szCs w:val="28"/>
        </w:rPr>
        <w:t>    需求方面：下游产业链复工状态不佳，刚需支撑尚可，受议价走单影响，需求量表现不佳；</w:t>
      </w:r>
      <w:r>
        <w:rPr>
          <w:rFonts w:hint="eastAsia" w:ascii="仿宋" w:hAnsi="仿宋" w:eastAsia="仿宋" w:cs="仿宋"/>
          <w:sz w:val="28"/>
          <w:szCs w:val="28"/>
        </w:rPr>
        <w:br w:type="textWrapping"/>
      </w:r>
      <w:r>
        <w:rPr>
          <w:rFonts w:hint="eastAsia" w:ascii="仿宋" w:hAnsi="仿宋" w:eastAsia="仿宋" w:cs="仿宋"/>
          <w:sz w:val="28"/>
          <w:szCs w:val="28"/>
        </w:rPr>
        <w:t>    在供需端持续震荡整理背景下，行业库存毫无缓解变化，加上南方迎来雨季，纯碱仓储运输及仓储加压，这对于纯碱的销售持续增压，从业者多持悲观心态；另外下游用户以灵活采购方式，加大市场供需结构调整变化，纯碱企业销售或为了巩固供需关系稳定，将持续有价格下调表现。综合当前纯碱企业成本价格制约，不排除后期企业因涨库、亏损等问题而减产、停车可能。</w:t>
      </w:r>
    </w:p>
    <w:p>
      <w:pPr>
        <w:pStyle w:val="12"/>
        <w:keepNext w:val="0"/>
        <w:keepLines w:val="0"/>
        <w:widowControl/>
        <w:suppressLineNumbers w:val="0"/>
        <w:ind w:left="0" w:firstLine="420"/>
        <w:rPr>
          <w:rFonts w:hint="eastAsia" w:ascii="仿宋" w:hAnsi="仿宋" w:eastAsia="仿宋" w:cs="仿宋"/>
          <w:sz w:val="28"/>
          <w:szCs w:val="28"/>
        </w:rPr>
      </w:pPr>
    </w:p>
    <w:p>
      <w:pPr>
        <w:pStyle w:val="12"/>
        <w:rPr>
          <w:rFonts w:ascii="仿宋" w:hAnsi="仿宋" w:eastAsia="仿宋" w:cs="Times New Roman"/>
          <w:sz w:val="28"/>
          <w:szCs w:val="28"/>
        </w:rPr>
      </w:pPr>
      <w:r>
        <w:rPr>
          <w:rFonts w:ascii="仿宋" w:hAnsi="仿宋" w:eastAsia="仿宋" w:cs="Times New Roman"/>
          <w:kern w:val="2"/>
          <w:sz w:val="28"/>
          <w:szCs w:val="28"/>
        </w:rPr>
        <w:br w:type="textWrapping"/>
      </w:r>
      <w:r>
        <w:rPr>
          <w:rFonts w:ascii="仿宋" w:hAnsi="仿宋" w:eastAsia="仿宋" w:cs="Times New Roman"/>
          <w:kern w:val="2"/>
          <w:sz w:val="28"/>
          <w:szCs w:val="28"/>
        </w:rPr>
        <w:br w:type="textWrapping"/>
      </w:r>
    </w:p>
    <w:p>
      <w:pPr>
        <w:widowControl/>
        <w:ind w:firstLine="420"/>
        <w:jc w:val="left"/>
        <w:rPr>
          <w:rFonts w:ascii="仿宋" w:hAnsi="仿宋" w:eastAsia="仿宋" w:cs="Times New Roman"/>
          <w:sz w:val="28"/>
          <w:szCs w:val="28"/>
        </w:rPr>
      </w:pPr>
    </w:p>
    <w:p>
      <w:pPr>
        <w:widowControl/>
        <w:ind w:firstLine="602" w:firstLineChars="200"/>
        <w:jc w:val="left"/>
        <w:outlineLvl w:val="2"/>
        <w:rPr>
          <w:rStyle w:val="25"/>
          <w:rFonts w:cs="Times New Roman"/>
          <w:b/>
          <w:bCs/>
          <w:sz w:val="30"/>
          <w:szCs w:val="30"/>
        </w:rPr>
      </w:pPr>
      <w:r>
        <w:rPr>
          <w:rStyle w:val="25"/>
          <w:rFonts w:hint="eastAsia" w:cs="宋体"/>
          <w:b/>
          <w:bCs/>
          <w:sz w:val="30"/>
          <w:szCs w:val="30"/>
        </w:rPr>
        <w:t>本周国内纯碱市场价格</w:t>
      </w:r>
      <w:bookmarkEnd w:id="139"/>
      <w:bookmarkEnd w:id="151"/>
      <w:bookmarkEnd w:id="152"/>
      <w:bookmarkEnd w:id="153"/>
      <w:bookmarkEnd w:id="154"/>
      <w:bookmarkEnd w:id="155"/>
      <w:bookmarkEnd w:id="156"/>
      <w:bookmarkEnd w:id="157"/>
      <w:bookmarkEnd w:id="158"/>
      <w:bookmarkEnd w:id="159"/>
      <w:bookmarkEnd w:id="160"/>
      <w:bookmarkEnd w:id="161"/>
    </w:p>
    <w:p>
      <w:pPr>
        <w:widowControl/>
        <w:ind w:firstLine="602" w:firstLineChars="200"/>
        <w:jc w:val="left"/>
        <w:outlineLvl w:val="2"/>
        <w:rPr>
          <w:rStyle w:val="25"/>
          <w:rFonts w:cs="Times New Roman"/>
          <w:b/>
          <w:bCs/>
          <w:sz w:val="30"/>
          <w:szCs w:val="30"/>
        </w:rPr>
      </w:pPr>
    </w:p>
    <w:tbl>
      <w:tblPr>
        <w:tblStyle w:val="13"/>
        <w:tblW w:w="8720" w:type="dxa"/>
        <w:tblInd w:w="-106" w:type="dxa"/>
        <w:tblLayout w:type="fixed"/>
        <w:tblCellMar>
          <w:top w:w="0" w:type="dxa"/>
          <w:left w:w="108" w:type="dxa"/>
          <w:bottom w:w="0" w:type="dxa"/>
          <w:right w:w="108" w:type="dxa"/>
        </w:tblCellMar>
      </w:tblPr>
      <w:tblGrid>
        <w:gridCol w:w="1503"/>
        <w:gridCol w:w="1441"/>
        <w:gridCol w:w="1444"/>
        <w:gridCol w:w="1444"/>
        <w:gridCol w:w="1444"/>
        <w:gridCol w:w="1444"/>
      </w:tblGrid>
      <w:tr>
        <w:tblPrEx>
          <w:tblCellMar>
            <w:top w:w="0" w:type="dxa"/>
            <w:left w:w="108" w:type="dxa"/>
            <w:bottom w:w="0" w:type="dxa"/>
            <w:right w:w="108" w:type="dxa"/>
          </w:tblCellMar>
        </w:tblPrEx>
        <w:trPr>
          <w:trHeight w:val="285" w:hRule="atLeast"/>
        </w:trPr>
        <w:tc>
          <w:tcPr>
            <w:tcW w:w="1503"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441"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50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Times New Roman"/>
                <w:b/>
                <w:bCs/>
                <w:color w:val="000000"/>
                <w:kern w:val="0"/>
                <w:sz w:val="20"/>
                <w:szCs w:val="20"/>
              </w:rPr>
            </w:pPr>
          </w:p>
        </w:tc>
        <w:tc>
          <w:tcPr>
            <w:tcW w:w="14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cs="Times New Roman"/>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eastAsia" w:ascii="宋体" w:hAnsi="宋体" w:cs="宋体"/>
                <w:color w:val="000000"/>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lang w:val="en-US" w:eastAsia="zh-CN"/>
              </w:rPr>
              <w:t>5</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42</w:t>
            </w:r>
            <w:r>
              <w:rPr>
                <w:rFonts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58</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9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eastAsia" w:ascii="宋体" w:hAnsi="宋体" w:cs="宋体"/>
                <w:color w:val="000000"/>
                <w:kern w:val="0"/>
                <w:sz w:val="20"/>
                <w:szCs w:val="20"/>
                <w:lang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16</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6</w:t>
            </w:r>
            <w:r>
              <w:rPr>
                <w:rFonts w:ascii="宋体" w:hAnsi="宋体" w:cs="宋体"/>
                <w:color w:val="000000"/>
                <w:kern w:val="0"/>
                <w:sz w:val="20"/>
                <w:szCs w:val="20"/>
              </w:rPr>
              <w:t>00</w:t>
            </w:r>
          </w:p>
        </w:tc>
        <w:tc>
          <w:tcPr>
            <w:tcW w:w="1444" w:type="dxa"/>
            <w:tcBorders>
              <w:top w:val="nil"/>
              <w:left w:val="nil"/>
              <w:bottom w:val="single" w:color="000000" w:sz="8" w:space="0"/>
              <w:right w:val="single" w:color="000000" w:sz="8" w:space="0"/>
            </w:tcBorders>
            <w:shd w:val="clear" w:color="000000" w:fill="FFFFFF"/>
          </w:tcPr>
          <w:p>
            <w:pPr>
              <w:jc w:val="center"/>
              <w:rPr>
                <w:rFonts w:cs="Times New Roman"/>
              </w:rPr>
            </w:pPr>
            <w:r>
              <w:rPr>
                <w:rFonts w:ascii="宋体" w:hAnsi="宋体" w:cs="宋体"/>
                <w:color w:val="000000"/>
                <w:kern w:val="0"/>
                <w:sz w:val="20"/>
                <w:szCs w:val="20"/>
              </w:rPr>
              <w:t>1700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lang w:val="en-US" w:eastAsia="zh-CN"/>
              </w:rPr>
              <w:t>2</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16</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42</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60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东北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42</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60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168</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3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西南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45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65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ascii="宋体" w:hAns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华中</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28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38</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14</w:t>
            </w:r>
            <w:r>
              <w:rPr>
                <w:rFonts w:hint="eastAsia" w:ascii="宋体" w:hAnsi="宋体" w:cs="宋体"/>
                <w:color w:val="000000"/>
                <w:kern w:val="0"/>
                <w:sz w:val="20"/>
                <w:szCs w:val="20"/>
                <w:lang w:val="en-US" w:eastAsia="zh-CN"/>
              </w:rPr>
              <w:t>2</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55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ascii="宋体" w:hAnsi="宋体" w:cs="宋体"/>
                <w:color w:val="000000"/>
                <w:kern w:val="0"/>
                <w:sz w:val="20"/>
                <w:szCs w:val="20"/>
                <w:lang w:val="en-US"/>
              </w:rPr>
            </w:pPr>
            <w:r>
              <w:rPr>
                <w:rFonts w:hint="default" w:ascii="宋体" w:hAnsi="宋体" w:cs="宋体"/>
                <w:color w:val="000000"/>
                <w:kern w:val="0"/>
                <w:sz w:val="20"/>
                <w:szCs w:val="20"/>
                <w:lang w:val="en-US"/>
              </w:rPr>
              <w:t>2020/</w:t>
            </w:r>
            <w:r>
              <w:rPr>
                <w:rFonts w:hint="default" w:ascii="宋体" w:hAnsi="宋体" w:cs="宋体"/>
                <w:color w:val="000000"/>
                <w:kern w:val="0"/>
                <w:sz w:val="20"/>
                <w:szCs w:val="20"/>
                <w:lang w:val="en-US" w:eastAsia="zh-CN"/>
              </w:rPr>
              <w:t>4</w:t>
            </w:r>
            <w:r>
              <w:rPr>
                <w:rFonts w:hint="default" w:ascii="宋体" w:hAnsi="宋体" w:cs="宋体"/>
                <w:color w:val="000000"/>
                <w:kern w:val="0"/>
                <w:sz w:val="20"/>
                <w:szCs w:val="20"/>
                <w:lang w:val="en-US"/>
              </w:rPr>
              <w:t>/</w:t>
            </w:r>
            <w:r>
              <w:rPr>
                <w:rFonts w:hint="default" w:ascii="宋体" w:hAnsi="宋体" w:cs="宋体"/>
                <w:color w:val="000000"/>
                <w:kern w:val="0"/>
                <w:sz w:val="20"/>
                <w:szCs w:val="20"/>
                <w:lang w:val="en-US" w:eastAsia="zh-CN"/>
              </w:rPr>
              <w:t>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西北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05</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1</w:t>
            </w:r>
            <w:r>
              <w:rPr>
                <w:rFonts w:ascii="宋体" w:hAnsi="宋体" w:cs="宋体"/>
                <w:color w:val="000000"/>
                <w:kern w:val="0"/>
                <w:sz w:val="20"/>
                <w:szCs w:val="20"/>
              </w:rPr>
              <w:t>50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38</w:t>
            </w:r>
            <w:r>
              <w:rPr>
                <w:rFonts w:ascii="宋体" w:hAnsi="宋体" w:cs="宋体"/>
                <w:color w:val="000000"/>
                <w:kern w:val="0"/>
                <w:sz w:val="20"/>
                <w:szCs w:val="20"/>
              </w:rPr>
              <w:t>0</w:t>
            </w:r>
          </w:p>
        </w:tc>
      </w:tr>
    </w:tbl>
    <w:p>
      <w:pPr>
        <w:rPr>
          <w:rFonts w:cs="Times New Roman"/>
        </w:rPr>
      </w:pPr>
      <w:bookmarkStart w:id="162" w:name="_Toc519848559"/>
      <w:bookmarkStart w:id="163" w:name="_Toc1139287"/>
      <w:bookmarkStart w:id="164" w:name="_Toc4139108"/>
      <w:bookmarkStart w:id="165" w:name="_Toc518032001"/>
      <w:bookmarkStart w:id="166" w:name="_Toc522870771"/>
      <w:bookmarkStart w:id="167" w:name="_Toc534378402"/>
      <w:bookmarkStart w:id="168" w:name="_Toc536198169"/>
      <w:bookmarkStart w:id="169" w:name="_Toc522259766"/>
      <w:bookmarkStart w:id="170" w:name="_Toc13217636"/>
      <w:bookmarkStart w:id="171" w:name="_Toc516234899"/>
      <w:bookmarkStart w:id="172" w:name="_Toc518638261"/>
      <w:bookmarkStart w:id="173" w:name="_Toc520465078"/>
      <w:bookmarkStart w:id="174" w:name="_Toc521660549"/>
      <w:bookmarkStart w:id="175" w:name="_Toc535588710"/>
      <w:bookmarkStart w:id="176" w:name="_Toc528329958"/>
      <w:bookmarkStart w:id="177" w:name="_Toc516839086"/>
      <w:bookmarkStart w:id="178" w:name="_Toc4596896"/>
      <w:bookmarkStart w:id="179" w:name="_Toc530128351"/>
      <w:bookmarkStart w:id="180" w:name="_Toc521057603"/>
      <w:bookmarkStart w:id="181" w:name="_Toc528919988"/>
      <w:bookmarkStart w:id="182" w:name="_Toc392240279"/>
      <w:bookmarkStart w:id="183" w:name="_Toc522870747"/>
      <w:bookmarkStart w:id="184" w:name="_Toc530750141"/>
      <w:bookmarkStart w:id="185" w:name="_Toc524091683"/>
      <w:bookmarkStart w:id="186" w:name="_Toc525912528"/>
      <w:bookmarkStart w:id="187" w:name="_Toc528930995"/>
      <w:bookmarkStart w:id="188" w:name="_Toc1394102"/>
      <w:bookmarkStart w:id="189" w:name="_Toc529526327"/>
      <w:bookmarkStart w:id="190" w:name="_Toc525289548"/>
      <w:bookmarkStart w:id="191" w:name="_Toc522280056"/>
      <w:bookmarkStart w:id="192" w:name="_Toc527705002"/>
      <w:bookmarkStart w:id="193" w:name="_Toc522870753"/>
      <w:bookmarkStart w:id="194" w:name="_Toc1739296"/>
      <w:bookmarkStart w:id="195" w:name="_Toc536541139"/>
      <w:bookmarkStart w:id="196" w:name="_Toc533149332"/>
      <w:bookmarkStart w:id="197" w:name="_Toc534915167"/>
      <w:bookmarkStart w:id="198" w:name="_Toc525306465"/>
      <w:bookmarkStart w:id="199" w:name="_Toc522870762"/>
      <w:bookmarkStart w:id="200" w:name="_Toc4654033"/>
      <w:bookmarkStart w:id="201" w:name="_Toc532564039"/>
      <w:bookmarkStart w:id="202" w:name="_Toc532564262"/>
      <w:bookmarkStart w:id="203" w:name="_Toc531954274"/>
      <w:bookmarkStart w:id="204" w:name="_Toc525306476"/>
      <w:bookmarkStart w:id="205" w:name="_Toc532564065"/>
      <w:bookmarkStart w:id="206" w:name="_Toc513127192"/>
      <w:bookmarkStart w:id="207" w:name="_Toc524701466"/>
      <w:bookmarkStart w:id="208" w:name="_Toc515610375"/>
      <w:bookmarkStart w:id="209" w:name="_Toc511390007"/>
      <w:bookmarkStart w:id="210" w:name="_Toc517425040"/>
      <w:bookmarkStart w:id="211" w:name="_Toc527101792"/>
      <w:bookmarkStart w:id="212" w:name="_Toc8991658"/>
      <w:bookmarkStart w:id="213" w:name="_Toc9597664"/>
      <w:bookmarkStart w:id="214" w:name="_Toc9583957"/>
      <w:bookmarkStart w:id="215" w:name="_Toc536789787"/>
      <w:bookmarkStart w:id="216" w:name="_Toc536540309"/>
      <w:bookmarkStart w:id="217" w:name="_Toc10202313"/>
      <w:bookmarkStart w:id="218" w:name="_Toc8378820"/>
      <w:bookmarkStart w:id="219" w:name="_Toc4767068"/>
      <w:bookmarkStart w:id="220" w:name="_Toc12609908"/>
      <w:bookmarkStart w:id="221" w:name="_Toc8313138"/>
      <w:bookmarkStart w:id="222" w:name="_Toc516234893"/>
      <w:bookmarkStart w:id="223" w:name="_Toc485981323"/>
      <w:bookmarkStart w:id="224" w:name="_Toc1035932"/>
    </w:p>
    <w:p>
      <w:pPr>
        <w:pStyle w:val="2"/>
        <w:spacing w:line="400" w:lineRule="exact"/>
        <w:ind w:left="3830" w:leftChars="1824"/>
        <w:rPr>
          <w:rFonts w:ascii="黑体"/>
          <w:sz w:val="30"/>
          <w:szCs w:val="30"/>
        </w:rPr>
      </w:pPr>
      <w:bookmarkStart w:id="480" w:name="_GoBack"/>
      <w:bookmarkEnd w:id="480"/>
      <w:r>
        <w:br w:type="textWrapping"/>
      </w:r>
      <w:r>
        <w:rPr>
          <w:rFonts w:hint="eastAsia" w:cs="黑体"/>
        </w:rPr>
        <w:t>烧碱</w:t>
      </w:r>
      <w:bookmarkEnd w:id="6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252539754"/>
      <w:bookmarkStart w:id="226" w:name="_Toc300238848"/>
      <w:bookmarkStart w:id="227" w:name="_Toc4596897"/>
      <w:bookmarkStart w:id="228" w:name="_Toc4654034"/>
      <w:bookmarkStart w:id="229" w:name="_Toc295403449"/>
      <w:bookmarkStart w:id="230" w:name="_Toc250731925"/>
      <w:bookmarkStart w:id="231" w:name="_Toc8991659"/>
      <w:bookmarkStart w:id="232" w:name="_Toc9583958"/>
      <w:bookmarkStart w:id="233" w:name="_Toc9597665"/>
      <w:bookmarkStart w:id="234" w:name="_Toc13217637"/>
      <w:bookmarkStart w:id="235" w:name="_Toc12609909"/>
      <w:bookmarkStart w:id="236" w:name="_Toc4767069"/>
      <w:bookmarkStart w:id="237" w:name="_Toc8378821"/>
      <w:bookmarkStart w:id="238" w:name="_Toc8313139"/>
      <w:bookmarkStart w:id="239" w:name="_Toc10202314"/>
      <w:r>
        <w:rPr>
          <w:rFonts w:ascii="黑体"/>
          <w:sz w:val="30"/>
          <w:szCs w:val="30"/>
        </w:rPr>
        <w:br w:type="textWrapping"/>
      </w:r>
    </w:p>
    <w:p>
      <w:pPr>
        <w:spacing w:line="400" w:lineRule="exact"/>
        <w:ind w:firstLine="602" w:firstLineChars="200"/>
        <w:outlineLvl w:val="1"/>
        <w:rPr>
          <w:rFonts w:ascii="黑体" w:hAnsi="黑体" w:eastAsia="黑体" w:cs="Times New Roman"/>
          <w:b/>
          <w:bCs/>
          <w:sz w:val="30"/>
          <w:szCs w:val="30"/>
        </w:rPr>
      </w:pPr>
      <w:r>
        <w:rPr>
          <w:rFonts w:hint="eastAsia" w:ascii="黑体" w:hAnsi="黑体" w:eastAsia="黑体" w:cs="黑体"/>
          <w:b/>
          <w:bCs/>
          <w:sz w:val="30"/>
          <w:szCs w:val="30"/>
        </w:rPr>
        <w:t>中国烧碱市场行情综述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0" w:name="_Toc300238850"/>
      <w:bookmarkStart w:id="241" w:name="_Toc392240280"/>
      <w:bookmarkStart w:id="242" w:name="_Toc295403451"/>
      <w:bookmarkStart w:id="243" w:name="_Toc264643747"/>
    </w:p>
    <w:p>
      <w:pPr>
        <w:spacing w:line="400" w:lineRule="exact"/>
        <w:ind w:firstLine="602" w:firstLineChars="200"/>
        <w:outlineLvl w:val="1"/>
        <w:rPr>
          <w:rFonts w:ascii="黑体" w:hAnsi="黑体" w:eastAsia="黑体" w:cs="Times New Roman"/>
          <w:b/>
          <w:bCs/>
          <w:sz w:val="30"/>
          <w:szCs w:val="30"/>
        </w:rPr>
      </w:pPr>
      <w:r>
        <w:rPr>
          <w:rFonts w:ascii="黑体" w:hAnsi="黑体" w:eastAsia="黑体" w:cs="Times New Roman"/>
          <w:b/>
          <w:bCs/>
          <w:sz w:val="30"/>
          <w:szCs w:val="30"/>
        </w:rPr>
        <w:br w:type="textWrapping"/>
      </w:r>
    </w:p>
    <w:p>
      <w:pPr>
        <w:spacing w:line="400" w:lineRule="exact"/>
        <w:outlineLvl w:val="1"/>
        <w:rPr>
          <w:rFonts w:ascii="黑体" w:hAnsi="黑体" w:eastAsia="黑体" w:cs="Times New Roman"/>
          <w:b/>
          <w:bCs/>
          <w:sz w:val="30"/>
          <w:szCs w:val="30"/>
        </w:rPr>
      </w:pPr>
    </w:p>
    <w:p>
      <w:pPr>
        <w:pStyle w:val="12"/>
        <w:numPr>
          <w:ilvl w:val="0"/>
          <w:numId w:val="2"/>
        </w:numPr>
        <w:spacing w:before="0" w:beforeAutospacing="0" w:after="0" w:afterAutospacing="0" w:line="400" w:lineRule="exact"/>
        <w:ind w:left="1321"/>
        <w:outlineLvl w:val="1"/>
        <w:rPr>
          <w:rFonts w:ascii="黑体" w:hAnsi="黑体" w:eastAsia="黑体" w:cs="Times New Roman"/>
          <w:sz w:val="30"/>
          <w:szCs w:val="30"/>
        </w:rPr>
      </w:pPr>
      <w:bookmarkStart w:id="244" w:name="_Toc10202315"/>
      <w:bookmarkStart w:id="245" w:name="_Toc13217638"/>
      <w:bookmarkStart w:id="246" w:name="_Toc8991660"/>
      <w:bookmarkStart w:id="247" w:name="_Toc9583959"/>
      <w:bookmarkStart w:id="248" w:name="_Toc4654035"/>
      <w:bookmarkStart w:id="249" w:name="_Toc4596898"/>
      <w:bookmarkStart w:id="250" w:name="_Toc8313140"/>
      <w:bookmarkStart w:id="251" w:name="_Toc4767070"/>
      <w:bookmarkStart w:id="252" w:name="_Toc9597666"/>
      <w:bookmarkStart w:id="253" w:name="_Toc8378822"/>
      <w:bookmarkStart w:id="254" w:name="_Toc12609910"/>
      <w:r>
        <w:rPr>
          <w:rFonts w:hint="eastAsia" w:ascii="黑体" w:hAnsi="黑体" w:eastAsia="黑体" w:cs="黑体"/>
          <w:sz w:val="30"/>
          <w:szCs w:val="30"/>
        </w:rPr>
        <w:t>市场综述</w:t>
      </w:r>
      <w:bookmarkEnd w:id="244"/>
      <w:bookmarkEnd w:id="245"/>
      <w:bookmarkEnd w:id="246"/>
      <w:bookmarkEnd w:id="247"/>
      <w:bookmarkEnd w:id="248"/>
      <w:bookmarkEnd w:id="249"/>
      <w:bookmarkEnd w:id="250"/>
      <w:bookmarkEnd w:id="251"/>
      <w:bookmarkEnd w:id="252"/>
      <w:bookmarkEnd w:id="253"/>
      <w:bookmarkEnd w:id="254"/>
    </w:p>
    <w:p>
      <w:pPr>
        <w:widowControl/>
        <w:ind w:firstLine="420"/>
        <w:jc w:val="left"/>
        <w:rPr>
          <w:rFonts w:hint="eastAsia" w:ascii="仿宋" w:hAnsi="仿宋" w:eastAsia="仿宋" w:cs="Times New Roman"/>
          <w:sz w:val="28"/>
          <w:szCs w:val="28"/>
        </w:rPr>
      </w:pPr>
      <w:r>
        <w:rPr>
          <w:rFonts w:ascii="仿宋" w:hAnsi="仿宋" w:eastAsia="仿宋" w:cs="Times New Roman"/>
          <w:sz w:val="28"/>
          <w:szCs w:val="28"/>
        </w:rPr>
        <w:t> </w:t>
      </w:r>
      <w:r>
        <w:rPr>
          <w:rFonts w:hint="eastAsia" w:ascii="仿宋" w:hAnsi="仿宋" w:eastAsia="仿宋" w:cs="仿宋"/>
          <w:sz w:val="28"/>
          <w:szCs w:val="28"/>
        </w:rPr>
        <w:t>本周</w:t>
      </w:r>
      <w:r>
        <w:rPr>
          <w:rFonts w:ascii="仿宋" w:hAnsi="仿宋" w:eastAsia="仿宋" w:cs="Times New Roman"/>
          <w:sz w:val="28"/>
          <w:szCs w:val="28"/>
        </w:rPr>
        <w:t>中国液体烧碱市场依旧呈现下滑走势，市场交投氛围清淡。</w:t>
      </w:r>
      <w:r>
        <w:rPr>
          <w:rFonts w:ascii="仿宋" w:hAnsi="仿宋" w:eastAsia="仿宋" w:cs="Times New Roman"/>
          <w:sz w:val="28"/>
          <w:szCs w:val="28"/>
        </w:rPr>
        <w:br w:type="textWrapping"/>
      </w:r>
      <w:r>
        <w:rPr>
          <w:rFonts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ascii="仿宋" w:hAnsi="仿宋" w:eastAsia="仿宋" w:cs="Times New Roman"/>
          <w:sz w:val="28"/>
          <w:szCs w:val="28"/>
        </w:rPr>
        <w:t>本周山东地区液碱市场低位盘整运行为主，近期液氯价格下滑，已有少数氯碱企业减负荷运行，液碱成交走货一般，对外省分流发货有压力；河北地区液碱市场亦是持稳观望为主。天津地区本周液碱价格有弱势下滑，主要因外围山东及及河北地区液碱市场成交重心持续低位，对区域内市场有一定影响，加之近期液碱需求端一般，片碱加工行业虽已开工，但片碱价格较低，需求情况不如往期，液碱价格适度下滑，整体上出口量方面尚可，但出口近期价格并不理想，区域内化工行业用量一般。本月河南及山西地区氧化铝用碱价格暂未确定，因液碱价格已至低位水平，部分氯碱企业已经亏损，上游稳价意识较强，下游氧化铝行业因现货销售情况不佳，压价意识明显，谈判略显僵持。东北地区液碱价格有小幅下滑，当地下游企业负荷未能完全恢复至正常水平，碱市成交心态低迷，且外围液碱市场成交氛围不佳对省内市场有一定影响。</w:t>
      </w:r>
      <w:r>
        <w:rPr>
          <w:rFonts w:ascii="仿宋" w:hAnsi="仿宋" w:eastAsia="仿宋" w:cs="Times New Roman"/>
          <w:sz w:val="28"/>
          <w:szCs w:val="28"/>
        </w:rPr>
        <w:br w:type="textWrapping"/>
      </w:r>
      <w:r>
        <w:rPr>
          <w:rFonts w:ascii="仿宋" w:hAnsi="仿宋" w:eastAsia="仿宋" w:cs="Times New Roman"/>
          <w:sz w:val="28"/>
          <w:szCs w:val="28"/>
        </w:rPr>
        <w:t>    本周南方地区液碱市场成交重心再度回落，综合来看主要因近期全球公共卫生事件对服装纺织行业利空影响较多，利空传导至粘胶短纤和印染行业，市场需求端支撑不足，上游氯碱企业为促进走货，价格竞争激烈，在此背景下耗碱行业采购情绪愈发犹豫。西南地区液碱市场暂稳运行，现阶段需求面无明显好转，耗碱企业需求端平淡，存货意愿不足。新一轮长单价格暂未确定，液碱价格维持先期水平。</w:t>
      </w:r>
      <w:r>
        <w:rPr>
          <w:rFonts w:ascii="仿宋" w:hAnsi="仿宋" w:eastAsia="仿宋" w:cs="Times New Roman"/>
          <w:sz w:val="28"/>
          <w:szCs w:val="28"/>
        </w:rPr>
        <w:br w:type="textWrapping"/>
      </w:r>
      <w:r>
        <w:rPr>
          <w:rFonts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ascii="仿宋" w:hAnsi="仿宋" w:eastAsia="仿宋" w:cs="Times New Roman"/>
          <w:sz w:val="28"/>
          <w:szCs w:val="28"/>
        </w:rPr>
        <w:t>跟踪数据，4月2日中国32%离子膜液碱市场价格指数599，较3月26日数据相比↓1.99%；4月2日中国50%离子膜液碱市场平均出厂价格在1115.7元/吨，较3月26日数据相比↓2.38%。</w:t>
      </w:r>
      <w:r>
        <w:rPr>
          <w:rFonts w:ascii="仿宋" w:hAnsi="仿宋" w:eastAsia="仿宋" w:cs="Times New Roman"/>
          <w:sz w:val="28"/>
          <w:szCs w:val="28"/>
        </w:rPr>
        <w:br w:type="textWrapping"/>
      </w:r>
      <w:r>
        <w:rPr>
          <w:rFonts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ascii="仿宋" w:hAnsi="仿宋" w:eastAsia="仿宋" w:cs="Times New Roman"/>
          <w:sz w:val="28"/>
          <w:szCs w:val="28"/>
        </w:rPr>
        <w:t>据统计目前全国氯碱总产能为4323.4万吨，截至4月2日，氯碱开工产能3538.9万吨，开工率81.85%。据统计目前全国氧化铝总产能为8614万吨，截至4月2日，氧化铝开工产能6545万吨，开工率75.98%。</w:t>
      </w:r>
    </w:p>
    <w:p>
      <w:pPr>
        <w:pStyle w:val="12"/>
        <w:numPr>
          <w:ilvl w:val="0"/>
          <w:numId w:val="2"/>
        </w:numPr>
        <w:spacing w:before="0" w:beforeAutospacing="0" w:after="0" w:afterAutospacing="0" w:line="400" w:lineRule="exact"/>
        <w:ind w:left="1321"/>
        <w:outlineLvl w:val="1"/>
        <w:rPr>
          <w:rFonts w:cs="Times New Roman"/>
          <w:b/>
          <w:bCs/>
          <w:sz w:val="30"/>
          <w:szCs w:val="30"/>
        </w:rPr>
      </w:pPr>
      <w:bookmarkStart w:id="255" w:name="_Toc4596899"/>
      <w:bookmarkStart w:id="256" w:name="_Toc4654036"/>
      <w:bookmarkStart w:id="257" w:name="_Toc12609911"/>
      <w:bookmarkStart w:id="258" w:name="_Toc13217639"/>
      <w:bookmarkStart w:id="259" w:name="_Toc8313141"/>
      <w:bookmarkStart w:id="260" w:name="_Toc8378823"/>
      <w:bookmarkStart w:id="261" w:name="_Toc4767071"/>
      <w:bookmarkStart w:id="262" w:name="_Toc9597667"/>
      <w:bookmarkStart w:id="263" w:name="_Toc10202316"/>
      <w:bookmarkStart w:id="264" w:name="_Toc8991661"/>
      <w:bookmarkStart w:id="265" w:name="_Toc9583960"/>
      <w:r>
        <w:rPr>
          <w:rFonts w:hint="eastAsia"/>
          <w:b/>
          <w:bCs/>
          <w:sz w:val="30"/>
          <w:szCs w:val="30"/>
        </w:rPr>
        <w:t>价格方面</w:t>
      </w:r>
      <w:bookmarkEnd w:id="255"/>
      <w:bookmarkEnd w:id="256"/>
      <w:bookmarkEnd w:id="257"/>
      <w:bookmarkEnd w:id="258"/>
      <w:bookmarkEnd w:id="259"/>
      <w:bookmarkEnd w:id="260"/>
      <w:bookmarkEnd w:id="261"/>
      <w:bookmarkEnd w:id="262"/>
      <w:bookmarkEnd w:id="263"/>
      <w:bookmarkEnd w:id="264"/>
      <w:bookmarkEnd w:id="265"/>
      <w:bookmarkStart w:id="266" w:name="_Toc4654037"/>
      <w:bookmarkStart w:id="267" w:name="_Toc4596900"/>
      <w:bookmarkStart w:id="268" w:name="_Toc4767072"/>
    </w:p>
    <w:p>
      <w:pPr>
        <w:pStyle w:val="12"/>
        <w:spacing w:before="0" w:beforeAutospacing="0" w:after="0" w:afterAutospacing="0" w:line="400" w:lineRule="exact"/>
        <w:ind w:left="601"/>
        <w:outlineLvl w:val="1"/>
        <w:rPr>
          <w:rFonts w:cs="Times New Roman"/>
          <w:b/>
          <w:bCs/>
          <w:sz w:val="30"/>
          <w:szCs w:val="30"/>
        </w:rPr>
      </w:pPr>
    </w:p>
    <w:p>
      <w:pPr>
        <w:keepNext w:val="0"/>
        <w:keepLines w:val="0"/>
        <w:pageBreakBefore w:val="0"/>
        <w:widowControl/>
        <w:kinsoku/>
        <w:wordWrap/>
        <w:overflowPunct/>
        <w:topLinePunct w:val="0"/>
        <w:autoSpaceDE/>
        <w:autoSpaceDN/>
        <w:bidi w:val="0"/>
        <w:adjustRightInd/>
        <w:snapToGrid/>
        <w:ind w:firstLine="113"/>
        <w:jc w:val="left"/>
        <w:textAlignment w:val="auto"/>
        <w:rPr>
          <w:rFonts w:ascii="宋体" w:cs="Times New Roman"/>
          <w:b/>
          <w:bCs/>
          <w:kern w:val="0"/>
          <w:sz w:val="30"/>
          <w:szCs w:val="30"/>
        </w:rPr>
      </w:pPr>
      <w:r>
        <w:rPr>
          <w:rFonts w:ascii="仿宋" w:hAnsi="仿宋" w:eastAsia="仿宋" w:cs="Times New Roman"/>
          <w:sz w:val="28"/>
          <w:szCs w:val="28"/>
        </w:rPr>
        <w:t> </w:t>
      </w:r>
      <w:r>
        <w:rPr>
          <w:rFonts w:hint="eastAsia" w:ascii="仿宋" w:hAnsi="仿宋" w:eastAsia="仿宋" w:cs="Times New Roman"/>
          <w:sz w:val="28"/>
          <w:szCs w:val="28"/>
          <w:lang w:val="en-US" w:eastAsia="zh-CN"/>
        </w:rPr>
        <w:t xml:space="preserve">   </w:t>
      </w:r>
      <w:r>
        <w:rPr>
          <w:rFonts w:hint="eastAsia" w:ascii="仿宋" w:hAnsi="仿宋" w:eastAsia="仿宋" w:cs="仿宋"/>
          <w:sz w:val="28"/>
          <w:szCs w:val="28"/>
        </w:rPr>
        <w:t>截止各地区液碱价格（文中价格为现汇，承兑低浓度水碱加15元/吨，高浓度碱加30元/吨）</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32%离子膜液碱主流出厂价格：自3月17日起山东供给氧化铝行业现汇出厂价格执行500元/吨，供其他客户主流现汇出厂价格500-550元/吨；河北500-620元/吨；天津1600-1700元/吨（折百）；浙江送到萧绍经销商620-630元/吨；江苏530-620元/吨；安徽500-600元/吨；江西地区600-680元/吨；广西740-790元/吨；河南1800-1850元/吨（折百）；内蒙古1500-1550元/吨（折百）；辽宁680-700元/吨，个别企业价格略高；四川2450-2650元/吨（折百）；福建32%离子膜烧碱主流到厂价格760-850元/吨，莆田大户接收价格在区间低价位水平，小户采购量不多，厂家及贸易商报送到价850-900元/吨，成交不佳。</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高浓碱主流出厂价格：山东48%离子膜液碱出厂800-850元/吨，50%离子膜液碱出厂820-870元/吨。天津49%离子膜碱出厂价格1700-1800元/吨（折百），广西    50%离子膜液碱出厂价格1230-1280元/吨；内蒙古48-50%离子膜液碱出厂价格1550-1600元/吨（折百）左右；江苏地区48%离子膜液碱出厂价格1050-1080元/吨；辽宁地区45-50%离子膜液碱出厂报价在1080-1100元/吨；四川地区50%离子膜液碱主流出厂价格2650-2750元/吨（折百）。福建省内高浓度碱多来自省外，本地市场上50%离子膜烧碱主流到厂价格在1250-1330元/吨，小户采购量不多，贸易商报送到价1350-1400元/吨，成交不佳。</w:t>
      </w:r>
      <w:r>
        <w:rPr>
          <w:rFonts w:hint="eastAsia" w:ascii="仿宋" w:hAnsi="仿宋" w:eastAsia="仿宋" w:cs="仿宋"/>
          <w:sz w:val="28"/>
          <w:szCs w:val="28"/>
        </w:rPr>
        <w:br w:type="textWrapping"/>
      </w:r>
      <w:r>
        <w:rPr>
          <w:rFonts w:ascii="仿宋" w:hAnsi="仿宋" w:eastAsia="仿宋" w:cs="Times New Roman"/>
          <w:sz w:val="28"/>
          <w:szCs w:val="28"/>
        </w:rPr>
        <w:br w:type="textWrapping"/>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宋体" w:hAnsi="宋体" w:cs="宋体"/>
          <w:b/>
          <w:bCs/>
          <w:kern w:val="0"/>
          <w:sz w:val="30"/>
          <w:szCs w:val="30"/>
        </w:rPr>
        <w:t>后市预测</w:t>
      </w:r>
      <w:bookmarkEnd w:id="266"/>
      <w:bookmarkEnd w:id="267"/>
      <w:bookmarkEnd w:id="268"/>
      <w:bookmarkStart w:id="269" w:name="_Toc4596901"/>
      <w:bookmarkStart w:id="270" w:name="_Toc4654038"/>
    </w:p>
    <w:p>
      <w:pPr>
        <w:keepNext w:val="0"/>
        <w:keepLines w:val="0"/>
        <w:pageBreakBefore w:val="0"/>
        <w:widowControl/>
        <w:kinsoku/>
        <w:wordWrap/>
        <w:overflowPunct/>
        <w:topLinePunct w:val="0"/>
        <w:autoSpaceDE/>
        <w:autoSpaceDN/>
        <w:bidi w:val="0"/>
        <w:adjustRightInd/>
        <w:snapToGrid/>
        <w:ind w:firstLine="420"/>
        <w:jc w:val="left"/>
        <w:textAlignment w:val="auto"/>
        <w:rPr>
          <w:rFonts w:hint="eastAsia" w:ascii="仿宋" w:hAnsi="仿宋" w:eastAsia="仿宋" w:cs="仿宋"/>
          <w:sz w:val="28"/>
          <w:szCs w:val="28"/>
        </w:rPr>
      </w:pPr>
      <w:bookmarkStart w:id="271" w:name="_Toc12609912"/>
      <w:bookmarkStart w:id="272" w:name="_Toc4767073"/>
      <w:bookmarkStart w:id="273" w:name="_Toc8313142"/>
      <w:bookmarkStart w:id="274" w:name="_Toc10202317"/>
      <w:bookmarkStart w:id="275" w:name="_Toc9583961"/>
      <w:bookmarkStart w:id="276" w:name="_Toc13217640"/>
      <w:bookmarkStart w:id="277" w:name="_Toc8378824"/>
      <w:bookmarkStart w:id="278" w:name="_Toc9597668"/>
      <w:bookmarkStart w:id="279" w:name="_Toc8991662"/>
      <w:r>
        <w:rPr>
          <w:rFonts w:hint="eastAsia" w:ascii="仿宋" w:hAnsi="仿宋" w:eastAsia="仿宋" w:cs="仿宋"/>
          <w:sz w:val="28"/>
          <w:szCs w:val="28"/>
        </w:rPr>
        <w:t> 北方地区来看，目前临近月末氯碱企业多关注长单定价情况为主，液碱成交重心已至低位水平，长单再度让利空间有限；南方地区来看，上游氯碱企业库存压力依旧存在，预计下周以积极出货，消化库存为主。</w:t>
      </w:r>
    </w:p>
    <w:p>
      <w:pPr>
        <w:widowControl/>
        <w:ind w:firstLine="602" w:firstLineChars="200"/>
        <w:jc w:val="left"/>
        <w:outlineLvl w:val="2"/>
        <w:rPr>
          <w:rStyle w:val="25"/>
          <w:rFonts w:cs="Times New Roman"/>
          <w:b/>
          <w:bCs/>
          <w:sz w:val="30"/>
          <w:szCs w:val="30"/>
        </w:rPr>
      </w:pPr>
      <w:r>
        <w:rPr>
          <w:rStyle w:val="25"/>
          <w:rFonts w:hint="eastAsia" w:cs="宋体"/>
          <w:b/>
          <w:bCs/>
          <w:sz w:val="30"/>
          <w:szCs w:val="30"/>
        </w:rPr>
        <w:t>本周国内片碱实际成交周汇总</w:t>
      </w:r>
      <w:bookmarkEnd w:id="240"/>
      <w:bookmarkEnd w:id="241"/>
      <w:bookmarkEnd w:id="242"/>
      <w:bookmarkEnd w:id="243"/>
      <w:bookmarkEnd w:id="269"/>
      <w:bookmarkEnd w:id="270"/>
      <w:bookmarkEnd w:id="271"/>
      <w:bookmarkEnd w:id="272"/>
      <w:bookmarkEnd w:id="273"/>
      <w:bookmarkEnd w:id="274"/>
      <w:bookmarkEnd w:id="275"/>
      <w:bookmarkEnd w:id="276"/>
      <w:bookmarkEnd w:id="277"/>
      <w:bookmarkEnd w:id="278"/>
      <w:bookmarkEnd w:id="279"/>
    </w:p>
    <w:p>
      <w:pPr>
        <w:snapToGrid w:val="0"/>
        <w:spacing w:line="400" w:lineRule="exact"/>
        <w:ind w:right="-149" w:rightChars="-71"/>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3"/>
        <w:tblpPr w:leftFromText="180" w:rightFromText="180" w:vertAnchor="text" w:horzAnchor="page" w:tblpX="2166" w:tblpY="434"/>
        <w:tblOverlap w:val="never"/>
        <w:tblW w:w="7881" w:type="dxa"/>
        <w:tblInd w:w="0" w:type="dxa"/>
        <w:tblLayout w:type="fixed"/>
        <w:tblCellMar>
          <w:top w:w="0" w:type="dxa"/>
          <w:left w:w="108" w:type="dxa"/>
          <w:bottom w:w="0" w:type="dxa"/>
          <w:right w:w="108" w:type="dxa"/>
        </w:tblCellMar>
      </w:tblPr>
      <w:tblGrid>
        <w:gridCol w:w="1440"/>
        <w:gridCol w:w="2180"/>
        <w:gridCol w:w="1003"/>
        <w:gridCol w:w="1629"/>
        <w:gridCol w:w="1629"/>
      </w:tblGrid>
      <w:tr>
        <w:tblPrEx>
          <w:tblCellMar>
            <w:top w:w="0" w:type="dxa"/>
            <w:left w:w="108" w:type="dxa"/>
            <w:bottom w:w="0" w:type="dxa"/>
            <w:right w:w="108" w:type="dxa"/>
          </w:tblCellMar>
        </w:tblPrEx>
        <w:trPr>
          <w:trHeight w:val="420" w:hRule="atLeast"/>
        </w:trPr>
        <w:tc>
          <w:tcPr>
            <w:tcW w:w="144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218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4261" w:type="dxa"/>
            <w:gridSpan w:val="3"/>
            <w:tcBorders>
              <w:top w:val="single" w:color="auto" w:sz="8" w:space="0"/>
              <w:left w:val="nil"/>
              <w:bottom w:val="single" w:color="auto" w:sz="8" w:space="0"/>
              <w:right w:val="single" w:color="000000" w:sz="8" w:space="0"/>
            </w:tcBorders>
            <w:shd w:val="clear" w:color="000000" w:fill="8DB4E3"/>
            <w:noWrap/>
            <w:vAlign w:val="center"/>
          </w:tcPr>
          <w:p>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hint="eastAsia" w:ascii="宋体" w:hAnsi="宋体" w:cs="宋体"/>
                <w:b/>
                <w:bCs/>
                <w:color w:val="000000"/>
                <w:kern w:val="0"/>
                <w:sz w:val="20"/>
                <w:szCs w:val="20"/>
              </w:rPr>
              <w:t>片碱</w:t>
            </w:r>
          </w:p>
        </w:tc>
      </w:tr>
      <w:tr>
        <w:tblPrEx>
          <w:tblCellMar>
            <w:top w:w="0" w:type="dxa"/>
            <w:left w:w="108" w:type="dxa"/>
            <w:bottom w:w="0" w:type="dxa"/>
            <w:right w:w="108" w:type="dxa"/>
          </w:tblCellMar>
        </w:tblPrEx>
        <w:trPr>
          <w:trHeight w:val="450" w:hRule="atLeast"/>
        </w:trPr>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cs="Times New Roman"/>
                <w:b/>
                <w:bCs/>
                <w:color w:val="000000"/>
                <w:kern w:val="0"/>
                <w:sz w:val="20"/>
                <w:szCs w:val="20"/>
              </w:rPr>
            </w:pPr>
          </w:p>
        </w:tc>
        <w:tc>
          <w:tcPr>
            <w:tcW w:w="21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cs="Times New Roman"/>
                <w:b/>
                <w:bCs/>
                <w:color w:val="000000"/>
                <w:kern w:val="0"/>
                <w:sz w:val="20"/>
                <w:szCs w:val="20"/>
              </w:rPr>
            </w:pPr>
          </w:p>
        </w:tc>
        <w:tc>
          <w:tcPr>
            <w:tcW w:w="1003"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低价</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高价</w:t>
            </w:r>
          </w:p>
        </w:tc>
      </w:tr>
      <w:tr>
        <w:tblPrEx>
          <w:tblCellMar>
            <w:top w:w="0" w:type="dxa"/>
            <w:left w:w="108" w:type="dxa"/>
            <w:bottom w:w="0" w:type="dxa"/>
            <w:right w:w="108" w:type="dxa"/>
          </w:tblCellMar>
        </w:tblPrEx>
        <w:trPr>
          <w:trHeight w:val="375" w:hRule="atLeast"/>
        </w:trPr>
        <w:tc>
          <w:tcPr>
            <w:tcW w:w="1440" w:type="dxa"/>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hint="eastAsia" w:ascii="宋体" w:eastAsia="宋体" w:cs="Times New Roman"/>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rPr>
            </w:pPr>
            <w:r>
              <w:rPr>
                <w:rFonts w:hint="eastAsia" w:ascii="宋体" w:hAnsi="宋体" w:cs="宋体"/>
                <w:kern w:val="0"/>
              </w:rPr>
              <w:t>主流</w:t>
            </w:r>
          </w:p>
        </w:tc>
        <w:tc>
          <w:tcPr>
            <w:tcW w:w="100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lang w:val="en-US" w:eastAsia="zh-CN"/>
              </w:rPr>
              <w:t>1</w:t>
            </w:r>
            <w:r>
              <w:rPr>
                <w:rFonts w:ascii="宋体" w:hAnsi="宋体" w:cs="宋体"/>
                <w:color w:val="000000"/>
                <w:kern w:val="0"/>
                <w:sz w:val="18"/>
                <w:szCs w:val="18"/>
              </w:rPr>
              <w:t>00</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ascii="宋体" w:hAnsi="宋体" w:cs="宋体"/>
                <w:color w:val="000000"/>
                <w:kern w:val="0"/>
                <w:sz w:val="18"/>
                <w:szCs w:val="18"/>
              </w:rPr>
              <w:t>3100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rPr>
            </w:pPr>
            <w:r>
              <w:rPr>
                <w:rFonts w:hint="eastAsia" w:ascii="宋体" w:hAnsi="宋体" w:cs="宋体"/>
                <w:kern w:val="0"/>
              </w:rPr>
              <w:t>主流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lang w:val="en-US" w:eastAsia="zh-CN"/>
              </w:rPr>
              <w:t>05</w:t>
            </w:r>
            <w:r>
              <w:rPr>
                <w:rFonts w:ascii="宋体" w:hAnsi="宋体" w:cs="宋体"/>
                <w:color w:val="000000"/>
                <w:kern w:val="0"/>
                <w:sz w:val="18"/>
                <w:szCs w:val="18"/>
              </w:rPr>
              <w:t>0</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lang w:val="en-US" w:eastAsia="zh-CN"/>
              </w:rPr>
              <w:t>7</w:t>
            </w:r>
            <w:r>
              <w:rPr>
                <w:rFonts w:ascii="宋体" w:hAnsi="宋体" w:cs="宋体"/>
                <w:color w:val="000000"/>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淄博环拓</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7</w:t>
            </w:r>
            <w:r>
              <w:rPr>
                <w:rFonts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7</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山东永嘉</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淄博青临鸿金</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山东苗栗</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3100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3100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淄博鲁威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30</w:t>
            </w:r>
            <w:r>
              <w:rPr>
                <w:rFonts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30</w:t>
            </w:r>
            <w:r>
              <w:rPr>
                <w:rFonts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实得工贸</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淄博丰通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天津红三环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7</w:t>
            </w:r>
            <w:r>
              <w:rPr>
                <w:rFonts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7</w:t>
            </w:r>
            <w:r>
              <w:rPr>
                <w:rFonts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天津兴凯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天津云海碳素</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3500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3500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天津鹏坤</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唐山汇成</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2650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2650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沧州市荣庆</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2300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2300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内蒙乌海欣业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2500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2500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内蒙古中盐吉兰泰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05</w:t>
            </w:r>
            <w:r>
              <w:rPr>
                <w:rFonts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kern w:val="0"/>
                <w:sz w:val="18"/>
                <w:szCs w:val="18"/>
              </w:rPr>
            </w:pPr>
            <w:r>
              <w:rPr>
                <w:rFonts w:ascii="宋体" w:hAnsi="宋体" w:cs="宋体"/>
                <w:kern w:val="0"/>
                <w:sz w:val="18"/>
                <w:szCs w:val="18"/>
              </w:rPr>
              <w:t>2</w:t>
            </w:r>
            <w:r>
              <w:rPr>
                <w:rFonts w:hint="eastAsia" w:ascii="宋体" w:hAnsi="宋体" w:cs="宋体"/>
                <w:kern w:val="0"/>
                <w:sz w:val="18"/>
                <w:szCs w:val="18"/>
                <w:lang w:val="en-US" w:eastAsia="zh-CN"/>
              </w:rPr>
              <w:t>05</w:t>
            </w:r>
            <w:r>
              <w:rPr>
                <w:rFonts w:ascii="宋体" w:hAnsi="宋体" w:cs="宋体"/>
                <w:kern w:val="0"/>
                <w:sz w:val="18"/>
                <w:szCs w:val="18"/>
              </w:rPr>
              <w:t>0</w:t>
            </w:r>
          </w:p>
        </w:tc>
      </w:tr>
    </w:tbl>
    <w:p>
      <w:pPr>
        <w:rPr>
          <w:rFonts w:cs="Times New Roman"/>
        </w:rPr>
      </w:pPr>
      <w:bookmarkStart w:id="280" w:name="_Toc532564263"/>
      <w:bookmarkStart w:id="281" w:name="_Toc525289549"/>
      <w:bookmarkStart w:id="282" w:name="_Toc525306466"/>
      <w:bookmarkStart w:id="283" w:name="_Toc527705003"/>
      <w:bookmarkStart w:id="284" w:name="_Toc295403452"/>
      <w:bookmarkStart w:id="285" w:name="_Toc516234900"/>
      <w:bookmarkStart w:id="286" w:name="_Toc233795930"/>
      <w:bookmarkStart w:id="287" w:name="_Toc1394103"/>
      <w:bookmarkStart w:id="288" w:name="_Toc250731929"/>
      <w:bookmarkStart w:id="289" w:name="_Toc4139109"/>
      <w:bookmarkStart w:id="290" w:name="_Toc4596902"/>
      <w:bookmarkStart w:id="291" w:name="_Toc521057604"/>
      <w:bookmarkStart w:id="292" w:name="_Toc300238851"/>
      <w:bookmarkStart w:id="293" w:name="_Toc518638262"/>
      <w:bookmarkStart w:id="294" w:name="_Toc528930996"/>
      <w:bookmarkStart w:id="295" w:name="_Toc515610376"/>
      <w:bookmarkStart w:id="296" w:name="_Toc525912529"/>
      <w:bookmarkStart w:id="297" w:name="_Toc518032002"/>
      <w:bookmarkStart w:id="298" w:name="_Toc516234894"/>
      <w:bookmarkStart w:id="299" w:name="_Toc522870763"/>
      <w:bookmarkStart w:id="300" w:name="_Toc527101793"/>
      <w:bookmarkStart w:id="301" w:name="_Toc517425041"/>
      <w:bookmarkStart w:id="302" w:name="_Toc511390008"/>
      <w:bookmarkStart w:id="303" w:name="_Toc528329959"/>
      <w:bookmarkStart w:id="304" w:name="_Toc9597669"/>
      <w:bookmarkStart w:id="305" w:name="_Toc532564066"/>
      <w:bookmarkStart w:id="306" w:name="_Toc12609913"/>
      <w:bookmarkStart w:id="307" w:name="_Toc13217641"/>
      <w:bookmarkStart w:id="308" w:name="_Toc530128352"/>
      <w:bookmarkStart w:id="309" w:name="_Toc532564040"/>
      <w:bookmarkStart w:id="310" w:name="_Toc528919989"/>
      <w:bookmarkStart w:id="311" w:name="_Toc520465079"/>
      <w:bookmarkStart w:id="312" w:name="_Toc10202318"/>
      <w:bookmarkStart w:id="313" w:name="_Toc524701467"/>
      <w:bookmarkStart w:id="314" w:name="_Toc534378403"/>
      <w:bookmarkStart w:id="315" w:name="_Toc534915168"/>
      <w:bookmarkStart w:id="316" w:name="_Toc535588711"/>
      <w:bookmarkStart w:id="317" w:name="_Toc536540310"/>
      <w:bookmarkStart w:id="318" w:name="_Toc1739297"/>
      <w:bookmarkStart w:id="319" w:name="_Toc533149333"/>
      <w:bookmarkStart w:id="320" w:name="_Toc1139288"/>
      <w:bookmarkStart w:id="321" w:name="_Toc536198170"/>
      <w:bookmarkStart w:id="322" w:name="_Toc8991663"/>
      <w:bookmarkStart w:id="323" w:name="_Toc9583962"/>
      <w:bookmarkStart w:id="324" w:name="_Toc4654039"/>
      <w:bookmarkStart w:id="325" w:name="_Toc392240282"/>
      <w:bookmarkStart w:id="326" w:name="_Toc8378825"/>
      <w:bookmarkStart w:id="327" w:name="_Toc8313143"/>
      <w:bookmarkStart w:id="328" w:name="_Toc4767074"/>
      <w:bookmarkStart w:id="329" w:name="_Toc522870748"/>
      <w:bookmarkStart w:id="330" w:name="_Toc524091684"/>
      <w:bookmarkStart w:id="331" w:name="_Toc513127193"/>
      <w:bookmarkStart w:id="332" w:name="_Toc522870772"/>
      <w:bookmarkStart w:id="333" w:name="_Toc536541140"/>
      <w:bookmarkStart w:id="334" w:name="_Toc1035933"/>
      <w:bookmarkStart w:id="335" w:name="_Toc530750142"/>
      <w:bookmarkStart w:id="336" w:name="_Toc252539758"/>
      <w:bookmarkStart w:id="337" w:name="_Toc531954275"/>
      <w:bookmarkStart w:id="338" w:name="_Toc485981325"/>
      <w:bookmarkStart w:id="339" w:name="_Toc536789788"/>
      <w:bookmarkStart w:id="340" w:name="_Toc529526328"/>
      <w:bookmarkStart w:id="341" w:name="_Toc522259767"/>
      <w:bookmarkStart w:id="342" w:name="_Toc522280057"/>
      <w:bookmarkStart w:id="343" w:name="_Toc521660550"/>
      <w:bookmarkStart w:id="344" w:name="_Toc525306477"/>
      <w:bookmarkStart w:id="345" w:name="_Toc522870754"/>
      <w:bookmarkStart w:id="346" w:name="_Toc516839087"/>
      <w:bookmarkStart w:id="347" w:name="_Toc519848560"/>
    </w:p>
    <w:p>
      <w:pPr>
        <w:rPr>
          <w:rFonts w:cs="Times New Roman"/>
        </w:rPr>
      </w:pPr>
    </w:p>
    <w:p>
      <w:pPr>
        <w:pStyle w:val="2"/>
        <w:spacing w:line="400" w:lineRule="exact"/>
        <w:jc w:val="center"/>
        <w:rPr>
          <w:rFonts w:ascii="黑体"/>
          <w:sz w:val="30"/>
          <w:szCs w:val="30"/>
        </w:rPr>
      </w:pPr>
      <w:r>
        <w:rPr>
          <w:rFonts w:hint="eastAsia" w:cs="黑体"/>
        </w:rPr>
        <w:t>液氯</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48" w:name="_Toc233795931"/>
      <w:bookmarkEnd w:id="348"/>
      <w:bookmarkStart w:id="349" w:name="_Toc522870764"/>
      <w:bookmarkStart w:id="350" w:name="_Toc522870755"/>
      <w:bookmarkStart w:id="351" w:name="_Toc522870773"/>
      <w:bookmarkStart w:id="352" w:name="_Toc525289550"/>
      <w:bookmarkStart w:id="353" w:name="_Toc524701468"/>
      <w:bookmarkStart w:id="354" w:name="_Toc524091685"/>
      <w:bookmarkStart w:id="355" w:name="_Toc525306467"/>
      <w:bookmarkStart w:id="356" w:name="_Toc525306478"/>
      <w:bookmarkStart w:id="357" w:name="_Toc527101794"/>
      <w:bookmarkStart w:id="358" w:name="_Toc525912530"/>
      <w:bookmarkStart w:id="359" w:name="_Toc527705004"/>
      <w:bookmarkStart w:id="360" w:name="_Toc528329960"/>
      <w:bookmarkStart w:id="361" w:name="_Toc528930997"/>
      <w:bookmarkStart w:id="362" w:name="_Toc529526329"/>
      <w:bookmarkStart w:id="363" w:name="_Toc528919990"/>
      <w:bookmarkStart w:id="364" w:name="_Toc185611021"/>
      <w:bookmarkStart w:id="365" w:name="_Toc250731930"/>
      <w:bookmarkStart w:id="366" w:name="_Toc300238852"/>
      <w:bookmarkStart w:id="367" w:name="_Toc485981326"/>
      <w:bookmarkStart w:id="368" w:name="_Toc392240283"/>
      <w:bookmarkStart w:id="369" w:name="_Toc252539759"/>
      <w:bookmarkStart w:id="370" w:name="_Toc295403453"/>
      <w:bookmarkStart w:id="371" w:name="_Toc4654040"/>
      <w:bookmarkStart w:id="372" w:name="_Toc4139110"/>
      <w:bookmarkStart w:id="373" w:name="_Toc532564041"/>
      <w:bookmarkStart w:id="374" w:name="_Toc4596903"/>
      <w:bookmarkStart w:id="375" w:name="_Toc530750143"/>
      <w:bookmarkStart w:id="376" w:name="_Toc531954276"/>
      <w:bookmarkStart w:id="377" w:name="_Toc533149334"/>
      <w:bookmarkStart w:id="378" w:name="_Toc532564264"/>
      <w:bookmarkStart w:id="379" w:name="_Toc535588712"/>
      <w:bookmarkStart w:id="380" w:name="_Toc534915169"/>
      <w:bookmarkStart w:id="381" w:name="_Toc517425042"/>
      <w:bookmarkStart w:id="382" w:name="_Toc516839088"/>
      <w:bookmarkStart w:id="383" w:name="_Toc516234901"/>
      <w:bookmarkStart w:id="384" w:name="_Toc516234895"/>
      <w:bookmarkStart w:id="385" w:name="_Toc515610377"/>
      <w:bookmarkStart w:id="386" w:name="_Toc1739298"/>
      <w:bookmarkStart w:id="387" w:name="_Toc513127194"/>
      <w:bookmarkStart w:id="388" w:name="_Toc511390009"/>
      <w:bookmarkStart w:id="389" w:name="_Toc1394104"/>
      <w:bookmarkStart w:id="390" w:name="_Toc1139289"/>
      <w:bookmarkStart w:id="391" w:name="_Toc1035934"/>
      <w:bookmarkStart w:id="392" w:name="_Toc536789789"/>
      <w:bookmarkStart w:id="393" w:name="_Toc536541141"/>
      <w:bookmarkStart w:id="394" w:name="_Toc536540311"/>
      <w:bookmarkStart w:id="395" w:name="_Toc536198171"/>
      <w:bookmarkStart w:id="396" w:name="_Toc532564067"/>
      <w:bookmarkStart w:id="397" w:name="_Toc522870749"/>
      <w:bookmarkStart w:id="398" w:name="_Toc522280058"/>
      <w:bookmarkStart w:id="399" w:name="_Toc522259768"/>
      <w:bookmarkStart w:id="400" w:name="_Toc521660551"/>
      <w:bookmarkStart w:id="401" w:name="_Toc519848561"/>
      <w:bookmarkStart w:id="402" w:name="_Toc521057605"/>
      <w:bookmarkStart w:id="403" w:name="_Toc530128353"/>
      <w:bookmarkStart w:id="404" w:name="_Toc534378404"/>
      <w:bookmarkStart w:id="405" w:name="_Toc518638263"/>
      <w:bookmarkStart w:id="406" w:name="_Toc520465080"/>
      <w:bookmarkStart w:id="407" w:name="_Toc518032003"/>
    </w:p>
    <w:p>
      <w:pPr>
        <w:spacing w:line="400" w:lineRule="exact"/>
        <w:ind w:firstLine="602" w:firstLineChars="200"/>
        <w:outlineLvl w:val="1"/>
        <w:rPr>
          <w:rFonts w:ascii="黑体" w:hAnsi="黑体" w:eastAsia="黑体" w:cs="Times New Roman"/>
          <w:b/>
          <w:bCs/>
          <w:sz w:val="30"/>
          <w:szCs w:val="30"/>
        </w:rPr>
      </w:pPr>
      <w:bookmarkStart w:id="408" w:name="_Toc4767075"/>
      <w:bookmarkStart w:id="409" w:name="_Toc12609914"/>
      <w:bookmarkStart w:id="410" w:name="_Toc13217642"/>
      <w:bookmarkStart w:id="411" w:name="_Toc8378826"/>
      <w:bookmarkStart w:id="412" w:name="_Toc10202319"/>
      <w:bookmarkStart w:id="413" w:name="_Toc8313144"/>
      <w:bookmarkStart w:id="414" w:name="_Toc9583963"/>
      <w:bookmarkStart w:id="415" w:name="_Toc8991664"/>
      <w:bookmarkStart w:id="416" w:name="_Toc9597670"/>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ascii="黑体" w:hAnsi="黑体" w:eastAsia="黑体" w:cs="黑体"/>
          <w:b/>
          <w:bCs/>
          <w:sz w:val="30"/>
          <w:szCs w:val="30"/>
        </w:rPr>
        <w:t xml:space="preserve">    </w:t>
      </w:r>
      <w:r>
        <w:rPr>
          <w:rFonts w:hint="eastAsia" w:ascii="黑体" w:hAnsi="黑体" w:eastAsia="黑体" w:cs="黑体"/>
          <w:b/>
          <w:bCs/>
          <w:sz w:val="30"/>
          <w:szCs w:val="30"/>
        </w:rPr>
        <w:t>评述：本周国内液氯市场评述及行情预测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52539760"/>
      <w:bookmarkStart w:id="418" w:name="_Toc250731931"/>
    </w:p>
    <w:p>
      <w:pPr>
        <w:pStyle w:val="12"/>
        <w:spacing w:before="0" w:beforeAutospacing="0" w:after="0" w:afterAutospacing="0" w:line="400" w:lineRule="exact"/>
        <w:outlineLvl w:val="1"/>
        <w:rPr>
          <w:rFonts w:ascii="黑体" w:hAnsi="黑体" w:eastAsia="黑体" w:cs="Times New Roman"/>
          <w:sz w:val="30"/>
          <w:szCs w:val="30"/>
        </w:rPr>
      </w:pPr>
      <w:bookmarkStart w:id="419" w:name="_Toc8313145"/>
      <w:bookmarkStart w:id="420" w:name="_Toc4767076"/>
      <w:bookmarkStart w:id="421" w:name="_Toc8991665"/>
      <w:bookmarkStart w:id="422" w:name="_Toc4654041"/>
      <w:bookmarkStart w:id="423" w:name="_Toc4596904"/>
      <w:bookmarkStart w:id="424" w:name="_Toc8378827"/>
      <w:bookmarkStart w:id="425" w:name="_Toc9583964"/>
      <w:bookmarkStart w:id="426" w:name="_Toc9597671"/>
      <w:bookmarkStart w:id="427" w:name="_Toc13217643"/>
      <w:bookmarkStart w:id="428" w:name="_Toc10202320"/>
      <w:bookmarkStart w:id="429" w:name="_Toc12609915"/>
    </w:p>
    <w:p>
      <w:pPr>
        <w:pStyle w:val="12"/>
        <w:spacing w:before="0" w:beforeAutospacing="0" w:after="0" w:afterAutospacing="0" w:line="400" w:lineRule="exact"/>
        <w:outlineLvl w:val="1"/>
        <w:rPr>
          <w:rFonts w:ascii="黑体" w:hAnsi="黑体" w:eastAsia="黑体" w:cs="Times New Roman"/>
          <w:sz w:val="30"/>
          <w:szCs w:val="30"/>
        </w:rPr>
      </w:pPr>
    </w:p>
    <w:p>
      <w:pPr>
        <w:pStyle w:val="12"/>
        <w:numPr>
          <w:ilvl w:val="0"/>
          <w:numId w:val="3"/>
        </w:numPr>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中国液氯市场行情综述</w:t>
      </w:r>
      <w:bookmarkEnd w:id="419"/>
      <w:bookmarkEnd w:id="420"/>
      <w:bookmarkEnd w:id="421"/>
      <w:bookmarkEnd w:id="422"/>
      <w:bookmarkEnd w:id="423"/>
      <w:bookmarkEnd w:id="424"/>
      <w:bookmarkEnd w:id="425"/>
      <w:bookmarkEnd w:id="426"/>
      <w:bookmarkEnd w:id="427"/>
      <w:bookmarkEnd w:id="428"/>
      <w:bookmarkEnd w:id="429"/>
    </w:p>
    <w:p>
      <w:pPr>
        <w:widowControl/>
        <w:ind w:firstLine="560" w:firstLineChars="200"/>
        <w:jc w:val="left"/>
        <w:rPr>
          <w:rFonts w:hint="eastAsia" w:ascii="仿宋" w:hAnsi="仿宋" w:eastAsia="仿宋" w:cs="仿宋"/>
          <w:sz w:val="28"/>
          <w:szCs w:val="28"/>
        </w:rPr>
      </w:pPr>
      <w:r>
        <w:rPr>
          <w:rFonts w:ascii="仿宋" w:hAnsi="仿宋" w:eastAsia="仿宋" w:cs="Times New Roman"/>
          <w:sz w:val="28"/>
          <w:szCs w:val="28"/>
        </w:rPr>
        <w:t> </w:t>
      </w:r>
      <w:bookmarkStart w:id="430" w:name="_Toc4596905"/>
      <w:bookmarkStart w:id="431" w:name="_Toc4654042"/>
      <w:bookmarkStart w:id="432" w:name="_Toc8313146"/>
      <w:bookmarkStart w:id="433" w:name="_Toc4767077"/>
      <w:bookmarkStart w:id="434" w:name="_Toc8378828"/>
      <w:bookmarkStart w:id="435" w:name="_Toc9597672"/>
      <w:bookmarkStart w:id="436" w:name="_Toc8991666"/>
      <w:bookmarkStart w:id="437" w:name="_Toc9583965"/>
      <w:bookmarkStart w:id="438" w:name="_Toc13217644"/>
      <w:bookmarkStart w:id="439" w:name="_Toc10202321"/>
      <w:bookmarkStart w:id="440" w:name="_Toc12609916"/>
      <w:r>
        <w:rPr>
          <w:rFonts w:hint="eastAsia" w:ascii="仿宋" w:hAnsi="仿宋" w:eastAsia="仿宋" w:cs="仿宋"/>
          <w:sz w:val="28"/>
          <w:szCs w:val="28"/>
        </w:rPr>
        <w:t>本周液氯市场北方高位下跌，南方市场持稳发货为主。</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山东地区本周液氯价格大尺度滑坡，主要受制于山东地区主力耗氯产品环氧丙烷价格快速下降约有1000元/吨，山东省内环氧丙烷厂家迅速减产，液氯需求减少约有1300吨/天，市场需求的减少对中小型企业的采购心理形成利空影响，下游企业采购集中减少，上游碱厂库存迅速升温，碱厂迫于库存问题下调出货价格，今日槽车出货价格已经下调至250-300元/吨，低价促进成交效果显著，预计短期液氯价格暂稳为主，随后清明节假期需要关注下游企业开工以及限行的影响。河北地区本周出现耗氯配套减产，液氯供应增多的迹象，厂家出货承压，河北境内氯化石蜡企业停车较多，需求端表现较差。山西地区本周持稳走货，价格暂无调整，西北地区液氯紧张，部分厂家转向山西地区采购。</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华东地区本周氯碱开工稍有下降，液碱价格偏低打压氯碱负荷，安徽地区液氯供应缩减至450吨/天左右，江苏地区变化不大，日商品量供应在1750-1800吨/天，本周江苏盐海开工低负荷运行中。江西、浙江地区液氯价格盘整出货，但浙江地区甲烷氯化物生产负荷稍有下滑，液氯需求减少，省内自给自足为主。</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河南地区本周开元化工复工，且省内有PVC装置检修，液氯供应增加约有800吨/天，豫北液氯价格下滑约有150元/吨，豫南地区持稳走货。湖北地区来看，当地碱厂开工在7-9成之间，液氯需求同步恢复，场内供需平衡，价格跟随外围上涨。湖南地区自用与管输户开工正常，少量外销。</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西北地区液氯价格本周继续推涨至1000-1050元/吨，且供应紧张，普遍下游提货难，乌海一带耗氯下游基本恢复开车，宁夏地区需求转旺，液氯供应不足，货源紧张，出后价格不断上涨。西南地区四川省内持稳发货。</w:t>
      </w:r>
    </w:p>
    <w:p>
      <w:pPr>
        <w:pStyle w:val="12"/>
        <w:keepNext w:val="0"/>
        <w:keepLines w:val="0"/>
        <w:widowControl/>
        <w:suppressLineNumbers w:val="0"/>
        <w:ind w:left="0" w:firstLine="0"/>
        <w:rPr>
          <w:rFonts w:hint="eastAsia" w:ascii="仿宋" w:hAnsi="仿宋" w:eastAsia="仿宋" w:cs="仿宋"/>
          <w:sz w:val="28"/>
          <w:szCs w:val="28"/>
        </w:rPr>
      </w:pPr>
    </w:p>
    <w:p>
      <w:pPr>
        <w:pStyle w:val="12"/>
        <w:keepNext w:val="0"/>
        <w:keepLines w:val="0"/>
        <w:widowControl/>
        <w:suppressLineNumbers w:val="0"/>
        <w:ind w:left="0" w:firstLine="0"/>
        <w:rPr>
          <w:rFonts w:hint="eastAsia" w:ascii="仿宋" w:hAnsi="仿宋" w:eastAsia="仿宋" w:cs="仿宋"/>
          <w:sz w:val="28"/>
          <w:szCs w:val="28"/>
        </w:rPr>
      </w:pPr>
    </w:p>
    <w:p>
      <w:pPr>
        <w:widowControl/>
        <w:ind w:firstLine="420"/>
        <w:jc w:val="left"/>
        <w:rPr>
          <w:rFonts w:ascii="仿宋" w:hAnsi="仿宋" w:eastAsia="仿宋" w:cs="Times New Roman"/>
          <w:sz w:val="28"/>
          <w:szCs w:val="28"/>
        </w:rPr>
      </w:pPr>
      <w:r>
        <w:rPr>
          <w:rFonts w:hint="eastAsia" w:ascii="仿宋" w:hAnsi="仿宋" w:eastAsia="仿宋" w:cs="仿宋"/>
          <w:sz w:val="28"/>
          <w:szCs w:val="28"/>
        </w:rPr>
        <w:t> </w:t>
      </w:r>
    </w:p>
    <w:p>
      <w:pPr>
        <w:pStyle w:val="12"/>
        <w:numPr>
          <w:ilvl w:val="0"/>
          <w:numId w:val="3"/>
        </w:numPr>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市场价格</w:t>
      </w:r>
      <w:bookmarkEnd w:id="430"/>
      <w:bookmarkEnd w:id="431"/>
      <w:bookmarkEnd w:id="432"/>
      <w:bookmarkEnd w:id="433"/>
      <w:bookmarkEnd w:id="434"/>
      <w:bookmarkEnd w:id="435"/>
      <w:bookmarkEnd w:id="436"/>
      <w:bookmarkEnd w:id="437"/>
      <w:bookmarkEnd w:id="438"/>
      <w:bookmarkEnd w:id="439"/>
      <w:bookmarkEnd w:id="440"/>
      <w:bookmarkStart w:id="441" w:name="_Toc8991667"/>
      <w:bookmarkStart w:id="442" w:name="_Toc9583966"/>
      <w:bookmarkStart w:id="443" w:name="_Toc9597673"/>
      <w:bookmarkStart w:id="444" w:name="_Toc10202322"/>
      <w:bookmarkStart w:id="445" w:name="_Toc13217645"/>
      <w:bookmarkStart w:id="446" w:name="_Toc12609917"/>
    </w:p>
    <w:p>
      <w:pPr>
        <w:pStyle w:val="12"/>
        <w:keepNext w:val="0"/>
        <w:keepLines w:val="0"/>
        <w:widowControl/>
        <w:suppressLineNumbers w:val="0"/>
        <w:ind w:left="0" w:firstLine="0"/>
        <w:rPr>
          <w:rFonts w:hint="eastAsia" w:ascii="仿宋" w:hAnsi="仿宋" w:eastAsia="仿宋" w:cs="仿宋"/>
          <w:sz w:val="28"/>
          <w:szCs w:val="28"/>
          <w:lang w:val="en-US" w:eastAsia="zh-CN"/>
        </w:rPr>
      </w:pPr>
      <w:r>
        <w:rPr>
          <w:rFonts w:ascii="仿宋" w:hAnsi="仿宋" w:eastAsia="仿宋" w:cs="Times New Roman"/>
          <w:sz w:val="28"/>
          <w:szCs w:val="28"/>
        </w:rPr>
        <w:t>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w:t>
      </w:r>
      <w:r>
        <w:rPr>
          <w:rFonts w:hint="eastAsia" w:ascii="仿宋" w:hAnsi="仿宋" w:eastAsia="仿宋" w:cs="仿宋"/>
          <w:sz w:val="28"/>
          <w:szCs w:val="28"/>
          <w:lang w:val="en-US" w:eastAsia="zh-CN"/>
        </w:rPr>
        <w:t>到4月2日发稿，各地区液氯槽车主流出厂价格：</w:t>
      </w:r>
    </w:p>
    <w:p>
      <w:pPr>
        <w:pStyle w:val="12"/>
        <w:keepNext w:val="0"/>
        <w:keepLines w:val="0"/>
        <w:widowControl/>
        <w:suppressLineNumbers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内主流槽车250-300元/吨，河北省内主流槽车执行500-600元/吨；河南省槽车主流出货价格在750-00元/吨均有，钢瓶槽车同价；山西地区槽车出货主流在500元/吨；浙江地区当前槽车出货价格为650-800元/吨均有；安徽、江苏地区槽车出厂800-850元/吨；江西槽车出厂850-900元/吨；辽宁地区槽车出厂500-700元/吨；内蒙液氯槽车1000-1050元/吨；湖北地区少量槽车出厂价格在700-800元/吨；四川地区350-550元/吨，当地高价成交有限。</w:t>
      </w:r>
    </w:p>
    <w:p>
      <w:pPr>
        <w:pStyle w:val="12"/>
        <w:keepNext w:val="0"/>
        <w:keepLines w:val="0"/>
        <w:widowControl/>
        <w:suppressLineNumbers w:val="0"/>
        <w:ind w:left="0" w:firstLine="0"/>
        <w:rPr>
          <w:rFonts w:hint="eastAsia" w:ascii="仿宋" w:hAnsi="仿宋" w:eastAsia="仿宋" w:cs="仿宋"/>
          <w:sz w:val="28"/>
          <w:szCs w:val="28"/>
          <w:lang w:val="en-US" w:eastAsia="zh-CN"/>
        </w:rPr>
      </w:pPr>
    </w:p>
    <w:p>
      <w:pPr>
        <w:pStyle w:val="12"/>
        <w:keepNext w:val="0"/>
        <w:keepLines w:val="0"/>
        <w:widowControl/>
        <w:suppressLineNumbers w:val="0"/>
        <w:ind w:left="0" w:firstLine="0"/>
        <w:rPr>
          <w:rFonts w:hint="eastAsia" w:ascii="仿宋" w:hAnsi="仿宋" w:eastAsia="仿宋" w:cs="仿宋"/>
          <w:sz w:val="28"/>
          <w:szCs w:val="28"/>
        </w:rPr>
      </w:pPr>
    </w:p>
    <w:p>
      <w:pPr>
        <w:widowControl/>
        <w:ind w:firstLine="420"/>
        <w:jc w:val="left"/>
        <w:rPr>
          <w:rFonts w:hint="eastAsia" w:ascii="仿宋" w:hAnsi="仿宋" w:eastAsia="仿宋" w:cs="仿宋"/>
          <w:sz w:val="28"/>
          <w:szCs w:val="28"/>
        </w:rPr>
      </w:pPr>
      <w:r>
        <w:rPr>
          <w:rFonts w:hint="eastAsia" w:ascii="仿宋" w:hAnsi="仿宋" w:eastAsia="仿宋" w:cs="仿宋"/>
          <w:sz w:val="28"/>
          <w:szCs w:val="28"/>
        </w:rPr>
        <w:t> </w:t>
      </w:r>
    </w:p>
    <w:p>
      <w:pPr>
        <w:pStyle w:val="12"/>
        <w:ind w:firstLine="560" w:firstLineChars="200"/>
        <w:rPr>
          <w:rFonts w:hint="eastAsia" w:ascii="仿宋" w:hAnsi="仿宋" w:eastAsia="仿宋" w:cs="Times New Roman"/>
          <w:kern w:val="2"/>
          <w:sz w:val="28"/>
          <w:szCs w:val="28"/>
          <w:lang w:eastAsia="zh-CN"/>
        </w:rPr>
      </w:pPr>
    </w:p>
    <w:p>
      <w:pPr>
        <w:pStyle w:val="12"/>
        <w:spacing w:before="0" w:beforeAutospacing="0" w:after="0" w:afterAutospacing="0" w:line="400" w:lineRule="exact"/>
        <w:ind w:firstLine="600" w:firstLineChars="200"/>
        <w:outlineLvl w:val="1"/>
        <w:rPr>
          <w:rFonts w:ascii="黑体" w:hAnsi="黑体" w:eastAsia="黑体" w:cs="Times New Roman"/>
          <w:sz w:val="30"/>
          <w:szCs w:val="30"/>
        </w:rPr>
      </w:pPr>
      <w:r>
        <w:rPr>
          <w:rFonts w:hint="eastAsia" w:ascii="黑体" w:hAnsi="黑体" w:eastAsia="黑体" w:cs="黑体"/>
          <w:sz w:val="30"/>
          <w:szCs w:val="30"/>
        </w:rPr>
        <w:t>三、</w:t>
      </w:r>
      <w:bookmarkStart w:id="447" w:name="_Toc4654043"/>
      <w:bookmarkStart w:id="448" w:name="_Toc4767078"/>
      <w:bookmarkStart w:id="449" w:name="_Toc8378829"/>
      <w:bookmarkStart w:id="450" w:name="_Toc4596906"/>
      <w:bookmarkStart w:id="451" w:name="_Toc8313147"/>
      <w:r>
        <w:rPr>
          <w:rFonts w:hint="eastAsia" w:ascii="黑体" w:hAnsi="黑体" w:eastAsia="黑体" w:cs="黑体"/>
          <w:sz w:val="30"/>
          <w:szCs w:val="30"/>
        </w:rPr>
        <w:t>山东市场分析</w:t>
      </w:r>
      <w:bookmarkEnd w:id="441"/>
      <w:bookmarkEnd w:id="442"/>
      <w:bookmarkEnd w:id="443"/>
      <w:bookmarkEnd w:id="444"/>
      <w:bookmarkEnd w:id="445"/>
      <w:bookmarkEnd w:id="446"/>
      <w:bookmarkEnd w:id="447"/>
      <w:bookmarkEnd w:id="448"/>
      <w:bookmarkEnd w:id="449"/>
      <w:bookmarkEnd w:id="450"/>
      <w:bookmarkEnd w:id="451"/>
      <w:bookmarkStart w:id="452" w:name="OLE_LINK56"/>
    </w:p>
    <w:bookmarkEnd w:id="452"/>
    <w:p>
      <w:pPr>
        <w:pStyle w:val="12"/>
        <w:ind w:firstLine="560" w:firstLineChars="200"/>
        <w:rPr>
          <w:rFonts w:ascii="仿宋" w:hAnsi="仿宋" w:eastAsia="仿宋" w:cs="Times New Roman"/>
          <w:kern w:val="2"/>
          <w:sz w:val="28"/>
          <w:szCs w:val="28"/>
        </w:rPr>
      </w:pPr>
      <w:bookmarkStart w:id="453" w:name="_Toc8991668"/>
      <w:bookmarkStart w:id="454" w:name="_Toc8378830"/>
      <w:bookmarkStart w:id="455" w:name="_Toc8313148"/>
      <w:bookmarkStart w:id="456" w:name="_Toc9583967"/>
      <w:bookmarkStart w:id="457" w:name="_Toc4767079"/>
      <w:bookmarkStart w:id="458" w:name="_Toc4654044"/>
      <w:bookmarkStart w:id="459" w:name="_Toc4596907"/>
      <w:bookmarkStart w:id="460" w:name="_Toc13217646"/>
      <w:bookmarkStart w:id="461" w:name="_Toc12609918"/>
      <w:bookmarkStart w:id="462" w:name="_Toc10202323"/>
      <w:bookmarkStart w:id="463" w:name="_Toc9597674"/>
      <w:r>
        <w:rPr>
          <w:rFonts w:hint="eastAsia" w:ascii="仿宋" w:hAnsi="仿宋" w:eastAsia="仿宋" w:cs="仿宋"/>
          <w:sz w:val="28"/>
          <w:szCs w:val="28"/>
          <w:lang w:val="en-US" w:eastAsia="zh-CN"/>
        </w:rPr>
        <w:t>山东省内主流槽车250-300元/吨，河北省内主流槽车执行500-600元/吨；河南省槽车主流出货价格在750-00元/吨均有，钢瓶槽车同价；山西地区槽车出货主流在500元/吨；浙江地区当前槽车出货价格为650-800元/吨均有；安徽、江苏地区槽车出厂800-850元/吨；江西槽车出厂850-900元/吨；辽宁地区槽车出厂500-700元/吨；内蒙液氯槽车1000-1050元/吨；湖北地区少量槽车出厂价格在700-800元/吨；四川地区350-550元/吨，当地高价成交有限。</w:t>
      </w:r>
      <w:r>
        <w:rPr>
          <w:rFonts w:ascii="仿宋" w:hAnsi="仿宋" w:eastAsia="仿宋" w:cs="Times New Roman"/>
          <w:kern w:val="2"/>
          <w:sz w:val="28"/>
          <w:szCs w:val="28"/>
        </w:rPr>
        <w:t> </w:t>
      </w:r>
    </w:p>
    <w:p>
      <w:pPr>
        <w:pStyle w:val="12"/>
        <w:ind w:firstLine="560" w:firstLineChars="200"/>
        <w:rPr>
          <w:rFonts w:ascii="仿宋" w:hAnsi="仿宋" w:eastAsia="仿宋" w:cs="Times New Roman"/>
          <w:kern w:val="2"/>
          <w:sz w:val="28"/>
          <w:szCs w:val="28"/>
        </w:rPr>
      </w:pPr>
    </w:p>
    <w:p>
      <w:pPr>
        <w:ind w:firstLine="420"/>
        <w:rPr>
          <w:rFonts w:hint="eastAsia" w:ascii="仿宋" w:hAnsi="仿宋" w:eastAsia="仿宋" w:cs="仿宋"/>
          <w:kern w:val="0"/>
          <w:sz w:val="28"/>
          <w:szCs w:val="28"/>
          <w:lang w:val="en-US" w:eastAsia="zh-CN" w:bidi="ar-SA"/>
        </w:rPr>
      </w:pPr>
      <w:r>
        <w:rPr>
          <w:rFonts w:ascii="Arial" w:hAnsi="Arial" w:cs="Arial"/>
          <w:color w:val="191919"/>
          <w:shd w:val="clear" w:color="auto" w:fill="FFFFFF"/>
        </w:rPr>
        <w:t>  </w:t>
      </w:r>
      <w:r>
        <w:rPr>
          <w:rFonts w:hint="eastAsia" w:ascii="黑体" w:hAnsi="黑体" w:eastAsia="黑体" w:cs="黑体"/>
          <w:sz w:val="30"/>
          <w:szCs w:val="30"/>
        </w:rPr>
        <w:t>四、后市分析</w:t>
      </w:r>
      <w:bookmarkEnd w:id="453"/>
      <w:bookmarkEnd w:id="454"/>
      <w:bookmarkEnd w:id="455"/>
      <w:bookmarkEnd w:id="456"/>
      <w:bookmarkEnd w:id="457"/>
      <w:bookmarkEnd w:id="458"/>
      <w:bookmarkEnd w:id="459"/>
      <w:bookmarkEnd w:id="460"/>
      <w:bookmarkEnd w:id="461"/>
      <w:bookmarkEnd w:id="462"/>
      <w:bookmarkEnd w:id="463"/>
      <w:r>
        <w:rPr>
          <w:rFonts w:ascii="黑体" w:hAnsi="黑体" w:eastAsia="黑体" w:cs="Times New Roman"/>
          <w:sz w:val="30"/>
          <w:szCs w:val="30"/>
        </w:rPr>
        <w:br w:type="textWrapping"/>
      </w:r>
      <w:r>
        <w:rPr>
          <w:rFonts w:ascii="仿宋" w:hAnsi="仿宋" w:eastAsia="仿宋" w:cs="Times New Roman"/>
          <w:sz w:val="28"/>
          <w:szCs w:val="28"/>
        </w:rPr>
        <w:t>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kern w:val="0"/>
          <w:sz w:val="28"/>
          <w:szCs w:val="28"/>
          <w:lang w:val="en-US" w:eastAsia="zh-CN" w:bidi="ar-SA"/>
        </w:rPr>
        <w:t>本周北方地区液氯市场需求减弱，液氯价格下滑，预计整体市场需求端好转的可能不大，大多数耗氯产品不盈利，对液氯价格难有支撑。华东地区本周出货尚可，厂家交投平稳，下周厂家氯碱负荷有下调的可能。后市预测：下周北方地区液氯价格持续波动调整，南方地区液氯出货价格预计持稳。全国液氯市场调整幅度在200-400元/吨之间波动。</w:t>
      </w:r>
    </w:p>
    <w:p>
      <w:pPr>
        <w:pStyle w:val="12"/>
        <w:rPr>
          <w:rFonts w:ascii="仿宋" w:hAnsi="仿宋" w:eastAsia="仿宋" w:cs="Times New Roman"/>
          <w:kern w:val="2"/>
          <w:sz w:val="28"/>
          <w:szCs w:val="28"/>
        </w:rPr>
      </w:pPr>
    </w:p>
    <w:p>
      <w:pPr>
        <w:pStyle w:val="12"/>
        <w:rPr>
          <w:rFonts w:cs="Times New Roman"/>
          <w:color w:val="191919"/>
          <w:sz w:val="21"/>
          <w:szCs w:val="21"/>
        </w:rPr>
      </w:pPr>
      <w:r>
        <w:rPr>
          <w:rFonts w:cs="Times New Roman"/>
          <w:color w:val="191919"/>
          <w:sz w:val="21"/>
          <w:szCs w:val="21"/>
        </w:rPr>
        <w:t> </w:t>
      </w:r>
    </w:p>
    <w:p>
      <w:pPr>
        <w:pStyle w:val="12"/>
        <w:spacing w:before="0" w:beforeAutospacing="0" w:after="0" w:afterAutospacing="0" w:line="400" w:lineRule="exact"/>
        <w:ind w:firstLine="560" w:firstLineChars="200"/>
        <w:outlineLvl w:val="1"/>
        <w:rPr>
          <w:rFonts w:ascii="仿宋" w:hAnsi="仿宋" w:eastAsia="仿宋" w:cs="Times New Roman"/>
          <w:kern w:val="2"/>
          <w:sz w:val="28"/>
          <w:szCs w:val="28"/>
        </w:rPr>
      </w:pPr>
      <w:r>
        <w:rPr>
          <w:rFonts w:ascii="仿宋" w:hAnsi="仿宋" w:eastAsia="仿宋" w:cs="Times New Roman"/>
          <w:kern w:val="2"/>
          <w:sz w:val="28"/>
          <w:szCs w:val="28"/>
        </w:rPr>
        <w:br w:type="textWrapping"/>
      </w:r>
    </w:p>
    <w:p>
      <w:pPr>
        <w:pStyle w:val="12"/>
        <w:ind w:firstLine="602" w:firstLineChars="200"/>
        <w:rPr>
          <w:rFonts w:cs="Times New Roman"/>
          <w:b/>
          <w:bCs/>
          <w:sz w:val="30"/>
          <w:szCs w:val="30"/>
        </w:rPr>
      </w:pPr>
      <w:bookmarkStart w:id="464" w:name="_Toc8313149"/>
      <w:bookmarkStart w:id="465" w:name="_Toc8991669"/>
      <w:bookmarkStart w:id="466" w:name="_Toc8378831"/>
      <w:bookmarkStart w:id="467" w:name="_Toc9597675"/>
      <w:bookmarkStart w:id="468" w:name="_Toc9583968"/>
      <w:bookmarkStart w:id="469" w:name="_Toc12609919"/>
      <w:bookmarkStart w:id="470" w:name="_Toc13217647"/>
      <w:bookmarkStart w:id="471" w:name="_Toc10202324"/>
      <w:bookmarkStart w:id="472" w:name="_Toc4596908"/>
      <w:bookmarkStart w:id="473" w:name="_Toc4654045"/>
      <w:bookmarkStart w:id="474" w:name="_Toc4767080"/>
      <w:r>
        <w:rPr>
          <w:rFonts w:hint="eastAsia"/>
          <w:b/>
          <w:bCs/>
          <w:sz w:val="30"/>
          <w:szCs w:val="30"/>
        </w:rPr>
        <w:t>国内地区市场价格</w:t>
      </w:r>
      <w:bookmarkEnd w:id="417"/>
      <w:bookmarkEnd w:id="418"/>
      <w:bookmarkEnd w:id="464"/>
      <w:bookmarkEnd w:id="465"/>
      <w:bookmarkEnd w:id="466"/>
      <w:bookmarkEnd w:id="467"/>
      <w:bookmarkEnd w:id="468"/>
      <w:bookmarkEnd w:id="469"/>
      <w:bookmarkEnd w:id="470"/>
      <w:bookmarkEnd w:id="471"/>
      <w:bookmarkEnd w:id="472"/>
      <w:bookmarkEnd w:id="473"/>
      <w:bookmarkEnd w:id="474"/>
    </w:p>
    <w:tbl>
      <w:tblPr>
        <w:tblStyle w:val="13"/>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bookmarkStart w:id="475" w:name="_Toc233795926"/>
            <w:bookmarkEnd w:id="475"/>
          </w:p>
          <w:p>
            <w:pPr>
              <w:widowControl/>
              <w:jc w:val="center"/>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hint="eastAsia" w:ascii="宋体" w:eastAsia="宋体" w:cs="Times New Roman"/>
                <w:color w:val="000000"/>
                <w:kern w:val="0"/>
                <w:sz w:val="20"/>
                <w:szCs w:val="20"/>
                <w:lang w:val="en-US" w:eastAsia="zh-CN"/>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26</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80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350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50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650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850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80</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85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lang w:val="en-US" w:eastAsia="zh-CN"/>
              </w:rPr>
              <w:t>0</w:t>
            </w:r>
            <w:r>
              <w:rPr>
                <w:rFonts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lang w:val="en-US" w:eastAsia="zh-CN"/>
              </w:rPr>
              <w:t>8</w:t>
            </w:r>
            <w:r>
              <w:rPr>
                <w:rFonts w:ascii="宋体" w:hAnsi="宋体" w:cs="宋体"/>
                <w:color w:val="000000"/>
                <w:kern w:val="0"/>
                <w:sz w:val="20"/>
                <w:szCs w:val="20"/>
              </w:rPr>
              <w:t>0</w:t>
            </w:r>
            <w:r>
              <w:rPr>
                <w:rFonts w:ascii="宋体" w:cs="宋体"/>
                <w:color w:val="000000"/>
                <w:kern w:val="0"/>
                <w:sz w:val="20"/>
                <w:szCs w:val="20"/>
              </w:rPr>
              <w:t>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400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lang w:val="en-US" w:eastAsia="zh-CN"/>
              </w:rPr>
              <w:t>45</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jc w:val="center"/>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lang w:val="en-US" w:eastAsia="zh-CN"/>
              </w:rPr>
              <w:t>4</w:t>
            </w:r>
            <w:r>
              <w:rPr>
                <w:rFonts w:ascii="宋体" w:hAnsi="宋体" w:cs="宋体"/>
                <w:color w:val="000000"/>
                <w:kern w:val="0"/>
                <w:sz w:val="20"/>
                <w:szCs w:val="20"/>
              </w:rPr>
              <w:t>/</w:t>
            </w:r>
            <w:r>
              <w:rPr>
                <w:rFonts w:hint="eastAsia" w:ascii="宋体" w:hAnsi="宋体" w:cs="宋体"/>
                <w:color w:val="000000"/>
                <w:kern w:val="0"/>
                <w:sz w:val="20"/>
                <w:szCs w:val="20"/>
                <w:lang w:val="en-US" w:eastAsia="zh-CN"/>
              </w:rPr>
              <w:t>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1050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1050</w:t>
            </w:r>
          </w:p>
        </w:tc>
      </w:tr>
    </w:tbl>
    <w:p>
      <w:pPr>
        <w:spacing w:line="400" w:lineRule="exact"/>
        <w:rPr>
          <w:rFonts w:cs="Times New Roman"/>
        </w:rPr>
      </w:pPr>
    </w:p>
    <w:p>
      <w:pPr>
        <w:spacing w:line="400" w:lineRule="exact"/>
        <w:rPr>
          <w:rFonts w:ascii="Arial" w:hAnsi="Arial" w:cs="Arial"/>
          <w:kern w:val="0"/>
        </w:rPr>
      </w:pPr>
    </w:p>
    <w:p>
      <w:pPr>
        <w:spacing w:line="400" w:lineRule="exact"/>
        <w:ind w:firstLine="1600" w:firstLineChars="4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16"/>
          <w:rFonts w:hint="eastAsia" w:ascii="方正粗宋简体" w:eastAsia="方正粗宋简体" w:cs="方正粗宋简体"/>
          <w:spacing w:val="20"/>
          <w:sz w:val="36"/>
          <w:szCs w:val="36"/>
        </w:rPr>
        <w:t>中华商务网</w:t>
      </w:r>
      <w:r>
        <w:rPr>
          <w:rStyle w:val="16"/>
          <w:rFonts w:hint="eastAsia" w:ascii="方正粗宋简体" w:eastAsia="方正粗宋简体" w:cs="方正粗宋简体"/>
          <w:spacing w:val="20"/>
          <w:sz w:val="36"/>
          <w:szCs w:val="36"/>
        </w:rPr>
        <w:fldChar w:fldCharType="end"/>
      </w:r>
    </w:p>
    <w:p>
      <w:pPr>
        <w:spacing w:line="400" w:lineRule="exact"/>
        <w:jc w:val="center"/>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14</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14</w:t>
    </w:r>
    <w:r>
      <w:rPr>
        <w:b/>
        <w:bCs/>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pict>
        <v:shape id="图片 7" o:spid="_x0000_s2049" o:spt="75" alt="内页.jpg" type="#_x0000_t75" style="position:absolute;left:0pt;margin-left:-84.15pt;margin-top:-38.8pt;height:842.25pt;width:594.75pt;z-index:-251656192;mso-width-relative:page;mso-height-relative:page;" filled="f" o:preferrelative="t" stroked="f" coordsize="21600,21600">
          <v:path/>
          <v:fill on="f" focussize="0,0"/>
          <v:stroke on="f" joinstyle="miter"/>
          <v:imagedata r:id="rId1" o:title=""/>
          <o:lock v:ext="edit" aspectratio="t"/>
        </v:shape>
      </w:pict>
    </w:r>
  </w:p>
  <w:p>
    <w:pPr>
      <w:pStyle w:val="8"/>
      <w:pBdr>
        <w:bottom w:val="none" w:color="auto" w:sz="0" w:space="0"/>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9B408"/>
    <w:multiLevelType w:val="singleLevel"/>
    <w:tmpl w:val="8E59B408"/>
    <w:lvl w:ilvl="0" w:tentative="0">
      <w:start w:val="2"/>
      <w:numFmt w:val="chineseCounting"/>
      <w:suff w:val="nothing"/>
      <w:lvlText w:val="%1、"/>
      <w:lvlJc w:val="left"/>
      <w:rPr>
        <w:rFonts w:hint="eastAsia"/>
      </w:rPr>
    </w:lvl>
  </w:abstractNum>
  <w:abstractNum w:abstractNumId="1">
    <w:nsid w:val="AA80BF45"/>
    <w:multiLevelType w:val="singleLevel"/>
    <w:tmpl w:val="AA80BF45"/>
    <w:lvl w:ilvl="0" w:tentative="0">
      <w:start w:val="1"/>
      <w:numFmt w:val="chineseCounting"/>
      <w:suff w:val="nothing"/>
      <w:lvlText w:val="%1、"/>
      <w:lvlJc w:val="left"/>
      <w:rPr>
        <w:rFonts w:hint="eastAsia"/>
      </w:rPr>
    </w:lvl>
  </w:abstractNum>
  <w:abstractNum w:abstractNumId="2">
    <w:nsid w:val="17A37270"/>
    <w:multiLevelType w:val="multilevel"/>
    <w:tmpl w:val="17A37270"/>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2CE3"/>
    <w:rsid w:val="000053FD"/>
    <w:rsid w:val="00010DB4"/>
    <w:rsid w:val="000112E5"/>
    <w:rsid w:val="000154EF"/>
    <w:rsid w:val="000161BE"/>
    <w:rsid w:val="00026A36"/>
    <w:rsid w:val="00034D9D"/>
    <w:rsid w:val="0004320C"/>
    <w:rsid w:val="00045C9C"/>
    <w:rsid w:val="00057044"/>
    <w:rsid w:val="00057676"/>
    <w:rsid w:val="0005772F"/>
    <w:rsid w:val="0006570B"/>
    <w:rsid w:val="00065726"/>
    <w:rsid w:val="0006615F"/>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0FF"/>
    <w:rsid w:val="000B43A4"/>
    <w:rsid w:val="000B7162"/>
    <w:rsid w:val="000C4607"/>
    <w:rsid w:val="000C72ED"/>
    <w:rsid w:val="000C7673"/>
    <w:rsid w:val="000D1869"/>
    <w:rsid w:val="000D33D7"/>
    <w:rsid w:val="000D3DBE"/>
    <w:rsid w:val="000E1971"/>
    <w:rsid w:val="000E26FB"/>
    <w:rsid w:val="000E41C2"/>
    <w:rsid w:val="000F061D"/>
    <w:rsid w:val="000F4985"/>
    <w:rsid w:val="000F4BC2"/>
    <w:rsid w:val="000F582E"/>
    <w:rsid w:val="001055DB"/>
    <w:rsid w:val="00105BD3"/>
    <w:rsid w:val="00105C40"/>
    <w:rsid w:val="001078AB"/>
    <w:rsid w:val="00113EEE"/>
    <w:rsid w:val="001164A9"/>
    <w:rsid w:val="00120F03"/>
    <w:rsid w:val="00123320"/>
    <w:rsid w:val="00125B5F"/>
    <w:rsid w:val="0012620F"/>
    <w:rsid w:val="00135248"/>
    <w:rsid w:val="001364CB"/>
    <w:rsid w:val="00136A19"/>
    <w:rsid w:val="001410DE"/>
    <w:rsid w:val="0014366D"/>
    <w:rsid w:val="0014784B"/>
    <w:rsid w:val="00153176"/>
    <w:rsid w:val="00154128"/>
    <w:rsid w:val="00161430"/>
    <w:rsid w:val="00163783"/>
    <w:rsid w:val="0016388A"/>
    <w:rsid w:val="0016559E"/>
    <w:rsid w:val="00180C42"/>
    <w:rsid w:val="001825CB"/>
    <w:rsid w:val="00190ADA"/>
    <w:rsid w:val="00192B10"/>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3C75"/>
    <w:rsid w:val="004E73EE"/>
    <w:rsid w:val="004E7B26"/>
    <w:rsid w:val="004F1861"/>
    <w:rsid w:val="004F3262"/>
    <w:rsid w:val="004F76E6"/>
    <w:rsid w:val="00500399"/>
    <w:rsid w:val="0050040A"/>
    <w:rsid w:val="005020F8"/>
    <w:rsid w:val="00505022"/>
    <w:rsid w:val="005060EF"/>
    <w:rsid w:val="0050664D"/>
    <w:rsid w:val="00506FA1"/>
    <w:rsid w:val="00507CF3"/>
    <w:rsid w:val="00513273"/>
    <w:rsid w:val="00514979"/>
    <w:rsid w:val="005203DB"/>
    <w:rsid w:val="00523E89"/>
    <w:rsid w:val="005270C8"/>
    <w:rsid w:val="0053120E"/>
    <w:rsid w:val="0053159E"/>
    <w:rsid w:val="0053365B"/>
    <w:rsid w:val="005337DE"/>
    <w:rsid w:val="00533B75"/>
    <w:rsid w:val="00537D9E"/>
    <w:rsid w:val="00543B15"/>
    <w:rsid w:val="00553BB2"/>
    <w:rsid w:val="0056058C"/>
    <w:rsid w:val="005641D1"/>
    <w:rsid w:val="00565264"/>
    <w:rsid w:val="0057264B"/>
    <w:rsid w:val="0057406A"/>
    <w:rsid w:val="005806E8"/>
    <w:rsid w:val="005808B0"/>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53"/>
    <w:rsid w:val="006C43CA"/>
    <w:rsid w:val="006C47AF"/>
    <w:rsid w:val="006C5409"/>
    <w:rsid w:val="006D003B"/>
    <w:rsid w:val="006D1855"/>
    <w:rsid w:val="006D37BF"/>
    <w:rsid w:val="006D6B32"/>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097"/>
    <w:rsid w:val="0076752D"/>
    <w:rsid w:val="00770753"/>
    <w:rsid w:val="007731FD"/>
    <w:rsid w:val="00773E14"/>
    <w:rsid w:val="00774026"/>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B5EC4"/>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3FAD"/>
    <w:rsid w:val="008074F4"/>
    <w:rsid w:val="008125AA"/>
    <w:rsid w:val="008144B6"/>
    <w:rsid w:val="00815E03"/>
    <w:rsid w:val="0082114E"/>
    <w:rsid w:val="00822A25"/>
    <w:rsid w:val="00824742"/>
    <w:rsid w:val="00824FA2"/>
    <w:rsid w:val="00831C9E"/>
    <w:rsid w:val="008342A1"/>
    <w:rsid w:val="00842CA3"/>
    <w:rsid w:val="00846284"/>
    <w:rsid w:val="00850EDB"/>
    <w:rsid w:val="00851423"/>
    <w:rsid w:val="0086256C"/>
    <w:rsid w:val="00863F79"/>
    <w:rsid w:val="00864D7D"/>
    <w:rsid w:val="00865BDE"/>
    <w:rsid w:val="0087043F"/>
    <w:rsid w:val="0087619A"/>
    <w:rsid w:val="00885B66"/>
    <w:rsid w:val="00885E16"/>
    <w:rsid w:val="0089028B"/>
    <w:rsid w:val="00892DB9"/>
    <w:rsid w:val="00892F48"/>
    <w:rsid w:val="00892F70"/>
    <w:rsid w:val="0089332E"/>
    <w:rsid w:val="008A450F"/>
    <w:rsid w:val="008A670B"/>
    <w:rsid w:val="008B7EB0"/>
    <w:rsid w:val="008C0312"/>
    <w:rsid w:val="008C17FA"/>
    <w:rsid w:val="008C26E2"/>
    <w:rsid w:val="008C28FC"/>
    <w:rsid w:val="008D073F"/>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278E"/>
    <w:rsid w:val="00A74680"/>
    <w:rsid w:val="00A82147"/>
    <w:rsid w:val="00A842A6"/>
    <w:rsid w:val="00A8638B"/>
    <w:rsid w:val="00A873D2"/>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2069"/>
    <w:rsid w:val="00AE3F8C"/>
    <w:rsid w:val="00AE5DE8"/>
    <w:rsid w:val="00AF0F65"/>
    <w:rsid w:val="00AF20FE"/>
    <w:rsid w:val="00AF25E1"/>
    <w:rsid w:val="00AF5BF1"/>
    <w:rsid w:val="00B049BC"/>
    <w:rsid w:val="00B05414"/>
    <w:rsid w:val="00B05606"/>
    <w:rsid w:val="00B1158A"/>
    <w:rsid w:val="00B11A21"/>
    <w:rsid w:val="00B142A2"/>
    <w:rsid w:val="00B17B07"/>
    <w:rsid w:val="00B20CBC"/>
    <w:rsid w:val="00B260C3"/>
    <w:rsid w:val="00B34D11"/>
    <w:rsid w:val="00B40A83"/>
    <w:rsid w:val="00B41197"/>
    <w:rsid w:val="00B46E60"/>
    <w:rsid w:val="00B51A50"/>
    <w:rsid w:val="00B52C30"/>
    <w:rsid w:val="00B5300C"/>
    <w:rsid w:val="00B5325A"/>
    <w:rsid w:val="00B60F55"/>
    <w:rsid w:val="00B6114B"/>
    <w:rsid w:val="00B63456"/>
    <w:rsid w:val="00B66A74"/>
    <w:rsid w:val="00B67096"/>
    <w:rsid w:val="00B734BA"/>
    <w:rsid w:val="00B7594B"/>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6D83"/>
    <w:rsid w:val="00BF7D26"/>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3ED4"/>
    <w:rsid w:val="00D043E7"/>
    <w:rsid w:val="00D0593E"/>
    <w:rsid w:val="00D116BB"/>
    <w:rsid w:val="00D14E9C"/>
    <w:rsid w:val="00D205C2"/>
    <w:rsid w:val="00D22E99"/>
    <w:rsid w:val="00D23F9B"/>
    <w:rsid w:val="00D24CD9"/>
    <w:rsid w:val="00D257E5"/>
    <w:rsid w:val="00D27BAE"/>
    <w:rsid w:val="00D32A4D"/>
    <w:rsid w:val="00D36CAE"/>
    <w:rsid w:val="00D36EF5"/>
    <w:rsid w:val="00D3773D"/>
    <w:rsid w:val="00D431F2"/>
    <w:rsid w:val="00D47173"/>
    <w:rsid w:val="00D50CC7"/>
    <w:rsid w:val="00D5399D"/>
    <w:rsid w:val="00D72263"/>
    <w:rsid w:val="00D726A4"/>
    <w:rsid w:val="00D73706"/>
    <w:rsid w:val="00D76C80"/>
    <w:rsid w:val="00D839AE"/>
    <w:rsid w:val="00D865B9"/>
    <w:rsid w:val="00D86AD0"/>
    <w:rsid w:val="00D93F80"/>
    <w:rsid w:val="00D9559B"/>
    <w:rsid w:val="00D96DE5"/>
    <w:rsid w:val="00DA2865"/>
    <w:rsid w:val="00DA39CD"/>
    <w:rsid w:val="00DA4C07"/>
    <w:rsid w:val="00DA5671"/>
    <w:rsid w:val="00DA66D7"/>
    <w:rsid w:val="00DB70BA"/>
    <w:rsid w:val="00DB7174"/>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41AC"/>
    <w:rsid w:val="00E14507"/>
    <w:rsid w:val="00E16F09"/>
    <w:rsid w:val="00E26184"/>
    <w:rsid w:val="00E26B1F"/>
    <w:rsid w:val="00E32EB6"/>
    <w:rsid w:val="00E403E5"/>
    <w:rsid w:val="00E40936"/>
    <w:rsid w:val="00E4253D"/>
    <w:rsid w:val="00E45DBB"/>
    <w:rsid w:val="00E50F72"/>
    <w:rsid w:val="00E51CFA"/>
    <w:rsid w:val="00E51E94"/>
    <w:rsid w:val="00E53C80"/>
    <w:rsid w:val="00E54662"/>
    <w:rsid w:val="00E54C5D"/>
    <w:rsid w:val="00E55032"/>
    <w:rsid w:val="00E6203C"/>
    <w:rsid w:val="00E679A7"/>
    <w:rsid w:val="00E703BA"/>
    <w:rsid w:val="00E70F83"/>
    <w:rsid w:val="00E7238F"/>
    <w:rsid w:val="00E7364E"/>
    <w:rsid w:val="00E745C6"/>
    <w:rsid w:val="00E74E3E"/>
    <w:rsid w:val="00E81B53"/>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62B"/>
    <w:rsid w:val="00F40B0F"/>
    <w:rsid w:val="00F41922"/>
    <w:rsid w:val="00F4206D"/>
    <w:rsid w:val="00F421B4"/>
    <w:rsid w:val="00F50E9F"/>
    <w:rsid w:val="00F52099"/>
    <w:rsid w:val="00F56B77"/>
    <w:rsid w:val="00F5736E"/>
    <w:rsid w:val="00F5787A"/>
    <w:rsid w:val="00F60A0A"/>
    <w:rsid w:val="00F61DEB"/>
    <w:rsid w:val="00F66669"/>
    <w:rsid w:val="00F708E1"/>
    <w:rsid w:val="00F70E4F"/>
    <w:rsid w:val="00F76CD7"/>
    <w:rsid w:val="00F77473"/>
    <w:rsid w:val="00F800D5"/>
    <w:rsid w:val="00F87861"/>
    <w:rsid w:val="00F91123"/>
    <w:rsid w:val="00F91E8D"/>
    <w:rsid w:val="00F93826"/>
    <w:rsid w:val="00F974D5"/>
    <w:rsid w:val="00F97DAE"/>
    <w:rsid w:val="00FA2047"/>
    <w:rsid w:val="00FA6490"/>
    <w:rsid w:val="00FB164A"/>
    <w:rsid w:val="00FB1EDD"/>
    <w:rsid w:val="00FB3554"/>
    <w:rsid w:val="00FB54E9"/>
    <w:rsid w:val="00FB718A"/>
    <w:rsid w:val="00FC26DE"/>
    <w:rsid w:val="00FD138F"/>
    <w:rsid w:val="00FD366D"/>
    <w:rsid w:val="00FD4C8A"/>
    <w:rsid w:val="00FD61D3"/>
    <w:rsid w:val="00FD7572"/>
    <w:rsid w:val="00FD7747"/>
    <w:rsid w:val="00FE2332"/>
    <w:rsid w:val="00FE42AC"/>
    <w:rsid w:val="00FE4912"/>
    <w:rsid w:val="00FE7C37"/>
    <w:rsid w:val="00FF5698"/>
    <w:rsid w:val="00FF6B16"/>
    <w:rsid w:val="01614037"/>
    <w:rsid w:val="01C815C2"/>
    <w:rsid w:val="01D93776"/>
    <w:rsid w:val="01EC6D31"/>
    <w:rsid w:val="01F577B9"/>
    <w:rsid w:val="02176BD3"/>
    <w:rsid w:val="022167D2"/>
    <w:rsid w:val="022E0E86"/>
    <w:rsid w:val="023545E6"/>
    <w:rsid w:val="02483CA8"/>
    <w:rsid w:val="025741D3"/>
    <w:rsid w:val="0259405D"/>
    <w:rsid w:val="025B3962"/>
    <w:rsid w:val="02674E0B"/>
    <w:rsid w:val="02A87A41"/>
    <w:rsid w:val="02C35F1A"/>
    <w:rsid w:val="02CD7F2A"/>
    <w:rsid w:val="032376BD"/>
    <w:rsid w:val="03395DA9"/>
    <w:rsid w:val="036B397B"/>
    <w:rsid w:val="039454F7"/>
    <w:rsid w:val="03F74F5B"/>
    <w:rsid w:val="03FB760D"/>
    <w:rsid w:val="040C03BD"/>
    <w:rsid w:val="04545041"/>
    <w:rsid w:val="045D4337"/>
    <w:rsid w:val="04C83E06"/>
    <w:rsid w:val="05382FEF"/>
    <w:rsid w:val="0543483B"/>
    <w:rsid w:val="054826E6"/>
    <w:rsid w:val="05486BF5"/>
    <w:rsid w:val="05527BDA"/>
    <w:rsid w:val="055C366D"/>
    <w:rsid w:val="0592632F"/>
    <w:rsid w:val="059D0C5B"/>
    <w:rsid w:val="05AA6458"/>
    <w:rsid w:val="05AE0EA7"/>
    <w:rsid w:val="05CB7009"/>
    <w:rsid w:val="05D8436B"/>
    <w:rsid w:val="06870DAC"/>
    <w:rsid w:val="06922C24"/>
    <w:rsid w:val="06BF4FE7"/>
    <w:rsid w:val="06CB3731"/>
    <w:rsid w:val="07740842"/>
    <w:rsid w:val="07773497"/>
    <w:rsid w:val="07DD4E6B"/>
    <w:rsid w:val="080240DB"/>
    <w:rsid w:val="08351D21"/>
    <w:rsid w:val="08A903BD"/>
    <w:rsid w:val="08BC3F7D"/>
    <w:rsid w:val="08C1740A"/>
    <w:rsid w:val="08D0436B"/>
    <w:rsid w:val="09281147"/>
    <w:rsid w:val="093F027C"/>
    <w:rsid w:val="09410D16"/>
    <w:rsid w:val="09593BE6"/>
    <w:rsid w:val="097B6FF1"/>
    <w:rsid w:val="09CE0444"/>
    <w:rsid w:val="09DF4FD2"/>
    <w:rsid w:val="0A1366BF"/>
    <w:rsid w:val="0A152E7E"/>
    <w:rsid w:val="0A2D1211"/>
    <w:rsid w:val="0A66188B"/>
    <w:rsid w:val="0A7C32A0"/>
    <w:rsid w:val="0A841691"/>
    <w:rsid w:val="0AA8524A"/>
    <w:rsid w:val="0B9C51ED"/>
    <w:rsid w:val="0BD71EE3"/>
    <w:rsid w:val="0BEE0FE3"/>
    <w:rsid w:val="0C695DCD"/>
    <w:rsid w:val="0CA66CC1"/>
    <w:rsid w:val="0CB30323"/>
    <w:rsid w:val="0CE73CE2"/>
    <w:rsid w:val="0D4956AC"/>
    <w:rsid w:val="0D6F211C"/>
    <w:rsid w:val="0D7F2DE6"/>
    <w:rsid w:val="0D8E74B5"/>
    <w:rsid w:val="0DDF6DC0"/>
    <w:rsid w:val="0E037EF0"/>
    <w:rsid w:val="0E1378E5"/>
    <w:rsid w:val="0E2813BC"/>
    <w:rsid w:val="0E330069"/>
    <w:rsid w:val="0E5A539A"/>
    <w:rsid w:val="0E9A42BB"/>
    <w:rsid w:val="0F6C01DF"/>
    <w:rsid w:val="0FAD679A"/>
    <w:rsid w:val="0FC9079A"/>
    <w:rsid w:val="0FEF5CB8"/>
    <w:rsid w:val="0FF22D75"/>
    <w:rsid w:val="100148E0"/>
    <w:rsid w:val="101007C5"/>
    <w:rsid w:val="101B49EE"/>
    <w:rsid w:val="104760F9"/>
    <w:rsid w:val="10C922FB"/>
    <w:rsid w:val="116C0DA5"/>
    <w:rsid w:val="11D846FA"/>
    <w:rsid w:val="12DD29B7"/>
    <w:rsid w:val="12E74761"/>
    <w:rsid w:val="12F91650"/>
    <w:rsid w:val="136F5708"/>
    <w:rsid w:val="138C04F1"/>
    <w:rsid w:val="139F4C26"/>
    <w:rsid w:val="13EF32B1"/>
    <w:rsid w:val="140677C1"/>
    <w:rsid w:val="14494DA0"/>
    <w:rsid w:val="146F074D"/>
    <w:rsid w:val="14784453"/>
    <w:rsid w:val="147C5C40"/>
    <w:rsid w:val="148C6287"/>
    <w:rsid w:val="14CE79A3"/>
    <w:rsid w:val="15030BEA"/>
    <w:rsid w:val="15034109"/>
    <w:rsid w:val="152016D6"/>
    <w:rsid w:val="15951836"/>
    <w:rsid w:val="159E1414"/>
    <w:rsid w:val="15C13076"/>
    <w:rsid w:val="15C147C6"/>
    <w:rsid w:val="16001B5A"/>
    <w:rsid w:val="16142C2C"/>
    <w:rsid w:val="164160AE"/>
    <w:rsid w:val="16794E7B"/>
    <w:rsid w:val="16E82364"/>
    <w:rsid w:val="16F54AFF"/>
    <w:rsid w:val="17173AA4"/>
    <w:rsid w:val="17493299"/>
    <w:rsid w:val="17C12A54"/>
    <w:rsid w:val="180F2A86"/>
    <w:rsid w:val="18224EC6"/>
    <w:rsid w:val="1840362C"/>
    <w:rsid w:val="186B591E"/>
    <w:rsid w:val="190E6FE5"/>
    <w:rsid w:val="1911312B"/>
    <w:rsid w:val="191D4EF9"/>
    <w:rsid w:val="193D0AFF"/>
    <w:rsid w:val="1978453B"/>
    <w:rsid w:val="199961DA"/>
    <w:rsid w:val="19C52BBD"/>
    <w:rsid w:val="1A311A98"/>
    <w:rsid w:val="1A552047"/>
    <w:rsid w:val="1A6E6D3E"/>
    <w:rsid w:val="1AAB3465"/>
    <w:rsid w:val="1AB0474F"/>
    <w:rsid w:val="1AB766D3"/>
    <w:rsid w:val="1B1E5671"/>
    <w:rsid w:val="1B3E20F2"/>
    <w:rsid w:val="1B487BD1"/>
    <w:rsid w:val="1BF251FB"/>
    <w:rsid w:val="1C1E7791"/>
    <w:rsid w:val="1C2C1439"/>
    <w:rsid w:val="1C4C0DD0"/>
    <w:rsid w:val="1C530D68"/>
    <w:rsid w:val="1C891F29"/>
    <w:rsid w:val="1C953F06"/>
    <w:rsid w:val="1CBA0992"/>
    <w:rsid w:val="1CDE5D67"/>
    <w:rsid w:val="1D7338A6"/>
    <w:rsid w:val="1DD7185B"/>
    <w:rsid w:val="1DDD3152"/>
    <w:rsid w:val="1E4F567E"/>
    <w:rsid w:val="1E5429AD"/>
    <w:rsid w:val="1EA17D82"/>
    <w:rsid w:val="1EA56EB4"/>
    <w:rsid w:val="1EB26E40"/>
    <w:rsid w:val="1F312568"/>
    <w:rsid w:val="1F43662E"/>
    <w:rsid w:val="1F85078D"/>
    <w:rsid w:val="1FA92C1C"/>
    <w:rsid w:val="1FC65118"/>
    <w:rsid w:val="203175DD"/>
    <w:rsid w:val="203239BF"/>
    <w:rsid w:val="20645B40"/>
    <w:rsid w:val="20B8519B"/>
    <w:rsid w:val="20C22B0F"/>
    <w:rsid w:val="2120667F"/>
    <w:rsid w:val="212577C9"/>
    <w:rsid w:val="2129013A"/>
    <w:rsid w:val="214977FA"/>
    <w:rsid w:val="21E309CC"/>
    <w:rsid w:val="21F062E3"/>
    <w:rsid w:val="22781FE1"/>
    <w:rsid w:val="228C1924"/>
    <w:rsid w:val="231321D1"/>
    <w:rsid w:val="23B3714F"/>
    <w:rsid w:val="244D7E8B"/>
    <w:rsid w:val="248017D2"/>
    <w:rsid w:val="248C0836"/>
    <w:rsid w:val="24E5063A"/>
    <w:rsid w:val="251131AC"/>
    <w:rsid w:val="252E0C75"/>
    <w:rsid w:val="255A3A3C"/>
    <w:rsid w:val="25A726E9"/>
    <w:rsid w:val="26411875"/>
    <w:rsid w:val="264B33E4"/>
    <w:rsid w:val="26B1588A"/>
    <w:rsid w:val="26C2123A"/>
    <w:rsid w:val="26D85F28"/>
    <w:rsid w:val="27192C51"/>
    <w:rsid w:val="275F15A6"/>
    <w:rsid w:val="27DD580C"/>
    <w:rsid w:val="285F0DD4"/>
    <w:rsid w:val="28B71259"/>
    <w:rsid w:val="28E250B0"/>
    <w:rsid w:val="294F6A51"/>
    <w:rsid w:val="299E51AB"/>
    <w:rsid w:val="29BC0DD8"/>
    <w:rsid w:val="29D354ED"/>
    <w:rsid w:val="29ED7A0D"/>
    <w:rsid w:val="2A513500"/>
    <w:rsid w:val="2AD333D3"/>
    <w:rsid w:val="2B0B0E1A"/>
    <w:rsid w:val="2B185B0D"/>
    <w:rsid w:val="2B28757D"/>
    <w:rsid w:val="2B584813"/>
    <w:rsid w:val="2BFA48BC"/>
    <w:rsid w:val="2C4347F7"/>
    <w:rsid w:val="2C794137"/>
    <w:rsid w:val="2CAF0D94"/>
    <w:rsid w:val="2CBE60B3"/>
    <w:rsid w:val="2CC422A3"/>
    <w:rsid w:val="2CFA7183"/>
    <w:rsid w:val="2CFE3CD7"/>
    <w:rsid w:val="2D3F3099"/>
    <w:rsid w:val="2D5C7090"/>
    <w:rsid w:val="2D6E058D"/>
    <w:rsid w:val="2D926C97"/>
    <w:rsid w:val="2DBE47DC"/>
    <w:rsid w:val="2E12121F"/>
    <w:rsid w:val="2E4658C1"/>
    <w:rsid w:val="2E504770"/>
    <w:rsid w:val="2E5D760A"/>
    <w:rsid w:val="2E8621CD"/>
    <w:rsid w:val="2E997E89"/>
    <w:rsid w:val="2EA02B25"/>
    <w:rsid w:val="2EBB4636"/>
    <w:rsid w:val="2F17473F"/>
    <w:rsid w:val="30443666"/>
    <w:rsid w:val="30445BE2"/>
    <w:rsid w:val="304478B7"/>
    <w:rsid w:val="306C68A0"/>
    <w:rsid w:val="31054673"/>
    <w:rsid w:val="31373757"/>
    <w:rsid w:val="317871ED"/>
    <w:rsid w:val="318800B8"/>
    <w:rsid w:val="31A67991"/>
    <w:rsid w:val="32573668"/>
    <w:rsid w:val="327169B3"/>
    <w:rsid w:val="32B413B0"/>
    <w:rsid w:val="32BD5199"/>
    <w:rsid w:val="32DA04F5"/>
    <w:rsid w:val="32DF5292"/>
    <w:rsid w:val="331B49F3"/>
    <w:rsid w:val="33525A0A"/>
    <w:rsid w:val="3386387A"/>
    <w:rsid w:val="33896F89"/>
    <w:rsid w:val="33984B88"/>
    <w:rsid w:val="33C62097"/>
    <w:rsid w:val="33F6199A"/>
    <w:rsid w:val="34BE693E"/>
    <w:rsid w:val="34C23899"/>
    <w:rsid w:val="34DF2DE7"/>
    <w:rsid w:val="34E50B27"/>
    <w:rsid w:val="3588299B"/>
    <w:rsid w:val="35DA7511"/>
    <w:rsid w:val="35E314D0"/>
    <w:rsid w:val="3606082A"/>
    <w:rsid w:val="3612427D"/>
    <w:rsid w:val="36607940"/>
    <w:rsid w:val="3679122E"/>
    <w:rsid w:val="369F6B64"/>
    <w:rsid w:val="36B80F79"/>
    <w:rsid w:val="36E22959"/>
    <w:rsid w:val="3757126C"/>
    <w:rsid w:val="37C67B3A"/>
    <w:rsid w:val="37DA37B0"/>
    <w:rsid w:val="3801773F"/>
    <w:rsid w:val="382617B5"/>
    <w:rsid w:val="38352242"/>
    <w:rsid w:val="38B7769F"/>
    <w:rsid w:val="38DE5926"/>
    <w:rsid w:val="38E24762"/>
    <w:rsid w:val="38FB076B"/>
    <w:rsid w:val="39094032"/>
    <w:rsid w:val="396C2796"/>
    <w:rsid w:val="399223FA"/>
    <w:rsid w:val="3A4D56C0"/>
    <w:rsid w:val="3A65734A"/>
    <w:rsid w:val="3AA77AD9"/>
    <w:rsid w:val="3AE3199B"/>
    <w:rsid w:val="3B751CEA"/>
    <w:rsid w:val="3C6A413D"/>
    <w:rsid w:val="3C791086"/>
    <w:rsid w:val="3CCF420F"/>
    <w:rsid w:val="3CF81306"/>
    <w:rsid w:val="3D010241"/>
    <w:rsid w:val="3D5F6BC7"/>
    <w:rsid w:val="3D6019E2"/>
    <w:rsid w:val="3DC64DA2"/>
    <w:rsid w:val="3DCE207B"/>
    <w:rsid w:val="3DFB79C8"/>
    <w:rsid w:val="3E1F20D1"/>
    <w:rsid w:val="3E3F15FA"/>
    <w:rsid w:val="3E8C1578"/>
    <w:rsid w:val="3E996D0A"/>
    <w:rsid w:val="3E9E4576"/>
    <w:rsid w:val="3EA83A40"/>
    <w:rsid w:val="3EBE0E18"/>
    <w:rsid w:val="3F150C00"/>
    <w:rsid w:val="3F263F12"/>
    <w:rsid w:val="3F6B4D22"/>
    <w:rsid w:val="3F972198"/>
    <w:rsid w:val="3FCA2DCB"/>
    <w:rsid w:val="3FEA1764"/>
    <w:rsid w:val="401477C2"/>
    <w:rsid w:val="40224A29"/>
    <w:rsid w:val="404919BE"/>
    <w:rsid w:val="405465C5"/>
    <w:rsid w:val="407812DD"/>
    <w:rsid w:val="40865790"/>
    <w:rsid w:val="40BE43E7"/>
    <w:rsid w:val="40C62591"/>
    <w:rsid w:val="41BD2E20"/>
    <w:rsid w:val="41ED63ED"/>
    <w:rsid w:val="423C58E6"/>
    <w:rsid w:val="424A6830"/>
    <w:rsid w:val="42643689"/>
    <w:rsid w:val="427F06AC"/>
    <w:rsid w:val="42D3670D"/>
    <w:rsid w:val="42ED2564"/>
    <w:rsid w:val="42F04B90"/>
    <w:rsid w:val="436D793C"/>
    <w:rsid w:val="43BC78EC"/>
    <w:rsid w:val="43CD4F08"/>
    <w:rsid w:val="43D44F9D"/>
    <w:rsid w:val="44151576"/>
    <w:rsid w:val="44574BE4"/>
    <w:rsid w:val="44AC2A64"/>
    <w:rsid w:val="455F61E0"/>
    <w:rsid w:val="456A7115"/>
    <w:rsid w:val="458512A6"/>
    <w:rsid w:val="45EA14EE"/>
    <w:rsid w:val="45F4257A"/>
    <w:rsid w:val="4606352C"/>
    <w:rsid w:val="463B1AAA"/>
    <w:rsid w:val="463F04DF"/>
    <w:rsid w:val="46851492"/>
    <w:rsid w:val="46975AF3"/>
    <w:rsid w:val="469C5DED"/>
    <w:rsid w:val="46E6270B"/>
    <w:rsid w:val="47174E47"/>
    <w:rsid w:val="474F32D6"/>
    <w:rsid w:val="47657879"/>
    <w:rsid w:val="47772291"/>
    <w:rsid w:val="477E37E3"/>
    <w:rsid w:val="478949E3"/>
    <w:rsid w:val="47C03AAC"/>
    <w:rsid w:val="48152FCE"/>
    <w:rsid w:val="48461E10"/>
    <w:rsid w:val="485263FC"/>
    <w:rsid w:val="486C7629"/>
    <w:rsid w:val="48DC2BE3"/>
    <w:rsid w:val="48F51468"/>
    <w:rsid w:val="493577ED"/>
    <w:rsid w:val="493B4C8E"/>
    <w:rsid w:val="49415DBF"/>
    <w:rsid w:val="494324F5"/>
    <w:rsid w:val="49553CAC"/>
    <w:rsid w:val="49632188"/>
    <w:rsid w:val="49646566"/>
    <w:rsid w:val="498F735A"/>
    <w:rsid w:val="49971004"/>
    <w:rsid w:val="49A54C78"/>
    <w:rsid w:val="4A1E5602"/>
    <w:rsid w:val="4A705D29"/>
    <w:rsid w:val="4AC026BD"/>
    <w:rsid w:val="4B392FD5"/>
    <w:rsid w:val="4B697C3A"/>
    <w:rsid w:val="4BA00211"/>
    <w:rsid w:val="4BA14D45"/>
    <w:rsid w:val="4BCD0145"/>
    <w:rsid w:val="4BD13ABF"/>
    <w:rsid w:val="4C386E5E"/>
    <w:rsid w:val="4CE47A3E"/>
    <w:rsid w:val="4CEB2A43"/>
    <w:rsid w:val="4D2852AE"/>
    <w:rsid w:val="4DAF2B52"/>
    <w:rsid w:val="4DD26988"/>
    <w:rsid w:val="4DE70D75"/>
    <w:rsid w:val="4DEA081D"/>
    <w:rsid w:val="4E41582A"/>
    <w:rsid w:val="4E432385"/>
    <w:rsid w:val="4EB77DE7"/>
    <w:rsid w:val="4F2D38A3"/>
    <w:rsid w:val="4F4F6D93"/>
    <w:rsid w:val="4F61091A"/>
    <w:rsid w:val="4F8E2F44"/>
    <w:rsid w:val="4FBD68F8"/>
    <w:rsid w:val="502A390E"/>
    <w:rsid w:val="505121FE"/>
    <w:rsid w:val="5084796D"/>
    <w:rsid w:val="50B97677"/>
    <w:rsid w:val="50D84841"/>
    <w:rsid w:val="510F7E36"/>
    <w:rsid w:val="511B312B"/>
    <w:rsid w:val="51560155"/>
    <w:rsid w:val="516B456F"/>
    <w:rsid w:val="51863E1B"/>
    <w:rsid w:val="519B1BA0"/>
    <w:rsid w:val="51DE5599"/>
    <w:rsid w:val="51EA7D0E"/>
    <w:rsid w:val="51F77181"/>
    <w:rsid w:val="52621F83"/>
    <w:rsid w:val="52656504"/>
    <w:rsid w:val="532B50F8"/>
    <w:rsid w:val="535D6073"/>
    <w:rsid w:val="53F372ED"/>
    <w:rsid w:val="543F4416"/>
    <w:rsid w:val="54A41DDC"/>
    <w:rsid w:val="54C065C1"/>
    <w:rsid w:val="54C70160"/>
    <w:rsid w:val="54CD7148"/>
    <w:rsid w:val="54F619AF"/>
    <w:rsid w:val="54FC014A"/>
    <w:rsid w:val="55233E35"/>
    <w:rsid w:val="5535505F"/>
    <w:rsid w:val="55434DC3"/>
    <w:rsid w:val="55495A6C"/>
    <w:rsid w:val="55597748"/>
    <w:rsid w:val="555C3769"/>
    <w:rsid w:val="55CF5877"/>
    <w:rsid w:val="565551BA"/>
    <w:rsid w:val="56885A23"/>
    <w:rsid w:val="572D0997"/>
    <w:rsid w:val="5751077E"/>
    <w:rsid w:val="57A17572"/>
    <w:rsid w:val="57E56DE8"/>
    <w:rsid w:val="58210661"/>
    <w:rsid w:val="5821275B"/>
    <w:rsid w:val="58B55086"/>
    <w:rsid w:val="58B94825"/>
    <w:rsid w:val="58EB2CF3"/>
    <w:rsid w:val="591C3E8D"/>
    <w:rsid w:val="5948587F"/>
    <w:rsid w:val="595B27F8"/>
    <w:rsid w:val="597A0CF9"/>
    <w:rsid w:val="5A0B28DF"/>
    <w:rsid w:val="5A992B2C"/>
    <w:rsid w:val="5AFB1B92"/>
    <w:rsid w:val="5B047FE2"/>
    <w:rsid w:val="5B501BC4"/>
    <w:rsid w:val="5B5271CD"/>
    <w:rsid w:val="5C0D75D7"/>
    <w:rsid w:val="5C54349C"/>
    <w:rsid w:val="5C7239E0"/>
    <w:rsid w:val="5C9725E4"/>
    <w:rsid w:val="5CE94F9D"/>
    <w:rsid w:val="5CF46AC5"/>
    <w:rsid w:val="5D365FD4"/>
    <w:rsid w:val="5D491E3A"/>
    <w:rsid w:val="5D5010C4"/>
    <w:rsid w:val="5D5521A5"/>
    <w:rsid w:val="5D805323"/>
    <w:rsid w:val="5D8D0F26"/>
    <w:rsid w:val="5D94396F"/>
    <w:rsid w:val="5D94403E"/>
    <w:rsid w:val="5DF83CD8"/>
    <w:rsid w:val="5E180D90"/>
    <w:rsid w:val="5E1E0ACC"/>
    <w:rsid w:val="5E492213"/>
    <w:rsid w:val="5E527EC3"/>
    <w:rsid w:val="5E5C51FF"/>
    <w:rsid w:val="5E665441"/>
    <w:rsid w:val="5E80390B"/>
    <w:rsid w:val="5E8430DB"/>
    <w:rsid w:val="5F296C2A"/>
    <w:rsid w:val="5FB64157"/>
    <w:rsid w:val="5FEC0957"/>
    <w:rsid w:val="5FFE79FF"/>
    <w:rsid w:val="60145E67"/>
    <w:rsid w:val="614B4BC0"/>
    <w:rsid w:val="61557EEB"/>
    <w:rsid w:val="616D01B4"/>
    <w:rsid w:val="61B131C8"/>
    <w:rsid w:val="61C23685"/>
    <w:rsid w:val="61DF6B8E"/>
    <w:rsid w:val="62674E7A"/>
    <w:rsid w:val="628711C7"/>
    <w:rsid w:val="629B181D"/>
    <w:rsid w:val="62A5476F"/>
    <w:rsid w:val="62B3538F"/>
    <w:rsid w:val="62B40821"/>
    <w:rsid w:val="63251CCE"/>
    <w:rsid w:val="632C41E5"/>
    <w:rsid w:val="632E67C9"/>
    <w:rsid w:val="632F0E9F"/>
    <w:rsid w:val="6347127C"/>
    <w:rsid w:val="63711198"/>
    <w:rsid w:val="63D66457"/>
    <w:rsid w:val="6409526A"/>
    <w:rsid w:val="645D6907"/>
    <w:rsid w:val="64761BE9"/>
    <w:rsid w:val="649D217D"/>
    <w:rsid w:val="64DA4F14"/>
    <w:rsid w:val="65142B50"/>
    <w:rsid w:val="65233802"/>
    <w:rsid w:val="65B637F2"/>
    <w:rsid w:val="65BC2C98"/>
    <w:rsid w:val="66803472"/>
    <w:rsid w:val="66A1426F"/>
    <w:rsid w:val="66BA23F6"/>
    <w:rsid w:val="672512E6"/>
    <w:rsid w:val="672D4C66"/>
    <w:rsid w:val="677231B7"/>
    <w:rsid w:val="67D37C61"/>
    <w:rsid w:val="67EF32BF"/>
    <w:rsid w:val="68220F0A"/>
    <w:rsid w:val="687B1AC6"/>
    <w:rsid w:val="689451EC"/>
    <w:rsid w:val="689F0630"/>
    <w:rsid w:val="69332E26"/>
    <w:rsid w:val="693F425F"/>
    <w:rsid w:val="699A6EAB"/>
    <w:rsid w:val="699E3128"/>
    <w:rsid w:val="69AB3883"/>
    <w:rsid w:val="69E960EE"/>
    <w:rsid w:val="6A511A1B"/>
    <w:rsid w:val="6A5942E5"/>
    <w:rsid w:val="6AE23FED"/>
    <w:rsid w:val="6B242E96"/>
    <w:rsid w:val="6B33144F"/>
    <w:rsid w:val="6B391AB4"/>
    <w:rsid w:val="6B6443A0"/>
    <w:rsid w:val="6BC46FCF"/>
    <w:rsid w:val="6BE03119"/>
    <w:rsid w:val="6C0D0AC9"/>
    <w:rsid w:val="6C323D43"/>
    <w:rsid w:val="6C593DD9"/>
    <w:rsid w:val="6D042494"/>
    <w:rsid w:val="6D394FFA"/>
    <w:rsid w:val="6D5C3B68"/>
    <w:rsid w:val="6D79044B"/>
    <w:rsid w:val="6D954BC6"/>
    <w:rsid w:val="6E36087C"/>
    <w:rsid w:val="6E4861B3"/>
    <w:rsid w:val="6E531A13"/>
    <w:rsid w:val="6EC2522B"/>
    <w:rsid w:val="6ED40A7D"/>
    <w:rsid w:val="6F0408C9"/>
    <w:rsid w:val="6F6534EC"/>
    <w:rsid w:val="6F9F5752"/>
    <w:rsid w:val="6FEA13A8"/>
    <w:rsid w:val="6FF4258B"/>
    <w:rsid w:val="70225701"/>
    <w:rsid w:val="702F63A9"/>
    <w:rsid w:val="705B7E7B"/>
    <w:rsid w:val="70663B37"/>
    <w:rsid w:val="70A43BB4"/>
    <w:rsid w:val="70DA78F6"/>
    <w:rsid w:val="70E24EF9"/>
    <w:rsid w:val="718B49CA"/>
    <w:rsid w:val="719533EC"/>
    <w:rsid w:val="71CF1479"/>
    <w:rsid w:val="71E24166"/>
    <w:rsid w:val="71FE3A25"/>
    <w:rsid w:val="72176D98"/>
    <w:rsid w:val="72484353"/>
    <w:rsid w:val="72560B66"/>
    <w:rsid w:val="729F7BB7"/>
    <w:rsid w:val="72AA7E6B"/>
    <w:rsid w:val="72C65AEF"/>
    <w:rsid w:val="734E035F"/>
    <w:rsid w:val="737C45BB"/>
    <w:rsid w:val="73E2393B"/>
    <w:rsid w:val="73EC233E"/>
    <w:rsid w:val="740D406E"/>
    <w:rsid w:val="74394A4C"/>
    <w:rsid w:val="745D4D92"/>
    <w:rsid w:val="74E6353F"/>
    <w:rsid w:val="74FB1FDB"/>
    <w:rsid w:val="75055D70"/>
    <w:rsid w:val="751403C7"/>
    <w:rsid w:val="751C14F6"/>
    <w:rsid w:val="753D18D7"/>
    <w:rsid w:val="75F44536"/>
    <w:rsid w:val="75FC515E"/>
    <w:rsid w:val="76DF0481"/>
    <w:rsid w:val="76F834E6"/>
    <w:rsid w:val="77031636"/>
    <w:rsid w:val="772D2F3E"/>
    <w:rsid w:val="776C4D39"/>
    <w:rsid w:val="778B6DD4"/>
    <w:rsid w:val="77AB311E"/>
    <w:rsid w:val="77C27B37"/>
    <w:rsid w:val="77FB607A"/>
    <w:rsid w:val="780A2C9F"/>
    <w:rsid w:val="78364F56"/>
    <w:rsid w:val="783D79A3"/>
    <w:rsid w:val="78664122"/>
    <w:rsid w:val="78B36915"/>
    <w:rsid w:val="78CE39A2"/>
    <w:rsid w:val="79175E9B"/>
    <w:rsid w:val="791B706C"/>
    <w:rsid w:val="79B31ED1"/>
    <w:rsid w:val="79B96A83"/>
    <w:rsid w:val="79C66977"/>
    <w:rsid w:val="79D8107D"/>
    <w:rsid w:val="79EA39E0"/>
    <w:rsid w:val="7A265B7B"/>
    <w:rsid w:val="7A7F3D81"/>
    <w:rsid w:val="7AB74955"/>
    <w:rsid w:val="7ADE77A7"/>
    <w:rsid w:val="7B5070D7"/>
    <w:rsid w:val="7B5E4B72"/>
    <w:rsid w:val="7B5F5E64"/>
    <w:rsid w:val="7B8C3430"/>
    <w:rsid w:val="7BB66F56"/>
    <w:rsid w:val="7BB74F57"/>
    <w:rsid w:val="7C1A111F"/>
    <w:rsid w:val="7C1E6C20"/>
    <w:rsid w:val="7C3D0B95"/>
    <w:rsid w:val="7C425014"/>
    <w:rsid w:val="7C4922FE"/>
    <w:rsid w:val="7C924462"/>
    <w:rsid w:val="7CC05F6A"/>
    <w:rsid w:val="7CCE4378"/>
    <w:rsid w:val="7CD27F73"/>
    <w:rsid w:val="7CF466D4"/>
    <w:rsid w:val="7D1D2F8B"/>
    <w:rsid w:val="7D670B73"/>
    <w:rsid w:val="7D6A7849"/>
    <w:rsid w:val="7D6C7FAD"/>
    <w:rsid w:val="7D785784"/>
    <w:rsid w:val="7D9A3483"/>
    <w:rsid w:val="7DA63861"/>
    <w:rsid w:val="7DD37D92"/>
    <w:rsid w:val="7DDC21CF"/>
    <w:rsid w:val="7DDD2547"/>
    <w:rsid w:val="7E1A5D65"/>
    <w:rsid w:val="7E3E49D2"/>
    <w:rsid w:val="7E415179"/>
    <w:rsid w:val="7E7E2A4A"/>
    <w:rsid w:val="7EE61C9F"/>
    <w:rsid w:val="7FA75BD1"/>
    <w:rsid w:val="7FF4404C"/>
    <w:rsid w:val="7FF47716"/>
    <w:rsid w:val="7FF861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qFormat/>
    <w:uiPriority w:val="99"/>
    <w:rPr>
      <w:rFonts w:ascii="宋体" w:cs="宋体"/>
      <w:sz w:val="18"/>
      <w:szCs w:val="18"/>
    </w:rPr>
  </w:style>
  <w:style w:type="paragraph" w:styleId="5">
    <w:name w:val="toc 3"/>
    <w:basedOn w:val="1"/>
    <w:next w:val="1"/>
    <w:semiHidden/>
    <w:qFormat/>
    <w:locked/>
    <w:uiPriority w:val="99"/>
    <w:pPr>
      <w:ind w:left="840" w:leftChars="400"/>
    </w:pPr>
  </w:style>
  <w:style w:type="paragraph" w:styleId="6">
    <w:name w:val="Balloon Text"/>
    <w:basedOn w:val="1"/>
    <w:link w:val="20"/>
    <w:semiHidden/>
    <w:qFormat/>
    <w:uiPriority w:val="99"/>
    <w:rPr>
      <w:rFonts w:ascii="Times New Roman" w:hAnsi="Times New Roman" w:cs="Times New Roman"/>
      <w:kern w:val="0"/>
      <w:sz w:val="18"/>
      <w:szCs w:val="18"/>
    </w:rPr>
  </w:style>
  <w:style w:type="paragraph" w:styleId="7">
    <w:name w:val="footer"/>
    <w:basedOn w:val="1"/>
    <w:link w:val="2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1"/>
    <w:basedOn w:val="1"/>
    <w:next w:val="1"/>
    <w:semiHidden/>
    <w:qFormat/>
    <w:uiPriority w:val="99"/>
    <w:pPr>
      <w:tabs>
        <w:tab w:val="right" w:leader="dot" w:pos="9170"/>
      </w:tabs>
      <w:spacing w:before="120" w:after="120"/>
      <w:jc w:val="left"/>
    </w:pPr>
    <w:rPr>
      <w:rFonts w:ascii="宋体" w:hAnsi="宋体" w:cs="宋体"/>
      <w:b/>
      <w:bCs/>
      <w:caps/>
      <w:color w:val="000000"/>
      <w:sz w:val="24"/>
      <w:szCs w:val="24"/>
    </w:rPr>
  </w:style>
  <w:style w:type="paragraph" w:styleId="10">
    <w:name w:val="Subtitle"/>
    <w:basedOn w:val="1"/>
    <w:next w:val="1"/>
    <w:link w:val="23"/>
    <w:qFormat/>
    <w:uiPriority w:val="99"/>
    <w:pPr>
      <w:spacing w:before="240" w:after="60" w:line="312" w:lineRule="auto"/>
      <w:jc w:val="center"/>
      <w:outlineLvl w:val="1"/>
    </w:pPr>
    <w:rPr>
      <w:rFonts w:ascii="Cambria" w:hAnsi="Cambria" w:cs="Cambria"/>
      <w:b/>
      <w:bCs/>
      <w:kern w:val="28"/>
      <w:sz w:val="32"/>
      <w:szCs w:val="32"/>
    </w:rPr>
  </w:style>
  <w:style w:type="paragraph" w:styleId="11">
    <w:name w:val="toc 2"/>
    <w:basedOn w:val="1"/>
    <w:next w:val="1"/>
    <w:semiHidden/>
    <w:qFormat/>
    <w:uiPriority w:val="99"/>
    <w:pPr>
      <w:tabs>
        <w:tab w:val="right" w:leader="dot" w:pos="9170"/>
      </w:tabs>
      <w:spacing w:line="360" w:lineRule="auto"/>
      <w:ind w:left="210"/>
    </w:pPr>
    <w:rPr>
      <w:rFonts w:ascii="宋体" w:hAnsi="宋体" w:cs="宋体"/>
      <w:b/>
      <w:bCs/>
      <w:smallCaps/>
      <w:color w:val="00000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Hyperlink"/>
    <w:basedOn w:val="14"/>
    <w:qFormat/>
    <w:uiPriority w:val="99"/>
    <w:rPr>
      <w:color w:val="0000FF"/>
      <w:u w:val="single"/>
    </w:rPr>
  </w:style>
  <w:style w:type="character" w:customStyle="1" w:styleId="17">
    <w:name w:val="Heading 1 Char"/>
    <w:basedOn w:val="14"/>
    <w:link w:val="2"/>
    <w:qFormat/>
    <w:locked/>
    <w:uiPriority w:val="99"/>
    <w:rPr>
      <w:rFonts w:eastAsia="黑体"/>
      <w:b/>
      <w:bCs/>
      <w:kern w:val="44"/>
      <w:sz w:val="44"/>
      <w:szCs w:val="44"/>
    </w:rPr>
  </w:style>
  <w:style w:type="character" w:customStyle="1" w:styleId="18">
    <w:name w:val="Heading 2 Char"/>
    <w:basedOn w:val="14"/>
    <w:link w:val="3"/>
    <w:qFormat/>
    <w:locked/>
    <w:uiPriority w:val="99"/>
    <w:rPr>
      <w:rFonts w:ascii="Cambria" w:hAnsi="Cambria" w:cs="Cambria"/>
      <w:b/>
      <w:bCs/>
      <w:kern w:val="2"/>
      <w:sz w:val="32"/>
      <w:szCs w:val="32"/>
    </w:rPr>
  </w:style>
  <w:style w:type="character" w:customStyle="1" w:styleId="19">
    <w:name w:val="Document Map Char"/>
    <w:basedOn w:val="14"/>
    <w:link w:val="4"/>
    <w:semiHidden/>
    <w:qFormat/>
    <w:locked/>
    <w:uiPriority w:val="99"/>
    <w:rPr>
      <w:rFonts w:ascii="宋体" w:hAnsi="Calibri" w:cs="宋体"/>
      <w:kern w:val="2"/>
      <w:sz w:val="18"/>
      <w:szCs w:val="18"/>
    </w:rPr>
  </w:style>
  <w:style w:type="character" w:customStyle="1" w:styleId="20">
    <w:name w:val="Balloon Text Char"/>
    <w:basedOn w:val="14"/>
    <w:link w:val="6"/>
    <w:semiHidden/>
    <w:qFormat/>
    <w:locked/>
    <w:uiPriority w:val="99"/>
    <w:rPr>
      <w:sz w:val="18"/>
      <w:szCs w:val="18"/>
    </w:rPr>
  </w:style>
  <w:style w:type="character" w:customStyle="1" w:styleId="21">
    <w:name w:val="Footer Char"/>
    <w:basedOn w:val="14"/>
    <w:link w:val="7"/>
    <w:qFormat/>
    <w:locked/>
    <w:uiPriority w:val="99"/>
    <w:rPr>
      <w:sz w:val="18"/>
      <w:szCs w:val="18"/>
    </w:rPr>
  </w:style>
  <w:style w:type="character" w:customStyle="1" w:styleId="22">
    <w:name w:val="Header Char"/>
    <w:basedOn w:val="14"/>
    <w:link w:val="8"/>
    <w:qFormat/>
    <w:locked/>
    <w:uiPriority w:val="99"/>
    <w:rPr>
      <w:sz w:val="18"/>
      <w:szCs w:val="18"/>
    </w:rPr>
  </w:style>
  <w:style w:type="character" w:customStyle="1" w:styleId="23">
    <w:name w:val="Subtitle Char"/>
    <w:basedOn w:val="14"/>
    <w:link w:val="10"/>
    <w:qFormat/>
    <w:locked/>
    <w:uiPriority w:val="99"/>
    <w:rPr>
      <w:rFonts w:ascii="Cambria" w:hAnsi="Cambria" w:cs="Cambria"/>
      <w:b/>
      <w:bCs/>
      <w:kern w:val="28"/>
      <w:sz w:val="32"/>
      <w:szCs w:val="32"/>
    </w:rPr>
  </w:style>
  <w:style w:type="paragraph" w:customStyle="1" w:styleId="24">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25">
    <w:name w:val="txt4"/>
    <w:basedOn w:val="14"/>
    <w:qFormat/>
    <w:uiPriority w:val="99"/>
  </w:style>
  <w:style w:type="paragraph" w:customStyle="1" w:styleId="26">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27">
    <w:name w:val="列出段落1"/>
    <w:basedOn w:val="1"/>
    <w:qFormat/>
    <w:uiPriority w:val="99"/>
    <w:pPr>
      <w:ind w:firstLine="420" w:firstLineChars="200"/>
    </w:pPr>
  </w:style>
  <w:style w:type="character" w:customStyle="1" w:styleId="28">
    <w:name w:val="apple-converted-space"/>
    <w:basedOn w:val="14"/>
    <w:qFormat/>
    <w:uiPriority w:val="99"/>
  </w:style>
  <w:style w:type="paragraph" w:styleId="29">
    <w:name w:val="No Spacing"/>
    <w:link w:val="30"/>
    <w:qFormat/>
    <w:uiPriority w:val="99"/>
    <w:rPr>
      <w:rFonts w:ascii="Calibri" w:hAnsi="Calibri" w:eastAsia="宋体" w:cs="Calibri"/>
      <w:kern w:val="0"/>
      <w:sz w:val="22"/>
      <w:szCs w:val="22"/>
      <w:lang w:val="en-US" w:eastAsia="zh-CN" w:bidi="ar-SA"/>
    </w:rPr>
  </w:style>
  <w:style w:type="character" w:customStyle="1" w:styleId="30">
    <w:name w:val="No Spacing Char"/>
    <w:basedOn w:val="14"/>
    <w:link w:val="29"/>
    <w:qFormat/>
    <w:locked/>
    <w:uiPriority w:val="99"/>
    <w:rPr>
      <w:rFonts w:ascii="Calibri" w:hAnsi="Calibri" w:eastAsia="宋体" w:cs="Calibri"/>
      <w:sz w:val="22"/>
      <w:szCs w:val="22"/>
      <w:lang w:val="en-US" w:eastAsia="zh-CN"/>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877</Words>
  <Characters>5003</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Administrator</cp:lastModifiedBy>
  <dcterms:modified xsi:type="dcterms:W3CDTF">2020-04-03T06:11:47Z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