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bookmarkStart w:id="32" w:name="_GoBack"/>
      <w:r>
        <w:pict>
          <v:shape id="图片 1" o:spid="_x0000_s1027" o:spt="75" alt="封面.jpg" type="#_x0000_t75" style="position:absolute;left:0pt;margin-left:-55.9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End w:id="32"/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3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auto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-66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6250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sz w:val="28"/>
                <w:szCs w:val="28"/>
              </w:rPr>
              <w:t>0/0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24.75pt;width:454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29.25pt;width:463.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1404317"/>
      <w:bookmarkStart w:id="10" w:name="_Toc210271050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/>
    <w:p>
      <w:pPr>
        <w:tabs>
          <w:tab w:val="left" w:pos="1342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eastAsia="zh-CN"/>
        </w:rPr>
        <w:t>本周，</w:t>
      </w:r>
      <w:r>
        <w:rPr>
          <w:rFonts w:hint="eastAsia" w:cs="宋体"/>
          <w:lang w:val="en-US" w:eastAsia="zh-CN"/>
        </w:rPr>
        <w:t>国内苯酚市场</w:t>
      </w:r>
      <w:r>
        <w:rPr>
          <w:rFonts w:hint="eastAsia" w:cs="宋体"/>
          <w:lang w:eastAsia="zh-CN"/>
        </w:rPr>
        <w:t>行情波动，成交气氛安静，下游需求也无明显好转，苯酚仍处于过剩状态，原油又不断走跌，缺乏新消息面，贸易商持稳操作。</w:t>
      </w:r>
      <w:r>
        <w:rPr>
          <w:rFonts w:hint="eastAsia" w:cs="宋体"/>
          <w:lang w:val="en-US" w:eastAsia="zh-CN"/>
        </w:rPr>
        <w:t>华东地区市场价格参考在</w:t>
      </w:r>
      <w:r>
        <w:rPr>
          <w:rFonts w:hint="eastAsia" w:cs="宋体"/>
          <w:lang w:eastAsia="zh-CN"/>
        </w:rPr>
        <w:t>6200</w:t>
      </w:r>
      <w:r>
        <w:rPr>
          <w:rFonts w:hint="eastAsia" w:cs="宋体"/>
          <w:lang w:val="en-US" w:eastAsia="zh-CN"/>
        </w:rPr>
        <w:t>元/吨，华南地区市场价格参考在</w:t>
      </w:r>
      <w:r>
        <w:rPr>
          <w:rFonts w:hint="eastAsia" w:cs="宋体"/>
          <w:lang w:eastAsia="zh-CN"/>
        </w:rPr>
        <w:t>6500-6550</w:t>
      </w:r>
      <w:r>
        <w:rPr>
          <w:rFonts w:hint="eastAsia" w:cs="宋体"/>
          <w:lang w:val="en-US" w:eastAsia="zh-CN"/>
        </w:rPr>
        <w:t>元/吨，华北地区市场价格参考在</w:t>
      </w:r>
      <w:r>
        <w:rPr>
          <w:rFonts w:hint="eastAsia" w:cs="宋体"/>
          <w:lang w:eastAsia="zh-CN"/>
        </w:rPr>
        <w:t>6300-6400</w:t>
      </w:r>
      <w:r>
        <w:rPr>
          <w:rFonts w:hint="eastAsia" w:cs="宋体"/>
          <w:lang w:val="en-US" w:eastAsia="zh-CN"/>
        </w:rPr>
        <w:t>元/吨附近。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重点市场行情分述：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华东苯酚市场僵持盘整，场内仍缺乏利好，贸易商心态平和，截止本周末，当地主流参考价格在</w:t>
      </w:r>
      <w:r>
        <w:rPr>
          <w:rFonts w:hint="eastAsia" w:cs="宋体"/>
          <w:lang w:eastAsia="zh-CN"/>
        </w:rPr>
        <w:t>6200</w:t>
      </w:r>
      <w:r>
        <w:rPr>
          <w:rFonts w:hint="eastAsia" w:cs="宋体"/>
          <w:lang w:val="en-US" w:eastAsia="zh-CN"/>
        </w:rPr>
        <w:t>元/吨附近，下游刚需询盘，实单成交有限可商谈，低价有听闻。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华南地区苯酚市场延续偏弱，原油连续走跌至低位，场内利好难寻，贸易商及工厂出货滞缓，但也无新利空，截止本周末，当地主流参考价格在</w:t>
      </w:r>
      <w:r>
        <w:rPr>
          <w:rFonts w:hint="eastAsia" w:cs="宋体"/>
          <w:lang w:eastAsia="zh-CN"/>
        </w:rPr>
        <w:t>6500-6550</w:t>
      </w:r>
      <w:r>
        <w:rPr>
          <w:rFonts w:hint="eastAsia" w:cs="宋体"/>
          <w:lang w:val="en-US" w:eastAsia="zh-CN"/>
        </w:rPr>
        <w:t>元/吨整理。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燕山周边地区苯酚市场持稳整理，买气好转有限，缺乏利好支撑，贸易商心态平平，随行就市操作，截止本周末，当地主流参考价格在</w:t>
      </w:r>
      <w:r>
        <w:rPr>
          <w:rFonts w:hint="eastAsia" w:cs="宋体"/>
          <w:lang w:eastAsia="zh-CN"/>
        </w:rPr>
        <w:t>6300-6400</w:t>
      </w:r>
      <w:r>
        <w:rPr>
          <w:rFonts w:hint="eastAsia" w:cs="宋体"/>
          <w:lang w:val="en-US" w:eastAsia="zh-CN"/>
        </w:rPr>
        <w:t>元/吨，实单刚需。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62" w:firstLineChars="200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后市预测：苯酚向好不易，预计偏弱震荡整理。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-44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2020-03-17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2020/3/19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2020/3/20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29.25pt;width:462.7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27.75pt;width:465.7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本周，</w:t>
      </w:r>
      <w:r>
        <w:rPr>
          <w:rFonts w:hint="eastAsia" w:cs="宋体"/>
          <w:lang w:val="en-US" w:eastAsia="zh-CN"/>
        </w:rPr>
        <w:t>国内丙酮市场</w:t>
      </w:r>
      <w:r>
        <w:rPr>
          <w:rFonts w:hint="eastAsia" w:cs="宋体"/>
        </w:rPr>
        <w:t>居高</w:t>
      </w:r>
      <w:r>
        <w:rPr>
          <w:rFonts w:hint="eastAsia" w:cs="宋体"/>
          <w:lang w:eastAsia="zh-CN"/>
        </w:rPr>
        <w:t>盘整</w:t>
      </w:r>
      <w:r>
        <w:rPr>
          <w:rFonts w:hint="eastAsia" w:cs="宋体"/>
        </w:rPr>
        <w:t>，下游异丙醇的看涨情绪仍存，给予丙酮贸易商信心支撑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</w:rPr>
        <w:t>国内工厂也纷纷报盘补涨，助推市场</w:t>
      </w:r>
      <w:r>
        <w:rPr>
          <w:rFonts w:hint="eastAsia" w:cs="宋体"/>
          <w:lang w:eastAsia="zh-CN"/>
        </w:rPr>
        <w:t>，但</w:t>
      </w:r>
      <w:r>
        <w:rPr>
          <w:rFonts w:hint="eastAsia" w:cs="宋体"/>
        </w:rPr>
        <w:t>成本面支撑不强，下游继续追高也稍显谨慎。</w:t>
      </w:r>
      <w:r>
        <w:rPr>
          <w:rFonts w:hint="eastAsia" w:cs="宋体"/>
          <w:lang w:val="en-US" w:eastAsia="zh-CN"/>
        </w:rPr>
        <w:t>华东地区参考价格</w:t>
      </w:r>
      <w:r>
        <w:rPr>
          <w:rFonts w:hint="eastAsia" w:cs="宋体"/>
        </w:rPr>
        <w:t>4550</w:t>
      </w:r>
      <w:r>
        <w:rPr>
          <w:rFonts w:hint="eastAsia" w:cs="宋体"/>
          <w:lang w:val="en-US" w:eastAsia="zh-CN"/>
        </w:rPr>
        <w:t>元/吨，华南地区参考价格</w:t>
      </w:r>
      <w:r>
        <w:rPr>
          <w:rFonts w:hint="eastAsia" w:cs="宋体"/>
        </w:rPr>
        <w:t>4900</w:t>
      </w:r>
      <w:r>
        <w:rPr>
          <w:rFonts w:hint="eastAsia" w:cs="宋体"/>
          <w:lang w:val="en-US" w:eastAsia="zh-CN"/>
        </w:rPr>
        <w:t>元/吨，华北地区参考价格</w:t>
      </w:r>
      <w:r>
        <w:rPr>
          <w:rFonts w:hint="eastAsia" w:cs="宋体"/>
        </w:rPr>
        <w:t>4650</w:t>
      </w:r>
      <w:r>
        <w:rPr>
          <w:rFonts w:hint="eastAsia" w:cs="宋体"/>
          <w:lang w:val="en-US" w:eastAsia="zh-CN"/>
        </w:rPr>
        <w:t>元/吨，实单实谈。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华东丙酮市场报盘继续推高，贸易商心态向好，低价惜售情绪浓，截止本周末，当地主流参考价格在</w:t>
      </w:r>
      <w:r>
        <w:rPr>
          <w:rFonts w:hint="eastAsia" w:cs="宋体"/>
        </w:rPr>
        <w:t>4550</w:t>
      </w:r>
      <w:r>
        <w:rPr>
          <w:rFonts w:hint="eastAsia" w:cs="宋体"/>
          <w:lang w:val="en-US" w:eastAsia="zh-CN"/>
        </w:rPr>
        <w:t>元/吨。下游买盘跟高逐渐谨慎，实单有限。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华南地区丙酮市场行情居高，贸易商挺价情绪仍浓，下游刚需随用随拿，买盘积极性一般，实单低寻不易，截止本周末，当地主流参考价格在</w:t>
      </w:r>
      <w:r>
        <w:rPr>
          <w:rFonts w:hint="eastAsia" w:cs="宋体"/>
        </w:rPr>
        <w:t>4900</w:t>
      </w:r>
      <w:r>
        <w:rPr>
          <w:rFonts w:hint="eastAsia" w:cs="宋体"/>
          <w:lang w:val="en-US" w:eastAsia="zh-CN"/>
        </w:rPr>
        <w:t>元/吨附近。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default" w:cs="宋体"/>
          <w:lang w:val="en-US" w:eastAsia="zh-CN"/>
        </w:rPr>
        <w:t>燕山周边丙酮市场重心上涨，工厂报盘调涨，贸易商也纷纷跟进，随行就市，低价难寻，</w:t>
      </w:r>
      <w:r>
        <w:rPr>
          <w:rFonts w:hint="eastAsia" w:cs="宋体"/>
          <w:lang w:val="en-US" w:eastAsia="zh-CN"/>
        </w:rPr>
        <w:t>截止本周末，当地主流参考价格在</w:t>
      </w:r>
      <w:r>
        <w:rPr>
          <w:rFonts w:hint="eastAsia" w:cs="宋体"/>
        </w:rPr>
        <w:t>4650</w:t>
      </w:r>
      <w:r>
        <w:rPr>
          <w:rFonts w:hint="default" w:cs="宋体"/>
          <w:lang w:val="en-US" w:eastAsia="zh-CN"/>
        </w:rPr>
        <w:t>元/吨，刚需成交为主。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eastAsia="zh-CN"/>
        </w:rPr>
        <w:t>后市预测：</w:t>
      </w:r>
      <w:r>
        <w:rPr>
          <w:rFonts w:hint="eastAsia" w:cs="宋体"/>
        </w:rPr>
        <w:t>短期内上推势头仍存</w:t>
      </w:r>
      <w:r>
        <w:rPr>
          <w:rFonts w:hint="eastAsia" w:cs="宋体"/>
          <w:lang w:eastAsia="zh-CN"/>
        </w:rPr>
        <w:t>，预计</w:t>
      </w:r>
      <w:r>
        <w:rPr>
          <w:rFonts w:hint="eastAsia" w:cs="宋体"/>
        </w:rPr>
        <w:t>保持坚挺格局。</w:t>
      </w: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8DB3F7D"/>
    <w:rsid w:val="3B8A7910"/>
    <w:rsid w:val="3EB536C2"/>
    <w:rsid w:val="4239204B"/>
    <w:rsid w:val="424719A2"/>
    <w:rsid w:val="47104538"/>
    <w:rsid w:val="48605940"/>
    <w:rsid w:val="4B745231"/>
    <w:rsid w:val="4EDA5294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4403FD6"/>
    <w:rsid w:val="65B13D8B"/>
    <w:rsid w:val="66773130"/>
    <w:rsid w:val="67FC2A80"/>
    <w:rsid w:val="6ED370DA"/>
    <w:rsid w:val="73581DA5"/>
    <w:rsid w:val="743124A1"/>
    <w:rsid w:val="753917AC"/>
    <w:rsid w:val="76836767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2020-03-20T05:25:19Z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