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30057359"/>
                  <w:bookmarkStart w:id="24" w:name="_Toc522179796"/>
                  <w:bookmarkStart w:id="25" w:name="_Toc530728485"/>
                  <w:bookmarkStart w:id="26" w:name="_Toc512001762"/>
                  <w:bookmarkStart w:id="27" w:name="_Toc520381693"/>
                  <w:bookmarkStart w:id="28" w:name="_Toc528332594"/>
                  <w:bookmarkStart w:id="29" w:name="_Toc521053860"/>
                  <w:bookmarkStart w:id="30" w:name="_Toc519865236"/>
                  <w:bookmarkStart w:id="31" w:name="_Toc528222492"/>
                  <w:bookmarkStart w:id="32" w:name="_Toc508369676"/>
                  <w:bookmarkStart w:id="33" w:name="_Toc519147013"/>
                  <w:bookmarkStart w:id="34" w:name="_Toc527035872"/>
                  <w:bookmarkStart w:id="35" w:name="_Toc512520694"/>
                  <w:bookmarkStart w:id="36" w:name="_Toc530147840"/>
                  <w:bookmarkStart w:id="37" w:name="_Toc527640818"/>
                  <w:bookmarkStart w:id="38" w:name="_Toc510190825"/>
                  <w:bookmarkStart w:id="39" w:name="_Toc531271720"/>
                  <w:bookmarkStart w:id="40" w:name="_Toc510190043"/>
                  <w:bookmarkStart w:id="41" w:name="_Toc531854138"/>
                  <w:bookmarkStart w:id="42" w:name="_Toc522285450"/>
                  <w:bookmarkStart w:id="43" w:name="_Toc508960595"/>
                  <w:bookmarkStart w:id="44" w:name="_Toc509582478"/>
                  <w:bookmarkStart w:id="45" w:name="_Toc514329181"/>
                  <w:bookmarkStart w:id="46" w:name="_Toc517427833"/>
                  <w:bookmarkStart w:id="47" w:name="_Toc521586415"/>
                  <w:bookmarkStart w:id="48" w:name="_Toc532566849"/>
                  <w:bookmarkStart w:id="49" w:name="_Toc513728505"/>
                  <w:bookmarkStart w:id="50" w:name="_Toc525913129"/>
                  <w:bookmarkStart w:id="51" w:name="_Toc513211123"/>
                  <w:bookmarkStart w:id="52" w:name="_Toc508975637"/>
                  <w:bookmarkStart w:id="53" w:name="_Toc513728611"/>
                  <w:bookmarkStart w:id="54" w:name="_Toc504140101"/>
                  <w:bookmarkStart w:id="55" w:name="_Toc517448405"/>
                  <w:bookmarkStart w:id="56" w:name="_Toc515611913"/>
                  <w:bookmarkStart w:id="57" w:name="_Toc513816736"/>
                  <w:bookmarkStart w:id="58" w:name="_Toc529541800"/>
                  <w:bookmarkStart w:id="59" w:name="_Toc521051959"/>
                  <w:bookmarkStart w:id="60" w:name="_Toc518650435"/>
                  <w:bookmarkStart w:id="61" w:name="_Toc511397199"/>
                  <w:bookmarkStart w:id="62" w:name="_Toc523494890"/>
                  <w:bookmarkStart w:id="63" w:name="_Toc504057445"/>
                  <w:bookmarkStart w:id="64" w:name="_Toc518051249"/>
                  <w:bookmarkStart w:id="65" w:name="_Toc531358358"/>
                  <w:bookmarkStart w:id="66" w:name="_Toc505347182"/>
                  <w:bookmarkStart w:id="67" w:name="_Toc533083465"/>
                  <w:bookmarkStart w:id="68" w:name="_Toc516819989"/>
                  <w:bookmarkStart w:id="69" w:name="_Toc522890290"/>
                  <w:bookmarkStart w:id="70" w:name="_Toc531943255"/>
                  <w:bookmarkStart w:id="71" w:name="_Toc511290048"/>
                  <w:bookmarkStart w:id="72" w:name="_Toc523991798"/>
                  <w:bookmarkStart w:id="73" w:name="_Toc507665368"/>
                  <w:bookmarkStart w:id="74" w:name="_Toc505261402"/>
                  <w:bookmarkStart w:id="75" w:name="_Toc513123883"/>
                  <w:bookmarkStart w:id="76" w:name="_Toc515027608"/>
                  <w:bookmarkStart w:id="77" w:name="_Toc533168359"/>
                  <w:bookmarkStart w:id="78" w:name="_Toc527037029"/>
                  <w:bookmarkStart w:id="79" w:name="_Toc510166278"/>
                  <w:bookmarkStart w:id="80" w:name="_Toc518548545"/>
                  <w:bookmarkStart w:id="81" w:name="_Toc527123553"/>
                  <w:bookmarkStart w:id="82" w:name="_Toc529455508"/>
                  <w:bookmarkStart w:id="83" w:name="_Toc508267081"/>
                  <w:bookmarkStart w:id="84" w:name="_Toc507769000"/>
                  <w:bookmarkStart w:id="85" w:name="_Toc514921969"/>
                  <w:bookmarkStart w:id="86" w:name="_Toc530751847"/>
                  <w:bookmarkStart w:id="87" w:name="_Toc504123327"/>
                  <w:bookmarkStart w:id="88" w:name="_Toc504744209"/>
                  <w:bookmarkStart w:id="89" w:name="_Toc521075423"/>
                  <w:bookmarkStart w:id="90" w:name="_Toc512606000"/>
                  <w:bookmarkStart w:id="91" w:name="_Toc530149342"/>
                  <w:bookmarkStart w:id="92" w:name="_Toc518651973"/>
                  <w:bookmarkStart w:id="93" w:name="_Toc533674480"/>
                  <w:bookmarkStart w:id="94" w:name="_Toc527728174"/>
                  <w:bookmarkStart w:id="95" w:name="_Toc515633934"/>
                  <w:bookmarkStart w:id="96" w:name="_Toc520452528"/>
                  <w:bookmarkStart w:id="97" w:name="_Toc524704217"/>
                  <w:bookmarkStart w:id="98" w:name="_Toc524334722"/>
                  <w:bookmarkStart w:id="99" w:name="_Toc511898980"/>
                  <w:bookmarkStart w:id="100" w:name="_Toc1132017"/>
                  <w:bookmarkStart w:id="101" w:name="_Toc528913994"/>
                  <w:bookmarkStart w:id="102" w:name="_Toc521679472"/>
                  <w:bookmarkStart w:id="103" w:name="_Toc519842315"/>
                  <w:bookmarkStart w:id="104" w:name="_Toc516841874"/>
                  <w:bookmarkStart w:id="105" w:name="_Toc504651767"/>
                  <w:bookmarkStart w:id="106" w:name="_Toc511375612"/>
                  <w:bookmarkStart w:id="107" w:name="_Toc525309223"/>
                  <w:bookmarkStart w:id="108" w:name="_Toc523381108"/>
                  <w:bookmarkStart w:id="109" w:name="_Toc534383436"/>
                  <w:bookmarkStart w:id="110" w:name="_Toc516237036"/>
                  <w:bookmarkStart w:id="111" w:name="_Toc528936986"/>
                  <w:bookmarkStart w:id="112" w:name="_Toc512521225"/>
                  <w:bookmarkStart w:id="113" w:name="_Toc520366056"/>
                  <w:bookmarkStart w:id="114" w:name="_Toc533777202"/>
                  <w:bookmarkStart w:id="115" w:name="_Toc517965461"/>
                  <w:bookmarkStart w:id="116" w:name="_Toc533167784"/>
                  <w:bookmarkStart w:id="117" w:name="_Toc514422624"/>
                  <w:bookmarkStart w:id="118" w:name="_Toc515612471"/>
                  <w:bookmarkStart w:id="119" w:name="_Toc513118842"/>
                  <w:bookmarkStart w:id="120" w:name="_Toc505947794"/>
                  <w:bookmarkStart w:id="121" w:name="_Toc519258206"/>
                  <w:bookmarkStart w:id="122" w:name="_Toc509574325"/>
                  <w:r>
                    <w:rPr>
                      <w:kern w:val="2"/>
                    </w:rPr>
                    <w:t>20</w:t>
                  </w:r>
                  <w:r>
                    <w:rPr>
                      <w:rFonts w:hint="eastAsia"/>
                      <w:kern w:val="2"/>
                      <w:lang w:val="en-US" w:eastAsia="zh-CN"/>
                    </w:rPr>
                    <w:t>20</w:t>
                  </w:r>
                  <w:r>
                    <w:rPr>
                      <w:kern w:val="2"/>
                    </w:rPr>
                    <w:t>.</w:t>
                  </w:r>
                  <w:r>
                    <w:rPr>
                      <w:rFonts w:hint="eastAsia"/>
                      <w:kern w:val="2"/>
                      <w:lang w:val="en-US" w:eastAsia="zh-CN"/>
                    </w:rPr>
                    <w:t>2</w:t>
                  </w:r>
                  <w:r>
                    <w:rPr>
                      <w:kern w:val="2"/>
                    </w:rPr>
                    <w:t>.</w:t>
                  </w:r>
                  <w:bookmarkEnd w:id="22"/>
                  <w:r>
                    <w:rPr>
                      <w:rFonts w:hint="eastAsia"/>
                      <w:kern w:val="2"/>
                      <w:lang w:val="en-US" w:eastAsia="zh-CN"/>
                    </w:rPr>
                    <w:t>26</w:t>
                  </w:r>
                  <w:r>
                    <w:rPr>
                      <w:kern w:val="2"/>
                    </w:rPr>
                    <w:t>-</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28</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_Toc26091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_Toc26091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_Toc26178 </w:instrText>
      </w:r>
      <w:r>
        <w:fldChar w:fldCharType="separate"/>
      </w:r>
      <w:r>
        <w:rPr>
          <w:rFonts w:hint="eastAsia"/>
          <w:kern w:val="0"/>
        </w:rPr>
        <w:t>1、硒评论</w:t>
      </w:r>
      <w:r>
        <w:rPr>
          <w:rFonts w:hint="eastAsia"/>
          <w:kern w:val="0"/>
          <w:lang w:eastAsia="zh-CN"/>
        </w:rPr>
        <w:t>：锰市需求释放减少 硒市总体保持平稳</w:t>
      </w:r>
      <w:r>
        <w:tab/>
      </w:r>
      <w:r>
        <w:fldChar w:fldCharType="begin"/>
      </w:r>
      <w:r>
        <w:instrText xml:space="preserve"> PAGEREF _Toc26178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_Toc22601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：铋锭价格上涨</w:t>
      </w:r>
      <w:r>
        <w:rPr>
          <w:rFonts w:hint="eastAsia"/>
          <w:kern w:val="0"/>
          <w:lang w:val="en-US" w:eastAsia="zh-CN"/>
        </w:rPr>
        <w:t xml:space="preserve"> </w:t>
      </w:r>
      <w:r>
        <w:rPr>
          <w:rFonts w:hint="eastAsia"/>
          <w:kern w:val="0"/>
          <w:lang w:eastAsia="zh-CN"/>
        </w:rPr>
        <w:t>成交氛围好转</w:t>
      </w:r>
      <w:r>
        <w:tab/>
      </w:r>
      <w:r>
        <w:fldChar w:fldCharType="begin"/>
      </w:r>
      <w:r>
        <w:instrText xml:space="preserve"> PAGEREF _Toc22601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_Toc763 </w:instrText>
      </w:r>
      <w:r>
        <w:fldChar w:fldCharType="separate"/>
      </w:r>
      <w:r>
        <w:rPr>
          <w:rFonts w:hint="eastAsia"/>
          <w:kern w:val="0"/>
        </w:rPr>
        <w:t>3</w:t>
      </w:r>
      <w:r>
        <w:rPr>
          <w:rFonts w:hint="eastAsia"/>
          <w:kern w:val="0"/>
          <w:lang w:eastAsia="zh-CN"/>
        </w:rPr>
        <w:t>、</w:t>
      </w:r>
      <w:r>
        <w:rPr>
          <w:rFonts w:hint="eastAsia"/>
          <w:kern w:val="0"/>
        </w:rPr>
        <w:t>铟评论：铟锭价格小幅上涨</w:t>
      </w:r>
      <w:r>
        <w:tab/>
      </w:r>
      <w:r>
        <w:fldChar w:fldCharType="begin"/>
      </w:r>
      <w:r>
        <w:instrText xml:space="preserve"> PAGEREF _Toc763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_Toc12994 </w:instrText>
      </w:r>
      <w:r>
        <w:fldChar w:fldCharType="separate"/>
      </w:r>
      <w:r>
        <w:rPr>
          <w:kern w:val="0"/>
        </w:rPr>
        <w:t>4</w:t>
      </w:r>
      <w:r>
        <w:rPr>
          <w:rFonts w:hint="eastAsia" w:cs="宋体"/>
          <w:kern w:val="0"/>
        </w:rPr>
        <w:t>、碲评论：金属碲市场价格上涨</w:t>
      </w:r>
      <w:r>
        <w:tab/>
      </w:r>
      <w:r>
        <w:fldChar w:fldCharType="begin"/>
      </w:r>
      <w:r>
        <w:instrText xml:space="preserve"> PAGEREF _Toc12994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_Toc15691 </w:instrText>
      </w:r>
      <w:r>
        <w:fldChar w:fldCharType="separate"/>
      </w:r>
      <w:r>
        <w:rPr>
          <w:rFonts w:hint="eastAsia" w:cs="黑体"/>
        </w:rPr>
        <w:t>二、价格行情</w:t>
      </w:r>
      <w:r>
        <w:tab/>
      </w:r>
      <w:r>
        <w:fldChar w:fldCharType="begin"/>
      </w:r>
      <w:r>
        <w:instrText xml:space="preserve"> PAGEREF _Toc15691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_Toc5063 </w:instrText>
      </w:r>
      <w:r>
        <w:fldChar w:fldCharType="separate"/>
      </w:r>
      <w:r>
        <w:rPr>
          <w:kern w:val="0"/>
        </w:rPr>
        <w:t>1</w:t>
      </w:r>
      <w:r>
        <w:rPr>
          <w:rFonts w:hint="eastAsia" w:cs="宋体"/>
          <w:kern w:val="0"/>
        </w:rPr>
        <w:t>、国际价格</w:t>
      </w:r>
      <w:r>
        <w:tab/>
      </w:r>
      <w:r>
        <w:fldChar w:fldCharType="begin"/>
      </w:r>
      <w:r>
        <w:instrText xml:space="preserve"> PAGEREF _Toc5063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_Toc8952 </w:instrText>
      </w:r>
      <w:r>
        <w:fldChar w:fldCharType="separate"/>
      </w:r>
      <w:r>
        <w:rPr>
          <w:kern w:val="0"/>
        </w:rPr>
        <w:t>2</w:t>
      </w:r>
      <w:r>
        <w:rPr>
          <w:rFonts w:hint="eastAsia" w:cs="宋体"/>
          <w:kern w:val="0"/>
        </w:rPr>
        <w:t>、欧洲鹿特丹小金属价格</w:t>
      </w:r>
      <w:r>
        <w:tab/>
      </w:r>
      <w:r>
        <w:fldChar w:fldCharType="begin"/>
      </w:r>
      <w:r>
        <w:instrText xml:space="preserve"> PAGEREF _Toc8952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_Toc7842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_Toc7842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_Toc19553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_Toc19553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_Toc19362 </w:instrText>
      </w:r>
      <w:r>
        <w:fldChar w:fldCharType="separate"/>
      </w:r>
      <w:r>
        <w:rPr>
          <w:rFonts w:hint="eastAsia" w:ascii="宋体" w:hAnsi="宋体" w:cs="宋体"/>
          <w:bCs/>
          <w:kern w:val="0"/>
          <w:szCs w:val="30"/>
        </w:rPr>
        <w:t>铜陵有色冬瓜山铜矿:关口前移 守住防疫最前线</w:t>
      </w:r>
      <w:r>
        <w:tab/>
      </w:r>
      <w:r>
        <w:fldChar w:fldCharType="begin"/>
      </w:r>
      <w:r>
        <w:instrText xml:space="preserve"> PAGEREF _Toc19362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_Toc13392 </w:instrText>
      </w:r>
      <w:r>
        <w:fldChar w:fldCharType="separate"/>
      </w:r>
      <w:r>
        <w:rPr>
          <w:rFonts w:hint="eastAsia" w:ascii="宋体" w:hAnsi="宋体" w:cs="宋体"/>
          <w:bCs/>
          <w:kern w:val="0"/>
          <w:szCs w:val="30"/>
        </w:rPr>
        <w:t>金龙铜管全力保障医用铜管供应</w:t>
      </w:r>
      <w:r>
        <w:tab/>
      </w:r>
      <w:r>
        <w:fldChar w:fldCharType="begin"/>
      </w:r>
      <w:r>
        <w:instrText xml:space="preserve"> PAGEREF _Toc13392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_Toc1824 </w:instrText>
      </w:r>
      <w:r>
        <w:fldChar w:fldCharType="separate"/>
      </w:r>
      <w:r>
        <w:rPr>
          <w:rFonts w:hint="eastAsia" w:ascii="宋体" w:hAnsi="宋体" w:cs="宋体"/>
          <w:bCs/>
          <w:kern w:val="0"/>
          <w:szCs w:val="30"/>
          <w:lang w:eastAsia="zh-CN"/>
        </w:rPr>
        <w:t>云铜压铸顺利复工复产</w:t>
      </w:r>
      <w:r>
        <w:tab/>
      </w:r>
      <w:r>
        <w:fldChar w:fldCharType="begin"/>
      </w:r>
      <w:r>
        <w:instrText xml:space="preserve"> PAGEREF _Toc1824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_Toc26517 </w:instrText>
      </w:r>
      <w:r>
        <w:fldChar w:fldCharType="separate"/>
      </w:r>
      <w:r>
        <w:rPr>
          <w:rFonts w:hint="eastAsia" w:ascii="宋体" w:hAnsi="宋体" w:cs="宋体"/>
          <w:bCs/>
          <w:kern w:val="0"/>
          <w:szCs w:val="30"/>
        </w:rPr>
        <w:t>延长矿业权人勘查开采公示信息填报期限</w:t>
      </w:r>
      <w:r>
        <w:tab/>
      </w:r>
      <w:r>
        <w:fldChar w:fldCharType="begin"/>
      </w:r>
      <w:r>
        <w:instrText xml:space="preserve"> PAGEREF _Toc26517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_Toc32055 </w:instrText>
      </w:r>
      <w:r>
        <w:fldChar w:fldCharType="separate"/>
      </w:r>
      <w:r>
        <w:rPr>
          <w:rFonts w:hint="eastAsia" w:ascii="宋体" w:hAnsi="宋体" w:cs="宋体"/>
          <w:bCs/>
          <w:kern w:val="0"/>
          <w:szCs w:val="30"/>
        </w:rPr>
        <w:t>株冶召开疫情防控领导小组暨书记例会</w:t>
      </w:r>
      <w:r>
        <w:tab/>
      </w:r>
      <w:r>
        <w:fldChar w:fldCharType="begin"/>
      </w:r>
      <w:r>
        <w:instrText xml:space="preserve"> PAGEREF _Toc32055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_Toc4669 </w:instrText>
      </w:r>
      <w:r>
        <w:fldChar w:fldCharType="separate"/>
      </w:r>
      <w:r>
        <w:rPr>
          <w:rFonts w:hint="eastAsia" w:ascii="宋体" w:hAnsi="宋体" w:cs="宋体"/>
          <w:bCs/>
          <w:kern w:val="0"/>
          <w:szCs w:val="30"/>
        </w:rPr>
        <w:t>医疗污水如何处理 雷神山火神山医院这样把脉支招</w:t>
      </w:r>
      <w:r>
        <w:tab/>
      </w:r>
      <w:r>
        <w:fldChar w:fldCharType="begin"/>
      </w:r>
      <w:r>
        <w:instrText xml:space="preserve"> PAGEREF _Toc4669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_Toc8350 </w:instrText>
      </w:r>
      <w:r>
        <w:fldChar w:fldCharType="separate"/>
      </w:r>
      <w:r>
        <w:rPr>
          <w:rFonts w:hint="eastAsia" w:ascii="宋体" w:hAnsi="宋体" w:cs="宋体"/>
          <w:bCs/>
          <w:kern w:val="0"/>
          <w:szCs w:val="30"/>
        </w:rPr>
        <w:t>大金将推出R1233zd制冷机</w:t>
      </w:r>
      <w:r>
        <w:tab/>
      </w:r>
      <w:r>
        <w:fldChar w:fldCharType="begin"/>
      </w:r>
      <w:r>
        <w:instrText xml:space="preserve"> PAGEREF _Toc8350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_Toc24469 </w:instrText>
      </w:r>
      <w:r>
        <w:fldChar w:fldCharType="separate"/>
      </w:r>
      <w:r>
        <w:rPr>
          <w:rFonts w:hint="eastAsia" w:ascii="宋体" w:hAnsi="宋体" w:cs="宋体"/>
          <w:bCs/>
          <w:kern w:val="0"/>
          <w:szCs w:val="30"/>
        </w:rPr>
        <w:t>小米领投Wi-Fi 6芯片设计公司速通半导体</w:t>
      </w:r>
      <w:r>
        <w:tab/>
      </w:r>
      <w:r>
        <w:fldChar w:fldCharType="begin"/>
      </w:r>
      <w:r>
        <w:instrText xml:space="preserve"> PAGEREF _Toc24469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_Toc11536 </w:instrText>
      </w:r>
      <w:r>
        <w:fldChar w:fldCharType="separate"/>
      </w:r>
      <w:r>
        <w:rPr>
          <w:rFonts w:hint="eastAsia" w:ascii="宋体" w:hAnsi="宋体" w:cs="宋体"/>
          <w:bCs/>
          <w:kern w:val="0"/>
          <w:szCs w:val="30"/>
        </w:rPr>
        <w:t>5G时代智慧照明成新风口</w:t>
      </w:r>
      <w:r>
        <w:tab/>
      </w:r>
      <w:r>
        <w:fldChar w:fldCharType="begin"/>
      </w:r>
      <w:r>
        <w:instrText xml:space="preserve"> PAGEREF _Toc11536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_Toc2925 </w:instrText>
      </w:r>
      <w:r>
        <w:fldChar w:fldCharType="separate"/>
      </w:r>
      <w:r>
        <w:rPr>
          <w:rFonts w:hint="eastAsia" w:ascii="宋体" w:hAnsi="宋体" w:cs="宋体"/>
          <w:bCs/>
          <w:kern w:val="0"/>
          <w:szCs w:val="30"/>
        </w:rPr>
        <w:t>晶科加入户用光伏屋顶市场争夺 未来或大规模推广部署</w:t>
      </w:r>
      <w:r>
        <w:tab/>
      </w:r>
      <w:r>
        <w:fldChar w:fldCharType="begin"/>
      </w:r>
      <w:r>
        <w:instrText xml:space="preserve"> PAGEREF _Toc2925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26091"/>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6178"/>
      <w:r>
        <w:rPr>
          <w:rFonts w:hint="eastAsia"/>
          <w:kern w:val="0"/>
        </w:rPr>
        <w:t>1、硒评论</w:t>
      </w:r>
      <w:r>
        <w:rPr>
          <w:rFonts w:hint="eastAsia"/>
          <w:kern w:val="0"/>
          <w:lang w:eastAsia="zh-CN"/>
        </w:rPr>
        <w:t>：锰市需求释放减少 硒市总体保持平稳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中商网讯：截至到目前电解锰的报价在12200-12400元/吨，均价较上周五下跌300元/吨。近期，电解锰市场价格连续小幅下滑，成交氛围表现不佳。虽然国内开工率提升，但市场需求释放减少。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目前硒粉市场价格稳定。疫情期间，市场基本处于停滞状态，贸易商采购需求不旺，所以库存较为充足。硒粉生产商陆续恢复生产，预计短时间内硒粉价格或将维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60-68元/公斤，最低价较上周五上涨2元/公斤，最高价较上周五5元/公斤。目前二硒市场陆续出现成交。下游锰厂开工情况较上周增多，开工率都有小幅提升，部分大厂生产稳定运行。预计短期内硒市市场或将逐渐恢复明朗。</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分析评述：本周下游锰厂开工情况较上周增多，开工率小幅提升。硒市总体继续保持平稳，原料市场暂无变化及成交，精硒市场寡淡，二硒成交价格出现好转。预计未来一段时间内硒市市场或将恢复明朗。</w:t>
      </w:r>
    </w:p>
    <w:p>
      <w:pPr>
        <w:pStyle w:val="4"/>
        <w:spacing w:line="400" w:lineRule="exact"/>
        <w:rPr>
          <w:rFonts w:hint="default"/>
          <w:kern w:val="0"/>
          <w:lang w:val="en-US" w:eastAsia="zh-CN"/>
        </w:rPr>
      </w:pPr>
      <w:bookmarkStart w:id="4" w:name="_Toc22601"/>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：铋锭价格上涨</w:t>
      </w:r>
      <w:r>
        <w:rPr>
          <w:rFonts w:hint="eastAsia"/>
          <w:kern w:val="0"/>
          <w:lang w:val="en-US" w:eastAsia="zh-CN"/>
        </w:rPr>
        <w:t xml:space="preserve"> </w:t>
      </w:r>
      <w:r>
        <w:rPr>
          <w:rFonts w:hint="eastAsia"/>
          <w:kern w:val="0"/>
          <w:lang w:eastAsia="zh-CN"/>
        </w:rPr>
        <w:t>成交氛围好转</w:t>
      </w:r>
      <w:bookmarkEnd w:id="4"/>
      <w:r>
        <w:rPr>
          <w:rFonts w:hint="eastAsia"/>
          <w:kern w:val="0"/>
          <w:lang w:val="en-US" w:eastAsia="zh-CN"/>
        </w:rPr>
        <w:t xml:space="preserve"> </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现货市场交投氛围明显好转。近期，按政府规定多数生产商复工复产，下游需求释放增加。主要生产商地区物流逐渐恢复畅通，市场成交量呈增长趋势。预计短期内铋锭市场价格或将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本周国际市场铋锭价格报价在2.5-2.65美元/磅，最低价较上周五</w:t>
      </w:r>
      <w:r>
        <w:rPr>
          <w:rFonts w:hint="eastAsia" w:ascii="仿宋_GB2312" w:eastAsia="仿宋_GB2312" w:cs="仿宋_GB2312"/>
          <w:kern w:val="0"/>
          <w:sz w:val="28"/>
          <w:szCs w:val="28"/>
          <w:lang w:val="en-US" w:eastAsia="zh-CN"/>
        </w:rPr>
        <w:t>上涨</w:t>
      </w:r>
      <w:bookmarkStart w:id="123" w:name="_GoBack"/>
      <w:bookmarkEnd w:id="123"/>
      <w:r>
        <w:rPr>
          <w:rFonts w:hint="default" w:ascii="仿宋_GB2312" w:hAnsi="宋体" w:eastAsia="仿宋_GB2312" w:cs="仿宋_GB2312"/>
          <w:kern w:val="0"/>
          <w:sz w:val="28"/>
          <w:szCs w:val="28"/>
          <w:lang w:val="en-US" w:eastAsia="zh-CN"/>
        </w:rPr>
        <w:t>0.07美元/磅，最高价较上周五保持不变。欧洲鹿特丹市场最新报价在2.6美元/磅，均价较上周五持平;出口市场价格2.45-2.55美元/磅，均价较上周五上涨0.05美元/磅。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价格出现一定幅度上涨。截至本周五铋锭主流报价为35000-36000元/吨，均价较上周五上涨1000元/吨。目前铋锭市场价格上涨，成交有所好转。下游市场需求开始小幅升温，询价有所增加。预计短期内铋锭价格将继续上涨趋势。</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本周氧化铋报价在40000-41000元/吨，最低价较上周五上涨1000元/吨，最高价较上周五保持不变。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分析评述：目前铋锭现货市场价格上涨，成交氛围活跃。部分复产厂家年后一直没有采购，前期积压库存大量减少，下游需求极大释放，买兴开始有所上升。预计短期内铋锭价格或将继续小幅上涨。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763"/>
      <w:r>
        <w:rPr>
          <w:rFonts w:hint="eastAsia"/>
          <w:kern w:val="0"/>
        </w:rPr>
        <w:t>3</w:t>
      </w:r>
      <w:r>
        <w:rPr>
          <w:rFonts w:hint="eastAsia"/>
          <w:kern w:val="0"/>
          <w:lang w:eastAsia="zh-CN"/>
        </w:rPr>
        <w:t>、</w:t>
      </w:r>
      <w:r>
        <w:rPr>
          <w:rFonts w:hint="eastAsia"/>
          <w:kern w:val="0"/>
        </w:rPr>
        <w:t>铟评论：铟锭价格小幅上涨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880-930元/公斤，均价较上一个交易日上涨30元/公斤。目前铟锭市场价格小幅上涨。多数生产商延迟生产，导致库存供应偏紧而上调价格。预计短期内精铟市场价格或将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业内人士称，近期市场询盘多了起来，成交量小幅增加。由于省外物流不畅，供应商交货延迟。考虑当前供应紧张，预计未来一段时间内铟锭市场价格仍将上涨。</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2994"/>
      <w:r>
        <w:rPr>
          <w:kern w:val="0"/>
        </w:rPr>
        <w:t>4</w:t>
      </w:r>
      <w:r>
        <w:rPr>
          <w:rFonts w:hint="eastAsia" w:cs="宋体"/>
          <w:kern w:val="0"/>
        </w:rPr>
        <w:t>、碲评论：金属碲市场价格上涨</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-380元/公斤，均价较上一个交易日上涨40元/公斤。目前国内碲锭市场价格出现小幅增长，交投氛围有所好转。生产商逐渐恢复生产，下游需求量有所回暖。预计短期内碲锭市场价格或将恢复明朗。</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业内人士透露，下游制冷旺季的逐渐来临，厂家涨价心态浓厚，近期市场大多数询盘增多，成交也有所增多，部分持货商看涨后市。预计金属碲价格短期内仍表现坚挺。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15691"/>
      <w:r>
        <w:rPr>
          <w:rFonts w:hint="eastAsia" w:cs="黑体"/>
        </w:rPr>
        <w:t>二、价格行情</w:t>
      </w:r>
      <w:bookmarkEnd w:id="7"/>
    </w:p>
    <w:p>
      <w:pPr>
        <w:pStyle w:val="4"/>
        <w:spacing w:line="400" w:lineRule="exact"/>
        <w:rPr>
          <w:rFonts w:cs="Times New Roman"/>
          <w:kern w:val="0"/>
        </w:rPr>
      </w:pPr>
      <w:bookmarkStart w:id="8" w:name="_Toc5063"/>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26</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8952"/>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7842"/>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93</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88</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93</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50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60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9553"/>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9362"/>
      <w:r>
        <w:rPr>
          <w:rFonts w:hint="eastAsia" w:ascii="宋体" w:hAnsi="宋体" w:cs="宋体"/>
          <w:b/>
          <w:bCs/>
          <w:kern w:val="0"/>
          <w:sz w:val="30"/>
          <w:szCs w:val="30"/>
        </w:rPr>
        <w:t>铜陵有色冬瓜山铜矿:关口前移 守住防疫最前线</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2月20日，面对严峻复杂的疫情形势，铜陵有色冬瓜山铜矿充分发挥党建引领作用，切实做到关口前移，力量下沉，坚决守住疫情防控阻击战的最前线。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就是命令，防控就是责任。初一一大早，该矿领导班子办的第一件事就是严格落实中央、省委疫情防控工作的指示精神，布置全矿疫情防控工作重点，出台了摸底排查、主要场所保洁消毒、取消新春娱乐活动、取消各类会议、实行班中餐自带餐具等九项硬性措施，在全矿积极营造“时时防控不懈怠、处处措施要到位、人人都是安全员”的疫情防控良好氛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防疫“急先锋”冲在前。面对疫情，该矿党员干部想在前、冲在先，设立“党员劝导岗”、建立“党员突击队”，带头做好公共区域消毒、体外测温、防护监督，防疫物品采购发放工作。在疫情刚开始阶段，该矿选矿车间很多职工没有意识到疫情的严重性，车间主任、共产党员邓禾淼及时通过微信发布新冠肺炎防控科普知识，坚持每天带头对公共区域和设备进行消毒。随着疫情防控形势的严峻，车间由于布置早，行动快，安排周密，人员和各项工作均保持稳定。大家对他这种超前防控意识大为称赞，他却认真回答：“对职工生命和健康的关爱是我们肩负的一份责任。”邓禾淼对责任的一份担当和对职工的爱护之情，也正是该矿众多党员干部在疫情面前勇当“急先锋”的一个缩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防疫“我承诺”重行动。“我是一名共产党员，在疫情防控期间，我郑重承诺：外出戴好口罩，保护自己保护他人……”连日来，该矿基层党支部利用微信群组织广大党员开展“我承诺、我行动”疫情防控承诺活动，广大党员积极响应，并身体力行战斗在抗击疫情第一线，主动参与到日常消毒、防护监督和安全生产巡查等工作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矿山部分职工因春节探亲假和其它外出要求，上岗前要进行必要的隔离，有些岗位出现暂时人员紧张情况，党员干部每天除做好本职工作以外，还积极配合本单位做好岗位人员安排工作，主动代班顶岗，保证生产平稳。2月4日，该矿提升二区副井运转班班长、共产党员储晟完成一天的工作刚回到家，班组一名职工身体不适打来电话，他立即返回单位，并妥善安排好车辆送职工去医院诊治，等到区里安排人员到岗后他又马不停蹄地赶到医院看望这名职工。深夜，当他疲惫地回到家，妻子心疼地埋怨他特殊时期不顾及自己一点，他却说道：“我是一名党员，危难时候就是要见行动，才能见本色。”防疫“顺口溜”记心头。“勤洗手，戴口罩;少出门，多睡觉;忌野味，管好口;测体温，很重要;常消毒，多透气;不聚集，不会餐;讲卫生，不信谣;心情稳，意志高。”该矿精矿车间党支部自编防疫小知识顺口溜，用通俗易懂的词语，让大家在随口诵读间学到了新冠肺炎防控小知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期间，该车间每日做好职工口罩佩戴检查等防控督促工作，并对每位上岗职工进行体温测量。车间钳工、共产党员陈勇见单位缺少测温仪器，主动从家里带来测温枪，工友们说：“你把测温枪带到单位，你家两个娃，经常测温咋办呢?”陈勇憨厚地笑着说：“顾大家也是为小家，我们每天检测正常，家人才放心，才安全啊!”车间青工小吴在微信朋友圈里动情地说道：“危难时刻见真情，面对疫情，矿里想法设法为我们购买防疫物资，加强防护，保障我们的健康，我们每一名职工都要尽一份力，坚定信心，保持爱心，阳光总在风雨后，疫情防控阻击战一定会胜利。”</w:t>
      </w:r>
    </w:p>
    <w:p>
      <w:pPr>
        <w:widowControl/>
        <w:jc w:val="left"/>
        <w:outlineLvl w:val="1"/>
        <w:rPr>
          <w:rFonts w:ascii="宋体" w:hAnsi="宋体" w:cs="宋体"/>
          <w:b/>
          <w:bCs/>
          <w:kern w:val="0"/>
          <w:sz w:val="30"/>
          <w:szCs w:val="30"/>
        </w:rPr>
      </w:pPr>
      <w:bookmarkStart w:id="13" w:name="_Toc13392"/>
      <w:r>
        <w:rPr>
          <w:rFonts w:hint="eastAsia" w:ascii="宋体" w:hAnsi="宋体" w:cs="宋体"/>
          <w:b/>
          <w:bCs/>
          <w:kern w:val="0"/>
          <w:sz w:val="30"/>
          <w:szCs w:val="30"/>
        </w:rPr>
        <w:t>金龙铜管全力保障医用铜管供应</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在抗击新冠疫情的关键时刻，全国各地的医疗防疫项目正在紧锣密鼓地建设中，项目建设所需的医疗铜管需求量明显加大。金龙精密铜管集团股份有限公司作为国内精密铜管制造行业骨干龙头企业，为应对突如其来的疫情，急国家之所急，积极协调自身资源，春节前夕就增加了医用工程铜管的备货，全力以赴满足当前医疗工程铜管市场的需求。 1月初，金龙铜管集团积极响应湖北省医用铜管采购招标工作，凭借行业自身的产品优势，竞标成为首批湖北省医用铜管中标单位。春节过后，随着疫情的发展，1月31日，金龙铜管河南医用铜管工程市场代理商的第一批医疗铜管，就开始用于郑州小汤山版防疫隔离医院的建设，目前已交付并投入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作为《医疗气体和真空用无缝铜管》起草单位之一，金龙集团制造的医用铜管产品，已通过中国有色金属工业华东产品质量监督检验中心权威检测，产品各项性能符合YS/T 650-2007《医用气体和真空用无缝铜管》标准要求，是医用气体系统管的理想选择。 据了解，2月2日，江苏克力公司作为医用空调核心制造商，为响应政府号召复工生产，该企业所使用的高清洁度铜管主要由金龙集团供应。 一方有难，八方支援。目前，金龙集团正动员全国各分公司抓紧复工积极应对疫情，优先保证医用铜管的供应，和全国人民一道共同抗击疫情，共克时艰。</w:t>
      </w:r>
    </w:p>
    <w:p>
      <w:pPr>
        <w:widowControl/>
        <w:jc w:val="left"/>
        <w:outlineLvl w:val="1"/>
        <w:rPr>
          <w:rFonts w:ascii="宋体" w:hAnsi="宋体" w:cs="宋体"/>
          <w:b/>
          <w:bCs/>
          <w:kern w:val="0"/>
          <w:sz w:val="30"/>
          <w:szCs w:val="30"/>
        </w:rPr>
      </w:pPr>
      <w:bookmarkStart w:id="14" w:name="_Toc1824"/>
      <w:r>
        <w:rPr>
          <w:rFonts w:hint="eastAsia" w:ascii="宋体" w:hAnsi="宋体" w:cs="宋体"/>
          <w:b/>
          <w:bCs/>
          <w:kern w:val="0"/>
          <w:sz w:val="30"/>
          <w:szCs w:val="30"/>
          <w:lang w:eastAsia="zh-CN"/>
        </w:rPr>
        <w:t>云铜压铸顺利复工复产</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2月10日，压铸机的轰鸣声打破了云铜压铸生产车间近3个周的寂静，落细落小防疫情，紧密锣鼓忙生产，截止2月14日，云铜压铸防疫复产两不误，各项工作井然有序。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为了准备防疫物资，2月3日开始，云铜压铸采购负责人冯俊锋就到处奔走，在市场各种防疫物资匮乏的情况下，设法采购口罩、消毒液、酒精等物品，于2月6日送达现场，为复产工作做好准备。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节日期间，职工每天通过企业微信向安全员李嘉霖汇报个人健康状况，汇报不及时，李嘉霖总是不厌其烦的打电话逐个落实。复产前两天，他让每一个满足复工条件的职工签署《个人健康信息承诺书》，并及时传达复工注意事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2月10日，生产部主任王光斌带着几位班长，早早来到车间，在其他职工到来之前，对车间、职工更衣室、职工休息室等区域进行消毒。安排人员在车间入口对进入厂区的职工进行体温测量和消毒。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产前的安全生产培训、防疫工作培训完毕后，各班组开始设备调试检查，试开机、试运行……做足复产工作。2月11日，二号生产线顺利复产;2月12日，一号生产线顺利复产。为确保稳定持续生产，技术部、市场部主动对各客户群体进行电话访问，及时了解客户需求，分析行情，积极应对市场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复产至今，云铜压铸共计生产铸铜转子1015台，按计划完成生产任务。</w:t>
      </w:r>
    </w:p>
    <w:p>
      <w:pPr>
        <w:widowControl/>
        <w:jc w:val="left"/>
        <w:outlineLvl w:val="1"/>
        <w:rPr>
          <w:rFonts w:ascii="宋体" w:hAnsi="宋体" w:cs="宋体"/>
          <w:bCs/>
          <w:kern w:val="0"/>
          <w:sz w:val="30"/>
          <w:szCs w:val="30"/>
        </w:rPr>
      </w:pPr>
      <w:bookmarkStart w:id="15" w:name="_Toc26517"/>
      <w:r>
        <w:rPr>
          <w:rFonts w:hint="eastAsia" w:ascii="宋体" w:hAnsi="宋体" w:cs="宋体"/>
          <w:b/>
          <w:bCs/>
          <w:kern w:val="0"/>
          <w:sz w:val="30"/>
          <w:szCs w:val="30"/>
        </w:rPr>
        <w:t>延长矿业权人勘查开采公示信息填报期限</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自然资源部矿产资源保护监督司近日发函就2020年矿业权人勘查开采信息公示有关事项加以明确。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然资源部明确，矿业权人公示信息填报期限延长至疫情防控措施解除后1个月。对受疫情影响填报公示仍有困难的矿业权人，可向地方自然资源主管部门申请进一步延期，对受疫情影响逾期填报公示信息的矿业权，其相关记录不纳入信用记录。各省级自然资源主管部门可根据本地实际情况，创新工作方式，更多采取网络检查、书面检查等方式开展工作。在疫情防控期间，不进入勘查和采选现场进行检查，检查工作完成期限可以适当延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然资源部要求，各级自然资源主管部门要高度重视，精心组织，加大技术支持力度，制作系统操作培训视频和培训手册并通过信息公示系统推送，运用电话、网络等形式与管理部门、矿业权人进行实时互动交流，及时解决在工作过程中遇到的问题。</w:t>
      </w:r>
    </w:p>
    <w:p>
      <w:pPr>
        <w:widowControl/>
        <w:jc w:val="left"/>
        <w:outlineLvl w:val="1"/>
        <w:rPr>
          <w:rFonts w:ascii="宋体" w:hAnsi="宋体" w:cs="宋体"/>
          <w:b/>
          <w:bCs/>
          <w:kern w:val="0"/>
          <w:sz w:val="30"/>
          <w:szCs w:val="30"/>
        </w:rPr>
      </w:pPr>
      <w:bookmarkStart w:id="16" w:name="_Toc32055"/>
      <w:r>
        <w:rPr>
          <w:rFonts w:hint="eastAsia" w:ascii="宋体" w:hAnsi="宋体" w:cs="宋体"/>
          <w:b/>
          <w:bCs/>
          <w:kern w:val="0"/>
          <w:sz w:val="30"/>
          <w:szCs w:val="30"/>
        </w:rPr>
        <w:t>株冶召开疫情防控领导小组暨书记例会</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11日上午，株洲冶炼集团股份有限公司以视频会议形式召开疫情防控领导小组暨书记例会，进一步加强疫情防控工作。株冶党委书记、董事长、公司疫情应急防控领导小组组长黄忠民主持会议，强调要夯实公司全方位防疫体系，实现疫情防控、生产经营“双目标”。公司领导及各单位(含机关)书记、各部门(含株冶有色)主要负责人参加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株冶锌焙烧厂党支部、锌电解厂党支部、营销中心党支部分别介绍本单位疫情防控工作主要做法、经验、不足和面临的困难，并阐述下一步措施。株冶办公室、生产机动部分别对株冶有色后勤管理(食堂及职工宿舍管理)防疫工作情况、资产处置疫情防控工作进行说明。应急管理部结合政府要求就当前疫情防控工作作进一步部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株冶副总经理龙双结合株冶有色生产情况，指出当前疫情可控，但后续挑战严峻。他要求，各单位一要认真贯彻中央、省市、集团公司、湖南有色及株冶的各级文件要求。二要提高政治站位，切实落实主体责任，确保各项措施落地。三要结合疫情变化，进一步完善管理办法，形成横向到边、纵向到底的网格化体系。四要营销部、综合管理部做好应急物资的采购和管理，做好公共区域的消毒，宣传科学防控知识，严格检查口罩佩戴情况。五要各业务部门加强相关方管理，要求相关方制定防控方案，配备防疫物资，严格按制度管控各类临时劳务人员。六要加强舆论引导，宣传抗击疫情及生产一线员工的感人事迹，弘扬正能量。七要发挥各级党组织及党员突击队的先锋模范作用，提高应急响应能力。他强调，尤其要做好株冶新材、科开公司、天津公司、锃科公司等子公司的HSE和疫情防控工作，创新远程管理方法，增强风险意识，确保零感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株冶纪委书记、工会主席周王华要求，全体人员要认清当前形势，面对复工后人员流动性大的情况，各级领导干部要扛起责任，为职工谋健康、谋安全、谋幸福，要做到摸排工作到位、措施落实到位、人员管控到位、后勤防控到位、宣传引导到位，若出现失职渎职将严肃问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株冶总经理、党委副书记、公司疫情应急防控领导小组副组长刘朗明传达了集团公司、湖南有色疫情防控会议精神，强调“铁腕抗疫不可懈”，要求各单位逐级落实主体责任，继续做实做好防控措施，进一步做好教育宣传，弘扬正能量，管好出行、宿舍、食堂三大“战场”，细化排查举措，严格追责、问责，要随着疫情的变化不断升级管控措施，形成体系。要持续推进生产经营，对照年度、月度目标，做好原料、库存、资金等各方面的风险应对工作，实现疫情防控和生产经营“两不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黄忠民在总结中强调，要夯实公司全方位防疫体系，为生产经营打下坚实基础，防控疫情和生产经营要“两手抓”，要进一步明确党政同责、一岗双责，打一场疫情防控的人民“战争”，公司各基层党支部要充分发挥战斗堡垒作用，把全体员工及家属动员起来，形成密实的防控网，坚决打赢疫情防控阻击战。他要求，各单位进一步强化责任落实，应急状态下，要依据自身难点、重点创新采取系列措施，充分发挥主观能动性，尤其是要积极思考人力资源组织安排新举措，应对封闭式管理新形势下保障连续生产人员健康安全的大挑战，要以进攻的态势做好生产经营重点工作。全体人员要进一步坚定信心，对前期取得的防疫工作经验进行推广，形成共识，众志成城，做好第二阶段的防疫工作，实现疫情防控、生产经营“双目标”。</w:t>
      </w:r>
    </w:p>
    <w:p>
      <w:pPr>
        <w:widowControl/>
        <w:jc w:val="left"/>
        <w:outlineLvl w:val="1"/>
        <w:rPr>
          <w:rFonts w:hint="eastAsia" w:ascii="宋体" w:hAnsi="宋体" w:cs="宋体"/>
          <w:b/>
          <w:bCs/>
          <w:kern w:val="0"/>
          <w:sz w:val="30"/>
          <w:szCs w:val="30"/>
        </w:rPr>
      </w:pPr>
      <w:bookmarkStart w:id="17" w:name="_Toc4669"/>
      <w:r>
        <w:rPr>
          <w:rFonts w:hint="eastAsia" w:ascii="宋体" w:hAnsi="宋体" w:cs="宋体"/>
          <w:b/>
          <w:bCs/>
          <w:kern w:val="0"/>
          <w:sz w:val="30"/>
          <w:szCs w:val="30"/>
        </w:rPr>
        <w:t>医疗污水如何处理 雷神山火神山医院这样把脉支招</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与疫魔竞速，间不容发，对于医疗污水处理而言更是如此。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一般生活污水相比，医疗污水成分情况更为复杂，包括病原性微生物、各类检测试剂和常规污染物在内的多种成分。按照《医疗机构水污染物排放标准》，传染病医疗机构污水排放标准的卫生学指标是粪大肠菌群数小于100MPN/L，肠道致病菌、肠道病毒均不得检出。时至今日，我国在污水处理的基础设施建设方面也有了数量和质量上的飞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初，旨在安排部署医疗污水和城镇污水监管工作，规范医疗污水应急处理、杀菌消毒要求的《关于做好新型冠状病毒感染的肺炎疫情医疗污水和城镇污水监管工作的通知》及《新型冠状病毒污染的医疗污水应急处理技术方案(试行)(环办水体函[2020]52号)》两项顶层设计相继落地。紧接着，住建部水专项办以专报形式，就饮用水安全保障各工艺环节对病毒的去除与控制，提出技术解决措施和建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原有城镇污水处理系统形成鲜明对比的是，正值疫情防控关键期的“大水缸”，将主要围绕定点医院内部控制、分散的传染病医院(病房)污水处理设施和集中式污水处理厂三道防线来展开。其中一个愈发明显的特征是，更加重视源头消毒，杜绝病毒的扩散。除部分大型医疗机构采用臭氧和二氧化氯消毒，绝大部分定点医疗机构、新建成投用的医院、临时集中隔离场所都采用次氯酸盐。诚如在消毒处理上，雷神山医院消毒剂的投加量，也高于国家要求的传染病医院消毒剂量，消毒接触时间超过4.5小时，远高于1.5小时的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止是消毒，废水处理设施与雷神山、火神山医院同步设计，严格按照医疗废水处理规范和相关要求建设。上了专业的污水处理设备，是要完全达到标准之后，才能排到市政管网的，一般来讲，不会向自然水体里进行排放。新建武汉火神山、雷神山医院在废水处理系统方面是经过统筹考虑的，是全封闭运行，不是临时设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运营设计上，雷神山、火神山医院对废水从排出到处理采用7道严格的工序，医院污水处理工艺标准远高于普通传染病医院。院区废水经专用管网收集后要经过预消毒、化粪池、调节池、接触氧化、沉淀、二次消毒等多道严格的处理工序，5个小时左右的消毒再排入市政管网。“每所医院每天最多可处理2000吨污水，现有处理能力非常充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果污水处理设施出现故障怎么办?污水处理站采用双回路、双保险系统，即使一组设备发生机械故障或是需要检修，另外一组也能把整个医院产生的废水全部进行处理。剩余的污泥则会通过浓缩、脱水等工序，进而进行危废处置。医院单独设置两个衣物消毒间和两个焚烧炉，对非污染的衣服进行杀毒处理后再使用，对污染的废弃物直接无害化焚烧处理，防止污染环境。至于粪便传播病毒，定点医院有消毒工艺，也不是问题。</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医院建设不会污染附近湖泊。”中南建筑设计院防水设计师张颂民介绍，雨水经收集进入院内调蓄池，经消毒后排入城市污水系统。为防止污水泄露，两者均按照垃圾填埋场标准将地基基底用HDPE防渗膜进行全覆盖，确保地上构筑物与地下水和土壤是物理隔离的，产生的污水将进行全封闭的收集处理。然后泵送至市政管网，通过混凝土基层、防渗膜和钢筋混凝土地面层等三层防护，做到连一滴雨水都不能轻易进入湖泊，不会向周边环境外排。</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8" w:name="_Toc8350"/>
      <w:r>
        <w:rPr>
          <w:rFonts w:hint="eastAsia" w:ascii="宋体" w:hAnsi="宋体" w:cs="宋体"/>
          <w:b/>
          <w:bCs/>
          <w:kern w:val="0"/>
          <w:sz w:val="30"/>
          <w:szCs w:val="30"/>
        </w:rPr>
        <w:t>大金将推出R1233zd制冷机</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大金即将首次推出基于HFO制冷剂R1233zd的制冷机。去年10月，大金公司在佛罗里达州的一次销售会议上向员工介绍了这种新型制冷机，并在本月早些时候的AHR博览会上展出。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据悉，这款制冷机方便安装，运行可靠。虽然体积庞大，但与具有相同冷却能力的设备相比，其占地面积在业内是最小的。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采用R1233zd制冷剂的制冷机并不算新鲜。特灵(Trane)、开利(Carrier)、江森自控(Johnson Controls York)和三菱重工(MHI)此前都曾推出使用低GWP、A1级别制冷剂的制冷机。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大金应用执行副总裁柯克·索恩(Kirk Thorne)介绍说：“我们正在持续努力，在降低气候影响的同时，最大限度地提高舒适性、性能和效率，这一冷却系统为工程师、承包商和建筑业主找到了平衡。”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据介绍，这款巨大的冷冻机采用了大金最新的磁轴承技术，排除了油、密封、齿轮和磨损表面的影响，延长了机器寿命。设备在峰值水平运行时，效率据说比标准的离心式冷水机提高了40%。</w:t>
      </w:r>
    </w:p>
    <w:p>
      <w:pPr>
        <w:widowControl/>
        <w:jc w:val="left"/>
        <w:outlineLvl w:val="1"/>
        <w:rPr>
          <w:rFonts w:ascii="宋体" w:hAnsi="宋体" w:cs="宋体"/>
          <w:b/>
          <w:bCs/>
          <w:kern w:val="0"/>
          <w:sz w:val="30"/>
          <w:szCs w:val="30"/>
        </w:rPr>
      </w:pPr>
      <w:bookmarkStart w:id="19" w:name="_Toc24469"/>
      <w:r>
        <w:rPr>
          <w:rFonts w:hint="eastAsia" w:ascii="宋体" w:hAnsi="宋体" w:cs="宋体"/>
          <w:b/>
          <w:bCs/>
          <w:kern w:val="0"/>
          <w:sz w:val="30"/>
          <w:szCs w:val="30"/>
        </w:rPr>
        <w:t>小米领投Wi-Fi 6芯片设计公司速通半导体</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小米旗下长江产业基金领投了苏州Wi-Fi 6芯片设计公司速通半导体的A轮融资，除此之外，此轮投资者还包括耀途资本，这也是小米发布首款Wi-Fi 6路由器后的首个相关领域投资动态。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速通半导体成立于2018年的7月，其总部位于苏州工业园区，官网显示他们是一家专注于发展下一代无线片上系统的无晶圆半导体公司。创始团队来自硅谷和韩国，核心研发工程团队的专家们拥有超过20年的芯片量产开发经验，曾任职于高通、三星、SK Telecom、GCT Semiconductor等全球知名的无线半导体公司。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据悉，核心团队已经开发和量产了20多款Wi-Fi /蓝牙/蜂窝4G的无线SoC芯片组。 此外，他们还具有丰富的Wi-Fi 6标准化经验，目前正在着力开发最新一代的Wi-Fi 6芯片组，并加快量产进程。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Wi-Fi 6是当前最新且最高效的无线技术之一，它通过引入包括正交频分多址接入(OFDMA)等技术能实现更快的速率、更远的覆盖范围以及更低功耗的无线网络，并且可以增加网络的密度，适合复杂的物联网环境。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此前的小米10发布会上，小米就带来了首款支持Wi-Fi 6网络技术的路由器：小米AIoT路由器AX3600，售价599元人民币。此次小米产业基金领投Wi-Fi 6芯片设计公司也在意料之中，想必后期他们将会推出更多支持Wi-Fi 6的产品。</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最后，速通半导体并未透露本次A轮融资的具体金额，但资金将主要用于扩大工程团队，以进一步投入研发和量产基于Wi-Fi 6技术的前沿SoC产品，并推动其在消费者、企业和物联网市场中的应用。</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20" w:name="_Toc11536"/>
      <w:r>
        <w:rPr>
          <w:rFonts w:hint="eastAsia" w:ascii="宋体" w:hAnsi="宋体" w:cs="宋体"/>
          <w:b/>
          <w:bCs/>
          <w:kern w:val="0"/>
          <w:sz w:val="30"/>
          <w:szCs w:val="30"/>
        </w:rPr>
        <w:t>5G时代智慧照明成新风口</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城市公共照明系统是与人们生活息息相关的重要公共基础设施，随着城市化进程的加快，城市公共照明设施的需求量和建设规模日益增大，但城市公共照明的过快发展增大了对能源的需求和消耗，同时在管理方面也存在诸多不足。现有城市公共照明系统普遍存在设备维护成本高，灯具、线缆盗窃现象严重，能源浪费大等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能源日益短缺，温室效应越来越严重，国家和地方政府大力号召节能减排、绿色照明的情况下，能有效的控制能源消耗，提高路灯寿命，降低维护和管理成本，是现代效能型社会建设的目标，也是城市智慧化建设的必然趋势。当前，我国许多城市纷纷把智慧城市的建设提上日程，通过信息通信技术和智慧城市建设来完善城市公共服务和改善城市生活环境，使城市变得更加“智慧”。作为智慧型基础设施，智慧照明是智慧城市建设中重要的组成部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标准品电源供应的龙头公司，明纬(广州)电子有限公司谈及随着5G通讯产品的推出，智慧照明也慢慢被注意到，传统的照明仅是单纯的亮与不亮，开灯及关灯，但结合智慧照明及搭配LED照明的发展，可以让灯光有更多的变化及透过智慧照明做不同的设定，来达到更知能更舒适的照明及节省更多的电力。透过IOT周边的感应器或软件设定，可以让照明更贴近生活。明纬继LCM 系列已经可搭配无线蓝芽控制来使用并结合手机APP做设定来达到智能化灯光控制，未来新的产品也将持续规画，结合更多灯控产品如WIFI/Bluetooth/zigbee等IOT产品。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顺势而出的智慧照明，给照明行业带来巨大的商机，照明显然已不仅限于“照明”。那么，5G通信时代，照明可以发挥超越以往的作用，智慧是否可以成为新的风口呢?而如今众多的企业面对数字化转型，在一系列变化和挑战中，把握智慧风向，需明确目标，也要更为慎重，用实力和技术创新开辟新的道路。</w:t>
      </w:r>
    </w:p>
    <w:p>
      <w:pPr>
        <w:widowControl/>
        <w:jc w:val="left"/>
        <w:outlineLvl w:val="1"/>
        <w:rPr>
          <w:rFonts w:ascii="宋体" w:hAnsi="宋体" w:cs="宋体"/>
          <w:b/>
          <w:bCs/>
          <w:kern w:val="0"/>
          <w:sz w:val="30"/>
          <w:szCs w:val="30"/>
        </w:rPr>
      </w:pPr>
      <w:bookmarkStart w:id="21" w:name="_Toc2925"/>
      <w:r>
        <w:rPr>
          <w:rFonts w:hint="eastAsia" w:ascii="宋体" w:hAnsi="宋体" w:cs="宋体"/>
          <w:b/>
          <w:bCs/>
          <w:kern w:val="0"/>
          <w:sz w:val="30"/>
          <w:szCs w:val="30"/>
        </w:rPr>
        <w:t>晶科加入户用光伏屋顶市场争夺 未来或大规模推广部署</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随着特斯拉高调宣布将进军中国光伏屋顶市场，全球一家行业龙头晶科能源也开始悄然加入这一市场的角逐。晶科近期已开发出了专门用于户用屋顶市场的Tiger N型全黑组件，计划今年内在欧洲、日本、澳洲、东南亚和中国市场大力拓展其光伏户用屋顶业务。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组件为66片系列板型，功率为405瓦，转换效率达22%。尽管功率密度增加，组件尺寸重量却并未增加，因此安装简易快速。该公司已打算在未来几周全面复工后，迅速提高该款户用专属产品的产量，为大规模推广和部署做准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一位业内人士分析，以特斯拉为代表的光伏瓦和普通光伏组件所面对的屋顶市场仍有所区别：光伏瓦主要面对未建的新居民建筑，在施工和设计时就加以应用，或将现有建筑上的瓦替换掉;光伏组件则是在任何屋顶上都可直接架铺。因此，光伏瓦更像是普通瓦片的竞争对手，且在抗压、腐蚀、防漏水等方面都需要以建筑材料的标准来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“特斯拉高调进军国内光伏屋顶市场对行业而言是好事。借此东风，可以重新唤起国内户用市场的潜力，为业内带来激励和压力，通过改进产品和技术使行业更具竞争力。”上述业内人士说。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实，从去年四季度以来，晶科在部分市场已尝试推出特别针对户用屋顶市场的N型全黑组件，其拥有更低的衰减和温度系数、更好的弱光性能以及更小的对遮挡的影响。这一节奏与特斯拉今年高调进军中国光伏屋顶市场可谓不谋而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屋顶是一种利用太阳能技术和现有建筑屋顶结合形成的新能源供给方式。近年来，在环保政策等的支持下，加上系统成本的不断下降，即使补贴退坡，其经济性和投资收益率依旧可观。晶科与特斯拉纷纷准备卡位光伏屋顶无疑是个重要的行业信号，意味着今年国内的太阳能光伏户用屋顶市场依然可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另据GlobalData数据显示，2019年，晶科能源以14.2GW出货量第四次蝉联全球光伏组件出货量排名榜首，并大幅拉开与对手差距。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23201B"/>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9633E"/>
    <w:rsid w:val="18826DA1"/>
    <w:rsid w:val="18891CD8"/>
    <w:rsid w:val="18A53C62"/>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238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3</TotalTime>
  <ScaleCrop>false</ScaleCrop>
  <LinksUpToDate>false</LinksUpToDate>
  <CharactersWithSpaces>18369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2020-02-28T05:58:28Z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