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3" w:name="_Toc485828984"/>
                  <w:bookmarkStart w:id="24" w:name="_Toc530057359"/>
                  <w:bookmarkStart w:id="25" w:name="_Toc522179796"/>
                  <w:bookmarkStart w:id="26" w:name="_Toc530728485"/>
                  <w:bookmarkStart w:id="27" w:name="_Toc512001762"/>
                  <w:bookmarkStart w:id="28" w:name="_Toc521053860"/>
                  <w:bookmarkStart w:id="29" w:name="_Toc520381693"/>
                  <w:bookmarkStart w:id="30" w:name="_Toc528332594"/>
                  <w:bookmarkStart w:id="31" w:name="_Toc519865236"/>
                  <w:bookmarkStart w:id="32" w:name="_Toc528222492"/>
                  <w:bookmarkStart w:id="33" w:name="_Toc508369676"/>
                  <w:bookmarkStart w:id="34" w:name="_Toc519147013"/>
                  <w:bookmarkStart w:id="35" w:name="_Toc527035872"/>
                  <w:bookmarkStart w:id="36" w:name="_Toc512520694"/>
                  <w:bookmarkStart w:id="37" w:name="_Toc530147840"/>
                  <w:bookmarkStart w:id="38" w:name="_Toc527640818"/>
                  <w:bookmarkStart w:id="39" w:name="_Toc510190825"/>
                  <w:bookmarkStart w:id="40" w:name="_Toc531271720"/>
                  <w:bookmarkStart w:id="41" w:name="_Toc510190043"/>
                  <w:bookmarkStart w:id="42" w:name="_Toc531854138"/>
                  <w:bookmarkStart w:id="43" w:name="_Toc522285450"/>
                  <w:bookmarkStart w:id="44" w:name="_Toc508960595"/>
                  <w:bookmarkStart w:id="45" w:name="_Toc509582478"/>
                  <w:bookmarkStart w:id="46" w:name="_Toc514329181"/>
                  <w:bookmarkStart w:id="47" w:name="_Toc517427833"/>
                  <w:bookmarkStart w:id="48" w:name="_Toc521586415"/>
                  <w:bookmarkStart w:id="49" w:name="_Toc532566849"/>
                  <w:bookmarkStart w:id="50" w:name="_Toc513728505"/>
                  <w:bookmarkStart w:id="51" w:name="_Toc525913129"/>
                  <w:bookmarkStart w:id="52" w:name="_Toc513211123"/>
                  <w:bookmarkStart w:id="53" w:name="_Toc508975637"/>
                  <w:bookmarkStart w:id="54" w:name="_Toc513728611"/>
                  <w:bookmarkStart w:id="55" w:name="_Toc504140101"/>
                  <w:bookmarkStart w:id="56" w:name="_Toc517448405"/>
                  <w:bookmarkStart w:id="57" w:name="_Toc515611913"/>
                  <w:bookmarkStart w:id="58" w:name="_Toc513816736"/>
                  <w:bookmarkStart w:id="59" w:name="_Toc529541800"/>
                  <w:bookmarkStart w:id="60" w:name="_Toc521051959"/>
                  <w:bookmarkStart w:id="61" w:name="_Toc518650435"/>
                  <w:bookmarkStart w:id="62" w:name="_Toc511397199"/>
                  <w:bookmarkStart w:id="63" w:name="_Toc523494890"/>
                  <w:bookmarkStart w:id="64" w:name="_Toc504057445"/>
                  <w:bookmarkStart w:id="65" w:name="_Toc518051249"/>
                  <w:bookmarkStart w:id="66" w:name="_Toc531358358"/>
                  <w:bookmarkStart w:id="67" w:name="_Toc505347182"/>
                  <w:bookmarkStart w:id="68" w:name="_Toc533083465"/>
                  <w:bookmarkStart w:id="69" w:name="_Toc516819989"/>
                  <w:bookmarkStart w:id="70" w:name="_Toc522890290"/>
                  <w:bookmarkStart w:id="71" w:name="_Toc531943255"/>
                  <w:bookmarkStart w:id="72" w:name="_Toc511290048"/>
                  <w:bookmarkStart w:id="73" w:name="_Toc523991798"/>
                  <w:bookmarkStart w:id="74" w:name="_Toc507665368"/>
                  <w:bookmarkStart w:id="75" w:name="_Toc505261402"/>
                  <w:bookmarkStart w:id="76" w:name="_Toc513123883"/>
                  <w:bookmarkStart w:id="77" w:name="_Toc515027608"/>
                  <w:bookmarkStart w:id="78" w:name="_Toc533168359"/>
                  <w:bookmarkStart w:id="79" w:name="_Toc527037029"/>
                  <w:bookmarkStart w:id="80" w:name="_Toc510166278"/>
                  <w:bookmarkStart w:id="81" w:name="_Toc518548545"/>
                  <w:bookmarkStart w:id="82" w:name="_Toc527123553"/>
                  <w:bookmarkStart w:id="83" w:name="_Toc529455508"/>
                  <w:bookmarkStart w:id="84" w:name="_Toc508267081"/>
                  <w:bookmarkStart w:id="85" w:name="_Toc507769000"/>
                  <w:bookmarkStart w:id="86" w:name="_Toc514921969"/>
                  <w:bookmarkStart w:id="87" w:name="_Toc530751847"/>
                  <w:bookmarkStart w:id="88" w:name="_Toc504123327"/>
                  <w:bookmarkStart w:id="89" w:name="_Toc504744209"/>
                  <w:bookmarkStart w:id="90" w:name="_Toc521075423"/>
                  <w:bookmarkStart w:id="91" w:name="_Toc512606000"/>
                  <w:bookmarkStart w:id="92" w:name="_Toc530149342"/>
                  <w:bookmarkStart w:id="93" w:name="_Toc518651973"/>
                  <w:bookmarkStart w:id="94" w:name="_Toc533674480"/>
                  <w:bookmarkStart w:id="95" w:name="_Toc527728174"/>
                  <w:bookmarkStart w:id="96" w:name="_Toc515633934"/>
                  <w:bookmarkStart w:id="97" w:name="_Toc520452528"/>
                  <w:bookmarkStart w:id="98" w:name="_Toc524704217"/>
                  <w:bookmarkStart w:id="99" w:name="_Toc524334722"/>
                  <w:bookmarkStart w:id="100" w:name="_Toc511898980"/>
                  <w:bookmarkStart w:id="101" w:name="_Toc1132017"/>
                  <w:bookmarkStart w:id="102" w:name="_Toc528913994"/>
                  <w:bookmarkStart w:id="103" w:name="_Toc521679472"/>
                  <w:bookmarkStart w:id="104" w:name="_Toc519842315"/>
                  <w:bookmarkStart w:id="105" w:name="_Toc516841874"/>
                  <w:bookmarkStart w:id="106" w:name="_Toc504651767"/>
                  <w:bookmarkStart w:id="107" w:name="_Toc511375612"/>
                  <w:bookmarkStart w:id="108" w:name="_Toc525309223"/>
                  <w:bookmarkStart w:id="109" w:name="_Toc523381108"/>
                  <w:bookmarkStart w:id="110" w:name="_Toc534383436"/>
                  <w:bookmarkStart w:id="111" w:name="_Toc516237036"/>
                  <w:bookmarkStart w:id="112" w:name="_Toc528936986"/>
                  <w:bookmarkStart w:id="113" w:name="_Toc512521225"/>
                  <w:bookmarkStart w:id="114" w:name="_Toc520366056"/>
                  <w:bookmarkStart w:id="115" w:name="_Toc533777202"/>
                  <w:bookmarkStart w:id="116" w:name="_Toc517965461"/>
                  <w:bookmarkStart w:id="117" w:name="_Toc533167784"/>
                  <w:bookmarkStart w:id="118" w:name="_Toc514422624"/>
                  <w:bookmarkStart w:id="119" w:name="_Toc515612471"/>
                  <w:bookmarkStart w:id="120" w:name="_Toc513118842"/>
                  <w:bookmarkStart w:id="121" w:name="_Toc505947794"/>
                  <w:bookmarkStart w:id="122" w:name="_Toc519258206"/>
                  <w:bookmarkStart w:id="123" w:name="_Toc509574325"/>
                  <w:r>
                    <w:rPr>
                      <w:kern w:val="2"/>
                    </w:rPr>
                    <w:t>20</w:t>
                  </w:r>
                  <w:r>
                    <w:rPr>
                      <w:rFonts w:hint="eastAsia"/>
                      <w:kern w:val="2"/>
                      <w:lang w:val="en-US" w:eastAsia="zh-CN"/>
                    </w:rPr>
                    <w:t>20</w:t>
                  </w:r>
                  <w:r>
                    <w:rPr>
                      <w:kern w:val="2"/>
                    </w:rPr>
                    <w:t>.</w:t>
                  </w:r>
                  <w:r>
                    <w:rPr>
                      <w:rFonts w:hint="eastAsia"/>
                      <w:kern w:val="2"/>
                      <w:lang w:val="en-US" w:eastAsia="zh-CN"/>
                    </w:rPr>
                    <w:t>2</w:t>
                  </w:r>
                  <w:r>
                    <w:rPr>
                      <w:kern w:val="2"/>
                    </w:rPr>
                    <w:t>.</w:t>
                  </w:r>
                  <w:bookmarkEnd w:id="23"/>
                  <w:r>
                    <w:rPr>
                      <w:rFonts w:hint="eastAsia"/>
                      <w:kern w:val="2"/>
                      <w:lang w:val="en-US" w:eastAsia="zh-CN"/>
                    </w:rPr>
                    <w:t>12</w:t>
                  </w:r>
                  <w:r>
                    <w:rPr>
                      <w:kern w:val="2"/>
                    </w:rPr>
                    <w:t>-</w:t>
                  </w:r>
                  <w:r>
                    <w:rPr>
                      <w:rFonts w:hint="eastAsia"/>
                      <w:kern w:val="2"/>
                      <w:lang w:val="en-US" w:eastAsia="zh-CN"/>
                    </w:rPr>
                    <w:t>2</w:t>
                  </w:r>
                  <w:r>
                    <w:rPr>
                      <w:kern w:val="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kern w:val="2"/>
                      <w:lang w:val="en-US" w:eastAsia="zh-CN"/>
                    </w:rPr>
                    <w:t>14</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_Toc10002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_Toc10002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_Toc28171 </w:instrText>
      </w:r>
      <w:r>
        <w:fldChar w:fldCharType="separate"/>
      </w:r>
      <w:r>
        <w:rPr>
          <w:rFonts w:hint="eastAsia"/>
          <w:kern w:val="0"/>
        </w:rPr>
        <w:t>1、硒评论</w:t>
      </w:r>
      <w:r>
        <w:rPr>
          <w:rFonts w:hint="eastAsia"/>
          <w:kern w:val="0"/>
          <w:lang w:eastAsia="zh-CN"/>
        </w:rPr>
        <w:t>：锰价大幅上涨 硒市平稳运行</w:t>
      </w:r>
      <w:r>
        <w:tab/>
      </w:r>
      <w:r>
        <w:fldChar w:fldCharType="begin"/>
      </w:r>
      <w:r>
        <w:instrText xml:space="preserve"> PAGEREF _Toc28171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_Toc4304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：铋锭市场逐渐恢复运行</w:t>
      </w:r>
      <w:r>
        <w:tab/>
      </w:r>
      <w:r>
        <w:fldChar w:fldCharType="begin"/>
      </w:r>
      <w:r>
        <w:instrText xml:space="preserve"> PAGEREF _Toc4304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_Toc21735 </w:instrText>
      </w:r>
      <w:r>
        <w:fldChar w:fldCharType="separate"/>
      </w:r>
      <w:r>
        <w:rPr>
          <w:rFonts w:hint="eastAsia"/>
          <w:kern w:val="0"/>
        </w:rPr>
        <w:t>3</w:t>
      </w:r>
      <w:r>
        <w:rPr>
          <w:rFonts w:hint="eastAsia"/>
          <w:kern w:val="0"/>
          <w:lang w:eastAsia="zh-CN"/>
        </w:rPr>
        <w:t>、</w:t>
      </w:r>
      <w:r>
        <w:rPr>
          <w:rFonts w:hint="eastAsia"/>
          <w:kern w:val="0"/>
        </w:rPr>
        <w:t>铟评论：铟锭市场交易清淡</w:t>
      </w:r>
      <w:r>
        <w:tab/>
      </w:r>
      <w:r>
        <w:fldChar w:fldCharType="begin"/>
      </w:r>
      <w:r>
        <w:instrText xml:space="preserve"> PAGEREF _Toc21735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_Toc2335 </w:instrText>
      </w:r>
      <w:r>
        <w:fldChar w:fldCharType="separate"/>
      </w:r>
      <w:r>
        <w:rPr>
          <w:kern w:val="0"/>
        </w:rPr>
        <w:t>4</w:t>
      </w:r>
      <w:r>
        <w:rPr>
          <w:rFonts w:hint="eastAsia" w:cs="宋体"/>
          <w:kern w:val="0"/>
        </w:rPr>
        <w:t>、碲评论：金属碲市场成交偏淡</w:t>
      </w:r>
      <w:r>
        <w:tab/>
      </w:r>
      <w:r>
        <w:fldChar w:fldCharType="begin"/>
      </w:r>
      <w:r>
        <w:instrText xml:space="preserve"> PAGEREF _Toc2335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_Toc6635 </w:instrText>
      </w:r>
      <w:r>
        <w:fldChar w:fldCharType="separate"/>
      </w:r>
      <w:r>
        <w:rPr>
          <w:rFonts w:hint="eastAsia" w:cs="黑体"/>
        </w:rPr>
        <w:t>二、价格行情</w:t>
      </w:r>
      <w:r>
        <w:tab/>
      </w:r>
      <w:r>
        <w:fldChar w:fldCharType="begin"/>
      </w:r>
      <w:r>
        <w:instrText xml:space="preserve"> PAGEREF _Toc6635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_Toc4703 </w:instrText>
      </w:r>
      <w:r>
        <w:fldChar w:fldCharType="separate"/>
      </w:r>
      <w:r>
        <w:rPr>
          <w:kern w:val="0"/>
        </w:rPr>
        <w:t>1</w:t>
      </w:r>
      <w:r>
        <w:rPr>
          <w:rFonts w:hint="eastAsia" w:cs="宋体"/>
          <w:kern w:val="0"/>
        </w:rPr>
        <w:t>、国际价格</w:t>
      </w:r>
      <w:r>
        <w:tab/>
      </w:r>
      <w:r>
        <w:fldChar w:fldCharType="begin"/>
      </w:r>
      <w:r>
        <w:instrText xml:space="preserve"> PAGEREF _Toc4703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_Toc20207 </w:instrText>
      </w:r>
      <w:r>
        <w:fldChar w:fldCharType="separate"/>
      </w:r>
      <w:r>
        <w:rPr>
          <w:kern w:val="0"/>
        </w:rPr>
        <w:t>2</w:t>
      </w:r>
      <w:r>
        <w:rPr>
          <w:rFonts w:hint="eastAsia" w:cs="宋体"/>
          <w:kern w:val="0"/>
        </w:rPr>
        <w:t>、欧洲鹿特丹小金属价格</w:t>
      </w:r>
      <w:r>
        <w:tab/>
      </w:r>
      <w:r>
        <w:fldChar w:fldCharType="begin"/>
      </w:r>
      <w:r>
        <w:instrText xml:space="preserve"> PAGEREF _Toc20207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_Toc29740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_Toc29740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_Toc19866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_Toc19866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_Toc6156 </w:instrText>
      </w:r>
      <w:r>
        <w:fldChar w:fldCharType="separate"/>
      </w:r>
      <w:r>
        <w:rPr>
          <w:rFonts w:hint="eastAsia" w:ascii="宋体" w:hAnsi="宋体" w:cs="宋体"/>
          <w:bCs/>
          <w:kern w:val="0"/>
          <w:szCs w:val="30"/>
        </w:rPr>
        <w:t>铜陵有色集团公司召开复工复产疫情防控工作会议</w:t>
      </w:r>
      <w:r>
        <w:tab/>
      </w:r>
      <w:r>
        <w:fldChar w:fldCharType="begin"/>
      </w:r>
      <w:r>
        <w:instrText xml:space="preserve"> PAGEREF _Toc6156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_Toc24051 </w:instrText>
      </w:r>
      <w:r>
        <w:fldChar w:fldCharType="separate"/>
      </w:r>
      <w:r>
        <w:rPr>
          <w:rFonts w:hint="eastAsia" w:ascii="宋体" w:hAnsi="宋体" w:cs="宋体"/>
          <w:bCs/>
          <w:kern w:val="0"/>
          <w:szCs w:val="30"/>
        </w:rPr>
        <w:t>陕西有色集团防控疫情稳生产</w:t>
      </w:r>
      <w:r>
        <w:tab/>
      </w:r>
      <w:r>
        <w:fldChar w:fldCharType="begin"/>
      </w:r>
      <w:r>
        <w:instrText xml:space="preserve"> PAGEREF _Toc24051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_Toc24630 </w:instrText>
      </w:r>
      <w:r>
        <w:fldChar w:fldCharType="separate"/>
      </w:r>
      <w:r>
        <w:rPr>
          <w:rFonts w:hint="eastAsia" w:ascii="宋体" w:hAnsi="宋体" w:cs="宋体"/>
          <w:bCs/>
          <w:kern w:val="0"/>
          <w:szCs w:val="30"/>
          <w:lang w:eastAsia="zh-CN"/>
        </w:rPr>
        <w:t>黑龙江省“百大项目”多宝山铜业1月产铜8660吨</w:t>
      </w:r>
      <w:r>
        <w:tab/>
      </w:r>
      <w:r>
        <w:fldChar w:fldCharType="begin"/>
      </w:r>
      <w:r>
        <w:instrText xml:space="preserve"> PAGEREF _Toc24630 </w:instrText>
      </w:r>
      <w:r>
        <w:fldChar w:fldCharType="separate"/>
      </w:r>
      <w:r>
        <w:t>11</w:t>
      </w:r>
      <w:r>
        <w:fldChar w:fldCharType="end"/>
      </w:r>
      <w:r>
        <w:fldChar w:fldCharType="end"/>
      </w:r>
    </w:p>
    <w:p>
      <w:pPr>
        <w:pStyle w:val="17"/>
        <w:tabs>
          <w:tab w:val="right" w:leader="dot" w:pos="8504"/>
          <w:tab w:val="clear" w:pos="9170"/>
        </w:tabs>
      </w:pPr>
      <w:r>
        <w:fldChar w:fldCharType="begin"/>
      </w:r>
      <w:r>
        <w:instrText xml:space="preserve"> HYPERLINK \l _Toc21109 </w:instrText>
      </w:r>
      <w:r>
        <w:fldChar w:fldCharType="separate"/>
      </w:r>
      <w:r>
        <w:rPr>
          <w:rFonts w:hint="eastAsia" w:ascii="宋体" w:hAnsi="宋体" w:cs="宋体"/>
          <w:bCs/>
          <w:kern w:val="0"/>
          <w:szCs w:val="30"/>
        </w:rPr>
        <w:t>葫芦岛有色实现1月生产“开门红”</w:t>
      </w:r>
      <w:r>
        <w:tab/>
      </w:r>
      <w:r>
        <w:fldChar w:fldCharType="begin"/>
      </w:r>
      <w:r>
        <w:instrText xml:space="preserve"> PAGEREF _Toc21109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_Toc29141 </w:instrText>
      </w:r>
      <w:r>
        <w:fldChar w:fldCharType="separate"/>
      </w:r>
      <w:r>
        <w:rPr>
          <w:rFonts w:hint="eastAsia" w:ascii="宋体" w:hAnsi="宋体" w:cs="宋体"/>
          <w:bCs/>
          <w:kern w:val="0"/>
          <w:szCs w:val="30"/>
        </w:rPr>
        <w:t>西南能矿集团科学战疫情 奋力保生产</w:t>
      </w:r>
      <w:r>
        <w:tab/>
      </w:r>
      <w:r>
        <w:fldChar w:fldCharType="begin"/>
      </w:r>
      <w:r>
        <w:instrText xml:space="preserve"> PAGEREF _Toc29141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_Toc19920 </w:instrText>
      </w:r>
      <w:r>
        <w:fldChar w:fldCharType="separate"/>
      </w:r>
      <w:r>
        <w:rPr>
          <w:rFonts w:hint="eastAsia" w:ascii="宋体" w:hAnsi="宋体" w:cs="宋体"/>
          <w:bCs/>
          <w:kern w:val="0"/>
          <w:szCs w:val="30"/>
        </w:rPr>
        <w:t>拿到新能源汽车市场“入场券” 这些品牌准备好了吗</w:t>
      </w:r>
      <w:r>
        <w:tab/>
      </w:r>
      <w:r>
        <w:fldChar w:fldCharType="begin"/>
      </w:r>
      <w:r>
        <w:instrText xml:space="preserve"> PAGEREF _Toc19920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_Toc30271 </w:instrText>
      </w:r>
      <w:r>
        <w:fldChar w:fldCharType="separate"/>
      </w:r>
      <w:r>
        <w:rPr>
          <w:rFonts w:hint="eastAsia" w:ascii="宋体" w:hAnsi="宋体" w:cs="宋体"/>
          <w:bCs/>
          <w:kern w:val="0"/>
          <w:szCs w:val="30"/>
        </w:rPr>
        <w:t>贵州电建拿下丸红 道达尔的卡塔尔＂明星＂电站EP</w:t>
      </w:r>
      <w:r>
        <w:tab/>
      </w:r>
      <w:r>
        <w:fldChar w:fldCharType="begin"/>
      </w:r>
      <w:r>
        <w:instrText xml:space="preserve"> PAGEREF _Toc30271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_Toc18372 </w:instrText>
      </w:r>
      <w:r>
        <w:fldChar w:fldCharType="separate"/>
      </w:r>
      <w:r>
        <w:rPr>
          <w:rFonts w:hint="eastAsia" w:ascii="宋体" w:hAnsi="宋体" w:cs="宋体"/>
          <w:bCs/>
          <w:kern w:val="0"/>
          <w:szCs w:val="30"/>
        </w:rPr>
        <w:t>面板检测隐形冠军 华兴源创进军半导体能否凯旋</w:t>
      </w:r>
      <w:r>
        <w:tab/>
      </w:r>
      <w:r>
        <w:fldChar w:fldCharType="begin"/>
      </w:r>
      <w:r>
        <w:instrText xml:space="preserve"> PAGEREF _Toc18372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_Toc13038 </w:instrText>
      </w:r>
      <w:r>
        <w:fldChar w:fldCharType="separate"/>
      </w:r>
      <w:r>
        <w:rPr>
          <w:rFonts w:hint="eastAsia" w:ascii="宋体" w:hAnsi="宋体" w:cs="宋体"/>
          <w:bCs/>
          <w:kern w:val="0"/>
          <w:szCs w:val="30"/>
        </w:rPr>
        <w:t>中国制冷学会发挥职能 带领行业积极抗击疫情</w:t>
      </w:r>
      <w:r>
        <w:tab/>
      </w:r>
      <w:r>
        <w:fldChar w:fldCharType="begin"/>
      </w:r>
      <w:r>
        <w:instrText xml:space="preserve"> PAGEREF _Toc13038 </w:instrText>
      </w:r>
      <w:r>
        <w:fldChar w:fldCharType="separate"/>
      </w:r>
      <w:r>
        <w:t>27</w:t>
      </w:r>
      <w:r>
        <w:fldChar w:fldCharType="end"/>
      </w:r>
      <w:r>
        <w:fldChar w:fldCharType="end"/>
      </w:r>
    </w:p>
    <w:p>
      <w:pPr>
        <w:pStyle w:val="17"/>
        <w:tabs>
          <w:tab w:val="right" w:leader="dot" w:pos="8504"/>
          <w:tab w:val="clear" w:pos="9170"/>
        </w:tabs>
      </w:pPr>
      <w:r>
        <w:fldChar w:fldCharType="begin"/>
      </w:r>
      <w:r>
        <w:instrText xml:space="preserve"> HYPERLINK \l _Toc5699 </w:instrText>
      </w:r>
      <w:r>
        <w:fldChar w:fldCharType="separate"/>
      </w:r>
      <w:r>
        <w:rPr>
          <w:rFonts w:hint="eastAsia" w:ascii="宋体" w:hAnsi="宋体" w:cs="宋体"/>
          <w:bCs/>
          <w:kern w:val="0"/>
          <w:szCs w:val="30"/>
        </w:rPr>
        <w:t>抗击疫情 欧司朗紫外除菌灯具来帮忙</w:t>
      </w:r>
      <w:r>
        <w:tab/>
      </w:r>
      <w:r>
        <w:fldChar w:fldCharType="begin"/>
      </w:r>
      <w:r>
        <w:instrText xml:space="preserve"> PAGEREF _Toc5699 </w:instrText>
      </w:r>
      <w:r>
        <w:fldChar w:fldCharType="separate"/>
      </w:r>
      <w:r>
        <w:t>29</w:t>
      </w:r>
      <w:r>
        <w:fldChar w:fldCharType="end"/>
      </w:r>
      <w:r>
        <w:fldChar w:fldCharType="end"/>
      </w:r>
    </w:p>
    <w:p>
      <w:pPr>
        <w:pStyle w:val="4"/>
        <w:spacing w:line="400" w:lineRule="exact"/>
        <w:rPr>
          <w:kern w:val="0"/>
        </w:rPr>
      </w:pPr>
      <w:r>
        <w:fldChar w:fldCharType="end"/>
      </w:r>
      <w:bookmarkEnd w:id="0"/>
      <w:bookmarkStart w:id="2" w:name="_Toc10002"/>
      <w:r>
        <w:rPr>
          <w:rFonts w:hint="eastAsia" w:cs="黑体"/>
        </w:rPr>
        <w:t>一、小金属一周评述</w:t>
      </w:r>
      <w:bookmarkEnd w:id="1"/>
      <w:bookmarkEnd w:id="2"/>
    </w:p>
    <w:p>
      <w:pPr>
        <w:pStyle w:val="4"/>
        <w:spacing w:line="400" w:lineRule="exact"/>
        <w:rPr>
          <w:rFonts w:hint="eastAsia"/>
          <w:kern w:val="0"/>
          <w:lang w:val="en-US" w:eastAsia="zh-CN"/>
        </w:rPr>
      </w:pPr>
      <w:bookmarkStart w:id="3" w:name="_Toc28171"/>
      <w:r>
        <w:rPr>
          <w:rFonts w:hint="eastAsia"/>
          <w:kern w:val="0"/>
        </w:rPr>
        <w:t>1、硒评论</w:t>
      </w:r>
      <w:r>
        <w:rPr>
          <w:rFonts w:hint="eastAsia"/>
          <w:kern w:val="0"/>
          <w:lang w:eastAsia="zh-CN"/>
        </w:rPr>
        <w:t>：锰价大幅上涨 硒市平稳运行</w:t>
      </w:r>
      <w:bookmarkEnd w:id="3"/>
    </w:p>
    <w:p>
      <w:pPr>
        <w:pStyle w:val="18"/>
        <w:keepNext w:val="0"/>
        <w:keepLines w:val="0"/>
        <w:widowControl/>
        <w:suppressLineNumbers w:val="0"/>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w:t>
      </w:r>
      <w:r>
        <w:rPr>
          <w:rFonts w:hint="eastAsia" w:ascii="仿宋_GB2312" w:hAnsi="宋体" w:eastAsia="仿宋_GB2312" w:cs="仿宋_GB2312"/>
          <w:kern w:val="0"/>
          <w:sz w:val="28"/>
          <w:szCs w:val="28"/>
          <w:lang w:val="en-US" w:eastAsia="zh-CN"/>
        </w:rPr>
        <w:t>25</w:t>
      </w:r>
      <w:r>
        <w:rPr>
          <w:rFonts w:hint="default" w:ascii="仿宋_GB2312" w:hAnsi="宋体" w:eastAsia="仿宋_GB2312" w:cs="仿宋_GB2312"/>
          <w:kern w:val="0"/>
          <w:sz w:val="28"/>
          <w:szCs w:val="28"/>
          <w:lang w:val="en-US" w:eastAsia="zh-CN"/>
        </w:rPr>
        <w:t>00-1</w:t>
      </w:r>
      <w:r>
        <w:rPr>
          <w:rFonts w:hint="eastAsia" w:ascii="仿宋_GB2312" w:hAnsi="宋体" w:eastAsia="仿宋_GB2312" w:cs="仿宋_GB2312"/>
          <w:kern w:val="0"/>
          <w:sz w:val="28"/>
          <w:szCs w:val="28"/>
          <w:lang w:val="en-US" w:eastAsia="zh-CN"/>
        </w:rPr>
        <w:t>30</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上涨1000</w:t>
      </w:r>
      <w:r>
        <w:rPr>
          <w:rFonts w:hint="default" w:ascii="仿宋_GB2312" w:hAnsi="宋体" w:eastAsia="仿宋_GB2312" w:cs="仿宋_GB2312"/>
          <w:kern w:val="0"/>
          <w:sz w:val="28"/>
          <w:szCs w:val="28"/>
          <w:lang w:val="en-US" w:eastAsia="zh-CN"/>
        </w:rPr>
        <w:t>元/吨</w:t>
      </w:r>
      <w:r>
        <w:rPr>
          <w:rFonts w:hint="eastAsia" w:ascii="仿宋_GB2312" w:hAnsi="宋体" w:eastAsia="仿宋_GB2312" w:cs="仿宋_GB2312"/>
          <w:kern w:val="0"/>
          <w:sz w:val="28"/>
          <w:szCs w:val="28"/>
          <w:lang w:val="en-US" w:eastAsia="zh-CN"/>
        </w:rPr>
        <w:t>，最高价较上周五上涨1300</w:t>
      </w:r>
      <w:r>
        <w:rPr>
          <w:rFonts w:hint="default" w:ascii="仿宋_GB2312" w:hAnsi="宋体" w:eastAsia="仿宋_GB2312" w:cs="仿宋_GB2312"/>
          <w:kern w:val="0"/>
          <w:sz w:val="28"/>
          <w:szCs w:val="28"/>
          <w:lang w:val="en-US" w:eastAsia="zh-CN"/>
        </w:rPr>
        <w:t>元/吨。目前</w:t>
      </w:r>
      <w:r>
        <w:rPr>
          <w:rFonts w:hint="eastAsia" w:ascii="仿宋_GB2312" w:hAnsi="宋体" w:eastAsia="仿宋_GB2312" w:cs="仿宋_GB2312"/>
          <w:kern w:val="0"/>
          <w:sz w:val="28"/>
          <w:szCs w:val="28"/>
          <w:lang w:val="en-US" w:eastAsia="zh-CN"/>
        </w:rPr>
        <w:t>国内</w:t>
      </w:r>
      <w:r>
        <w:rPr>
          <w:rFonts w:hint="default" w:ascii="仿宋_GB2312" w:hAnsi="宋体" w:eastAsia="仿宋_GB2312" w:cs="仿宋_GB2312"/>
          <w:kern w:val="0"/>
          <w:sz w:val="28"/>
          <w:szCs w:val="28"/>
          <w:lang w:val="en-US" w:eastAsia="zh-CN"/>
        </w:rPr>
        <w:t>电解锰</w:t>
      </w:r>
      <w:r>
        <w:rPr>
          <w:rFonts w:hint="eastAsia" w:ascii="仿宋_GB2312" w:hAnsi="宋体" w:eastAsia="仿宋_GB2312" w:cs="仿宋_GB2312"/>
          <w:kern w:val="0"/>
          <w:sz w:val="28"/>
          <w:szCs w:val="28"/>
          <w:lang w:val="en-US" w:eastAsia="zh-CN"/>
        </w:rPr>
        <w:t>市场价格一路飙升。近日，除宁夏和新疆地区开工稳定外，其他地区厂家暂未有新的复产消息。下游200系钢厂计划减产，其原因在于原材料价格大涨，以及销售压力加大。</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w:t>
      </w:r>
      <w:r>
        <w:rPr>
          <w:rFonts w:hint="eastAsia" w:ascii="仿宋_GB2312" w:hAnsi="宋体" w:eastAsia="仿宋_GB2312" w:cs="仿宋_GB2312"/>
          <w:kern w:val="0"/>
          <w:sz w:val="28"/>
          <w:szCs w:val="28"/>
          <w:lang w:val="en-US" w:eastAsia="zh-CN"/>
        </w:rPr>
        <w:t>5.7</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6.8</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。欧洲鹿特丹市场硒粉报价6.</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5美元/磅，价格较上周五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。本周国内硒粉市场价格在9</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-120元/公斤，</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。目前国内硒粉市场价格稳定。</w:t>
      </w:r>
      <w:r>
        <w:rPr>
          <w:rFonts w:hint="eastAsia" w:ascii="仿宋_GB2312" w:hAnsi="宋体" w:eastAsia="仿宋_GB2312" w:cs="仿宋_GB2312"/>
          <w:kern w:val="0"/>
          <w:sz w:val="28"/>
          <w:szCs w:val="28"/>
          <w:lang w:val="en-US" w:eastAsia="zh-CN"/>
        </w:rPr>
        <w:t>大</w:t>
      </w:r>
      <w:r>
        <w:rPr>
          <w:rFonts w:hint="default" w:ascii="仿宋_GB2312" w:hAnsi="宋体" w:eastAsia="仿宋_GB2312" w:cs="仿宋_GB2312"/>
          <w:kern w:val="0"/>
          <w:sz w:val="28"/>
          <w:szCs w:val="28"/>
          <w:lang w:val="en-US" w:eastAsia="zh-CN"/>
        </w:rPr>
        <w:t>部分厂家</w:t>
      </w:r>
      <w:r>
        <w:rPr>
          <w:rFonts w:hint="eastAsia" w:ascii="仿宋_GB2312" w:hAnsi="宋体" w:eastAsia="仿宋_GB2312" w:cs="仿宋_GB2312"/>
          <w:kern w:val="0"/>
          <w:sz w:val="28"/>
          <w:szCs w:val="28"/>
          <w:lang w:val="en-US" w:eastAsia="zh-CN"/>
        </w:rPr>
        <w:t>逐渐开始复工，但物流尚未正常运行，导致成交稀少</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二氧化硒方面，价格在5</w:t>
      </w:r>
      <w:r>
        <w:rPr>
          <w:rFonts w:hint="eastAsia" w:ascii="仿宋_GB2312" w:hAnsi="宋体" w:eastAsia="仿宋_GB2312" w:cs="仿宋_GB2312"/>
          <w:kern w:val="0"/>
          <w:sz w:val="28"/>
          <w:szCs w:val="28"/>
          <w:lang w:val="en-US" w:eastAsia="zh-CN"/>
        </w:rPr>
        <w:t>8</w:t>
      </w:r>
      <w:r>
        <w:rPr>
          <w:rFonts w:hint="default" w:ascii="仿宋_GB2312" w:hAnsi="宋体" w:eastAsia="仿宋_GB2312" w:cs="仿宋_GB2312"/>
          <w:kern w:val="0"/>
          <w:sz w:val="28"/>
          <w:szCs w:val="28"/>
          <w:lang w:val="en-US" w:eastAsia="zh-CN"/>
        </w:rPr>
        <w:t>-6</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元/公斤，均价较上一个交易日</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。目前二硒现货市场价格趋于平稳，成交气氛偏淡。近期受到疫情影响，部分工厂尚未开工，上下游普遍观望后市。预计短期内</w:t>
      </w:r>
      <w:r>
        <w:rPr>
          <w:rFonts w:hint="eastAsia" w:ascii="仿宋_GB2312" w:hAnsi="宋体" w:eastAsia="仿宋_GB2312" w:cs="仿宋_GB2312"/>
          <w:kern w:val="0"/>
          <w:sz w:val="28"/>
          <w:szCs w:val="28"/>
          <w:lang w:val="en-US" w:eastAsia="zh-CN"/>
        </w:rPr>
        <w:t>二硒</w:t>
      </w:r>
      <w:r>
        <w:rPr>
          <w:rFonts w:hint="default" w:ascii="仿宋_GB2312" w:hAnsi="宋体" w:eastAsia="仿宋_GB2312" w:cs="仿宋_GB2312"/>
          <w:kern w:val="0"/>
          <w:sz w:val="28"/>
          <w:szCs w:val="28"/>
          <w:lang w:val="en-US" w:eastAsia="zh-CN"/>
        </w:rPr>
        <w:t>市场或将</w:t>
      </w:r>
      <w:r>
        <w:rPr>
          <w:rFonts w:hint="eastAsia" w:ascii="仿宋_GB2312" w:hAnsi="宋体" w:eastAsia="仿宋_GB2312" w:cs="仿宋_GB2312"/>
          <w:kern w:val="0"/>
          <w:sz w:val="28"/>
          <w:szCs w:val="28"/>
          <w:lang w:val="en-US" w:eastAsia="zh-CN"/>
        </w:rPr>
        <w:t>平稳</w:t>
      </w:r>
      <w:r>
        <w:rPr>
          <w:rFonts w:hint="default" w:ascii="仿宋_GB2312" w:hAnsi="宋体" w:eastAsia="仿宋_GB2312" w:cs="仿宋_GB2312"/>
          <w:kern w:val="0"/>
          <w:sz w:val="28"/>
          <w:szCs w:val="28"/>
          <w:lang w:val="en-US" w:eastAsia="zh-CN"/>
        </w:rPr>
        <w:t>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分析评述：目前来看，本周</w:t>
      </w:r>
      <w:r>
        <w:rPr>
          <w:rFonts w:hint="eastAsia" w:ascii="仿宋_GB2312" w:hAnsi="宋体" w:eastAsia="仿宋_GB2312" w:cs="仿宋_GB2312"/>
          <w:kern w:val="0"/>
          <w:sz w:val="28"/>
          <w:szCs w:val="28"/>
          <w:lang w:val="en-US" w:eastAsia="zh-CN"/>
        </w:rPr>
        <w:t>国内</w:t>
      </w:r>
      <w:r>
        <w:rPr>
          <w:rFonts w:hint="default" w:ascii="仿宋_GB2312" w:hAnsi="宋体" w:eastAsia="仿宋_GB2312" w:cs="仿宋_GB2312"/>
          <w:kern w:val="0"/>
          <w:sz w:val="28"/>
          <w:szCs w:val="28"/>
          <w:lang w:val="en-US" w:eastAsia="zh-CN"/>
        </w:rPr>
        <w:t>硒</w:t>
      </w:r>
      <w:r>
        <w:rPr>
          <w:rFonts w:hint="eastAsia" w:ascii="仿宋_GB2312" w:hAnsi="宋体" w:eastAsia="仿宋_GB2312" w:cs="仿宋_GB2312"/>
          <w:kern w:val="0"/>
          <w:sz w:val="28"/>
          <w:szCs w:val="28"/>
          <w:lang w:val="en-US" w:eastAsia="zh-CN"/>
        </w:rPr>
        <w:t>市</w:t>
      </w:r>
      <w:r>
        <w:rPr>
          <w:rFonts w:hint="default" w:ascii="仿宋_GB2312" w:hAnsi="宋体" w:eastAsia="仿宋_GB2312" w:cs="仿宋_GB2312"/>
          <w:kern w:val="0"/>
          <w:sz w:val="28"/>
          <w:szCs w:val="28"/>
          <w:lang w:val="en-US" w:eastAsia="zh-CN"/>
        </w:rPr>
        <w:t>市场表现极为清淡，部分工厂对外少有报价，已经开工的报价多以平稳为主</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下游观望情绪较高，实际成交有限</w:t>
      </w:r>
      <w:r>
        <w:rPr>
          <w:rFonts w:hint="eastAsia" w:ascii="仿宋_GB2312" w:hAnsi="宋体" w:eastAsia="仿宋_GB2312" w:cs="仿宋_GB2312"/>
          <w:kern w:val="0"/>
          <w:sz w:val="28"/>
          <w:szCs w:val="28"/>
          <w:lang w:val="en-US" w:eastAsia="zh-CN"/>
        </w:rPr>
        <w:t>。锰厂开工率不高，锰价大幅调整，是否会影响硒市，还看市场消化情况，</w:t>
      </w:r>
      <w:r>
        <w:rPr>
          <w:rFonts w:hint="default" w:ascii="仿宋_GB2312" w:hAnsi="宋体" w:eastAsia="仿宋_GB2312" w:cs="仿宋_GB2312"/>
          <w:kern w:val="0"/>
          <w:sz w:val="28"/>
          <w:szCs w:val="28"/>
          <w:lang w:val="en-US" w:eastAsia="zh-CN"/>
        </w:rPr>
        <w:t>预计未来一段时间内硒市市场或将</w:t>
      </w:r>
      <w:r>
        <w:rPr>
          <w:rFonts w:hint="eastAsia" w:ascii="仿宋_GB2312" w:hAnsi="宋体" w:eastAsia="仿宋_GB2312" w:cs="仿宋_GB2312"/>
          <w:kern w:val="0"/>
          <w:sz w:val="28"/>
          <w:szCs w:val="28"/>
          <w:lang w:val="en-US" w:eastAsia="zh-CN"/>
        </w:rPr>
        <w:t>维稳运行。</w:t>
      </w:r>
    </w:p>
    <w:p>
      <w:pPr>
        <w:pStyle w:val="4"/>
        <w:spacing w:line="400" w:lineRule="exact"/>
        <w:rPr>
          <w:rFonts w:hint="eastAsia"/>
          <w:kern w:val="0"/>
          <w:lang w:val="en-US" w:eastAsia="zh-CN"/>
        </w:rPr>
      </w:pPr>
      <w:bookmarkStart w:id="4" w:name="_Toc4304"/>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：铋锭市场逐渐恢复运行</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中商网讯：本周铋锭市场成交不活跃。疫情期间物流受阻，现货运输困难，致使无法采购，现有库存仅维持长单客户供应。多数消费商尚未返市，需求疲软。预计短期内铋锭市场价格将维持当前水平。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本周国际市场铋锭价格报价在2.45-2.7美元/磅，均价较上周五保持不变。欧洲鹿特丹市场最新报价在2.55美元/磅，价格较上周五保持不变;出口市场价格2.4-2.5美元/磅，均价较上周五保持不变。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本周铋锭市场价格持稳</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截至本周五铋锭主流报价为34000-35000元/吨，均价较上周五持平。目前铋锭市场成交冷淡。因政府规定企业推迟复工，终端需求不旺，消费商返市迟缓。预计短期内铋锭市场价格暂稳。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本周氧化铋报价在39000-41000元/吨，均价较上周五保持不变。目前氧化铋市场价格持稳，成交氛围清淡。受疫情影响，终端消费商延迟复工，市场产量下降。预计短期内氧化铋市场价格暂稳。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分析评述：目前铋锭市场成交清淡。当前没有现货供应，因此暂停对外报价。疫情期间物流不畅，市场成交清淡。部分工厂陆续准备复工，预计未来一段时间内铋锭市场或将逐渐恢复运行。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21735"/>
      <w:r>
        <w:rPr>
          <w:rFonts w:hint="eastAsia"/>
          <w:kern w:val="0"/>
        </w:rPr>
        <w:t>3</w:t>
      </w:r>
      <w:r>
        <w:rPr>
          <w:rFonts w:hint="eastAsia"/>
          <w:kern w:val="0"/>
          <w:lang w:eastAsia="zh-CN"/>
        </w:rPr>
        <w:t>、</w:t>
      </w:r>
      <w:r>
        <w:rPr>
          <w:rFonts w:hint="eastAsia"/>
          <w:kern w:val="0"/>
        </w:rPr>
        <w:t>铟评论：铟锭市场交易清淡</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中商网讯：今日国内精铟成交价格在850-900元/公斤，均价较上一个交易日保持不变。目前</w:t>
      </w:r>
      <w:r>
        <w:rPr>
          <w:rFonts w:hint="eastAsia" w:ascii="仿宋_GB2312" w:hAnsi="宋体" w:eastAsia="仿宋_GB2312" w:cs="仿宋_GB2312"/>
          <w:kern w:val="0"/>
          <w:sz w:val="28"/>
          <w:szCs w:val="28"/>
          <w:lang w:val="en-US" w:eastAsia="zh-CN"/>
        </w:rPr>
        <w:t>铟</w:t>
      </w:r>
      <w:r>
        <w:rPr>
          <w:rFonts w:hint="default" w:ascii="仿宋_GB2312" w:hAnsi="宋体" w:eastAsia="仿宋_GB2312" w:cs="仿宋_GB2312"/>
          <w:kern w:val="0"/>
          <w:sz w:val="28"/>
          <w:szCs w:val="28"/>
          <w:lang w:val="en-US" w:eastAsia="zh-CN"/>
        </w:rPr>
        <w:t>锭市场</w:t>
      </w:r>
      <w:r>
        <w:rPr>
          <w:rFonts w:hint="eastAsia" w:ascii="仿宋_GB2312" w:hAnsi="宋体" w:eastAsia="仿宋_GB2312" w:cs="仿宋_GB2312"/>
          <w:kern w:val="0"/>
          <w:sz w:val="28"/>
          <w:szCs w:val="28"/>
          <w:lang w:val="en-US" w:eastAsia="zh-CN"/>
        </w:rPr>
        <w:t>交易</w:t>
      </w:r>
      <w:r>
        <w:rPr>
          <w:rFonts w:hint="default" w:ascii="仿宋_GB2312" w:hAnsi="宋体" w:eastAsia="仿宋_GB2312" w:cs="仿宋_GB2312"/>
          <w:kern w:val="0"/>
          <w:sz w:val="28"/>
          <w:szCs w:val="28"/>
          <w:lang w:val="en-US" w:eastAsia="zh-CN"/>
        </w:rPr>
        <w:t>清淡</w:t>
      </w:r>
      <w:r>
        <w:rPr>
          <w:rFonts w:hint="eastAsia" w:ascii="仿宋_GB2312" w:hAnsi="宋体" w:eastAsia="仿宋_GB2312" w:cs="仿宋_GB2312"/>
          <w:kern w:val="0"/>
          <w:sz w:val="28"/>
          <w:szCs w:val="28"/>
          <w:lang w:val="en-US" w:eastAsia="zh-CN"/>
        </w:rPr>
        <w:t>，价格持稳</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多数厂家逐渐恢复生产，但物流尚未恢复正常，导致成交量稀少。</w:t>
      </w:r>
      <w:r>
        <w:rPr>
          <w:rFonts w:hint="default" w:ascii="仿宋_GB2312" w:hAnsi="宋体" w:eastAsia="仿宋_GB2312" w:cs="仿宋_GB2312"/>
          <w:kern w:val="0"/>
          <w:sz w:val="28"/>
          <w:szCs w:val="28"/>
          <w:lang w:val="en-US" w:eastAsia="zh-CN"/>
        </w:rPr>
        <w:t>预计短期内精铟市场价格或将持稳运行。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w:t>
      </w:r>
      <w:r>
        <w:rPr>
          <w:rFonts w:hint="eastAsia" w:ascii="仿宋_GB2312" w:hAnsi="宋体" w:eastAsia="仿宋_GB2312" w:cs="仿宋_GB2312"/>
          <w:kern w:val="0"/>
          <w:sz w:val="28"/>
          <w:szCs w:val="28"/>
          <w:lang w:val="en-US" w:eastAsia="zh-CN"/>
        </w:rPr>
        <w:t>当前铟锭价格持稳，商家不接受还盘。由于现货流通不畅，买卖双方更倾向于观望后市。</w:t>
      </w:r>
      <w:r>
        <w:rPr>
          <w:rFonts w:hint="default" w:ascii="仿宋_GB2312" w:hAnsi="宋体" w:eastAsia="仿宋_GB2312" w:cs="仿宋_GB2312"/>
          <w:kern w:val="0"/>
          <w:sz w:val="28"/>
          <w:szCs w:val="28"/>
          <w:lang w:val="en-US" w:eastAsia="zh-CN"/>
        </w:rPr>
        <w:t>预计短期内铟锭市场价格暂不会有大幅变化。</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335"/>
      <w:r>
        <w:rPr>
          <w:kern w:val="0"/>
        </w:rPr>
        <w:t>4</w:t>
      </w:r>
      <w:r>
        <w:rPr>
          <w:rFonts w:hint="eastAsia" w:cs="宋体"/>
          <w:kern w:val="0"/>
        </w:rPr>
        <w:t>、碲评论：金属碲市场成交偏淡</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中商网讯：今日金属碲市场主流价格在330-340元/公斤，均价较上一个交易日保持不变。目前国内碲锭市场价</w:t>
      </w:r>
      <w:r>
        <w:rPr>
          <w:rFonts w:hint="eastAsia" w:ascii="仿宋_GB2312" w:hAnsi="宋体" w:eastAsia="仿宋_GB2312" w:cs="仿宋_GB2312"/>
          <w:kern w:val="0"/>
          <w:sz w:val="28"/>
          <w:szCs w:val="28"/>
          <w:lang w:val="en-US" w:eastAsia="zh-CN"/>
        </w:rPr>
        <w:t>格</w:t>
      </w:r>
      <w:r>
        <w:rPr>
          <w:rFonts w:hint="default" w:ascii="仿宋_GB2312" w:hAnsi="宋体" w:eastAsia="仿宋_GB2312" w:cs="仿宋_GB2312"/>
          <w:kern w:val="0"/>
          <w:sz w:val="28"/>
          <w:szCs w:val="28"/>
          <w:lang w:val="en-US" w:eastAsia="zh-CN"/>
        </w:rPr>
        <w:t>持稳，成交量偏淡。受疫情影响，各厂家推迟复工，产量大大减少。预计短期内</w:t>
      </w:r>
      <w:r>
        <w:rPr>
          <w:rFonts w:hint="eastAsia" w:ascii="仿宋_GB2312" w:hAnsi="宋体" w:eastAsia="仿宋_GB2312" w:cs="仿宋_GB2312"/>
          <w:kern w:val="0"/>
          <w:sz w:val="28"/>
          <w:szCs w:val="28"/>
          <w:lang w:val="en-US" w:eastAsia="zh-CN"/>
        </w:rPr>
        <w:t>碲</w:t>
      </w:r>
      <w:r>
        <w:rPr>
          <w:rFonts w:hint="default" w:ascii="仿宋_GB2312" w:hAnsi="宋体" w:eastAsia="仿宋_GB2312" w:cs="仿宋_GB2312"/>
          <w:kern w:val="0"/>
          <w:sz w:val="28"/>
          <w:szCs w:val="28"/>
          <w:lang w:val="en-US" w:eastAsia="zh-CN"/>
        </w:rPr>
        <w:t>锭市场价格或将持稳运行。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业内人士透露，当前物流暂未恢复畅通，成交量受到很大影响。生产商和采购商均以观望后市为主。预计未来一段时间内碲锭市场或将稳定运行。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6635"/>
      <w:r>
        <w:rPr>
          <w:rFonts w:hint="eastAsia" w:cs="黑体"/>
        </w:rPr>
        <w:t>二、价格行情</w:t>
      </w:r>
      <w:bookmarkEnd w:id="7"/>
    </w:p>
    <w:p>
      <w:pPr>
        <w:pStyle w:val="4"/>
        <w:spacing w:line="400" w:lineRule="exact"/>
        <w:rPr>
          <w:rFonts w:cs="Times New Roman"/>
          <w:kern w:val="0"/>
        </w:rPr>
      </w:pPr>
      <w:bookmarkStart w:id="8" w:name="_Toc4703"/>
      <w:r>
        <w:rPr>
          <w:kern w:val="0"/>
        </w:rPr>
        <w:t>1</w:t>
      </w:r>
      <w:r>
        <w:rPr>
          <w:rFonts w:hint="eastAsia" w:cs="宋体"/>
          <w:kern w:val="0"/>
        </w:rPr>
        <w:t>、国际价格</w:t>
      </w:r>
      <w:bookmarkEnd w:id="8"/>
    </w:p>
    <w:tbl>
      <w:tblPr>
        <w:tblStyle w:val="21"/>
        <w:tblW w:w="8613" w:type="dxa"/>
        <w:tblInd w:w="0" w:type="dxa"/>
        <w:tblLayout w:type="fixed"/>
        <w:tblCellMar>
          <w:top w:w="0" w:type="dxa"/>
          <w:left w:w="108" w:type="dxa"/>
          <w:bottom w:w="0" w:type="dxa"/>
          <w:right w:w="108" w:type="dxa"/>
        </w:tblCellMar>
      </w:tblPr>
      <w:tblGrid>
        <w:gridCol w:w="674"/>
        <w:gridCol w:w="531"/>
        <w:gridCol w:w="583"/>
        <w:gridCol w:w="660"/>
        <w:gridCol w:w="570"/>
        <w:gridCol w:w="540"/>
        <w:gridCol w:w="570"/>
        <w:gridCol w:w="540"/>
        <w:gridCol w:w="600"/>
        <w:gridCol w:w="600"/>
        <w:gridCol w:w="586"/>
        <w:gridCol w:w="480"/>
        <w:gridCol w:w="482"/>
        <w:gridCol w:w="537"/>
        <w:gridCol w:w="660"/>
      </w:tblGrid>
      <w:tr>
        <w:tblPrEx>
          <w:tblCellMar>
            <w:top w:w="0" w:type="dxa"/>
            <w:left w:w="108" w:type="dxa"/>
            <w:bottom w:w="0" w:type="dxa"/>
            <w:right w:w="108" w:type="dxa"/>
          </w:tblCellMar>
        </w:tblPrEx>
        <w:trPr>
          <w:trHeight w:val="300" w:hRule="atLeast"/>
        </w:trPr>
        <w:tc>
          <w:tcPr>
            <w:tcW w:w="8613"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3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1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19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3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1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97"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2</w:t>
            </w:r>
            <w:r>
              <w:rPr>
                <w:rFonts w:hint="eastAsia" w:ascii="仿宋_GB2312" w:hAnsi="宋体" w:eastAsia="仿宋_GB2312" w:cs="宋体"/>
                <w:kern w:val="0"/>
              </w:rPr>
              <w:t>月</w:t>
            </w:r>
            <w:r>
              <w:rPr>
                <w:rFonts w:hint="eastAsia" w:ascii="仿宋_GB2312" w:hAnsi="宋体" w:eastAsia="仿宋_GB2312" w:cs="宋体"/>
                <w:kern w:val="0"/>
                <w:lang w:val="en-US" w:eastAsia="zh-CN"/>
              </w:rPr>
              <w:t>12</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2.45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116</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123</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117</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58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53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20207"/>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1.19</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1091.5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155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1.19</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157.5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1091.5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155</w:t>
            </w:r>
          </w:p>
        </w:tc>
      </w:tr>
    </w:tbl>
    <w:p>
      <w:pPr>
        <w:rPr>
          <w:rFonts w:cs="Times New Roman"/>
        </w:rPr>
      </w:pPr>
    </w:p>
    <w:p>
      <w:pPr>
        <w:pStyle w:val="4"/>
        <w:numPr>
          <w:ilvl w:val="0"/>
          <w:numId w:val="1"/>
        </w:numPr>
        <w:spacing w:line="400" w:lineRule="exact"/>
        <w:rPr>
          <w:rFonts w:cs="宋体"/>
          <w:kern w:val="0"/>
        </w:rPr>
      </w:pPr>
      <w:bookmarkStart w:id="10" w:name="_Toc29740"/>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14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19866"/>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6156"/>
      <w:r>
        <w:rPr>
          <w:rFonts w:hint="eastAsia" w:ascii="宋体" w:hAnsi="宋体" w:cs="宋体"/>
          <w:b/>
          <w:bCs/>
          <w:kern w:val="0"/>
          <w:sz w:val="30"/>
          <w:szCs w:val="30"/>
        </w:rPr>
        <w:t>铜陵有色集团公司召开复工复产疫情防控工作会议</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7日上午，铜陵有色金属集团公司召开企业复工复产后疫情防控工作会议，安排部署二级单位疫情防控和有序推进复工复产工作。强调要在抓好疫情防控各项举措落实前提下，有序做到复工复产，确保集团公司疫情防控与企业复工复产“两手抓,两不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陵有色金属集团公司党委委员、副总经理胡新付主持会议并讲话。会上，集团公司生产机动部汇报了《铜陵市企业开复工和疫情防控工作实施方案》和集团公司新冠肺炎疫情防控措施落实情况;二级单位汇报了复工复产防护用品和防护措施落实情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胡新付指出，在严格防控疫情的基础上有序恢复生产，是贯彻落实上级决策部署的实际行动，也是企业生存发展的需要，是关集团公司的大局稳定。各二级单位要周密制定疫情防控和复工复产方案，严格按照要求做好报批工作;复工复产暂时有困难的单位，要按照轻重缓急、保主保重、市场需求与效益等原则，有计划、有步骤逐步恢复正常生产秩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胡新付强调，企业复工复产后，要严格落实疫情防控和安全环保主体责任，全面掌握员工身体健康状况;要严格按照集团公司疫情防控要求，做到思想不松、力度不减，严而又严、细而又细做好返岗人员情况摸排、企业生产生活管理等工作，对疫情重点地区返岗人员和员工食堂、通勤车等人员聚集地方要重点防范，做到一个不漏。</w:t>
      </w:r>
    </w:p>
    <w:p>
      <w:pPr>
        <w:widowControl/>
        <w:jc w:val="left"/>
        <w:outlineLvl w:val="1"/>
        <w:rPr>
          <w:rFonts w:ascii="宋体" w:hAnsi="宋体" w:cs="宋体"/>
          <w:b/>
          <w:bCs/>
          <w:kern w:val="0"/>
          <w:sz w:val="30"/>
          <w:szCs w:val="30"/>
        </w:rPr>
      </w:pPr>
      <w:bookmarkStart w:id="13" w:name="_Toc24051"/>
      <w:r>
        <w:rPr>
          <w:rFonts w:hint="eastAsia" w:ascii="宋体" w:hAnsi="宋体" w:cs="宋体"/>
          <w:b/>
          <w:bCs/>
          <w:kern w:val="0"/>
          <w:sz w:val="30"/>
          <w:szCs w:val="30"/>
        </w:rPr>
        <w:t>陕西有色集团防控疫情稳生产</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10日，据公司消息，陕西有色集团在做好防控新冠肺炎疫情工作的同时，持续抓好春节期间未停产企业的正常生产，稳步有序组织其他权属企业复工复产，尽最大努力保障生产平稳运行，助力全省打胜经济发展保卫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金钼集团</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1月份以来，面对疫情不断蔓延的严峻形势，金钼集团在扎实做好防控工作的同时，努力克服物资紧缺、岗位人员不足、产品运输困难等不利影响，锚定全年任务，紧抓生产不放松，超额完成了当期主要生产经营指标。春节期间，党员突击队定期对班组休息室和岗位值班室进行消毒，操作人员时刻关注着生产运行状况，进行岗位巡查。公司主要生产现场的机器轰鸣声从未停止，各作业现场一派紧张有序的忙碌景象。据统计，1月份，公司露天矿采剥量完成月计划的102.57%，百花岭选矿厂处理矿量完成月计划的102.59%，特级品钼精矿实物量完成月计划的176.95%，一级品钼精矿实物量完成月计划的125.17%，金属分公司钼粉、钼制品产量分别完成月计划的102.72%和103.52%。</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宝钛集团</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2月10日，节后上班的第一天，在宝钛集团钛带材料公司，一线职工一大早就来到整洁的生产车间，在完成自身消毒防护工作后，逐一开启了酸洗、轴磨、拉弯矫直等7条生产线20余套设备。公司一车间主任李晓军介绍，复工前公司就利用各种方式完成了对职工的疫情排查、安全隐患排查、疫情防控知识告知等工作，从今天起将全力组织推动复工生产，争取把停产期间落下的生产进度赶回来。近期，公司的生产重心将放在军品、急需安排的民品以及出口产品等重点合同任务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榆林新材料</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榆林新材料公司拥有国内第一条煤电铝完整产业链，因产业的特殊性，春节期间干部职工仍坚守岗位坚持生产。在疫情面前，党员干部发挥战斗精神和奉献精神，迎难而上、勇挑重担，用实际行动保障生产生活平稳有序。公司所有值班人员停休不停产，确保生产不间断。今年1月份，公司累计完成铝锭产量50411吨，阳极24502组，发电量86230万千瓦时，原煤产量682188吨，所有产品产量均完成月计划，交出了一份亮丽的答卷，实现了生产“开门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地矿集团 黄金集团</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地矿集团、黄金集团在职工返岗前对所有办公、生活区域及职工食堂开展了全面的防疫消毒，保障到岗职工生命安全和身体健康。各队部、矿部等人员密集部门，纷纷采取居家办公、错峰上岗、弹性工作等形式，利用信息化手段，多种形式组织复工复产。干部职工表示，要迎难而上，主动作为，在确保安全的前提下，紧盯目标，科学谋划，奋力生产，助力稳增长各项目标任务的完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汉中锌业</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2月10日，汉中锌业电锌生产线电解工序机声隆隆、秩序井然，一线职工头戴红色安全帽、身穿天蓝色工装在生产线上穿梭。车间主任谢苏龙说，疫情当前，保生产就是保饭碗，从大年三十到现在，他们就一直忙生产。在高纯锌片区硫酸车间，职工们三班倒坚守岗位也已经半个多月。在熔铸车间生产线，机声隆隆、热气腾腾，刚下线的锌锭随着运输履带缓缓运行、银光闪闪，“我们一定要保质保量地把锌皮转化成产品。这个春节任务艰巨，虽然艰难，但我们累并快乐着……”熔铸车间党支部书记、车间主任赵全章说出了3000多名春节期间坚守岗位的有色汉锌人的共同心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铅硐山矿业 旺峪矿业</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在疫情面前，铅硐山矿业、旺峪矿业公司坚持疫情防控与生产经营两手抓、两不误，最大限度降低疫情对生产经营活动的不利影响。春节以来，该公司在做好疫情防控，确保“零疫情”的前提下，坚持“计划不变、任务不减、指标不调”，聚焦全年目标任务科学组织生产，根据人员返岗情况合理调整生产班次，实行弹性工作，实现了疫情防控期间生产不断档。目前，该公司原矿供给、出矿品位、铅锌金属产量等各项指标总体趋于稳定，为新的一年稳增长起好步、开好局奠定了良好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天瑞硅材料</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春节前，天瑞硅材料公司质量部工程师李朋飞便带领实验室技术人员同美国REC公司实验室专家为企业技术提升项目连续奋战。春节假期，作为一名共产党员他又自愿留守值班，把回家的机会让给了同事。新冠肺炎疫情爆发后，他再次放弃休假机会，带领职工抗击疫情、稳定生产，目前已连续上班30多天。公司党群工作部主任胡磊介绍，疫情发生以来，公司值班人员无怨无悔，留守一线，本地员工积极申请返厂，保障生产运行，仅1月26日至2月6日，公司就生产粒状硅153吨、超纯硅1.6吨、硅烷气207吨，保持了良好的生产势头。</w:t>
      </w:r>
    </w:p>
    <w:p>
      <w:pPr>
        <w:widowControl/>
        <w:jc w:val="left"/>
        <w:outlineLvl w:val="1"/>
        <w:rPr>
          <w:rFonts w:ascii="宋体" w:hAnsi="宋体" w:cs="宋体"/>
          <w:b/>
          <w:bCs/>
          <w:kern w:val="0"/>
          <w:sz w:val="30"/>
          <w:szCs w:val="30"/>
        </w:rPr>
      </w:pPr>
      <w:bookmarkStart w:id="14" w:name="_Toc24630"/>
      <w:r>
        <w:rPr>
          <w:rFonts w:hint="eastAsia" w:ascii="宋体" w:hAnsi="宋体" w:cs="宋体"/>
          <w:b/>
          <w:bCs/>
          <w:kern w:val="0"/>
          <w:sz w:val="30"/>
          <w:szCs w:val="30"/>
          <w:lang w:eastAsia="zh-CN"/>
        </w:rPr>
        <w:t>黑龙江省“百大项目”多宝山铜业1月产铜8660吨</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多宝山铜业股份有限公司是黑龙江省“百大项目”中今年第一个开工的企业。在疫情防控期间，公司结合企业自身人员相对固定、排班计划早等实际情况，防疫和生产同步进行，1月份实现产铜8660吨，税收7000万元，实现了首月开门红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坐落在嫩江市多宝山镇的多宝山铜业股份有限公司，自开工以来，严格按照省市要求，制定春节期间生产经营计划，按半年生产使用量，储备钢球、药剂等重要生产物资;建立春节期间考核机制，规定露采施工单位人员出勤率和设备运转率不低于85%以上要求，快速启动了省“百大项目”铜山矿采矿剥离，实现铜精矿尽产尽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介绍，疫情发生后，多宝山铜业研究部署疫情防控工作，集中力量做好疫情防控工作，形成联防联控机制。加强舆论引导，大力提倡口罩文化，确保措施落实到具体行动上，严防死守、严管严控，扎实做好疫情防控各项工作。疫情未解除期间，现阶段在矿的所有人员，坚决秉承“只出不进”的原则。组织做好公共场所的公共卫生消毒、食堂食材的检测等区域防范工作，坚决遏制外来病毒入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该企业充分做好疫情防控的物资储备工作，多渠道申报采购长期应对疫情持久战的物资储备;暂缓黑河市以外休假人员返岗;在保障生产经营情况下，后期将根据地方政府部门要求，分批次组织安排省内休假人员返岗，返岗人员全程进行跟踪和监控，待检测合格后，方可正常返回本职岗位。</w:t>
      </w:r>
    </w:p>
    <w:p>
      <w:pPr>
        <w:widowControl/>
        <w:jc w:val="left"/>
        <w:outlineLvl w:val="1"/>
        <w:rPr>
          <w:rFonts w:ascii="宋体" w:hAnsi="宋体" w:cs="宋体"/>
          <w:bCs/>
          <w:kern w:val="0"/>
          <w:sz w:val="30"/>
          <w:szCs w:val="30"/>
        </w:rPr>
      </w:pPr>
      <w:bookmarkStart w:id="15" w:name="_Toc21109"/>
      <w:r>
        <w:rPr>
          <w:rFonts w:hint="eastAsia" w:ascii="宋体" w:hAnsi="宋体" w:cs="宋体"/>
          <w:b/>
          <w:bCs/>
          <w:kern w:val="0"/>
          <w:sz w:val="30"/>
          <w:szCs w:val="30"/>
        </w:rPr>
        <w:t>葫芦岛有色实现1月生产“开门红”</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年伊始，在举国上下按照党中央、国务院的重要指示精神和要求，万众一心抗击新型冠状病毒感染的肺炎疫情的关键时期，中冶葫芦岛有色金属集团有限公司高度重视，火速响应，强力贯彻落实各级要求，以最严肃的态度，最严格的防范、最严密的措施，坚定信心、团结一心，奋力抗击疫情，确保葫芦岛有色家园、人员平安，实现生产稳定运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早在春节前夕，葫芦岛有色就成立了防治新型冠状病毒感染的肺炎疫情领导小组，下发了《关于进一步做好新型冠状病毒感染的肺炎疫情防控期间相关工作的通知》，明确职责，统一作战，分兵把守，采取强力举措，将防疫工作一再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最大限度地避免人群聚集而导致病毒传染和传播风险，从公司层面到各冶炼系统，各作业区、各班组，充分利用网络办公系统、微信工作群、手机电话等通讯方式及时传达防疫工作指示和要求;在各级党组织和广大党员干部之间转发《中共葫芦岛市国资委委员会致各企业党组织和广大党员干部的倡议书》;利用葫芦岛有色所属媒体播发防控疫情公益广告，普及科学防控常识，迅速形成了全员思想上高度重视和行动高度统一的积极强劲态势，推动了防疫战线和生产战线各项工作齐头并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葫芦岛有色对办公场所，生产主控室、员工休息室、食堂、通勤车、电梯间等公共重点区域勤消毒，做好清洁卫生，通风换气等工作;不断强化员工个人防护，无论是进厂上岗还是上下班路上，必须正确佩戴口罩，勤洗手，保持卫生，对当班员工身体状况加强检查并进行体温监测;不断深入细化员工相关信息调查，对所有员工及其亲属，从外地返回未满观察期，期间有密切接触的，一律在家隔离，渡过观察期无不良症状的方可正常上班。公司通过网络办公系统将生产计划和安排部署电子版下发到各单位，确保生产计划工作在规定时间节点内得到高质量完成;全面加强了各类设备的日常巡检、隐患排查整改及预检修，全力沟通，积极组织，确保各种物资特别是急需的备品备件高效率落实到位，满足生产需要，合理安排上岗人数，尽量减少人员聚集，确保人员安全、生产稳定。各级党员干部更是秉持初心、牢记使命，勇担重责，率先垂范，不仅提前来到岗位上做好消毒，排查，不放过任何一处遗漏，并以身作则，做好自身防护示范，正确引导教育岗位员工坚持良好的卫生习惯，既高度重视疫情防控，克服麻痹大意侥幸心理，又稳定员工思想情绪，以良好的状态投入生产工作中。对临时性岗位缺员，其他员工主动补岗，默默无闻奉献，尽职尽责，以实际行动与这场疫情做力所能及的斗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份，葫芦岛有色有色金属总量完成3.57万吨、化工产品总量8.2万吨，工业总产值12.8亿元，实现了首月“开门红”。这来之不易的成绩不仅极大坚定了广大干部员工的信心，更鼓舞了斗志。现阶段，葫芦岛有色全员持续绷紧防疫工作这根弦，严抓疫情防控，抓实安全生产，不打赢这场防疫阻击战，决不收兵。</w:t>
      </w:r>
    </w:p>
    <w:p>
      <w:pPr>
        <w:widowControl/>
        <w:jc w:val="left"/>
        <w:outlineLvl w:val="1"/>
        <w:rPr>
          <w:rFonts w:ascii="宋体" w:hAnsi="宋体" w:cs="宋体"/>
          <w:b/>
          <w:bCs/>
          <w:kern w:val="0"/>
          <w:sz w:val="30"/>
          <w:szCs w:val="30"/>
        </w:rPr>
      </w:pPr>
      <w:bookmarkStart w:id="16" w:name="_Toc29141"/>
      <w:r>
        <w:rPr>
          <w:rFonts w:hint="eastAsia" w:ascii="宋体" w:hAnsi="宋体" w:cs="宋体"/>
          <w:b/>
          <w:bCs/>
          <w:kern w:val="0"/>
          <w:sz w:val="30"/>
          <w:szCs w:val="30"/>
        </w:rPr>
        <w:t>西南能矿集团科学战疫情 奋力保生产</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面对来势汹汹的新型冠状病毒感染的肺炎疫情，西南能矿集团党委坚持把打赢疫情防控阻击战作为当前最大的政治任务，集团上下联动、众志成城、同心战疫、共克时艰，为疫情防控凝聚起强大的“西能力量”。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集团党委：坚决扛起疫情防控政治责任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发生以来，西南能矿集团党委高度重视，全面部署，要求各级党组织深入学习贯彻习近平总书记关于疫情防控工作的重要指示精神和党中央、国务院、贵州省委省政府的重要部署，增强政治意识，提高政治站位，践行初心使命，强化责任担当，团结依靠群众，强化舆论引导，充分发挥各级党组织的战斗堡垒作用，动员广大党员发扬不畏艰险、无私奉献的精神，在疫情防控中亮身份、当先锋、作表率，带头做到不串门、不集会、不聚餐，有效切断病毒传播途径，共同营造应对疫情联防联控、群防群控的氛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公司党委还要求，各级党组织要注重在疫情防控阻击战中考察和识别干部，把党员干部在疫情防控工作中的表现作为评先选优、干部选拔任用的重要依据，对在防治工作中表现突出的要予以嘉奖、大胆使用。要严格政治纪律和政治规矩，对工作不力、失职渎职影响疫情防控的单位和个人，集团党委和纪委将严肃追责问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强化领导，上下联动，有序开展防控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西南能矿集团成立了疫情防控领导小组，设立工作机构，靠前指挥，研判形势，全力抗疫;制订了集团公司疫情防控应对预案和重大措施，统一指挥协调疫情防控及复产复工等相关工作，全力保护员工群众生命安全和身体健康。各权属公司迅速落实集团部署，成立应急小组，启动应急预案，切实担负起疫情防控责任，有序开展疫情应对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公司疫情防控领导小组第一时间下发“疫情防控措施实施意见”，要求滞留湖北等疫情严重地区的员工及有湖北地区人员接触史的员工做好自我隔离，根据公司安排返岗。实行零报告、日报告制度，对员工及家属身体情况和跨区流动情况进行全面统计和分类管理。集团总部、各权属公司多方协调，积极做好防疫物资储备，购置口罩、喷雾器、测温仪、消毒液、酒精等防控物资，开展爱国卫生运动，每天对工作场所和社区进行防疫消毒，做到值班或在岗员工测温全覆盖。做好安全提醒，要求休假员工自行开展体温监测，杜绝集会聚餐、出入公共场所等，并督促其亲友提高防护意识，通过微信公众号、微信工作群等转发上级工作部署和防疫知识，全方位、多角度、多层次普及疫情防控相关知识和防控措施，全面加强疫情防控知识宣传和舆情管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权属公司西能建工召开新型冠状病毒肺炎疫情防控工作会议，要求打好防疫攻坚战，对复工后疫情防控工作作出详细安排。遵义能矿召开疫情防控领导小组视频会议，传达学习上级、集团疫情防控文件精神，深入权属同兴源公司检查督导疫情防控工作。能矿锰业加强门卫管控，做好节后返厂人员的登记填报和摸排工作，实行外出报备制度，落实口罩、手套等保障物资，并对食堂就餐、个人卫生、办公区域消毒等工作进行了细致安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科学调度：疫情防控与复工生产“两不误”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既谋眼前，又思长远。在疫情防控关键时期，确保社会经济平稳运行，抗击疫情的战斗力才能更加持久。西南能矿集团统筹考虑复产复工面临的各项风险挑战，提前谋划、周密部署，为战“疫”再添战斗力。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制定完善防疫举措是特殊时期复工的第一道安全关卡。集团公司严格内部管理，对节后复工、疫情报告、内部防控、物资调度、会议活动、值班考勤等进行了统一规范，特别对员工返岗进行了详细规定和要求。从1月底开始，集团总部和各权属公司都开始加强了舆论引导，多渠道宣传普及疫情防护措施，保障企业顺畅复工，职工安全返岗，为生产经营打下坚实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能矿锰业公司春节期间一直保持正常生产运行。2月2日，西南能矿集团召开2020年第一次微信视频会议，听取能矿锰业公司近期生产期间疫情防控工作情况汇报，对疫情防控及生产组织进行了详细周密的安排部署。会议要求，要提前谋划防控疫情关键时期项目稳定生产运行工作安排，做好厂区内公共卫生区域消毒防疫工作，积极配合地方政府做好疫情联防联控工作，特别要创新生产管理方式，多采用视频会议方式，积极开展可行的室内工作，减少或杜绝人员聚集。目前，能矿锰业生产现场一派繁忙景象，生产秩序井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挡不住拼搏的干劲，口罩遮不住奋斗的笑脸。集团公司党委书记、董事长赵震海要求，在当前疫情防控关键时期，集团上下要认真落实各项防控措施，抓好统筹兼顾，在保障员工生命安全和身体健康的前提下，确保疫情防控和生产经营“两不误”。西南能矿集团广大干部员工表示，要以更昂扬的斗志战胜疫情，以更饱满的热情投入工作，共同打赢这场没有硝烟的抗疫战争。</w:t>
      </w:r>
    </w:p>
    <w:p>
      <w:pPr>
        <w:widowControl/>
        <w:jc w:val="left"/>
        <w:outlineLvl w:val="1"/>
        <w:rPr>
          <w:rFonts w:hint="eastAsia" w:ascii="宋体" w:hAnsi="宋体" w:cs="宋体"/>
          <w:b/>
          <w:bCs/>
          <w:kern w:val="0"/>
          <w:sz w:val="30"/>
          <w:szCs w:val="30"/>
        </w:rPr>
      </w:pPr>
      <w:bookmarkStart w:id="17" w:name="_Toc19920"/>
      <w:r>
        <w:rPr>
          <w:rFonts w:hint="eastAsia" w:ascii="宋体" w:hAnsi="宋体" w:cs="宋体"/>
          <w:b/>
          <w:bCs/>
          <w:kern w:val="0"/>
          <w:sz w:val="30"/>
          <w:szCs w:val="30"/>
        </w:rPr>
        <w:t>拿到新能源汽车市场“入场券” 这些品牌准备好了吗</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后几个月，是新能源汽车在增长九年之后第一次下降，有业内认识曾指出，这是因为新能源汽车一些“本质的根本性问题”并没有解决，比如技术上、安全以及续航方面，都还不能满足消费者的期待。2020年，新能源汽车依旧挑战重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尽管如此，资料显示，新能源乘用车市场还是保持增长，2019年累计销量为106万辆，比上年同期增长约5.1%。另一个正面消息则是，2020年1月，工业和信息化部部长就明确表示：新能源补贴今年7月1(前)不会再退坡。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在严格的大气污染治理等环保政策的加持下，全国范围内使用新能源汽车是必然趋势。前几年，从终端销量可以看出，目前绝大部分新能源汽车销量都是来自于自主品牌，到2020年，这个格局将慢慢被打破。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很多人认为，对于国内新能源车市场而言，2020年将是合资和外资品牌发力的重要一年。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首先来说外资品牌，这不得不提到特斯拉，去年国产特斯拉Model3交付，有数据显示，2019年全年，特斯拉Model 3以销量达到30万辆的新高度夺得热销车型第一名。除此之外，ModelY也会对国内新能源汽车市场产生很大的冲击，产能达到了15万辆的上海超级工厂的第二期也开始投入建设。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特斯拉以外，宝马、大众等外资品牌电动化转型成果也颇引人关注，逐渐跻身销量前十。去年大众以销售84199量新能源汽车位列新能源车企第六，今年大众车子牌子还将公布第四款纯电动车子型号;宝马5系新能源2019年销量达49649量，位列热销车型第六位，在10月已经跻身当月销量前三的位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目前我国的新能源汽车购买主力军都分布在一二线城市，对于舒适性和品牌影响力较为注重，合资品牌则在这方面的优势更强。相比自主纯电动品牌，以往的合资纯电品牌更注重整车的安全性和稳定性，在市场需求的推动下，越来越多的合资品牌也开始在续航能力方面发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去年早些上市别克微蓝为例，那时该车续航里程只有301km，随着技术水平的不断推进，目前该车续航里程已实现410km。更值得注意的是，北京现代去年年底推出的首款纯电动SUV昂西诺，NEDC综合续航里程已达到了500km。</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同时，很多合资品牌也瞄准了插电混合动力车型，诸如丰田推出了卡罗拉/雷凌双擎E+，奔驰也推出了E级新能源，使合资品牌插电混动车型的销量大大提高，2019年已经达到了85852辆，同比增长157%。</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综上来看，在2020年，我国的新能源汽车市场竞争压力还是会不断的增大，不管是对国内的自主品牌，还是对外资品牌、合资品牌。只有不断的提升企业自身竞争力，加强产品的技术水平，才能在市场中站稳脚跟，同时也为新能源汽车降低成本、补贴退坡铺平道路，更快的实现新能源汽车大范围推广。</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8" w:name="_Toc30271"/>
      <w:r>
        <w:rPr>
          <w:rFonts w:hint="eastAsia" w:ascii="宋体" w:hAnsi="宋体" w:cs="宋体"/>
          <w:b/>
          <w:bCs/>
          <w:kern w:val="0"/>
          <w:sz w:val="30"/>
          <w:szCs w:val="30"/>
        </w:rPr>
        <w:t>贵州电建拿下丸红 道达尔的卡塔尔＂明星＂电站EP</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2月6日，中国电建集团与日本丸红公司和法国道达尔公司签订卡塔尔AL-KHARSAA 800.15MWp光伏项目EPC合同。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1月22日，中国电建集团贵州工程公司(以下简称“贵州工程公司”)官网曾报道，当地时间1月21日，卡塔尔AL-KHARSAA800.15兆瓦光伏项目授标仪式在丸红卡塔尔总部举行，正式宣布贵州工程公司作为EPC总承包商承建该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卡塔尔AL-KHARSAA 800.15兆瓦光伏项目位于卡塔尔Kharsaa地区，项目分为2期，预计2021年4月1日完成一期400MW建设及并网，2022年4月1日项目全容量并网。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日本丸红公司及法国道达尔公司于1月19日与卡塔尔水电总公司(Qatar General Electricity &amp;Water Corporation)(“Kahramaa”)签署了25年的购电协议，且该购电协议在1月20日生效。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该项目将是目前为止世界第三大单体光伏项目、最大的使用跟踪系统的光伏项目以及最大的使用双面组件的光伏项目。卡塔尔石油公司(QP)首席执行官萨德·阿尔·卡比(Saad al-Kaabi)在多哈举行的新闻发布会上说，该项目的成本约为17亿里亚尔(4.67亿美元)。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贵州工程公司新能源业务以EPC、BT、BOT等总承包方式和投融资运营、全产业链联动，在国内，为二十余个省、市、区的100多个光伏、风电工程提供全产业链运营运维服务，总装机达3000兆瓦以上。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在海外，贵州工程公司成功履约纳米比亚6.006兆瓦光伏电站;签署了伊朗史上最大600兆瓦光伏项目合作协议;柬埔寨逞粒300兆瓦光伏项目EPC总承包合同;伊朗Larestan 1.114兆瓦光伏发电站项目、Lotak 2.5兆瓦风力发电站项目EPC总承包合同。</w:t>
      </w:r>
    </w:p>
    <w:p>
      <w:pPr>
        <w:widowControl/>
        <w:jc w:val="left"/>
        <w:outlineLvl w:val="1"/>
        <w:rPr>
          <w:rFonts w:ascii="宋体" w:hAnsi="宋体" w:cs="宋体"/>
          <w:b/>
          <w:bCs/>
          <w:kern w:val="0"/>
          <w:sz w:val="30"/>
          <w:szCs w:val="30"/>
        </w:rPr>
      </w:pPr>
      <w:bookmarkStart w:id="19" w:name="_Toc18372"/>
      <w:r>
        <w:rPr>
          <w:rFonts w:hint="eastAsia" w:ascii="宋体" w:hAnsi="宋体" w:cs="宋体"/>
          <w:b/>
          <w:bCs/>
          <w:kern w:val="0"/>
          <w:sz w:val="30"/>
          <w:szCs w:val="30"/>
        </w:rPr>
        <w:t>面板检测隐形冠军 华兴源创进军半导体能否凯旋</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华兴源创作为科创板第一股，有着“中华复兴源于创新”的美好寓意，上市以来便备受瞩目。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平板显示及集成电路的检测设备生产商，目前，华兴源创已经与国际知名平板厂商三星、夏普、LG、京东方等企业建立了长期稳定的合作关系。可以说，我们手中许多电子产品的显示屏，都经过了其设备检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营收构成来看，华兴源创90%以上的收入都来源于平板显示检测，2018年来自苹果公司的收入超过了60%。基于此，业务集中带来的风险也逐渐显现：2018年9月，由于苹果推出的新款手机销售量未达预期，华兴源创的营收也受到了一定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此外，由于检测设备需要根据客户需求进行定制，企业需要投入大量人员和资金进行研发，如何平衡标准化与定制化之间的关系，成为了检测设备商所面对的共同难题。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在这一情形下，华兴源创将如何减小业务集中所带来的风险?其在面板检测领域的高增长究竟能否延伸至其他行业?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面板检测营收增长显著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面板检测这一领域，华兴源创的优势集中在对LCD和OLED两类屏幕的检测。两者最大的不同在于是否具备“自发光”特性：LCD屏幕发光需要背光支持，并且需要透过玻璃、光学膜片、彩色滤光片等材料;而OLED屏幕应用的是有机发光材料，该材料具备自发光属性，通电就能发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LCD面板发展历史悠久，在整个平板显示产业中所占比重最大;而OLED凭借更轻薄、能弯曲等特点，已经广泛应用于全面屏手机，市场渗透率在不断提升。因此，面板检测商均将OLED屏幕检测视为重点发展领域。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国内多家平板显示厂商正加大力度规划和建设OLED制造线，对于检测设备的需求也日渐高涨。然而，现阶段，OLED关键检测技术仍被国外厂商所垄断，其中，“OLED显示驱动Mura补偿”技术在国内长时间没有得到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Mura是指显示屏生产过程中，由于材料、工艺等原因，会有部分产品显示出亮度不均的现象。导致亮度不均的斑点，会带来视觉上的不适感，而留有这种痕迹的产品无法达到终端客户的要求。Mura补偿技术则能使得产品亮度均匀，达到出厂质量标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目前，华兴源创自主研发的Mura补偿技术填补了国产空白，并且已经帮助国内某知名平板显示器生产商顺利量产，使其成为国内第一家柔性OLED面板量产厂商。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由于具备有竞争力的技术，华兴源创获得了苹果公司的认可：2017年，华兴源创研发出的OLED检测设备，率先应用在了iPhone X的平板显示器检测中。受益于iphoneX 的高销量，华兴源创2017年营收实现了大幅增长：从2016年的5.16亿元，增长至2017年的13.70亿元，增长率为166%。</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完善消费电子产业布局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消费电子是工业检测应用最广泛的领域，华兴源创在该领域的收入占总营收90%以上，并且，主要收入来自于苹果公司：2016至2018年，来自苹果公司的收入比例分别为75.13%、91.94%和66.52%，占比较高。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然而，由于苹果公司2018年9月推出的新产品并未大换代，且定价过高，直接导致2019 年第一季度iPhone产品销售未达预期，市场占有率有所下滑。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在销量不及预期的情况下，苹果公司在设备上的投入仍然保持较高水平，对于华兴源创的业绩影响也未伤其筋骨。但是拓展新客户，降低客户过于集中所带来的风险，仍然是华兴源创目前需要面对的主要问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基于此，华兴源创持续开拓苹果公司之外的客户，并取得了成效：华兴源创加大了对京东方等国内知名客户的销售力度，其对京东方实现的销售收入，从2016年的2600万元，增长至2018年的8547万元，并且随着合作的深入，预计未来销售将进一步增加。除此之外，华兴源创与三星、LG、夏普等国际知名厂商均保持了良好的合作关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除了积极拓展客户外，华兴源创还通过收购的方式，拓宽了在消费电子领域的业务布局。2019年12月6日，华兴源创发布公告称，拟收购苏州欧立通自动化科技有限公司100%的股权并募集配套资金。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2020年2月7日，华兴源创再次发布公告，称受新型冠状病毒疫情影响，中介机构对欧立通的现场审计、尽调等工作出现一定的延后，但对本次重大资产重组事项不存在重大影响。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由此可见，收购欧立通，华兴源创势在必行。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欧立通在智能手表、无线耳机等可穿戴式电子产品的组装测试领域有丰富的经验。业绩方面，2017年到2018年，欧立通营收和净利润都实现了稳步增长：营业收入从7370万元，涨至2.41亿元;净利润从1353万元涨至7351万元，同比增长443%。</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本次收购是科创板首例重组案，华兴源创作为“第一家吃螃蟹的企业”，凭借此次收购可以拓宽其在消费电子领域的产品检测范围，并且通过与欧立通在采购渠道、技术开发、客户资源等各方面产生的协同效应，进一步分摊业务过于单一所带来的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进军半导体检测市场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除了在消费电子领域通过拓展客户、并购等方式完善产品布局之外，华兴源创于2017年成立了集成电路事业部，在测试机和分选机的研发上大量投入。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成电路的测试主要包括芯片设计中的设计验证、晶圆制造中的晶圆检测和封装完成后的成品测试。华兴源创在平板显示检测领域所取得的电源控制、自动化、图像识别方面的研发成果，为其在半导体检测领域发展打下了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华兴源创研发的SoC芯片测试机为例：测试机通过对芯片施加输入信号，采集被检测芯片的输出信号，并与预期值相比较，以此判断芯片在不同工作条件下的功能和性能的有效性。目前，我国集成电路SoC检测设备主要依赖进口：泰瑞达(Teradyne)、爱德万测试(ADVANTEST)等企业占据了主要市场份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华兴源创研发的SoC芯片测试机在主要性能指标上已经基本达到国际领先水平，并且具备较高性价比优势。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此之外，华兴源创通过模块化的设计，使其研发的超大规模数模混合芯片测试机平台，可以适配不同类型的驱动板卡，从而实现对MCU、RF、CIS等不同种类芯片的测试。这就大幅降低了定制化开发的成本，留出更多的人员和资金在产品迭代和市场开拓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事实上，在集成电路业务开拓方面，华兴源创已经具有一定的基础：消费电子领域企业对于集成电路测试存在一定需求。华兴源创可以在过往面板检测的客户基础上，洽谈集成电路相关合作。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可否认的是，华兴源创在集成电路领域的布局还处于起步阶段，该项业务在营收中体现还不明显。但是，华兴源创在该领域布局的决心却可见一斑：本次科创板上市拟募集的10亿元资金中，欲投入将近3亿元用于半导体事业部建设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面板检测领域，华兴源创已经做到了行业翘楚，接下来如何扩展企业规模成为其发展的关键。对此，华兴源创选择不断拓展面板客户，并购公司，以稳固其在消费电子领域的地位;同时，利用过往技术和资源积累，进军半导体市场，来规避业务过于集中所带来的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在内生式与外延式生长并重的战略下，华兴源创将进一步完善产品种类、获得新的利润增长点，最终实现规模级成长。</w:t>
      </w:r>
    </w:p>
    <w:p>
      <w:pPr>
        <w:widowControl/>
        <w:jc w:val="left"/>
        <w:outlineLvl w:val="1"/>
        <w:rPr>
          <w:rFonts w:hint="eastAsia" w:ascii="宋体" w:hAnsi="宋体" w:cs="宋体"/>
          <w:b/>
          <w:bCs/>
          <w:kern w:val="0"/>
          <w:sz w:val="30"/>
          <w:szCs w:val="30"/>
        </w:rPr>
      </w:pPr>
      <w:bookmarkStart w:id="20" w:name="_Toc13038"/>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bookmarkStart w:id="124" w:name="_GoBack"/>
      <w:bookmarkEnd w:id="124"/>
      <w:r>
        <w:rPr>
          <w:rFonts w:hint="eastAsia" w:ascii="宋体" w:hAnsi="宋体" w:cs="宋体"/>
          <w:b/>
          <w:bCs/>
          <w:kern w:val="0"/>
          <w:sz w:val="30"/>
          <w:szCs w:val="30"/>
        </w:rPr>
        <w:t>中国制冷学会发挥职能 带领行业积极抗击疫情</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21" w:name="_Toc20916"/>
      <w:r>
        <w:rPr>
          <w:rFonts w:hint="default" w:ascii="仿宋_GB2312" w:hAnsi="Calibri" w:eastAsia="仿宋_GB2312" w:cs="仿宋_GB2312"/>
          <w:kern w:val="2"/>
          <w:sz w:val="28"/>
          <w:szCs w:val="28"/>
          <w:lang w:val="en-US" w:eastAsia="zh-CN" w:bidi="ar-SA"/>
        </w:rPr>
        <w:t>针对疫情期间应如何正确使用中央空调，中国制冷学会连同业内知名专家学者共同编制《春节上班后应对新冠肺炎疫情安全使用空调(供暖)的建议》，旨在指导广大空调用户和建筑物管理者了解如何正确使用空调通风系统，防止疫病传播，降低交叉感染风险，保障人民的身体健康，确保生产、工作和生活的正常秩序，该建议已于2月3日正式发布。</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中国制冷学会副秘书长王从飞介绍，疫情当下，有些地方出现不能使用中央空调的声音，要求一直开窗通风。“但在寒冷地区这样的话可能导致室内温度过低，人体提抗力下降，容易引发的感冒发热，反而为抗击疫情增添障碍。”王从飞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基于这样的背景，北京市建筑设计研究院有限公司顾问总工吴德绳、中国工程院院士清华大学教授江亿、清华大学教授李先庭与中国制冷学会副理事长兼秘书长孟庆国共同组织行业专家，成立了中国制冷学会抗击新冠肺炎空调(供热)系统专家小组，并于2月3日推出了《春节上班后应对新冠肺炎疫情安全使用空调(供暖)的建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该建议针对全国大部分地区还在供暖的情况，提出针对抗击疫情的专业建议，目的是既保障室内可接受的温度条件，又能尽量减少由空调不合理运行引起的交叉感染风险，并重点介绍了“ 新冠状病毒的应急和传染病医院、综合医院、具备收治传染病或感染病人的其他医院的门诊大厅、急诊接诊、发热门诊、隔离或观察病房及相关公共区域的通道、卫生间、洗消间、污物间”应该如何进行空调系统设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需要重点说明的是，空调运行和不运行均无法防止近距离飞沫传播，因此中国制冷学会在建议中明确提示：为减少飞沫引起的交叉感染风险，公共场合(包括人员集中的办公室)建议佩戴口罩。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王从飞表示，目前全国人民抗击新冠肺炎疫情已进入关键阶段。中国制冷学会将全力配合做好疫情防控工作，此次成立的专家小组还将依据专业知识继续发挥作用，为制冷空调行业和广大人民群众服务。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另据了解，针对新冠肺炎疫情，中国制冷空调行业上下游企业也正在积极做好复工的相关准备工作。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国内大中型制冷行业零部件知名品牌，浙江三花制冷集团有限公司总经理陈雨忠说，美国是三花的重要市场之一，销售占比超过35%。由于特殊情况，客户同意我们延期两周交货。目前，三花已就员工安全生产防护做好预案，随时准备积极复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丹佛斯中国区副总裁车巍介绍，在配合政府防疫要求的前提下，丹佛斯正在通过客户沟通、灵活调度现有库存、充分利用全球网络优势和先进远程办公等手段，积极地应对来自生产、运营、客户订单供货、供应商保障、员工返岗以及招聘等方面挑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比泽尔制冷技术(中国)有限公司渠道经理腾博认为，现在正是加强培训的好时机。“以往，培训很容易被企业忽略，现在正好利用这段时间，加强公司内部培训以及与下游客户的沟通。此外，他还建议行业组织能够邀请相关领域专家就理论、实际、实践等方面，开展相关培训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王从飞表示，相信随着国家管控措施的落实，疫情将有效得到控制。中国制冷学会将始终以促进制冷科学技术的发展为己任，坚持为经济社会发展服务、为提高全民科学素质服务、为科技工作者服务。</w:t>
      </w:r>
    </w:p>
    <w:p>
      <w:pPr>
        <w:widowControl/>
        <w:jc w:val="left"/>
        <w:outlineLvl w:val="1"/>
        <w:rPr>
          <w:rFonts w:ascii="宋体" w:hAnsi="宋体" w:cs="宋体"/>
          <w:b/>
          <w:bCs/>
          <w:kern w:val="0"/>
          <w:sz w:val="30"/>
          <w:szCs w:val="30"/>
        </w:rPr>
      </w:pPr>
      <w:bookmarkStart w:id="22" w:name="_Toc5699"/>
      <w:r>
        <w:rPr>
          <w:rFonts w:hint="eastAsia" w:ascii="宋体" w:hAnsi="宋体" w:cs="宋体"/>
          <w:b/>
          <w:bCs/>
          <w:kern w:val="0"/>
          <w:sz w:val="30"/>
          <w:szCs w:val="30"/>
        </w:rPr>
        <w:t>抗击疫情 欧司朗紫外除菌灯具来帮忙</w:t>
      </w:r>
      <w:bookmarkEnd w:id="2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31日，欧司朗向武汉市第一医院、武汉市第四医院和武汉市第五医院捐赠紫外除菌灯具，帮助医院、医护人员和患者共同抗击病毒。通过光电健康解决方案，欧司朗将持续关注疫情发展、并为人们早日回归正常的生活和工作而作出努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连线武汉医院，驰援抗疫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权威专家意见，足量的紫外照射是目前已知的、可以抑制该病毒的有效手段。紫外线除菌是一种被国家认可且推荐的高水平除菌方式。通过破坏微生物细胞的脱氧核糖核酸(DNA)和核糖核酸(RNA)的分子结构，促使生长性细胞和(或)再生性细胞死亡，从而达到除菌消毒作用。所有冠状病毒都属于单链正链RNA病毒。欧司朗捐赠的紫外除菌灯具可用于室内空间，能够安全高效地消除空气及家具表面的细菌和病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欧司朗了解到目前不少医院都急需专业的紫外除菌灯具，不仅能消除医院室内的病毒，还能在很大程度上减轻护士的日常消毒工作，让护士们留出更多的时间照顾病人。欧司朗详细了解了武汉市第一医院、武汉市第四医院和武汉市第五医院的具体需求，并第一时间发往武汉。目前，欧司朗捐赠的510套灯具已抵达三所医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以光为媒，改善健康与社会福祉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一家科技企业，欧司朗始终致力于解锁光之无限可能，改善人类在数字时代下的生活。一直以来，欧司朗致力于开发基于光电技术的健康解决方案，促进医疗技术发展，帮助病人康复，检查重要健康指标，测量健身数据，甚至检测食品成分，为改善社会福祉贡献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欧司朗中国区总裁穆兰德表示：“我们持续关注疫情的发展和一线医院的抗疫需求，在关键时刻毫不犹豫驰援武汉，同时做好公司每一个员工的防疫工作，时刻和中国人民站在一起，期待抗疫大捷!”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6F5437"/>
    <w:rsid w:val="08971593"/>
    <w:rsid w:val="08971C56"/>
    <w:rsid w:val="08986B18"/>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8C58FC"/>
    <w:rsid w:val="10DB1532"/>
    <w:rsid w:val="10EB59A7"/>
    <w:rsid w:val="11171289"/>
    <w:rsid w:val="112137E7"/>
    <w:rsid w:val="112B64AC"/>
    <w:rsid w:val="1154496C"/>
    <w:rsid w:val="11667AAD"/>
    <w:rsid w:val="11B159CB"/>
    <w:rsid w:val="11B84B36"/>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69633E"/>
    <w:rsid w:val="18826DA1"/>
    <w:rsid w:val="18891CD8"/>
    <w:rsid w:val="18A53C62"/>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7006CA7"/>
    <w:rsid w:val="27110EDF"/>
    <w:rsid w:val="271D7D92"/>
    <w:rsid w:val="27384EB5"/>
    <w:rsid w:val="27591990"/>
    <w:rsid w:val="275D65F5"/>
    <w:rsid w:val="2788244C"/>
    <w:rsid w:val="27973E78"/>
    <w:rsid w:val="27DB2338"/>
    <w:rsid w:val="27F17EA2"/>
    <w:rsid w:val="28052F25"/>
    <w:rsid w:val="283A05DC"/>
    <w:rsid w:val="28474EA4"/>
    <w:rsid w:val="28636BC2"/>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A872FB"/>
    <w:rsid w:val="29B04909"/>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2385"/>
    <w:rsid w:val="3FFA72BE"/>
    <w:rsid w:val="40120871"/>
    <w:rsid w:val="401210FD"/>
    <w:rsid w:val="402F4730"/>
    <w:rsid w:val="404A5684"/>
    <w:rsid w:val="404B6889"/>
    <w:rsid w:val="405A511F"/>
    <w:rsid w:val="41484EBE"/>
    <w:rsid w:val="414B75DE"/>
    <w:rsid w:val="417018D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B0761D"/>
    <w:rsid w:val="51B80466"/>
    <w:rsid w:val="51D91B75"/>
    <w:rsid w:val="51E2122F"/>
    <w:rsid w:val="51F11C10"/>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DD1DDA"/>
    <w:rsid w:val="57145535"/>
    <w:rsid w:val="57427B7C"/>
    <w:rsid w:val="57C322BB"/>
    <w:rsid w:val="57D2341F"/>
    <w:rsid w:val="57E17BD4"/>
    <w:rsid w:val="58105F17"/>
    <w:rsid w:val="58124BB0"/>
    <w:rsid w:val="58445A1C"/>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D96738"/>
    <w:rsid w:val="6EE25A4E"/>
    <w:rsid w:val="6EEF5E09"/>
    <w:rsid w:val="6EFC63FB"/>
    <w:rsid w:val="6F291037"/>
    <w:rsid w:val="6F522D33"/>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2020-02-14T07:55:22Z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