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cs="Times New Roman"/>
        </w:rPr>
      </w:pPr>
      <w:r>
        <w:drawing>
          <wp:anchor distT="0" distB="0" distL="114300" distR="114300" simplePos="0" relativeHeight="251658240" behindDoc="1" locked="0" layoutInCell="1" allowOverlap="1">
            <wp:simplePos x="0" y="0"/>
            <wp:positionH relativeFrom="column">
              <wp:posOffset>-1116965</wp:posOffset>
            </wp:positionH>
            <wp:positionV relativeFrom="paragraph">
              <wp:posOffset>-1340485</wp:posOffset>
            </wp:positionV>
            <wp:extent cx="7644765" cy="10696575"/>
            <wp:effectExtent l="19050" t="0" r="0" b="0"/>
            <wp:wrapNone/>
            <wp:docPr id="1" name="图片 1" descr="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封面.jpg"/>
                    <pic:cNvPicPr>
                      <a:picLocks noChangeAspect="1"/>
                    </pic:cNvPicPr>
                  </pic:nvPicPr>
                  <pic:blipFill>
                    <a:blip r:embed="rId6"/>
                    <a:stretch>
                      <a:fillRect/>
                    </a:stretch>
                  </pic:blipFill>
                  <pic:spPr>
                    <a:xfrm>
                      <a:off x="0" y="0"/>
                      <a:ext cx="7644765" cy="10696575"/>
                    </a:xfrm>
                    <a:prstGeom prst="rect">
                      <a:avLst/>
                    </a:prstGeom>
                    <a:noFill/>
                    <a:ln>
                      <a:noFill/>
                    </a:ln>
                  </pic:spPr>
                </pic:pic>
              </a:graphicData>
            </a:graphic>
          </wp:anchor>
        </w:drawing>
      </w:r>
    </w:p>
    <w:p>
      <w:pPr>
        <w:pStyle w:val="40"/>
        <w:tabs>
          <w:tab w:val="center" w:pos="4153"/>
          <w:tab w:val="left" w:pos="5910"/>
          <w:tab w:val="left" w:pos="7501"/>
        </w:tabs>
        <w:spacing w:line="400" w:lineRule="exact"/>
        <w:rPr>
          <w:rFonts w:ascii="宋体" w:hAnsi="宋体" w:cs="宋体"/>
          <w:b/>
          <w:bCs/>
          <w:color w:val="000000"/>
          <w:sz w:val="28"/>
          <w:szCs w:val="28"/>
          <w:lang w:eastAsia="zh-CN"/>
        </w:rPr>
      </w:pPr>
      <w:r>
        <w:rPr>
          <w:lang w:eastAsia="zh-CN"/>
        </w:rPr>
        <w:pict>
          <v:shape id="文本框 4" o:spid="_x0000_s1026" o:spt="202" type="#_x0000_t202" style="position:absolute;left:0pt;margin-left:175.45pt;margin-top:490.7pt;height:54.1pt;width:134.3pt;z-index:251659264;mso-width-relative:page;mso-height-relative:page;" filled="f" stroked="f" coordsize="21600,21600" o:gfxdata="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LGvx7vYAAAADAEAAA8AAAAAAAAAAQAgAAAAIgAAAGRycy9kb3du&#10;cmV2LnhtbFBLAQIUABQAAAAIAIdO4kDRzI2djQEAAAADAAAOAAAAAAAAAAEAIAAAACcBAABkcnMv&#10;ZTJvRG9jLnhtbFBLBQYAAAAABgAGAFkBAAAmBQAAAAA=&#10;">
            <v:path/>
            <v:fill on="f" focussize="0,0"/>
            <v:stroke on="f" joinstyle="miter"/>
            <v:imagedata o:title=""/>
            <o:lock v:ext="edit"/>
            <v:textbox>
              <w:txbxContent>
                <w:p>
                  <w:pPr>
                    <w:pStyle w:val="2"/>
                    <w:rPr>
                      <w:rFonts w:hint="default" w:eastAsia="黑体" w:cs="Times New Roman"/>
                      <w:kern w:val="2"/>
                      <w:lang w:val="en-US" w:eastAsia="zh-CN"/>
                    </w:rPr>
                  </w:pPr>
                  <w:bookmarkStart w:id="22" w:name="_Toc485828984"/>
                  <w:bookmarkStart w:id="23" w:name="_Toc527037029"/>
                  <w:bookmarkStart w:id="24" w:name="_Toc510166278"/>
                  <w:bookmarkStart w:id="25" w:name="_Toc518548545"/>
                  <w:bookmarkStart w:id="26" w:name="_Toc527123553"/>
                  <w:bookmarkStart w:id="27" w:name="_Toc508267081"/>
                  <w:bookmarkStart w:id="28" w:name="_Toc507769000"/>
                  <w:bookmarkStart w:id="29" w:name="_Toc529455508"/>
                  <w:bookmarkStart w:id="30" w:name="_Toc514921969"/>
                  <w:bookmarkStart w:id="31" w:name="_Toc530751847"/>
                  <w:bookmarkStart w:id="32" w:name="_Toc504123327"/>
                  <w:bookmarkStart w:id="33" w:name="_Toc504744209"/>
                  <w:bookmarkStart w:id="34" w:name="_Toc521075423"/>
                  <w:bookmarkStart w:id="35" w:name="_Toc512606000"/>
                  <w:bookmarkStart w:id="36" w:name="_Toc530149342"/>
                  <w:bookmarkStart w:id="37" w:name="_Toc518651973"/>
                  <w:bookmarkStart w:id="38" w:name="_Toc533674480"/>
                  <w:bookmarkStart w:id="39" w:name="_Toc527728174"/>
                  <w:bookmarkStart w:id="40" w:name="_Toc515633934"/>
                  <w:bookmarkStart w:id="41" w:name="_Toc520452528"/>
                  <w:bookmarkStart w:id="42" w:name="_Toc524704217"/>
                  <w:bookmarkStart w:id="43" w:name="_Toc524334722"/>
                  <w:bookmarkStart w:id="44" w:name="_Toc511898980"/>
                  <w:bookmarkStart w:id="45" w:name="_Toc1132017"/>
                  <w:bookmarkStart w:id="46" w:name="_Toc528913994"/>
                  <w:bookmarkStart w:id="47" w:name="_Toc521679472"/>
                  <w:bookmarkStart w:id="48" w:name="_Toc519842315"/>
                  <w:bookmarkStart w:id="49" w:name="_Toc516841874"/>
                  <w:bookmarkStart w:id="50" w:name="_Toc504651767"/>
                  <w:bookmarkStart w:id="51" w:name="_Toc511375612"/>
                  <w:bookmarkStart w:id="52" w:name="_Toc525309223"/>
                  <w:bookmarkStart w:id="53" w:name="_Toc523381108"/>
                  <w:bookmarkStart w:id="54" w:name="_Toc534383436"/>
                  <w:bookmarkStart w:id="55" w:name="_Toc516237036"/>
                  <w:bookmarkStart w:id="56" w:name="_Toc528936986"/>
                  <w:bookmarkStart w:id="57" w:name="_Toc512521225"/>
                  <w:bookmarkStart w:id="58" w:name="_Toc520366056"/>
                  <w:bookmarkStart w:id="59" w:name="_Toc533777202"/>
                  <w:bookmarkStart w:id="60" w:name="_Toc517965461"/>
                  <w:bookmarkStart w:id="61" w:name="_Toc533167784"/>
                  <w:bookmarkStart w:id="62" w:name="_Toc514422624"/>
                  <w:bookmarkStart w:id="63" w:name="_Toc515612471"/>
                  <w:bookmarkStart w:id="64" w:name="_Toc513118842"/>
                  <w:bookmarkStart w:id="65" w:name="_Toc505947794"/>
                  <w:bookmarkStart w:id="66" w:name="_Toc519258206"/>
                  <w:bookmarkStart w:id="67" w:name="_Toc509574325"/>
                  <w:bookmarkStart w:id="68" w:name="_Toc530057359"/>
                  <w:bookmarkStart w:id="69" w:name="_Toc522179796"/>
                  <w:bookmarkStart w:id="70" w:name="_Toc530728485"/>
                  <w:bookmarkStart w:id="71" w:name="_Toc512001762"/>
                  <w:bookmarkStart w:id="72" w:name="_Toc521053860"/>
                  <w:bookmarkStart w:id="73" w:name="_Toc520381693"/>
                  <w:bookmarkStart w:id="74" w:name="_Toc528332594"/>
                  <w:bookmarkStart w:id="75" w:name="_Toc519865236"/>
                  <w:bookmarkStart w:id="76" w:name="_Toc528222492"/>
                  <w:bookmarkStart w:id="77" w:name="_Toc508369676"/>
                  <w:bookmarkStart w:id="78" w:name="_Toc519147013"/>
                  <w:bookmarkStart w:id="79" w:name="_Toc527035872"/>
                  <w:bookmarkStart w:id="80" w:name="_Toc512520694"/>
                  <w:bookmarkStart w:id="81" w:name="_Toc530147840"/>
                  <w:bookmarkStart w:id="82" w:name="_Toc527640818"/>
                  <w:bookmarkStart w:id="83" w:name="_Toc510190825"/>
                  <w:bookmarkStart w:id="84" w:name="_Toc531271720"/>
                  <w:bookmarkStart w:id="85" w:name="_Toc510190043"/>
                  <w:bookmarkStart w:id="86" w:name="_Toc531854138"/>
                  <w:bookmarkStart w:id="87" w:name="_Toc522285450"/>
                  <w:bookmarkStart w:id="88" w:name="_Toc508960595"/>
                  <w:bookmarkStart w:id="89" w:name="_Toc509582478"/>
                  <w:bookmarkStart w:id="90" w:name="_Toc514329181"/>
                  <w:bookmarkStart w:id="91" w:name="_Toc517427833"/>
                  <w:bookmarkStart w:id="92" w:name="_Toc521586415"/>
                  <w:bookmarkStart w:id="93" w:name="_Toc532566849"/>
                  <w:bookmarkStart w:id="94" w:name="_Toc513728505"/>
                  <w:bookmarkStart w:id="95" w:name="_Toc525913129"/>
                  <w:bookmarkStart w:id="96" w:name="_Toc513211123"/>
                  <w:bookmarkStart w:id="97" w:name="_Toc508975637"/>
                  <w:bookmarkStart w:id="98" w:name="_Toc513728611"/>
                  <w:bookmarkStart w:id="99" w:name="_Toc504140101"/>
                  <w:bookmarkStart w:id="100" w:name="_Toc517448405"/>
                  <w:bookmarkStart w:id="101" w:name="_Toc515611913"/>
                  <w:bookmarkStart w:id="102" w:name="_Toc513816736"/>
                  <w:bookmarkStart w:id="103" w:name="_Toc529541800"/>
                  <w:bookmarkStart w:id="104" w:name="_Toc521051959"/>
                  <w:bookmarkStart w:id="105" w:name="_Toc518650435"/>
                  <w:bookmarkStart w:id="106" w:name="_Toc511397199"/>
                  <w:bookmarkStart w:id="107" w:name="_Toc523494890"/>
                  <w:bookmarkStart w:id="108" w:name="_Toc504057445"/>
                  <w:bookmarkStart w:id="109" w:name="_Toc518051249"/>
                  <w:bookmarkStart w:id="110" w:name="_Toc531358358"/>
                  <w:bookmarkStart w:id="111" w:name="_Toc505347182"/>
                  <w:bookmarkStart w:id="112" w:name="_Toc533083465"/>
                  <w:bookmarkStart w:id="113" w:name="_Toc516819989"/>
                  <w:bookmarkStart w:id="114" w:name="_Toc522890290"/>
                  <w:bookmarkStart w:id="115" w:name="_Toc531943255"/>
                  <w:bookmarkStart w:id="116" w:name="_Toc511290048"/>
                  <w:bookmarkStart w:id="117" w:name="_Toc523991798"/>
                  <w:bookmarkStart w:id="118" w:name="_Toc507665368"/>
                  <w:bookmarkStart w:id="119" w:name="_Toc505261402"/>
                  <w:bookmarkStart w:id="120" w:name="_Toc513123883"/>
                  <w:bookmarkStart w:id="121" w:name="_Toc515027608"/>
                  <w:bookmarkStart w:id="122" w:name="_Toc533168359"/>
                  <w:r>
                    <w:rPr>
                      <w:kern w:val="2"/>
                    </w:rPr>
                    <w:t>20</w:t>
                  </w:r>
                  <w:r>
                    <w:rPr>
                      <w:rFonts w:hint="eastAsia"/>
                      <w:kern w:val="2"/>
                      <w:lang w:val="en-US" w:eastAsia="zh-CN"/>
                    </w:rPr>
                    <w:t>20</w:t>
                  </w:r>
                  <w:r>
                    <w:rPr>
                      <w:kern w:val="2"/>
                    </w:rPr>
                    <w:t>.</w:t>
                  </w:r>
                  <w:r>
                    <w:rPr>
                      <w:rFonts w:hint="eastAsia"/>
                      <w:kern w:val="2"/>
                    </w:rPr>
                    <w:t>1</w:t>
                  </w:r>
                  <w:r>
                    <w:rPr>
                      <w:kern w:val="2"/>
                    </w:rPr>
                    <w:t>.</w:t>
                  </w:r>
                  <w:bookmarkEnd w:id="22"/>
                  <w:r>
                    <w:rPr>
                      <w:rFonts w:hint="eastAsia"/>
                      <w:kern w:val="2"/>
                      <w:lang w:val="en-US" w:eastAsia="zh-CN"/>
                    </w:rPr>
                    <w:t>15</w:t>
                  </w:r>
                  <w:r>
                    <w:rPr>
                      <w:kern w:val="2"/>
                    </w:rPr>
                    <w:t>-</w:t>
                  </w:r>
                  <w:r>
                    <w:rPr>
                      <w:rFonts w:hint="eastAsia"/>
                      <w:kern w:val="2"/>
                    </w:rPr>
                    <w:t>1</w:t>
                  </w:r>
                  <w:r>
                    <w:rPr>
                      <w:kern w:val="2"/>
                    </w:rPr>
                    <w:t>.</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Fonts w:hint="eastAsia"/>
                      <w:kern w:val="2"/>
                      <w:lang w:val="en-US" w:eastAsia="zh-CN"/>
                    </w:rPr>
                    <w:t>17</w:t>
                  </w:r>
                </w:p>
                <w:p>
                  <w:pPr>
                    <w:rPr>
                      <w:rFonts w:cs="Times New Roman"/>
                    </w:rPr>
                  </w:pPr>
                </w:p>
              </w:txbxContent>
            </v:textbox>
          </v:shape>
        </w:pict>
      </w:r>
      <w:r>
        <w:rPr>
          <w:lang w:eastAsia="zh-CN"/>
        </w:rPr>
        <w:pict>
          <v:shape id="文本框 5" o:spid="_x0000_s1027" o:spt="202" type="#_x0000_t202" style="position:absolute;left:0pt;margin-left:36.75pt;margin-top:580.6pt;height:112.15pt;width:414pt;z-index:251660288;mso-width-relative:page;mso-height-relative:page;" filled="f" stroked="f" coordsize="21600,21600" o:gfxdata="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0rn2cNgAAAAMAQAADwAAAAAAAAABACAAAAAiAAAAZHJzL2Rv&#10;d25yZXYueG1sUEsBAhQAFAAAAAgAh07iQJKV+juPAQAAAQMAAA4AAAAAAAAAAQAgAAAAJwEAAGRy&#10;cy9lMm9Eb2MueG1sUEsFBgAAAAAGAAYAWQEAACgFAAAAAA==&#10;">
            <v:path/>
            <v:fill on="f" focussize="0,0"/>
            <v:stroke on="f" joinstyle="miter"/>
            <v:imagedata o:title=""/>
            <o:lock v:ext="edit"/>
            <v:textbox>
              <w:txbxContent>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责任编辑：朱海燕</w:t>
                  </w:r>
                  <w:r>
                    <w:rPr>
                      <w:rFonts w:ascii="黑体" w:hAnsi="宋体" w:eastAsia="黑体" w:cs="黑体"/>
                      <w:kern w:val="2"/>
                      <w:sz w:val="24"/>
                      <w:szCs w:val="24"/>
                      <w:lang w:eastAsia="zh-CN"/>
                    </w:rPr>
                    <w:t>/</w:t>
                  </w:r>
                  <w:r>
                    <w:rPr>
                      <w:rFonts w:hint="eastAsia" w:ascii="黑体" w:hAnsi="宋体" w:eastAsia="黑体" w:cs="黑体"/>
                      <w:kern w:val="2"/>
                      <w:sz w:val="24"/>
                      <w:szCs w:val="24"/>
                      <w:lang w:eastAsia="zh-CN"/>
                    </w:rPr>
                    <w:t>于亚楠</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电话：</w:t>
                  </w:r>
                  <w:r>
                    <w:rPr>
                      <w:rFonts w:ascii="黑体" w:hAnsi="宋体" w:eastAsia="黑体" w:cs="黑体"/>
                      <w:kern w:val="2"/>
                      <w:sz w:val="24"/>
                      <w:szCs w:val="24"/>
                      <w:lang w:eastAsia="zh-CN"/>
                    </w:rPr>
                    <w:t>86-10-18513790749</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传真：</w:t>
                  </w:r>
                  <w:r>
                    <w:rPr>
                      <w:rFonts w:ascii="黑体" w:hAnsi="宋体" w:eastAsia="黑体" w:cs="黑体"/>
                      <w:kern w:val="2"/>
                      <w:sz w:val="24"/>
                      <w:szCs w:val="24"/>
                      <w:lang w:eastAsia="zh-CN"/>
                    </w:rPr>
                    <w:t>86-010-</w:t>
                  </w:r>
                  <w:r>
                    <w:rPr>
                      <w:rFonts w:ascii="黑体" w:hAnsi="Arial" w:eastAsia="黑体" w:cs="黑体"/>
                      <w:color w:val="333333"/>
                      <w:sz w:val="24"/>
                      <w:szCs w:val="24"/>
                      <w:lang w:eastAsia="zh-CN"/>
                    </w:rPr>
                    <w:t>85725399</w:t>
                  </w:r>
                </w:p>
                <w:p>
                  <w:pPr>
                    <w:pStyle w:val="40"/>
                    <w:rPr>
                      <w:rFonts w:ascii="黑体" w:hAnsi="宋体" w:eastAsia="黑体" w:cs="黑体"/>
                      <w:kern w:val="2"/>
                      <w:sz w:val="24"/>
                      <w:szCs w:val="24"/>
                      <w:lang w:eastAsia="zh-CN"/>
                    </w:rPr>
                  </w:pPr>
                  <w:r>
                    <w:rPr>
                      <w:rFonts w:hint="eastAsia" w:ascii="黑体" w:hAnsi="宋体" w:eastAsia="黑体" w:cs="黑体"/>
                      <w:kern w:val="2"/>
                      <w:sz w:val="24"/>
                      <w:szCs w:val="24"/>
                      <w:lang w:eastAsia="zh-CN"/>
                    </w:rPr>
                    <w:t>编辑邮箱：</w:t>
                  </w:r>
                  <w:r>
                    <w:rPr>
                      <w:rFonts w:ascii="黑体" w:hAnsi="宋体" w:eastAsia="黑体" w:cs="黑体"/>
                      <w:kern w:val="2"/>
                      <w:sz w:val="24"/>
                      <w:szCs w:val="24"/>
                      <w:lang w:eastAsia="zh-CN"/>
                    </w:rPr>
                    <w:t>zhuhy@chinaccm.com</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地址：</w:t>
                  </w:r>
                  <w:r>
                    <w:rPr>
                      <w:rFonts w:hint="eastAsia" w:ascii="黑体" w:eastAsia="黑体" w:cs="黑体"/>
                      <w:sz w:val="24"/>
                      <w:szCs w:val="24"/>
                      <w:lang w:eastAsia="zh-CN"/>
                    </w:rPr>
                    <w:t>北京市朝阳区高碑店东区</w:t>
                  </w:r>
                  <w:r>
                    <w:rPr>
                      <w:rFonts w:ascii="黑体" w:eastAsia="黑体" w:cs="黑体"/>
                      <w:sz w:val="24"/>
                      <w:szCs w:val="24"/>
                      <w:lang w:eastAsia="zh-CN"/>
                    </w:rPr>
                    <w:t>B</w:t>
                  </w:r>
                  <w:r>
                    <w:rPr>
                      <w:rFonts w:hint="eastAsia" w:ascii="黑体" w:eastAsia="黑体" w:cs="黑体"/>
                      <w:sz w:val="24"/>
                      <w:szCs w:val="24"/>
                      <w:lang w:eastAsia="zh-CN"/>
                    </w:rPr>
                    <w:t>区</w:t>
                  </w:r>
                  <w:r>
                    <w:rPr>
                      <w:rFonts w:ascii="黑体" w:eastAsia="黑体" w:cs="黑体"/>
                      <w:sz w:val="24"/>
                      <w:szCs w:val="24"/>
                      <w:lang w:eastAsia="zh-CN"/>
                    </w:rPr>
                    <w:t>8-1</w:t>
                  </w:r>
                  <w:r>
                    <w:rPr>
                      <w:rFonts w:hint="eastAsia" w:ascii="黑体" w:hAnsi="宋体" w:eastAsia="黑体" w:cs="黑体"/>
                      <w:kern w:val="2"/>
                      <w:sz w:val="24"/>
                      <w:szCs w:val="24"/>
                      <w:lang w:eastAsia="zh-CN"/>
                    </w:rPr>
                    <w:t>（邮编：</w:t>
                  </w:r>
                  <w:r>
                    <w:rPr>
                      <w:rFonts w:ascii="黑体" w:hAnsi="宋体" w:eastAsia="黑体" w:cs="黑体"/>
                      <w:kern w:val="2"/>
                      <w:sz w:val="24"/>
                      <w:szCs w:val="24"/>
                      <w:lang w:eastAsia="zh-CN"/>
                    </w:rPr>
                    <w:t>100022</w:t>
                  </w:r>
                  <w:r>
                    <w:rPr>
                      <w:rFonts w:hint="eastAsia" w:ascii="黑体" w:hAnsi="宋体" w:eastAsia="黑体" w:cs="黑体"/>
                      <w:kern w:val="2"/>
                      <w:sz w:val="24"/>
                      <w:szCs w:val="24"/>
                      <w:lang w:eastAsia="zh-CN"/>
                    </w:rPr>
                    <w:t>）</w:t>
                  </w:r>
                </w:p>
                <w:p>
                  <w:pPr>
                    <w:jc w:val="left"/>
                    <w:rPr>
                      <w:rFonts w:cs="Times New Roman"/>
                    </w:rPr>
                  </w:pPr>
                </w:p>
              </w:txbxContent>
            </v:textbox>
          </v:shape>
        </w:pict>
      </w:r>
      <w:r>
        <w:rPr>
          <w:rFonts w:cs="Times New Roman"/>
        </w:rPr>
        <w:br w:type="page"/>
      </w:r>
      <w:r>
        <w:rPr>
          <w:rFonts w:hint="eastAsia" w:ascii="宋体" w:hAnsi="宋体" w:cs="宋体"/>
          <w:b/>
          <w:bCs/>
          <w:color w:val="000000"/>
          <w:sz w:val="28"/>
          <w:szCs w:val="28"/>
          <w:lang w:eastAsia="zh-CN"/>
        </w:rPr>
        <w:t>小金属周报目录</w:t>
      </w:r>
      <w:bookmarkStart w:id="0" w:name="_Toc485828985"/>
      <w:bookmarkStart w:id="1" w:name="_Toc486002518"/>
    </w:p>
    <w:p>
      <w:pPr>
        <w:pStyle w:val="9"/>
        <w:tabs>
          <w:tab w:val="right" w:leader="dot" w:pos="8504"/>
          <w:tab w:val="clear" w:pos="8494"/>
        </w:tabs>
        <w:ind w:left="0" w:leftChars="0" w:firstLine="0" w:firstLineChars="0"/>
      </w:pPr>
      <w:r>
        <w:rPr>
          <w:kern w:val="0"/>
          <w:sz w:val="30"/>
          <w:szCs w:val="30"/>
        </w:rPr>
        <w:fldChar w:fldCharType="begin"/>
      </w:r>
      <w:r>
        <w:instrText xml:space="preserve"> TOC \o "1-3" \h \z \u </w:instrText>
      </w:r>
      <w:r>
        <w:rPr>
          <w:kern w:val="0"/>
          <w:sz w:val="30"/>
          <w:szCs w:val="30"/>
        </w:rPr>
        <w:fldChar w:fldCharType="separate"/>
      </w:r>
      <w:r>
        <w:rPr>
          <w:rFonts w:hint="eastAsia" w:ascii="宋体" w:hAnsi="宋体" w:eastAsia="宋体" w:cs="黑体"/>
          <w:b/>
          <w:bCs/>
          <w:caps/>
          <w:kern w:val="2"/>
          <w:sz w:val="24"/>
          <w:szCs w:val="24"/>
          <w:lang w:val="en-US" w:eastAsia="zh-CN" w:bidi="ar-SA"/>
        </w:rPr>
        <w:fldChar w:fldCharType="begin"/>
      </w:r>
      <w:r>
        <w:rPr>
          <w:rFonts w:hint="eastAsia" w:ascii="宋体" w:hAnsi="宋体" w:eastAsia="宋体" w:cs="黑体"/>
          <w:b/>
          <w:bCs/>
          <w:caps/>
          <w:kern w:val="2"/>
          <w:sz w:val="24"/>
          <w:szCs w:val="24"/>
          <w:lang w:val="en-US" w:eastAsia="zh-CN" w:bidi="ar-SA"/>
        </w:rPr>
        <w:instrText xml:space="preserve"> HYPERLINK \l _Toc2263 </w:instrText>
      </w:r>
      <w:r>
        <w:rPr>
          <w:rFonts w:hint="eastAsia" w:ascii="宋体" w:hAnsi="宋体" w:eastAsia="宋体" w:cs="黑体"/>
          <w:b/>
          <w:bCs/>
          <w:caps/>
          <w:kern w:val="2"/>
          <w:sz w:val="24"/>
          <w:szCs w:val="24"/>
          <w:lang w:val="en-US" w:eastAsia="zh-CN" w:bidi="ar-SA"/>
        </w:rPr>
        <w:fldChar w:fldCharType="separate"/>
      </w:r>
      <w:r>
        <w:rPr>
          <w:rFonts w:hint="eastAsia" w:ascii="宋体" w:hAnsi="宋体" w:eastAsia="宋体" w:cs="黑体"/>
          <w:b/>
          <w:bCs/>
          <w:caps/>
          <w:kern w:val="2"/>
          <w:sz w:val="24"/>
          <w:szCs w:val="24"/>
          <w:lang w:val="en-US" w:eastAsia="zh-CN" w:bidi="ar-SA"/>
        </w:rPr>
        <w:t>一、小金属一周评述</w:t>
      </w:r>
      <w:r>
        <w:rPr>
          <w:rFonts w:hint="eastAsia" w:ascii="宋体" w:hAnsi="宋体" w:eastAsia="宋体" w:cs="黑体"/>
          <w:b/>
          <w:bCs/>
          <w:caps/>
          <w:kern w:val="2"/>
          <w:sz w:val="24"/>
          <w:szCs w:val="24"/>
          <w:lang w:val="en-US" w:eastAsia="zh-CN" w:bidi="ar-SA"/>
        </w:rPr>
        <w:tab/>
      </w:r>
      <w:r>
        <w:rPr>
          <w:rFonts w:hint="eastAsia" w:ascii="宋体" w:hAnsi="宋体" w:eastAsia="宋体" w:cs="黑体"/>
          <w:b/>
          <w:bCs/>
          <w:caps/>
          <w:kern w:val="2"/>
          <w:sz w:val="24"/>
          <w:szCs w:val="24"/>
          <w:lang w:val="en-US" w:eastAsia="zh-CN" w:bidi="ar-SA"/>
        </w:rPr>
        <w:fldChar w:fldCharType="begin"/>
      </w:r>
      <w:r>
        <w:rPr>
          <w:rFonts w:hint="eastAsia" w:ascii="宋体" w:hAnsi="宋体" w:eastAsia="宋体" w:cs="黑体"/>
          <w:b/>
          <w:bCs/>
          <w:caps/>
          <w:kern w:val="2"/>
          <w:sz w:val="24"/>
          <w:szCs w:val="24"/>
          <w:lang w:val="en-US" w:eastAsia="zh-CN" w:bidi="ar-SA"/>
        </w:rPr>
        <w:instrText xml:space="preserve"> PAGEREF _Toc2263 </w:instrText>
      </w:r>
      <w:r>
        <w:rPr>
          <w:rFonts w:hint="eastAsia" w:ascii="宋体" w:hAnsi="宋体" w:eastAsia="宋体" w:cs="黑体"/>
          <w:b/>
          <w:bCs/>
          <w:caps/>
          <w:kern w:val="2"/>
          <w:sz w:val="24"/>
          <w:szCs w:val="24"/>
          <w:lang w:val="en-US" w:eastAsia="zh-CN" w:bidi="ar-SA"/>
        </w:rPr>
        <w:fldChar w:fldCharType="separate"/>
      </w:r>
      <w:r>
        <w:rPr>
          <w:rFonts w:hint="eastAsia" w:ascii="宋体" w:hAnsi="宋体" w:eastAsia="宋体" w:cs="黑体"/>
          <w:b/>
          <w:bCs/>
          <w:caps/>
          <w:kern w:val="2"/>
          <w:sz w:val="24"/>
          <w:szCs w:val="24"/>
          <w:lang w:val="en-US" w:eastAsia="zh-CN" w:bidi="ar-SA"/>
        </w:rPr>
        <w:t>3</w:t>
      </w:r>
      <w:r>
        <w:rPr>
          <w:rFonts w:hint="eastAsia" w:ascii="宋体" w:hAnsi="宋体" w:eastAsia="宋体" w:cs="黑体"/>
          <w:b/>
          <w:bCs/>
          <w:caps/>
          <w:kern w:val="2"/>
          <w:sz w:val="24"/>
          <w:szCs w:val="24"/>
          <w:lang w:val="en-US" w:eastAsia="zh-CN" w:bidi="ar-SA"/>
        </w:rPr>
        <w:fldChar w:fldCharType="end"/>
      </w:r>
      <w:r>
        <w:rPr>
          <w:rFonts w:hint="eastAsia" w:ascii="宋体" w:hAnsi="宋体" w:eastAsia="宋体" w:cs="黑体"/>
          <w:b/>
          <w:bCs/>
          <w:caps/>
          <w:kern w:val="2"/>
          <w:sz w:val="24"/>
          <w:szCs w:val="24"/>
          <w:lang w:val="en-US" w:eastAsia="zh-CN" w:bidi="ar-SA"/>
        </w:rPr>
        <w:fldChar w:fldCharType="end"/>
      </w:r>
    </w:p>
    <w:p>
      <w:pPr>
        <w:pStyle w:val="9"/>
        <w:tabs>
          <w:tab w:val="right" w:leader="dot" w:pos="8504"/>
          <w:tab w:val="clear" w:pos="8494"/>
        </w:tabs>
      </w:pPr>
      <w:r>
        <w:fldChar w:fldCharType="begin"/>
      </w:r>
      <w:r>
        <w:instrText xml:space="preserve"> HYPERLINK \l _Toc13488 </w:instrText>
      </w:r>
      <w:r>
        <w:fldChar w:fldCharType="separate"/>
      </w:r>
      <w:r>
        <w:rPr>
          <w:rFonts w:hint="eastAsia"/>
          <w:kern w:val="0"/>
        </w:rPr>
        <w:t>1、硒评论</w:t>
      </w:r>
      <w:r>
        <w:rPr>
          <w:rFonts w:hint="eastAsia"/>
          <w:kern w:val="0"/>
          <w:lang w:eastAsia="zh-CN"/>
        </w:rPr>
        <w:t>：锰市刚需为主 二硒报价坚挺</w:t>
      </w:r>
      <w:r>
        <w:tab/>
      </w:r>
      <w:r>
        <w:fldChar w:fldCharType="begin"/>
      </w:r>
      <w:r>
        <w:instrText xml:space="preserve"> PAGEREF _Toc13488 </w:instrText>
      </w:r>
      <w:r>
        <w:fldChar w:fldCharType="separate"/>
      </w:r>
      <w:r>
        <w:t>3</w:t>
      </w:r>
      <w:r>
        <w:fldChar w:fldCharType="end"/>
      </w:r>
      <w:r>
        <w:fldChar w:fldCharType="end"/>
      </w:r>
    </w:p>
    <w:p>
      <w:pPr>
        <w:pStyle w:val="9"/>
        <w:tabs>
          <w:tab w:val="right" w:leader="dot" w:pos="8504"/>
          <w:tab w:val="clear" w:pos="8494"/>
        </w:tabs>
      </w:pPr>
      <w:r>
        <w:fldChar w:fldCharType="begin"/>
      </w:r>
      <w:r>
        <w:instrText xml:space="preserve"> HYPERLINK \l _Toc4632 </w:instrText>
      </w:r>
      <w:r>
        <w:fldChar w:fldCharType="separate"/>
      </w:r>
      <w:r>
        <w:rPr>
          <w:rFonts w:hint="default"/>
          <w:kern w:val="0"/>
          <w:lang w:val="en-US" w:eastAsia="zh-CN"/>
        </w:rPr>
        <w:t>2、</w:t>
      </w:r>
      <w:r>
        <w:rPr>
          <w:rFonts w:hint="eastAsia"/>
          <w:kern w:val="0"/>
          <w:lang w:eastAsia="zh-CN"/>
        </w:rPr>
        <w:t>铋</w:t>
      </w:r>
      <w:r>
        <w:rPr>
          <w:rFonts w:hint="eastAsia"/>
          <w:kern w:val="0"/>
        </w:rPr>
        <w:t>评论</w:t>
      </w:r>
      <w:r>
        <w:rPr>
          <w:rFonts w:hint="eastAsia"/>
          <w:kern w:val="0"/>
          <w:lang w:eastAsia="zh-CN"/>
        </w:rPr>
        <w:t>：铋锭市场成交量低到冰点</w:t>
      </w:r>
      <w:r>
        <w:tab/>
      </w:r>
      <w:r>
        <w:fldChar w:fldCharType="begin"/>
      </w:r>
      <w:r>
        <w:instrText xml:space="preserve"> PAGEREF _Toc4632 </w:instrText>
      </w:r>
      <w:r>
        <w:fldChar w:fldCharType="separate"/>
      </w:r>
      <w:r>
        <w:t>4</w:t>
      </w:r>
      <w:r>
        <w:fldChar w:fldCharType="end"/>
      </w:r>
      <w:r>
        <w:fldChar w:fldCharType="end"/>
      </w:r>
    </w:p>
    <w:p>
      <w:pPr>
        <w:pStyle w:val="9"/>
        <w:tabs>
          <w:tab w:val="right" w:leader="dot" w:pos="8504"/>
          <w:tab w:val="clear" w:pos="8494"/>
        </w:tabs>
      </w:pPr>
      <w:r>
        <w:fldChar w:fldCharType="begin"/>
      </w:r>
      <w:r>
        <w:instrText xml:space="preserve"> HYPERLINK \l _Toc17977 </w:instrText>
      </w:r>
      <w:r>
        <w:fldChar w:fldCharType="separate"/>
      </w:r>
      <w:r>
        <w:rPr>
          <w:rFonts w:hint="eastAsia"/>
          <w:kern w:val="0"/>
        </w:rPr>
        <w:t>3</w:t>
      </w:r>
      <w:r>
        <w:rPr>
          <w:rFonts w:hint="eastAsia"/>
          <w:kern w:val="0"/>
          <w:lang w:eastAsia="zh-CN"/>
        </w:rPr>
        <w:t>、</w:t>
      </w:r>
      <w:r>
        <w:rPr>
          <w:rFonts w:hint="eastAsia"/>
          <w:kern w:val="0"/>
        </w:rPr>
        <w:t>铟评论：铟锭价格依然平稳 泛亚进行二次拍卖</w:t>
      </w:r>
      <w:r>
        <w:tab/>
      </w:r>
      <w:r>
        <w:fldChar w:fldCharType="begin"/>
      </w:r>
      <w:r>
        <w:instrText xml:space="preserve"> PAGEREF _Toc17977 </w:instrText>
      </w:r>
      <w:r>
        <w:fldChar w:fldCharType="separate"/>
      </w:r>
      <w:r>
        <w:t>5</w:t>
      </w:r>
      <w:r>
        <w:fldChar w:fldCharType="end"/>
      </w:r>
      <w:r>
        <w:fldChar w:fldCharType="end"/>
      </w:r>
    </w:p>
    <w:p>
      <w:pPr>
        <w:pStyle w:val="9"/>
        <w:tabs>
          <w:tab w:val="right" w:leader="dot" w:pos="8504"/>
          <w:tab w:val="clear" w:pos="8494"/>
        </w:tabs>
      </w:pPr>
      <w:r>
        <w:fldChar w:fldCharType="begin"/>
      </w:r>
      <w:r>
        <w:instrText xml:space="preserve"> HYPERLINK \l _Toc14136 </w:instrText>
      </w:r>
      <w:r>
        <w:fldChar w:fldCharType="separate"/>
      </w:r>
      <w:r>
        <w:rPr>
          <w:kern w:val="0"/>
        </w:rPr>
        <w:t>4</w:t>
      </w:r>
      <w:r>
        <w:rPr>
          <w:rFonts w:hint="eastAsia" w:cs="宋体"/>
          <w:kern w:val="0"/>
        </w:rPr>
        <w:t>、碲评论：金属碲市场行情变化不大</w:t>
      </w:r>
      <w:r>
        <w:tab/>
      </w:r>
      <w:r>
        <w:fldChar w:fldCharType="begin"/>
      </w:r>
      <w:r>
        <w:instrText xml:space="preserve"> PAGEREF _Toc14136 </w:instrText>
      </w:r>
      <w:r>
        <w:fldChar w:fldCharType="separate"/>
      </w:r>
      <w:r>
        <w:t>5</w:t>
      </w:r>
      <w:r>
        <w:fldChar w:fldCharType="end"/>
      </w:r>
      <w:r>
        <w:fldChar w:fldCharType="end"/>
      </w:r>
    </w:p>
    <w:p>
      <w:pPr>
        <w:pStyle w:val="15"/>
        <w:tabs>
          <w:tab w:val="right" w:leader="dot" w:pos="8504"/>
          <w:tab w:val="clear" w:pos="9170"/>
        </w:tabs>
      </w:pPr>
      <w:r>
        <w:fldChar w:fldCharType="begin"/>
      </w:r>
      <w:r>
        <w:instrText xml:space="preserve"> HYPERLINK \l _Toc9413 </w:instrText>
      </w:r>
      <w:r>
        <w:fldChar w:fldCharType="separate"/>
      </w:r>
      <w:r>
        <w:rPr>
          <w:rFonts w:hint="eastAsia" w:cs="黑体"/>
        </w:rPr>
        <w:t>二、价格行情</w:t>
      </w:r>
      <w:r>
        <w:tab/>
      </w:r>
      <w:r>
        <w:fldChar w:fldCharType="begin"/>
      </w:r>
      <w:r>
        <w:instrText xml:space="preserve"> PAGEREF _Toc9413 </w:instrText>
      </w:r>
      <w:r>
        <w:fldChar w:fldCharType="separate"/>
      </w:r>
      <w:r>
        <w:t>6</w:t>
      </w:r>
      <w:r>
        <w:fldChar w:fldCharType="end"/>
      </w:r>
      <w:r>
        <w:fldChar w:fldCharType="end"/>
      </w:r>
    </w:p>
    <w:p>
      <w:pPr>
        <w:pStyle w:val="9"/>
        <w:tabs>
          <w:tab w:val="right" w:leader="dot" w:pos="8504"/>
          <w:tab w:val="clear" w:pos="8494"/>
        </w:tabs>
      </w:pPr>
      <w:r>
        <w:fldChar w:fldCharType="begin"/>
      </w:r>
      <w:r>
        <w:instrText xml:space="preserve"> HYPERLINK \l _Toc8308 </w:instrText>
      </w:r>
      <w:r>
        <w:fldChar w:fldCharType="separate"/>
      </w:r>
      <w:r>
        <w:rPr>
          <w:kern w:val="0"/>
        </w:rPr>
        <w:t>1</w:t>
      </w:r>
      <w:r>
        <w:rPr>
          <w:rFonts w:hint="eastAsia" w:cs="宋体"/>
          <w:kern w:val="0"/>
        </w:rPr>
        <w:t>、国际价格</w:t>
      </w:r>
      <w:r>
        <w:tab/>
      </w:r>
      <w:r>
        <w:fldChar w:fldCharType="begin"/>
      </w:r>
      <w:r>
        <w:instrText xml:space="preserve"> PAGEREF _Toc8308 </w:instrText>
      </w:r>
      <w:r>
        <w:fldChar w:fldCharType="separate"/>
      </w:r>
      <w:r>
        <w:t>6</w:t>
      </w:r>
      <w:r>
        <w:fldChar w:fldCharType="end"/>
      </w:r>
      <w:r>
        <w:fldChar w:fldCharType="end"/>
      </w:r>
    </w:p>
    <w:p>
      <w:pPr>
        <w:pStyle w:val="9"/>
        <w:tabs>
          <w:tab w:val="right" w:leader="dot" w:pos="8504"/>
          <w:tab w:val="clear" w:pos="8494"/>
        </w:tabs>
      </w:pPr>
      <w:r>
        <w:fldChar w:fldCharType="begin"/>
      </w:r>
      <w:r>
        <w:instrText xml:space="preserve"> HYPERLINK \l _Toc3731 </w:instrText>
      </w:r>
      <w:r>
        <w:fldChar w:fldCharType="separate"/>
      </w:r>
      <w:r>
        <w:rPr>
          <w:kern w:val="0"/>
        </w:rPr>
        <w:t>2</w:t>
      </w:r>
      <w:r>
        <w:rPr>
          <w:rFonts w:hint="eastAsia" w:cs="宋体"/>
          <w:kern w:val="0"/>
        </w:rPr>
        <w:t>、欧洲鹿特丹小金</w:t>
      </w:r>
      <w:bookmarkStart w:id="123" w:name="_GoBack"/>
      <w:bookmarkEnd w:id="123"/>
      <w:r>
        <w:rPr>
          <w:rFonts w:hint="eastAsia" w:cs="宋体"/>
          <w:kern w:val="0"/>
        </w:rPr>
        <w:t>属价格</w:t>
      </w:r>
      <w:r>
        <w:tab/>
      </w:r>
      <w:r>
        <w:fldChar w:fldCharType="begin"/>
      </w:r>
      <w:r>
        <w:instrText xml:space="preserve"> PAGEREF _Toc3731 </w:instrText>
      </w:r>
      <w:r>
        <w:fldChar w:fldCharType="separate"/>
      </w:r>
      <w:r>
        <w:t>6</w:t>
      </w:r>
      <w:r>
        <w:fldChar w:fldCharType="end"/>
      </w:r>
      <w:r>
        <w:fldChar w:fldCharType="end"/>
      </w:r>
    </w:p>
    <w:p>
      <w:pPr>
        <w:pStyle w:val="9"/>
        <w:tabs>
          <w:tab w:val="right" w:leader="dot" w:pos="8504"/>
          <w:tab w:val="clear" w:pos="8494"/>
        </w:tabs>
      </w:pPr>
      <w:r>
        <w:fldChar w:fldCharType="begin"/>
      </w:r>
      <w:r>
        <w:instrText xml:space="preserve"> HYPERLINK \l _Toc22043 </w:instrText>
      </w:r>
      <w:r>
        <w:fldChar w:fldCharType="separate"/>
      </w:r>
      <w:r>
        <w:rPr>
          <w:rFonts w:cs="宋体"/>
          <w:kern w:val="0"/>
        </w:rPr>
        <w:t xml:space="preserve">3、 </w:t>
      </w:r>
      <w:r>
        <w:rPr>
          <w:rFonts w:hint="eastAsia" w:cs="宋体"/>
          <w:kern w:val="0"/>
        </w:rPr>
        <w:t>国内一周小金属价格汇总</w:t>
      </w:r>
      <w:r>
        <w:tab/>
      </w:r>
      <w:r>
        <w:fldChar w:fldCharType="begin"/>
      </w:r>
      <w:r>
        <w:instrText xml:space="preserve"> PAGEREF _Toc22043 </w:instrText>
      </w:r>
      <w:r>
        <w:fldChar w:fldCharType="separate"/>
      </w:r>
      <w:r>
        <w:t>6</w:t>
      </w:r>
      <w:r>
        <w:fldChar w:fldCharType="end"/>
      </w:r>
      <w:r>
        <w:fldChar w:fldCharType="end"/>
      </w:r>
    </w:p>
    <w:p>
      <w:pPr>
        <w:pStyle w:val="15"/>
        <w:tabs>
          <w:tab w:val="right" w:leader="dot" w:pos="8504"/>
          <w:tab w:val="clear" w:pos="9170"/>
        </w:tabs>
      </w:pPr>
      <w:r>
        <w:fldChar w:fldCharType="begin"/>
      </w:r>
      <w:r>
        <w:instrText xml:space="preserve"> HYPERLINK \l _Toc27016 </w:instrText>
      </w:r>
      <w:r>
        <w:fldChar w:fldCharType="separate"/>
      </w:r>
      <w:r>
        <w:rPr>
          <w:rFonts w:hint="eastAsia"/>
        </w:rPr>
        <w:t xml:space="preserve">三、 </w:t>
      </w:r>
      <w:r>
        <w:rPr>
          <w:rFonts w:hint="eastAsia" w:cs="黑体"/>
          <w:kern w:val="0"/>
        </w:rPr>
        <w:t>一周市场动态回顾</w:t>
      </w:r>
      <w:r>
        <w:tab/>
      </w:r>
      <w:r>
        <w:fldChar w:fldCharType="begin"/>
      </w:r>
      <w:r>
        <w:instrText xml:space="preserve"> PAGEREF _Toc27016 </w:instrText>
      </w:r>
      <w:r>
        <w:fldChar w:fldCharType="separate"/>
      </w:r>
      <w:r>
        <w:t>7</w:t>
      </w:r>
      <w:r>
        <w:fldChar w:fldCharType="end"/>
      </w:r>
      <w:r>
        <w:fldChar w:fldCharType="end"/>
      </w:r>
    </w:p>
    <w:p>
      <w:pPr>
        <w:pStyle w:val="17"/>
        <w:tabs>
          <w:tab w:val="right" w:leader="dot" w:pos="8504"/>
          <w:tab w:val="clear" w:pos="9170"/>
        </w:tabs>
      </w:pPr>
      <w:r>
        <w:fldChar w:fldCharType="begin"/>
      </w:r>
      <w:r>
        <w:instrText xml:space="preserve"> HYPERLINK \l _Toc21029 </w:instrText>
      </w:r>
      <w:r>
        <w:fldChar w:fldCharType="separate"/>
      </w:r>
      <w:r>
        <w:rPr>
          <w:rFonts w:hint="eastAsia" w:ascii="宋体" w:hAnsi="宋体" w:cs="宋体"/>
          <w:bCs/>
          <w:kern w:val="0"/>
          <w:szCs w:val="30"/>
        </w:rPr>
        <w:t>铜冠铜箔生产规模达4.5万吨/年</w:t>
      </w:r>
      <w:r>
        <w:tab/>
      </w:r>
      <w:r>
        <w:fldChar w:fldCharType="begin"/>
      </w:r>
      <w:r>
        <w:instrText xml:space="preserve"> PAGEREF _Toc21029 </w:instrText>
      </w:r>
      <w:r>
        <w:fldChar w:fldCharType="separate"/>
      </w:r>
      <w:r>
        <w:t>7</w:t>
      </w:r>
      <w:r>
        <w:fldChar w:fldCharType="end"/>
      </w:r>
      <w:r>
        <w:fldChar w:fldCharType="end"/>
      </w:r>
    </w:p>
    <w:p>
      <w:pPr>
        <w:pStyle w:val="17"/>
        <w:tabs>
          <w:tab w:val="right" w:leader="dot" w:pos="8504"/>
          <w:tab w:val="clear" w:pos="9170"/>
        </w:tabs>
      </w:pPr>
      <w:r>
        <w:fldChar w:fldCharType="begin"/>
      </w:r>
      <w:r>
        <w:instrText xml:space="preserve"> HYPERLINK \l _Toc19662 </w:instrText>
      </w:r>
      <w:r>
        <w:fldChar w:fldCharType="separate"/>
      </w:r>
      <w:r>
        <w:rPr>
          <w:rFonts w:hint="eastAsia" w:ascii="宋体" w:hAnsi="宋体" w:cs="宋体"/>
          <w:bCs/>
          <w:kern w:val="0"/>
          <w:szCs w:val="30"/>
        </w:rPr>
        <w:t>中国铜业在澜沧老厂发现斑岩型铜银矿化</w:t>
      </w:r>
      <w:r>
        <w:tab/>
      </w:r>
      <w:r>
        <w:fldChar w:fldCharType="begin"/>
      </w:r>
      <w:r>
        <w:instrText xml:space="preserve"> PAGEREF _Toc19662 </w:instrText>
      </w:r>
      <w:r>
        <w:fldChar w:fldCharType="separate"/>
      </w:r>
      <w:r>
        <w:t>7</w:t>
      </w:r>
      <w:r>
        <w:fldChar w:fldCharType="end"/>
      </w:r>
      <w:r>
        <w:fldChar w:fldCharType="end"/>
      </w:r>
    </w:p>
    <w:p>
      <w:pPr>
        <w:pStyle w:val="17"/>
        <w:tabs>
          <w:tab w:val="right" w:leader="dot" w:pos="8504"/>
          <w:tab w:val="clear" w:pos="9170"/>
        </w:tabs>
      </w:pPr>
      <w:r>
        <w:fldChar w:fldCharType="begin"/>
      </w:r>
      <w:r>
        <w:instrText xml:space="preserve"> HYPERLINK \l _Toc10182 </w:instrText>
      </w:r>
      <w:r>
        <w:fldChar w:fldCharType="separate"/>
      </w:r>
      <w:r>
        <w:rPr>
          <w:rFonts w:hint="eastAsia" w:ascii="宋体" w:hAnsi="宋体" w:cs="宋体"/>
          <w:bCs/>
          <w:kern w:val="0"/>
          <w:szCs w:val="30"/>
          <w:lang w:eastAsia="zh-CN"/>
        </w:rPr>
        <w:t>江铜列全球矿业公司50强第30名</w:t>
      </w:r>
      <w:r>
        <w:tab/>
      </w:r>
      <w:r>
        <w:fldChar w:fldCharType="begin"/>
      </w:r>
      <w:r>
        <w:instrText xml:space="preserve"> PAGEREF _Toc10182 </w:instrText>
      </w:r>
      <w:r>
        <w:fldChar w:fldCharType="separate"/>
      </w:r>
      <w:r>
        <w:t>9</w:t>
      </w:r>
      <w:r>
        <w:fldChar w:fldCharType="end"/>
      </w:r>
      <w:r>
        <w:fldChar w:fldCharType="end"/>
      </w:r>
    </w:p>
    <w:p>
      <w:pPr>
        <w:pStyle w:val="17"/>
        <w:tabs>
          <w:tab w:val="right" w:leader="dot" w:pos="8504"/>
          <w:tab w:val="clear" w:pos="9170"/>
        </w:tabs>
      </w:pPr>
      <w:r>
        <w:fldChar w:fldCharType="begin"/>
      </w:r>
      <w:r>
        <w:instrText xml:space="preserve"> HYPERLINK \l _Toc15542 </w:instrText>
      </w:r>
      <w:r>
        <w:fldChar w:fldCharType="separate"/>
      </w:r>
      <w:r>
        <w:rPr>
          <w:rFonts w:hint="eastAsia" w:ascii="宋体" w:hAnsi="宋体" w:cs="宋体"/>
          <w:bCs/>
          <w:kern w:val="0"/>
          <w:szCs w:val="30"/>
        </w:rPr>
        <w:t>驰宏锌锗获2019实现可持续发展目标企业最佳实践奖</w:t>
      </w:r>
      <w:r>
        <w:tab/>
      </w:r>
      <w:r>
        <w:fldChar w:fldCharType="begin"/>
      </w:r>
      <w:r>
        <w:instrText xml:space="preserve"> PAGEREF _Toc15542 </w:instrText>
      </w:r>
      <w:r>
        <w:fldChar w:fldCharType="separate"/>
      </w:r>
      <w:r>
        <w:t>9</w:t>
      </w:r>
      <w:r>
        <w:fldChar w:fldCharType="end"/>
      </w:r>
      <w:r>
        <w:fldChar w:fldCharType="end"/>
      </w:r>
    </w:p>
    <w:p>
      <w:pPr>
        <w:pStyle w:val="17"/>
        <w:tabs>
          <w:tab w:val="right" w:leader="dot" w:pos="8504"/>
          <w:tab w:val="clear" w:pos="9170"/>
        </w:tabs>
      </w:pPr>
      <w:r>
        <w:fldChar w:fldCharType="begin"/>
      </w:r>
      <w:r>
        <w:instrText xml:space="preserve"> HYPERLINK \l _Toc14408 </w:instrText>
      </w:r>
      <w:r>
        <w:fldChar w:fldCharType="separate"/>
      </w:r>
      <w:r>
        <w:rPr>
          <w:rFonts w:hint="eastAsia" w:ascii="宋体" w:hAnsi="宋体" w:cs="宋体"/>
          <w:bCs/>
          <w:kern w:val="0"/>
          <w:szCs w:val="30"/>
        </w:rPr>
        <w:t>2019年度国家科技奖励大会召开</w:t>
      </w:r>
      <w:r>
        <w:tab/>
      </w:r>
      <w:r>
        <w:fldChar w:fldCharType="begin"/>
      </w:r>
      <w:r>
        <w:instrText xml:space="preserve"> PAGEREF _Toc14408 </w:instrText>
      </w:r>
      <w:r>
        <w:fldChar w:fldCharType="separate"/>
      </w:r>
      <w:r>
        <w:t>10</w:t>
      </w:r>
      <w:r>
        <w:fldChar w:fldCharType="end"/>
      </w:r>
      <w:r>
        <w:fldChar w:fldCharType="end"/>
      </w:r>
    </w:p>
    <w:p>
      <w:pPr>
        <w:pStyle w:val="17"/>
        <w:tabs>
          <w:tab w:val="right" w:leader="dot" w:pos="8504"/>
          <w:tab w:val="clear" w:pos="9170"/>
        </w:tabs>
      </w:pPr>
      <w:r>
        <w:fldChar w:fldCharType="begin"/>
      </w:r>
      <w:r>
        <w:instrText xml:space="preserve"> HYPERLINK \l _Toc21150 </w:instrText>
      </w:r>
      <w:r>
        <w:fldChar w:fldCharType="separate"/>
      </w:r>
      <w:r>
        <w:rPr>
          <w:rFonts w:hint="eastAsia" w:ascii="宋体" w:hAnsi="宋体" w:cs="宋体"/>
          <w:bCs/>
          <w:kern w:val="0"/>
          <w:szCs w:val="30"/>
        </w:rPr>
        <w:t>泷涛环境成功入选“2019年度北京市知识产权试点单位”</w:t>
      </w:r>
      <w:r>
        <w:tab/>
      </w:r>
      <w:r>
        <w:fldChar w:fldCharType="begin"/>
      </w:r>
      <w:r>
        <w:instrText xml:space="preserve"> PAGEREF _Toc21150 </w:instrText>
      </w:r>
      <w:r>
        <w:fldChar w:fldCharType="separate"/>
      </w:r>
      <w:r>
        <w:t>13</w:t>
      </w:r>
      <w:r>
        <w:fldChar w:fldCharType="end"/>
      </w:r>
      <w:r>
        <w:fldChar w:fldCharType="end"/>
      </w:r>
    </w:p>
    <w:p>
      <w:pPr>
        <w:pStyle w:val="17"/>
        <w:tabs>
          <w:tab w:val="right" w:leader="dot" w:pos="8504"/>
          <w:tab w:val="clear" w:pos="9170"/>
        </w:tabs>
      </w:pPr>
      <w:r>
        <w:fldChar w:fldCharType="begin"/>
      </w:r>
      <w:r>
        <w:instrText xml:space="preserve"> HYPERLINK \l _Toc26601 </w:instrText>
      </w:r>
      <w:r>
        <w:fldChar w:fldCharType="separate"/>
      </w:r>
      <w:r>
        <w:rPr>
          <w:rFonts w:hint="eastAsia" w:ascii="宋体" w:hAnsi="宋体" w:cs="宋体"/>
          <w:bCs/>
          <w:kern w:val="0"/>
          <w:szCs w:val="30"/>
        </w:rPr>
        <w:t>太阳能充电桩厦门造 已走出国门出口多个国家</w:t>
      </w:r>
      <w:r>
        <w:tab/>
      </w:r>
      <w:r>
        <w:fldChar w:fldCharType="begin"/>
      </w:r>
      <w:r>
        <w:instrText xml:space="preserve"> PAGEREF _Toc26601 </w:instrText>
      </w:r>
      <w:r>
        <w:fldChar w:fldCharType="separate"/>
      </w:r>
      <w:r>
        <w:t>15</w:t>
      </w:r>
      <w:r>
        <w:fldChar w:fldCharType="end"/>
      </w:r>
      <w:r>
        <w:fldChar w:fldCharType="end"/>
      </w:r>
    </w:p>
    <w:p>
      <w:pPr>
        <w:pStyle w:val="17"/>
        <w:tabs>
          <w:tab w:val="right" w:leader="dot" w:pos="8504"/>
          <w:tab w:val="clear" w:pos="9170"/>
        </w:tabs>
      </w:pPr>
      <w:r>
        <w:fldChar w:fldCharType="begin"/>
      </w:r>
      <w:r>
        <w:instrText xml:space="preserve"> HYPERLINK \l _Toc6356 </w:instrText>
      </w:r>
      <w:r>
        <w:fldChar w:fldCharType="separate"/>
      </w:r>
      <w:r>
        <w:rPr>
          <w:rFonts w:hint="eastAsia" w:ascii="宋体" w:hAnsi="宋体" w:cs="宋体"/>
          <w:bCs/>
          <w:kern w:val="0"/>
          <w:szCs w:val="30"/>
        </w:rPr>
        <w:t>或许是时候重新审视OLED技术了</w:t>
      </w:r>
      <w:r>
        <w:tab/>
      </w:r>
      <w:r>
        <w:fldChar w:fldCharType="begin"/>
      </w:r>
      <w:r>
        <w:instrText xml:space="preserve"> PAGEREF _Toc6356 </w:instrText>
      </w:r>
      <w:r>
        <w:fldChar w:fldCharType="separate"/>
      </w:r>
      <w:r>
        <w:t>16</w:t>
      </w:r>
      <w:r>
        <w:fldChar w:fldCharType="end"/>
      </w:r>
      <w:r>
        <w:fldChar w:fldCharType="end"/>
      </w:r>
    </w:p>
    <w:p>
      <w:pPr>
        <w:pStyle w:val="17"/>
        <w:tabs>
          <w:tab w:val="right" w:leader="dot" w:pos="8504"/>
          <w:tab w:val="clear" w:pos="9170"/>
        </w:tabs>
      </w:pPr>
      <w:r>
        <w:fldChar w:fldCharType="begin"/>
      </w:r>
      <w:r>
        <w:instrText xml:space="preserve"> HYPERLINK \l _Toc6813 </w:instrText>
      </w:r>
      <w:r>
        <w:fldChar w:fldCharType="separate"/>
      </w:r>
      <w:r>
        <w:rPr>
          <w:rFonts w:hint="eastAsia" w:ascii="宋体" w:hAnsi="宋体" w:cs="宋体"/>
          <w:bCs/>
          <w:kern w:val="0"/>
          <w:szCs w:val="30"/>
        </w:rPr>
        <w:t>疫苗冷链配送如何从提案变成“实事”</w:t>
      </w:r>
      <w:r>
        <w:tab/>
      </w:r>
      <w:r>
        <w:fldChar w:fldCharType="begin"/>
      </w:r>
      <w:r>
        <w:instrText xml:space="preserve"> PAGEREF _Toc6813 </w:instrText>
      </w:r>
      <w:r>
        <w:fldChar w:fldCharType="separate"/>
      </w:r>
      <w:r>
        <w:t>18</w:t>
      </w:r>
      <w:r>
        <w:fldChar w:fldCharType="end"/>
      </w:r>
      <w:r>
        <w:fldChar w:fldCharType="end"/>
      </w:r>
    </w:p>
    <w:p>
      <w:pPr>
        <w:pStyle w:val="17"/>
        <w:tabs>
          <w:tab w:val="right" w:leader="dot" w:pos="8504"/>
          <w:tab w:val="clear" w:pos="9170"/>
        </w:tabs>
      </w:pPr>
      <w:r>
        <w:fldChar w:fldCharType="begin"/>
      </w:r>
      <w:r>
        <w:instrText xml:space="preserve"> HYPERLINK \l _Toc25302 </w:instrText>
      </w:r>
      <w:r>
        <w:fldChar w:fldCharType="separate"/>
      </w:r>
      <w:r>
        <w:rPr>
          <w:rFonts w:hint="eastAsia" w:ascii="宋体" w:hAnsi="宋体" w:cs="宋体"/>
          <w:bCs/>
          <w:kern w:val="0"/>
          <w:szCs w:val="30"/>
        </w:rPr>
        <w:t>三峡银岭冷链万吨冷库建成投产</w:t>
      </w:r>
      <w:r>
        <w:tab/>
      </w:r>
      <w:r>
        <w:fldChar w:fldCharType="begin"/>
      </w:r>
      <w:r>
        <w:instrText xml:space="preserve"> PAGEREF _Toc25302 </w:instrText>
      </w:r>
      <w:r>
        <w:fldChar w:fldCharType="separate"/>
      </w:r>
      <w:r>
        <w:t>20</w:t>
      </w:r>
      <w:r>
        <w:fldChar w:fldCharType="end"/>
      </w:r>
      <w:r>
        <w:fldChar w:fldCharType="end"/>
      </w:r>
    </w:p>
    <w:p>
      <w:pPr>
        <w:pStyle w:val="4"/>
        <w:spacing w:line="400" w:lineRule="exact"/>
        <w:rPr>
          <w:kern w:val="0"/>
        </w:rPr>
      </w:pPr>
      <w:r>
        <w:fldChar w:fldCharType="end"/>
      </w:r>
      <w:bookmarkEnd w:id="0"/>
      <w:bookmarkStart w:id="2" w:name="_Toc2263"/>
      <w:r>
        <w:rPr>
          <w:rFonts w:hint="eastAsia" w:cs="黑体"/>
        </w:rPr>
        <w:t>一、小金属一周评述</w:t>
      </w:r>
      <w:bookmarkEnd w:id="1"/>
      <w:bookmarkEnd w:id="2"/>
    </w:p>
    <w:p>
      <w:pPr>
        <w:pStyle w:val="4"/>
        <w:spacing w:line="400" w:lineRule="exact"/>
        <w:rPr>
          <w:rFonts w:hint="eastAsia" w:eastAsia="宋体"/>
          <w:lang w:eastAsia="zh-CN"/>
        </w:rPr>
      </w:pPr>
      <w:bookmarkStart w:id="3" w:name="_Toc13488"/>
      <w:r>
        <w:rPr>
          <w:rFonts w:hint="eastAsia"/>
          <w:kern w:val="0"/>
        </w:rPr>
        <w:t>1、硒评论</w:t>
      </w:r>
      <w:r>
        <w:rPr>
          <w:rFonts w:hint="eastAsia"/>
          <w:kern w:val="0"/>
          <w:lang w:eastAsia="zh-CN"/>
        </w:rPr>
        <w:t>：锰市刚需为主 二硒报价坚挺</w:t>
      </w:r>
      <w:bookmarkEnd w:id="3"/>
    </w:p>
    <w:p>
      <w:pPr>
        <w:pStyle w:val="18"/>
        <w:keepNext w:val="0"/>
        <w:keepLines w:val="0"/>
        <w:widowControl/>
        <w:suppressLineNumbers w:val="0"/>
        <w:wordWrap w:val="0"/>
        <w:spacing w:line="288" w:lineRule="auto"/>
        <w:ind w:firstLine="560" w:firstLineChars="200"/>
      </w:pPr>
      <w:r>
        <w:rPr>
          <w:rFonts w:hint="default" w:ascii="仿宋_GB2312" w:hAnsi="宋体" w:eastAsia="仿宋_GB2312" w:cs="仿宋_GB2312"/>
          <w:kern w:val="0"/>
          <w:sz w:val="28"/>
          <w:szCs w:val="28"/>
          <w:lang w:val="en-US" w:eastAsia="zh-CN"/>
        </w:rPr>
        <w:t>中商网讯：截至到目前电解锰的报价在10</w:t>
      </w:r>
      <w:r>
        <w:rPr>
          <w:rFonts w:hint="eastAsia" w:ascii="仿宋_GB2312" w:hAnsi="宋体" w:eastAsia="仿宋_GB2312" w:cs="仿宋_GB2312"/>
          <w:kern w:val="0"/>
          <w:sz w:val="28"/>
          <w:szCs w:val="28"/>
          <w:lang w:val="en-US" w:eastAsia="zh-CN"/>
        </w:rPr>
        <w:t>5</w:t>
      </w:r>
      <w:r>
        <w:rPr>
          <w:rFonts w:hint="default" w:ascii="仿宋_GB2312" w:hAnsi="宋体" w:eastAsia="仿宋_GB2312" w:cs="仿宋_GB2312"/>
          <w:kern w:val="0"/>
          <w:sz w:val="28"/>
          <w:szCs w:val="28"/>
          <w:lang w:val="en-US" w:eastAsia="zh-CN"/>
        </w:rPr>
        <w:t>00-10</w:t>
      </w:r>
      <w:r>
        <w:rPr>
          <w:rFonts w:hint="eastAsia" w:ascii="仿宋_GB2312" w:hAnsi="宋体" w:eastAsia="仿宋_GB2312" w:cs="仿宋_GB2312"/>
          <w:kern w:val="0"/>
          <w:sz w:val="28"/>
          <w:szCs w:val="28"/>
          <w:lang w:val="en-US" w:eastAsia="zh-CN"/>
        </w:rPr>
        <w:t>7</w:t>
      </w:r>
      <w:r>
        <w:rPr>
          <w:rFonts w:hint="default" w:ascii="仿宋_GB2312" w:hAnsi="宋体" w:eastAsia="仿宋_GB2312" w:cs="仿宋_GB2312"/>
          <w:kern w:val="0"/>
          <w:sz w:val="28"/>
          <w:szCs w:val="28"/>
          <w:lang w:val="en-US" w:eastAsia="zh-CN"/>
        </w:rPr>
        <w:t>00元/吨</w:t>
      </w:r>
      <w:r>
        <w:rPr>
          <w:rFonts w:hint="eastAsia" w:ascii="仿宋_GB2312" w:hAnsi="宋体" w:eastAsia="仿宋_GB2312" w:cs="仿宋_GB2312"/>
          <w:kern w:val="0"/>
          <w:sz w:val="28"/>
          <w:szCs w:val="28"/>
          <w:lang w:val="en-US" w:eastAsia="zh-CN"/>
        </w:rPr>
        <w:t>，</w:t>
      </w:r>
      <w:r>
        <w:rPr>
          <w:rFonts w:hint="default" w:ascii="仿宋_GB2312" w:hAnsi="宋体" w:eastAsia="仿宋_GB2312" w:cs="仿宋_GB2312"/>
          <w:kern w:val="0"/>
          <w:sz w:val="28"/>
          <w:szCs w:val="28"/>
          <w:lang w:val="en-US" w:eastAsia="zh-CN"/>
        </w:rPr>
        <w:t>均价较上周五</w:t>
      </w:r>
      <w:r>
        <w:rPr>
          <w:rFonts w:hint="eastAsia" w:ascii="仿宋_GB2312" w:hAnsi="宋体" w:eastAsia="仿宋_GB2312" w:cs="仿宋_GB2312"/>
          <w:kern w:val="0"/>
          <w:sz w:val="28"/>
          <w:szCs w:val="28"/>
          <w:lang w:val="en-US" w:eastAsia="zh-CN"/>
        </w:rPr>
        <w:t>保持不变</w:t>
      </w:r>
      <w:r>
        <w:rPr>
          <w:rFonts w:hint="default" w:ascii="仿宋_GB2312" w:hAnsi="宋体" w:eastAsia="仿宋_GB2312" w:cs="仿宋_GB2312"/>
          <w:kern w:val="0"/>
          <w:sz w:val="28"/>
          <w:szCs w:val="28"/>
          <w:lang w:val="en-US" w:eastAsia="zh-CN"/>
        </w:rPr>
        <w:t>。目前电解锰市场刚需成交为主，部分锰厂现货偏少。近期锰价上调300元/吨，不少业者表示只为短期调整。临近春节，部分矿山已经停产，多数锰厂产量有所下降</w:t>
      </w:r>
      <w:r>
        <w:rPr>
          <w:rFonts w:hint="eastAsia" w:ascii="仿宋_GB2312" w:hAnsi="宋体" w:eastAsia="仿宋_GB2312" w:cs="仿宋_GB2312"/>
          <w:kern w:val="0"/>
          <w:sz w:val="28"/>
          <w:szCs w:val="28"/>
          <w:lang w:val="en-US" w:eastAsia="zh-CN"/>
        </w:rPr>
        <w:t>。</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硒粉国际市场价格最新报价在</w:t>
      </w:r>
      <w:r>
        <w:rPr>
          <w:rFonts w:hint="eastAsia" w:ascii="仿宋_GB2312" w:hAnsi="宋体" w:eastAsia="仿宋_GB2312" w:cs="仿宋_GB2312"/>
          <w:kern w:val="0"/>
          <w:sz w:val="28"/>
          <w:szCs w:val="28"/>
          <w:lang w:val="en-US" w:eastAsia="zh-CN"/>
        </w:rPr>
        <w:t>5.7</w:t>
      </w:r>
      <w:r>
        <w:rPr>
          <w:rFonts w:hint="default" w:ascii="仿宋_GB2312" w:hAnsi="宋体" w:eastAsia="仿宋_GB2312" w:cs="仿宋_GB2312"/>
          <w:kern w:val="0"/>
          <w:sz w:val="28"/>
          <w:szCs w:val="28"/>
          <w:lang w:val="en-US" w:eastAsia="zh-CN"/>
        </w:rPr>
        <w:t>-7美元/磅，</w:t>
      </w:r>
      <w:r>
        <w:rPr>
          <w:rFonts w:hint="eastAsia" w:ascii="仿宋_GB2312" w:hAnsi="宋体" w:eastAsia="仿宋_GB2312" w:cs="仿宋_GB2312"/>
          <w:kern w:val="0"/>
          <w:sz w:val="28"/>
          <w:szCs w:val="28"/>
          <w:lang w:val="en-US" w:eastAsia="zh-CN"/>
        </w:rPr>
        <w:t>均</w:t>
      </w:r>
      <w:r>
        <w:rPr>
          <w:rFonts w:hint="default" w:ascii="仿宋_GB2312" w:hAnsi="宋体" w:eastAsia="仿宋_GB2312" w:cs="仿宋_GB2312"/>
          <w:kern w:val="0"/>
          <w:sz w:val="28"/>
          <w:szCs w:val="28"/>
          <w:lang w:val="en-US" w:eastAsia="zh-CN"/>
        </w:rPr>
        <w:t>价较上周五</w:t>
      </w:r>
      <w:r>
        <w:rPr>
          <w:rFonts w:hint="eastAsia" w:ascii="仿宋_GB2312" w:hAnsi="宋体" w:eastAsia="仿宋_GB2312" w:cs="仿宋_GB2312"/>
          <w:kern w:val="0"/>
          <w:sz w:val="28"/>
          <w:szCs w:val="28"/>
          <w:lang w:val="en-US" w:eastAsia="zh-CN"/>
        </w:rPr>
        <w:t>持平</w:t>
      </w:r>
      <w:r>
        <w:rPr>
          <w:rFonts w:hint="default" w:ascii="仿宋_GB2312" w:hAnsi="宋体" w:eastAsia="仿宋_GB2312" w:cs="仿宋_GB2312"/>
          <w:kern w:val="0"/>
          <w:sz w:val="28"/>
          <w:szCs w:val="28"/>
          <w:lang w:val="en-US" w:eastAsia="zh-CN"/>
        </w:rPr>
        <w:t>。欧洲鹿特丹市场硒粉报价6.95美元/磅，价格较上周五</w:t>
      </w:r>
      <w:r>
        <w:rPr>
          <w:rFonts w:hint="eastAsia" w:ascii="仿宋_GB2312" w:hAnsi="宋体" w:eastAsia="仿宋_GB2312" w:cs="仿宋_GB2312"/>
          <w:kern w:val="0"/>
          <w:sz w:val="28"/>
          <w:szCs w:val="28"/>
          <w:lang w:val="en-US" w:eastAsia="zh-CN"/>
        </w:rPr>
        <w:t>持平</w:t>
      </w:r>
      <w:r>
        <w:rPr>
          <w:rFonts w:hint="default" w:ascii="仿宋_GB2312" w:hAnsi="宋体" w:eastAsia="仿宋_GB2312" w:cs="仿宋_GB2312"/>
          <w:kern w:val="0"/>
          <w:sz w:val="28"/>
          <w:szCs w:val="28"/>
          <w:lang w:val="en-US" w:eastAsia="zh-CN"/>
        </w:rPr>
        <w:t>。本周国内硒粉市场价格在9</w:t>
      </w:r>
      <w:r>
        <w:rPr>
          <w:rFonts w:hint="eastAsia" w:ascii="仿宋_GB2312" w:hAnsi="宋体" w:eastAsia="仿宋_GB2312" w:cs="仿宋_GB2312"/>
          <w:kern w:val="0"/>
          <w:sz w:val="28"/>
          <w:szCs w:val="28"/>
          <w:lang w:val="en-US" w:eastAsia="zh-CN"/>
        </w:rPr>
        <w:t>5</w:t>
      </w:r>
      <w:r>
        <w:rPr>
          <w:rFonts w:hint="default" w:ascii="仿宋_GB2312" w:hAnsi="宋体" w:eastAsia="仿宋_GB2312" w:cs="仿宋_GB2312"/>
          <w:kern w:val="0"/>
          <w:sz w:val="28"/>
          <w:szCs w:val="28"/>
          <w:lang w:val="en-US" w:eastAsia="zh-CN"/>
        </w:rPr>
        <w:t>-120元/公斤，</w:t>
      </w:r>
      <w:r>
        <w:rPr>
          <w:rFonts w:hint="eastAsia" w:ascii="仿宋_GB2312" w:hAnsi="宋体" w:eastAsia="仿宋_GB2312" w:cs="仿宋_GB2312"/>
          <w:kern w:val="0"/>
          <w:sz w:val="28"/>
          <w:szCs w:val="28"/>
          <w:lang w:val="en-US" w:eastAsia="zh-CN"/>
        </w:rPr>
        <w:t>均</w:t>
      </w:r>
      <w:r>
        <w:rPr>
          <w:rFonts w:hint="default" w:ascii="仿宋_GB2312" w:hAnsi="宋体" w:eastAsia="仿宋_GB2312" w:cs="仿宋_GB2312"/>
          <w:kern w:val="0"/>
          <w:sz w:val="28"/>
          <w:szCs w:val="28"/>
          <w:lang w:val="en-US" w:eastAsia="zh-CN"/>
        </w:rPr>
        <w:t>价较上周五</w:t>
      </w:r>
      <w:r>
        <w:rPr>
          <w:rFonts w:hint="eastAsia" w:ascii="仿宋_GB2312" w:hAnsi="宋体" w:eastAsia="仿宋_GB2312" w:cs="仿宋_GB2312"/>
          <w:kern w:val="0"/>
          <w:sz w:val="28"/>
          <w:szCs w:val="28"/>
          <w:lang w:val="en-US" w:eastAsia="zh-CN"/>
        </w:rPr>
        <w:t>持平</w:t>
      </w:r>
      <w:r>
        <w:rPr>
          <w:rFonts w:hint="default" w:ascii="仿宋_GB2312" w:hAnsi="宋体" w:eastAsia="仿宋_GB2312" w:cs="仿宋_GB2312"/>
          <w:kern w:val="0"/>
          <w:sz w:val="28"/>
          <w:szCs w:val="28"/>
          <w:lang w:val="en-US" w:eastAsia="zh-CN"/>
        </w:rPr>
        <w:t>。目前国内硒粉市场价格稳定。铜厂粗硒招标价格略微上涨，现货成交量常规化减少。下游玻璃陶瓷等终端行业也已完成春节备货工作，市场交易稀少。圣诞假期之后，海外硒市市场询盘逐渐复苏。</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二氧化硒方面，价格在5</w:t>
      </w:r>
      <w:r>
        <w:rPr>
          <w:rFonts w:hint="eastAsia" w:ascii="仿宋_GB2312" w:hAnsi="宋体" w:eastAsia="仿宋_GB2312" w:cs="仿宋_GB2312"/>
          <w:kern w:val="0"/>
          <w:sz w:val="28"/>
          <w:szCs w:val="28"/>
          <w:lang w:val="en-US" w:eastAsia="zh-CN"/>
        </w:rPr>
        <w:t>8</w:t>
      </w:r>
      <w:r>
        <w:rPr>
          <w:rFonts w:hint="default" w:ascii="仿宋_GB2312" w:hAnsi="宋体" w:eastAsia="仿宋_GB2312" w:cs="仿宋_GB2312"/>
          <w:kern w:val="0"/>
          <w:sz w:val="28"/>
          <w:szCs w:val="28"/>
          <w:lang w:val="en-US" w:eastAsia="zh-CN"/>
        </w:rPr>
        <w:t>-6</w:t>
      </w:r>
      <w:r>
        <w:rPr>
          <w:rFonts w:hint="eastAsia" w:ascii="仿宋_GB2312" w:hAnsi="宋体" w:eastAsia="仿宋_GB2312" w:cs="仿宋_GB2312"/>
          <w:kern w:val="0"/>
          <w:sz w:val="28"/>
          <w:szCs w:val="28"/>
          <w:lang w:val="en-US" w:eastAsia="zh-CN"/>
        </w:rPr>
        <w:t>3</w:t>
      </w:r>
      <w:r>
        <w:rPr>
          <w:rFonts w:hint="default" w:ascii="仿宋_GB2312" w:hAnsi="宋体" w:eastAsia="仿宋_GB2312" w:cs="仿宋_GB2312"/>
          <w:kern w:val="0"/>
          <w:sz w:val="28"/>
          <w:szCs w:val="28"/>
          <w:lang w:val="en-US" w:eastAsia="zh-CN"/>
        </w:rPr>
        <w:t>元/公斤，均价较上一个交易日</w:t>
      </w:r>
      <w:r>
        <w:rPr>
          <w:rFonts w:hint="eastAsia" w:ascii="仿宋_GB2312" w:hAnsi="宋体" w:eastAsia="仿宋_GB2312" w:cs="仿宋_GB2312"/>
          <w:kern w:val="0"/>
          <w:sz w:val="28"/>
          <w:szCs w:val="28"/>
          <w:lang w:val="en-US" w:eastAsia="zh-CN"/>
        </w:rPr>
        <w:t>持平</w:t>
      </w:r>
      <w:r>
        <w:rPr>
          <w:rFonts w:hint="default" w:ascii="仿宋_GB2312" w:hAnsi="宋体" w:eastAsia="仿宋_GB2312" w:cs="仿宋_GB2312"/>
          <w:kern w:val="0"/>
          <w:sz w:val="28"/>
          <w:szCs w:val="28"/>
          <w:lang w:val="en-US" w:eastAsia="zh-CN"/>
        </w:rPr>
        <w:t>。近期二硒市场报价依旧坚挺，但成交量较少。节前已经进入采购停滞阶段，下游锰厂备货多已完成。预计短期内二硒市场价格或将继续坚挺下去。</w:t>
      </w:r>
    </w:p>
    <w:p>
      <w:pPr>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分析评述：目前来看，本周</w:t>
      </w:r>
      <w:r>
        <w:rPr>
          <w:rFonts w:hint="eastAsia" w:ascii="仿宋_GB2312" w:hAnsi="宋体" w:eastAsia="仿宋_GB2312" w:cs="仿宋_GB2312"/>
          <w:kern w:val="0"/>
          <w:sz w:val="28"/>
          <w:szCs w:val="28"/>
          <w:lang w:val="en-US" w:eastAsia="zh-CN"/>
        </w:rPr>
        <w:t>国内</w:t>
      </w:r>
      <w:r>
        <w:rPr>
          <w:rFonts w:hint="default" w:ascii="仿宋_GB2312" w:hAnsi="宋体" w:eastAsia="仿宋_GB2312" w:cs="仿宋_GB2312"/>
          <w:kern w:val="0"/>
          <w:sz w:val="28"/>
          <w:szCs w:val="28"/>
          <w:lang w:val="en-US" w:eastAsia="zh-CN"/>
        </w:rPr>
        <w:t>硒价保持稳定且试探性上行</w:t>
      </w:r>
      <w:r>
        <w:rPr>
          <w:rFonts w:hint="eastAsia" w:ascii="仿宋_GB2312" w:hAnsi="宋体" w:eastAsia="仿宋_GB2312" w:cs="仿宋_GB2312"/>
          <w:kern w:val="0"/>
          <w:sz w:val="28"/>
          <w:szCs w:val="28"/>
          <w:lang w:val="en-US" w:eastAsia="zh-CN"/>
        </w:rPr>
        <w:t>，</w:t>
      </w:r>
      <w:r>
        <w:rPr>
          <w:rFonts w:hint="default" w:ascii="仿宋_GB2312" w:hAnsi="宋体" w:eastAsia="仿宋_GB2312" w:cs="仿宋_GB2312"/>
          <w:kern w:val="0"/>
          <w:sz w:val="28"/>
          <w:szCs w:val="28"/>
          <w:lang w:val="en-US" w:eastAsia="zh-CN"/>
        </w:rPr>
        <w:t>下游采购需求</w:t>
      </w:r>
      <w:r>
        <w:rPr>
          <w:rFonts w:hint="eastAsia" w:ascii="仿宋_GB2312" w:hAnsi="宋体" w:eastAsia="仿宋_GB2312" w:cs="仿宋_GB2312"/>
          <w:kern w:val="0"/>
          <w:sz w:val="28"/>
          <w:szCs w:val="28"/>
          <w:lang w:val="en-US" w:eastAsia="zh-CN"/>
        </w:rPr>
        <w:t>仍然刚需采购。</w:t>
      </w:r>
      <w:r>
        <w:rPr>
          <w:rFonts w:hint="default" w:ascii="仿宋_GB2312" w:hAnsi="宋体" w:eastAsia="仿宋_GB2312" w:cs="仿宋_GB2312"/>
          <w:kern w:val="0"/>
          <w:sz w:val="28"/>
          <w:szCs w:val="28"/>
          <w:lang w:val="en-US" w:eastAsia="zh-CN"/>
        </w:rPr>
        <w:t>近期铜企招标粗硒价格明显上涨，这对二硒持货商挺价坚定了信心。预计未来一段时间内硒市市场或将继续</w:t>
      </w:r>
      <w:r>
        <w:rPr>
          <w:rFonts w:hint="eastAsia" w:ascii="仿宋_GB2312" w:hAnsi="宋体" w:eastAsia="仿宋_GB2312" w:cs="仿宋_GB2312"/>
          <w:kern w:val="0"/>
          <w:sz w:val="28"/>
          <w:szCs w:val="28"/>
          <w:lang w:val="en-US" w:eastAsia="zh-CN"/>
        </w:rPr>
        <w:t>平稳</w:t>
      </w:r>
      <w:r>
        <w:rPr>
          <w:rFonts w:hint="default" w:ascii="仿宋_GB2312" w:hAnsi="宋体" w:eastAsia="仿宋_GB2312" w:cs="仿宋_GB2312"/>
          <w:kern w:val="0"/>
          <w:sz w:val="28"/>
          <w:szCs w:val="28"/>
          <w:lang w:val="en-US" w:eastAsia="zh-CN"/>
        </w:rPr>
        <w:t>运行。</w:t>
      </w:r>
    </w:p>
    <w:p>
      <w:pPr>
        <w:pStyle w:val="4"/>
        <w:numPr>
          <w:ilvl w:val="0"/>
          <w:numId w:val="1"/>
        </w:numPr>
        <w:spacing w:line="400" w:lineRule="exact"/>
        <w:rPr>
          <w:rFonts w:hint="default"/>
          <w:kern w:val="0"/>
          <w:lang w:val="en-US" w:eastAsia="zh-CN"/>
        </w:rPr>
      </w:pPr>
      <w:bookmarkStart w:id="4" w:name="_Toc4632"/>
      <w:r>
        <w:rPr>
          <w:rFonts w:hint="eastAsia"/>
          <w:kern w:val="0"/>
          <w:lang w:eastAsia="zh-CN"/>
        </w:rPr>
        <w:t>铋</w:t>
      </w:r>
      <w:r>
        <w:rPr>
          <w:rFonts w:hint="eastAsia"/>
          <w:kern w:val="0"/>
        </w:rPr>
        <w:t>评论</w:t>
      </w:r>
      <w:r>
        <w:rPr>
          <w:rFonts w:hint="eastAsia"/>
          <w:kern w:val="0"/>
          <w:lang w:eastAsia="zh-CN"/>
        </w:rPr>
        <w:t>：铋锭市场成交量低到冰点</w:t>
      </w:r>
      <w:bookmarkEnd w:id="4"/>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中商网讯：本周铋锭市场价格持稳，成交量低到冰点。多数厂家的报价已经暂停，小部分厂家会根据询价一单一议。临近春节，出货阻力也越来越大。预计短期内铋锭市场价格或将平稳运行。</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本周国际市场铋锭价格报价在2.</w:t>
      </w:r>
      <w:r>
        <w:rPr>
          <w:rFonts w:hint="eastAsia" w:ascii="仿宋_GB2312" w:hAnsi="宋体" w:eastAsia="仿宋_GB2312" w:cs="仿宋_GB2312"/>
          <w:kern w:val="0"/>
          <w:sz w:val="28"/>
          <w:szCs w:val="28"/>
          <w:lang w:val="en-US" w:eastAsia="zh-CN"/>
        </w:rPr>
        <w:t>45</w:t>
      </w:r>
      <w:r>
        <w:rPr>
          <w:rFonts w:hint="default" w:ascii="仿宋_GB2312" w:hAnsi="宋体" w:eastAsia="仿宋_GB2312" w:cs="仿宋_GB2312"/>
          <w:kern w:val="0"/>
          <w:sz w:val="28"/>
          <w:szCs w:val="28"/>
          <w:lang w:val="en-US" w:eastAsia="zh-CN"/>
        </w:rPr>
        <w:t>-2.7美元/磅，均价较上周五</w:t>
      </w:r>
      <w:r>
        <w:rPr>
          <w:rFonts w:hint="eastAsia" w:ascii="仿宋_GB2312" w:hAnsi="宋体" w:eastAsia="仿宋_GB2312" w:cs="仿宋_GB2312"/>
          <w:kern w:val="0"/>
          <w:sz w:val="28"/>
          <w:szCs w:val="28"/>
          <w:lang w:val="en-US" w:eastAsia="zh-CN"/>
        </w:rPr>
        <w:t>保持不变</w:t>
      </w:r>
      <w:r>
        <w:rPr>
          <w:rFonts w:hint="default" w:ascii="仿宋_GB2312" w:hAnsi="宋体" w:eastAsia="仿宋_GB2312" w:cs="仿宋_GB2312"/>
          <w:kern w:val="0"/>
          <w:sz w:val="28"/>
          <w:szCs w:val="28"/>
          <w:lang w:val="en-US" w:eastAsia="zh-CN"/>
        </w:rPr>
        <w:t>。欧洲鹿特丹市场最新报价在2.8美元/磅，价格较上周五保持不变</w:t>
      </w:r>
      <w:r>
        <w:rPr>
          <w:rFonts w:hint="eastAsia" w:ascii="仿宋_GB2312" w:hAnsi="宋体" w:eastAsia="仿宋_GB2312" w:cs="仿宋_GB2312"/>
          <w:kern w:val="0"/>
          <w:sz w:val="28"/>
          <w:szCs w:val="28"/>
          <w:lang w:val="en-US" w:eastAsia="zh-CN"/>
        </w:rPr>
        <w:t>；</w:t>
      </w:r>
      <w:r>
        <w:rPr>
          <w:rFonts w:hint="default" w:ascii="仿宋_GB2312" w:hAnsi="宋体" w:eastAsia="仿宋_GB2312" w:cs="仿宋_GB2312"/>
          <w:kern w:val="0"/>
          <w:sz w:val="28"/>
          <w:szCs w:val="28"/>
          <w:lang w:val="en-US" w:eastAsia="zh-CN"/>
        </w:rPr>
        <w:t>出口市场价格2.4-2.5美元/磅，均价较上周五保持不变。</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本周铋锭市场依旧弱势，成交价格趋于平稳，成交越发清淡。截至本周五铋锭主流报价为34000-35000元/吨，均价较上周五</w:t>
      </w:r>
      <w:r>
        <w:rPr>
          <w:rFonts w:hint="eastAsia" w:ascii="仿宋_GB2312" w:hAnsi="宋体" w:eastAsia="仿宋_GB2312" w:cs="仿宋_GB2312"/>
          <w:kern w:val="0"/>
          <w:sz w:val="28"/>
          <w:szCs w:val="28"/>
          <w:lang w:val="en-US" w:eastAsia="zh-CN"/>
        </w:rPr>
        <w:t>持平</w:t>
      </w:r>
      <w:r>
        <w:rPr>
          <w:rFonts w:hint="default" w:ascii="仿宋_GB2312" w:hAnsi="宋体" w:eastAsia="仿宋_GB2312" w:cs="仿宋_GB2312"/>
          <w:kern w:val="0"/>
          <w:sz w:val="28"/>
          <w:szCs w:val="28"/>
          <w:lang w:val="en-US" w:eastAsia="zh-CN"/>
        </w:rPr>
        <w:t>。目前铋锭市场需求寡淡，厂家库存不充足，铋锭价格不会因库存问题出现价格波动。新一年的原料谈判以及产品战略合作谈判已经陆续提上日程。预计未来一段时间内铋锭市场或将平稳运行。</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本周氧化铋报价在39000-41000元/吨，</w:t>
      </w:r>
      <w:r>
        <w:rPr>
          <w:rFonts w:hint="eastAsia" w:ascii="仿宋_GB2312" w:hAnsi="宋体" w:eastAsia="仿宋_GB2312" w:cs="仿宋_GB2312"/>
          <w:kern w:val="0"/>
          <w:sz w:val="28"/>
          <w:szCs w:val="28"/>
          <w:lang w:val="en-US" w:eastAsia="zh-CN"/>
        </w:rPr>
        <w:t>均</w:t>
      </w:r>
      <w:r>
        <w:rPr>
          <w:rFonts w:hint="default" w:ascii="仿宋_GB2312" w:hAnsi="宋体" w:eastAsia="仿宋_GB2312" w:cs="仿宋_GB2312"/>
          <w:kern w:val="0"/>
          <w:sz w:val="28"/>
          <w:szCs w:val="28"/>
          <w:lang w:val="en-US" w:eastAsia="zh-CN"/>
        </w:rPr>
        <w:t>价较上周五保持不变。</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分析评述：目前铋锭市场</w:t>
      </w:r>
      <w:r>
        <w:rPr>
          <w:rFonts w:hint="eastAsia" w:ascii="仿宋_GB2312" w:hAnsi="宋体" w:eastAsia="仿宋_GB2312" w:cs="仿宋_GB2312"/>
          <w:kern w:val="0"/>
          <w:sz w:val="28"/>
          <w:szCs w:val="28"/>
          <w:lang w:val="en-US" w:eastAsia="zh-CN"/>
        </w:rPr>
        <w:t>成交越发清淡。</w:t>
      </w:r>
      <w:r>
        <w:rPr>
          <w:rFonts w:hint="default" w:ascii="仿宋_GB2312" w:hAnsi="宋体" w:eastAsia="仿宋_GB2312" w:cs="仿宋_GB2312"/>
          <w:kern w:val="0"/>
          <w:sz w:val="28"/>
          <w:szCs w:val="28"/>
          <w:lang w:val="en-US" w:eastAsia="zh-CN"/>
        </w:rPr>
        <w:t>接近春节，物流都会提前放假，采购基本都会停止，市场交投量将极有可能跌至最低点。预计未来一段时间内铋锭市场或将持稳运行。</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p>
    <w:p>
      <w:pPr>
        <w:pStyle w:val="18"/>
        <w:keepNext w:val="0"/>
        <w:keepLines w:val="0"/>
        <w:widowControl/>
        <w:suppressLineNumbers w:val="0"/>
        <w:wordWrap w:val="0"/>
        <w:spacing w:line="288" w:lineRule="auto"/>
        <w:rPr>
          <w:rFonts w:hint="default" w:ascii="Arial" w:hAnsi="Arial" w:cs="Arial"/>
          <w:sz w:val="21"/>
          <w:szCs w:val="21"/>
        </w:rPr>
      </w:pPr>
    </w:p>
    <w:p>
      <w:pPr>
        <w:pStyle w:val="18"/>
        <w:keepNext w:val="0"/>
        <w:keepLines w:val="0"/>
        <w:widowControl/>
        <w:suppressLineNumbers w:val="0"/>
        <w:wordWrap w:val="0"/>
        <w:spacing w:line="288" w:lineRule="auto"/>
        <w:rPr>
          <w:rFonts w:hint="eastAsia" w:ascii="仿宋_GB2312" w:hAnsi="宋体" w:eastAsia="仿宋_GB2312" w:cs="仿宋_GB2312"/>
          <w:kern w:val="0"/>
          <w:sz w:val="28"/>
          <w:szCs w:val="28"/>
          <w:lang w:val="en-US" w:eastAsia="zh-CN"/>
        </w:rPr>
      </w:pPr>
    </w:p>
    <w:p>
      <w:pPr>
        <w:pStyle w:val="4"/>
        <w:spacing w:line="400" w:lineRule="exact"/>
        <w:rPr>
          <w:rFonts w:hint="eastAsia"/>
          <w:kern w:val="0"/>
        </w:rPr>
      </w:pPr>
      <w:bookmarkStart w:id="5" w:name="_Toc17977"/>
      <w:r>
        <w:rPr>
          <w:rFonts w:hint="eastAsia"/>
          <w:kern w:val="0"/>
        </w:rPr>
        <w:t>3</w:t>
      </w:r>
      <w:r>
        <w:rPr>
          <w:rFonts w:hint="eastAsia"/>
          <w:kern w:val="0"/>
          <w:lang w:eastAsia="zh-CN"/>
        </w:rPr>
        <w:t>、</w:t>
      </w:r>
      <w:r>
        <w:rPr>
          <w:rFonts w:hint="eastAsia"/>
          <w:kern w:val="0"/>
        </w:rPr>
        <w:t>铟评论：铟锭价格依然平稳 泛亚进行二次拍卖</w:t>
      </w:r>
      <w:bookmarkEnd w:id="5"/>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中商网讯：今日国内精铟成交价格在850-900元/公斤，均价较上一个交易日保持不变。目前铟锭市场价格整体稳定，交易愈加清淡。临近春节，下游需求和投机商需求表现明显偏淡。节前市场行情变化不会太大，节后市场全面恢复交易或将会有影响。目前精铟低价资源很难大量买到，预计短期内精铟市场价格或将平稳运行。</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业内人士称，泛亚铟锭方面拍卖第二次已经开始，起拍价与第一次拍卖持平。由于目前拍卖时间点临近春节，不论是在资金上还是市场影响上都不利于拍卖，这样的举措似乎不够严肃。预计短期内精铟市场或将维稳运行。</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rPr>
      </w:pPr>
    </w:p>
    <w:p>
      <w:pPr>
        <w:pStyle w:val="4"/>
        <w:spacing w:line="400" w:lineRule="exact"/>
        <w:rPr>
          <w:rFonts w:hint="eastAsia" w:cs="宋体"/>
          <w:kern w:val="0"/>
        </w:rPr>
      </w:pPr>
      <w:bookmarkStart w:id="6" w:name="_Toc14136"/>
      <w:r>
        <w:rPr>
          <w:kern w:val="0"/>
        </w:rPr>
        <w:t>4</w:t>
      </w:r>
      <w:r>
        <w:rPr>
          <w:rFonts w:hint="eastAsia" w:cs="宋体"/>
          <w:kern w:val="0"/>
        </w:rPr>
        <w:t>、碲评论：金属碲市场行情变化不大</w:t>
      </w:r>
      <w:bookmarkEnd w:id="6"/>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中商网讯：今日金属碲市场主流价格在330-340元/公斤，均价较上一个交易日保持不变。目前国内碲锭市场价格保持稳定，整体行情变化不大。现货实际成交暂无明显改变，下游多以刚需拿货为主。预计短期内金属碲市场或将稳定运行。</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业内人士透露，春节前碲锭现货价格将继续平稳运行，但实际价格变化仍以市场需求变化为主。考虑临近春节，部分厂商已经停产放假，预计未来一段时间内碲锭市场或将稳定运行。</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p>
    <w:p>
      <w:pPr>
        <w:pStyle w:val="2"/>
        <w:spacing w:line="400" w:lineRule="exact"/>
        <w:rPr>
          <w:kern w:val="0"/>
        </w:rPr>
      </w:pPr>
      <w:bookmarkStart w:id="7" w:name="_Toc9413"/>
      <w:r>
        <w:rPr>
          <w:rFonts w:hint="eastAsia" w:cs="黑体"/>
        </w:rPr>
        <w:t>二、价格行情</w:t>
      </w:r>
      <w:bookmarkEnd w:id="7"/>
    </w:p>
    <w:p>
      <w:pPr>
        <w:pStyle w:val="4"/>
        <w:spacing w:line="400" w:lineRule="exact"/>
        <w:rPr>
          <w:rFonts w:cs="Times New Roman"/>
          <w:kern w:val="0"/>
        </w:rPr>
      </w:pPr>
      <w:bookmarkStart w:id="8" w:name="_Toc8308"/>
      <w:r>
        <w:rPr>
          <w:kern w:val="0"/>
        </w:rPr>
        <w:t>1</w:t>
      </w:r>
      <w:r>
        <w:rPr>
          <w:rFonts w:hint="eastAsia" w:cs="宋体"/>
          <w:kern w:val="0"/>
        </w:rPr>
        <w:t>、国际价格</w:t>
      </w:r>
      <w:bookmarkEnd w:id="8"/>
    </w:p>
    <w:tbl>
      <w:tblPr>
        <w:tblStyle w:val="21"/>
        <w:tblW w:w="8613" w:type="dxa"/>
        <w:tblInd w:w="0" w:type="dxa"/>
        <w:tblLayout w:type="fixed"/>
        <w:tblCellMar>
          <w:top w:w="0" w:type="dxa"/>
          <w:left w:w="108" w:type="dxa"/>
          <w:bottom w:w="0" w:type="dxa"/>
          <w:right w:w="108" w:type="dxa"/>
        </w:tblCellMar>
      </w:tblPr>
      <w:tblGrid>
        <w:gridCol w:w="674"/>
        <w:gridCol w:w="531"/>
        <w:gridCol w:w="508"/>
        <w:gridCol w:w="645"/>
        <w:gridCol w:w="540"/>
        <w:gridCol w:w="600"/>
        <w:gridCol w:w="555"/>
        <w:gridCol w:w="615"/>
        <w:gridCol w:w="600"/>
        <w:gridCol w:w="600"/>
        <w:gridCol w:w="586"/>
        <w:gridCol w:w="480"/>
        <w:gridCol w:w="482"/>
        <w:gridCol w:w="537"/>
        <w:gridCol w:w="660"/>
      </w:tblGrid>
      <w:tr>
        <w:tblPrEx>
          <w:tblCellMar>
            <w:top w:w="0" w:type="dxa"/>
            <w:left w:w="108" w:type="dxa"/>
            <w:bottom w:w="0" w:type="dxa"/>
            <w:right w:w="108" w:type="dxa"/>
          </w:tblCellMar>
        </w:tblPrEx>
        <w:trPr>
          <w:trHeight w:val="300" w:hRule="atLeast"/>
        </w:trPr>
        <w:tc>
          <w:tcPr>
            <w:tcW w:w="8613" w:type="dxa"/>
            <w:gridSpan w:val="15"/>
            <w:tcBorders>
              <w:top w:val="single" w:color="auto" w:sz="8" w:space="0"/>
              <w:left w:val="single" w:color="auto" w:sz="8" w:space="0"/>
              <w:bottom w:val="single" w:color="auto" w:sz="8" w:space="0"/>
              <w:right w:val="single" w:color="000000" w:sz="8" w:space="0"/>
            </w:tcBorders>
            <w:shd w:val="clear" w:color="auto" w:fill="auto"/>
            <w:noWrap/>
            <w:vAlign w:val="center"/>
          </w:tcPr>
          <w:p>
            <w:pPr>
              <w:widowControl/>
              <w:jc w:val="center"/>
              <w:rPr>
                <w:rFonts w:ascii="仿宋_GB2312" w:hAnsi="宋体" w:eastAsia="仿宋_GB2312" w:cs="宋体"/>
                <w:b/>
                <w:bCs/>
                <w:color w:val="000000"/>
                <w:kern w:val="0"/>
              </w:rPr>
            </w:pPr>
            <w:r>
              <w:rPr>
                <w:rFonts w:hint="eastAsia" w:ascii="仿宋_GB2312" w:hAnsi="宋体" w:eastAsia="仿宋_GB2312" w:cs="宋体"/>
                <w:b/>
                <w:bCs/>
                <w:color w:val="000000"/>
                <w:kern w:val="0"/>
              </w:rPr>
              <w:t>国际小金属价格</w:t>
            </w:r>
          </w:p>
        </w:tc>
      </w:tr>
      <w:tr>
        <w:tblPrEx>
          <w:tblCellMar>
            <w:top w:w="0" w:type="dxa"/>
            <w:left w:w="108" w:type="dxa"/>
            <w:bottom w:w="0" w:type="dxa"/>
            <w:right w:w="108" w:type="dxa"/>
          </w:tblCellMar>
        </w:tblPrEx>
        <w:trPr>
          <w:trHeight w:val="285" w:hRule="atLeast"/>
        </w:trPr>
        <w:tc>
          <w:tcPr>
            <w:tcW w:w="674"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日期</w:t>
            </w:r>
          </w:p>
        </w:tc>
        <w:tc>
          <w:tcPr>
            <w:tcW w:w="1039"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硒（美元）</w:t>
            </w:r>
          </w:p>
        </w:tc>
        <w:tc>
          <w:tcPr>
            <w:tcW w:w="1185"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铋（美元）</w:t>
            </w:r>
          </w:p>
        </w:tc>
        <w:tc>
          <w:tcPr>
            <w:tcW w:w="1155" w:type="dxa"/>
            <w:gridSpan w:val="2"/>
            <w:tcBorders>
              <w:top w:val="single" w:color="auto" w:sz="8" w:space="0"/>
              <w:left w:val="nil"/>
              <w:bottom w:val="nil"/>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镉</w:t>
            </w:r>
          </w:p>
        </w:tc>
        <w:tc>
          <w:tcPr>
            <w:tcW w:w="1215" w:type="dxa"/>
            <w:gridSpan w:val="2"/>
            <w:tcBorders>
              <w:top w:val="single" w:color="auto" w:sz="8" w:space="0"/>
              <w:left w:val="nil"/>
              <w:bottom w:val="nil"/>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镉</w:t>
            </w:r>
          </w:p>
        </w:tc>
        <w:tc>
          <w:tcPr>
            <w:tcW w:w="1186"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铟（美元）</w:t>
            </w:r>
          </w:p>
        </w:tc>
        <w:tc>
          <w:tcPr>
            <w:tcW w:w="962"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碲锭（美元）</w:t>
            </w:r>
          </w:p>
        </w:tc>
        <w:tc>
          <w:tcPr>
            <w:tcW w:w="1197"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二氧化锗（美元）</w:t>
            </w:r>
          </w:p>
        </w:tc>
      </w:tr>
      <w:tr>
        <w:tblPrEx>
          <w:tblCellMar>
            <w:top w:w="0" w:type="dxa"/>
            <w:left w:w="108" w:type="dxa"/>
            <w:bottom w:w="0" w:type="dxa"/>
            <w:right w:w="108" w:type="dxa"/>
          </w:tblCellMar>
        </w:tblPrEx>
        <w:trPr>
          <w:trHeight w:val="300" w:hRule="atLeast"/>
        </w:trPr>
        <w:tc>
          <w:tcPr>
            <w:tcW w:w="67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rPr>
            </w:pPr>
          </w:p>
        </w:tc>
        <w:tc>
          <w:tcPr>
            <w:tcW w:w="1039"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1185"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1155" w:type="dxa"/>
            <w:gridSpan w:val="2"/>
            <w:tcBorders>
              <w:top w:val="nil"/>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（99.95美分）</w:t>
            </w:r>
          </w:p>
        </w:tc>
        <w:tc>
          <w:tcPr>
            <w:tcW w:w="1215" w:type="dxa"/>
            <w:gridSpan w:val="2"/>
            <w:tcBorders>
              <w:top w:val="nil"/>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（99.99美分）</w:t>
            </w:r>
          </w:p>
        </w:tc>
        <w:tc>
          <w:tcPr>
            <w:tcW w:w="1186"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962"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1197"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r>
      <w:tr>
        <w:tblPrEx>
          <w:tblCellMar>
            <w:top w:w="0" w:type="dxa"/>
            <w:left w:w="108" w:type="dxa"/>
            <w:bottom w:w="0" w:type="dxa"/>
            <w:right w:w="108" w:type="dxa"/>
          </w:tblCellMar>
        </w:tblPrEx>
        <w:trPr>
          <w:trHeight w:val="300" w:hRule="atLeast"/>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1月</w:t>
            </w:r>
            <w:r>
              <w:rPr>
                <w:rFonts w:hint="eastAsia" w:ascii="仿宋_GB2312" w:hAnsi="宋体" w:eastAsia="仿宋_GB2312" w:cs="宋体"/>
                <w:kern w:val="0"/>
                <w:lang w:val="en-US" w:eastAsia="zh-CN"/>
              </w:rPr>
              <w:t>15</w:t>
            </w:r>
            <w:r>
              <w:rPr>
                <w:rFonts w:hint="eastAsia" w:ascii="仿宋_GB2312" w:hAnsi="宋体" w:eastAsia="仿宋_GB2312" w:cs="宋体"/>
                <w:kern w:val="0"/>
              </w:rPr>
              <w:t>日</w:t>
            </w:r>
          </w:p>
        </w:tc>
        <w:tc>
          <w:tcPr>
            <w:tcW w:w="531"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hAnsi="宋体" w:eastAsia="仿宋_GB2312" w:cs="宋体"/>
                <w:kern w:val="0"/>
                <w:lang w:val="en-US" w:eastAsia="zh-CN"/>
              </w:rPr>
            </w:pPr>
            <w:r>
              <w:rPr>
                <w:rFonts w:hint="eastAsia" w:ascii="仿宋_GB2312" w:eastAsia="仿宋_GB2312" w:cs="仿宋_GB2312"/>
                <w:lang w:val="en-US" w:eastAsia="zh-CN"/>
              </w:rPr>
              <w:t>5.7</w:t>
            </w:r>
          </w:p>
        </w:tc>
        <w:tc>
          <w:tcPr>
            <w:tcW w:w="508"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hAnsi="宋体" w:eastAsia="仿宋_GB2312" w:cs="宋体"/>
                <w:kern w:val="0"/>
                <w:lang w:val="en-US" w:eastAsia="zh-CN"/>
              </w:rPr>
            </w:pPr>
            <w:r>
              <w:rPr>
                <w:rFonts w:hint="eastAsia" w:ascii="仿宋_GB2312" w:eastAsia="仿宋_GB2312" w:cs="仿宋_GB2312"/>
                <w:lang w:val="en-US" w:eastAsia="zh-CN"/>
              </w:rPr>
              <w:t>7</w:t>
            </w:r>
          </w:p>
        </w:tc>
        <w:tc>
          <w:tcPr>
            <w:tcW w:w="64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eastAsia="仿宋_GB2312" w:cs="仿宋_GB2312"/>
                <w:lang w:val="en-US" w:eastAsia="zh-CN"/>
              </w:rPr>
            </w:pPr>
            <w:r>
              <w:rPr>
                <w:rFonts w:hint="eastAsia" w:ascii="仿宋_GB2312" w:eastAsia="仿宋_GB2312" w:cs="仿宋_GB2312"/>
                <w:lang w:val="en-US" w:eastAsia="zh-CN"/>
              </w:rPr>
              <w:t>2.45</w:t>
            </w:r>
          </w:p>
        </w:tc>
        <w:tc>
          <w:tcPr>
            <w:tcW w:w="540"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2.7</w:t>
            </w:r>
          </w:p>
        </w:tc>
        <w:tc>
          <w:tcPr>
            <w:tcW w:w="600"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eastAsia="仿宋_GB2312" w:cs="仿宋_GB2312"/>
                <w:lang w:val="en-US" w:eastAsia="zh-CN"/>
              </w:rPr>
            </w:pPr>
            <w:r>
              <w:rPr>
                <w:rFonts w:hint="eastAsia" w:ascii="仿宋_GB2312" w:eastAsia="仿宋_GB2312" w:cs="仿宋_GB2312"/>
                <w:lang w:val="en-US" w:eastAsia="zh-CN"/>
              </w:rPr>
              <w:t>115</w:t>
            </w:r>
          </w:p>
        </w:tc>
        <w:tc>
          <w:tcPr>
            <w:tcW w:w="555"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123</w:t>
            </w:r>
          </w:p>
        </w:tc>
        <w:tc>
          <w:tcPr>
            <w:tcW w:w="615"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118</w:t>
            </w:r>
          </w:p>
        </w:tc>
        <w:tc>
          <w:tcPr>
            <w:tcW w:w="600"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125</w:t>
            </w:r>
          </w:p>
        </w:tc>
        <w:tc>
          <w:tcPr>
            <w:tcW w:w="600"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145</w:t>
            </w:r>
          </w:p>
        </w:tc>
        <w:tc>
          <w:tcPr>
            <w:tcW w:w="586"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160</w:t>
            </w:r>
          </w:p>
        </w:tc>
        <w:tc>
          <w:tcPr>
            <w:tcW w:w="480"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eastAsia="仿宋_GB2312" w:cs="仿宋_GB2312"/>
                <w:lang w:val="en-US" w:eastAsia="zh-CN"/>
              </w:rPr>
            </w:pPr>
            <w:r>
              <w:rPr>
                <w:rFonts w:hint="eastAsia" w:ascii="仿宋_GB2312" w:eastAsia="仿宋_GB2312" w:cs="仿宋_GB2312"/>
                <w:lang w:val="en-US" w:eastAsia="zh-CN"/>
              </w:rPr>
              <w:t>45</w:t>
            </w:r>
          </w:p>
        </w:tc>
        <w:tc>
          <w:tcPr>
            <w:tcW w:w="482"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eastAsia="仿宋_GB2312" w:cs="仿宋_GB2312"/>
                <w:lang w:val="en-US" w:eastAsia="zh-CN"/>
              </w:rPr>
            </w:pPr>
            <w:r>
              <w:rPr>
                <w:rFonts w:hint="eastAsia" w:ascii="仿宋_GB2312" w:eastAsia="仿宋_GB2312" w:cs="仿宋_GB2312"/>
                <w:lang w:val="en-US" w:eastAsia="zh-CN"/>
              </w:rPr>
              <w:t>60</w:t>
            </w:r>
          </w:p>
        </w:tc>
        <w:tc>
          <w:tcPr>
            <w:tcW w:w="537"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eastAsia="仿宋_GB2312" w:cs="仿宋_GB2312"/>
                <w:lang w:val="en-US" w:eastAsia="zh-CN"/>
              </w:rPr>
            </w:pPr>
            <w:r>
              <w:rPr>
                <w:rFonts w:hint="eastAsia" w:ascii="仿宋_GB2312" w:eastAsia="仿宋_GB2312" w:cs="仿宋_GB2312"/>
                <w:lang w:val="en-US" w:eastAsia="zh-CN"/>
              </w:rPr>
              <w:t>900</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eastAsia="仿宋_GB2312" w:cs="仿宋_GB2312"/>
                <w:lang w:val="en-US" w:eastAsia="zh-CN"/>
              </w:rPr>
            </w:pPr>
            <w:r>
              <w:rPr>
                <w:rFonts w:hint="eastAsia" w:ascii="仿宋_GB2312" w:eastAsia="仿宋_GB2312" w:cs="仿宋_GB2312"/>
                <w:lang w:val="en-US" w:eastAsia="zh-CN"/>
              </w:rPr>
              <w:t>1100</w:t>
            </w:r>
          </w:p>
        </w:tc>
      </w:tr>
    </w:tbl>
    <w:p>
      <w:pPr>
        <w:pStyle w:val="4"/>
        <w:spacing w:line="400" w:lineRule="exact"/>
        <w:rPr>
          <w:rFonts w:cs="Times New Roman"/>
          <w:kern w:val="0"/>
        </w:rPr>
      </w:pPr>
      <w:bookmarkStart w:id="9" w:name="_Toc3731"/>
      <w:r>
        <w:rPr>
          <w:kern w:val="0"/>
        </w:rPr>
        <w:t>2</w:t>
      </w:r>
      <w:r>
        <w:rPr>
          <w:rFonts w:hint="eastAsia" w:cs="宋体"/>
          <w:kern w:val="0"/>
        </w:rPr>
        <w:t>、欧洲鹿特丹小金属价格</w:t>
      </w:r>
      <w:bookmarkEnd w:id="9"/>
    </w:p>
    <w:tbl>
      <w:tblPr>
        <w:tblStyle w:val="21"/>
        <w:tblW w:w="8720" w:type="dxa"/>
        <w:tblInd w:w="-106" w:type="dxa"/>
        <w:tblLayout w:type="fixed"/>
        <w:tblCellMar>
          <w:top w:w="0" w:type="dxa"/>
          <w:left w:w="108" w:type="dxa"/>
          <w:bottom w:w="0" w:type="dxa"/>
          <w:right w:w="108" w:type="dxa"/>
        </w:tblCellMar>
      </w:tblPr>
      <w:tblGrid>
        <w:gridCol w:w="670"/>
        <w:gridCol w:w="864"/>
        <w:gridCol w:w="864"/>
        <w:gridCol w:w="1242"/>
        <w:gridCol w:w="1242"/>
        <w:gridCol w:w="914"/>
        <w:gridCol w:w="864"/>
        <w:gridCol w:w="1066"/>
        <w:gridCol w:w="994"/>
      </w:tblGrid>
      <w:tr>
        <w:tblPrEx>
          <w:tblCellMar>
            <w:top w:w="0" w:type="dxa"/>
            <w:left w:w="108" w:type="dxa"/>
            <w:bottom w:w="0" w:type="dxa"/>
            <w:right w:w="108" w:type="dxa"/>
          </w:tblCellMar>
        </w:tblPrEx>
        <w:trPr>
          <w:trHeight w:val="285" w:hRule="atLeast"/>
        </w:trPr>
        <w:tc>
          <w:tcPr>
            <w:tcW w:w="8720" w:type="dxa"/>
            <w:gridSpan w:val="9"/>
            <w:tcBorders>
              <w:top w:val="single" w:color="auto" w:sz="8" w:space="0"/>
              <w:left w:val="single" w:color="auto" w:sz="8" w:space="0"/>
              <w:bottom w:val="single" w:color="auto" w:sz="4" w:space="0"/>
              <w:right w:val="single" w:color="000000" w:sz="8" w:space="0"/>
            </w:tcBorders>
            <w:vAlign w:val="center"/>
          </w:tcPr>
          <w:p>
            <w:pPr>
              <w:spacing w:line="400" w:lineRule="exact"/>
              <w:jc w:val="center"/>
              <w:rPr>
                <w:rFonts w:ascii="仿宋_GB2312" w:eastAsia="仿宋_GB2312" w:cs="Times New Roman"/>
                <w:b/>
                <w:bCs/>
              </w:rPr>
            </w:pPr>
            <w:r>
              <w:rPr>
                <w:rFonts w:hint="eastAsia" w:ascii="仿宋_GB2312" w:eastAsia="仿宋_GB2312" w:cs="仿宋_GB2312"/>
                <w:b/>
                <w:bCs/>
              </w:rPr>
              <w:t>欧洲鹿特丹小金属价格一周汇总</w:t>
            </w:r>
          </w:p>
        </w:tc>
      </w:tr>
      <w:tr>
        <w:tblPrEx>
          <w:tblCellMar>
            <w:top w:w="0" w:type="dxa"/>
            <w:left w:w="108" w:type="dxa"/>
            <w:bottom w:w="0" w:type="dxa"/>
            <w:right w:w="108" w:type="dxa"/>
          </w:tblCellMar>
        </w:tblPrEx>
        <w:trPr>
          <w:trHeight w:val="1080" w:hRule="atLeast"/>
        </w:trPr>
        <w:tc>
          <w:tcPr>
            <w:tcW w:w="670" w:type="dxa"/>
            <w:tcBorders>
              <w:top w:val="nil"/>
              <w:left w:val="single" w:color="auto" w:sz="8" w:space="0"/>
              <w:bottom w:val="single" w:color="auto" w:sz="4" w:space="0"/>
              <w:right w:val="single" w:color="auto" w:sz="4" w:space="0"/>
            </w:tcBorders>
            <w:vAlign w:val="center"/>
          </w:tcPr>
          <w:p>
            <w:pPr>
              <w:spacing w:line="400" w:lineRule="exact"/>
              <w:jc w:val="center"/>
              <w:rPr>
                <w:rFonts w:ascii="仿宋_GB2312" w:eastAsia="仿宋_GB2312" w:cs="仿宋_GB2312"/>
              </w:rPr>
            </w:pPr>
            <w:r>
              <w:rPr>
                <w:rFonts w:hint="eastAsia" w:ascii="仿宋_GB2312" w:eastAsia="仿宋_GB2312" w:cs="仿宋_GB2312"/>
              </w:rPr>
              <w:t>日期</w:t>
            </w:r>
          </w:p>
        </w:tc>
        <w:tc>
          <w:tcPr>
            <w:tcW w:w="864"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硒（美元</w:t>
            </w:r>
            <w:r>
              <w:rPr>
                <w:rFonts w:ascii="仿宋_GB2312" w:eastAsia="仿宋_GB2312" w:cs="仿宋_GB2312"/>
              </w:rPr>
              <w:t>/</w:t>
            </w:r>
            <w:r>
              <w:rPr>
                <w:rFonts w:hint="eastAsia" w:ascii="仿宋_GB2312" w:eastAsia="仿宋_GB2312" w:cs="仿宋_GB2312"/>
              </w:rPr>
              <w:t>磅）</w:t>
            </w:r>
          </w:p>
        </w:tc>
        <w:tc>
          <w:tcPr>
            <w:tcW w:w="864"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铋（美元</w:t>
            </w:r>
            <w:r>
              <w:rPr>
                <w:rFonts w:ascii="仿宋_GB2312" w:eastAsia="仿宋_GB2312" w:cs="仿宋_GB2312"/>
              </w:rPr>
              <w:t>/</w:t>
            </w:r>
            <w:r>
              <w:rPr>
                <w:rFonts w:hint="eastAsia" w:ascii="仿宋_GB2312" w:eastAsia="仿宋_GB2312" w:cs="仿宋_GB2312"/>
              </w:rPr>
              <w:t>磅）</w:t>
            </w:r>
          </w:p>
        </w:tc>
        <w:tc>
          <w:tcPr>
            <w:tcW w:w="1242"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镉（</w:t>
            </w:r>
            <w:r>
              <w:rPr>
                <w:rFonts w:ascii="仿宋_GB2312" w:eastAsia="仿宋_GB2312" w:cs="仿宋_GB2312"/>
              </w:rPr>
              <w:t>99.95</w:t>
            </w:r>
            <w:r>
              <w:rPr>
                <w:rFonts w:hint="eastAsia" w:ascii="仿宋_GB2312" w:eastAsia="仿宋_GB2312" w:cs="仿宋_GB2312"/>
              </w:rPr>
              <w:t>美元</w:t>
            </w:r>
            <w:r>
              <w:rPr>
                <w:rFonts w:ascii="仿宋_GB2312" w:eastAsia="仿宋_GB2312" w:cs="仿宋_GB2312"/>
              </w:rPr>
              <w:t>/</w:t>
            </w:r>
            <w:r>
              <w:rPr>
                <w:rFonts w:hint="eastAsia" w:ascii="仿宋_GB2312" w:eastAsia="仿宋_GB2312" w:cs="仿宋_GB2312"/>
              </w:rPr>
              <w:t>磅）</w:t>
            </w:r>
          </w:p>
        </w:tc>
        <w:tc>
          <w:tcPr>
            <w:tcW w:w="1242"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镉（</w:t>
            </w:r>
            <w:r>
              <w:rPr>
                <w:rFonts w:ascii="仿宋_GB2312" w:eastAsia="仿宋_GB2312" w:cs="仿宋_GB2312"/>
              </w:rPr>
              <w:t>99.99</w:t>
            </w:r>
            <w:r>
              <w:rPr>
                <w:rFonts w:hint="eastAsia" w:ascii="仿宋_GB2312" w:eastAsia="仿宋_GB2312" w:cs="仿宋_GB2312"/>
              </w:rPr>
              <w:t>美元</w:t>
            </w:r>
            <w:r>
              <w:rPr>
                <w:rFonts w:ascii="仿宋_GB2312" w:eastAsia="仿宋_GB2312" w:cs="仿宋_GB2312"/>
              </w:rPr>
              <w:t>/</w:t>
            </w:r>
            <w:r>
              <w:rPr>
                <w:rFonts w:hint="eastAsia" w:ascii="仿宋_GB2312" w:eastAsia="仿宋_GB2312" w:cs="仿宋_GB2312"/>
              </w:rPr>
              <w:t>磅）</w:t>
            </w:r>
          </w:p>
        </w:tc>
        <w:tc>
          <w:tcPr>
            <w:tcW w:w="914"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铟（美元</w:t>
            </w:r>
            <w:r>
              <w:rPr>
                <w:rFonts w:ascii="仿宋_GB2312" w:eastAsia="仿宋_GB2312" w:cs="仿宋_GB2312"/>
              </w:rPr>
              <w:t>/</w:t>
            </w:r>
            <w:r>
              <w:rPr>
                <w:rFonts w:hint="eastAsia" w:ascii="仿宋_GB2312" w:eastAsia="仿宋_GB2312" w:cs="仿宋_GB2312"/>
              </w:rPr>
              <w:t>公斤）</w:t>
            </w:r>
          </w:p>
        </w:tc>
        <w:tc>
          <w:tcPr>
            <w:tcW w:w="864"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锗（元</w:t>
            </w:r>
            <w:r>
              <w:rPr>
                <w:rFonts w:ascii="仿宋_GB2312" w:eastAsia="仿宋_GB2312" w:cs="仿宋_GB2312"/>
              </w:rPr>
              <w:t>/</w:t>
            </w:r>
            <w:r>
              <w:rPr>
                <w:rFonts w:hint="eastAsia" w:ascii="仿宋_GB2312" w:eastAsia="仿宋_GB2312" w:cs="仿宋_GB2312"/>
              </w:rPr>
              <w:t>公斤）</w:t>
            </w:r>
          </w:p>
        </w:tc>
        <w:tc>
          <w:tcPr>
            <w:tcW w:w="1066"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二氧化锗（美元</w:t>
            </w:r>
            <w:r>
              <w:rPr>
                <w:rFonts w:ascii="仿宋_GB2312" w:eastAsia="仿宋_GB2312" w:cs="仿宋_GB2312"/>
              </w:rPr>
              <w:t>/</w:t>
            </w:r>
            <w:r>
              <w:rPr>
                <w:rFonts w:hint="eastAsia" w:ascii="仿宋_GB2312" w:eastAsia="仿宋_GB2312" w:cs="仿宋_GB2312"/>
              </w:rPr>
              <w:t>公斤）</w:t>
            </w:r>
          </w:p>
        </w:tc>
        <w:tc>
          <w:tcPr>
            <w:tcW w:w="994" w:type="dxa"/>
            <w:tcBorders>
              <w:top w:val="single" w:color="auto" w:sz="4" w:space="0"/>
              <w:left w:val="nil"/>
              <w:bottom w:val="single" w:color="auto" w:sz="4" w:space="0"/>
              <w:right w:val="single" w:color="000000" w:sz="8"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镓（美元</w:t>
            </w:r>
            <w:r>
              <w:rPr>
                <w:rFonts w:ascii="仿宋_GB2312" w:eastAsia="仿宋_GB2312" w:cs="仿宋_GB2312"/>
              </w:rPr>
              <w:t>/</w:t>
            </w:r>
            <w:r>
              <w:rPr>
                <w:rFonts w:hint="eastAsia" w:ascii="仿宋_GB2312" w:eastAsia="仿宋_GB2312" w:cs="仿宋_GB2312"/>
              </w:rPr>
              <w:t>公斤）</w:t>
            </w:r>
          </w:p>
        </w:tc>
      </w:tr>
      <w:tr>
        <w:tblPrEx>
          <w:tblCellMar>
            <w:top w:w="0" w:type="dxa"/>
            <w:left w:w="108" w:type="dxa"/>
            <w:bottom w:w="0" w:type="dxa"/>
            <w:right w:w="108" w:type="dxa"/>
          </w:tblCellMar>
        </w:tblPrEx>
        <w:trPr>
          <w:trHeight w:val="490" w:hRule="atLeast"/>
        </w:trPr>
        <w:tc>
          <w:tcPr>
            <w:tcW w:w="670" w:type="dxa"/>
            <w:tcBorders>
              <w:top w:val="nil"/>
              <w:left w:val="single" w:color="auto" w:sz="8" w:space="0"/>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1月</w:t>
            </w:r>
            <w:r>
              <w:rPr>
                <w:rFonts w:hint="eastAsia" w:ascii="仿宋_GB2312" w:eastAsia="仿宋_GB2312" w:cs="仿宋_GB2312"/>
                <w:lang w:val="en-US" w:eastAsia="zh-CN"/>
              </w:rPr>
              <w:t>15</w:t>
            </w:r>
            <w:r>
              <w:rPr>
                <w:rFonts w:hint="eastAsia" w:ascii="仿宋_GB2312" w:eastAsia="仿宋_GB2312" w:cs="仿宋_GB2312"/>
              </w:rPr>
              <w:t>日</w:t>
            </w:r>
          </w:p>
        </w:tc>
        <w:tc>
          <w:tcPr>
            <w:tcW w:w="864"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6.95</w:t>
            </w:r>
          </w:p>
        </w:tc>
        <w:tc>
          <w:tcPr>
            <w:tcW w:w="864" w:type="dxa"/>
            <w:tcBorders>
              <w:top w:val="single" w:color="auto" w:sz="4" w:space="0"/>
              <w:left w:val="nil"/>
              <w:bottom w:val="single" w:color="auto" w:sz="4" w:space="0"/>
              <w:right w:val="single" w:color="auto" w:sz="4" w:space="0"/>
            </w:tcBorders>
            <w:noWrap/>
            <w:vAlign w:val="center"/>
          </w:tcPr>
          <w:p>
            <w:pPr>
              <w:jc w:val="center"/>
              <w:rPr>
                <w:rFonts w:hint="eastAsia" w:ascii="仿宋_GB2312" w:eastAsia="仿宋_GB2312" w:cs="仿宋_GB2312"/>
                <w:lang w:eastAsia="zh-CN"/>
              </w:rPr>
            </w:pPr>
            <w:r>
              <w:rPr>
                <w:rFonts w:hint="eastAsia" w:ascii="仿宋_GB2312" w:eastAsia="仿宋_GB2312" w:cs="仿宋_GB2312"/>
                <w:lang w:val="en-US" w:eastAsia="zh-CN"/>
              </w:rPr>
              <w:t>2.8</w:t>
            </w:r>
          </w:p>
        </w:tc>
        <w:tc>
          <w:tcPr>
            <w:tcW w:w="1242" w:type="dxa"/>
            <w:tcBorders>
              <w:top w:val="single" w:color="auto" w:sz="4" w:space="0"/>
              <w:left w:val="nil"/>
              <w:bottom w:val="single" w:color="auto" w:sz="4" w:space="0"/>
              <w:right w:val="single" w:color="auto" w:sz="4" w:space="0"/>
            </w:tcBorders>
            <w:noWrap/>
            <w:vAlign w:val="center"/>
          </w:tcPr>
          <w:p>
            <w:pPr>
              <w:jc w:val="center"/>
              <w:rPr>
                <w:rFonts w:ascii="仿宋_GB2312" w:eastAsia="仿宋_GB2312" w:cs="仿宋_GB2312"/>
              </w:rPr>
            </w:pPr>
            <w:r>
              <w:rPr>
                <w:rFonts w:hint="eastAsia" w:ascii="仿宋_GB2312" w:eastAsia="仿宋_GB2312" w:cs="仿宋_GB2312"/>
                <w:lang w:val="en-US" w:eastAsia="zh-CN"/>
              </w:rPr>
              <w:t>1.1</w:t>
            </w:r>
          </w:p>
        </w:tc>
        <w:tc>
          <w:tcPr>
            <w:tcW w:w="1242" w:type="dxa"/>
            <w:tcBorders>
              <w:top w:val="single" w:color="auto" w:sz="4" w:space="0"/>
              <w:left w:val="nil"/>
              <w:bottom w:val="single" w:color="auto" w:sz="4" w:space="0"/>
              <w:right w:val="single" w:color="auto" w:sz="4" w:space="0"/>
            </w:tcBorders>
            <w:noWrap/>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1.16</w:t>
            </w:r>
          </w:p>
        </w:tc>
        <w:tc>
          <w:tcPr>
            <w:tcW w:w="914"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155.5</w:t>
            </w:r>
          </w:p>
        </w:tc>
        <w:tc>
          <w:tcPr>
            <w:tcW w:w="864"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1160</w:t>
            </w:r>
          </w:p>
        </w:tc>
        <w:tc>
          <w:tcPr>
            <w:tcW w:w="1066"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912.5</w:t>
            </w:r>
          </w:p>
        </w:tc>
        <w:tc>
          <w:tcPr>
            <w:tcW w:w="994" w:type="dxa"/>
            <w:tcBorders>
              <w:top w:val="single" w:color="auto" w:sz="4" w:space="0"/>
              <w:left w:val="nil"/>
              <w:bottom w:val="single" w:color="auto" w:sz="4" w:space="0"/>
              <w:right w:val="single" w:color="000000" w:sz="8" w:space="0"/>
            </w:tcBorders>
            <w:noWrap/>
            <w:vAlign w:val="center"/>
          </w:tcPr>
          <w:p>
            <w:pPr>
              <w:jc w:val="center"/>
              <w:rPr>
                <w:rFonts w:ascii="仿宋_GB2312" w:eastAsia="仿宋_GB2312" w:cs="仿宋_GB2312"/>
              </w:rPr>
            </w:pPr>
            <w:r>
              <w:rPr>
                <w:rFonts w:hint="eastAsia" w:ascii="仿宋_GB2312" w:eastAsia="仿宋_GB2312" w:cs="仿宋_GB2312"/>
                <w:lang w:val="en-US" w:eastAsia="zh-CN"/>
              </w:rPr>
              <w:t>158.5</w:t>
            </w:r>
          </w:p>
        </w:tc>
      </w:tr>
      <w:tr>
        <w:tblPrEx>
          <w:tblCellMar>
            <w:top w:w="0" w:type="dxa"/>
            <w:left w:w="108" w:type="dxa"/>
            <w:bottom w:w="0" w:type="dxa"/>
            <w:right w:w="108" w:type="dxa"/>
          </w:tblCellMar>
        </w:tblPrEx>
        <w:trPr>
          <w:trHeight w:val="285" w:hRule="atLeast"/>
        </w:trPr>
        <w:tc>
          <w:tcPr>
            <w:tcW w:w="670" w:type="dxa"/>
            <w:tcBorders>
              <w:top w:val="nil"/>
              <w:left w:val="single" w:color="auto" w:sz="8" w:space="0"/>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1月</w:t>
            </w:r>
            <w:r>
              <w:rPr>
                <w:rFonts w:hint="eastAsia" w:ascii="仿宋_GB2312" w:eastAsia="仿宋_GB2312" w:cs="仿宋_GB2312"/>
                <w:lang w:val="en-US" w:eastAsia="zh-CN"/>
              </w:rPr>
              <w:t>16</w:t>
            </w:r>
            <w:r>
              <w:rPr>
                <w:rFonts w:hint="eastAsia" w:ascii="仿宋_GB2312" w:eastAsia="仿宋_GB2312" w:cs="仿宋_GB2312"/>
              </w:rPr>
              <w:t>日</w:t>
            </w:r>
          </w:p>
        </w:tc>
        <w:tc>
          <w:tcPr>
            <w:tcW w:w="864"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6.95</w:t>
            </w:r>
          </w:p>
        </w:tc>
        <w:tc>
          <w:tcPr>
            <w:tcW w:w="864"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2.8</w:t>
            </w:r>
          </w:p>
        </w:tc>
        <w:tc>
          <w:tcPr>
            <w:tcW w:w="1242"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1.1</w:t>
            </w:r>
          </w:p>
        </w:tc>
        <w:tc>
          <w:tcPr>
            <w:tcW w:w="1242"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1.16</w:t>
            </w:r>
          </w:p>
        </w:tc>
        <w:tc>
          <w:tcPr>
            <w:tcW w:w="914"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155.5</w:t>
            </w:r>
          </w:p>
        </w:tc>
        <w:tc>
          <w:tcPr>
            <w:tcW w:w="864"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1160</w:t>
            </w:r>
          </w:p>
        </w:tc>
        <w:tc>
          <w:tcPr>
            <w:tcW w:w="1066"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912.5</w:t>
            </w:r>
          </w:p>
        </w:tc>
        <w:tc>
          <w:tcPr>
            <w:tcW w:w="994" w:type="dxa"/>
            <w:tcBorders>
              <w:top w:val="single" w:color="auto" w:sz="4" w:space="0"/>
              <w:left w:val="nil"/>
              <w:bottom w:val="single" w:color="auto" w:sz="4" w:space="0"/>
              <w:right w:val="single" w:color="000000" w:sz="8" w:space="0"/>
            </w:tcBorders>
            <w:noWrap/>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158.5</w:t>
            </w:r>
          </w:p>
        </w:tc>
      </w:tr>
    </w:tbl>
    <w:p>
      <w:pPr>
        <w:rPr>
          <w:rFonts w:cs="Times New Roman"/>
        </w:rPr>
      </w:pPr>
    </w:p>
    <w:p>
      <w:pPr>
        <w:pStyle w:val="4"/>
        <w:numPr>
          <w:ilvl w:val="0"/>
          <w:numId w:val="2"/>
        </w:numPr>
        <w:spacing w:line="400" w:lineRule="exact"/>
        <w:rPr>
          <w:rFonts w:cs="宋体"/>
          <w:kern w:val="0"/>
        </w:rPr>
      </w:pPr>
      <w:bookmarkStart w:id="10" w:name="_Toc22043"/>
      <w:r>
        <w:rPr>
          <w:rFonts w:hint="eastAsia" w:cs="宋体"/>
          <w:kern w:val="0"/>
        </w:rPr>
        <w:t>国内一周小金属价格汇总</w:t>
      </w:r>
      <w:bookmarkEnd w:id="10"/>
    </w:p>
    <w:tbl>
      <w:tblPr>
        <w:tblStyle w:val="21"/>
        <w:tblW w:w="8720" w:type="dxa"/>
        <w:tblInd w:w="-106" w:type="dxa"/>
        <w:tblLayout w:type="fixed"/>
        <w:tblCellMar>
          <w:top w:w="0" w:type="dxa"/>
          <w:left w:w="108" w:type="dxa"/>
          <w:bottom w:w="0" w:type="dxa"/>
          <w:right w:w="108" w:type="dxa"/>
        </w:tblCellMar>
      </w:tblPr>
      <w:tblGrid>
        <w:gridCol w:w="1225"/>
        <w:gridCol w:w="702"/>
        <w:gridCol w:w="703"/>
        <w:gridCol w:w="703"/>
        <w:gridCol w:w="703"/>
        <w:gridCol w:w="703"/>
        <w:gridCol w:w="705"/>
        <w:gridCol w:w="820"/>
        <w:gridCol w:w="820"/>
        <w:gridCol w:w="820"/>
        <w:gridCol w:w="816"/>
      </w:tblGrid>
      <w:tr>
        <w:tblPrEx>
          <w:tblCellMar>
            <w:top w:w="0" w:type="dxa"/>
            <w:left w:w="108" w:type="dxa"/>
            <w:bottom w:w="0" w:type="dxa"/>
            <w:right w:w="108" w:type="dxa"/>
          </w:tblCellMar>
        </w:tblPrEx>
        <w:trPr>
          <w:trHeight w:val="300" w:hRule="atLeast"/>
        </w:trPr>
        <w:tc>
          <w:tcPr>
            <w:tcW w:w="8720" w:type="dxa"/>
            <w:gridSpan w:val="11"/>
            <w:tcBorders>
              <w:top w:val="single" w:color="auto" w:sz="4" w:space="0"/>
              <w:left w:val="single" w:color="auto" w:sz="4" w:space="0"/>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b/>
                <w:bCs/>
                <w:kern w:val="0"/>
              </w:rPr>
            </w:pPr>
            <w:r>
              <w:rPr>
                <w:rFonts w:hint="eastAsia" w:ascii="仿宋_GB2312" w:hAnsi="宋体" w:eastAsia="仿宋_GB2312" w:cs="仿宋_GB2312"/>
                <w:b/>
                <w:bCs/>
                <w:kern w:val="0"/>
              </w:rPr>
              <w:t>国内小金属价格一周汇总</w:t>
            </w:r>
          </w:p>
        </w:tc>
      </w:tr>
      <w:tr>
        <w:tblPrEx>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日期</w:t>
            </w:r>
          </w:p>
        </w:tc>
        <w:tc>
          <w:tcPr>
            <w:tcW w:w="1405"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仿宋_GB2312"/>
                <w:kern w:val="0"/>
              </w:rPr>
            </w:pPr>
            <w:r>
              <w:rPr>
                <w:rFonts w:hint="eastAsia" w:ascii="仿宋_GB2312" w:hAnsi="宋体" w:eastAsia="仿宋_GB2312" w:cs="仿宋_GB2312"/>
                <w:kern w:val="0"/>
              </w:rPr>
              <w:t>硒粉</w:t>
            </w:r>
            <w:r>
              <w:rPr>
                <w:rFonts w:ascii="仿宋_GB2312" w:hAnsi="宋体" w:eastAsia="仿宋_GB2312" w:cs="仿宋_GB2312"/>
                <w:kern w:val="0"/>
              </w:rPr>
              <w:t>99.9%</w:t>
            </w:r>
          </w:p>
        </w:tc>
        <w:tc>
          <w:tcPr>
            <w:tcW w:w="1406"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二氧化硒</w:t>
            </w:r>
          </w:p>
        </w:tc>
        <w:tc>
          <w:tcPr>
            <w:tcW w:w="1408"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精铟</w:t>
            </w:r>
          </w:p>
        </w:tc>
        <w:tc>
          <w:tcPr>
            <w:tcW w:w="1640"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粗铟</w:t>
            </w:r>
          </w:p>
        </w:tc>
        <w:tc>
          <w:tcPr>
            <w:tcW w:w="1636"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锗锭</w:t>
            </w:r>
          </w:p>
        </w:tc>
      </w:tr>
      <w:tr>
        <w:tblPrEx>
          <w:tblCellMar>
            <w:top w:w="0" w:type="dxa"/>
            <w:left w:w="108" w:type="dxa"/>
            <w:bottom w:w="0" w:type="dxa"/>
            <w:right w:w="108" w:type="dxa"/>
          </w:tblCellMar>
        </w:tblPrEx>
        <w:trPr>
          <w:trHeight w:val="241" w:hRule="atLeast"/>
        </w:trPr>
        <w:tc>
          <w:tcPr>
            <w:tcW w:w="1225"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rPr>
            </w:pPr>
            <w:r>
              <w:rPr>
                <w:rFonts w:hint="eastAsia" w:ascii="仿宋_GB2312" w:eastAsia="仿宋_GB2312" w:cs="仿宋_GB2312"/>
                <w:lang w:val="en-US" w:eastAsia="zh-CN"/>
              </w:rPr>
              <w:t>1</w:t>
            </w:r>
            <w:r>
              <w:rPr>
                <w:rFonts w:hint="eastAsia" w:ascii="仿宋_GB2312" w:eastAsia="仿宋_GB2312" w:cs="仿宋_GB2312"/>
              </w:rPr>
              <w:t>月</w:t>
            </w:r>
            <w:r>
              <w:rPr>
                <w:rFonts w:hint="eastAsia" w:ascii="仿宋_GB2312" w:eastAsia="仿宋_GB2312" w:cs="仿宋_GB2312"/>
                <w:lang w:val="en-US" w:eastAsia="zh-CN"/>
              </w:rPr>
              <w:t>15</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noWrap/>
            <w:vAlign w:val="center"/>
          </w:tcPr>
          <w:p>
            <w:pPr>
              <w:jc w:val="center"/>
              <w:rPr>
                <w:rFonts w:hint="eastAsia" w:ascii="仿宋_GB2312" w:eastAsia="仿宋_GB2312" w:cs="仿宋_GB2312"/>
                <w:lang w:eastAsia="zh-CN"/>
              </w:rPr>
            </w:pPr>
            <w:r>
              <w:rPr>
                <w:rFonts w:hint="eastAsia" w:ascii="仿宋_GB2312" w:eastAsia="仿宋_GB2312" w:cs="仿宋_GB2312"/>
              </w:rPr>
              <w:t>9</w:t>
            </w:r>
            <w:r>
              <w:rPr>
                <w:rFonts w:hint="eastAsia" w:ascii="仿宋_GB2312" w:eastAsia="仿宋_GB2312" w:cs="仿宋_GB2312"/>
                <w:lang w:val="en-US" w:eastAsia="zh-CN"/>
              </w:rPr>
              <w:t>5</w:t>
            </w:r>
          </w:p>
        </w:tc>
        <w:tc>
          <w:tcPr>
            <w:tcW w:w="703"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rPr>
              <w:t>120</w:t>
            </w:r>
          </w:p>
        </w:tc>
        <w:tc>
          <w:tcPr>
            <w:tcW w:w="703"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rPr>
              <w:t>5</w:t>
            </w:r>
            <w:r>
              <w:rPr>
                <w:rFonts w:hint="eastAsia" w:ascii="仿宋_GB2312" w:eastAsia="仿宋_GB2312" w:cs="仿宋_GB2312"/>
                <w:lang w:val="en-US" w:eastAsia="zh-CN"/>
              </w:rPr>
              <w:t>8</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63</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85</w:t>
            </w:r>
            <w:r>
              <w:rPr>
                <w:rFonts w:hint="eastAsia" w:ascii="仿宋_GB2312" w:eastAsia="仿宋_GB2312" w:cs="仿宋_GB2312"/>
              </w:rPr>
              <w:t>0</w:t>
            </w:r>
          </w:p>
        </w:tc>
        <w:tc>
          <w:tcPr>
            <w:tcW w:w="705"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90</w:t>
            </w:r>
            <w:r>
              <w:rPr>
                <w:rFonts w:hint="eastAsia" w:ascii="仿宋_GB2312" w:eastAsia="仿宋_GB2312" w:cs="仿宋_GB2312"/>
              </w:rPr>
              <w:t>0</w:t>
            </w:r>
          </w:p>
        </w:tc>
        <w:tc>
          <w:tcPr>
            <w:tcW w:w="820"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750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800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68</w:t>
            </w:r>
            <w:r>
              <w:rPr>
                <w:rFonts w:ascii="仿宋_GB2312" w:eastAsia="仿宋_GB2312" w:cs="仿宋_GB2312"/>
              </w:rPr>
              <w:t>00</w:t>
            </w:r>
          </w:p>
        </w:tc>
        <w:tc>
          <w:tcPr>
            <w:tcW w:w="816"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7</w:t>
            </w:r>
            <w:r>
              <w:rPr>
                <w:rFonts w:hint="eastAsia" w:ascii="仿宋_GB2312" w:eastAsia="仿宋_GB2312" w:cs="仿宋_GB2312"/>
                <w:lang w:val="en-US" w:eastAsia="zh-CN"/>
              </w:rPr>
              <w:t>2</w:t>
            </w:r>
            <w:r>
              <w:rPr>
                <w:rFonts w:ascii="仿宋_GB2312" w:eastAsia="仿宋_GB2312" w:cs="仿宋_GB2312"/>
              </w:rPr>
              <w:t>00</w:t>
            </w:r>
          </w:p>
        </w:tc>
      </w:tr>
      <w:tr>
        <w:tblPrEx>
          <w:tblCellMar>
            <w:top w:w="0" w:type="dxa"/>
            <w:left w:w="108" w:type="dxa"/>
            <w:bottom w:w="0" w:type="dxa"/>
            <w:right w:w="108" w:type="dxa"/>
          </w:tblCellMar>
        </w:tblPrEx>
        <w:trPr>
          <w:trHeight w:val="245" w:hRule="atLeast"/>
        </w:trPr>
        <w:tc>
          <w:tcPr>
            <w:tcW w:w="1225" w:type="dxa"/>
            <w:tcBorders>
              <w:top w:val="nil"/>
              <w:left w:val="single" w:color="auto" w:sz="4" w:space="0"/>
              <w:bottom w:val="single" w:color="auto" w:sz="4" w:space="0"/>
              <w:right w:val="single" w:color="auto" w:sz="4" w:space="0"/>
            </w:tcBorders>
          </w:tcPr>
          <w:p>
            <w:pPr>
              <w:spacing w:line="400" w:lineRule="exact"/>
              <w:jc w:val="center"/>
              <w:rPr>
                <w:rFonts w:ascii="仿宋_GB2312" w:eastAsia="仿宋_GB2312" w:cs="仿宋_GB2312"/>
              </w:rPr>
            </w:pPr>
            <w:r>
              <w:rPr>
                <w:rFonts w:hint="eastAsia" w:ascii="仿宋_GB2312" w:eastAsia="仿宋_GB2312" w:cs="仿宋_GB2312"/>
              </w:rPr>
              <w:t>1月</w:t>
            </w:r>
            <w:r>
              <w:rPr>
                <w:rFonts w:hint="eastAsia" w:ascii="仿宋_GB2312" w:eastAsia="仿宋_GB2312" w:cs="仿宋_GB2312"/>
                <w:lang w:val="en-US" w:eastAsia="zh-CN"/>
              </w:rPr>
              <w:t>16</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noWrap/>
            <w:vAlign w:val="center"/>
          </w:tcPr>
          <w:p>
            <w:pPr>
              <w:jc w:val="center"/>
              <w:rPr>
                <w:rFonts w:hint="eastAsia" w:ascii="仿宋_GB2312" w:eastAsia="仿宋_GB2312" w:cs="仿宋_GB2312"/>
                <w:lang w:eastAsia="zh-CN"/>
              </w:rPr>
            </w:pPr>
            <w:r>
              <w:rPr>
                <w:rFonts w:hint="eastAsia" w:ascii="仿宋_GB2312" w:eastAsia="仿宋_GB2312" w:cs="仿宋_GB2312"/>
              </w:rPr>
              <w:t>9</w:t>
            </w:r>
            <w:r>
              <w:rPr>
                <w:rFonts w:hint="eastAsia" w:ascii="仿宋_GB2312" w:eastAsia="仿宋_GB2312" w:cs="仿宋_GB2312"/>
                <w:lang w:val="en-US" w:eastAsia="zh-CN"/>
              </w:rPr>
              <w:t>5</w:t>
            </w:r>
          </w:p>
        </w:tc>
        <w:tc>
          <w:tcPr>
            <w:tcW w:w="703"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hint="eastAsia" w:ascii="仿宋_GB2312" w:eastAsia="仿宋_GB2312" w:cs="仿宋_GB2312"/>
              </w:rPr>
              <w:t>120</w:t>
            </w:r>
          </w:p>
        </w:tc>
        <w:tc>
          <w:tcPr>
            <w:tcW w:w="703"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rPr>
              <w:t>5</w:t>
            </w:r>
            <w:r>
              <w:rPr>
                <w:rFonts w:hint="eastAsia" w:ascii="仿宋_GB2312" w:eastAsia="仿宋_GB2312" w:cs="仿宋_GB2312"/>
                <w:lang w:val="en-US" w:eastAsia="zh-CN"/>
              </w:rPr>
              <w:t>8</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63</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85</w:t>
            </w:r>
            <w:r>
              <w:rPr>
                <w:rFonts w:hint="eastAsia" w:ascii="仿宋_GB2312" w:eastAsia="仿宋_GB2312" w:cs="仿宋_GB2312"/>
              </w:rPr>
              <w:t>0</w:t>
            </w:r>
          </w:p>
        </w:tc>
        <w:tc>
          <w:tcPr>
            <w:tcW w:w="705"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90</w:t>
            </w:r>
            <w:r>
              <w:rPr>
                <w:rFonts w:hint="eastAsia" w:ascii="仿宋_GB2312" w:eastAsia="仿宋_GB2312" w:cs="仿宋_GB2312"/>
              </w:rPr>
              <w:t>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750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800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68</w:t>
            </w:r>
            <w:r>
              <w:rPr>
                <w:rFonts w:ascii="仿宋_GB2312" w:eastAsia="仿宋_GB2312" w:cs="仿宋_GB2312"/>
              </w:rPr>
              <w:t>00</w:t>
            </w:r>
          </w:p>
        </w:tc>
        <w:tc>
          <w:tcPr>
            <w:tcW w:w="816"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7</w:t>
            </w:r>
            <w:r>
              <w:rPr>
                <w:rFonts w:hint="eastAsia" w:ascii="仿宋_GB2312" w:eastAsia="仿宋_GB2312" w:cs="仿宋_GB2312"/>
                <w:lang w:val="en-US" w:eastAsia="zh-CN"/>
              </w:rPr>
              <w:t>2</w:t>
            </w:r>
            <w:r>
              <w:rPr>
                <w:rFonts w:ascii="仿宋_GB2312" w:eastAsia="仿宋_GB2312" w:cs="仿宋_GB2312"/>
              </w:rPr>
              <w:t>00</w:t>
            </w:r>
          </w:p>
        </w:tc>
      </w:tr>
      <w:tr>
        <w:tblPrEx>
          <w:tblCellMar>
            <w:top w:w="0" w:type="dxa"/>
            <w:left w:w="108" w:type="dxa"/>
            <w:bottom w:w="0" w:type="dxa"/>
            <w:right w:w="108" w:type="dxa"/>
          </w:tblCellMar>
        </w:tblPrEx>
        <w:trPr>
          <w:trHeight w:val="245" w:hRule="atLeast"/>
        </w:trPr>
        <w:tc>
          <w:tcPr>
            <w:tcW w:w="1225" w:type="dxa"/>
            <w:tcBorders>
              <w:top w:val="nil"/>
              <w:left w:val="single" w:color="auto" w:sz="4" w:space="0"/>
              <w:bottom w:val="single" w:color="auto" w:sz="4" w:space="0"/>
              <w:right w:val="single" w:color="auto" w:sz="4" w:space="0"/>
            </w:tcBorders>
          </w:tcPr>
          <w:p>
            <w:pPr>
              <w:spacing w:line="400" w:lineRule="exact"/>
              <w:jc w:val="center"/>
              <w:rPr>
                <w:rFonts w:ascii="仿宋_GB2312" w:eastAsia="仿宋_GB2312" w:cs="仿宋_GB2312"/>
              </w:rPr>
            </w:pPr>
            <w:r>
              <w:rPr>
                <w:rFonts w:hint="eastAsia" w:ascii="仿宋_GB2312" w:eastAsia="仿宋_GB2312" w:cs="仿宋_GB2312"/>
              </w:rPr>
              <w:t>1月</w:t>
            </w:r>
            <w:r>
              <w:rPr>
                <w:rFonts w:hint="eastAsia" w:ascii="仿宋_GB2312" w:eastAsia="仿宋_GB2312" w:cs="仿宋_GB2312"/>
                <w:lang w:val="en-US" w:eastAsia="zh-CN"/>
              </w:rPr>
              <w:t>17</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hint="eastAsia" w:ascii="仿宋_GB2312" w:eastAsia="仿宋_GB2312" w:cs="仿宋_GB2312"/>
              </w:rPr>
              <w:t>9</w:t>
            </w:r>
            <w:r>
              <w:rPr>
                <w:rFonts w:hint="eastAsia" w:ascii="仿宋_GB2312" w:eastAsia="仿宋_GB2312" w:cs="仿宋_GB2312"/>
                <w:lang w:val="en-US" w:eastAsia="zh-CN"/>
              </w:rPr>
              <w:t>5</w:t>
            </w:r>
          </w:p>
        </w:tc>
        <w:tc>
          <w:tcPr>
            <w:tcW w:w="703"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hint="eastAsia" w:ascii="仿宋_GB2312" w:eastAsia="仿宋_GB2312" w:cs="仿宋_GB2312"/>
              </w:rPr>
              <w:t>120</w:t>
            </w:r>
          </w:p>
        </w:tc>
        <w:tc>
          <w:tcPr>
            <w:tcW w:w="703"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rPr>
              <w:t>5</w:t>
            </w:r>
            <w:r>
              <w:rPr>
                <w:rFonts w:hint="eastAsia" w:ascii="仿宋_GB2312" w:eastAsia="仿宋_GB2312" w:cs="仿宋_GB2312"/>
                <w:lang w:val="en-US" w:eastAsia="zh-CN"/>
              </w:rPr>
              <w:t>8</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63</w:t>
            </w:r>
          </w:p>
        </w:tc>
        <w:tc>
          <w:tcPr>
            <w:tcW w:w="703" w:type="dxa"/>
            <w:tcBorders>
              <w:top w:val="nil"/>
              <w:left w:val="nil"/>
              <w:bottom w:val="single" w:color="auto" w:sz="4" w:space="0"/>
              <w:right w:val="single" w:color="auto" w:sz="4" w:space="0"/>
            </w:tcBorders>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85</w:t>
            </w:r>
            <w:r>
              <w:rPr>
                <w:rFonts w:hint="eastAsia" w:ascii="仿宋_GB2312" w:eastAsia="仿宋_GB2312" w:cs="仿宋_GB2312"/>
              </w:rPr>
              <w:t>0</w:t>
            </w:r>
          </w:p>
        </w:tc>
        <w:tc>
          <w:tcPr>
            <w:tcW w:w="705"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90</w:t>
            </w:r>
            <w:r>
              <w:rPr>
                <w:rFonts w:hint="eastAsia" w:ascii="仿宋_GB2312" w:eastAsia="仿宋_GB2312" w:cs="仿宋_GB2312"/>
              </w:rPr>
              <w:t>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750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800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68</w:t>
            </w:r>
            <w:r>
              <w:rPr>
                <w:rFonts w:ascii="仿宋_GB2312" w:eastAsia="仿宋_GB2312" w:cs="仿宋_GB2312"/>
              </w:rPr>
              <w:t>00</w:t>
            </w:r>
          </w:p>
        </w:tc>
        <w:tc>
          <w:tcPr>
            <w:tcW w:w="816"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7</w:t>
            </w:r>
            <w:r>
              <w:rPr>
                <w:rFonts w:hint="eastAsia" w:ascii="仿宋_GB2312" w:eastAsia="仿宋_GB2312" w:cs="仿宋_GB2312"/>
                <w:lang w:val="en-US" w:eastAsia="zh-CN"/>
              </w:rPr>
              <w:t>2</w:t>
            </w:r>
            <w:r>
              <w:rPr>
                <w:rFonts w:ascii="仿宋_GB2312" w:eastAsia="仿宋_GB2312" w:cs="仿宋_GB2312"/>
              </w:rPr>
              <w:t>00</w:t>
            </w:r>
          </w:p>
        </w:tc>
      </w:tr>
      <w:tr>
        <w:tblPrEx>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noWrap/>
            <w:vAlign w:val="bottom"/>
          </w:tcPr>
          <w:p>
            <w:pPr>
              <w:spacing w:line="400" w:lineRule="exact"/>
              <w:jc w:val="center"/>
              <w:rPr>
                <w:rFonts w:ascii="仿宋_GB2312" w:eastAsia="仿宋_GB2312" w:cs="仿宋_GB2312"/>
              </w:rPr>
            </w:pPr>
            <w:r>
              <w:rPr>
                <w:rFonts w:hint="eastAsia" w:ascii="仿宋_GB2312" w:eastAsia="仿宋_GB2312" w:cs="仿宋_GB2312"/>
              </w:rPr>
              <w:t>单位</w:t>
            </w:r>
          </w:p>
        </w:tc>
        <w:tc>
          <w:tcPr>
            <w:tcW w:w="7495" w:type="dxa"/>
            <w:gridSpan w:val="10"/>
            <w:tcBorders>
              <w:top w:val="single" w:color="auto" w:sz="4" w:space="0"/>
              <w:left w:val="nil"/>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元</w:t>
            </w:r>
            <w:r>
              <w:rPr>
                <w:rFonts w:ascii="仿宋_GB2312" w:hAnsi="宋体" w:eastAsia="仿宋_GB2312" w:cs="仿宋_GB2312"/>
                <w:kern w:val="0"/>
              </w:rPr>
              <w:t>/</w:t>
            </w:r>
            <w:r>
              <w:rPr>
                <w:rFonts w:hint="eastAsia" w:ascii="仿宋_GB2312" w:hAnsi="宋体" w:eastAsia="仿宋_GB2312" w:cs="仿宋_GB2312"/>
                <w:kern w:val="0"/>
              </w:rPr>
              <w:t>公斤</w:t>
            </w:r>
          </w:p>
        </w:tc>
      </w:tr>
      <w:tr>
        <w:tblPrEx>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vAlign w:val="bottom"/>
          </w:tcPr>
          <w:p>
            <w:pPr>
              <w:spacing w:line="400" w:lineRule="exact"/>
              <w:jc w:val="center"/>
              <w:rPr>
                <w:rFonts w:ascii="仿宋_GB2312" w:eastAsia="仿宋_GB2312" w:cs="仿宋_GB2312"/>
              </w:rPr>
            </w:pPr>
            <w:r>
              <w:rPr>
                <w:rFonts w:hint="eastAsia" w:ascii="仿宋_GB2312" w:eastAsia="仿宋_GB2312" w:cs="仿宋_GB2312"/>
              </w:rPr>
              <w:t>日期</w:t>
            </w:r>
          </w:p>
        </w:tc>
        <w:tc>
          <w:tcPr>
            <w:tcW w:w="1405"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二氧化锗</w:t>
            </w:r>
          </w:p>
        </w:tc>
        <w:tc>
          <w:tcPr>
            <w:tcW w:w="1406"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镓锭</w:t>
            </w:r>
          </w:p>
        </w:tc>
        <w:tc>
          <w:tcPr>
            <w:tcW w:w="1408"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碲锭</w:t>
            </w:r>
          </w:p>
        </w:tc>
        <w:tc>
          <w:tcPr>
            <w:tcW w:w="1640"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铋锭</w:t>
            </w:r>
          </w:p>
        </w:tc>
        <w:tc>
          <w:tcPr>
            <w:tcW w:w="1636"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镉锭</w:t>
            </w:r>
          </w:p>
        </w:tc>
      </w:tr>
      <w:tr>
        <w:tblPrEx>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rPr>
            </w:pPr>
            <w:r>
              <w:rPr>
                <w:rFonts w:hint="eastAsia" w:ascii="仿宋_GB2312" w:eastAsia="仿宋_GB2312" w:cs="仿宋_GB2312"/>
                <w:lang w:val="en-US" w:eastAsia="zh-CN"/>
              </w:rPr>
              <w:t>1</w:t>
            </w:r>
            <w:r>
              <w:rPr>
                <w:rFonts w:hint="eastAsia" w:ascii="仿宋_GB2312" w:eastAsia="仿宋_GB2312" w:cs="仿宋_GB2312"/>
              </w:rPr>
              <w:t>月</w:t>
            </w:r>
            <w:r>
              <w:rPr>
                <w:rFonts w:hint="eastAsia" w:ascii="仿宋_GB2312" w:eastAsia="仿宋_GB2312" w:cs="仿宋_GB2312"/>
                <w:lang w:val="en-US" w:eastAsia="zh-CN"/>
              </w:rPr>
              <w:t>15</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4</w:t>
            </w:r>
            <w:r>
              <w:rPr>
                <w:rFonts w:hint="eastAsia" w:ascii="仿宋_GB2312" w:eastAsia="仿宋_GB2312" w:cs="仿宋_GB2312"/>
                <w:lang w:val="en-US" w:eastAsia="zh-CN"/>
              </w:rPr>
              <w:t>1</w:t>
            </w:r>
            <w:r>
              <w:rPr>
                <w:rFonts w:ascii="仿宋_GB2312" w:eastAsia="仿宋_GB2312" w:cs="仿宋_GB2312"/>
              </w:rPr>
              <w:t>00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45</w:t>
            </w:r>
            <w:r>
              <w:rPr>
                <w:rFonts w:ascii="仿宋_GB2312" w:eastAsia="仿宋_GB2312" w:cs="仿宋_GB2312"/>
              </w:rPr>
              <w:t>00</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970</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990</w:t>
            </w:r>
          </w:p>
        </w:tc>
        <w:tc>
          <w:tcPr>
            <w:tcW w:w="703"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rPr>
              <w:t>3</w:t>
            </w:r>
            <w:r>
              <w:rPr>
                <w:rFonts w:hint="eastAsia" w:ascii="仿宋_GB2312" w:eastAsia="仿宋_GB2312" w:cs="仿宋_GB2312"/>
                <w:lang w:val="en-US" w:eastAsia="zh-CN"/>
              </w:rPr>
              <w:t>30</w:t>
            </w:r>
          </w:p>
        </w:tc>
        <w:tc>
          <w:tcPr>
            <w:tcW w:w="705"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rPr>
              <w:t>3</w:t>
            </w:r>
            <w:r>
              <w:rPr>
                <w:rFonts w:hint="eastAsia" w:ascii="仿宋_GB2312" w:eastAsia="仿宋_GB2312" w:cs="仿宋_GB2312"/>
                <w:lang w:val="en-US" w:eastAsia="zh-CN"/>
              </w:rPr>
              <w:t>40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340</w:t>
            </w:r>
            <w:r>
              <w:rPr>
                <w:rFonts w:hint="eastAsia" w:ascii="仿宋_GB2312" w:eastAsia="仿宋_GB2312" w:cs="仿宋_GB2312"/>
              </w:rPr>
              <w:t>00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350</w:t>
            </w:r>
            <w:r>
              <w:rPr>
                <w:rFonts w:ascii="仿宋_GB2312" w:eastAsia="仿宋_GB2312" w:cs="仿宋_GB2312"/>
              </w:rPr>
              <w:t>00</w:t>
            </w:r>
          </w:p>
        </w:tc>
        <w:tc>
          <w:tcPr>
            <w:tcW w:w="820"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hint="eastAsia" w:ascii="仿宋_GB2312" w:eastAsia="仿宋_GB2312" w:cs="仿宋_GB2312"/>
              </w:rPr>
              <w:t>1</w:t>
            </w:r>
            <w:r>
              <w:rPr>
                <w:rFonts w:hint="eastAsia" w:ascii="仿宋_GB2312" w:eastAsia="仿宋_GB2312" w:cs="仿宋_GB2312"/>
                <w:lang w:val="en-US" w:eastAsia="zh-CN"/>
              </w:rPr>
              <w:t>65</w:t>
            </w:r>
            <w:r>
              <w:rPr>
                <w:rFonts w:hint="eastAsia" w:ascii="仿宋_GB2312" w:eastAsia="仿宋_GB2312" w:cs="仿宋_GB2312"/>
              </w:rPr>
              <w:t>00</w:t>
            </w:r>
          </w:p>
        </w:tc>
        <w:tc>
          <w:tcPr>
            <w:tcW w:w="816"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rPr>
              <w:t>1</w:t>
            </w:r>
            <w:r>
              <w:rPr>
                <w:rFonts w:hint="eastAsia" w:ascii="仿宋_GB2312" w:eastAsia="仿宋_GB2312" w:cs="仿宋_GB2312"/>
                <w:lang w:val="en-US" w:eastAsia="zh-CN"/>
              </w:rPr>
              <w:t>75</w:t>
            </w:r>
            <w:r>
              <w:rPr>
                <w:rFonts w:hint="eastAsia" w:ascii="仿宋_GB2312" w:eastAsia="仿宋_GB2312" w:cs="仿宋_GB2312"/>
              </w:rPr>
              <w:t>00</w:t>
            </w:r>
          </w:p>
        </w:tc>
      </w:tr>
      <w:tr>
        <w:tblPrEx>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vAlign w:val="top"/>
          </w:tcPr>
          <w:p>
            <w:pPr>
              <w:spacing w:line="400" w:lineRule="exact"/>
              <w:jc w:val="center"/>
              <w:rPr>
                <w:rFonts w:ascii="仿宋_GB2312" w:eastAsia="仿宋_GB2312" w:cs="仿宋_GB2312"/>
              </w:rPr>
            </w:pPr>
            <w:r>
              <w:rPr>
                <w:rFonts w:hint="eastAsia" w:ascii="仿宋_GB2312" w:eastAsia="仿宋_GB2312" w:cs="仿宋_GB2312"/>
              </w:rPr>
              <w:t>1月</w:t>
            </w:r>
            <w:r>
              <w:rPr>
                <w:rFonts w:hint="eastAsia" w:ascii="仿宋_GB2312" w:eastAsia="仿宋_GB2312" w:cs="仿宋_GB2312"/>
                <w:lang w:val="en-US" w:eastAsia="zh-CN"/>
              </w:rPr>
              <w:t>16</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4</w:t>
            </w:r>
            <w:r>
              <w:rPr>
                <w:rFonts w:hint="eastAsia" w:ascii="仿宋_GB2312" w:eastAsia="仿宋_GB2312" w:cs="仿宋_GB2312"/>
                <w:lang w:val="en-US" w:eastAsia="zh-CN"/>
              </w:rPr>
              <w:t>1</w:t>
            </w:r>
            <w:r>
              <w:rPr>
                <w:rFonts w:ascii="仿宋_GB2312" w:eastAsia="仿宋_GB2312" w:cs="仿宋_GB2312"/>
              </w:rPr>
              <w:t>00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45</w:t>
            </w:r>
            <w:r>
              <w:rPr>
                <w:rFonts w:ascii="仿宋_GB2312" w:eastAsia="仿宋_GB2312" w:cs="仿宋_GB2312"/>
              </w:rPr>
              <w:t>00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970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990</w:t>
            </w:r>
          </w:p>
        </w:tc>
        <w:tc>
          <w:tcPr>
            <w:tcW w:w="703"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rPr>
              <w:t>3</w:t>
            </w:r>
            <w:r>
              <w:rPr>
                <w:rFonts w:hint="eastAsia" w:ascii="仿宋_GB2312" w:eastAsia="仿宋_GB2312" w:cs="仿宋_GB2312"/>
                <w:lang w:val="en-US" w:eastAsia="zh-CN"/>
              </w:rPr>
              <w:t>30</w:t>
            </w:r>
          </w:p>
        </w:tc>
        <w:tc>
          <w:tcPr>
            <w:tcW w:w="705"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rPr>
              <w:t>3</w:t>
            </w:r>
            <w:r>
              <w:rPr>
                <w:rFonts w:hint="eastAsia" w:ascii="仿宋_GB2312" w:eastAsia="仿宋_GB2312" w:cs="仿宋_GB2312"/>
                <w:lang w:val="en-US" w:eastAsia="zh-CN"/>
              </w:rPr>
              <w:t>40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340</w:t>
            </w:r>
            <w:r>
              <w:rPr>
                <w:rFonts w:hint="eastAsia" w:ascii="仿宋_GB2312" w:eastAsia="仿宋_GB2312" w:cs="仿宋_GB2312"/>
              </w:rPr>
              <w:t>00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350</w:t>
            </w:r>
            <w:r>
              <w:rPr>
                <w:rFonts w:ascii="仿宋_GB2312" w:eastAsia="仿宋_GB2312" w:cs="仿宋_GB2312"/>
              </w:rPr>
              <w:t>00</w:t>
            </w:r>
          </w:p>
        </w:tc>
        <w:tc>
          <w:tcPr>
            <w:tcW w:w="820"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hint="eastAsia" w:ascii="仿宋_GB2312" w:eastAsia="仿宋_GB2312" w:cs="仿宋_GB2312"/>
              </w:rPr>
              <w:t>1</w:t>
            </w:r>
            <w:r>
              <w:rPr>
                <w:rFonts w:hint="eastAsia" w:ascii="仿宋_GB2312" w:eastAsia="仿宋_GB2312" w:cs="仿宋_GB2312"/>
                <w:lang w:val="en-US" w:eastAsia="zh-CN"/>
              </w:rPr>
              <w:t>65</w:t>
            </w:r>
            <w:r>
              <w:rPr>
                <w:rFonts w:hint="eastAsia" w:ascii="仿宋_GB2312" w:eastAsia="仿宋_GB2312" w:cs="仿宋_GB2312"/>
              </w:rPr>
              <w:t>00</w:t>
            </w:r>
          </w:p>
        </w:tc>
        <w:tc>
          <w:tcPr>
            <w:tcW w:w="816"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rPr>
              <w:t>1</w:t>
            </w:r>
            <w:r>
              <w:rPr>
                <w:rFonts w:hint="eastAsia" w:ascii="仿宋_GB2312" w:eastAsia="仿宋_GB2312" w:cs="仿宋_GB2312"/>
                <w:lang w:val="en-US" w:eastAsia="zh-CN"/>
              </w:rPr>
              <w:t>75</w:t>
            </w:r>
            <w:r>
              <w:rPr>
                <w:rFonts w:hint="eastAsia" w:ascii="仿宋_GB2312" w:eastAsia="仿宋_GB2312" w:cs="仿宋_GB2312"/>
              </w:rPr>
              <w:t>00</w:t>
            </w:r>
          </w:p>
        </w:tc>
      </w:tr>
      <w:tr>
        <w:tblPrEx>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vAlign w:val="top"/>
          </w:tcPr>
          <w:p>
            <w:pPr>
              <w:spacing w:line="400" w:lineRule="exact"/>
              <w:jc w:val="center"/>
              <w:rPr>
                <w:rFonts w:ascii="仿宋_GB2312" w:eastAsia="仿宋_GB2312" w:cs="仿宋_GB2312"/>
              </w:rPr>
            </w:pPr>
            <w:r>
              <w:rPr>
                <w:rFonts w:hint="eastAsia" w:ascii="仿宋_GB2312" w:eastAsia="仿宋_GB2312" w:cs="仿宋_GB2312"/>
              </w:rPr>
              <w:t>1月</w:t>
            </w:r>
            <w:r>
              <w:rPr>
                <w:rFonts w:hint="eastAsia" w:ascii="仿宋_GB2312" w:eastAsia="仿宋_GB2312" w:cs="仿宋_GB2312"/>
                <w:lang w:val="en-US" w:eastAsia="zh-CN"/>
              </w:rPr>
              <w:t>17</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4</w:t>
            </w:r>
            <w:r>
              <w:rPr>
                <w:rFonts w:hint="eastAsia" w:ascii="仿宋_GB2312" w:eastAsia="仿宋_GB2312" w:cs="仿宋_GB2312"/>
                <w:lang w:val="en-US" w:eastAsia="zh-CN"/>
              </w:rPr>
              <w:t>1</w:t>
            </w:r>
            <w:r>
              <w:rPr>
                <w:rFonts w:ascii="仿宋_GB2312" w:eastAsia="仿宋_GB2312" w:cs="仿宋_GB2312"/>
              </w:rPr>
              <w:t>00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45</w:t>
            </w:r>
            <w:r>
              <w:rPr>
                <w:rFonts w:ascii="仿宋_GB2312" w:eastAsia="仿宋_GB2312" w:cs="仿宋_GB2312"/>
              </w:rPr>
              <w:t>00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970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990</w:t>
            </w:r>
          </w:p>
        </w:tc>
        <w:tc>
          <w:tcPr>
            <w:tcW w:w="703"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rPr>
              <w:t>3</w:t>
            </w:r>
            <w:r>
              <w:rPr>
                <w:rFonts w:hint="eastAsia" w:ascii="仿宋_GB2312" w:eastAsia="仿宋_GB2312" w:cs="仿宋_GB2312"/>
                <w:lang w:val="en-US" w:eastAsia="zh-CN"/>
              </w:rPr>
              <w:t>30</w:t>
            </w:r>
          </w:p>
        </w:tc>
        <w:tc>
          <w:tcPr>
            <w:tcW w:w="705"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rPr>
              <w:t>3</w:t>
            </w:r>
            <w:r>
              <w:rPr>
                <w:rFonts w:hint="eastAsia" w:ascii="仿宋_GB2312" w:eastAsia="仿宋_GB2312" w:cs="仿宋_GB2312"/>
                <w:lang w:val="en-US" w:eastAsia="zh-CN"/>
              </w:rPr>
              <w:t>40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340</w:t>
            </w:r>
            <w:r>
              <w:rPr>
                <w:rFonts w:hint="eastAsia" w:ascii="仿宋_GB2312" w:eastAsia="仿宋_GB2312" w:cs="仿宋_GB2312"/>
              </w:rPr>
              <w:t>00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350</w:t>
            </w:r>
            <w:r>
              <w:rPr>
                <w:rFonts w:ascii="仿宋_GB2312" w:eastAsia="仿宋_GB2312" w:cs="仿宋_GB2312"/>
              </w:rPr>
              <w:t>00</w:t>
            </w:r>
          </w:p>
        </w:tc>
        <w:tc>
          <w:tcPr>
            <w:tcW w:w="820"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hint="eastAsia" w:ascii="仿宋_GB2312" w:eastAsia="仿宋_GB2312" w:cs="仿宋_GB2312"/>
              </w:rPr>
              <w:t>1</w:t>
            </w:r>
            <w:r>
              <w:rPr>
                <w:rFonts w:hint="eastAsia" w:ascii="仿宋_GB2312" w:eastAsia="仿宋_GB2312" w:cs="仿宋_GB2312"/>
                <w:lang w:val="en-US" w:eastAsia="zh-CN"/>
              </w:rPr>
              <w:t>65</w:t>
            </w:r>
            <w:r>
              <w:rPr>
                <w:rFonts w:hint="eastAsia" w:ascii="仿宋_GB2312" w:eastAsia="仿宋_GB2312" w:cs="仿宋_GB2312"/>
              </w:rPr>
              <w:t>00</w:t>
            </w:r>
          </w:p>
        </w:tc>
        <w:tc>
          <w:tcPr>
            <w:tcW w:w="816"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rPr>
              <w:t>1</w:t>
            </w:r>
            <w:r>
              <w:rPr>
                <w:rFonts w:hint="eastAsia" w:ascii="仿宋_GB2312" w:eastAsia="仿宋_GB2312" w:cs="仿宋_GB2312"/>
                <w:lang w:val="en-US" w:eastAsia="zh-CN"/>
              </w:rPr>
              <w:t>75</w:t>
            </w:r>
            <w:r>
              <w:rPr>
                <w:rFonts w:hint="eastAsia" w:ascii="仿宋_GB2312" w:eastAsia="仿宋_GB2312" w:cs="仿宋_GB2312"/>
              </w:rPr>
              <w:t>00</w:t>
            </w:r>
          </w:p>
        </w:tc>
      </w:tr>
      <w:tr>
        <w:tblPrEx>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单位</w:t>
            </w:r>
          </w:p>
        </w:tc>
        <w:tc>
          <w:tcPr>
            <w:tcW w:w="4219" w:type="dxa"/>
            <w:gridSpan w:val="6"/>
            <w:tcBorders>
              <w:top w:val="single" w:color="auto" w:sz="4" w:space="0"/>
              <w:left w:val="nil"/>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元</w:t>
            </w:r>
            <w:r>
              <w:rPr>
                <w:rFonts w:ascii="仿宋_GB2312" w:hAnsi="宋体" w:eastAsia="仿宋_GB2312" w:cs="仿宋_GB2312"/>
                <w:kern w:val="0"/>
              </w:rPr>
              <w:t>/</w:t>
            </w:r>
            <w:r>
              <w:rPr>
                <w:rFonts w:hint="eastAsia" w:ascii="仿宋_GB2312" w:hAnsi="宋体" w:eastAsia="仿宋_GB2312" w:cs="仿宋_GB2312"/>
                <w:kern w:val="0"/>
              </w:rPr>
              <w:t>公斤</w:t>
            </w:r>
          </w:p>
        </w:tc>
        <w:tc>
          <w:tcPr>
            <w:tcW w:w="3276" w:type="dxa"/>
            <w:gridSpan w:val="4"/>
            <w:tcBorders>
              <w:top w:val="single" w:color="auto" w:sz="4" w:space="0"/>
              <w:left w:val="nil"/>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元</w:t>
            </w:r>
            <w:r>
              <w:rPr>
                <w:rFonts w:ascii="仿宋_GB2312" w:hAnsi="宋体" w:eastAsia="仿宋_GB2312" w:cs="仿宋_GB2312"/>
                <w:kern w:val="0"/>
              </w:rPr>
              <w:t>/</w:t>
            </w:r>
            <w:r>
              <w:rPr>
                <w:rFonts w:hint="eastAsia" w:ascii="仿宋_GB2312" w:hAnsi="宋体" w:eastAsia="仿宋_GB2312" w:cs="仿宋_GB2312"/>
                <w:kern w:val="0"/>
              </w:rPr>
              <w:t>吨</w:t>
            </w:r>
          </w:p>
        </w:tc>
      </w:tr>
    </w:tbl>
    <w:p/>
    <w:p>
      <w:pPr>
        <w:pStyle w:val="2"/>
        <w:numPr>
          <w:ilvl w:val="0"/>
          <w:numId w:val="3"/>
        </w:numPr>
        <w:spacing w:line="400" w:lineRule="exact"/>
      </w:pPr>
      <w:bookmarkStart w:id="11" w:name="_Toc27016"/>
      <w:r>
        <w:rPr>
          <w:rFonts w:hint="eastAsia" w:cs="黑体"/>
          <w:kern w:val="0"/>
        </w:rPr>
        <w:t>一周市场动态回顾</w:t>
      </w:r>
      <w:bookmarkEnd w:id="11"/>
    </w:p>
    <w:p>
      <w:pPr>
        <w:widowControl/>
        <w:jc w:val="left"/>
        <w:outlineLvl w:val="1"/>
        <w:rPr>
          <w:rFonts w:ascii="宋体" w:hAnsi="宋体" w:cs="宋体"/>
          <w:b/>
          <w:bCs/>
          <w:kern w:val="0"/>
          <w:sz w:val="30"/>
          <w:szCs w:val="30"/>
        </w:rPr>
      </w:pPr>
      <w:bookmarkStart w:id="12" w:name="_Toc21029"/>
      <w:r>
        <w:rPr>
          <w:rFonts w:hint="eastAsia" w:ascii="宋体" w:hAnsi="宋体" w:cs="宋体"/>
          <w:b/>
          <w:bCs/>
          <w:kern w:val="0"/>
          <w:sz w:val="30"/>
          <w:szCs w:val="30"/>
        </w:rPr>
        <w:t>铜冠铜箔生产规模达4.5万吨/年</w:t>
      </w:r>
      <w:bookmarkEnd w:id="12"/>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2019年12月26日上午，安徽铜冠铜箔公司年产1.5万吨高精度特种电子铜箔扩建项目(二期Ⅱ段)投产仪式举行。仪式上，新装生产线正式启动运行，并成功生产出高精度特种电子铜箔。项目参建单位、铜冠铜箔公司负责人和员工参加仪式。</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据悉，该项目总投资3.5亿元，设计产能为5000吨/年高精度电子铜箔，于2018年7月31日开工建设，2019年7月15日开始安装设备。该项目的设备自动化程度较之前有进一步提高，还可以根据市场需求，及时切换生产锂离子电池铜箔或印制电路板用铜箔。</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该项目的建成投产，标志着铜冠铜箔公司产能规模达到4.5万吨/年。</w:t>
      </w:r>
    </w:p>
    <w:p>
      <w:pPr>
        <w:widowControl/>
        <w:jc w:val="left"/>
        <w:outlineLvl w:val="1"/>
        <w:rPr>
          <w:rFonts w:ascii="宋体" w:hAnsi="宋体" w:cs="宋体"/>
          <w:b/>
          <w:bCs/>
          <w:kern w:val="0"/>
          <w:sz w:val="30"/>
          <w:szCs w:val="30"/>
        </w:rPr>
      </w:pPr>
      <w:bookmarkStart w:id="13" w:name="_Toc19662"/>
      <w:r>
        <w:rPr>
          <w:rFonts w:hint="eastAsia" w:ascii="宋体" w:hAnsi="宋体" w:cs="宋体"/>
          <w:b/>
          <w:bCs/>
          <w:kern w:val="0"/>
          <w:sz w:val="30"/>
          <w:szCs w:val="30"/>
        </w:rPr>
        <w:t>中国铜业在澜沧老厂发现斑岩型铜银矿化</w:t>
      </w:r>
      <w:bookmarkEnd w:id="13"/>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日前，中国铜业有限公司在所属云南驰宏锌锗股份有限公司的澜沧老厂发现斑岩型铜银矿化。根据这一新的重大发现，中国铜业已着手布置对澜沧老厂斑岩型铜银矿开展系统性地梳理、研究和地质勘查，以期能取得地质理论和找矿勘查的新的实质性突破。</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云南澜沧老厂铅矿是一座老矿山，从明永乐年间开始开采银矿，至今已逾600年;从新中国解放前开采铅矿至今，近年来资源几近枯竭。</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多年以来，澜沧老厂铅矿一直在开展接替资源的勘查。过去，一直按照喷流沉积型矿床的思路开展工作;前些年，个别深钻孔(1400米~1500米)在深部发现了斑岩以及斑岩型钼矿化，由于钼的品位不高且隐伏得比较深，因此，在实际工作中并未对斑岩成矿系统给予足够的理解和重视，也没有意识到斑岩型铜是否存在，此前的勘查工作只圈定了少数高品位的层状和大脉状铜矿体。</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今年7月以来，通过井下和岩心观察，发现存在范围较大的网脉状和细脉状含黄铜矿的硫化物矿化，通过对老厂数十个勘探剖面和200多个钻孔的地质编录资料、样品分析结果的逐个检查，可以确定老厂脉状铅银矿下面存在斑岩型铜银矿化。从目前来看，斑岩型铜银矿化的主体部位主要位于深部斑岩钼矿化上部的围岩中。</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根据已有的资料，目前大致可以识别出斑岩型铜银矿化的范围北西-南东方向延长1200米左右，东西方向近600米(可能尚未实际控制)。一些已有的钻孔分析结果表明，斑岩型铜银矿化垂向延深可达数百米。比如，钻孔ZK908(垂直孔)铜银矿化大体从1750米标高开始一直延续到终孔部位(仍在矿体中)，剖面中垂向矿化延深近600米;钻孔ZK15501(垂直孔)铜矿化约从1750米标高开始一直延续到900米标高，剖面中垂向延深近800米。初步分析，斑岩铜银矿化体的铜平均品位约为0.3%。</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总而言之，该斑岩型铜银矿化的规模不容忽视。结合以前深部发现的斑岩钼矿化以及有利的地质条件，澜沧老厂可能存在一个大型的、隐伏的斑岩型铜银钼矿，这对于老矿山的起死回生，对于澜沧老厂成矿规律的再认识和地质勘查均具有重大意义。</w:t>
      </w:r>
    </w:p>
    <w:p>
      <w:pPr>
        <w:widowControl/>
        <w:jc w:val="left"/>
        <w:outlineLvl w:val="1"/>
        <w:rPr>
          <w:rFonts w:ascii="宋体" w:hAnsi="宋体" w:cs="宋体"/>
          <w:b/>
          <w:bCs/>
          <w:kern w:val="0"/>
          <w:sz w:val="30"/>
          <w:szCs w:val="30"/>
        </w:rPr>
      </w:pPr>
      <w:bookmarkStart w:id="14" w:name="_Toc10182"/>
      <w:r>
        <w:rPr>
          <w:rFonts w:hint="eastAsia" w:ascii="宋体" w:hAnsi="宋体" w:cs="宋体"/>
          <w:b/>
          <w:bCs/>
          <w:kern w:val="0"/>
          <w:sz w:val="30"/>
          <w:szCs w:val="30"/>
          <w:lang w:eastAsia="zh-CN"/>
        </w:rPr>
        <w:t>江铜列全球矿业公司50强第30名</w:t>
      </w:r>
      <w:bookmarkEnd w:id="14"/>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近日，加拿大Mining.com官网根据市场价值对全球矿业公司进行排名，选出了全球矿业公司50强，必和必拓位列榜首，中国七大矿企上榜，江西铜业位列榜单第30名。此外，公司入股的第一量子矿产排位第38位。</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在这份榜单中，中国上榜的七大矿企分别是：紫金矿业(第18名)，山东黄金(第20名)，洛阳钼业(第28名)，江西铜业(第30名)，兖州煤业(第35名)，北方稀土(第42名)和天齐锂业(第47名)。</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根据Ming.com全球矿业50强的排名显示，进入2020年后，矿业整体正在复苏，全球矿业50强的总市值在过去一年里增加了1500多亿美元，截止到2019年底，50强的总市值已经接近1万亿美元。</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据悉，该榜单的一个核心标准是企业对矿业行业的参与度，对以矿业为主营业务的公司进行排名。榜单的交易数据主要来源于上市交易所和当日的货币交叉汇率，非上市企业未参与排名。</w:t>
      </w:r>
    </w:p>
    <w:p>
      <w:pPr>
        <w:widowControl/>
        <w:jc w:val="left"/>
        <w:outlineLvl w:val="1"/>
        <w:rPr>
          <w:rFonts w:ascii="宋体" w:hAnsi="宋体" w:cs="宋体"/>
          <w:bCs/>
          <w:kern w:val="0"/>
          <w:sz w:val="30"/>
          <w:szCs w:val="30"/>
        </w:rPr>
      </w:pPr>
      <w:bookmarkStart w:id="15" w:name="_Toc15542"/>
      <w:r>
        <w:rPr>
          <w:rFonts w:hint="eastAsia" w:ascii="宋体" w:hAnsi="宋体" w:cs="宋体"/>
          <w:b/>
          <w:bCs/>
          <w:kern w:val="0"/>
          <w:sz w:val="30"/>
          <w:szCs w:val="30"/>
        </w:rPr>
        <w:t>驰宏锌锗获2019实现可持续发展目标企业最佳实践奖</w:t>
      </w:r>
      <w:bookmarkEnd w:id="15"/>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近日，由全球契约中国网络主办的“2019实现可持续发展目标中国企业峰会”在北京举行，会议充分肯定了中国企业秉持可持续发展理念，助力全球可持续发展的典型实践，表彰了“2019实现可持续发展目标企业最佳实践奖”和“2019联合国可持续发展目标中国青年领军人物”。云南驰宏锌锗股份有限公司“以绿色为笔 描绘高质量发展之路”实践案例获评“2019实现可持续发展目标企业最佳实践(可持续生产和消费)奖”。</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驰宏锌锗以绿色、协调、可持续发展为己任，坚持发展与保护和谐共生的经营理念，积极顺应产业发展导向，努力发展绿色循环经济，构建起“风险地质勘探-矿山无废开采-冶炼清洁生产-‘三废’循环利用-稀贵金属综合回收-产品精深加工”全产业链发展模式。“十三五”以来，驰宏锌锗在废气超净排放、废水零排放、固废减量化、无害化、资源化及生态环境保护方面累计投入13.45亿元，环保资产总额达37亿元。</w:t>
      </w:r>
    </w:p>
    <w:p>
      <w:pPr>
        <w:pStyle w:val="18"/>
        <w:keepNext w:val="0"/>
        <w:keepLines w:val="0"/>
        <w:widowControl/>
        <w:suppressLineNumbers w:val="0"/>
        <w:wordWrap w:val="0"/>
        <w:spacing w:line="288" w:lineRule="auto"/>
        <w:ind w:firstLine="560" w:firstLineChars="200"/>
        <w:rPr>
          <w:rFonts w:hint="eastAsia"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据悉，本次峰会获评“2019实现可持续发展目标企业最佳实践奖”的企业共有27家。</w:t>
      </w:r>
    </w:p>
    <w:p>
      <w:pPr>
        <w:widowControl/>
        <w:jc w:val="left"/>
        <w:outlineLvl w:val="1"/>
        <w:rPr>
          <w:rFonts w:ascii="宋体" w:hAnsi="宋体" w:cs="宋体"/>
          <w:b/>
          <w:bCs/>
          <w:kern w:val="0"/>
          <w:sz w:val="30"/>
          <w:szCs w:val="30"/>
        </w:rPr>
      </w:pPr>
      <w:bookmarkStart w:id="16" w:name="_Toc14408"/>
      <w:r>
        <w:rPr>
          <w:rFonts w:hint="eastAsia" w:ascii="宋体" w:hAnsi="宋体" w:cs="宋体"/>
          <w:b/>
          <w:bCs/>
          <w:kern w:val="0"/>
          <w:sz w:val="30"/>
          <w:szCs w:val="30"/>
        </w:rPr>
        <w:t>2019年度国家科技奖励大会召开</w:t>
      </w:r>
      <w:bookmarkEnd w:id="16"/>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1月10日上午，中共中央、国务院在北京人民大会堂隆重举行2019年度国家科学技术奖励大会。习近平、李克强、王沪宁、韩正等党和国家领导人出席大会并为获奖代表颁奖。习近平为2019年度国家最高科学技术奖获得者黄旭华、曾庆存两位院士颁奖。</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2019年度国家科学技术奖共评选出296个项目和12名科技专家。其中，国家自然科学奖46项：一等奖1项，二等奖45项;国家技术发明奖65项：一等奖3项，二等奖62项;国家科学技术进步奖185项：特等奖3项，一等奖22项(含创新团队1项)，二等奖160项。10名外籍科学家获得中华人民共和国国际科学技术合作奖。</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有色金属行业共有13项成果获奖，其中一项成果获国家科技进步奖一等奖：</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由华中科技大学、西北有色金属研究、北京大学、中国电力科学研究院有限公司、中国科学院物理研究所、湖南大学、南京大学、复旦大学、南方电网科学研究院有限责任公司、东北大学完成的“脉冲强磁场国家重大科技基础设施”。</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5项成果荣获国家技术发明奖二等奖，分别是：</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1、由北京科技大学、江苏精研科技股份有限公司、上海富驰高科技股份有限公司完成的“高性能特种粉体材料近终形制造技术及应用”。</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2、由南昌航空大学完成的“含战略资源固废中金属高值化回收关键技术及应用”。</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3、由大连理工大学、有研半导体材料有限公司、郑州磨料磨具磨削研究所有限公司、无锡机床股份有限公司完成的“大尺寸硅片超精密磨削技术与装备 ”。</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4、由浙江大学、浙江金瑞泓科技股份有限公司完成的“微量掺锗直拉硅单晶技术及其应用”。</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5、由四川大学、成都邦普切削刀具股份有限公司完成的“新型复合碳氮化物固溶体粉末及其高性能硬质材料”。</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7项成果荣获国家科技进步奖二等奖，分别是：</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1、由中南大学、广东广青金属科技有限公司、宝钢德盛不锈钢有限公司完成的“红土镍矿冶炼镍铁及冶炼渣增值利用关键技术与应用”。</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2、由昆明理工大学、中国铜业有限公司、金川集团股份有限公司、北京赛维美高科技有限公司、宝山钢铁股份有限公司完成的“冶金炉窑强化供热关键技术及应用”。</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3、由全球能源互联网研究院有限公司、中南大学、国网辽宁省电力有限公司、上海电缆研究所有限公司、国网湖南省电力有限公司、亨通集团有限公司、远东控股集团有限公司完成的“铝合金节能输电导线及多场景应用”。</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4、由北京航空航天大学、中信戴卡股份有限公司、秦皇岛信越智能装备有限公司、佛山市南海奔达模具有限公司、青岛航大新材料技术有限公司完成的“大尺寸铝合金车轮成型关键技术及应用”。</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5、由中国科学院地质与地球物理研究所、中国科学院电子学研究所、北京工业大学、河南省有色金属地质矿产局、西北有色地质矿业集团有限公司完成的“深部资源电磁探测理论技术突破与应用”。</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6、由自然资源部第二海洋研究所、北京先驱高技术开发公司、中国地质大学(北京)、中国地质科学院矿产资源研究所、中南大学、浙江大学、杭州电子科技大学完成的“超慢速扩张洋中脊热液硫化物发现与探测关键技术创新”。</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7、由金川集团股份有限公司潘从明完成的“镍阳极泥中铂钯铑铱绿色高效提取技术”荣获国家科技进步奖二等奖(工人农民技术创新组)。</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据悉，2006年首次设立工人农民科技创新评审组，对工人、农民科技创新成果予以政策上的倾斜。潘从明成为首位摘得国家科技进步奖的有色金属行业技术工人。</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长期以来，中国有色金属工业协会持续大力推动有色金属行业的科技进步与成果转化，使科学技术愈加成为全行业绿色发展、科学发展的强大支撑。</w:t>
      </w:r>
    </w:p>
    <w:p>
      <w:pPr>
        <w:widowControl/>
        <w:jc w:val="left"/>
        <w:outlineLvl w:val="1"/>
        <w:rPr>
          <w:rFonts w:hint="eastAsia" w:ascii="宋体" w:hAnsi="宋体" w:cs="宋体"/>
          <w:b/>
          <w:bCs/>
          <w:kern w:val="0"/>
          <w:sz w:val="30"/>
          <w:szCs w:val="30"/>
        </w:rPr>
      </w:pPr>
      <w:bookmarkStart w:id="17" w:name="_Toc21150"/>
      <w:r>
        <w:rPr>
          <w:rFonts w:hint="eastAsia" w:ascii="宋体" w:hAnsi="宋体" w:cs="宋体"/>
          <w:b/>
          <w:bCs/>
          <w:kern w:val="0"/>
          <w:sz w:val="30"/>
          <w:szCs w:val="30"/>
        </w:rPr>
        <w:t>泷涛环境成功入选“2019年度北京市知识产权试点单位”</w:t>
      </w:r>
      <w:bookmarkEnd w:id="17"/>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近日，北京市知识产权局公布了2019年度北京市知识产权试点示范单位名单，北京泷涛环境科技有限公司在技术创新能力和装备研发实力方面顺利通过初审、形式审核和专家评审，被认定为2019年度北京市知识产权试点单位。</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泷涛环境成立于2013年，是专注于环境污染治理技术和服务创新的技术型企业，被认定为国家高新技术企业，中关村高新技术企业。同时，公司致力于研发创新，注重知识产权工作，已完成专利申请近百项，软件著作权3项，授权专利40余项，形成了一系列自主知识产权的技术和产品，并实现了关键装备的产业化，为污染物总量减排和生态环境改善做出了重要贡献。</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泷涛环境研发方向主要聚焦于超低氮燃烧、VOCs分子筛材料、水处理工艺技术和土壤修复药剂等国内技术基础薄弱、市场需求明确的细分领域。</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其中，ULN系列超低氮燃烧器突破了燃气锅炉超低氮燃烧关键技术的瓶颈，形成了与进口燃烧器竞争的技术优势，打破了燃烧器市场长期被进口产品垄断的局面，得到了良好的市场应用，已在北京及全国20多个省、市、自治区推广应用，带动了上下游行业发展，并促进了全国低氮改造市场的形成。</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分子筛材料及装备的研发、设计和产业化以餐饮、汽修等服务行业的分散式VOCs废气治理为方向，形成系列化的一体化治理设备，并得到了成功示范和推广应用。</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此次，能成功入选“2019年度北京市知识产权试点单位”是对泷涛环境研发创新能力的肯定。未来，泷涛环境将继续以科技创新为先导，以环境服务为己任，持续加大研发力度，且充分发挥知识产权试点单位的示范引领作用，做好知识产权相关的各项工作，注重知识产权转化、推广及应用，致力于创造更多具有国内外领先水平的技术和产品，为行业发展和生态环境改善持续贡献力量。</w:t>
      </w:r>
    </w:p>
    <w:p>
      <w:pPr>
        <w:widowControl/>
        <w:jc w:val="left"/>
        <w:outlineLvl w:val="1"/>
        <w:rPr>
          <w:rFonts w:ascii="宋体" w:hAnsi="宋体" w:cs="宋体"/>
          <w:b/>
          <w:bCs/>
          <w:kern w:val="0"/>
          <w:sz w:val="30"/>
          <w:szCs w:val="30"/>
        </w:rPr>
      </w:pPr>
      <w:bookmarkStart w:id="18" w:name="_Toc26601"/>
      <w:r>
        <w:rPr>
          <w:rFonts w:hint="eastAsia" w:ascii="宋体" w:hAnsi="宋体" w:cs="宋体"/>
          <w:b/>
          <w:bCs/>
          <w:kern w:val="0"/>
          <w:sz w:val="30"/>
          <w:szCs w:val="30"/>
        </w:rPr>
        <w:t>太阳能充电桩厦门造 已走出国门出口多个国家</w:t>
      </w:r>
      <w:bookmarkEnd w:id="18"/>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市民用充电桩给手机充电。</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最近，在海沧的公共场所出现了一款太阳能充电桩，可供市民在户外进行手机充电，而且还免费。该充电桩设备为厦门制造，并走出国门，出口到美国等发达国家。</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昨天，在新垵公交车站附近的新垵村新时代文明实践广场，这里有不少市民围着一盏盏小路灯，造型犹如一株刚发芽撑开两片叶子的小苗，灯柱上写着“太阳能充电站”，灯柱的“腰部”有4个USB输出口。</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充电桩太方便了，我刚刚手机快没电，赶紧接上，等了一会儿就充了30%多的电量。”在海沧务工的小周说，他正准备搭乘公交，看到有个充电桩，就试着来充电，而且是免费的，上面有企业名称，所以就放心接上去充电。</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这里聚集着许多新老厦门人，他们娱乐休闲、上下班等公交、找工作，都会在这里驻足。”规划设计单位斯年文化传播有限公司负责人说，在规划设计建设广场时，他们提出建充电桩的建议，很快得到新阳街道和村居的认可。</w:t>
      </w:r>
    </w:p>
    <w:p>
      <w:pPr>
        <w:pStyle w:val="18"/>
        <w:keepNext w:val="0"/>
        <w:keepLines w:val="0"/>
        <w:widowControl/>
        <w:suppressLineNumbers w:val="0"/>
        <w:wordWrap w:val="0"/>
        <w:spacing w:line="288" w:lineRule="auto"/>
        <w:ind w:firstLine="560" w:firstLineChars="200"/>
      </w:pPr>
      <w:r>
        <w:rPr>
          <w:rFonts w:hint="default" w:ascii="仿宋_GB2312" w:hAnsi="Calibri" w:eastAsia="仿宋_GB2312" w:cs="仿宋_GB2312"/>
          <w:kern w:val="2"/>
          <w:sz w:val="28"/>
          <w:szCs w:val="28"/>
          <w:lang w:val="en-US" w:eastAsia="zh-CN" w:bidi="ar-SA"/>
        </w:rPr>
        <w:t>冠宇科技有限公司相关负责人郝洪山说，充电桩既可以给大家带来免费、安全、快捷的充电服务，在夜间还能提供辅助照明功能。充电桩提供低压5伏，一般10分钟就能将低电量的手机充到20%以上。该充电桩通过太阳能充电，下雨天也不用担心漏电，可安全使用。</w:t>
      </w:r>
    </w:p>
    <w:p>
      <w:pPr>
        <w:widowControl/>
        <w:jc w:val="left"/>
        <w:outlineLvl w:val="1"/>
        <w:rPr>
          <w:rFonts w:ascii="宋体" w:hAnsi="宋体" w:cs="宋体"/>
          <w:b/>
          <w:bCs/>
          <w:kern w:val="0"/>
          <w:sz w:val="30"/>
          <w:szCs w:val="30"/>
        </w:rPr>
      </w:pPr>
      <w:bookmarkStart w:id="19" w:name="_Toc6356"/>
      <w:r>
        <w:rPr>
          <w:rFonts w:hint="eastAsia" w:ascii="宋体" w:hAnsi="宋体" w:cs="宋体"/>
          <w:b/>
          <w:bCs/>
          <w:kern w:val="0"/>
          <w:sz w:val="30"/>
          <w:szCs w:val="30"/>
        </w:rPr>
        <w:t>或许是时候重新审视OLED技术了</w:t>
      </w:r>
      <w:bookmarkEnd w:id="19"/>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“是时候重新审视OLED技术了”，美国国家照明局(National Lighting Bureau，简称“NLB”)日前表示。几年前，OLED照明的光效是45lm/W。如今，其出光效率已经达到85lm/W。专家们在论坛上对此进行了探讨。</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OLED照明优势明显，首先它可以再现CRI大于90的自然光，其光谱接近太阳光，它们没有峰值，自然扩散，光线均匀柔和。同时没有蓝光危害，也不含紫外线和红外线，这使它们更符合人体昼夜节律。此外，它没有沉重的散热器，所以基本上没有损耗，由于产生热量少，也不产生眩光，OLED灯可以更接近人体体温，能直接用手触碰--即更接近人，这极其重要。OLED的材料还可以通过改变分子结构改变发射光谱进而改变色温。</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另外众所周知，OLED为面光源，不需要反射器和遮光罩等外加组件，结构相对简单。这些特性一方面使OLED能够十分轻薄，另一方面也能够让OLED应用在柔性化的基板上，形成可折叠挠曲的外观，结合其本身可制成任意形状，在满足照明的同时，对于照明设置场所能提升更多的设计弹性与艺术性，如用于高阶消费领域和建筑场所。</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你通常不会在学校照明中看到OLED，但你可能会在高端的办公室会议室中看到它。你不会在福特Taurus上找到该技术，但你会在某些奥Audi和BMW车型上体验OLEDs。但随着效率的提高和成本的降低，可以在更主流的应用中看到OLED，”NLB称。</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OLED的使用寿命额定10万小时，这是帮助这项技术在普通照明中被采用的另一个成功指标。</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由于OLED的特性，除汽车和办公室场所外，护眼台灯、博物馆、展馆、图书馆、住宅等均是OLED的理想应用领域。</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NLB还指出，中国是OLED照明的大消费国。</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根据市场研究机构UBI Research发布的OLED照明市场趋势预测，2021年OLED照明市场将达到19亿美元的销售额，2025年会上升到58亿美元。据UBI Research预估，从2017年到2025年，整个OLED照明市场年均复合增长率为85%。</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据观察，一些公司和科研机构正在开展OLED照明器件的研究开发，有的已经有小批量产品上市。</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如LG Display调整了生产线计划，专注于汽车OLED照明;OLEDWorks正在与创新的汽车制造商和一级供应商合作，符合ECE / SAE颜色法规和汽车性能要求的首款汽车用OLED灯为深红色，适用于尾灯应用，OLEDWorks的创新配方即使在高温下也能在较长的使用寿命内实现高亮度;台湾OLED材料供应商机光科技2015年成立照明事业部，之前营收主要来自OLED材料，2019年成功量产OLED产品，将瞄准车载市场;翌光科技已在OLED照明领域打通了制约产业化的关键技术，如新型有机功能材料、高效率白光器件等，在终端应用灯具设计、车载照明领域已取得多项成果;苏州方昇光电股份有限公司、江苏集萃有机光电技术研究所有限公司和苏州大学李述汤院士团队历经3年的研发，成功在汾湖的江苏省产业技术研究院有机光电技术研究所打造了国内首条自主设计的OLED照明G2.5代蒸镀量产线，并成功点亮多种颜色的OLED照明面板……参与者还有DLC Display Co.，Limited，Panasonic，Pennsylvania State University，Koninklijke Philips NV，Acuity Brands Lighting Inc.等。</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虽然此前一些厂商调整战略，优先进入价格接受度较高的高端汽车市场，但随着发光效率、使用寿命以及亮度等性能的进一步提高，和成本的降低，以及人们对于更健康、优质照明需求的不断提升，OLED照明必将会越来越多的进入普通照明市场，未来可期。</w:t>
      </w:r>
    </w:p>
    <w:p>
      <w:pPr>
        <w:widowControl/>
        <w:jc w:val="left"/>
        <w:outlineLvl w:val="1"/>
        <w:rPr>
          <w:rFonts w:ascii="宋体" w:hAnsi="宋体" w:cs="宋体"/>
          <w:b/>
          <w:bCs/>
          <w:kern w:val="0"/>
          <w:sz w:val="30"/>
          <w:szCs w:val="30"/>
        </w:rPr>
      </w:pPr>
      <w:bookmarkStart w:id="20" w:name="_Toc6813"/>
      <w:r>
        <w:rPr>
          <w:rFonts w:hint="eastAsia" w:ascii="宋体" w:hAnsi="宋体" w:cs="宋体"/>
          <w:b/>
          <w:bCs/>
          <w:kern w:val="0"/>
          <w:sz w:val="30"/>
          <w:szCs w:val="30"/>
        </w:rPr>
        <w:t>疫苗冷链配送如何从提案变成“实事”</w:t>
      </w:r>
      <w:bookmarkEnd w:id="20"/>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看到推进疫苗冷链配送和预防接种标准化建设纳入2020年广东省十件民生实事，自己的提案能在其中贡献一分力量，我感到非常高兴!”步出省十三届人大三次会议开幕大会会场，广东省公共卫生研究院院长马文军说。</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事情要追溯到2018年5月。当时，疫苗安全问题引发广泛关注，省疾控中心组织对全省所有疾控机构和接种单位开展现况调查，发现我省一些接种单位使用的疫苗储存设备仍以家用冰箱为主，疫苗运输制冷、自动化温度监控等环节仍有待完善。</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实现全程冷链运输是保证疫苗品质的关键环节。作为省政协委员，马文军经过深入调研，将发现的问题及应对建议形成提案，带上了2019年广东省两会。</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在提案中，马文军建议我省加大政府投入，补充更新冷链设备，并进一步规范和加强对疫苗运输车辆、预防接种信息化的管理，尽快实现自动化温度监控预警系统全覆盖。</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在省委、省政府高度重视疫苗安全工作的背景下，这份提案也引发高度关注。去年6月，省卫生健康委在答复函中对提案“点赞”，称建议很有针对性和建设性，已会同省各有关部门认真借鉴和采纳。答复函还表示，其中多项具体建议，省政府已部署省卫生健康委等部门推进和落实。</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一系列政策措施接连出台，为疫苗加上“安全锁”：五部门联合下发《广东省预防接种异常反应补偿保险实施方案》，“疫苗险”去年7月起正式实施;省市场监管局建成疫苗流通电子监管系统，并逐步在疫苗生产和储存配送企业中推广使用，对疫苗供应链全程进行有效监管。</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在为这些改变欣喜的同时，马文军并未想到，“疫苗冷链配送和预防接种标准化建设”能被写入今年的省十件民生实事——</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“全省层面的年度十件民生实事能关注如此具体、同时又与群众切身利益密切相关的话题，以小切口撬动健康大民生，让人感觉到民生实事的确‘很实、很贴心’。”马文军说。</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在场外，市民群众也纷纷点赞。</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“二孩时代，需要接种疫苗的孩子更多了，保障疫苗安全被写入省十件民生实事，作为家长感到安心了许多。”广州海珠区市民苏先生说。</w:t>
      </w:r>
    </w:p>
    <w:p>
      <w:pPr>
        <w:widowControl/>
        <w:jc w:val="left"/>
        <w:outlineLvl w:val="1"/>
        <w:rPr>
          <w:rFonts w:ascii="宋体" w:hAnsi="宋体" w:cs="宋体"/>
          <w:b/>
          <w:bCs/>
          <w:kern w:val="0"/>
          <w:sz w:val="30"/>
          <w:szCs w:val="30"/>
        </w:rPr>
      </w:pPr>
      <w:bookmarkStart w:id="21" w:name="_Toc25302"/>
      <w:r>
        <w:rPr>
          <w:rFonts w:hint="eastAsia" w:ascii="宋体" w:hAnsi="宋体" w:cs="宋体"/>
          <w:b/>
          <w:bCs/>
          <w:kern w:val="0"/>
          <w:sz w:val="30"/>
          <w:szCs w:val="30"/>
        </w:rPr>
        <w:t>三峡银岭冷链万吨冷库建成投产</w:t>
      </w:r>
      <w:bookmarkEnd w:id="21"/>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1月11日，湖北三峡银岭冷链一期三万吨级冷库建成投产，可提供多温区速冻、冷冻、冷藏仓储和智能化库存管理一站式专业服务，实现“从农田到餐桌”的无缝对接。</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据湖北三峡银岭冷链物流股份有限公司董事总经理陈征介绍，三万吨多温冷库除了在蓄冷、速冻、气调存储、低温制冷等技术方面有优势外，货物在运输过程中，运输冷冻冷藏技术和远程实时监控统一管理技术，可恒温保鲜。继一期三万吨级冷库投产后，三峡银岭冷链将增建二期、三期冷库。公司将以此为载体，整合“互联网++冷链物流”资源，搭建“产品+冷链设施+服务”的综合物流平台，全面构建“全链条、网络化、严标准、可追溯、新模式、高效率”的现代化冷链物流体系，为老百姓的生活品质增鲜。</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当日，在三峡银岭冷链园区内(夷陵区发展大道200号)，由湖北三峡银岭冷链物流股份有限公司、经发集团、夷陵网商协会共同主办的湖北三峡银岭冷链第二届“嗨鲜节”开幕。此次参展的商品有来自广州、珠海等地的海鲜、鲜花，也有三峡区域特色农产品，“嗨鲜节”将持续至2020年1月19日。</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p>
    <w:sectPr>
      <w:headerReference r:id="rId3" w:type="default"/>
      <w:footerReference r:id="rId4" w:type="default"/>
      <w:pgSz w:w="11906" w:h="16838"/>
      <w:pgMar w:top="1418" w:right="1701" w:bottom="1418" w:left="1701"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cs="Times New Roman"/>
      </w:rPr>
    </w:pPr>
    <w:r>
      <w:rPr>
        <w:b/>
        <w:bCs/>
      </w:rPr>
      <w:fldChar w:fldCharType="begin"/>
    </w:r>
    <w:r>
      <w:rPr>
        <w:b/>
        <w:bCs/>
      </w:rPr>
      <w:instrText xml:space="preserve">PAGE</w:instrText>
    </w:r>
    <w:r>
      <w:rPr>
        <w:b/>
        <w:bCs/>
      </w:rPr>
      <w:fldChar w:fldCharType="separate"/>
    </w:r>
    <w:r>
      <w:rPr>
        <w:b/>
        <w:bCs/>
      </w:rPr>
      <w:t>3</w:t>
    </w:r>
    <w:r>
      <w:rPr>
        <w:b/>
        <w:bCs/>
      </w:rPr>
      <w:fldChar w:fldCharType="end"/>
    </w:r>
    <w:r>
      <w:rPr>
        <w:lang w:val="zh-CN"/>
      </w:rPr>
      <w:t xml:space="preserve"> / </w:t>
    </w:r>
    <w:r>
      <w:rPr>
        <w:b/>
        <w:bCs/>
      </w:rPr>
      <w:fldChar w:fldCharType="begin"/>
    </w:r>
    <w:r>
      <w:rPr>
        <w:b/>
        <w:bCs/>
      </w:rPr>
      <w:instrText xml:space="preserve">NUMPAGES</w:instrText>
    </w:r>
    <w:r>
      <w:rPr>
        <w:b/>
        <w:bCs/>
      </w:rPr>
      <w:fldChar w:fldCharType="separate"/>
    </w:r>
    <w:r>
      <w:rPr>
        <w:b/>
        <w:bCs/>
      </w:rPr>
      <w:t>30</w:t>
    </w:r>
    <w:r>
      <w:rPr>
        <w:b/>
        <w:bCs/>
      </w:rPr>
      <w:fldChar w:fldCharType="end"/>
    </w:r>
  </w:p>
  <w:p>
    <w:pPr>
      <w:pStyle w:val="13"/>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both"/>
      <w:rPr>
        <w:rFonts w:cs="Times New Roman"/>
      </w:rPr>
    </w:pPr>
    <w:r>
      <w:drawing>
        <wp:anchor distT="0" distB="0" distL="114300" distR="114300" simplePos="0" relativeHeight="251660288" behindDoc="1" locked="0" layoutInCell="1" allowOverlap="1">
          <wp:simplePos x="0" y="0"/>
          <wp:positionH relativeFrom="column">
            <wp:posOffset>-1073785</wp:posOffset>
          </wp:positionH>
          <wp:positionV relativeFrom="paragraph">
            <wp:posOffset>-549910</wp:posOffset>
          </wp:positionV>
          <wp:extent cx="7551420" cy="10696575"/>
          <wp:effectExtent l="0" t="0" r="11430" b="9525"/>
          <wp:wrapNone/>
          <wp:docPr id="4"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内页.jpg"/>
                  <pic:cNvPicPr>
                    <a:picLocks noChangeAspect="1"/>
                  </pic:cNvPicPr>
                </pic:nvPicPr>
                <pic:blipFill>
                  <a:blip r:embed="rId1"/>
                  <a:stretch>
                    <a:fillRect/>
                  </a:stretch>
                </pic:blipFill>
                <pic:spPr>
                  <a:xfrm>
                    <a:off x="0" y="0"/>
                    <a:ext cx="7551420" cy="10696575"/>
                  </a:xfrm>
                  <a:prstGeom prst="rect">
                    <a:avLst/>
                  </a:prstGeom>
                  <a:noFill/>
                  <a:ln>
                    <a:noFill/>
                  </a:ln>
                </pic:spPr>
              </pic:pic>
            </a:graphicData>
          </a:graphic>
        </wp:anchor>
      </w:drawing>
    </w:r>
  </w:p>
  <w:p>
    <w:pPr>
      <w:pStyle w:val="14"/>
      <w:pBdr>
        <w:bottom w:val="none" w:color="auto" w:sz="0" w:space="0"/>
      </w:pBdr>
      <w:rPr>
        <w:rFonts w:cs="Times New Roman"/>
      </w:rPr>
    </w:pPr>
  </w:p>
  <w:p>
    <w:pPr>
      <w:pStyle w:val="14"/>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C91833"/>
    <w:multiLevelType w:val="singleLevel"/>
    <w:tmpl w:val="E2C91833"/>
    <w:lvl w:ilvl="0" w:tentative="0">
      <w:start w:val="3"/>
      <w:numFmt w:val="chineseCounting"/>
      <w:suff w:val="nothing"/>
      <w:lvlText w:val="%1、"/>
      <w:lvlJc w:val="left"/>
      <w:rPr>
        <w:rFonts w:hint="eastAsia"/>
      </w:rPr>
    </w:lvl>
  </w:abstractNum>
  <w:abstractNum w:abstractNumId="1">
    <w:nsid w:val="EFDAE2F5"/>
    <w:multiLevelType w:val="singleLevel"/>
    <w:tmpl w:val="EFDAE2F5"/>
    <w:lvl w:ilvl="0" w:tentative="0">
      <w:start w:val="2"/>
      <w:numFmt w:val="decimal"/>
      <w:suff w:val="nothing"/>
      <w:lvlText w:val="%1、"/>
      <w:lvlJc w:val="left"/>
    </w:lvl>
  </w:abstractNum>
  <w:abstractNum w:abstractNumId="2">
    <w:nsid w:val="F4158E7E"/>
    <w:multiLevelType w:val="singleLevel"/>
    <w:tmpl w:val="F4158E7E"/>
    <w:lvl w:ilvl="0" w:tentative="0">
      <w:start w:val="3"/>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D013C8"/>
    <w:rsid w:val="0000164D"/>
    <w:rsid w:val="000023DE"/>
    <w:rsid w:val="00002929"/>
    <w:rsid w:val="00002C03"/>
    <w:rsid w:val="00005671"/>
    <w:rsid w:val="00006A3F"/>
    <w:rsid w:val="0000704F"/>
    <w:rsid w:val="000072C7"/>
    <w:rsid w:val="0000785A"/>
    <w:rsid w:val="0001002D"/>
    <w:rsid w:val="00010390"/>
    <w:rsid w:val="00010683"/>
    <w:rsid w:val="00011A1B"/>
    <w:rsid w:val="00012D4A"/>
    <w:rsid w:val="00012EC2"/>
    <w:rsid w:val="000145BC"/>
    <w:rsid w:val="00014742"/>
    <w:rsid w:val="00014B6A"/>
    <w:rsid w:val="00014D50"/>
    <w:rsid w:val="000150E9"/>
    <w:rsid w:val="00017663"/>
    <w:rsid w:val="000235A8"/>
    <w:rsid w:val="00030460"/>
    <w:rsid w:val="000310B6"/>
    <w:rsid w:val="00031306"/>
    <w:rsid w:val="0003248E"/>
    <w:rsid w:val="00032629"/>
    <w:rsid w:val="0003276C"/>
    <w:rsid w:val="0003297B"/>
    <w:rsid w:val="00033FBD"/>
    <w:rsid w:val="0003445A"/>
    <w:rsid w:val="00034F78"/>
    <w:rsid w:val="00036352"/>
    <w:rsid w:val="00037B9C"/>
    <w:rsid w:val="000410A2"/>
    <w:rsid w:val="00041B6C"/>
    <w:rsid w:val="00041DB8"/>
    <w:rsid w:val="000420B4"/>
    <w:rsid w:val="00042B27"/>
    <w:rsid w:val="00042FFB"/>
    <w:rsid w:val="00043595"/>
    <w:rsid w:val="00043D9B"/>
    <w:rsid w:val="0004411B"/>
    <w:rsid w:val="00044BF8"/>
    <w:rsid w:val="00045414"/>
    <w:rsid w:val="00046255"/>
    <w:rsid w:val="00047438"/>
    <w:rsid w:val="00047807"/>
    <w:rsid w:val="00050BD4"/>
    <w:rsid w:val="000532C5"/>
    <w:rsid w:val="00054E7E"/>
    <w:rsid w:val="00054EED"/>
    <w:rsid w:val="0005569C"/>
    <w:rsid w:val="000556F3"/>
    <w:rsid w:val="00057482"/>
    <w:rsid w:val="0005749A"/>
    <w:rsid w:val="00060FCE"/>
    <w:rsid w:val="000613DF"/>
    <w:rsid w:val="00062564"/>
    <w:rsid w:val="00063006"/>
    <w:rsid w:val="000639E0"/>
    <w:rsid w:val="00066AF7"/>
    <w:rsid w:val="00067072"/>
    <w:rsid w:val="00070B0E"/>
    <w:rsid w:val="0007291A"/>
    <w:rsid w:val="0007291D"/>
    <w:rsid w:val="0007623B"/>
    <w:rsid w:val="00080DC4"/>
    <w:rsid w:val="00081704"/>
    <w:rsid w:val="00082494"/>
    <w:rsid w:val="00082C31"/>
    <w:rsid w:val="0008358B"/>
    <w:rsid w:val="0008392C"/>
    <w:rsid w:val="00083F35"/>
    <w:rsid w:val="00084511"/>
    <w:rsid w:val="000855D6"/>
    <w:rsid w:val="00085917"/>
    <w:rsid w:val="00087161"/>
    <w:rsid w:val="00090CF0"/>
    <w:rsid w:val="00090D4A"/>
    <w:rsid w:val="000918D1"/>
    <w:rsid w:val="00092293"/>
    <w:rsid w:val="00094A4C"/>
    <w:rsid w:val="00096020"/>
    <w:rsid w:val="00096A95"/>
    <w:rsid w:val="00097F69"/>
    <w:rsid w:val="000A231F"/>
    <w:rsid w:val="000A2C7F"/>
    <w:rsid w:val="000A332A"/>
    <w:rsid w:val="000A3424"/>
    <w:rsid w:val="000A456A"/>
    <w:rsid w:val="000A4E2A"/>
    <w:rsid w:val="000B1AA8"/>
    <w:rsid w:val="000B38B5"/>
    <w:rsid w:val="000B4231"/>
    <w:rsid w:val="000B5856"/>
    <w:rsid w:val="000B6672"/>
    <w:rsid w:val="000B7055"/>
    <w:rsid w:val="000B72A8"/>
    <w:rsid w:val="000B7699"/>
    <w:rsid w:val="000B7F4B"/>
    <w:rsid w:val="000C10EA"/>
    <w:rsid w:val="000C1646"/>
    <w:rsid w:val="000C268D"/>
    <w:rsid w:val="000C3548"/>
    <w:rsid w:val="000C3B3F"/>
    <w:rsid w:val="000C3E03"/>
    <w:rsid w:val="000C419D"/>
    <w:rsid w:val="000C7CAB"/>
    <w:rsid w:val="000D0159"/>
    <w:rsid w:val="000D08F1"/>
    <w:rsid w:val="000D13E7"/>
    <w:rsid w:val="000D1522"/>
    <w:rsid w:val="000D1EAE"/>
    <w:rsid w:val="000D250F"/>
    <w:rsid w:val="000D476D"/>
    <w:rsid w:val="000D4F65"/>
    <w:rsid w:val="000D5396"/>
    <w:rsid w:val="000D68C1"/>
    <w:rsid w:val="000D6D53"/>
    <w:rsid w:val="000D7735"/>
    <w:rsid w:val="000E04F3"/>
    <w:rsid w:val="000E19A5"/>
    <w:rsid w:val="000E1A86"/>
    <w:rsid w:val="000E3115"/>
    <w:rsid w:val="000E5B3F"/>
    <w:rsid w:val="000E63DD"/>
    <w:rsid w:val="000E684D"/>
    <w:rsid w:val="000E6FDC"/>
    <w:rsid w:val="000F004C"/>
    <w:rsid w:val="000F1AAE"/>
    <w:rsid w:val="000F1D47"/>
    <w:rsid w:val="000F2134"/>
    <w:rsid w:val="000F2383"/>
    <w:rsid w:val="000F350C"/>
    <w:rsid w:val="000F39E9"/>
    <w:rsid w:val="000F4766"/>
    <w:rsid w:val="000F5073"/>
    <w:rsid w:val="000F6D3C"/>
    <w:rsid w:val="000F77DF"/>
    <w:rsid w:val="001002DC"/>
    <w:rsid w:val="00100CDC"/>
    <w:rsid w:val="00101AAD"/>
    <w:rsid w:val="0010286F"/>
    <w:rsid w:val="00102BD0"/>
    <w:rsid w:val="00103274"/>
    <w:rsid w:val="001033F1"/>
    <w:rsid w:val="00103654"/>
    <w:rsid w:val="00103BC8"/>
    <w:rsid w:val="00104F1E"/>
    <w:rsid w:val="001059FB"/>
    <w:rsid w:val="001065B6"/>
    <w:rsid w:val="0010737C"/>
    <w:rsid w:val="00107905"/>
    <w:rsid w:val="00110161"/>
    <w:rsid w:val="00110AB6"/>
    <w:rsid w:val="001126D4"/>
    <w:rsid w:val="00113534"/>
    <w:rsid w:val="0011357F"/>
    <w:rsid w:val="00114658"/>
    <w:rsid w:val="00115129"/>
    <w:rsid w:val="00115C98"/>
    <w:rsid w:val="001175FC"/>
    <w:rsid w:val="0012059B"/>
    <w:rsid w:val="00121020"/>
    <w:rsid w:val="00122098"/>
    <w:rsid w:val="00122983"/>
    <w:rsid w:val="00122E33"/>
    <w:rsid w:val="00124BF3"/>
    <w:rsid w:val="00125046"/>
    <w:rsid w:val="00125E71"/>
    <w:rsid w:val="00126A57"/>
    <w:rsid w:val="00126B61"/>
    <w:rsid w:val="00126EE1"/>
    <w:rsid w:val="00127433"/>
    <w:rsid w:val="00130300"/>
    <w:rsid w:val="00130EEF"/>
    <w:rsid w:val="00131120"/>
    <w:rsid w:val="00135E23"/>
    <w:rsid w:val="001379DC"/>
    <w:rsid w:val="001405D5"/>
    <w:rsid w:val="00140CB9"/>
    <w:rsid w:val="00141AAC"/>
    <w:rsid w:val="00142A3D"/>
    <w:rsid w:val="00143B25"/>
    <w:rsid w:val="00144657"/>
    <w:rsid w:val="00145BEC"/>
    <w:rsid w:val="00146750"/>
    <w:rsid w:val="0014733D"/>
    <w:rsid w:val="0014751E"/>
    <w:rsid w:val="00150242"/>
    <w:rsid w:val="00150FB0"/>
    <w:rsid w:val="0015125D"/>
    <w:rsid w:val="001554BA"/>
    <w:rsid w:val="001556C0"/>
    <w:rsid w:val="00161AB7"/>
    <w:rsid w:val="00164A96"/>
    <w:rsid w:val="00165D9C"/>
    <w:rsid w:val="00165FC3"/>
    <w:rsid w:val="00166319"/>
    <w:rsid w:val="00166B9E"/>
    <w:rsid w:val="00167A49"/>
    <w:rsid w:val="001716CE"/>
    <w:rsid w:val="00171E56"/>
    <w:rsid w:val="001721CD"/>
    <w:rsid w:val="00172511"/>
    <w:rsid w:val="00174241"/>
    <w:rsid w:val="00174588"/>
    <w:rsid w:val="0017642D"/>
    <w:rsid w:val="001802AB"/>
    <w:rsid w:val="0018060F"/>
    <w:rsid w:val="00180CCE"/>
    <w:rsid w:val="00182277"/>
    <w:rsid w:val="00182F87"/>
    <w:rsid w:val="001844DE"/>
    <w:rsid w:val="001846B4"/>
    <w:rsid w:val="001852F4"/>
    <w:rsid w:val="00185C94"/>
    <w:rsid w:val="00185F90"/>
    <w:rsid w:val="00186B3A"/>
    <w:rsid w:val="001903B4"/>
    <w:rsid w:val="00190682"/>
    <w:rsid w:val="0019346C"/>
    <w:rsid w:val="00193980"/>
    <w:rsid w:val="00196875"/>
    <w:rsid w:val="00197134"/>
    <w:rsid w:val="001A6042"/>
    <w:rsid w:val="001B028D"/>
    <w:rsid w:val="001B138B"/>
    <w:rsid w:val="001B14BE"/>
    <w:rsid w:val="001B1C5D"/>
    <w:rsid w:val="001B1D12"/>
    <w:rsid w:val="001B5168"/>
    <w:rsid w:val="001B59EE"/>
    <w:rsid w:val="001B6F3F"/>
    <w:rsid w:val="001B7D09"/>
    <w:rsid w:val="001C15D8"/>
    <w:rsid w:val="001C20CD"/>
    <w:rsid w:val="001C2862"/>
    <w:rsid w:val="001C5D2A"/>
    <w:rsid w:val="001C5DD3"/>
    <w:rsid w:val="001C747D"/>
    <w:rsid w:val="001C78D9"/>
    <w:rsid w:val="001D0F23"/>
    <w:rsid w:val="001D3943"/>
    <w:rsid w:val="001D4D1D"/>
    <w:rsid w:val="001D60C6"/>
    <w:rsid w:val="001E06DC"/>
    <w:rsid w:val="001E1BFC"/>
    <w:rsid w:val="001E1C2E"/>
    <w:rsid w:val="001E2609"/>
    <w:rsid w:val="001E2D0E"/>
    <w:rsid w:val="001E3A10"/>
    <w:rsid w:val="001E512C"/>
    <w:rsid w:val="001E6668"/>
    <w:rsid w:val="001F12AB"/>
    <w:rsid w:val="001F58D4"/>
    <w:rsid w:val="001F61F9"/>
    <w:rsid w:val="001F6F0D"/>
    <w:rsid w:val="001F71C1"/>
    <w:rsid w:val="002006C0"/>
    <w:rsid w:val="00201E3A"/>
    <w:rsid w:val="00201F8A"/>
    <w:rsid w:val="0020242D"/>
    <w:rsid w:val="002038BB"/>
    <w:rsid w:val="00204E9F"/>
    <w:rsid w:val="00206C07"/>
    <w:rsid w:val="002151B0"/>
    <w:rsid w:val="00215BBF"/>
    <w:rsid w:val="00216F82"/>
    <w:rsid w:val="002177E6"/>
    <w:rsid w:val="0022151C"/>
    <w:rsid w:val="00221C2A"/>
    <w:rsid w:val="0022357C"/>
    <w:rsid w:val="00223800"/>
    <w:rsid w:val="00223BE2"/>
    <w:rsid w:val="00225A7B"/>
    <w:rsid w:val="00225EE0"/>
    <w:rsid w:val="00227A47"/>
    <w:rsid w:val="00227E52"/>
    <w:rsid w:val="00234285"/>
    <w:rsid w:val="00234AA3"/>
    <w:rsid w:val="00234E8B"/>
    <w:rsid w:val="00235A5E"/>
    <w:rsid w:val="00235EF1"/>
    <w:rsid w:val="00237572"/>
    <w:rsid w:val="002404AF"/>
    <w:rsid w:val="002421B0"/>
    <w:rsid w:val="002436EB"/>
    <w:rsid w:val="002441BB"/>
    <w:rsid w:val="0024492A"/>
    <w:rsid w:val="00246E47"/>
    <w:rsid w:val="0024750A"/>
    <w:rsid w:val="00250E9E"/>
    <w:rsid w:val="0025303B"/>
    <w:rsid w:val="00253DAC"/>
    <w:rsid w:val="00254DA9"/>
    <w:rsid w:val="002553C5"/>
    <w:rsid w:val="0025713E"/>
    <w:rsid w:val="00257554"/>
    <w:rsid w:val="0025799A"/>
    <w:rsid w:val="00257EB1"/>
    <w:rsid w:val="002601A7"/>
    <w:rsid w:val="002607F2"/>
    <w:rsid w:val="00261082"/>
    <w:rsid w:val="002618E1"/>
    <w:rsid w:val="002621B3"/>
    <w:rsid w:val="00262686"/>
    <w:rsid w:val="00262B33"/>
    <w:rsid w:val="00263BD6"/>
    <w:rsid w:val="00263C9F"/>
    <w:rsid w:val="002643DC"/>
    <w:rsid w:val="00264953"/>
    <w:rsid w:val="002670ED"/>
    <w:rsid w:val="00270F0C"/>
    <w:rsid w:val="00271C00"/>
    <w:rsid w:val="00271D34"/>
    <w:rsid w:val="00272695"/>
    <w:rsid w:val="00273751"/>
    <w:rsid w:val="00273AEE"/>
    <w:rsid w:val="002760C2"/>
    <w:rsid w:val="00277CC1"/>
    <w:rsid w:val="00277D2C"/>
    <w:rsid w:val="00277FA3"/>
    <w:rsid w:val="002814B6"/>
    <w:rsid w:val="002814F0"/>
    <w:rsid w:val="0028353D"/>
    <w:rsid w:val="002835B8"/>
    <w:rsid w:val="0028375E"/>
    <w:rsid w:val="00284079"/>
    <w:rsid w:val="002841C6"/>
    <w:rsid w:val="002843C1"/>
    <w:rsid w:val="00286308"/>
    <w:rsid w:val="0028637B"/>
    <w:rsid w:val="00286EFF"/>
    <w:rsid w:val="00287E96"/>
    <w:rsid w:val="0029150F"/>
    <w:rsid w:val="002916F1"/>
    <w:rsid w:val="00292E3F"/>
    <w:rsid w:val="00293587"/>
    <w:rsid w:val="00294288"/>
    <w:rsid w:val="002944A3"/>
    <w:rsid w:val="0029651F"/>
    <w:rsid w:val="0029679E"/>
    <w:rsid w:val="00296F3C"/>
    <w:rsid w:val="002972A2"/>
    <w:rsid w:val="002A062D"/>
    <w:rsid w:val="002A1A42"/>
    <w:rsid w:val="002A1F0A"/>
    <w:rsid w:val="002A23D9"/>
    <w:rsid w:val="002A24D4"/>
    <w:rsid w:val="002A316B"/>
    <w:rsid w:val="002A4CF5"/>
    <w:rsid w:val="002A4E33"/>
    <w:rsid w:val="002A5501"/>
    <w:rsid w:val="002A5C82"/>
    <w:rsid w:val="002A63E1"/>
    <w:rsid w:val="002A6995"/>
    <w:rsid w:val="002A6B16"/>
    <w:rsid w:val="002B08AD"/>
    <w:rsid w:val="002B0EB6"/>
    <w:rsid w:val="002B2681"/>
    <w:rsid w:val="002B2E78"/>
    <w:rsid w:val="002B4B92"/>
    <w:rsid w:val="002B4C15"/>
    <w:rsid w:val="002C04B7"/>
    <w:rsid w:val="002C1014"/>
    <w:rsid w:val="002C4AA0"/>
    <w:rsid w:val="002C4BD7"/>
    <w:rsid w:val="002C6CA2"/>
    <w:rsid w:val="002C7801"/>
    <w:rsid w:val="002C7D85"/>
    <w:rsid w:val="002D0532"/>
    <w:rsid w:val="002D1CDF"/>
    <w:rsid w:val="002D2F5B"/>
    <w:rsid w:val="002D3F5D"/>
    <w:rsid w:val="002D4903"/>
    <w:rsid w:val="002D4D7F"/>
    <w:rsid w:val="002D67FA"/>
    <w:rsid w:val="002D6C2D"/>
    <w:rsid w:val="002E00B3"/>
    <w:rsid w:val="002E2E08"/>
    <w:rsid w:val="002E3374"/>
    <w:rsid w:val="002E37F4"/>
    <w:rsid w:val="002E42E9"/>
    <w:rsid w:val="002E448A"/>
    <w:rsid w:val="002E50E5"/>
    <w:rsid w:val="002E6E8E"/>
    <w:rsid w:val="002E719A"/>
    <w:rsid w:val="002E7C02"/>
    <w:rsid w:val="002F0164"/>
    <w:rsid w:val="002F0B56"/>
    <w:rsid w:val="00301012"/>
    <w:rsid w:val="0030162D"/>
    <w:rsid w:val="00302630"/>
    <w:rsid w:val="003031DE"/>
    <w:rsid w:val="00303A60"/>
    <w:rsid w:val="00303DCB"/>
    <w:rsid w:val="0030617E"/>
    <w:rsid w:val="00306439"/>
    <w:rsid w:val="00306604"/>
    <w:rsid w:val="00307A43"/>
    <w:rsid w:val="0031156C"/>
    <w:rsid w:val="003121D0"/>
    <w:rsid w:val="00312710"/>
    <w:rsid w:val="003130A5"/>
    <w:rsid w:val="003152F5"/>
    <w:rsid w:val="00315946"/>
    <w:rsid w:val="003174DA"/>
    <w:rsid w:val="00321001"/>
    <w:rsid w:val="003213DC"/>
    <w:rsid w:val="003216AF"/>
    <w:rsid w:val="00322D80"/>
    <w:rsid w:val="0032365E"/>
    <w:rsid w:val="00324420"/>
    <w:rsid w:val="00325DD9"/>
    <w:rsid w:val="003273CA"/>
    <w:rsid w:val="00327763"/>
    <w:rsid w:val="00327786"/>
    <w:rsid w:val="003277BA"/>
    <w:rsid w:val="00330018"/>
    <w:rsid w:val="00332F02"/>
    <w:rsid w:val="00333794"/>
    <w:rsid w:val="0033583F"/>
    <w:rsid w:val="0034016C"/>
    <w:rsid w:val="003415DF"/>
    <w:rsid w:val="003417CB"/>
    <w:rsid w:val="00341D37"/>
    <w:rsid w:val="0034247C"/>
    <w:rsid w:val="0034319B"/>
    <w:rsid w:val="00343A50"/>
    <w:rsid w:val="003440C6"/>
    <w:rsid w:val="0034629C"/>
    <w:rsid w:val="00346721"/>
    <w:rsid w:val="003468A0"/>
    <w:rsid w:val="003477E7"/>
    <w:rsid w:val="00347AB7"/>
    <w:rsid w:val="00350264"/>
    <w:rsid w:val="003521D9"/>
    <w:rsid w:val="003522CF"/>
    <w:rsid w:val="003530CB"/>
    <w:rsid w:val="00353387"/>
    <w:rsid w:val="00353F81"/>
    <w:rsid w:val="0035481B"/>
    <w:rsid w:val="00355942"/>
    <w:rsid w:val="00355FE1"/>
    <w:rsid w:val="003568E2"/>
    <w:rsid w:val="00357904"/>
    <w:rsid w:val="003606FB"/>
    <w:rsid w:val="00361079"/>
    <w:rsid w:val="00361156"/>
    <w:rsid w:val="00361BB4"/>
    <w:rsid w:val="003646C3"/>
    <w:rsid w:val="00364C76"/>
    <w:rsid w:val="00364CFF"/>
    <w:rsid w:val="00365869"/>
    <w:rsid w:val="00365CE1"/>
    <w:rsid w:val="003701EA"/>
    <w:rsid w:val="003702ED"/>
    <w:rsid w:val="003717BF"/>
    <w:rsid w:val="0037320C"/>
    <w:rsid w:val="003777F9"/>
    <w:rsid w:val="00380612"/>
    <w:rsid w:val="00382B9E"/>
    <w:rsid w:val="00384CB1"/>
    <w:rsid w:val="00385A2E"/>
    <w:rsid w:val="003862C6"/>
    <w:rsid w:val="003862E3"/>
    <w:rsid w:val="00391184"/>
    <w:rsid w:val="00391485"/>
    <w:rsid w:val="00393F72"/>
    <w:rsid w:val="003950E7"/>
    <w:rsid w:val="00396977"/>
    <w:rsid w:val="003A0B5B"/>
    <w:rsid w:val="003A159D"/>
    <w:rsid w:val="003A316B"/>
    <w:rsid w:val="003A4580"/>
    <w:rsid w:val="003A4D39"/>
    <w:rsid w:val="003A641D"/>
    <w:rsid w:val="003A7094"/>
    <w:rsid w:val="003B02D4"/>
    <w:rsid w:val="003B45FC"/>
    <w:rsid w:val="003B68FE"/>
    <w:rsid w:val="003B6C61"/>
    <w:rsid w:val="003C206F"/>
    <w:rsid w:val="003C2C65"/>
    <w:rsid w:val="003C4602"/>
    <w:rsid w:val="003C5BF5"/>
    <w:rsid w:val="003C70E5"/>
    <w:rsid w:val="003C72F5"/>
    <w:rsid w:val="003D23C6"/>
    <w:rsid w:val="003D407E"/>
    <w:rsid w:val="003D53A8"/>
    <w:rsid w:val="003D5DBC"/>
    <w:rsid w:val="003D695D"/>
    <w:rsid w:val="003D758B"/>
    <w:rsid w:val="003E1D18"/>
    <w:rsid w:val="003E22EE"/>
    <w:rsid w:val="003E4889"/>
    <w:rsid w:val="003E69D2"/>
    <w:rsid w:val="003E7707"/>
    <w:rsid w:val="003F0B7F"/>
    <w:rsid w:val="003F1F4A"/>
    <w:rsid w:val="003F58E3"/>
    <w:rsid w:val="003F5C6F"/>
    <w:rsid w:val="003F619C"/>
    <w:rsid w:val="003F6D8E"/>
    <w:rsid w:val="003F7C59"/>
    <w:rsid w:val="00400E9F"/>
    <w:rsid w:val="004034A7"/>
    <w:rsid w:val="00404236"/>
    <w:rsid w:val="00404D87"/>
    <w:rsid w:val="00404EF3"/>
    <w:rsid w:val="00404FF8"/>
    <w:rsid w:val="00406C09"/>
    <w:rsid w:val="00410044"/>
    <w:rsid w:val="0041011B"/>
    <w:rsid w:val="00411C73"/>
    <w:rsid w:val="004126C9"/>
    <w:rsid w:val="00413EB7"/>
    <w:rsid w:val="00414230"/>
    <w:rsid w:val="00414BEC"/>
    <w:rsid w:val="004157DF"/>
    <w:rsid w:val="00416956"/>
    <w:rsid w:val="00416BC5"/>
    <w:rsid w:val="004170D8"/>
    <w:rsid w:val="00417F16"/>
    <w:rsid w:val="00420BBE"/>
    <w:rsid w:val="00422538"/>
    <w:rsid w:val="0042465D"/>
    <w:rsid w:val="00425E6D"/>
    <w:rsid w:val="0042613F"/>
    <w:rsid w:val="0042627F"/>
    <w:rsid w:val="0042684C"/>
    <w:rsid w:val="00431287"/>
    <w:rsid w:val="00431B97"/>
    <w:rsid w:val="00435025"/>
    <w:rsid w:val="004352B3"/>
    <w:rsid w:val="00435969"/>
    <w:rsid w:val="0043742D"/>
    <w:rsid w:val="00437E07"/>
    <w:rsid w:val="0044090E"/>
    <w:rsid w:val="004409DC"/>
    <w:rsid w:val="00440D13"/>
    <w:rsid w:val="00441AE9"/>
    <w:rsid w:val="00441F9E"/>
    <w:rsid w:val="004429BB"/>
    <w:rsid w:val="004438E7"/>
    <w:rsid w:val="00443E9E"/>
    <w:rsid w:val="00447E49"/>
    <w:rsid w:val="0045009B"/>
    <w:rsid w:val="00450796"/>
    <w:rsid w:val="00452C8A"/>
    <w:rsid w:val="00453B1C"/>
    <w:rsid w:val="00454F3C"/>
    <w:rsid w:val="00455321"/>
    <w:rsid w:val="00456724"/>
    <w:rsid w:val="00456C1E"/>
    <w:rsid w:val="00460BA4"/>
    <w:rsid w:val="00462C59"/>
    <w:rsid w:val="0046384A"/>
    <w:rsid w:val="00464EEF"/>
    <w:rsid w:val="004662B9"/>
    <w:rsid w:val="0046710F"/>
    <w:rsid w:val="004720A3"/>
    <w:rsid w:val="00473B9A"/>
    <w:rsid w:val="004743F3"/>
    <w:rsid w:val="00476DD6"/>
    <w:rsid w:val="004773A5"/>
    <w:rsid w:val="0047760B"/>
    <w:rsid w:val="00477A72"/>
    <w:rsid w:val="0048065C"/>
    <w:rsid w:val="004809C3"/>
    <w:rsid w:val="00481314"/>
    <w:rsid w:val="004818BE"/>
    <w:rsid w:val="00484082"/>
    <w:rsid w:val="00484361"/>
    <w:rsid w:val="004843F7"/>
    <w:rsid w:val="00484679"/>
    <w:rsid w:val="00486E13"/>
    <w:rsid w:val="004879FC"/>
    <w:rsid w:val="00491182"/>
    <w:rsid w:val="00491A4E"/>
    <w:rsid w:val="0049461D"/>
    <w:rsid w:val="00494703"/>
    <w:rsid w:val="0049725F"/>
    <w:rsid w:val="00497708"/>
    <w:rsid w:val="004A1AD2"/>
    <w:rsid w:val="004A2427"/>
    <w:rsid w:val="004A2B33"/>
    <w:rsid w:val="004A3751"/>
    <w:rsid w:val="004A3FED"/>
    <w:rsid w:val="004A595A"/>
    <w:rsid w:val="004A70D5"/>
    <w:rsid w:val="004B1844"/>
    <w:rsid w:val="004B1EFC"/>
    <w:rsid w:val="004B2294"/>
    <w:rsid w:val="004B2332"/>
    <w:rsid w:val="004B32E5"/>
    <w:rsid w:val="004B4AA9"/>
    <w:rsid w:val="004C020A"/>
    <w:rsid w:val="004C23CB"/>
    <w:rsid w:val="004C39F6"/>
    <w:rsid w:val="004C4ABB"/>
    <w:rsid w:val="004C4C42"/>
    <w:rsid w:val="004C4E7B"/>
    <w:rsid w:val="004C527D"/>
    <w:rsid w:val="004C5AE4"/>
    <w:rsid w:val="004C5CF2"/>
    <w:rsid w:val="004C5F2C"/>
    <w:rsid w:val="004C6991"/>
    <w:rsid w:val="004D049A"/>
    <w:rsid w:val="004D095D"/>
    <w:rsid w:val="004D10CD"/>
    <w:rsid w:val="004D193A"/>
    <w:rsid w:val="004D1F90"/>
    <w:rsid w:val="004D4995"/>
    <w:rsid w:val="004D5897"/>
    <w:rsid w:val="004E0B28"/>
    <w:rsid w:val="004E1D63"/>
    <w:rsid w:val="004E407E"/>
    <w:rsid w:val="004E46C6"/>
    <w:rsid w:val="004E7D3B"/>
    <w:rsid w:val="004E7F95"/>
    <w:rsid w:val="004F0A3E"/>
    <w:rsid w:val="004F153D"/>
    <w:rsid w:val="004F16FA"/>
    <w:rsid w:val="004F19E8"/>
    <w:rsid w:val="004F1DE4"/>
    <w:rsid w:val="004F23E2"/>
    <w:rsid w:val="004F2A89"/>
    <w:rsid w:val="004F2D4D"/>
    <w:rsid w:val="004F31CC"/>
    <w:rsid w:val="004F3C42"/>
    <w:rsid w:val="004F46B3"/>
    <w:rsid w:val="004F5FEF"/>
    <w:rsid w:val="004F6856"/>
    <w:rsid w:val="00500BAA"/>
    <w:rsid w:val="00502224"/>
    <w:rsid w:val="00502628"/>
    <w:rsid w:val="00506114"/>
    <w:rsid w:val="00506C06"/>
    <w:rsid w:val="00512BEA"/>
    <w:rsid w:val="00513848"/>
    <w:rsid w:val="00514925"/>
    <w:rsid w:val="00514AB6"/>
    <w:rsid w:val="005165DB"/>
    <w:rsid w:val="00516B24"/>
    <w:rsid w:val="00521526"/>
    <w:rsid w:val="0052587F"/>
    <w:rsid w:val="005261AA"/>
    <w:rsid w:val="00526816"/>
    <w:rsid w:val="00527B84"/>
    <w:rsid w:val="0053039A"/>
    <w:rsid w:val="0053046E"/>
    <w:rsid w:val="005321A5"/>
    <w:rsid w:val="00532707"/>
    <w:rsid w:val="00535118"/>
    <w:rsid w:val="00535EB1"/>
    <w:rsid w:val="00537228"/>
    <w:rsid w:val="0054117E"/>
    <w:rsid w:val="00543C8B"/>
    <w:rsid w:val="005441D5"/>
    <w:rsid w:val="0054514E"/>
    <w:rsid w:val="005474BF"/>
    <w:rsid w:val="00547B4F"/>
    <w:rsid w:val="00551088"/>
    <w:rsid w:val="005525C3"/>
    <w:rsid w:val="0055316F"/>
    <w:rsid w:val="005534A2"/>
    <w:rsid w:val="00557F3F"/>
    <w:rsid w:val="0056042D"/>
    <w:rsid w:val="0056124C"/>
    <w:rsid w:val="00561CAA"/>
    <w:rsid w:val="00563AC5"/>
    <w:rsid w:val="005653FF"/>
    <w:rsid w:val="005670F4"/>
    <w:rsid w:val="00570509"/>
    <w:rsid w:val="00570689"/>
    <w:rsid w:val="0057205C"/>
    <w:rsid w:val="00573036"/>
    <w:rsid w:val="00573125"/>
    <w:rsid w:val="00575214"/>
    <w:rsid w:val="00576027"/>
    <w:rsid w:val="005764DE"/>
    <w:rsid w:val="00581E30"/>
    <w:rsid w:val="005820EB"/>
    <w:rsid w:val="0058214C"/>
    <w:rsid w:val="005829E5"/>
    <w:rsid w:val="00583B9F"/>
    <w:rsid w:val="00585014"/>
    <w:rsid w:val="005859F0"/>
    <w:rsid w:val="00585AC7"/>
    <w:rsid w:val="00587747"/>
    <w:rsid w:val="0059156F"/>
    <w:rsid w:val="00591AEE"/>
    <w:rsid w:val="00595101"/>
    <w:rsid w:val="00595EC0"/>
    <w:rsid w:val="00597146"/>
    <w:rsid w:val="005A05B9"/>
    <w:rsid w:val="005A1692"/>
    <w:rsid w:val="005A1CB1"/>
    <w:rsid w:val="005A300A"/>
    <w:rsid w:val="005A34C5"/>
    <w:rsid w:val="005A34E9"/>
    <w:rsid w:val="005B18EA"/>
    <w:rsid w:val="005B1CD6"/>
    <w:rsid w:val="005B2C61"/>
    <w:rsid w:val="005B4A21"/>
    <w:rsid w:val="005B4B32"/>
    <w:rsid w:val="005B69A1"/>
    <w:rsid w:val="005B7CDA"/>
    <w:rsid w:val="005C0F01"/>
    <w:rsid w:val="005C18CB"/>
    <w:rsid w:val="005C4050"/>
    <w:rsid w:val="005C51E3"/>
    <w:rsid w:val="005C7EAA"/>
    <w:rsid w:val="005D04F4"/>
    <w:rsid w:val="005D1B84"/>
    <w:rsid w:val="005D4422"/>
    <w:rsid w:val="005D4A0A"/>
    <w:rsid w:val="005D64FF"/>
    <w:rsid w:val="005D6CA2"/>
    <w:rsid w:val="005E0CCA"/>
    <w:rsid w:val="005E4262"/>
    <w:rsid w:val="005F0751"/>
    <w:rsid w:val="005F2508"/>
    <w:rsid w:val="005F2DC3"/>
    <w:rsid w:val="005F3CA0"/>
    <w:rsid w:val="005F4155"/>
    <w:rsid w:val="005F52E4"/>
    <w:rsid w:val="005F5891"/>
    <w:rsid w:val="005F5A63"/>
    <w:rsid w:val="005F61E3"/>
    <w:rsid w:val="005F6957"/>
    <w:rsid w:val="005F6A94"/>
    <w:rsid w:val="00604E89"/>
    <w:rsid w:val="00605C3A"/>
    <w:rsid w:val="0060712D"/>
    <w:rsid w:val="0060721F"/>
    <w:rsid w:val="006104D4"/>
    <w:rsid w:val="00610F0E"/>
    <w:rsid w:val="00612392"/>
    <w:rsid w:val="00612CD5"/>
    <w:rsid w:val="006149D9"/>
    <w:rsid w:val="00615670"/>
    <w:rsid w:val="00615C56"/>
    <w:rsid w:val="006160CC"/>
    <w:rsid w:val="0061624D"/>
    <w:rsid w:val="006162B1"/>
    <w:rsid w:val="00616BC1"/>
    <w:rsid w:val="00617D07"/>
    <w:rsid w:val="0062192C"/>
    <w:rsid w:val="00621EA6"/>
    <w:rsid w:val="00626496"/>
    <w:rsid w:val="00627C9F"/>
    <w:rsid w:val="00630DA5"/>
    <w:rsid w:val="00631138"/>
    <w:rsid w:val="00632E68"/>
    <w:rsid w:val="0063342E"/>
    <w:rsid w:val="006344AC"/>
    <w:rsid w:val="0063603D"/>
    <w:rsid w:val="0063690E"/>
    <w:rsid w:val="00637AE0"/>
    <w:rsid w:val="00640076"/>
    <w:rsid w:val="00640F3D"/>
    <w:rsid w:val="00641639"/>
    <w:rsid w:val="006443C4"/>
    <w:rsid w:val="00644751"/>
    <w:rsid w:val="00647953"/>
    <w:rsid w:val="00651CCE"/>
    <w:rsid w:val="006540F9"/>
    <w:rsid w:val="00654976"/>
    <w:rsid w:val="00655832"/>
    <w:rsid w:val="00656A82"/>
    <w:rsid w:val="006577CF"/>
    <w:rsid w:val="00657893"/>
    <w:rsid w:val="00657B7C"/>
    <w:rsid w:val="00657D8D"/>
    <w:rsid w:val="0066239D"/>
    <w:rsid w:val="0066360E"/>
    <w:rsid w:val="00664926"/>
    <w:rsid w:val="006655CF"/>
    <w:rsid w:val="00666596"/>
    <w:rsid w:val="0067060B"/>
    <w:rsid w:val="00671B4E"/>
    <w:rsid w:val="00672353"/>
    <w:rsid w:val="00672945"/>
    <w:rsid w:val="006747DC"/>
    <w:rsid w:val="00674C98"/>
    <w:rsid w:val="006758C7"/>
    <w:rsid w:val="00675A4E"/>
    <w:rsid w:val="00675FCF"/>
    <w:rsid w:val="0067630D"/>
    <w:rsid w:val="006814AA"/>
    <w:rsid w:val="006819E6"/>
    <w:rsid w:val="00681CCC"/>
    <w:rsid w:val="00681F15"/>
    <w:rsid w:val="00682458"/>
    <w:rsid w:val="0068514D"/>
    <w:rsid w:val="00686B77"/>
    <w:rsid w:val="006874B2"/>
    <w:rsid w:val="00690601"/>
    <w:rsid w:val="00690940"/>
    <w:rsid w:val="00691858"/>
    <w:rsid w:val="00693AC8"/>
    <w:rsid w:val="00694239"/>
    <w:rsid w:val="006944EC"/>
    <w:rsid w:val="0069644B"/>
    <w:rsid w:val="006A00ED"/>
    <w:rsid w:val="006A01FB"/>
    <w:rsid w:val="006A0418"/>
    <w:rsid w:val="006A1156"/>
    <w:rsid w:val="006A1E96"/>
    <w:rsid w:val="006A21CE"/>
    <w:rsid w:val="006A3ACD"/>
    <w:rsid w:val="006A76C0"/>
    <w:rsid w:val="006B1D15"/>
    <w:rsid w:val="006B2E09"/>
    <w:rsid w:val="006B307C"/>
    <w:rsid w:val="006B3D9E"/>
    <w:rsid w:val="006B4BDB"/>
    <w:rsid w:val="006B4F62"/>
    <w:rsid w:val="006B617D"/>
    <w:rsid w:val="006B66FD"/>
    <w:rsid w:val="006B673C"/>
    <w:rsid w:val="006B7DFD"/>
    <w:rsid w:val="006C0172"/>
    <w:rsid w:val="006C02F7"/>
    <w:rsid w:val="006C15FF"/>
    <w:rsid w:val="006C1D58"/>
    <w:rsid w:val="006C20EA"/>
    <w:rsid w:val="006C5B7E"/>
    <w:rsid w:val="006D1C04"/>
    <w:rsid w:val="006D20E7"/>
    <w:rsid w:val="006D2388"/>
    <w:rsid w:val="006D2B68"/>
    <w:rsid w:val="006D31C4"/>
    <w:rsid w:val="006D3AD7"/>
    <w:rsid w:val="006D4AC9"/>
    <w:rsid w:val="006D55FA"/>
    <w:rsid w:val="006D5E9F"/>
    <w:rsid w:val="006E152B"/>
    <w:rsid w:val="006E2C5C"/>
    <w:rsid w:val="006E2ED0"/>
    <w:rsid w:val="006E2F6E"/>
    <w:rsid w:val="006E39EF"/>
    <w:rsid w:val="006E428D"/>
    <w:rsid w:val="006E52D5"/>
    <w:rsid w:val="006E5B88"/>
    <w:rsid w:val="006E69F2"/>
    <w:rsid w:val="006E7177"/>
    <w:rsid w:val="006E7D36"/>
    <w:rsid w:val="006F1CC3"/>
    <w:rsid w:val="006F2671"/>
    <w:rsid w:val="006F2E00"/>
    <w:rsid w:val="006F2EC1"/>
    <w:rsid w:val="006F5AB8"/>
    <w:rsid w:val="006F77DB"/>
    <w:rsid w:val="007005CF"/>
    <w:rsid w:val="00702106"/>
    <w:rsid w:val="00702A49"/>
    <w:rsid w:val="00705DF9"/>
    <w:rsid w:val="0070634A"/>
    <w:rsid w:val="007101CB"/>
    <w:rsid w:val="007109D6"/>
    <w:rsid w:val="007123CD"/>
    <w:rsid w:val="007123F3"/>
    <w:rsid w:val="00712B04"/>
    <w:rsid w:val="007130C2"/>
    <w:rsid w:val="007132E7"/>
    <w:rsid w:val="007133ED"/>
    <w:rsid w:val="00713BB8"/>
    <w:rsid w:val="00713EE3"/>
    <w:rsid w:val="0071461A"/>
    <w:rsid w:val="007155B2"/>
    <w:rsid w:val="00716FFD"/>
    <w:rsid w:val="00720E9B"/>
    <w:rsid w:val="007218DB"/>
    <w:rsid w:val="00726B2F"/>
    <w:rsid w:val="00726EAC"/>
    <w:rsid w:val="00726ED8"/>
    <w:rsid w:val="00727244"/>
    <w:rsid w:val="007276F1"/>
    <w:rsid w:val="007311D1"/>
    <w:rsid w:val="007329CE"/>
    <w:rsid w:val="00736D01"/>
    <w:rsid w:val="00737385"/>
    <w:rsid w:val="007376CD"/>
    <w:rsid w:val="007376E1"/>
    <w:rsid w:val="00741129"/>
    <w:rsid w:val="007419CA"/>
    <w:rsid w:val="00742169"/>
    <w:rsid w:val="00743092"/>
    <w:rsid w:val="0074389B"/>
    <w:rsid w:val="00743A24"/>
    <w:rsid w:val="00743C79"/>
    <w:rsid w:val="00744241"/>
    <w:rsid w:val="0074454C"/>
    <w:rsid w:val="007445B1"/>
    <w:rsid w:val="0074578F"/>
    <w:rsid w:val="0074740D"/>
    <w:rsid w:val="007479D1"/>
    <w:rsid w:val="0075063E"/>
    <w:rsid w:val="007515C2"/>
    <w:rsid w:val="00751A99"/>
    <w:rsid w:val="00753404"/>
    <w:rsid w:val="00753AE5"/>
    <w:rsid w:val="00754726"/>
    <w:rsid w:val="007556C7"/>
    <w:rsid w:val="00756501"/>
    <w:rsid w:val="00756A73"/>
    <w:rsid w:val="00760DCB"/>
    <w:rsid w:val="00760E7B"/>
    <w:rsid w:val="007610DB"/>
    <w:rsid w:val="00761194"/>
    <w:rsid w:val="0077176F"/>
    <w:rsid w:val="00771D94"/>
    <w:rsid w:val="00772518"/>
    <w:rsid w:val="00772750"/>
    <w:rsid w:val="007733E7"/>
    <w:rsid w:val="00773679"/>
    <w:rsid w:val="00774C7C"/>
    <w:rsid w:val="00775501"/>
    <w:rsid w:val="00775826"/>
    <w:rsid w:val="007761E7"/>
    <w:rsid w:val="00776872"/>
    <w:rsid w:val="007771AA"/>
    <w:rsid w:val="00783018"/>
    <w:rsid w:val="00784B7A"/>
    <w:rsid w:val="007858F0"/>
    <w:rsid w:val="007871F4"/>
    <w:rsid w:val="0079048B"/>
    <w:rsid w:val="00790D42"/>
    <w:rsid w:val="007916E8"/>
    <w:rsid w:val="00795498"/>
    <w:rsid w:val="00796029"/>
    <w:rsid w:val="00796101"/>
    <w:rsid w:val="00797A74"/>
    <w:rsid w:val="007A2D91"/>
    <w:rsid w:val="007A30D6"/>
    <w:rsid w:val="007A392A"/>
    <w:rsid w:val="007A435A"/>
    <w:rsid w:val="007A6FD2"/>
    <w:rsid w:val="007A748D"/>
    <w:rsid w:val="007A7D80"/>
    <w:rsid w:val="007B280B"/>
    <w:rsid w:val="007B4348"/>
    <w:rsid w:val="007C0A0A"/>
    <w:rsid w:val="007C19C2"/>
    <w:rsid w:val="007C1A4C"/>
    <w:rsid w:val="007C2667"/>
    <w:rsid w:val="007C279C"/>
    <w:rsid w:val="007C2890"/>
    <w:rsid w:val="007C32F6"/>
    <w:rsid w:val="007C3B5D"/>
    <w:rsid w:val="007C3D4B"/>
    <w:rsid w:val="007C4501"/>
    <w:rsid w:val="007C501A"/>
    <w:rsid w:val="007C57E0"/>
    <w:rsid w:val="007C63D5"/>
    <w:rsid w:val="007C6E52"/>
    <w:rsid w:val="007C6FC6"/>
    <w:rsid w:val="007C70CD"/>
    <w:rsid w:val="007C7BBA"/>
    <w:rsid w:val="007C7ECA"/>
    <w:rsid w:val="007D0EC7"/>
    <w:rsid w:val="007D0F4A"/>
    <w:rsid w:val="007D2BDC"/>
    <w:rsid w:val="007D2E8B"/>
    <w:rsid w:val="007D3FC2"/>
    <w:rsid w:val="007D4F0A"/>
    <w:rsid w:val="007D6813"/>
    <w:rsid w:val="007D6CD5"/>
    <w:rsid w:val="007E1E41"/>
    <w:rsid w:val="007E35E5"/>
    <w:rsid w:val="007E5826"/>
    <w:rsid w:val="007E58EA"/>
    <w:rsid w:val="007E6D59"/>
    <w:rsid w:val="007E723F"/>
    <w:rsid w:val="007E7924"/>
    <w:rsid w:val="007F1CCD"/>
    <w:rsid w:val="007F1EEB"/>
    <w:rsid w:val="007F2F2E"/>
    <w:rsid w:val="007F3BA3"/>
    <w:rsid w:val="007F557D"/>
    <w:rsid w:val="007F5EC7"/>
    <w:rsid w:val="008008BA"/>
    <w:rsid w:val="008015AF"/>
    <w:rsid w:val="00802FD5"/>
    <w:rsid w:val="00803AA2"/>
    <w:rsid w:val="008040FB"/>
    <w:rsid w:val="008045C7"/>
    <w:rsid w:val="00804B5E"/>
    <w:rsid w:val="00804D77"/>
    <w:rsid w:val="00804F20"/>
    <w:rsid w:val="00806018"/>
    <w:rsid w:val="00806678"/>
    <w:rsid w:val="00810F81"/>
    <w:rsid w:val="00811649"/>
    <w:rsid w:val="00811CCD"/>
    <w:rsid w:val="008126C5"/>
    <w:rsid w:val="0081434D"/>
    <w:rsid w:val="00814A74"/>
    <w:rsid w:val="00814F43"/>
    <w:rsid w:val="00816EC1"/>
    <w:rsid w:val="00817751"/>
    <w:rsid w:val="00821B01"/>
    <w:rsid w:val="00821C39"/>
    <w:rsid w:val="00823E81"/>
    <w:rsid w:val="008253C5"/>
    <w:rsid w:val="008300A7"/>
    <w:rsid w:val="0083114D"/>
    <w:rsid w:val="00831BFA"/>
    <w:rsid w:val="0083232B"/>
    <w:rsid w:val="00832939"/>
    <w:rsid w:val="00833501"/>
    <w:rsid w:val="00833831"/>
    <w:rsid w:val="008346B9"/>
    <w:rsid w:val="00836E0F"/>
    <w:rsid w:val="0083765B"/>
    <w:rsid w:val="00837B65"/>
    <w:rsid w:val="00840D5B"/>
    <w:rsid w:val="00841FF3"/>
    <w:rsid w:val="0084220F"/>
    <w:rsid w:val="00843318"/>
    <w:rsid w:val="00843476"/>
    <w:rsid w:val="008446D6"/>
    <w:rsid w:val="00844E69"/>
    <w:rsid w:val="0084540B"/>
    <w:rsid w:val="00846387"/>
    <w:rsid w:val="00847DA2"/>
    <w:rsid w:val="00850037"/>
    <w:rsid w:val="00850C77"/>
    <w:rsid w:val="00851423"/>
    <w:rsid w:val="0085394D"/>
    <w:rsid w:val="0085407C"/>
    <w:rsid w:val="00854C5D"/>
    <w:rsid w:val="0085622B"/>
    <w:rsid w:val="0085771B"/>
    <w:rsid w:val="00860E3A"/>
    <w:rsid w:val="00861CCD"/>
    <w:rsid w:val="00865DA4"/>
    <w:rsid w:val="00872EA3"/>
    <w:rsid w:val="008732ED"/>
    <w:rsid w:val="0087404C"/>
    <w:rsid w:val="00875534"/>
    <w:rsid w:val="00876F5C"/>
    <w:rsid w:val="00877560"/>
    <w:rsid w:val="00877C1E"/>
    <w:rsid w:val="00882193"/>
    <w:rsid w:val="008823AC"/>
    <w:rsid w:val="00883427"/>
    <w:rsid w:val="00884015"/>
    <w:rsid w:val="008843F8"/>
    <w:rsid w:val="008845E9"/>
    <w:rsid w:val="00886D6C"/>
    <w:rsid w:val="008901F7"/>
    <w:rsid w:val="00891FBF"/>
    <w:rsid w:val="00892CD8"/>
    <w:rsid w:val="00893621"/>
    <w:rsid w:val="0089690C"/>
    <w:rsid w:val="008976F9"/>
    <w:rsid w:val="008A0087"/>
    <w:rsid w:val="008A0D60"/>
    <w:rsid w:val="008A1638"/>
    <w:rsid w:val="008A1AC2"/>
    <w:rsid w:val="008A350A"/>
    <w:rsid w:val="008A49E1"/>
    <w:rsid w:val="008A652C"/>
    <w:rsid w:val="008B2404"/>
    <w:rsid w:val="008B346D"/>
    <w:rsid w:val="008B3C8E"/>
    <w:rsid w:val="008B42AC"/>
    <w:rsid w:val="008B507B"/>
    <w:rsid w:val="008B58D3"/>
    <w:rsid w:val="008B6E40"/>
    <w:rsid w:val="008B770B"/>
    <w:rsid w:val="008B7927"/>
    <w:rsid w:val="008C240D"/>
    <w:rsid w:val="008C48BF"/>
    <w:rsid w:val="008C54A7"/>
    <w:rsid w:val="008C5895"/>
    <w:rsid w:val="008C70D4"/>
    <w:rsid w:val="008C716A"/>
    <w:rsid w:val="008C7CAA"/>
    <w:rsid w:val="008C7F14"/>
    <w:rsid w:val="008D0411"/>
    <w:rsid w:val="008D163B"/>
    <w:rsid w:val="008D2584"/>
    <w:rsid w:val="008D301B"/>
    <w:rsid w:val="008D4896"/>
    <w:rsid w:val="008D49AB"/>
    <w:rsid w:val="008D5150"/>
    <w:rsid w:val="008D6103"/>
    <w:rsid w:val="008D6F81"/>
    <w:rsid w:val="008E1272"/>
    <w:rsid w:val="008E3581"/>
    <w:rsid w:val="008E4011"/>
    <w:rsid w:val="008E4C83"/>
    <w:rsid w:val="008F00F2"/>
    <w:rsid w:val="008F0CE5"/>
    <w:rsid w:val="008F132F"/>
    <w:rsid w:val="008F2A79"/>
    <w:rsid w:val="008F3930"/>
    <w:rsid w:val="008F3970"/>
    <w:rsid w:val="008F3ED7"/>
    <w:rsid w:val="008F457D"/>
    <w:rsid w:val="008F6F34"/>
    <w:rsid w:val="0090154F"/>
    <w:rsid w:val="00901CEE"/>
    <w:rsid w:val="00901FD6"/>
    <w:rsid w:val="009025E3"/>
    <w:rsid w:val="00903973"/>
    <w:rsid w:val="00903FFB"/>
    <w:rsid w:val="0090506B"/>
    <w:rsid w:val="00905AB4"/>
    <w:rsid w:val="0090606B"/>
    <w:rsid w:val="0090738D"/>
    <w:rsid w:val="00910C0F"/>
    <w:rsid w:val="009129B2"/>
    <w:rsid w:val="00912C4A"/>
    <w:rsid w:val="00913B40"/>
    <w:rsid w:val="009166B7"/>
    <w:rsid w:val="00916A85"/>
    <w:rsid w:val="00916F7E"/>
    <w:rsid w:val="0091750C"/>
    <w:rsid w:val="00917B43"/>
    <w:rsid w:val="00917D1A"/>
    <w:rsid w:val="009215B5"/>
    <w:rsid w:val="00922747"/>
    <w:rsid w:val="00922A53"/>
    <w:rsid w:val="00922FD5"/>
    <w:rsid w:val="00927114"/>
    <w:rsid w:val="0092753E"/>
    <w:rsid w:val="00932EA5"/>
    <w:rsid w:val="00932FDD"/>
    <w:rsid w:val="00934068"/>
    <w:rsid w:val="00942147"/>
    <w:rsid w:val="00942A8D"/>
    <w:rsid w:val="00944950"/>
    <w:rsid w:val="00944A3B"/>
    <w:rsid w:val="00950842"/>
    <w:rsid w:val="00950F72"/>
    <w:rsid w:val="00953007"/>
    <w:rsid w:val="00953735"/>
    <w:rsid w:val="009552E8"/>
    <w:rsid w:val="00955702"/>
    <w:rsid w:val="00955E8B"/>
    <w:rsid w:val="00957ABA"/>
    <w:rsid w:val="00957D21"/>
    <w:rsid w:val="00957F63"/>
    <w:rsid w:val="009623EB"/>
    <w:rsid w:val="009627D8"/>
    <w:rsid w:val="00964218"/>
    <w:rsid w:val="009661F0"/>
    <w:rsid w:val="00967566"/>
    <w:rsid w:val="00967891"/>
    <w:rsid w:val="009730B8"/>
    <w:rsid w:val="00973870"/>
    <w:rsid w:val="00975962"/>
    <w:rsid w:val="00975F78"/>
    <w:rsid w:val="00976601"/>
    <w:rsid w:val="0097690A"/>
    <w:rsid w:val="00976B58"/>
    <w:rsid w:val="009778B1"/>
    <w:rsid w:val="00985AF4"/>
    <w:rsid w:val="0098652A"/>
    <w:rsid w:val="009903AC"/>
    <w:rsid w:val="009915B9"/>
    <w:rsid w:val="00991F20"/>
    <w:rsid w:val="00993180"/>
    <w:rsid w:val="009939DB"/>
    <w:rsid w:val="00993D68"/>
    <w:rsid w:val="00994A1B"/>
    <w:rsid w:val="00995DCC"/>
    <w:rsid w:val="009972C8"/>
    <w:rsid w:val="009A01F9"/>
    <w:rsid w:val="009A3CCF"/>
    <w:rsid w:val="009A4ADC"/>
    <w:rsid w:val="009A50A7"/>
    <w:rsid w:val="009A5559"/>
    <w:rsid w:val="009B0625"/>
    <w:rsid w:val="009B0640"/>
    <w:rsid w:val="009B0CC4"/>
    <w:rsid w:val="009B0F7C"/>
    <w:rsid w:val="009B105F"/>
    <w:rsid w:val="009B10CF"/>
    <w:rsid w:val="009B1DA0"/>
    <w:rsid w:val="009B41A2"/>
    <w:rsid w:val="009B496D"/>
    <w:rsid w:val="009B66A4"/>
    <w:rsid w:val="009B74DD"/>
    <w:rsid w:val="009B7652"/>
    <w:rsid w:val="009C10DF"/>
    <w:rsid w:val="009C1AFA"/>
    <w:rsid w:val="009C2915"/>
    <w:rsid w:val="009C31C6"/>
    <w:rsid w:val="009C4097"/>
    <w:rsid w:val="009C54C1"/>
    <w:rsid w:val="009C5857"/>
    <w:rsid w:val="009C5C05"/>
    <w:rsid w:val="009C62A7"/>
    <w:rsid w:val="009D0434"/>
    <w:rsid w:val="009D1786"/>
    <w:rsid w:val="009D2758"/>
    <w:rsid w:val="009D2B25"/>
    <w:rsid w:val="009D37F7"/>
    <w:rsid w:val="009D6530"/>
    <w:rsid w:val="009E0706"/>
    <w:rsid w:val="009E16FE"/>
    <w:rsid w:val="009E45F5"/>
    <w:rsid w:val="009E51EF"/>
    <w:rsid w:val="009E59AC"/>
    <w:rsid w:val="009E7308"/>
    <w:rsid w:val="009E74F7"/>
    <w:rsid w:val="009E76EE"/>
    <w:rsid w:val="009F0D7D"/>
    <w:rsid w:val="009F141C"/>
    <w:rsid w:val="009F1917"/>
    <w:rsid w:val="009F1AF9"/>
    <w:rsid w:val="009F4AD1"/>
    <w:rsid w:val="009F4CEC"/>
    <w:rsid w:val="009F4D8A"/>
    <w:rsid w:val="009F5095"/>
    <w:rsid w:val="009F5E6F"/>
    <w:rsid w:val="009F7541"/>
    <w:rsid w:val="009F7E88"/>
    <w:rsid w:val="00A01E2B"/>
    <w:rsid w:val="00A024BE"/>
    <w:rsid w:val="00A030D6"/>
    <w:rsid w:val="00A03943"/>
    <w:rsid w:val="00A05175"/>
    <w:rsid w:val="00A05B98"/>
    <w:rsid w:val="00A0658F"/>
    <w:rsid w:val="00A06FD2"/>
    <w:rsid w:val="00A0706B"/>
    <w:rsid w:val="00A07A72"/>
    <w:rsid w:val="00A10077"/>
    <w:rsid w:val="00A1311C"/>
    <w:rsid w:val="00A13359"/>
    <w:rsid w:val="00A13F55"/>
    <w:rsid w:val="00A14925"/>
    <w:rsid w:val="00A15ABD"/>
    <w:rsid w:val="00A21C07"/>
    <w:rsid w:val="00A21CEF"/>
    <w:rsid w:val="00A24702"/>
    <w:rsid w:val="00A24D4E"/>
    <w:rsid w:val="00A25CBE"/>
    <w:rsid w:val="00A25FB1"/>
    <w:rsid w:val="00A26150"/>
    <w:rsid w:val="00A27175"/>
    <w:rsid w:val="00A31F3B"/>
    <w:rsid w:val="00A337F7"/>
    <w:rsid w:val="00A33DCC"/>
    <w:rsid w:val="00A34074"/>
    <w:rsid w:val="00A35129"/>
    <w:rsid w:val="00A4058E"/>
    <w:rsid w:val="00A405C2"/>
    <w:rsid w:val="00A415F3"/>
    <w:rsid w:val="00A42C1D"/>
    <w:rsid w:val="00A43ED1"/>
    <w:rsid w:val="00A43EE6"/>
    <w:rsid w:val="00A44409"/>
    <w:rsid w:val="00A47B61"/>
    <w:rsid w:val="00A513C5"/>
    <w:rsid w:val="00A5207B"/>
    <w:rsid w:val="00A5211A"/>
    <w:rsid w:val="00A52B34"/>
    <w:rsid w:val="00A52FC8"/>
    <w:rsid w:val="00A5346E"/>
    <w:rsid w:val="00A53C16"/>
    <w:rsid w:val="00A54248"/>
    <w:rsid w:val="00A54E91"/>
    <w:rsid w:val="00A562EC"/>
    <w:rsid w:val="00A57C22"/>
    <w:rsid w:val="00A60442"/>
    <w:rsid w:val="00A62E2E"/>
    <w:rsid w:val="00A63389"/>
    <w:rsid w:val="00A63962"/>
    <w:rsid w:val="00A63E61"/>
    <w:rsid w:val="00A6518B"/>
    <w:rsid w:val="00A65902"/>
    <w:rsid w:val="00A65F78"/>
    <w:rsid w:val="00A67273"/>
    <w:rsid w:val="00A70569"/>
    <w:rsid w:val="00A7061F"/>
    <w:rsid w:val="00A70C5F"/>
    <w:rsid w:val="00A724A2"/>
    <w:rsid w:val="00A73B39"/>
    <w:rsid w:val="00A742C7"/>
    <w:rsid w:val="00A74822"/>
    <w:rsid w:val="00A74E55"/>
    <w:rsid w:val="00A75954"/>
    <w:rsid w:val="00A77306"/>
    <w:rsid w:val="00A80FA6"/>
    <w:rsid w:val="00A82A8A"/>
    <w:rsid w:val="00A835FA"/>
    <w:rsid w:val="00A83D0E"/>
    <w:rsid w:val="00A8464B"/>
    <w:rsid w:val="00A85B66"/>
    <w:rsid w:val="00A86F45"/>
    <w:rsid w:val="00A9211A"/>
    <w:rsid w:val="00A9326D"/>
    <w:rsid w:val="00A953B0"/>
    <w:rsid w:val="00A957FD"/>
    <w:rsid w:val="00A95C6F"/>
    <w:rsid w:val="00A97684"/>
    <w:rsid w:val="00AA000E"/>
    <w:rsid w:val="00AA0853"/>
    <w:rsid w:val="00AA1950"/>
    <w:rsid w:val="00AA264B"/>
    <w:rsid w:val="00AA40EC"/>
    <w:rsid w:val="00AA623A"/>
    <w:rsid w:val="00AB2229"/>
    <w:rsid w:val="00AB3166"/>
    <w:rsid w:val="00AB3649"/>
    <w:rsid w:val="00AB4BF5"/>
    <w:rsid w:val="00AB5F5A"/>
    <w:rsid w:val="00AB77D4"/>
    <w:rsid w:val="00AC028F"/>
    <w:rsid w:val="00AC0BBE"/>
    <w:rsid w:val="00AC2702"/>
    <w:rsid w:val="00AC2964"/>
    <w:rsid w:val="00AC4518"/>
    <w:rsid w:val="00AC5505"/>
    <w:rsid w:val="00AC795B"/>
    <w:rsid w:val="00AC7EF2"/>
    <w:rsid w:val="00AD062B"/>
    <w:rsid w:val="00AD7637"/>
    <w:rsid w:val="00AD7DFF"/>
    <w:rsid w:val="00AE1C8B"/>
    <w:rsid w:val="00AE2118"/>
    <w:rsid w:val="00AE37C4"/>
    <w:rsid w:val="00AE6E69"/>
    <w:rsid w:val="00AE79D4"/>
    <w:rsid w:val="00AE7D82"/>
    <w:rsid w:val="00AF16BD"/>
    <w:rsid w:val="00AF24DA"/>
    <w:rsid w:val="00AF2DDB"/>
    <w:rsid w:val="00AF58A8"/>
    <w:rsid w:val="00AF59E0"/>
    <w:rsid w:val="00AF6624"/>
    <w:rsid w:val="00AF717A"/>
    <w:rsid w:val="00B004C4"/>
    <w:rsid w:val="00B00B16"/>
    <w:rsid w:val="00B01324"/>
    <w:rsid w:val="00B03EA0"/>
    <w:rsid w:val="00B050A6"/>
    <w:rsid w:val="00B06A33"/>
    <w:rsid w:val="00B103F3"/>
    <w:rsid w:val="00B11AF3"/>
    <w:rsid w:val="00B12C9E"/>
    <w:rsid w:val="00B12EDA"/>
    <w:rsid w:val="00B130A7"/>
    <w:rsid w:val="00B13493"/>
    <w:rsid w:val="00B17945"/>
    <w:rsid w:val="00B17E32"/>
    <w:rsid w:val="00B20774"/>
    <w:rsid w:val="00B20957"/>
    <w:rsid w:val="00B231AE"/>
    <w:rsid w:val="00B24E78"/>
    <w:rsid w:val="00B25E17"/>
    <w:rsid w:val="00B26E44"/>
    <w:rsid w:val="00B27903"/>
    <w:rsid w:val="00B30154"/>
    <w:rsid w:val="00B332C2"/>
    <w:rsid w:val="00B33AE7"/>
    <w:rsid w:val="00B34277"/>
    <w:rsid w:val="00B342CF"/>
    <w:rsid w:val="00B376DB"/>
    <w:rsid w:val="00B37CFB"/>
    <w:rsid w:val="00B42EE8"/>
    <w:rsid w:val="00B44247"/>
    <w:rsid w:val="00B450FD"/>
    <w:rsid w:val="00B459CC"/>
    <w:rsid w:val="00B45F8D"/>
    <w:rsid w:val="00B46EDF"/>
    <w:rsid w:val="00B477AF"/>
    <w:rsid w:val="00B51EA0"/>
    <w:rsid w:val="00B5276B"/>
    <w:rsid w:val="00B53D48"/>
    <w:rsid w:val="00B5417E"/>
    <w:rsid w:val="00B55BE0"/>
    <w:rsid w:val="00B55F79"/>
    <w:rsid w:val="00B60167"/>
    <w:rsid w:val="00B60AD1"/>
    <w:rsid w:val="00B61D67"/>
    <w:rsid w:val="00B62B27"/>
    <w:rsid w:val="00B63577"/>
    <w:rsid w:val="00B65A7B"/>
    <w:rsid w:val="00B65F51"/>
    <w:rsid w:val="00B67838"/>
    <w:rsid w:val="00B67B48"/>
    <w:rsid w:val="00B740D6"/>
    <w:rsid w:val="00B74AE1"/>
    <w:rsid w:val="00B74CAC"/>
    <w:rsid w:val="00B76BCE"/>
    <w:rsid w:val="00B76C00"/>
    <w:rsid w:val="00B80E93"/>
    <w:rsid w:val="00B813CA"/>
    <w:rsid w:val="00B81DCA"/>
    <w:rsid w:val="00B82555"/>
    <w:rsid w:val="00B82C31"/>
    <w:rsid w:val="00B82E30"/>
    <w:rsid w:val="00B85347"/>
    <w:rsid w:val="00B873C9"/>
    <w:rsid w:val="00B90235"/>
    <w:rsid w:val="00B903E1"/>
    <w:rsid w:val="00B93843"/>
    <w:rsid w:val="00B94601"/>
    <w:rsid w:val="00B94A10"/>
    <w:rsid w:val="00B95561"/>
    <w:rsid w:val="00B9588A"/>
    <w:rsid w:val="00B9591C"/>
    <w:rsid w:val="00B95CB5"/>
    <w:rsid w:val="00B96A3E"/>
    <w:rsid w:val="00BA0B33"/>
    <w:rsid w:val="00BA0D69"/>
    <w:rsid w:val="00BA11F2"/>
    <w:rsid w:val="00BA1BFB"/>
    <w:rsid w:val="00BA1D3C"/>
    <w:rsid w:val="00BA2D1E"/>
    <w:rsid w:val="00BA3AC6"/>
    <w:rsid w:val="00BA5385"/>
    <w:rsid w:val="00BA5DC2"/>
    <w:rsid w:val="00BA6AD4"/>
    <w:rsid w:val="00BA7BA1"/>
    <w:rsid w:val="00BB15FF"/>
    <w:rsid w:val="00BB1735"/>
    <w:rsid w:val="00BB1C2D"/>
    <w:rsid w:val="00BB4AEC"/>
    <w:rsid w:val="00BB6FFD"/>
    <w:rsid w:val="00BB7F17"/>
    <w:rsid w:val="00BC023B"/>
    <w:rsid w:val="00BC25E5"/>
    <w:rsid w:val="00BC29C9"/>
    <w:rsid w:val="00BC3398"/>
    <w:rsid w:val="00BC36EC"/>
    <w:rsid w:val="00BC572A"/>
    <w:rsid w:val="00BC6013"/>
    <w:rsid w:val="00BC7E55"/>
    <w:rsid w:val="00BD707E"/>
    <w:rsid w:val="00BE1DB9"/>
    <w:rsid w:val="00BE3CBC"/>
    <w:rsid w:val="00BE4CC4"/>
    <w:rsid w:val="00BF0988"/>
    <w:rsid w:val="00BF0A36"/>
    <w:rsid w:val="00BF0C4C"/>
    <w:rsid w:val="00BF1E6C"/>
    <w:rsid w:val="00BF1F25"/>
    <w:rsid w:val="00BF265E"/>
    <w:rsid w:val="00BF5311"/>
    <w:rsid w:val="00BF71DD"/>
    <w:rsid w:val="00BF75C2"/>
    <w:rsid w:val="00C00895"/>
    <w:rsid w:val="00C01448"/>
    <w:rsid w:val="00C024F2"/>
    <w:rsid w:val="00C02B6B"/>
    <w:rsid w:val="00C03251"/>
    <w:rsid w:val="00C07892"/>
    <w:rsid w:val="00C104EA"/>
    <w:rsid w:val="00C10A64"/>
    <w:rsid w:val="00C116A8"/>
    <w:rsid w:val="00C13E02"/>
    <w:rsid w:val="00C16628"/>
    <w:rsid w:val="00C20157"/>
    <w:rsid w:val="00C21A5A"/>
    <w:rsid w:val="00C21C22"/>
    <w:rsid w:val="00C239CF"/>
    <w:rsid w:val="00C24EEE"/>
    <w:rsid w:val="00C260CE"/>
    <w:rsid w:val="00C3065F"/>
    <w:rsid w:val="00C31766"/>
    <w:rsid w:val="00C3299F"/>
    <w:rsid w:val="00C33776"/>
    <w:rsid w:val="00C349F7"/>
    <w:rsid w:val="00C3543A"/>
    <w:rsid w:val="00C3567F"/>
    <w:rsid w:val="00C35DF0"/>
    <w:rsid w:val="00C36FBC"/>
    <w:rsid w:val="00C379E9"/>
    <w:rsid w:val="00C4050A"/>
    <w:rsid w:val="00C434E3"/>
    <w:rsid w:val="00C44778"/>
    <w:rsid w:val="00C44885"/>
    <w:rsid w:val="00C44984"/>
    <w:rsid w:val="00C5270F"/>
    <w:rsid w:val="00C527B1"/>
    <w:rsid w:val="00C5299A"/>
    <w:rsid w:val="00C5354C"/>
    <w:rsid w:val="00C537F0"/>
    <w:rsid w:val="00C53ED0"/>
    <w:rsid w:val="00C544EC"/>
    <w:rsid w:val="00C549BB"/>
    <w:rsid w:val="00C566F8"/>
    <w:rsid w:val="00C614D8"/>
    <w:rsid w:val="00C6248A"/>
    <w:rsid w:val="00C63E1C"/>
    <w:rsid w:val="00C65508"/>
    <w:rsid w:val="00C674B0"/>
    <w:rsid w:val="00C70183"/>
    <w:rsid w:val="00C713D5"/>
    <w:rsid w:val="00C71802"/>
    <w:rsid w:val="00C726E8"/>
    <w:rsid w:val="00C72ABB"/>
    <w:rsid w:val="00C7363D"/>
    <w:rsid w:val="00C75309"/>
    <w:rsid w:val="00C75C2A"/>
    <w:rsid w:val="00C7606A"/>
    <w:rsid w:val="00C764CD"/>
    <w:rsid w:val="00C77A62"/>
    <w:rsid w:val="00C81949"/>
    <w:rsid w:val="00C84B82"/>
    <w:rsid w:val="00C85528"/>
    <w:rsid w:val="00C85F08"/>
    <w:rsid w:val="00C872CF"/>
    <w:rsid w:val="00C901A5"/>
    <w:rsid w:val="00C90B30"/>
    <w:rsid w:val="00C9181D"/>
    <w:rsid w:val="00C91C4E"/>
    <w:rsid w:val="00C924D7"/>
    <w:rsid w:val="00C926B2"/>
    <w:rsid w:val="00C930F1"/>
    <w:rsid w:val="00C93294"/>
    <w:rsid w:val="00C9403C"/>
    <w:rsid w:val="00CA0BC9"/>
    <w:rsid w:val="00CA1530"/>
    <w:rsid w:val="00CA1F8C"/>
    <w:rsid w:val="00CA27FA"/>
    <w:rsid w:val="00CA3E63"/>
    <w:rsid w:val="00CA4352"/>
    <w:rsid w:val="00CA661A"/>
    <w:rsid w:val="00CA77C7"/>
    <w:rsid w:val="00CB1819"/>
    <w:rsid w:val="00CB28B0"/>
    <w:rsid w:val="00CB2FA9"/>
    <w:rsid w:val="00CB338A"/>
    <w:rsid w:val="00CB3498"/>
    <w:rsid w:val="00CB4262"/>
    <w:rsid w:val="00CB4273"/>
    <w:rsid w:val="00CB61A7"/>
    <w:rsid w:val="00CB6FCC"/>
    <w:rsid w:val="00CB70B0"/>
    <w:rsid w:val="00CC09FA"/>
    <w:rsid w:val="00CC0D2A"/>
    <w:rsid w:val="00CC4814"/>
    <w:rsid w:val="00CC48FD"/>
    <w:rsid w:val="00CC544B"/>
    <w:rsid w:val="00CC68CC"/>
    <w:rsid w:val="00CC70FB"/>
    <w:rsid w:val="00CC73E2"/>
    <w:rsid w:val="00CD06AF"/>
    <w:rsid w:val="00CD0B79"/>
    <w:rsid w:val="00CD1746"/>
    <w:rsid w:val="00CD1793"/>
    <w:rsid w:val="00CD1A57"/>
    <w:rsid w:val="00CD1A7B"/>
    <w:rsid w:val="00CD1C33"/>
    <w:rsid w:val="00CD2BF9"/>
    <w:rsid w:val="00CD35F2"/>
    <w:rsid w:val="00CD3B89"/>
    <w:rsid w:val="00CD3EEB"/>
    <w:rsid w:val="00CE4D81"/>
    <w:rsid w:val="00CE57E6"/>
    <w:rsid w:val="00CE580C"/>
    <w:rsid w:val="00CE5A62"/>
    <w:rsid w:val="00CE7BB6"/>
    <w:rsid w:val="00CF760B"/>
    <w:rsid w:val="00CF79A0"/>
    <w:rsid w:val="00D00B5C"/>
    <w:rsid w:val="00D013C8"/>
    <w:rsid w:val="00D022D2"/>
    <w:rsid w:val="00D03439"/>
    <w:rsid w:val="00D037FE"/>
    <w:rsid w:val="00D04127"/>
    <w:rsid w:val="00D0463F"/>
    <w:rsid w:val="00D0738F"/>
    <w:rsid w:val="00D10559"/>
    <w:rsid w:val="00D15114"/>
    <w:rsid w:val="00D164FC"/>
    <w:rsid w:val="00D16828"/>
    <w:rsid w:val="00D16C60"/>
    <w:rsid w:val="00D16E1E"/>
    <w:rsid w:val="00D17725"/>
    <w:rsid w:val="00D200E8"/>
    <w:rsid w:val="00D20A82"/>
    <w:rsid w:val="00D22228"/>
    <w:rsid w:val="00D230DA"/>
    <w:rsid w:val="00D232F0"/>
    <w:rsid w:val="00D2334B"/>
    <w:rsid w:val="00D23EF1"/>
    <w:rsid w:val="00D24345"/>
    <w:rsid w:val="00D24BC4"/>
    <w:rsid w:val="00D262A7"/>
    <w:rsid w:val="00D266AF"/>
    <w:rsid w:val="00D2736F"/>
    <w:rsid w:val="00D31000"/>
    <w:rsid w:val="00D3161A"/>
    <w:rsid w:val="00D31C00"/>
    <w:rsid w:val="00D31C91"/>
    <w:rsid w:val="00D3246B"/>
    <w:rsid w:val="00D332E0"/>
    <w:rsid w:val="00D33418"/>
    <w:rsid w:val="00D35129"/>
    <w:rsid w:val="00D35283"/>
    <w:rsid w:val="00D35981"/>
    <w:rsid w:val="00D365FC"/>
    <w:rsid w:val="00D405DC"/>
    <w:rsid w:val="00D40BED"/>
    <w:rsid w:val="00D42332"/>
    <w:rsid w:val="00D44E76"/>
    <w:rsid w:val="00D47A30"/>
    <w:rsid w:val="00D50791"/>
    <w:rsid w:val="00D508E5"/>
    <w:rsid w:val="00D52026"/>
    <w:rsid w:val="00D529D9"/>
    <w:rsid w:val="00D53E4C"/>
    <w:rsid w:val="00D54213"/>
    <w:rsid w:val="00D61273"/>
    <w:rsid w:val="00D631F9"/>
    <w:rsid w:val="00D640D6"/>
    <w:rsid w:val="00D65583"/>
    <w:rsid w:val="00D6667F"/>
    <w:rsid w:val="00D66923"/>
    <w:rsid w:val="00D66E7D"/>
    <w:rsid w:val="00D66FDC"/>
    <w:rsid w:val="00D67FB4"/>
    <w:rsid w:val="00D7019B"/>
    <w:rsid w:val="00D703E9"/>
    <w:rsid w:val="00D71F31"/>
    <w:rsid w:val="00D7221A"/>
    <w:rsid w:val="00D72257"/>
    <w:rsid w:val="00D7311D"/>
    <w:rsid w:val="00D73635"/>
    <w:rsid w:val="00D73B1A"/>
    <w:rsid w:val="00D75566"/>
    <w:rsid w:val="00D7557C"/>
    <w:rsid w:val="00D759FE"/>
    <w:rsid w:val="00D7638C"/>
    <w:rsid w:val="00D76B5B"/>
    <w:rsid w:val="00D76E49"/>
    <w:rsid w:val="00D77BEA"/>
    <w:rsid w:val="00D77ED9"/>
    <w:rsid w:val="00D802BC"/>
    <w:rsid w:val="00D80DED"/>
    <w:rsid w:val="00D82EC8"/>
    <w:rsid w:val="00D833BA"/>
    <w:rsid w:val="00D8412B"/>
    <w:rsid w:val="00D8701D"/>
    <w:rsid w:val="00D873DC"/>
    <w:rsid w:val="00D879D3"/>
    <w:rsid w:val="00D9002E"/>
    <w:rsid w:val="00D909BD"/>
    <w:rsid w:val="00D94552"/>
    <w:rsid w:val="00D9548D"/>
    <w:rsid w:val="00D955BE"/>
    <w:rsid w:val="00D95ABE"/>
    <w:rsid w:val="00D96657"/>
    <w:rsid w:val="00D96ADF"/>
    <w:rsid w:val="00D96C83"/>
    <w:rsid w:val="00DA04A6"/>
    <w:rsid w:val="00DA1213"/>
    <w:rsid w:val="00DA2E8A"/>
    <w:rsid w:val="00DA3D1E"/>
    <w:rsid w:val="00DA796D"/>
    <w:rsid w:val="00DB0740"/>
    <w:rsid w:val="00DB0A83"/>
    <w:rsid w:val="00DB0ECD"/>
    <w:rsid w:val="00DB13AF"/>
    <w:rsid w:val="00DB2C0C"/>
    <w:rsid w:val="00DB5DD3"/>
    <w:rsid w:val="00DC0B4A"/>
    <w:rsid w:val="00DC13F0"/>
    <w:rsid w:val="00DC3571"/>
    <w:rsid w:val="00DC3D13"/>
    <w:rsid w:val="00DC5863"/>
    <w:rsid w:val="00DC58A2"/>
    <w:rsid w:val="00DD133D"/>
    <w:rsid w:val="00DD36BB"/>
    <w:rsid w:val="00DD56BE"/>
    <w:rsid w:val="00DD68FF"/>
    <w:rsid w:val="00DD7914"/>
    <w:rsid w:val="00DE0041"/>
    <w:rsid w:val="00DE2130"/>
    <w:rsid w:val="00DE2872"/>
    <w:rsid w:val="00DE3FEF"/>
    <w:rsid w:val="00DE4F66"/>
    <w:rsid w:val="00DE504F"/>
    <w:rsid w:val="00DE6297"/>
    <w:rsid w:val="00DF2D16"/>
    <w:rsid w:val="00DF2F76"/>
    <w:rsid w:val="00DF4D67"/>
    <w:rsid w:val="00DF4EF8"/>
    <w:rsid w:val="00DF4F24"/>
    <w:rsid w:val="00DF5787"/>
    <w:rsid w:val="00DF5AB9"/>
    <w:rsid w:val="00DF6299"/>
    <w:rsid w:val="00DF64BE"/>
    <w:rsid w:val="00DF6718"/>
    <w:rsid w:val="00DF753A"/>
    <w:rsid w:val="00DF7DBB"/>
    <w:rsid w:val="00E00E1B"/>
    <w:rsid w:val="00E01628"/>
    <w:rsid w:val="00E01F4E"/>
    <w:rsid w:val="00E1312D"/>
    <w:rsid w:val="00E138C7"/>
    <w:rsid w:val="00E15856"/>
    <w:rsid w:val="00E15E23"/>
    <w:rsid w:val="00E17C0A"/>
    <w:rsid w:val="00E20441"/>
    <w:rsid w:val="00E2152D"/>
    <w:rsid w:val="00E219FC"/>
    <w:rsid w:val="00E21DE8"/>
    <w:rsid w:val="00E2223A"/>
    <w:rsid w:val="00E25E3B"/>
    <w:rsid w:val="00E25EF2"/>
    <w:rsid w:val="00E3223D"/>
    <w:rsid w:val="00E3230E"/>
    <w:rsid w:val="00E3251A"/>
    <w:rsid w:val="00E32AF4"/>
    <w:rsid w:val="00E34E0F"/>
    <w:rsid w:val="00E365D6"/>
    <w:rsid w:val="00E36FB7"/>
    <w:rsid w:val="00E37DDF"/>
    <w:rsid w:val="00E4459D"/>
    <w:rsid w:val="00E44CF8"/>
    <w:rsid w:val="00E5040D"/>
    <w:rsid w:val="00E5067C"/>
    <w:rsid w:val="00E50CEC"/>
    <w:rsid w:val="00E5106E"/>
    <w:rsid w:val="00E51081"/>
    <w:rsid w:val="00E5110C"/>
    <w:rsid w:val="00E533A8"/>
    <w:rsid w:val="00E53C8A"/>
    <w:rsid w:val="00E55984"/>
    <w:rsid w:val="00E56251"/>
    <w:rsid w:val="00E56825"/>
    <w:rsid w:val="00E60638"/>
    <w:rsid w:val="00E60837"/>
    <w:rsid w:val="00E61A00"/>
    <w:rsid w:val="00E63351"/>
    <w:rsid w:val="00E66BB5"/>
    <w:rsid w:val="00E6716A"/>
    <w:rsid w:val="00E70C66"/>
    <w:rsid w:val="00E70F83"/>
    <w:rsid w:val="00E71682"/>
    <w:rsid w:val="00E73852"/>
    <w:rsid w:val="00E74534"/>
    <w:rsid w:val="00E74C8B"/>
    <w:rsid w:val="00E75478"/>
    <w:rsid w:val="00E76019"/>
    <w:rsid w:val="00E762DB"/>
    <w:rsid w:val="00E76E94"/>
    <w:rsid w:val="00E778BA"/>
    <w:rsid w:val="00E812CF"/>
    <w:rsid w:val="00E83240"/>
    <w:rsid w:val="00E86211"/>
    <w:rsid w:val="00E87735"/>
    <w:rsid w:val="00E8799A"/>
    <w:rsid w:val="00E9002E"/>
    <w:rsid w:val="00E903E7"/>
    <w:rsid w:val="00E9224E"/>
    <w:rsid w:val="00E93828"/>
    <w:rsid w:val="00E94998"/>
    <w:rsid w:val="00E94C65"/>
    <w:rsid w:val="00E94F6F"/>
    <w:rsid w:val="00E96604"/>
    <w:rsid w:val="00EA018F"/>
    <w:rsid w:val="00EA0C33"/>
    <w:rsid w:val="00EA0F5B"/>
    <w:rsid w:val="00EA23C8"/>
    <w:rsid w:val="00EA390F"/>
    <w:rsid w:val="00EA6A3C"/>
    <w:rsid w:val="00EA7589"/>
    <w:rsid w:val="00EB0F97"/>
    <w:rsid w:val="00EB1871"/>
    <w:rsid w:val="00EB2077"/>
    <w:rsid w:val="00EB43C9"/>
    <w:rsid w:val="00EB51D6"/>
    <w:rsid w:val="00EB52B8"/>
    <w:rsid w:val="00EB54EC"/>
    <w:rsid w:val="00EB5575"/>
    <w:rsid w:val="00EB59EF"/>
    <w:rsid w:val="00EB6734"/>
    <w:rsid w:val="00EB6DDC"/>
    <w:rsid w:val="00EC038C"/>
    <w:rsid w:val="00EC1D73"/>
    <w:rsid w:val="00EC2874"/>
    <w:rsid w:val="00EC2981"/>
    <w:rsid w:val="00EC2AD1"/>
    <w:rsid w:val="00EC2B17"/>
    <w:rsid w:val="00EC6409"/>
    <w:rsid w:val="00EC6F7D"/>
    <w:rsid w:val="00ED1167"/>
    <w:rsid w:val="00ED20C0"/>
    <w:rsid w:val="00ED22C9"/>
    <w:rsid w:val="00ED22FA"/>
    <w:rsid w:val="00ED3D86"/>
    <w:rsid w:val="00ED5C99"/>
    <w:rsid w:val="00ED77F6"/>
    <w:rsid w:val="00EE122A"/>
    <w:rsid w:val="00EE15AE"/>
    <w:rsid w:val="00EE29F8"/>
    <w:rsid w:val="00EE452F"/>
    <w:rsid w:val="00EE5200"/>
    <w:rsid w:val="00EE5E64"/>
    <w:rsid w:val="00EF0231"/>
    <w:rsid w:val="00EF1C72"/>
    <w:rsid w:val="00EF1D55"/>
    <w:rsid w:val="00EF211D"/>
    <w:rsid w:val="00EF28B0"/>
    <w:rsid w:val="00EF4DFE"/>
    <w:rsid w:val="00EF5596"/>
    <w:rsid w:val="00EF6211"/>
    <w:rsid w:val="00EF6947"/>
    <w:rsid w:val="00EF7755"/>
    <w:rsid w:val="00F01BF1"/>
    <w:rsid w:val="00F02076"/>
    <w:rsid w:val="00F034BE"/>
    <w:rsid w:val="00F0392D"/>
    <w:rsid w:val="00F0553B"/>
    <w:rsid w:val="00F075E6"/>
    <w:rsid w:val="00F07A0C"/>
    <w:rsid w:val="00F1284A"/>
    <w:rsid w:val="00F140D5"/>
    <w:rsid w:val="00F15BAE"/>
    <w:rsid w:val="00F172BE"/>
    <w:rsid w:val="00F17D5C"/>
    <w:rsid w:val="00F20820"/>
    <w:rsid w:val="00F22288"/>
    <w:rsid w:val="00F22DF7"/>
    <w:rsid w:val="00F238DB"/>
    <w:rsid w:val="00F30EC2"/>
    <w:rsid w:val="00F328CF"/>
    <w:rsid w:val="00F358BF"/>
    <w:rsid w:val="00F35C8C"/>
    <w:rsid w:val="00F37A25"/>
    <w:rsid w:val="00F40203"/>
    <w:rsid w:val="00F40F52"/>
    <w:rsid w:val="00F41EF7"/>
    <w:rsid w:val="00F42865"/>
    <w:rsid w:val="00F432C6"/>
    <w:rsid w:val="00F4421B"/>
    <w:rsid w:val="00F4585A"/>
    <w:rsid w:val="00F45C7F"/>
    <w:rsid w:val="00F5005D"/>
    <w:rsid w:val="00F50107"/>
    <w:rsid w:val="00F512F2"/>
    <w:rsid w:val="00F52C8E"/>
    <w:rsid w:val="00F538FD"/>
    <w:rsid w:val="00F54400"/>
    <w:rsid w:val="00F55EFC"/>
    <w:rsid w:val="00F57807"/>
    <w:rsid w:val="00F6073B"/>
    <w:rsid w:val="00F60CFA"/>
    <w:rsid w:val="00F60FC5"/>
    <w:rsid w:val="00F6353A"/>
    <w:rsid w:val="00F64672"/>
    <w:rsid w:val="00F6791D"/>
    <w:rsid w:val="00F6794B"/>
    <w:rsid w:val="00F7112D"/>
    <w:rsid w:val="00F715EF"/>
    <w:rsid w:val="00F71643"/>
    <w:rsid w:val="00F7259F"/>
    <w:rsid w:val="00F73914"/>
    <w:rsid w:val="00F7520A"/>
    <w:rsid w:val="00F7694B"/>
    <w:rsid w:val="00F76A10"/>
    <w:rsid w:val="00F77DFA"/>
    <w:rsid w:val="00F8196F"/>
    <w:rsid w:val="00F84D43"/>
    <w:rsid w:val="00F86A87"/>
    <w:rsid w:val="00F870DC"/>
    <w:rsid w:val="00F873D1"/>
    <w:rsid w:val="00F906CB"/>
    <w:rsid w:val="00F93ABE"/>
    <w:rsid w:val="00F967C7"/>
    <w:rsid w:val="00F972FE"/>
    <w:rsid w:val="00F97D48"/>
    <w:rsid w:val="00FA088A"/>
    <w:rsid w:val="00FA0B85"/>
    <w:rsid w:val="00FA1206"/>
    <w:rsid w:val="00FA3249"/>
    <w:rsid w:val="00FA4CD2"/>
    <w:rsid w:val="00FA54F4"/>
    <w:rsid w:val="00FA7B77"/>
    <w:rsid w:val="00FA7D48"/>
    <w:rsid w:val="00FB056F"/>
    <w:rsid w:val="00FB33A5"/>
    <w:rsid w:val="00FB362B"/>
    <w:rsid w:val="00FB3700"/>
    <w:rsid w:val="00FB3D41"/>
    <w:rsid w:val="00FB4311"/>
    <w:rsid w:val="00FB697E"/>
    <w:rsid w:val="00FB795E"/>
    <w:rsid w:val="00FC11BE"/>
    <w:rsid w:val="00FC23FB"/>
    <w:rsid w:val="00FC247A"/>
    <w:rsid w:val="00FC3BAA"/>
    <w:rsid w:val="00FC4189"/>
    <w:rsid w:val="00FC5237"/>
    <w:rsid w:val="00FC52B8"/>
    <w:rsid w:val="00FC5F90"/>
    <w:rsid w:val="00FD0B9C"/>
    <w:rsid w:val="00FD277B"/>
    <w:rsid w:val="00FD35FA"/>
    <w:rsid w:val="00FD4547"/>
    <w:rsid w:val="00FD4AFD"/>
    <w:rsid w:val="00FD51A3"/>
    <w:rsid w:val="00FD5EC4"/>
    <w:rsid w:val="00FD5F31"/>
    <w:rsid w:val="00FD600D"/>
    <w:rsid w:val="00FE1599"/>
    <w:rsid w:val="00FE273E"/>
    <w:rsid w:val="00FE2C9A"/>
    <w:rsid w:val="00FE322B"/>
    <w:rsid w:val="00FE3EEF"/>
    <w:rsid w:val="00FE3F12"/>
    <w:rsid w:val="00FE3F25"/>
    <w:rsid w:val="00FE4DBA"/>
    <w:rsid w:val="00FE75B5"/>
    <w:rsid w:val="00FF1362"/>
    <w:rsid w:val="00FF1686"/>
    <w:rsid w:val="00FF2828"/>
    <w:rsid w:val="00FF3509"/>
    <w:rsid w:val="00FF5CE6"/>
    <w:rsid w:val="00FF621D"/>
    <w:rsid w:val="00FF690A"/>
    <w:rsid w:val="00FF7EF7"/>
    <w:rsid w:val="0108647F"/>
    <w:rsid w:val="01242B97"/>
    <w:rsid w:val="01443004"/>
    <w:rsid w:val="0149071E"/>
    <w:rsid w:val="015E3A3B"/>
    <w:rsid w:val="017964A9"/>
    <w:rsid w:val="01996FC1"/>
    <w:rsid w:val="019C4149"/>
    <w:rsid w:val="01BA5102"/>
    <w:rsid w:val="01BC4DAE"/>
    <w:rsid w:val="02013B5B"/>
    <w:rsid w:val="021D656C"/>
    <w:rsid w:val="02485075"/>
    <w:rsid w:val="024D768C"/>
    <w:rsid w:val="026815E4"/>
    <w:rsid w:val="02817194"/>
    <w:rsid w:val="02860313"/>
    <w:rsid w:val="029268E0"/>
    <w:rsid w:val="02B51262"/>
    <w:rsid w:val="02C910D6"/>
    <w:rsid w:val="02E33A9D"/>
    <w:rsid w:val="02F472CF"/>
    <w:rsid w:val="02FD5A42"/>
    <w:rsid w:val="02FF4EEA"/>
    <w:rsid w:val="03197B3C"/>
    <w:rsid w:val="036B29A7"/>
    <w:rsid w:val="038E3DE1"/>
    <w:rsid w:val="03A31238"/>
    <w:rsid w:val="03A83FB4"/>
    <w:rsid w:val="03B95609"/>
    <w:rsid w:val="03BD361F"/>
    <w:rsid w:val="03E944AB"/>
    <w:rsid w:val="045734E9"/>
    <w:rsid w:val="048B3E14"/>
    <w:rsid w:val="04A859D9"/>
    <w:rsid w:val="04CC765A"/>
    <w:rsid w:val="04D11DD0"/>
    <w:rsid w:val="04E04747"/>
    <w:rsid w:val="05036B30"/>
    <w:rsid w:val="051D27ED"/>
    <w:rsid w:val="051E0EED"/>
    <w:rsid w:val="052C7985"/>
    <w:rsid w:val="05397005"/>
    <w:rsid w:val="05541983"/>
    <w:rsid w:val="055E5928"/>
    <w:rsid w:val="056A01C4"/>
    <w:rsid w:val="058F5787"/>
    <w:rsid w:val="05BD07EA"/>
    <w:rsid w:val="05C65AF1"/>
    <w:rsid w:val="05F51BD4"/>
    <w:rsid w:val="05F84F04"/>
    <w:rsid w:val="05FC3ECD"/>
    <w:rsid w:val="06022A2D"/>
    <w:rsid w:val="0627678C"/>
    <w:rsid w:val="06364DF6"/>
    <w:rsid w:val="06525A6F"/>
    <w:rsid w:val="066820CF"/>
    <w:rsid w:val="06A3745D"/>
    <w:rsid w:val="06A85C49"/>
    <w:rsid w:val="06CB11A6"/>
    <w:rsid w:val="06DB4EFA"/>
    <w:rsid w:val="071B239F"/>
    <w:rsid w:val="079314E2"/>
    <w:rsid w:val="0797412C"/>
    <w:rsid w:val="07A53EA2"/>
    <w:rsid w:val="07C541BE"/>
    <w:rsid w:val="081B1CFB"/>
    <w:rsid w:val="081C4F49"/>
    <w:rsid w:val="086F5437"/>
    <w:rsid w:val="08971593"/>
    <w:rsid w:val="08971C56"/>
    <w:rsid w:val="08986B18"/>
    <w:rsid w:val="089D188E"/>
    <w:rsid w:val="08E36401"/>
    <w:rsid w:val="090C68E1"/>
    <w:rsid w:val="09200547"/>
    <w:rsid w:val="09296AB4"/>
    <w:rsid w:val="0936071C"/>
    <w:rsid w:val="09366598"/>
    <w:rsid w:val="093C72B1"/>
    <w:rsid w:val="09404F53"/>
    <w:rsid w:val="09832117"/>
    <w:rsid w:val="09C54723"/>
    <w:rsid w:val="09F3797E"/>
    <w:rsid w:val="09FE71CA"/>
    <w:rsid w:val="0A1E0336"/>
    <w:rsid w:val="0A5B7993"/>
    <w:rsid w:val="0A6510C2"/>
    <w:rsid w:val="0A6B43FA"/>
    <w:rsid w:val="0A752525"/>
    <w:rsid w:val="0A7D73CF"/>
    <w:rsid w:val="0AC6783F"/>
    <w:rsid w:val="0AE015E2"/>
    <w:rsid w:val="0B5A2860"/>
    <w:rsid w:val="0B7C1DFC"/>
    <w:rsid w:val="0B80619A"/>
    <w:rsid w:val="0B91235B"/>
    <w:rsid w:val="0BA66A88"/>
    <w:rsid w:val="0BC30206"/>
    <w:rsid w:val="0BCA3809"/>
    <w:rsid w:val="0BDE2C73"/>
    <w:rsid w:val="0BE47F61"/>
    <w:rsid w:val="0C0E4327"/>
    <w:rsid w:val="0C442023"/>
    <w:rsid w:val="0C764F66"/>
    <w:rsid w:val="0C78584F"/>
    <w:rsid w:val="0CEF4FFA"/>
    <w:rsid w:val="0CF51BF3"/>
    <w:rsid w:val="0D1F2AC7"/>
    <w:rsid w:val="0D4161D6"/>
    <w:rsid w:val="0D5F0C35"/>
    <w:rsid w:val="0D651073"/>
    <w:rsid w:val="0D98113F"/>
    <w:rsid w:val="0DA73B86"/>
    <w:rsid w:val="0DD84583"/>
    <w:rsid w:val="0E036F7D"/>
    <w:rsid w:val="0E0E2616"/>
    <w:rsid w:val="0E1D2431"/>
    <w:rsid w:val="0E6E1577"/>
    <w:rsid w:val="0E757792"/>
    <w:rsid w:val="0ED5398D"/>
    <w:rsid w:val="0EDC4477"/>
    <w:rsid w:val="0EDD5F2B"/>
    <w:rsid w:val="0F0F7B37"/>
    <w:rsid w:val="0F1F63BF"/>
    <w:rsid w:val="0F390336"/>
    <w:rsid w:val="0F520A09"/>
    <w:rsid w:val="0F59008A"/>
    <w:rsid w:val="0F616109"/>
    <w:rsid w:val="0FA751D8"/>
    <w:rsid w:val="0FD359B9"/>
    <w:rsid w:val="0FDA0251"/>
    <w:rsid w:val="0FF4582F"/>
    <w:rsid w:val="100A14E3"/>
    <w:rsid w:val="102449F6"/>
    <w:rsid w:val="102A0764"/>
    <w:rsid w:val="102F2633"/>
    <w:rsid w:val="10436635"/>
    <w:rsid w:val="108C58FC"/>
    <w:rsid w:val="10DB1532"/>
    <w:rsid w:val="10EB59A7"/>
    <w:rsid w:val="11171289"/>
    <w:rsid w:val="112137E7"/>
    <w:rsid w:val="1154496C"/>
    <w:rsid w:val="11667AAD"/>
    <w:rsid w:val="11B159CB"/>
    <w:rsid w:val="11B84B36"/>
    <w:rsid w:val="11F2404A"/>
    <w:rsid w:val="1202616C"/>
    <w:rsid w:val="122F0942"/>
    <w:rsid w:val="12457F15"/>
    <w:rsid w:val="124608DE"/>
    <w:rsid w:val="124779E4"/>
    <w:rsid w:val="12477A61"/>
    <w:rsid w:val="126C2CAD"/>
    <w:rsid w:val="129D4DE6"/>
    <w:rsid w:val="12B45379"/>
    <w:rsid w:val="12DC62C0"/>
    <w:rsid w:val="12E80F52"/>
    <w:rsid w:val="12FC5163"/>
    <w:rsid w:val="130F304C"/>
    <w:rsid w:val="13200581"/>
    <w:rsid w:val="139871D0"/>
    <w:rsid w:val="13AF4099"/>
    <w:rsid w:val="13B17070"/>
    <w:rsid w:val="13D600B4"/>
    <w:rsid w:val="13D653E9"/>
    <w:rsid w:val="13F43368"/>
    <w:rsid w:val="13FA141C"/>
    <w:rsid w:val="140E5F99"/>
    <w:rsid w:val="141A2D35"/>
    <w:rsid w:val="143E6954"/>
    <w:rsid w:val="14432EB8"/>
    <w:rsid w:val="149916E5"/>
    <w:rsid w:val="151F2E24"/>
    <w:rsid w:val="15460BDD"/>
    <w:rsid w:val="156A01D3"/>
    <w:rsid w:val="158B35E9"/>
    <w:rsid w:val="15A63561"/>
    <w:rsid w:val="15B53B9F"/>
    <w:rsid w:val="15BE7CAB"/>
    <w:rsid w:val="15D5355B"/>
    <w:rsid w:val="15DA6E9E"/>
    <w:rsid w:val="15E04E5A"/>
    <w:rsid w:val="15F905BA"/>
    <w:rsid w:val="160A5CEF"/>
    <w:rsid w:val="16212955"/>
    <w:rsid w:val="163E3747"/>
    <w:rsid w:val="16456CC4"/>
    <w:rsid w:val="16531805"/>
    <w:rsid w:val="16984A05"/>
    <w:rsid w:val="16AB3ED9"/>
    <w:rsid w:val="16BC62B8"/>
    <w:rsid w:val="16E8527E"/>
    <w:rsid w:val="17125301"/>
    <w:rsid w:val="171D1F4E"/>
    <w:rsid w:val="17286204"/>
    <w:rsid w:val="17583913"/>
    <w:rsid w:val="1771724D"/>
    <w:rsid w:val="17935A31"/>
    <w:rsid w:val="17993FD1"/>
    <w:rsid w:val="17C64A09"/>
    <w:rsid w:val="17DB2EE0"/>
    <w:rsid w:val="17E2473E"/>
    <w:rsid w:val="17F47BED"/>
    <w:rsid w:val="17F67C40"/>
    <w:rsid w:val="17F779DA"/>
    <w:rsid w:val="18117495"/>
    <w:rsid w:val="181548D3"/>
    <w:rsid w:val="18435EB9"/>
    <w:rsid w:val="18520AC3"/>
    <w:rsid w:val="18826DA1"/>
    <w:rsid w:val="18891CD8"/>
    <w:rsid w:val="18A53C62"/>
    <w:rsid w:val="18B175CE"/>
    <w:rsid w:val="19251DDD"/>
    <w:rsid w:val="19270435"/>
    <w:rsid w:val="192B0F35"/>
    <w:rsid w:val="19717A60"/>
    <w:rsid w:val="197B3D12"/>
    <w:rsid w:val="1982122A"/>
    <w:rsid w:val="198928A5"/>
    <w:rsid w:val="19D91D07"/>
    <w:rsid w:val="1A323497"/>
    <w:rsid w:val="1A3C0102"/>
    <w:rsid w:val="1A5E10C1"/>
    <w:rsid w:val="1A5F22FE"/>
    <w:rsid w:val="1A66238D"/>
    <w:rsid w:val="1A7018B1"/>
    <w:rsid w:val="1A7C5346"/>
    <w:rsid w:val="1A893033"/>
    <w:rsid w:val="1AB77DC3"/>
    <w:rsid w:val="1AC7392A"/>
    <w:rsid w:val="1AF444A6"/>
    <w:rsid w:val="1B9A0095"/>
    <w:rsid w:val="1B9D5AAC"/>
    <w:rsid w:val="1BA66F4F"/>
    <w:rsid w:val="1BC67F80"/>
    <w:rsid w:val="1BC964B7"/>
    <w:rsid w:val="1BD52663"/>
    <w:rsid w:val="1C05313C"/>
    <w:rsid w:val="1C2166EA"/>
    <w:rsid w:val="1C7604A2"/>
    <w:rsid w:val="1C9112ED"/>
    <w:rsid w:val="1CDD743E"/>
    <w:rsid w:val="1D010E4D"/>
    <w:rsid w:val="1D155885"/>
    <w:rsid w:val="1D5948A7"/>
    <w:rsid w:val="1D6C768D"/>
    <w:rsid w:val="1D846F1C"/>
    <w:rsid w:val="1DB24D34"/>
    <w:rsid w:val="1DD25EBA"/>
    <w:rsid w:val="1DF203AA"/>
    <w:rsid w:val="1E234579"/>
    <w:rsid w:val="1E350312"/>
    <w:rsid w:val="1E48470A"/>
    <w:rsid w:val="1E8E117C"/>
    <w:rsid w:val="1E9F6ABA"/>
    <w:rsid w:val="1EB548EA"/>
    <w:rsid w:val="1EBB6992"/>
    <w:rsid w:val="1EC401B0"/>
    <w:rsid w:val="1EDA4D0D"/>
    <w:rsid w:val="1EDB3B74"/>
    <w:rsid w:val="1EF04B90"/>
    <w:rsid w:val="1F095979"/>
    <w:rsid w:val="1F0C0B3D"/>
    <w:rsid w:val="1F1C5A02"/>
    <w:rsid w:val="1F29051A"/>
    <w:rsid w:val="1F3B7BA0"/>
    <w:rsid w:val="1F63167A"/>
    <w:rsid w:val="1F6D3C9A"/>
    <w:rsid w:val="1F867115"/>
    <w:rsid w:val="1FC134AF"/>
    <w:rsid w:val="1FCD69F4"/>
    <w:rsid w:val="1FD4007F"/>
    <w:rsid w:val="2003785A"/>
    <w:rsid w:val="200F1565"/>
    <w:rsid w:val="202368F6"/>
    <w:rsid w:val="203B20DE"/>
    <w:rsid w:val="203D6C88"/>
    <w:rsid w:val="20530D3C"/>
    <w:rsid w:val="2064519B"/>
    <w:rsid w:val="20652A60"/>
    <w:rsid w:val="207D14EC"/>
    <w:rsid w:val="20AF3D0F"/>
    <w:rsid w:val="20B131D7"/>
    <w:rsid w:val="20B8725A"/>
    <w:rsid w:val="20CE3120"/>
    <w:rsid w:val="20D46A76"/>
    <w:rsid w:val="20D91233"/>
    <w:rsid w:val="20F77642"/>
    <w:rsid w:val="214E21E3"/>
    <w:rsid w:val="216451EB"/>
    <w:rsid w:val="2172148D"/>
    <w:rsid w:val="21736C7D"/>
    <w:rsid w:val="21820AA0"/>
    <w:rsid w:val="21C46DBD"/>
    <w:rsid w:val="21E34985"/>
    <w:rsid w:val="21F31F7D"/>
    <w:rsid w:val="220F7598"/>
    <w:rsid w:val="221A73D8"/>
    <w:rsid w:val="22234CE7"/>
    <w:rsid w:val="223E7B56"/>
    <w:rsid w:val="2276215C"/>
    <w:rsid w:val="2278728D"/>
    <w:rsid w:val="22BB44AB"/>
    <w:rsid w:val="22E22992"/>
    <w:rsid w:val="23085487"/>
    <w:rsid w:val="230D060F"/>
    <w:rsid w:val="231922C3"/>
    <w:rsid w:val="234B5C81"/>
    <w:rsid w:val="236E1D10"/>
    <w:rsid w:val="238E7C7B"/>
    <w:rsid w:val="23AF2A51"/>
    <w:rsid w:val="23C848BE"/>
    <w:rsid w:val="23E43FFD"/>
    <w:rsid w:val="23EE429C"/>
    <w:rsid w:val="23F671C2"/>
    <w:rsid w:val="2409769C"/>
    <w:rsid w:val="2425528C"/>
    <w:rsid w:val="24867876"/>
    <w:rsid w:val="248D1F4B"/>
    <w:rsid w:val="249069DD"/>
    <w:rsid w:val="24A77048"/>
    <w:rsid w:val="24AC5A62"/>
    <w:rsid w:val="252639FD"/>
    <w:rsid w:val="252D5DCA"/>
    <w:rsid w:val="25324209"/>
    <w:rsid w:val="2533439A"/>
    <w:rsid w:val="255A6863"/>
    <w:rsid w:val="255F2922"/>
    <w:rsid w:val="25782608"/>
    <w:rsid w:val="259F3C60"/>
    <w:rsid w:val="25A80FC7"/>
    <w:rsid w:val="25BD376F"/>
    <w:rsid w:val="26046CAA"/>
    <w:rsid w:val="264D66B1"/>
    <w:rsid w:val="266E5C88"/>
    <w:rsid w:val="26A65B40"/>
    <w:rsid w:val="26B25E5A"/>
    <w:rsid w:val="26C84387"/>
    <w:rsid w:val="26E520F6"/>
    <w:rsid w:val="27006CA7"/>
    <w:rsid w:val="27110EDF"/>
    <w:rsid w:val="271D7D92"/>
    <w:rsid w:val="27384EB5"/>
    <w:rsid w:val="27591990"/>
    <w:rsid w:val="275D65F5"/>
    <w:rsid w:val="2788244C"/>
    <w:rsid w:val="27973E78"/>
    <w:rsid w:val="27DB2338"/>
    <w:rsid w:val="27F17EA2"/>
    <w:rsid w:val="28052F25"/>
    <w:rsid w:val="283A05DC"/>
    <w:rsid w:val="28474EA4"/>
    <w:rsid w:val="28636BC2"/>
    <w:rsid w:val="28A43C82"/>
    <w:rsid w:val="28A626AF"/>
    <w:rsid w:val="28BD13AF"/>
    <w:rsid w:val="28D863A4"/>
    <w:rsid w:val="28DF2D3D"/>
    <w:rsid w:val="29013E32"/>
    <w:rsid w:val="291503A3"/>
    <w:rsid w:val="292915B2"/>
    <w:rsid w:val="292F7E41"/>
    <w:rsid w:val="2935068F"/>
    <w:rsid w:val="29491CBA"/>
    <w:rsid w:val="295D10F0"/>
    <w:rsid w:val="296D732A"/>
    <w:rsid w:val="296F0D2D"/>
    <w:rsid w:val="297C5227"/>
    <w:rsid w:val="29827584"/>
    <w:rsid w:val="29A872FB"/>
    <w:rsid w:val="29B04909"/>
    <w:rsid w:val="29C0676D"/>
    <w:rsid w:val="29D67C37"/>
    <w:rsid w:val="2A0F6CDF"/>
    <w:rsid w:val="2A101D4A"/>
    <w:rsid w:val="2A265EBF"/>
    <w:rsid w:val="2A5912F4"/>
    <w:rsid w:val="2A7C4F9A"/>
    <w:rsid w:val="2A7D1B82"/>
    <w:rsid w:val="2A963093"/>
    <w:rsid w:val="2AF00CED"/>
    <w:rsid w:val="2B1C4340"/>
    <w:rsid w:val="2B513F18"/>
    <w:rsid w:val="2B5D62B7"/>
    <w:rsid w:val="2B650E1B"/>
    <w:rsid w:val="2BA30D4A"/>
    <w:rsid w:val="2BDB6D0B"/>
    <w:rsid w:val="2BEC15D5"/>
    <w:rsid w:val="2BF42C52"/>
    <w:rsid w:val="2BFE5197"/>
    <w:rsid w:val="2C5F0EC7"/>
    <w:rsid w:val="2C652437"/>
    <w:rsid w:val="2C6D00A1"/>
    <w:rsid w:val="2C6F2844"/>
    <w:rsid w:val="2C8B79F5"/>
    <w:rsid w:val="2C8C5DDC"/>
    <w:rsid w:val="2C9D2E10"/>
    <w:rsid w:val="2CB164D9"/>
    <w:rsid w:val="2CD0152F"/>
    <w:rsid w:val="2CD40E14"/>
    <w:rsid w:val="2D167838"/>
    <w:rsid w:val="2D6A7C5B"/>
    <w:rsid w:val="2E293828"/>
    <w:rsid w:val="2E2F5EBB"/>
    <w:rsid w:val="2E3F5109"/>
    <w:rsid w:val="2E566088"/>
    <w:rsid w:val="2E644886"/>
    <w:rsid w:val="2E746E03"/>
    <w:rsid w:val="2EC753F9"/>
    <w:rsid w:val="2ECD0F2D"/>
    <w:rsid w:val="2ED505C7"/>
    <w:rsid w:val="2EDC5322"/>
    <w:rsid w:val="2EE00CD2"/>
    <w:rsid w:val="2EF72ABA"/>
    <w:rsid w:val="2F044FB5"/>
    <w:rsid w:val="2F0B239A"/>
    <w:rsid w:val="2F1A7CA8"/>
    <w:rsid w:val="2F2D6512"/>
    <w:rsid w:val="2F55409B"/>
    <w:rsid w:val="2F77649C"/>
    <w:rsid w:val="2FB456E1"/>
    <w:rsid w:val="2FB62E3E"/>
    <w:rsid w:val="2FBE30D4"/>
    <w:rsid w:val="2FC75150"/>
    <w:rsid w:val="2FD53D74"/>
    <w:rsid w:val="2FE40AA5"/>
    <w:rsid w:val="302E4FA6"/>
    <w:rsid w:val="303A1144"/>
    <w:rsid w:val="30613682"/>
    <w:rsid w:val="30645027"/>
    <w:rsid w:val="30881FEA"/>
    <w:rsid w:val="309504AE"/>
    <w:rsid w:val="30CF2C52"/>
    <w:rsid w:val="30F51292"/>
    <w:rsid w:val="30FF2476"/>
    <w:rsid w:val="3124116F"/>
    <w:rsid w:val="312507CD"/>
    <w:rsid w:val="31812D26"/>
    <w:rsid w:val="319240D6"/>
    <w:rsid w:val="31AD17FA"/>
    <w:rsid w:val="31EB22ED"/>
    <w:rsid w:val="31ED43E4"/>
    <w:rsid w:val="31F5587C"/>
    <w:rsid w:val="32182BCD"/>
    <w:rsid w:val="321B42B4"/>
    <w:rsid w:val="32232C98"/>
    <w:rsid w:val="326C6F87"/>
    <w:rsid w:val="32A65EC0"/>
    <w:rsid w:val="32A80F1E"/>
    <w:rsid w:val="32E2757F"/>
    <w:rsid w:val="32E57252"/>
    <w:rsid w:val="333663FF"/>
    <w:rsid w:val="3342213D"/>
    <w:rsid w:val="336F2358"/>
    <w:rsid w:val="339077F6"/>
    <w:rsid w:val="33C67C3F"/>
    <w:rsid w:val="33D10BAC"/>
    <w:rsid w:val="33FF3035"/>
    <w:rsid w:val="340163F7"/>
    <w:rsid w:val="34544B80"/>
    <w:rsid w:val="345A3805"/>
    <w:rsid w:val="346269C2"/>
    <w:rsid w:val="34996D25"/>
    <w:rsid w:val="34B60E57"/>
    <w:rsid w:val="34F00DF2"/>
    <w:rsid w:val="34F81B04"/>
    <w:rsid w:val="350B4466"/>
    <w:rsid w:val="3537276F"/>
    <w:rsid w:val="3544634A"/>
    <w:rsid w:val="354B08E8"/>
    <w:rsid w:val="355307CF"/>
    <w:rsid w:val="357D6614"/>
    <w:rsid w:val="358A72E3"/>
    <w:rsid w:val="35A112FC"/>
    <w:rsid w:val="35B37939"/>
    <w:rsid w:val="35BA79A5"/>
    <w:rsid w:val="360A4192"/>
    <w:rsid w:val="361356F4"/>
    <w:rsid w:val="362E2A50"/>
    <w:rsid w:val="364E1A98"/>
    <w:rsid w:val="3650709A"/>
    <w:rsid w:val="36513B29"/>
    <w:rsid w:val="366D78DF"/>
    <w:rsid w:val="36A25EC2"/>
    <w:rsid w:val="36B93617"/>
    <w:rsid w:val="36E91683"/>
    <w:rsid w:val="37255810"/>
    <w:rsid w:val="373C3878"/>
    <w:rsid w:val="374C0007"/>
    <w:rsid w:val="37722D2E"/>
    <w:rsid w:val="37734F87"/>
    <w:rsid w:val="37746BED"/>
    <w:rsid w:val="377B64D6"/>
    <w:rsid w:val="37934DB9"/>
    <w:rsid w:val="3793622A"/>
    <w:rsid w:val="37995ED9"/>
    <w:rsid w:val="379A3596"/>
    <w:rsid w:val="379A59B1"/>
    <w:rsid w:val="37A479A0"/>
    <w:rsid w:val="37B4685D"/>
    <w:rsid w:val="383226D8"/>
    <w:rsid w:val="386C1027"/>
    <w:rsid w:val="386D4E39"/>
    <w:rsid w:val="387463BA"/>
    <w:rsid w:val="38876362"/>
    <w:rsid w:val="388B319D"/>
    <w:rsid w:val="38A56BEC"/>
    <w:rsid w:val="38AB10AC"/>
    <w:rsid w:val="38D059AD"/>
    <w:rsid w:val="38F02BCD"/>
    <w:rsid w:val="38F86B35"/>
    <w:rsid w:val="39115E2E"/>
    <w:rsid w:val="391221EA"/>
    <w:rsid w:val="39263607"/>
    <w:rsid w:val="396D7809"/>
    <w:rsid w:val="39972387"/>
    <w:rsid w:val="39C77392"/>
    <w:rsid w:val="39C77F2D"/>
    <w:rsid w:val="3A394365"/>
    <w:rsid w:val="3A4654B4"/>
    <w:rsid w:val="3A515D38"/>
    <w:rsid w:val="3A6E5E84"/>
    <w:rsid w:val="3A7B0D81"/>
    <w:rsid w:val="3A890429"/>
    <w:rsid w:val="3AB92080"/>
    <w:rsid w:val="3AC825C3"/>
    <w:rsid w:val="3ACB21A9"/>
    <w:rsid w:val="3AE561D7"/>
    <w:rsid w:val="3B1F0229"/>
    <w:rsid w:val="3B453479"/>
    <w:rsid w:val="3B7B0C90"/>
    <w:rsid w:val="3B8F13C5"/>
    <w:rsid w:val="3BA13B63"/>
    <w:rsid w:val="3BA44C35"/>
    <w:rsid w:val="3BD956D9"/>
    <w:rsid w:val="3C4A6363"/>
    <w:rsid w:val="3C6F7B5F"/>
    <w:rsid w:val="3C986C47"/>
    <w:rsid w:val="3C9E041C"/>
    <w:rsid w:val="3CA94DEC"/>
    <w:rsid w:val="3CE02FD0"/>
    <w:rsid w:val="3CEE3501"/>
    <w:rsid w:val="3D461A5A"/>
    <w:rsid w:val="3D650222"/>
    <w:rsid w:val="3D6C17FC"/>
    <w:rsid w:val="3D9504BC"/>
    <w:rsid w:val="3DB7580E"/>
    <w:rsid w:val="3DC570FC"/>
    <w:rsid w:val="3DE51836"/>
    <w:rsid w:val="3DF54F6F"/>
    <w:rsid w:val="3DF71D8D"/>
    <w:rsid w:val="3E0F5BA0"/>
    <w:rsid w:val="3E165F5C"/>
    <w:rsid w:val="3E2B57AD"/>
    <w:rsid w:val="3E3D1D75"/>
    <w:rsid w:val="3E6D2C01"/>
    <w:rsid w:val="3EAB48D0"/>
    <w:rsid w:val="3EAE56C8"/>
    <w:rsid w:val="3ED32005"/>
    <w:rsid w:val="3EED6ED0"/>
    <w:rsid w:val="3F120BFC"/>
    <w:rsid w:val="3F764CB6"/>
    <w:rsid w:val="3FD31FB0"/>
    <w:rsid w:val="3FF14625"/>
    <w:rsid w:val="3FFA72BE"/>
    <w:rsid w:val="40120871"/>
    <w:rsid w:val="401210FD"/>
    <w:rsid w:val="402F4730"/>
    <w:rsid w:val="404A5684"/>
    <w:rsid w:val="404B6889"/>
    <w:rsid w:val="405A511F"/>
    <w:rsid w:val="41484EBE"/>
    <w:rsid w:val="414B75DE"/>
    <w:rsid w:val="417018D6"/>
    <w:rsid w:val="417C4337"/>
    <w:rsid w:val="418B2A50"/>
    <w:rsid w:val="41E72FF8"/>
    <w:rsid w:val="42074113"/>
    <w:rsid w:val="424726FF"/>
    <w:rsid w:val="428F5036"/>
    <w:rsid w:val="429E1094"/>
    <w:rsid w:val="42BF6859"/>
    <w:rsid w:val="42C54707"/>
    <w:rsid w:val="42DD51E4"/>
    <w:rsid w:val="42F33AA7"/>
    <w:rsid w:val="430E6064"/>
    <w:rsid w:val="4321748E"/>
    <w:rsid w:val="433F1CA5"/>
    <w:rsid w:val="43450646"/>
    <w:rsid w:val="435430F2"/>
    <w:rsid w:val="43905F10"/>
    <w:rsid w:val="43DF3FA1"/>
    <w:rsid w:val="44005F72"/>
    <w:rsid w:val="44234B30"/>
    <w:rsid w:val="44461484"/>
    <w:rsid w:val="444D5F18"/>
    <w:rsid w:val="44520AFD"/>
    <w:rsid w:val="4469726B"/>
    <w:rsid w:val="447C4D4B"/>
    <w:rsid w:val="449D0C1F"/>
    <w:rsid w:val="44B02729"/>
    <w:rsid w:val="45105F55"/>
    <w:rsid w:val="451E40FE"/>
    <w:rsid w:val="45460F7F"/>
    <w:rsid w:val="456B68A5"/>
    <w:rsid w:val="456E0AEF"/>
    <w:rsid w:val="4573790E"/>
    <w:rsid w:val="457B50FE"/>
    <w:rsid w:val="457F0733"/>
    <w:rsid w:val="45900604"/>
    <w:rsid w:val="45933A3C"/>
    <w:rsid w:val="45A57AEF"/>
    <w:rsid w:val="45A81CAF"/>
    <w:rsid w:val="45BC59F4"/>
    <w:rsid w:val="45C75579"/>
    <w:rsid w:val="45DE22BB"/>
    <w:rsid w:val="45E30817"/>
    <w:rsid w:val="45E76D0F"/>
    <w:rsid w:val="45F136BB"/>
    <w:rsid w:val="46261F0D"/>
    <w:rsid w:val="4630529E"/>
    <w:rsid w:val="46387F31"/>
    <w:rsid w:val="465476A3"/>
    <w:rsid w:val="46557527"/>
    <w:rsid w:val="46664938"/>
    <w:rsid w:val="466E742C"/>
    <w:rsid w:val="46892F02"/>
    <w:rsid w:val="46A6276B"/>
    <w:rsid w:val="46B73D2A"/>
    <w:rsid w:val="46D24C4B"/>
    <w:rsid w:val="46F647EB"/>
    <w:rsid w:val="471127B2"/>
    <w:rsid w:val="47544795"/>
    <w:rsid w:val="47616E4B"/>
    <w:rsid w:val="47672FDB"/>
    <w:rsid w:val="476971AA"/>
    <w:rsid w:val="479C3F79"/>
    <w:rsid w:val="479E6BC6"/>
    <w:rsid w:val="47B01B8B"/>
    <w:rsid w:val="47CA346E"/>
    <w:rsid w:val="47EB78E1"/>
    <w:rsid w:val="47FB2D0F"/>
    <w:rsid w:val="47FB7786"/>
    <w:rsid w:val="48011587"/>
    <w:rsid w:val="484720BC"/>
    <w:rsid w:val="48542476"/>
    <w:rsid w:val="485955DD"/>
    <w:rsid w:val="4875142A"/>
    <w:rsid w:val="48D879FA"/>
    <w:rsid w:val="49016E12"/>
    <w:rsid w:val="49056F88"/>
    <w:rsid w:val="4910246D"/>
    <w:rsid w:val="49336CD8"/>
    <w:rsid w:val="49355605"/>
    <w:rsid w:val="496E444D"/>
    <w:rsid w:val="49AE1417"/>
    <w:rsid w:val="49B4639F"/>
    <w:rsid w:val="4A1E1F41"/>
    <w:rsid w:val="4A217D5E"/>
    <w:rsid w:val="4A296E9E"/>
    <w:rsid w:val="4A7C4CE6"/>
    <w:rsid w:val="4A967911"/>
    <w:rsid w:val="4AC9217A"/>
    <w:rsid w:val="4AF7280C"/>
    <w:rsid w:val="4B2748B2"/>
    <w:rsid w:val="4B401565"/>
    <w:rsid w:val="4B502687"/>
    <w:rsid w:val="4B581065"/>
    <w:rsid w:val="4B6A3BDA"/>
    <w:rsid w:val="4B7D71A1"/>
    <w:rsid w:val="4B9C5A05"/>
    <w:rsid w:val="4BD407DF"/>
    <w:rsid w:val="4BED75B3"/>
    <w:rsid w:val="4C2E4749"/>
    <w:rsid w:val="4C3E5050"/>
    <w:rsid w:val="4C5B33F5"/>
    <w:rsid w:val="4C720BCA"/>
    <w:rsid w:val="4C8244E4"/>
    <w:rsid w:val="4C8F1BFA"/>
    <w:rsid w:val="4C9E1769"/>
    <w:rsid w:val="4CBB634B"/>
    <w:rsid w:val="4CE03EB0"/>
    <w:rsid w:val="4CE72B7B"/>
    <w:rsid w:val="4CFF4AA3"/>
    <w:rsid w:val="4D165CE6"/>
    <w:rsid w:val="4D177A2A"/>
    <w:rsid w:val="4D2F0077"/>
    <w:rsid w:val="4D3B5336"/>
    <w:rsid w:val="4D48368A"/>
    <w:rsid w:val="4D586626"/>
    <w:rsid w:val="4D64646D"/>
    <w:rsid w:val="4DA442DB"/>
    <w:rsid w:val="4DE7622F"/>
    <w:rsid w:val="4DFD4A7B"/>
    <w:rsid w:val="4E176D04"/>
    <w:rsid w:val="4E6F77EF"/>
    <w:rsid w:val="4E780638"/>
    <w:rsid w:val="4EA84E68"/>
    <w:rsid w:val="4EB73374"/>
    <w:rsid w:val="4ED409F0"/>
    <w:rsid w:val="4EE60914"/>
    <w:rsid w:val="4F331C3F"/>
    <w:rsid w:val="4F36090C"/>
    <w:rsid w:val="4F387A7A"/>
    <w:rsid w:val="4F693AE1"/>
    <w:rsid w:val="4F6E28F0"/>
    <w:rsid w:val="4F727D38"/>
    <w:rsid w:val="4F7B6984"/>
    <w:rsid w:val="4F8F0460"/>
    <w:rsid w:val="4F9808E5"/>
    <w:rsid w:val="4FAC5A65"/>
    <w:rsid w:val="4FC46069"/>
    <w:rsid w:val="4FD005AE"/>
    <w:rsid w:val="500B06DB"/>
    <w:rsid w:val="500F7736"/>
    <w:rsid w:val="50323347"/>
    <w:rsid w:val="50412F93"/>
    <w:rsid w:val="50555D7D"/>
    <w:rsid w:val="50561B9F"/>
    <w:rsid w:val="50837E02"/>
    <w:rsid w:val="5088525D"/>
    <w:rsid w:val="509C7642"/>
    <w:rsid w:val="50A070F7"/>
    <w:rsid w:val="50AC659C"/>
    <w:rsid w:val="50F62B3A"/>
    <w:rsid w:val="510225F7"/>
    <w:rsid w:val="510F3E01"/>
    <w:rsid w:val="51543E0F"/>
    <w:rsid w:val="51704DEF"/>
    <w:rsid w:val="517717FB"/>
    <w:rsid w:val="51B0761D"/>
    <w:rsid w:val="51B80466"/>
    <w:rsid w:val="51D91B75"/>
    <w:rsid w:val="51E2122F"/>
    <w:rsid w:val="51F11C10"/>
    <w:rsid w:val="52213D07"/>
    <w:rsid w:val="52260F3C"/>
    <w:rsid w:val="5238649A"/>
    <w:rsid w:val="525B4336"/>
    <w:rsid w:val="525D71E5"/>
    <w:rsid w:val="52820E07"/>
    <w:rsid w:val="528536D3"/>
    <w:rsid w:val="529C695A"/>
    <w:rsid w:val="52A77DA4"/>
    <w:rsid w:val="52AD549D"/>
    <w:rsid w:val="52C42F8A"/>
    <w:rsid w:val="530267BC"/>
    <w:rsid w:val="53312E2B"/>
    <w:rsid w:val="53522854"/>
    <w:rsid w:val="53662852"/>
    <w:rsid w:val="536C0FFE"/>
    <w:rsid w:val="53701411"/>
    <w:rsid w:val="538F661B"/>
    <w:rsid w:val="539F4368"/>
    <w:rsid w:val="53A056AF"/>
    <w:rsid w:val="53B04CEA"/>
    <w:rsid w:val="53B41457"/>
    <w:rsid w:val="53D56DDB"/>
    <w:rsid w:val="54117610"/>
    <w:rsid w:val="54146CD1"/>
    <w:rsid w:val="54177F1E"/>
    <w:rsid w:val="541A6B7B"/>
    <w:rsid w:val="54296180"/>
    <w:rsid w:val="54477234"/>
    <w:rsid w:val="54671F32"/>
    <w:rsid w:val="54814372"/>
    <w:rsid w:val="54C03918"/>
    <w:rsid w:val="54CC1E57"/>
    <w:rsid w:val="54E3627C"/>
    <w:rsid w:val="54F626A4"/>
    <w:rsid w:val="54F97996"/>
    <w:rsid w:val="5503350D"/>
    <w:rsid w:val="550B460A"/>
    <w:rsid w:val="551E374A"/>
    <w:rsid w:val="551F0799"/>
    <w:rsid w:val="553532AC"/>
    <w:rsid w:val="558B4E93"/>
    <w:rsid w:val="55944FA1"/>
    <w:rsid w:val="55CE55CB"/>
    <w:rsid w:val="55EE1803"/>
    <w:rsid w:val="55FB03CD"/>
    <w:rsid w:val="56145C30"/>
    <w:rsid w:val="5645084B"/>
    <w:rsid w:val="565F4BDD"/>
    <w:rsid w:val="569B722C"/>
    <w:rsid w:val="56DD1DDA"/>
    <w:rsid w:val="57145535"/>
    <w:rsid w:val="57427B7C"/>
    <w:rsid w:val="57C322BB"/>
    <w:rsid w:val="57D2341F"/>
    <w:rsid w:val="57E17BD4"/>
    <w:rsid w:val="58105F17"/>
    <w:rsid w:val="58124BB0"/>
    <w:rsid w:val="58445A1C"/>
    <w:rsid w:val="58597722"/>
    <w:rsid w:val="58815460"/>
    <w:rsid w:val="589E7F77"/>
    <w:rsid w:val="58BF26CD"/>
    <w:rsid w:val="58C567CC"/>
    <w:rsid w:val="58ED46B0"/>
    <w:rsid w:val="58FD2305"/>
    <w:rsid w:val="59393C4A"/>
    <w:rsid w:val="596B5674"/>
    <w:rsid w:val="597C1452"/>
    <w:rsid w:val="59BA3069"/>
    <w:rsid w:val="59D27A0C"/>
    <w:rsid w:val="59E40202"/>
    <w:rsid w:val="59F04EF4"/>
    <w:rsid w:val="5A0435C3"/>
    <w:rsid w:val="5A236FD7"/>
    <w:rsid w:val="5A394FC1"/>
    <w:rsid w:val="5A3A1659"/>
    <w:rsid w:val="5A516620"/>
    <w:rsid w:val="5A6205BF"/>
    <w:rsid w:val="5A6A7E8E"/>
    <w:rsid w:val="5AC3786F"/>
    <w:rsid w:val="5AD46F7D"/>
    <w:rsid w:val="5ADB511C"/>
    <w:rsid w:val="5AEA51AD"/>
    <w:rsid w:val="5AF94149"/>
    <w:rsid w:val="5B021E37"/>
    <w:rsid w:val="5B7F5251"/>
    <w:rsid w:val="5BB73DD6"/>
    <w:rsid w:val="5BBB7739"/>
    <w:rsid w:val="5BBD4EF8"/>
    <w:rsid w:val="5BC03CD5"/>
    <w:rsid w:val="5BC62D16"/>
    <w:rsid w:val="5C062F01"/>
    <w:rsid w:val="5C1C5B61"/>
    <w:rsid w:val="5C1D21E6"/>
    <w:rsid w:val="5C7130A4"/>
    <w:rsid w:val="5C727F12"/>
    <w:rsid w:val="5C7C6F1B"/>
    <w:rsid w:val="5C844AAD"/>
    <w:rsid w:val="5C925AD2"/>
    <w:rsid w:val="5CE81E5F"/>
    <w:rsid w:val="5D093637"/>
    <w:rsid w:val="5D1B1B06"/>
    <w:rsid w:val="5D3775F3"/>
    <w:rsid w:val="5DD27ECB"/>
    <w:rsid w:val="5F1A20DE"/>
    <w:rsid w:val="5F1B37BA"/>
    <w:rsid w:val="5F227D9A"/>
    <w:rsid w:val="5F3F2C3C"/>
    <w:rsid w:val="5F5D637E"/>
    <w:rsid w:val="5F8C496E"/>
    <w:rsid w:val="5FB70A21"/>
    <w:rsid w:val="5FC43259"/>
    <w:rsid w:val="602A0E6D"/>
    <w:rsid w:val="602E3449"/>
    <w:rsid w:val="603270C2"/>
    <w:rsid w:val="603C5EF7"/>
    <w:rsid w:val="60624606"/>
    <w:rsid w:val="606B29C3"/>
    <w:rsid w:val="606D3842"/>
    <w:rsid w:val="607D2D0B"/>
    <w:rsid w:val="609F35F2"/>
    <w:rsid w:val="60E179EA"/>
    <w:rsid w:val="61046033"/>
    <w:rsid w:val="6113267F"/>
    <w:rsid w:val="61132A3F"/>
    <w:rsid w:val="61494D95"/>
    <w:rsid w:val="6155111F"/>
    <w:rsid w:val="61617739"/>
    <w:rsid w:val="61721DB6"/>
    <w:rsid w:val="618121E7"/>
    <w:rsid w:val="61B14C85"/>
    <w:rsid w:val="61EF1F5F"/>
    <w:rsid w:val="625006EB"/>
    <w:rsid w:val="62571012"/>
    <w:rsid w:val="62B050EB"/>
    <w:rsid w:val="62D30A82"/>
    <w:rsid w:val="62ED47EA"/>
    <w:rsid w:val="62F967CA"/>
    <w:rsid w:val="6325360B"/>
    <w:rsid w:val="634A6B57"/>
    <w:rsid w:val="635A14F9"/>
    <w:rsid w:val="63B54BF5"/>
    <w:rsid w:val="63C206B6"/>
    <w:rsid w:val="63DD6EDF"/>
    <w:rsid w:val="63F91DD1"/>
    <w:rsid w:val="64315EF0"/>
    <w:rsid w:val="643D666B"/>
    <w:rsid w:val="644F181B"/>
    <w:rsid w:val="648009D3"/>
    <w:rsid w:val="64900424"/>
    <w:rsid w:val="64B21CC3"/>
    <w:rsid w:val="64B53A3B"/>
    <w:rsid w:val="64F85497"/>
    <w:rsid w:val="65081438"/>
    <w:rsid w:val="6535349A"/>
    <w:rsid w:val="655E6055"/>
    <w:rsid w:val="656216CE"/>
    <w:rsid w:val="656503AA"/>
    <w:rsid w:val="65776363"/>
    <w:rsid w:val="65CC36C6"/>
    <w:rsid w:val="664C25E3"/>
    <w:rsid w:val="66856946"/>
    <w:rsid w:val="669127E3"/>
    <w:rsid w:val="669F584F"/>
    <w:rsid w:val="66A020CF"/>
    <w:rsid w:val="66AD3E3A"/>
    <w:rsid w:val="66E922DE"/>
    <w:rsid w:val="674960D8"/>
    <w:rsid w:val="6758166F"/>
    <w:rsid w:val="677203F4"/>
    <w:rsid w:val="679354F9"/>
    <w:rsid w:val="67A03992"/>
    <w:rsid w:val="67A92F96"/>
    <w:rsid w:val="67AF0A0D"/>
    <w:rsid w:val="67C659C5"/>
    <w:rsid w:val="67DC74F1"/>
    <w:rsid w:val="67DD542C"/>
    <w:rsid w:val="67EB6A18"/>
    <w:rsid w:val="68122BF4"/>
    <w:rsid w:val="6828292B"/>
    <w:rsid w:val="68562D9F"/>
    <w:rsid w:val="687C0256"/>
    <w:rsid w:val="687E2CC0"/>
    <w:rsid w:val="688B032C"/>
    <w:rsid w:val="68E23561"/>
    <w:rsid w:val="68E37F97"/>
    <w:rsid w:val="68EC13C4"/>
    <w:rsid w:val="69540761"/>
    <w:rsid w:val="6957719D"/>
    <w:rsid w:val="695A7016"/>
    <w:rsid w:val="696F202C"/>
    <w:rsid w:val="69F82084"/>
    <w:rsid w:val="6A0173D8"/>
    <w:rsid w:val="6A3F2459"/>
    <w:rsid w:val="6A985B25"/>
    <w:rsid w:val="6AD54CC1"/>
    <w:rsid w:val="6AD57C2F"/>
    <w:rsid w:val="6ADE270F"/>
    <w:rsid w:val="6AFC42BE"/>
    <w:rsid w:val="6B141F0F"/>
    <w:rsid w:val="6B2675D6"/>
    <w:rsid w:val="6B2E23D2"/>
    <w:rsid w:val="6B575D76"/>
    <w:rsid w:val="6B640E28"/>
    <w:rsid w:val="6B653230"/>
    <w:rsid w:val="6B806A43"/>
    <w:rsid w:val="6B81117A"/>
    <w:rsid w:val="6B900202"/>
    <w:rsid w:val="6BA0601F"/>
    <w:rsid w:val="6BA52C19"/>
    <w:rsid w:val="6BB64455"/>
    <w:rsid w:val="6BBE33C1"/>
    <w:rsid w:val="6BD22770"/>
    <w:rsid w:val="6BDB5572"/>
    <w:rsid w:val="6BE432D1"/>
    <w:rsid w:val="6BF86920"/>
    <w:rsid w:val="6C0D6051"/>
    <w:rsid w:val="6C5C511D"/>
    <w:rsid w:val="6C7232E2"/>
    <w:rsid w:val="6C815485"/>
    <w:rsid w:val="6C8B32E6"/>
    <w:rsid w:val="6CA8782A"/>
    <w:rsid w:val="6CCC213B"/>
    <w:rsid w:val="6CE834AF"/>
    <w:rsid w:val="6CEA401C"/>
    <w:rsid w:val="6CED13A1"/>
    <w:rsid w:val="6D002660"/>
    <w:rsid w:val="6D032A2B"/>
    <w:rsid w:val="6D136F98"/>
    <w:rsid w:val="6D404D0D"/>
    <w:rsid w:val="6D417174"/>
    <w:rsid w:val="6D6032F4"/>
    <w:rsid w:val="6D6A7564"/>
    <w:rsid w:val="6DA9438E"/>
    <w:rsid w:val="6DAC2609"/>
    <w:rsid w:val="6DC37FB5"/>
    <w:rsid w:val="6DDA45DC"/>
    <w:rsid w:val="6DE558B2"/>
    <w:rsid w:val="6E2A1BF7"/>
    <w:rsid w:val="6ECA12D3"/>
    <w:rsid w:val="6ED709A0"/>
    <w:rsid w:val="6ED754F5"/>
    <w:rsid w:val="6ED96738"/>
    <w:rsid w:val="6EE25A4E"/>
    <w:rsid w:val="6EEF5E09"/>
    <w:rsid w:val="6EFC63FB"/>
    <w:rsid w:val="6F291037"/>
    <w:rsid w:val="6F522D33"/>
    <w:rsid w:val="6FAC2527"/>
    <w:rsid w:val="6FF01A2A"/>
    <w:rsid w:val="70074091"/>
    <w:rsid w:val="70124813"/>
    <w:rsid w:val="704B62D2"/>
    <w:rsid w:val="706708A1"/>
    <w:rsid w:val="70872C41"/>
    <w:rsid w:val="709F1057"/>
    <w:rsid w:val="70AA0BCC"/>
    <w:rsid w:val="70EF636C"/>
    <w:rsid w:val="712A749B"/>
    <w:rsid w:val="713E263B"/>
    <w:rsid w:val="716006DB"/>
    <w:rsid w:val="717202BF"/>
    <w:rsid w:val="717331B6"/>
    <w:rsid w:val="71845216"/>
    <w:rsid w:val="71A02F71"/>
    <w:rsid w:val="71C91228"/>
    <w:rsid w:val="71D14840"/>
    <w:rsid w:val="72016658"/>
    <w:rsid w:val="72283B36"/>
    <w:rsid w:val="72780975"/>
    <w:rsid w:val="72832AB8"/>
    <w:rsid w:val="728A4468"/>
    <w:rsid w:val="72924C27"/>
    <w:rsid w:val="72B102DA"/>
    <w:rsid w:val="72B4351B"/>
    <w:rsid w:val="72B901BD"/>
    <w:rsid w:val="72CA074B"/>
    <w:rsid w:val="72D22768"/>
    <w:rsid w:val="72D45F66"/>
    <w:rsid w:val="72DF2591"/>
    <w:rsid w:val="72F25CAF"/>
    <w:rsid w:val="731B1D78"/>
    <w:rsid w:val="732A3862"/>
    <w:rsid w:val="73517931"/>
    <w:rsid w:val="73650E8C"/>
    <w:rsid w:val="73804EDA"/>
    <w:rsid w:val="73D9513D"/>
    <w:rsid w:val="73DE0E8B"/>
    <w:rsid w:val="73E25F6B"/>
    <w:rsid w:val="73F25289"/>
    <w:rsid w:val="74112642"/>
    <w:rsid w:val="741527F4"/>
    <w:rsid w:val="741B24B6"/>
    <w:rsid w:val="7485580D"/>
    <w:rsid w:val="749470B9"/>
    <w:rsid w:val="749D0945"/>
    <w:rsid w:val="74A716F7"/>
    <w:rsid w:val="74DA2F09"/>
    <w:rsid w:val="74E7666D"/>
    <w:rsid w:val="75091547"/>
    <w:rsid w:val="751C0CC1"/>
    <w:rsid w:val="753D327B"/>
    <w:rsid w:val="75757AE8"/>
    <w:rsid w:val="757C086D"/>
    <w:rsid w:val="75804A36"/>
    <w:rsid w:val="758551DD"/>
    <w:rsid w:val="75930F2A"/>
    <w:rsid w:val="75A5486A"/>
    <w:rsid w:val="75B02134"/>
    <w:rsid w:val="75B87975"/>
    <w:rsid w:val="75F43634"/>
    <w:rsid w:val="76217D3F"/>
    <w:rsid w:val="762D6C3F"/>
    <w:rsid w:val="76434758"/>
    <w:rsid w:val="767D0282"/>
    <w:rsid w:val="76956BE2"/>
    <w:rsid w:val="76B86C49"/>
    <w:rsid w:val="76CE1B13"/>
    <w:rsid w:val="76D1082B"/>
    <w:rsid w:val="772813B5"/>
    <w:rsid w:val="772B10B5"/>
    <w:rsid w:val="7760310B"/>
    <w:rsid w:val="77914195"/>
    <w:rsid w:val="77AD185B"/>
    <w:rsid w:val="77B023B6"/>
    <w:rsid w:val="77C521AE"/>
    <w:rsid w:val="77C970F3"/>
    <w:rsid w:val="77D73095"/>
    <w:rsid w:val="78041330"/>
    <w:rsid w:val="781F67B1"/>
    <w:rsid w:val="78360102"/>
    <w:rsid w:val="783B110F"/>
    <w:rsid w:val="783C54C1"/>
    <w:rsid w:val="783F0F53"/>
    <w:rsid w:val="785638C1"/>
    <w:rsid w:val="787A3A58"/>
    <w:rsid w:val="787F1F88"/>
    <w:rsid w:val="7896056D"/>
    <w:rsid w:val="789C500B"/>
    <w:rsid w:val="78A44AF9"/>
    <w:rsid w:val="78BC4FA4"/>
    <w:rsid w:val="78DE07EB"/>
    <w:rsid w:val="78F1608B"/>
    <w:rsid w:val="78FD5E38"/>
    <w:rsid w:val="79303C90"/>
    <w:rsid w:val="793F1F59"/>
    <w:rsid w:val="796C00E0"/>
    <w:rsid w:val="79761A69"/>
    <w:rsid w:val="79BB3FD7"/>
    <w:rsid w:val="79D74407"/>
    <w:rsid w:val="7A05268C"/>
    <w:rsid w:val="7A0C139B"/>
    <w:rsid w:val="7A0D4339"/>
    <w:rsid w:val="7A227EB8"/>
    <w:rsid w:val="7A5E5467"/>
    <w:rsid w:val="7A6B6119"/>
    <w:rsid w:val="7A7E0950"/>
    <w:rsid w:val="7A7F48DD"/>
    <w:rsid w:val="7A9022D3"/>
    <w:rsid w:val="7AC27D82"/>
    <w:rsid w:val="7AE869CD"/>
    <w:rsid w:val="7AFF1C73"/>
    <w:rsid w:val="7B0737B3"/>
    <w:rsid w:val="7B3602D6"/>
    <w:rsid w:val="7B472316"/>
    <w:rsid w:val="7B4F5B04"/>
    <w:rsid w:val="7B7A444D"/>
    <w:rsid w:val="7BD25C6B"/>
    <w:rsid w:val="7BD37DCF"/>
    <w:rsid w:val="7BD42C02"/>
    <w:rsid w:val="7BF77374"/>
    <w:rsid w:val="7C2869ED"/>
    <w:rsid w:val="7C293142"/>
    <w:rsid w:val="7C5E23BD"/>
    <w:rsid w:val="7C9D7850"/>
    <w:rsid w:val="7CA949A1"/>
    <w:rsid w:val="7CCF2D25"/>
    <w:rsid w:val="7CE858AB"/>
    <w:rsid w:val="7D2438A6"/>
    <w:rsid w:val="7D2E4372"/>
    <w:rsid w:val="7D4904F0"/>
    <w:rsid w:val="7D673EBC"/>
    <w:rsid w:val="7D7B605B"/>
    <w:rsid w:val="7DAC4042"/>
    <w:rsid w:val="7DF50700"/>
    <w:rsid w:val="7E1172EE"/>
    <w:rsid w:val="7E335DA5"/>
    <w:rsid w:val="7E712358"/>
    <w:rsid w:val="7E805DB3"/>
    <w:rsid w:val="7E932601"/>
    <w:rsid w:val="7E9A13E9"/>
    <w:rsid w:val="7ED03FDC"/>
    <w:rsid w:val="7EEC11CE"/>
    <w:rsid w:val="7EF56519"/>
    <w:rsid w:val="7F446EA8"/>
    <w:rsid w:val="7F465986"/>
    <w:rsid w:val="7F772B83"/>
    <w:rsid w:val="7F86656B"/>
    <w:rsid w:val="7FB16C6E"/>
    <w:rsid w:val="7FFA4466"/>
    <w:rsid w:val="7FFB0EA2"/>
    <w:rsid w:val="7FFE001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qFormat="1" w:unhideWhenUsed="0" w:uiPriority="99" w:semiHidden="0" w:name="Body Text First Indent"/>
    <w:lsdException w:qFormat="1" w:unhideWhenUsed="0" w:uiPriority="99" w:semiHidden="0"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5"/>
    <w:qFormat/>
    <w:uiPriority w:val="99"/>
    <w:pPr>
      <w:keepNext/>
      <w:keepLines/>
      <w:spacing w:before="340" w:after="330" w:line="578" w:lineRule="auto"/>
      <w:outlineLvl w:val="0"/>
    </w:pPr>
    <w:rPr>
      <w:rFonts w:eastAsia="黑体"/>
      <w:b/>
      <w:bCs/>
      <w:kern w:val="44"/>
      <w:sz w:val="32"/>
      <w:szCs w:val="32"/>
    </w:rPr>
  </w:style>
  <w:style w:type="paragraph" w:styleId="3">
    <w:name w:val="heading 2"/>
    <w:basedOn w:val="1"/>
    <w:next w:val="1"/>
    <w:link w:val="26"/>
    <w:qFormat/>
    <w:uiPriority w:val="99"/>
    <w:pPr>
      <w:keepNext/>
      <w:keepLines/>
      <w:spacing w:before="260" w:after="260" w:line="416" w:lineRule="auto"/>
      <w:outlineLvl w:val="1"/>
    </w:pPr>
    <w:rPr>
      <w:rFonts w:ascii="Cambria" w:hAnsi="Cambria" w:cs="Cambria"/>
      <w:b/>
      <w:bCs/>
      <w:sz w:val="28"/>
      <w:szCs w:val="28"/>
    </w:rPr>
  </w:style>
  <w:style w:type="paragraph" w:styleId="4">
    <w:name w:val="heading 3"/>
    <w:basedOn w:val="1"/>
    <w:next w:val="1"/>
    <w:link w:val="27"/>
    <w:qFormat/>
    <w:uiPriority w:val="99"/>
    <w:pPr>
      <w:keepNext/>
      <w:keepLines/>
      <w:spacing w:before="260" w:after="260" w:line="416" w:lineRule="auto"/>
      <w:outlineLvl w:val="2"/>
    </w:pPr>
    <w:rPr>
      <w:b/>
      <w:bCs/>
      <w:sz w:val="32"/>
      <w:szCs w:val="32"/>
    </w:rPr>
  </w:style>
  <w:style w:type="paragraph" w:styleId="5">
    <w:name w:val="heading 4"/>
    <w:basedOn w:val="1"/>
    <w:next w:val="1"/>
    <w:link w:val="28"/>
    <w:qFormat/>
    <w:locked/>
    <w:uiPriority w:val="99"/>
    <w:pPr>
      <w:keepNext/>
      <w:keepLines/>
      <w:spacing w:before="280" w:after="290" w:line="376" w:lineRule="auto"/>
      <w:outlineLvl w:val="3"/>
    </w:pPr>
    <w:rPr>
      <w:rFonts w:ascii="Arial" w:hAnsi="Arial" w:eastAsia="黑体" w:cs="Arial"/>
      <w:b/>
      <w:bCs/>
      <w:sz w:val="28"/>
      <w:szCs w:val="28"/>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31"/>
    <w:semiHidden/>
    <w:qFormat/>
    <w:uiPriority w:val="99"/>
    <w:pPr>
      <w:shd w:val="clear" w:color="auto" w:fill="000080"/>
    </w:pPr>
  </w:style>
  <w:style w:type="paragraph" w:styleId="7">
    <w:name w:val="Body Text"/>
    <w:basedOn w:val="1"/>
    <w:link w:val="29"/>
    <w:qFormat/>
    <w:uiPriority w:val="99"/>
    <w:pPr>
      <w:spacing w:after="120"/>
    </w:pPr>
  </w:style>
  <w:style w:type="paragraph" w:styleId="8">
    <w:name w:val="Body Text Indent"/>
    <w:basedOn w:val="1"/>
    <w:link w:val="32"/>
    <w:qFormat/>
    <w:uiPriority w:val="99"/>
    <w:pPr>
      <w:spacing w:after="120"/>
      <w:ind w:left="420" w:leftChars="200"/>
    </w:pPr>
  </w:style>
  <w:style w:type="paragraph" w:styleId="9">
    <w:name w:val="toc 3"/>
    <w:basedOn w:val="1"/>
    <w:next w:val="1"/>
    <w:qFormat/>
    <w:uiPriority w:val="39"/>
    <w:pPr>
      <w:tabs>
        <w:tab w:val="right" w:leader="dot" w:pos="8494"/>
      </w:tabs>
      <w:ind w:left="840" w:leftChars="400"/>
    </w:pPr>
    <w:rPr>
      <w:b/>
      <w:bCs/>
      <w:kern w:val="0"/>
      <w:sz w:val="30"/>
      <w:szCs w:val="30"/>
    </w:rPr>
  </w:style>
  <w:style w:type="paragraph" w:styleId="10">
    <w:name w:val="Plain Text"/>
    <w:basedOn w:val="1"/>
    <w:link w:val="33"/>
    <w:qFormat/>
    <w:uiPriority w:val="99"/>
    <w:rPr>
      <w:rFonts w:ascii="宋体" w:hAnsi="Courier New" w:cs="宋体"/>
    </w:rPr>
  </w:style>
  <w:style w:type="paragraph" w:styleId="11">
    <w:name w:val="Body Text Indent 2"/>
    <w:basedOn w:val="1"/>
    <w:link w:val="34"/>
    <w:qFormat/>
    <w:uiPriority w:val="99"/>
    <w:pPr>
      <w:spacing w:after="120" w:line="480" w:lineRule="auto"/>
      <w:ind w:left="420" w:leftChars="200"/>
    </w:pPr>
  </w:style>
  <w:style w:type="paragraph" w:styleId="12">
    <w:name w:val="Balloon Text"/>
    <w:basedOn w:val="1"/>
    <w:link w:val="35"/>
    <w:semiHidden/>
    <w:qFormat/>
    <w:uiPriority w:val="99"/>
    <w:rPr>
      <w:kern w:val="0"/>
      <w:sz w:val="18"/>
      <w:szCs w:val="18"/>
    </w:rPr>
  </w:style>
  <w:style w:type="paragraph" w:styleId="13">
    <w:name w:val="footer"/>
    <w:basedOn w:val="1"/>
    <w:link w:val="36"/>
    <w:qFormat/>
    <w:uiPriority w:val="99"/>
    <w:pPr>
      <w:tabs>
        <w:tab w:val="center" w:pos="4153"/>
        <w:tab w:val="right" w:pos="8306"/>
      </w:tabs>
      <w:snapToGrid w:val="0"/>
      <w:jc w:val="left"/>
    </w:pPr>
    <w:rPr>
      <w:kern w:val="0"/>
      <w:sz w:val="18"/>
      <w:szCs w:val="18"/>
    </w:rPr>
  </w:style>
  <w:style w:type="paragraph" w:styleId="14">
    <w:name w:val="header"/>
    <w:basedOn w:val="1"/>
    <w:link w:val="38"/>
    <w:qFormat/>
    <w:uiPriority w:val="99"/>
    <w:pPr>
      <w:pBdr>
        <w:bottom w:val="single" w:color="auto" w:sz="6" w:space="1"/>
      </w:pBdr>
      <w:tabs>
        <w:tab w:val="center" w:pos="4153"/>
        <w:tab w:val="right" w:pos="8306"/>
      </w:tabs>
      <w:snapToGrid w:val="0"/>
      <w:jc w:val="center"/>
    </w:pPr>
    <w:rPr>
      <w:kern w:val="0"/>
      <w:sz w:val="18"/>
      <w:szCs w:val="18"/>
    </w:rPr>
  </w:style>
  <w:style w:type="paragraph" w:styleId="15">
    <w:name w:val="toc 1"/>
    <w:basedOn w:val="1"/>
    <w:next w:val="1"/>
    <w:qFormat/>
    <w:uiPriority w:val="39"/>
    <w:pPr>
      <w:tabs>
        <w:tab w:val="right" w:leader="dot" w:pos="9170"/>
      </w:tabs>
      <w:spacing w:before="120" w:after="120"/>
      <w:jc w:val="left"/>
    </w:pPr>
    <w:rPr>
      <w:rFonts w:ascii="宋体" w:hAnsi="宋体" w:cs="宋体"/>
      <w:b/>
      <w:bCs/>
      <w:caps/>
      <w:sz w:val="24"/>
      <w:szCs w:val="24"/>
    </w:rPr>
  </w:style>
  <w:style w:type="paragraph" w:styleId="16">
    <w:name w:val="Subtitle"/>
    <w:basedOn w:val="1"/>
    <w:next w:val="1"/>
    <w:link w:val="39"/>
    <w:qFormat/>
    <w:uiPriority w:val="99"/>
    <w:pPr>
      <w:spacing w:before="240" w:after="60" w:line="312" w:lineRule="auto"/>
      <w:jc w:val="center"/>
      <w:outlineLvl w:val="1"/>
    </w:pPr>
    <w:rPr>
      <w:rFonts w:ascii="Cambria" w:hAnsi="Cambria" w:cs="Cambria"/>
      <w:b/>
      <w:bCs/>
      <w:kern w:val="28"/>
      <w:sz w:val="32"/>
      <w:szCs w:val="32"/>
    </w:rPr>
  </w:style>
  <w:style w:type="paragraph" w:styleId="17">
    <w:name w:val="toc 2"/>
    <w:basedOn w:val="1"/>
    <w:next w:val="1"/>
    <w:qFormat/>
    <w:uiPriority w:val="39"/>
    <w:pPr>
      <w:tabs>
        <w:tab w:val="right" w:leader="dot" w:pos="9170"/>
      </w:tabs>
      <w:spacing w:line="360" w:lineRule="auto"/>
      <w:ind w:left="210"/>
      <w:jc w:val="left"/>
    </w:pPr>
    <w:rPr>
      <w:rFonts w:ascii="宋体" w:hAnsi="宋体" w:cs="宋体"/>
      <w:b/>
      <w:bCs/>
      <w:smallCaps/>
      <w:color w:val="000000"/>
      <w:kern w:val="0"/>
      <w:sz w:val="30"/>
      <w:szCs w:val="30"/>
    </w:rPr>
  </w:style>
  <w:style w:type="paragraph" w:styleId="1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9">
    <w:name w:val="Body Text First Indent"/>
    <w:basedOn w:val="7"/>
    <w:link w:val="30"/>
    <w:qFormat/>
    <w:uiPriority w:val="99"/>
    <w:pPr>
      <w:ind w:firstLine="420" w:firstLineChars="100"/>
    </w:pPr>
  </w:style>
  <w:style w:type="paragraph" w:styleId="20">
    <w:name w:val="Body Text First Indent 2"/>
    <w:basedOn w:val="8"/>
    <w:link w:val="37"/>
    <w:qFormat/>
    <w:uiPriority w:val="99"/>
    <w:pPr>
      <w:ind w:firstLine="420" w:firstLineChars="200"/>
    </w:pPr>
  </w:style>
  <w:style w:type="character" w:styleId="23">
    <w:name w:val="Strong"/>
    <w:basedOn w:val="22"/>
    <w:qFormat/>
    <w:uiPriority w:val="99"/>
    <w:rPr>
      <w:b/>
      <w:bCs/>
    </w:rPr>
  </w:style>
  <w:style w:type="character" w:styleId="24">
    <w:name w:val="Hyperlink"/>
    <w:basedOn w:val="22"/>
    <w:qFormat/>
    <w:uiPriority w:val="99"/>
    <w:rPr>
      <w:color w:val="0000FF"/>
      <w:u w:val="single"/>
    </w:rPr>
  </w:style>
  <w:style w:type="character" w:customStyle="1" w:styleId="25">
    <w:name w:val="标题 1 Char"/>
    <w:basedOn w:val="22"/>
    <w:link w:val="2"/>
    <w:qFormat/>
    <w:locked/>
    <w:uiPriority w:val="99"/>
    <w:rPr>
      <w:rFonts w:eastAsia="黑体"/>
      <w:b/>
      <w:bCs/>
      <w:kern w:val="44"/>
      <w:sz w:val="44"/>
      <w:szCs w:val="44"/>
    </w:rPr>
  </w:style>
  <w:style w:type="character" w:customStyle="1" w:styleId="26">
    <w:name w:val="标题 2 Char"/>
    <w:basedOn w:val="22"/>
    <w:link w:val="3"/>
    <w:qFormat/>
    <w:locked/>
    <w:uiPriority w:val="99"/>
    <w:rPr>
      <w:rFonts w:ascii="Cambria" w:hAnsi="Cambria" w:cs="Cambria"/>
      <w:b/>
      <w:bCs/>
      <w:kern w:val="2"/>
      <w:sz w:val="32"/>
      <w:szCs w:val="32"/>
    </w:rPr>
  </w:style>
  <w:style w:type="character" w:customStyle="1" w:styleId="27">
    <w:name w:val="标题 3 Char"/>
    <w:basedOn w:val="22"/>
    <w:link w:val="4"/>
    <w:semiHidden/>
    <w:qFormat/>
    <w:locked/>
    <w:uiPriority w:val="99"/>
    <w:rPr>
      <w:b/>
      <w:bCs/>
      <w:sz w:val="32"/>
      <w:szCs w:val="32"/>
    </w:rPr>
  </w:style>
  <w:style w:type="character" w:customStyle="1" w:styleId="28">
    <w:name w:val="标题 4 Char"/>
    <w:basedOn w:val="22"/>
    <w:link w:val="5"/>
    <w:semiHidden/>
    <w:qFormat/>
    <w:locked/>
    <w:uiPriority w:val="99"/>
    <w:rPr>
      <w:rFonts w:ascii="Cambria" w:hAnsi="Cambria" w:eastAsia="宋体" w:cs="Cambria"/>
      <w:b/>
      <w:bCs/>
      <w:sz w:val="28"/>
      <w:szCs w:val="28"/>
    </w:rPr>
  </w:style>
  <w:style w:type="character" w:customStyle="1" w:styleId="29">
    <w:name w:val="正文文本 Char"/>
    <w:basedOn w:val="22"/>
    <w:link w:val="7"/>
    <w:semiHidden/>
    <w:qFormat/>
    <w:locked/>
    <w:uiPriority w:val="99"/>
    <w:rPr>
      <w:sz w:val="21"/>
      <w:szCs w:val="21"/>
    </w:rPr>
  </w:style>
  <w:style w:type="character" w:customStyle="1" w:styleId="30">
    <w:name w:val="正文首行缩进 Char"/>
    <w:basedOn w:val="29"/>
    <w:link w:val="19"/>
    <w:semiHidden/>
    <w:qFormat/>
    <w:locked/>
    <w:uiPriority w:val="99"/>
  </w:style>
  <w:style w:type="character" w:customStyle="1" w:styleId="31">
    <w:name w:val="文档结构图 Char"/>
    <w:basedOn w:val="22"/>
    <w:link w:val="6"/>
    <w:semiHidden/>
    <w:qFormat/>
    <w:locked/>
    <w:uiPriority w:val="99"/>
    <w:rPr>
      <w:rFonts w:ascii="Times New Roman" w:hAnsi="Times New Roman" w:cs="Times New Roman"/>
      <w:sz w:val="2"/>
      <w:szCs w:val="2"/>
    </w:rPr>
  </w:style>
  <w:style w:type="character" w:customStyle="1" w:styleId="32">
    <w:name w:val="正文文本缩进 Char"/>
    <w:basedOn w:val="22"/>
    <w:link w:val="8"/>
    <w:semiHidden/>
    <w:qFormat/>
    <w:locked/>
    <w:uiPriority w:val="99"/>
    <w:rPr>
      <w:sz w:val="21"/>
      <w:szCs w:val="21"/>
    </w:rPr>
  </w:style>
  <w:style w:type="character" w:customStyle="1" w:styleId="33">
    <w:name w:val="纯文本 Char"/>
    <w:basedOn w:val="22"/>
    <w:link w:val="10"/>
    <w:semiHidden/>
    <w:qFormat/>
    <w:locked/>
    <w:uiPriority w:val="99"/>
    <w:rPr>
      <w:rFonts w:ascii="宋体" w:hAnsi="Courier New" w:cs="宋体"/>
      <w:sz w:val="21"/>
      <w:szCs w:val="21"/>
    </w:rPr>
  </w:style>
  <w:style w:type="character" w:customStyle="1" w:styleId="34">
    <w:name w:val="正文文本缩进 2 Char"/>
    <w:basedOn w:val="22"/>
    <w:link w:val="11"/>
    <w:semiHidden/>
    <w:qFormat/>
    <w:locked/>
    <w:uiPriority w:val="99"/>
    <w:rPr>
      <w:sz w:val="21"/>
      <w:szCs w:val="21"/>
    </w:rPr>
  </w:style>
  <w:style w:type="character" w:customStyle="1" w:styleId="35">
    <w:name w:val="批注框文本 Char"/>
    <w:basedOn w:val="22"/>
    <w:link w:val="12"/>
    <w:semiHidden/>
    <w:qFormat/>
    <w:locked/>
    <w:uiPriority w:val="99"/>
    <w:rPr>
      <w:sz w:val="18"/>
      <w:szCs w:val="18"/>
    </w:rPr>
  </w:style>
  <w:style w:type="character" w:customStyle="1" w:styleId="36">
    <w:name w:val="页脚 Char"/>
    <w:basedOn w:val="22"/>
    <w:link w:val="13"/>
    <w:qFormat/>
    <w:locked/>
    <w:uiPriority w:val="99"/>
    <w:rPr>
      <w:sz w:val="18"/>
      <w:szCs w:val="18"/>
    </w:rPr>
  </w:style>
  <w:style w:type="character" w:customStyle="1" w:styleId="37">
    <w:name w:val="正文首行缩进 2 Char"/>
    <w:basedOn w:val="32"/>
    <w:link w:val="20"/>
    <w:semiHidden/>
    <w:qFormat/>
    <w:locked/>
    <w:uiPriority w:val="99"/>
  </w:style>
  <w:style w:type="character" w:customStyle="1" w:styleId="38">
    <w:name w:val="页眉 Char"/>
    <w:basedOn w:val="22"/>
    <w:link w:val="14"/>
    <w:qFormat/>
    <w:locked/>
    <w:uiPriority w:val="99"/>
    <w:rPr>
      <w:sz w:val="18"/>
      <w:szCs w:val="18"/>
    </w:rPr>
  </w:style>
  <w:style w:type="character" w:customStyle="1" w:styleId="39">
    <w:name w:val="副标题 Char"/>
    <w:basedOn w:val="22"/>
    <w:link w:val="16"/>
    <w:qFormat/>
    <w:locked/>
    <w:uiPriority w:val="99"/>
    <w:rPr>
      <w:rFonts w:ascii="Cambria" w:hAnsi="Cambria" w:cs="Cambria"/>
      <w:b/>
      <w:bCs/>
      <w:kern w:val="28"/>
      <w:sz w:val="32"/>
      <w:szCs w:val="32"/>
    </w:rPr>
  </w:style>
  <w:style w:type="paragraph" w:customStyle="1" w:styleId="40">
    <w:name w:val="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styleId="4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08A6E3-3086-4711-8D43-27BA221D671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30</Pages>
  <Words>2747</Words>
  <Characters>15658</Characters>
  <Lines>130</Lines>
  <Paragraphs>36</Paragraphs>
  <TotalTime>1</TotalTime>
  <ScaleCrop>false</ScaleCrop>
  <LinksUpToDate>false</LinksUpToDate>
  <CharactersWithSpaces>18369</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2019-09-11T05:50:00Z</dcterms:created>
  <dc:creator>AutoBVT</dc:creator>
  <cp:lastModifiedBy>Administrator</cp:lastModifiedBy>
  <dcterms:modified xsi:type="dcterms:W3CDTF">2020-01-17T06:34:35Z</dcterms:modified>
  <cp:revision>283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