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bookmarkStart w:id="0" w:name="_Toc485828985"/>
      <w:r>
        <w:drawing>
          <wp:anchor distT="0" distB="0" distL="114300" distR="114300" simplePos="0" relativeHeight="251659264" behindDoc="1" locked="0" layoutInCell="1" allowOverlap="1">
            <wp:simplePos x="0" y="0"/>
            <wp:positionH relativeFrom="column">
              <wp:posOffset>-779145</wp:posOffset>
            </wp:positionH>
            <wp:positionV relativeFrom="paragraph">
              <wp:posOffset>-1282700</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封面.jpg"/>
                    <pic:cNvPicPr>
                      <a:picLocks noChangeAspect="1" noChangeArrowheads="1"/>
                    </pic:cNvPicPr>
                  </pic:nvPicPr>
                  <pic:blipFill>
                    <a:blip r:embed="rId6"/>
                    <a:srcRect/>
                    <a:stretch>
                      <a:fillRect/>
                    </a:stretch>
                  </pic:blipFill>
                  <pic:spPr>
                    <a:xfrm>
                      <a:off x="0" y="0"/>
                      <a:ext cx="7644765" cy="10696575"/>
                    </a:xfrm>
                    <a:prstGeom prst="rect">
                      <a:avLst/>
                    </a:prstGeom>
                    <a:noFill/>
                  </pic:spPr>
                </pic:pic>
              </a:graphicData>
            </a:graphic>
          </wp:anchor>
        </w:drawing>
      </w:r>
    </w:p>
    <w:p>
      <w:pPr>
        <w:spacing w:line="400" w:lineRule="exact"/>
        <w:rPr>
          <w:rFonts w:cs="Times New Roman"/>
        </w:rPr>
      </w:pPr>
      <w:r>
        <w:pict>
          <v:shape id="文本框 2" o:spid="_x0000_s1028" o:spt="202" type="#_x0000_t202" style="position:absolute;left:0pt;margin-left:36.9pt;margin-top:586.45pt;height:110.7pt;width:419.1pt;z-index:251656192;mso-width-relative:page;mso-height-relative:page;" filled="f" stroked="f" coordsize="21600,21600">
            <v:path/>
            <v:fill on="f" focussize="0,0"/>
            <v:stroke on="f" joinstyle="miter"/>
            <v:imagedata o:title=""/>
            <o:lock v:ext="edit"/>
            <v:textbox>
              <w:txbxContent>
                <w:p>
                  <w:pPr>
                    <w:pStyle w:val="23"/>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责任编辑：庞浩明思</w:t>
                  </w:r>
                </w:p>
                <w:p>
                  <w:pPr>
                    <w:pStyle w:val="23"/>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18513790720</w:t>
                  </w:r>
                </w:p>
                <w:p>
                  <w:pPr>
                    <w:pStyle w:val="23"/>
                    <w:rPr>
                      <w:rFonts w:ascii="黑体" w:hAnsi="宋体" w:eastAsia="黑体" w:cs="黑体"/>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86-010-85725399</w:t>
                  </w:r>
                </w:p>
                <w:p>
                  <w:pPr>
                    <w:pStyle w:val="23"/>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编辑邮箱：</w:t>
                  </w:r>
                  <w:r>
                    <w:fldChar w:fldCharType="begin"/>
                  </w:r>
                  <w:r>
                    <w:instrText xml:space="preserve"> HYPERLINK "mailto:hljbsc2017zsw@163.com" </w:instrText>
                  </w:r>
                  <w:r>
                    <w:fldChar w:fldCharType="separate"/>
                  </w:r>
                  <w:r>
                    <w:rPr>
                      <w:rStyle w:val="16"/>
                      <w:rFonts w:ascii="黑体" w:hAnsi="宋体" w:eastAsia="黑体" w:cs="黑体"/>
                      <w:color w:val="auto"/>
                      <w:kern w:val="2"/>
                      <w:sz w:val="24"/>
                      <w:szCs w:val="24"/>
                      <w:u w:val="none"/>
                      <w:lang w:eastAsia="zh-CN"/>
                    </w:rPr>
                    <w:t>hljbsc2017zsw@163.com</w:t>
                  </w:r>
                  <w:r>
                    <w:rPr>
                      <w:rStyle w:val="16"/>
                      <w:rFonts w:ascii="黑体" w:hAnsi="宋体" w:eastAsia="黑体" w:cs="黑体"/>
                      <w:color w:val="auto"/>
                      <w:kern w:val="2"/>
                      <w:sz w:val="24"/>
                      <w:szCs w:val="24"/>
                      <w:u w:val="none"/>
                      <w:lang w:eastAsia="zh-CN"/>
                    </w:rPr>
                    <w:fldChar w:fldCharType="end"/>
                  </w:r>
                </w:p>
                <w:p>
                  <w:pPr>
                    <w:pStyle w:val="23"/>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地址：北京市朝阳区高碑店东区</w:t>
                  </w:r>
                  <w:r>
                    <w:rPr>
                      <w:rFonts w:ascii="黑体" w:hAnsi="宋体" w:eastAsia="黑体" w:cs="黑体"/>
                      <w:kern w:val="2"/>
                      <w:sz w:val="24"/>
                      <w:szCs w:val="24"/>
                      <w:lang w:eastAsia="zh-CN"/>
                    </w:rPr>
                    <w:t>B</w:t>
                  </w:r>
                  <w:r>
                    <w:rPr>
                      <w:rFonts w:hint="eastAsia" w:ascii="黑体" w:hAnsi="宋体" w:eastAsia="黑体" w:cs="黑体"/>
                      <w:kern w:val="2"/>
                      <w:sz w:val="24"/>
                      <w:szCs w:val="24"/>
                      <w:lang w:eastAsia="zh-CN"/>
                    </w:rPr>
                    <w:t>区</w:t>
                  </w:r>
                  <w:r>
                    <w:rPr>
                      <w:rFonts w:ascii="黑体" w:hAnsi="宋体" w:eastAsia="黑体" w:cs="黑体"/>
                      <w:kern w:val="2"/>
                      <w:sz w:val="24"/>
                      <w:szCs w:val="24"/>
                      <w:lang w:eastAsia="zh-CN"/>
                    </w:rPr>
                    <w:t xml:space="preserve">8-1 </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p>
                <w:p>
                  <w:pPr>
                    <w:jc w:val="left"/>
                    <w:rPr>
                      <w:rFonts w:cs="Times New Roman"/>
                    </w:rPr>
                  </w:pPr>
                </w:p>
                <w:p>
                  <w:pPr>
                    <w:jc w:val="left"/>
                    <w:rPr>
                      <w:rFonts w:cs="Times New Roman"/>
                    </w:rPr>
                  </w:pPr>
                </w:p>
              </w:txbxContent>
            </v:textbox>
          </v:shape>
        </w:pict>
      </w:r>
      <w:r>
        <w:pict>
          <v:shape id="文本框 3" o:spid="_x0000_s1029" o:spt="202" type="#_x0000_t202" style="position:absolute;left:0pt;margin-left:175.45pt;margin-top:490.7pt;height:54.1pt;width:126.6pt;z-index:251657216;mso-width-relative:page;mso-height-relative:page;" filled="f" stroked="f" coordsize="21600,21600">
            <v:path/>
            <v:fill on="f" focussize="0,0"/>
            <v:stroke on="f" joinstyle="miter"/>
            <v:imagedata o:title=""/>
            <o:lock v:ext="edit"/>
            <v:textbox>
              <w:txbxContent>
                <w:p>
                  <w:pPr>
                    <w:pStyle w:val="2"/>
                    <w:rPr>
                      <w:rFonts w:hint="default" w:eastAsia="黑体"/>
                      <w:lang w:val="en-US" w:eastAsia="zh-CN"/>
                    </w:rPr>
                  </w:pPr>
                  <w:bookmarkStart w:id="476" w:name="_Toc485981320"/>
                  <w:bookmarkStart w:id="477" w:name="_Toc485828984"/>
                  <w:bookmarkStart w:id="478" w:name="_Toc13217629"/>
                  <w:r>
                    <w:rPr>
                      <w:kern w:val="2"/>
                    </w:rPr>
                    <w:t>201</w:t>
                  </w:r>
                  <w:r>
                    <w:rPr>
                      <w:rFonts w:hint="eastAsia"/>
                      <w:kern w:val="2"/>
                    </w:rPr>
                    <w:t>9</w:t>
                  </w:r>
                  <w:r>
                    <w:rPr>
                      <w:kern w:val="2"/>
                    </w:rPr>
                    <w:t>.</w:t>
                  </w:r>
                  <w:bookmarkEnd w:id="476"/>
                  <w:bookmarkEnd w:id="477"/>
                  <w:r>
                    <w:rPr>
                      <w:rFonts w:hint="eastAsia"/>
                      <w:kern w:val="2"/>
                      <w:lang w:val="en-US" w:eastAsia="zh-CN"/>
                    </w:rPr>
                    <w:t>9</w:t>
                  </w:r>
                  <w:r>
                    <w:rPr>
                      <w:rFonts w:hint="eastAsia"/>
                      <w:kern w:val="2"/>
                    </w:rPr>
                    <w:t>.</w:t>
                  </w:r>
                  <w:bookmarkEnd w:id="478"/>
                  <w:r>
                    <w:rPr>
                      <w:rFonts w:hint="eastAsia"/>
                      <w:kern w:val="2"/>
                      <w:lang w:val="en-US" w:eastAsia="zh-CN"/>
                    </w:rPr>
                    <w:t>27</w:t>
                  </w:r>
                </w:p>
              </w:txbxContent>
            </v:textbox>
          </v:shape>
        </w:pict>
      </w:r>
      <w:r>
        <w:rPr>
          <w:rFonts w:cs="Times New Roman"/>
        </w:rPr>
        <w:br w:type="page"/>
      </w:r>
      <w:r>
        <w:rPr>
          <w:rFonts w:ascii="Times New Roman" w:eastAsia="黑体"/>
          <w:sz w:val="32"/>
          <w:szCs w:val="32"/>
        </w:rPr>
        <w:pict>
          <v:shape id="_x0000_s1030" o:spid="_x0000_s1030" o:spt="202" type="#_x0000_t202" style="position:absolute;left:0pt;margin-left:-0.9pt;margin-top:34.7pt;height:565.3pt;width:492pt;z-index:251658240;mso-width-relative:page;mso-height-relative:page;" filled="f" stroked="f" coordsize="21600,21600">
            <v:path/>
            <v:fill on="f" focussize="0,0"/>
            <v:stroke on="f" joinstyle="miter"/>
            <v:imagedata o:title=""/>
            <o:lock v:ext="edit"/>
            <v:textbox>
              <w:txbxContent>
                <w:p>
                  <w:pPr>
                    <w:pStyle w:val="23"/>
                    <w:spacing w:line="240" w:lineRule="auto"/>
                    <w:jc w:val="center"/>
                    <w:outlineLvl w:val="0"/>
                    <w:rPr>
                      <w:rFonts w:ascii="宋体" w:cs="Times New Roman"/>
                      <w:b/>
                      <w:bCs/>
                      <w:color w:val="000080"/>
                      <w:sz w:val="28"/>
                      <w:szCs w:val="28"/>
                      <w:lang w:eastAsia="zh-CN"/>
                    </w:rPr>
                  </w:pPr>
                  <w:bookmarkStart w:id="479" w:name="_Toc13217630"/>
                  <w:r>
                    <w:rPr>
                      <w:rFonts w:hint="eastAsia" w:ascii="宋体" w:hAnsi="宋体" w:cs="宋体"/>
                      <w:b/>
                      <w:bCs/>
                      <w:color w:val="000080"/>
                      <w:sz w:val="28"/>
                      <w:szCs w:val="28"/>
                      <w:lang w:eastAsia="zh-CN"/>
                    </w:rPr>
                    <w:t>氯碱市场周报目录</w:t>
                  </w:r>
                  <w:bookmarkEnd w:id="479"/>
                  <w:r>
                    <w:rPr>
                      <w:rFonts w:ascii="宋体" w:cs="Times New Roman"/>
                      <w:b/>
                      <w:bCs/>
                      <w:color w:val="000000"/>
                      <w:sz w:val="28"/>
                      <w:szCs w:val="28"/>
                      <w:lang w:eastAsia="zh-CN"/>
                    </w:rPr>
                    <w:tab/>
                  </w:r>
                  <w:r>
                    <w:rPr>
                      <w:rFonts w:ascii="宋体" w:cs="Times New Roman"/>
                      <w:b/>
                      <w:bCs/>
                      <w:color w:val="000000"/>
                      <w:sz w:val="28"/>
                      <w:szCs w:val="28"/>
                      <w:lang w:eastAsia="zh-CN"/>
                    </w:rPr>
                    <w:tab/>
                  </w:r>
                </w:p>
                <w:p>
                  <w:pPr>
                    <w:pStyle w:val="9"/>
                    <w:rPr>
                      <w:rFonts w:asciiTheme="minorHAnsi" w:hAnsiTheme="minorHAnsi" w:eastAsiaTheme="minorEastAsia" w:cstheme="minorBidi"/>
                      <w:b w:val="0"/>
                      <w:bCs w:val="0"/>
                      <w:caps w:val="0"/>
                      <w:color w:val="auto"/>
                      <w:sz w:val="21"/>
                      <w:szCs w:val="22"/>
                    </w:rPr>
                  </w:pPr>
                  <w:r>
                    <w:fldChar w:fldCharType="begin"/>
                  </w:r>
                  <w:r>
                    <w:instrText xml:space="preserve"> TOC \o "1-3" \h \z \u </w:instrText>
                  </w:r>
                  <w:r>
                    <w:fldChar w:fldCharType="separate"/>
                  </w:r>
                  <w:r>
                    <w:fldChar w:fldCharType="begin"/>
                  </w:r>
                  <w:r>
                    <w:instrText xml:space="preserve"> HYPERLINK "file:///C:\\Users\\Administrator.USER-20170424GR\\Desktop\\我之前\\周报\\周报\\氯碱.docx" \l "_Toc13217629" </w:instrText>
                  </w:r>
                  <w:r>
                    <w:fldChar w:fldCharType="separate"/>
                  </w:r>
                  <w:r>
                    <w:rPr>
                      <w:rStyle w:val="16"/>
                    </w:rPr>
                    <w:t>2019.</w:t>
                  </w:r>
                  <w:r>
                    <w:rPr>
                      <w:rStyle w:val="16"/>
                      <w:rFonts w:hint="eastAsia"/>
                      <w:lang w:val="en-US" w:eastAsia="zh-CN"/>
                    </w:rPr>
                    <w:t>9</w:t>
                  </w:r>
                  <w:r>
                    <w:rPr>
                      <w:rStyle w:val="16"/>
                    </w:rPr>
                    <w:t>.</w:t>
                  </w:r>
                  <w:r>
                    <w:rPr>
                      <w:rStyle w:val="16"/>
                      <w:rFonts w:hint="eastAsia"/>
                      <w:lang w:val="en-US" w:eastAsia="zh-CN"/>
                    </w:rPr>
                    <w:t>27</w:t>
                  </w:r>
                  <w:r>
                    <w:tab/>
                  </w:r>
                  <w:r>
                    <w:fldChar w:fldCharType="begin"/>
                  </w:r>
                  <w:r>
                    <w:instrText xml:space="preserve"> PAGEREF _Toc13217629 \h </w:instrText>
                  </w:r>
                  <w:r>
                    <w:fldChar w:fldCharType="separate"/>
                  </w:r>
                  <w:r>
                    <w:t>1</w:t>
                  </w:r>
                  <w:r>
                    <w:fldChar w:fldCharType="end"/>
                  </w:r>
                  <w:r>
                    <w:fldChar w:fldCharType="end"/>
                  </w:r>
                </w:p>
                <w:p>
                  <w:pPr>
                    <w:pStyle w:val="9"/>
                    <w:rPr>
                      <w:rFonts w:asciiTheme="minorHAnsi" w:hAnsiTheme="minorHAnsi" w:eastAsiaTheme="minorEastAsia" w:cstheme="minorBidi"/>
                      <w:b w:val="0"/>
                      <w:bCs w:val="0"/>
                      <w:caps w:val="0"/>
                      <w:color w:val="auto"/>
                      <w:sz w:val="21"/>
                      <w:szCs w:val="22"/>
                    </w:rPr>
                  </w:pPr>
                  <w:r>
                    <w:fldChar w:fldCharType="begin"/>
                  </w:r>
                  <w:r>
                    <w:instrText xml:space="preserve"> HYPERLINK "file:///C:\\Users\\Administrator.USER-20170424GR\\Desktop\\我之前\\周报\\周报\\氯碱.docx" \l "_Toc13217630" </w:instrText>
                  </w:r>
                  <w:r>
                    <w:fldChar w:fldCharType="separate"/>
                  </w:r>
                  <w:r>
                    <w:rPr>
                      <w:rStyle w:val="16"/>
                      <w:rFonts w:hint="eastAsia"/>
                    </w:rPr>
                    <w:t>氯碱市场周报目录</w:t>
                  </w:r>
                  <w:r>
                    <w:tab/>
                  </w:r>
                  <w:r>
                    <w:fldChar w:fldCharType="begin"/>
                  </w:r>
                  <w:r>
                    <w:instrText xml:space="preserve"> PAGEREF _Toc13217630 \h </w:instrText>
                  </w:r>
                  <w:r>
                    <w:fldChar w:fldCharType="separate"/>
                  </w:r>
                  <w:r>
                    <w:t>2</w:t>
                  </w:r>
                  <w:r>
                    <w:fldChar w:fldCharType="end"/>
                  </w:r>
                  <w:r>
                    <w:fldChar w:fldCharType="end"/>
                  </w:r>
                </w:p>
                <w:p>
                  <w:pPr>
                    <w:pStyle w:val="9"/>
                    <w:rPr>
                      <w:rFonts w:asciiTheme="minorHAnsi" w:hAnsiTheme="minorHAnsi" w:eastAsiaTheme="minorEastAsia" w:cstheme="minorBidi"/>
                      <w:b w:val="0"/>
                      <w:bCs w:val="0"/>
                      <w:caps w:val="0"/>
                      <w:color w:val="auto"/>
                      <w:sz w:val="21"/>
                      <w:szCs w:val="22"/>
                    </w:rPr>
                  </w:pPr>
                  <w:r>
                    <w:fldChar w:fldCharType="begin"/>
                  </w:r>
                  <w:r>
                    <w:instrText xml:space="preserve"> HYPERLINK \l "_Toc13217631" </w:instrText>
                  </w:r>
                  <w:r>
                    <w:fldChar w:fldCharType="separate"/>
                  </w:r>
                  <w:r>
                    <w:rPr>
                      <w:rStyle w:val="16"/>
                      <w:rFonts w:hint="eastAsia" w:cs="黑体"/>
                    </w:rPr>
                    <w:t>纯碱</w:t>
                  </w:r>
                  <w:r>
                    <w:tab/>
                  </w:r>
                  <w:r>
                    <w:fldChar w:fldCharType="begin"/>
                  </w:r>
                  <w:r>
                    <w:instrText xml:space="preserve"> PAGEREF _Toc13217631 \h </w:instrText>
                  </w:r>
                  <w:r>
                    <w:fldChar w:fldCharType="separate"/>
                  </w:r>
                  <w:r>
                    <w:t>3</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"_Toc13217632" </w:instrText>
                  </w:r>
                  <w:r>
                    <w:fldChar w:fldCharType="separate"/>
                  </w:r>
                  <w:r>
                    <w:rPr>
                      <w:rStyle w:val="16"/>
                      <w:rFonts w:hint="eastAsia" w:ascii="黑体" w:hAnsi="黑体" w:eastAsia="黑体" w:cs="黑体"/>
                    </w:rPr>
                    <w:t>评述：本周纯碱市场评述及行情预测</w:t>
                  </w:r>
                  <w:r>
                    <w:tab/>
                  </w:r>
                  <w:r>
                    <w:fldChar w:fldCharType="begin"/>
                  </w:r>
                  <w:r>
                    <w:instrText xml:space="preserve"> PAGEREF _Toc13217632 \h </w:instrText>
                  </w:r>
                  <w:r>
                    <w:fldChar w:fldCharType="separate"/>
                  </w:r>
                  <w:r>
                    <w:t>3</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"_Toc13217633" </w:instrText>
                  </w:r>
                  <w:r>
                    <w:fldChar w:fldCharType="separate"/>
                  </w:r>
                  <w:r>
                    <w:rPr>
                      <w:rStyle w:val="16"/>
                      <w:rFonts w:hint="eastAsia" w:ascii="黑体" w:hAnsi="黑体" w:eastAsia="黑体" w:cs="黑体"/>
                      <w:kern w:val="0"/>
                    </w:rPr>
                    <w:t>一、纯碱市场一周综述</w:t>
                  </w:r>
                  <w:r>
                    <w:tab/>
                  </w:r>
                  <w:r>
                    <w:fldChar w:fldCharType="begin"/>
                  </w:r>
                  <w:r>
                    <w:instrText xml:space="preserve"> PAGEREF _Toc13217633 \h </w:instrText>
                  </w:r>
                  <w:r>
                    <w:fldChar w:fldCharType="separate"/>
                  </w:r>
                  <w:r>
                    <w:t>3</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"_Toc13217634" </w:instrText>
                  </w:r>
                  <w:r>
                    <w:fldChar w:fldCharType="separate"/>
                  </w:r>
                  <w:r>
                    <w:rPr>
                      <w:rStyle w:val="16"/>
                      <w:rFonts w:hint="eastAsia" w:ascii="黑体" w:hAnsi="黑体" w:eastAsia="黑体" w:cs="黑体"/>
                    </w:rPr>
                    <w:t>二、 影响市场因素及后市预测</w:t>
                  </w:r>
                  <w:r>
                    <w:tab/>
                  </w:r>
                  <w:r>
                    <w:fldChar w:fldCharType="begin"/>
                  </w:r>
                  <w:r>
                    <w:instrText xml:space="preserve"> PAGEREF _Toc13217634 \h </w:instrText>
                  </w:r>
                  <w:r>
                    <w:fldChar w:fldCharType="separate"/>
                  </w:r>
                  <w:r>
                    <w:t>4</w:t>
                  </w:r>
                  <w:r>
                    <w:fldChar w:fldCharType="end"/>
                  </w:r>
                  <w:r>
                    <w:fldChar w:fldCharType="end"/>
                  </w:r>
                </w:p>
                <w:p>
                  <w:pPr>
                    <w:pStyle w:val="5"/>
                    <w:tabs>
                      <w:tab w:val="right" w:leader="dot" w:pos="8494"/>
                    </w:tabs>
                    <w:rPr>
                      <w:rFonts w:asciiTheme="minorHAnsi" w:hAnsiTheme="minorHAnsi" w:eastAsiaTheme="minorEastAsia" w:cstheme="minorBidi"/>
                      <w:szCs w:val="22"/>
                    </w:rPr>
                  </w:pPr>
                  <w:r>
                    <w:fldChar w:fldCharType="begin"/>
                  </w:r>
                  <w:r>
                    <w:instrText xml:space="preserve"> HYPERLINK \l "_Toc13217635" </w:instrText>
                  </w:r>
                  <w:r>
                    <w:fldChar w:fldCharType="separate"/>
                  </w:r>
                  <w:r>
                    <w:rPr>
                      <w:rStyle w:val="16"/>
                      <w:rFonts w:hint="eastAsia"/>
                      <w:b/>
                      <w:bCs/>
                    </w:rPr>
                    <w:t>本周国内纯碱市场价格</w:t>
                  </w:r>
                  <w:r>
                    <w:tab/>
                  </w:r>
                  <w:r>
                    <w:fldChar w:fldCharType="begin"/>
                  </w:r>
                  <w:r>
                    <w:instrText xml:space="preserve"> PAGEREF _Toc13217635 \h </w:instrText>
                  </w:r>
                  <w:r>
                    <w:fldChar w:fldCharType="separate"/>
                  </w:r>
                  <w:r>
                    <w:t>5</w:t>
                  </w:r>
                  <w:r>
                    <w:fldChar w:fldCharType="end"/>
                  </w:r>
                  <w:r>
                    <w:fldChar w:fldCharType="end"/>
                  </w:r>
                </w:p>
                <w:p>
                  <w:pPr>
                    <w:pStyle w:val="9"/>
                    <w:rPr>
                      <w:rFonts w:asciiTheme="minorHAnsi" w:hAnsiTheme="minorHAnsi" w:eastAsiaTheme="minorEastAsia" w:cstheme="minorBidi"/>
                      <w:b w:val="0"/>
                      <w:bCs w:val="0"/>
                      <w:caps w:val="0"/>
                      <w:color w:val="auto"/>
                      <w:sz w:val="21"/>
                      <w:szCs w:val="22"/>
                    </w:rPr>
                  </w:pPr>
                  <w:r>
                    <w:fldChar w:fldCharType="begin"/>
                  </w:r>
                  <w:r>
                    <w:instrText xml:space="preserve"> HYPERLINK \l "_Toc13217636" </w:instrText>
                  </w:r>
                  <w:r>
                    <w:fldChar w:fldCharType="separate"/>
                  </w:r>
                  <w:r>
                    <w:rPr>
                      <w:rStyle w:val="16"/>
                      <w:rFonts w:hint="eastAsia" w:cs="黑体"/>
                    </w:rPr>
                    <w:t>烧碱</w:t>
                  </w:r>
                  <w:r>
                    <w:tab/>
                  </w:r>
                  <w:r>
                    <w:fldChar w:fldCharType="begin"/>
                  </w:r>
                  <w:r>
                    <w:instrText xml:space="preserve"> PAGEREF _Toc13217636 \h </w:instrText>
                  </w:r>
                  <w:r>
                    <w:fldChar w:fldCharType="separate"/>
                  </w:r>
                  <w:r>
                    <w:t>5</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"_Toc13217637" </w:instrText>
                  </w:r>
                  <w:r>
                    <w:fldChar w:fldCharType="separate"/>
                  </w:r>
                  <w:r>
                    <w:rPr>
                      <w:rStyle w:val="16"/>
                      <w:rFonts w:hint="eastAsia" w:ascii="黑体" w:hAnsi="黑体" w:eastAsia="黑体" w:cs="黑体"/>
                    </w:rPr>
                    <w:t>中国烧碱市场行情综述</w:t>
                  </w:r>
                  <w:r>
                    <w:tab/>
                  </w:r>
                  <w:r>
                    <w:fldChar w:fldCharType="begin"/>
                  </w:r>
                  <w:r>
                    <w:instrText xml:space="preserve"> PAGEREF _Toc13217637 \h </w:instrText>
                  </w:r>
                  <w:r>
                    <w:fldChar w:fldCharType="separate"/>
                  </w:r>
                  <w:r>
                    <w:t>5</w:t>
                  </w:r>
                  <w:r>
                    <w:fldChar w:fldCharType="end"/>
                  </w:r>
                  <w:r>
                    <w:fldChar w:fldCharType="end"/>
                  </w:r>
                </w:p>
                <w:p>
                  <w:pPr>
                    <w:pStyle w:val="11"/>
                    <w:tabs>
                      <w:tab w:val="left" w:pos="1050"/>
                    </w:tabs>
                    <w:rPr>
                      <w:rFonts w:asciiTheme="minorHAnsi" w:hAnsiTheme="minorHAnsi" w:eastAsiaTheme="minorEastAsia" w:cstheme="minorBidi"/>
                      <w:b w:val="0"/>
                      <w:bCs w:val="0"/>
                      <w:smallCaps w:val="0"/>
                      <w:color w:val="auto"/>
                      <w:sz w:val="21"/>
                      <w:szCs w:val="22"/>
                    </w:rPr>
                  </w:pPr>
                  <w:r>
                    <w:fldChar w:fldCharType="begin"/>
                  </w:r>
                  <w:r>
                    <w:instrText xml:space="preserve"> HYPERLINK \l "_Toc13217638" </w:instrText>
                  </w:r>
                  <w:r>
                    <w:fldChar w:fldCharType="separate"/>
                  </w:r>
                  <w:r>
                    <w:rPr>
                      <w:rStyle w:val="16"/>
                      <w:rFonts w:hint="eastAsia" w:ascii="黑体" w:hAnsi="黑体" w:eastAsia="黑体" w:cs="黑体"/>
                    </w:rPr>
                    <w:t>一、</w:t>
                  </w:r>
                  <w:r>
                    <w:rPr>
                      <w:rFonts w:asciiTheme="minorHAnsi" w:hAnsiTheme="minorHAnsi" w:eastAsiaTheme="minorEastAsia" w:cstheme="minorBidi"/>
                      <w:b w:val="0"/>
                      <w:bCs w:val="0"/>
                      <w:smallCaps w:val="0"/>
                      <w:color w:val="auto"/>
                      <w:sz w:val="21"/>
                      <w:szCs w:val="22"/>
                    </w:rPr>
                    <w:tab/>
                  </w:r>
                  <w:r>
                    <w:rPr>
                      <w:rStyle w:val="16"/>
                      <w:rFonts w:hint="eastAsia" w:ascii="黑体" w:hAnsi="黑体" w:eastAsia="黑体" w:cs="黑体"/>
                    </w:rPr>
                    <w:t>市场综述</w:t>
                  </w:r>
                  <w:r>
                    <w:tab/>
                  </w:r>
                  <w:r>
                    <w:fldChar w:fldCharType="begin"/>
                  </w:r>
                  <w:r>
                    <w:instrText xml:space="preserve"> PAGEREF _Toc13217638 \h </w:instrText>
                  </w:r>
                  <w:r>
                    <w:fldChar w:fldCharType="separate"/>
                  </w:r>
                  <w:r>
                    <w:t>5</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"_Toc13217639" </w:instrText>
                  </w:r>
                  <w:r>
                    <w:fldChar w:fldCharType="separate"/>
                  </w:r>
                  <w:r>
                    <w:rPr>
                      <w:rStyle w:val="16"/>
                      <w:rFonts w:hint="eastAsia"/>
                    </w:rPr>
                    <w:t>二、价格方面</w:t>
                  </w:r>
                  <w:r>
                    <w:tab/>
                  </w:r>
                  <w:r>
                    <w:fldChar w:fldCharType="begin"/>
                  </w:r>
                  <w:r>
                    <w:instrText xml:space="preserve"> PAGEREF _Toc13217639 \h </w:instrText>
                  </w:r>
                  <w:r>
                    <w:fldChar w:fldCharType="separate"/>
                  </w:r>
                  <w:r>
                    <w:t>6</w:t>
                  </w:r>
                  <w:r>
                    <w:fldChar w:fldCharType="end"/>
                  </w:r>
                  <w:r>
                    <w:fldChar w:fldCharType="end"/>
                  </w:r>
                </w:p>
                <w:p>
                  <w:pPr>
                    <w:pStyle w:val="5"/>
                    <w:tabs>
                      <w:tab w:val="right" w:leader="dot" w:pos="8494"/>
                    </w:tabs>
                    <w:rPr>
                      <w:rFonts w:asciiTheme="minorHAnsi" w:hAnsiTheme="minorHAnsi" w:eastAsiaTheme="minorEastAsia" w:cstheme="minorBidi"/>
                      <w:szCs w:val="22"/>
                    </w:rPr>
                  </w:pPr>
                  <w:r>
                    <w:fldChar w:fldCharType="begin"/>
                  </w:r>
                  <w:r>
                    <w:instrText xml:space="preserve"> HYPERLINK \l "_Toc13217640" </w:instrText>
                  </w:r>
                  <w:r>
                    <w:fldChar w:fldCharType="separate"/>
                  </w:r>
                  <w:r>
                    <w:rPr>
                      <w:rStyle w:val="16"/>
                      <w:rFonts w:hint="eastAsia"/>
                      <w:b/>
                      <w:bCs/>
                    </w:rPr>
                    <w:t>本周国内片碱实际成交周汇总</w:t>
                  </w:r>
                  <w:r>
                    <w:tab/>
                  </w:r>
                  <w:r>
                    <w:fldChar w:fldCharType="begin"/>
                  </w:r>
                  <w:r>
                    <w:instrText xml:space="preserve"> PAGEREF _Toc13217640 \h </w:instrText>
                  </w:r>
                  <w:r>
                    <w:fldChar w:fldCharType="separate"/>
                  </w:r>
                  <w:r>
                    <w:t>7</w:t>
                  </w:r>
                  <w:r>
                    <w:fldChar w:fldCharType="end"/>
                  </w:r>
                  <w:r>
                    <w:fldChar w:fldCharType="end"/>
                  </w:r>
                </w:p>
                <w:p>
                  <w:pPr>
                    <w:pStyle w:val="9"/>
                    <w:rPr>
                      <w:rFonts w:asciiTheme="minorHAnsi" w:hAnsiTheme="minorHAnsi" w:eastAsiaTheme="minorEastAsia" w:cstheme="minorBidi"/>
                      <w:b w:val="0"/>
                      <w:bCs w:val="0"/>
                      <w:caps w:val="0"/>
                      <w:color w:val="auto"/>
                      <w:sz w:val="21"/>
                      <w:szCs w:val="22"/>
                    </w:rPr>
                  </w:pPr>
                  <w:r>
                    <w:fldChar w:fldCharType="begin"/>
                  </w:r>
                  <w:r>
                    <w:instrText xml:space="preserve"> HYPERLINK \l "_Toc13217641" </w:instrText>
                  </w:r>
                  <w:r>
                    <w:fldChar w:fldCharType="separate"/>
                  </w:r>
                  <w:r>
                    <w:rPr>
                      <w:rStyle w:val="16"/>
                      <w:rFonts w:hint="eastAsia" w:cs="黑体"/>
                    </w:rPr>
                    <w:t>液氯</w:t>
                  </w:r>
                  <w:r>
                    <w:tab/>
                  </w:r>
                  <w:r>
                    <w:fldChar w:fldCharType="begin"/>
                  </w:r>
                  <w:r>
                    <w:instrText xml:space="preserve"> PAGEREF _Toc13217641 \h </w:instrText>
                  </w:r>
                  <w:r>
                    <w:fldChar w:fldCharType="separate"/>
                  </w:r>
                  <w:r>
                    <w:t>8</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"_Toc13217642" </w:instrText>
                  </w:r>
                  <w:r>
                    <w:fldChar w:fldCharType="separate"/>
                  </w:r>
                  <w:r>
                    <w:rPr>
                      <w:rStyle w:val="16"/>
                      <w:rFonts w:hint="eastAsia" w:ascii="黑体" w:hAnsi="黑体" w:eastAsia="黑体" w:cs="黑体"/>
                    </w:rPr>
                    <w:t>评述：本周国内液氯市场评述及行情预测</w:t>
                  </w:r>
                  <w:r>
                    <w:tab/>
                  </w:r>
                  <w:r>
                    <w:fldChar w:fldCharType="begin"/>
                  </w:r>
                  <w:r>
                    <w:instrText xml:space="preserve"> PAGEREF _Toc13217642 \h </w:instrText>
                  </w:r>
                  <w:r>
                    <w:fldChar w:fldCharType="separate"/>
                  </w:r>
                  <w:r>
                    <w:t>8</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"_Toc13217643" </w:instrText>
                  </w:r>
                  <w:r>
                    <w:fldChar w:fldCharType="separate"/>
                  </w:r>
                  <w:r>
                    <w:rPr>
                      <w:rStyle w:val="16"/>
                      <w:rFonts w:hint="eastAsia" w:ascii="黑体" w:hAnsi="黑体" w:eastAsia="黑体" w:cs="黑体"/>
                    </w:rPr>
                    <w:t>一、中国液氯市场行情综述</w:t>
                  </w:r>
                  <w:r>
                    <w:tab/>
                  </w:r>
                  <w:r>
                    <w:fldChar w:fldCharType="begin"/>
                  </w:r>
                  <w:r>
                    <w:instrText xml:space="preserve"> PAGEREF _Toc13217643 \h </w:instrText>
                  </w:r>
                  <w:r>
                    <w:fldChar w:fldCharType="separate"/>
                  </w:r>
                  <w:r>
                    <w:t>8</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"_Toc13217644" </w:instrText>
                  </w:r>
                  <w:r>
                    <w:fldChar w:fldCharType="separate"/>
                  </w:r>
                  <w:r>
                    <w:rPr>
                      <w:rStyle w:val="16"/>
                      <w:rFonts w:hint="eastAsia" w:ascii="黑体" w:hAnsi="黑体" w:eastAsia="黑体" w:cs="黑体"/>
                    </w:rPr>
                    <w:t>二、市场价格</w:t>
                  </w:r>
                  <w:r>
                    <w:tab/>
                  </w:r>
                  <w:r>
                    <w:fldChar w:fldCharType="begin"/>
                  </w:r>
                  <w:r>
                    <w:instrText xml:space="preserve"> PAGEREF _Toc13217644 \h </w:instrText>
                  </w:r>
                  <w:r>
                    <w:fldChar w:fldCharType="separate"/>
                  </w:r>
                  <w:r>
                    <w:t>9</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"_Toc13217645" </w:instrText>
                  </w:r>
                  <w:r>
                    <w:fldChar w:fldCharType="separate"/>
                  </w:r>
                  <w:r>
                    <w:rPr>
                      <w:rStyle w:val="16"/>
                      <w:rFonts w:hint="eastAsia" w:ascii="黑体" w:hAnsi="黑体" w:eastAsia="黑体" w:cs="黑体"/>
                    </w:rPr>
                    <w:t>三、山东市场分析</w:t>
                  </w:r>
                  <w:r>
                    <w:tab/>
                  </w:r>
                  <w:r>
                    <w:fldChar w:fldCharType="begin"/>
                  </w:r>
                  <w:r>
                    <w:instrText xml:space="preserve"> PAGEREF _Toc13217645 \h </w:instrText>
                  </w:r>
                  <w:r>
                    <w:fldChar w:fldCharType="separate"/>
                  </w:r>
                  <w:r>
                    <w:t>9</w:t>
                  </w:r>
                  <w:r>
                    <w:fldChar w:fldCharType="end"/>
                  </w:r>
                  <w:r>
                    <w:fldChar w:fldCharType="end"/>
                  </w:r>
                </w:p>
                <w:p>
                  <w:pPr>
                    <w:pStyle w:val="11"/>
                    <w:rPr>
                      <w:rFonts w:asciiTheme="minorHAnsi" w:hAnsiTheme="minorHAnsi" w:eastAsiaTheme="minorEastAsia" w:cstheme="minorBidi"/>
                      <w:b w:val="0"/>
                      <w:bCs w:val="0"/>
                      <w:smallCaps w:val="0"/>
                      <w:color w:val="auto"/>
                      <w:sz w:val="21"/>
                      <w:szCs w:val="22"/>
                    </w:rPr>
                  </w:pPr>
                  <w:r>
                    <w:fldChar w:fldCharType="begin"/>
                  </w:r>
                  <w:r>
                    <w:instrText xml:space="preserve"> HYPERLINK \l "_Toc13217646" </w:instrText>
                  </w:r>
                  <w:r>
                    <w:fldChar w:fldCharType="separate"/>
                  </w:r>
                  <w:r>
                    <w:rPr>
                      <w:rStyle w:val="16"/>
                      <w:rFonts w:hint="eastAsia" w:ascii="黑体" w:hAnsi="黑体" w:eastAsia="黑体" w:cs="黑体"/>
                    </w:rPr>
                    <w:t>四、后市分析</w:t>
                  </w:r>
                  <w:r>
                    <w:tab/>
                  </w:r>
                  <w:r>
                    <w:fldChar w:fldCharType="begin"/>
                  </w:r>
                  <w:r>
                    <w:instrText xml:space="preserve"> PAGEREF _Toc13217646 \h </w:instrText>
                  </w:r>
                  <w:r>
                    <w:fldChar w:fldCharType="separate"/>
                  </w:r>
                  <w:r>
                    <w:t>10</w:t>
                  </w:r>
                  <w:r>
                    <w:fldChar w:fldCharType="end"/>
                  </w:r>
                  <w:r>
                    <w:fldChar w:fldCharType="end"/>
                  </w:r>
                </w:p>
                <w:p>
                  <w:pPr>
                    <w:pStyle w:val="5"/>
                    <w:tabs>
                      <w:tab w:val="right" w:leader="dot" w:pos="8494"/>
                    </w:tabs>
                    <w:rPr>
                      <w:rFonts w:asciiTheme="minorHAnsi" w:hAnsiTheme="minorHAnsi" w:eastAsiaTheme="minorEastAsia" w:cstheme="minorBidi"/>
                      <w:szCs w:val="22"/>
                    </w:rPr>
                  </w:pPr>
                  <w:r>
                    <w:fldChar w:fldCharType="begin"/>
                  </w:r>
                  <w:r>
                    <w:instrText xml:space="preserve"> HYPERLINK \l "_Toc13217647" </w:instrText>
                  </w:r>
                  <w:r>
                    <w:fldChar w:fldCharType="separate"/>
                  </w:r>
                  <w:r>
                    <w:rPr>
                      <w:rStyle w:val="16"/>
                      <w:rFonts w:hint="eastAsia"/>
                      <w:b/>
                      <w:bCs/>
                    </w:rPr>
                    <w:t>国内地区市场价格</w:t>
                  </w:r>
                  <w:r>
                    <w:tab/>
                  </w:r>
                  <w:r>
                    <w:fldChar w:fldCharType="begin"/>
                  </w:r>
                  <w:r>
                    <w:instrText xml:space="preserve"> PAGEREF _Toc13217647 \h </w:instrText>
                  </w:r>
                  <w:r>
                    <w:fldChar w:fldCharType="separate"/>
                  </w:r>
                  <w:r>
                    <w:t>10</w:t>
                  </w:r>
                  <w:r>
                    <w:fldChar w:fldCharType="end"/>
                  </w:r>
                  <w:r>
                    <w:fldChar w:fldCharType="end"/>
                  </w:r>
                </w:p>
                <w:p>
                  <w:pPr>
                    <w:rPr>
                      <w:rFonts w:cs="Times New Roman"/>
                    </w:rPr>
                  </w:pPr>
                  <w:r>
                    <w:fldChar w:fldCharType="end"/>
                  </w:r>
                </w:p>
              </w:txbxContent>
            </v:textbox>
          </v:shape>
        </w:pict>
      </w:r>
      <w:r>
        <w:br w:type="page"/>
      </w:r>
      <w:bookmarkEnd w:id="0"/>
    </w:p>
    <w:p>
      <w:pPr>
        <w:pStyle w:val="2"/>
        <w:spacing w:line="400" w:lineRule="exact"/>
        <w:jc w:val="center"/>
        <w:rPr>
          <w:rStyle w:val="24"/>
          <w:color w:val="auto"/>
          <w:highlight w:val="none"/>
        </w:rPr>
      </w:pPr>
      <w:bookmarkStart w:id="1" w:name="_Toc527101790"/>
      <w:bookmarkStart w:id="2" w:name="_Toc534915165"/>
      <w:bookmarkStart w:id="3" w:name="_Toc527705000"/>
      <w:bookmarkStart w:id="4" w:name="_Toc519848557"/>
      <w:bookmarkStart w:id="5" w:name="_Toc518031999"/>
      <w:bookmarkStart w:id="6" w:name="_Toc9583952"/>
      <w:bookmarkStart w:id="7" w:name="_Toc532564063"/>
      <w:bookmarkStart w:id="8" w:name="_Toc525306463"/>
      <w:bookmarkStart w:id="9" w:name="_Toc12609903"/>
      <w:bookmarkStart w:id="10" w:name="_Toc13217631"/>
      <w:bookmarkStart w:id="11" w:name="_Toc522870760"/>
      <w:bookmarkStart w:id="12" w:name="_Toc485981321"/>
      <w:bookmarkStart w:id="13" w:name="_Toc524701464"/>
      <w:bookmarkStart w:id="14" w:name="_Toc392240276"/>
      <w:bookmarkStart w:id="15" w:name="_Toc516839084"/>
      <w:bookmarkStart w:id="16" w:name="_Toc530750139"/>
      <w:bookmarkStart w:id="17" w:name="_Toc4654028"/>
      <w:bookmarkStart w:id="18" w:name="_Toc10202308"/>
      <w:bookmarkStart w:id="19" w:name="_Toc1394100"/>
      <w:bookmarkStart w:id="20" w:name="_Toc9597659"/>
      <w:bookmarkStart w:id="21" w:name="_Toc521057601"/>
      <w:bookmarkStart w:id="22" w:name="_Toc536540307"/>
      <w:bookmarkStart w:id="23" w:name="_Toc516234897"/>
      <w:bookmarkStart w:id="24" w:name="_Toc533149330"/>
      <w:bookmarkStart w:id="25" w:name="_Toc4139106"/>
      <w:bookmarkStart w:id="26" w:name="_Toc524091681"/>
      <w:bookmarkStart w:id="27" w:name="_Toc532564260"/>
      <w:bookmarkStart w:id="28" w:name="_Toc4767063"/>
      <w:bookmarkStart w:id="29" w:name="_Toc536789785"/>
      <w:bookmarkStart w:id="30" w:name="_Toc522870751"/>
      <w:bookmarkStart w:id="31" w:name="_Toc515610373"/>
      <w:bookmarkStart w:id="32" w:name="_Toc522870769"/>
      <w:bookmarkStart w:id="33" w:name="_Toc522280054"/>
      <w:bookmarkStart w:id="34" w:name="_Toc516234891"/>
      <w:bookmarkStart w:id="35" w:name="_Toc520465076"/>
      <w:bookmarkStart w:id="36" w:name="_Toc532564037"/>
      <w:bookmarkStart w:id="37" w:name="_Toc531954272"/>
      <w:bookmarkStart w:id="38" w:name="_Toc522259764"/>
      <w:bookmarkStart w:id="39" w:name="_Toc528930993"/>
      <w:bookmarkStart w:id="40" w:name="_Toc525306474"/>
      <w:bookmarkStart w:id="41" w:name="_Toc1035930"/>
      <w:bookmarkStart w:id="42" w:name="_Toc518638259"/>
      <w:bookmarkStart w:id="43" w:name="_Toc522870745"/>
      <w:bookmarkStart w:id="44" w:name="_Toc525912526"/>
      <w:bookmarkStart w:id="45" w:name="_Toc1739294"/>
      <w:bookmarkStart w:id="46" w:name="_Toc4596891"/>
      <w:bookmarkStart w:id="47" w:name="_Toc513127190"/>
      <w:bookmarkStart w:id="48" w:name="_Toc8378815"/>
      <w:bookmarkStart w:id="49" w:name="_Toc536541137"/>
      <w:bookmarkStart w:id="50" w:name="_Toc528329956"/>
      <w:bookmarkStart w:id="51" w:name="_Toc530128349"/>
      <w:bookmarkStart w:id="52" w:name="_Toc529526325"/>
      <w:bookmarkStart w:id="53" w:name="_Toc8313133"/>
      <w:bookmarkStart w:id="54" w:name="_Toc535588708"/>
      <w:bookmarkStart w:id="55" w:name="_Toc8991653"/>
      <w:bookmarkStart w:id="56" w:name="_Toc1139285"/>
      <w:bookmarkStart w:id="57" w:name="_Toc528919986"/>
      <w:bookmarkStart w:id="58" w:name="_Toc536198167"/>
      <w:bookmarkStart w:id="59" w:name="_Toc525289546"/>
      <w:bookmarkStart w:id="60" w:name="_Toc521660547"/>
      <w:bookmarkStart w:id="61" w:name="_Toc511390005"/>
      <w:bookmarkStart w:id="62" w:name="_Toc517425038"/>
      <w:bookmarkStart w:id="63" w:name="_Toc534378400"/>
      <w:bookmarkStart w:id="64" w:name="_Toc300238840"/>
      <w:r>
        <w:rPr>
          <w:rFonts w:hint="eastAsia" w:cs="黑体"/>
          <w:color w:val="auto"/>
          <w:highlight w:val="none"/>
        </w:rPr>
        <w:t>纯碱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Start w:id="65" w:name="_Toc392240277"/>
      <w:bookmarkStart w:id="66" w:name="_Toc485981322"/>
    </w:p>
    <w:p>
      <w:pPr>
        <w:pStyle w:val="3"/>
        <w:snapToGrid w:val="0"/>
        <w:spacing w:before="0" w:after="0" w:line="400" w:lineRule="exact"/>
        <w:ind w:right="-145" w:rightChars="-69" w:firstLine="602" w:firstLineChars="200"/>
        <w:rPr>
          <w:rStyle w:val="24"/>
          <w:rFonts w:ascii="黑体" w:hAnsi="黑体" w:eastAsia="黑体" w:cs="黑体"/>
          <w:sz w:val="30"/>
          <w:szCs w:val="30"/>
          <w:highlight w:val="none"/>
        </w:rPr>
      </w:pPr>
      <w:bookmarkStart w:id="67" w:name="_Toc536540308"/>
      <w:bookmarkStart w:id="68" w:name="_Toc533149331"/>
      <w:bookmarkStart w:id="69" w:name="_Toc1394101"/>
      <w:bookmarkStart w:id="70" w:name="_Toc518638260"/>
      <w:bookmarkStart w:id="71" w:name="_Toc516839085"/>
      <w:bookmarkStart w:id="72" w:name="_Toc528930994"/>
      <w:bookmarkStart w:id="73" w:name="_Toc527705001"/>
      <w:bookmarkStart w:id="74" w:name="_Toc525289547"/>
      <w:bookmarkStart w:id="75" w:name="_Toc522870770"/>
      <w:bookmarkStart w:id="76" w:name="_Toc522870761"/>
      <w:bookmarkStart w:id="77" w:name="_Toc522259765"/>
      <w:bookmarkStart w:id="78" w:name="_Toc4596892"/>
      <w:bookmarkStart w:id="79" w:name="_Toc4139107"/>
      <w:bookmarkStart w:id="80" w:name="_Toc519848558"/>
      <w:bookmarkStart w:id="81" w:name="_Toc535588709"/>
      <w:bookmarkStart w:id="82" w:name="_Toc513127191"/>
      <w:bookmarkStart w:id="83" w:name="_Toc515610374"/>
      <w:bookmarkStart w:id="84" w:name="_Toc517425039"/>
      <w:bookmarkStart w:id="85" w:name="_Toc531954273"/>
      <w:bookmarkStart w:id="86" w:name="_Toc525306464"/>
      <w:bookmarkStart w:id="87" w:name="_Toc536541138"/>
      <w:bookmarkStart w:id="88" w:name="_Toc522280055"/>
      <w:bookmarkStart w:id="89" w:name="_Toc516234898"/>
      <w:bookmarkStart w:id="90" w:name="_Toc528329957"/>
      <w:bookmarkStart w:id="91" w:name="_Toc525912527"/>
      <w:bookmarkStart w:id="92" w:name="_Toc534915166"/>
      <w:bookmarkStart w:id="93" w:name="_Toc534378401"/>
      <w:bookmarkStart w:id="94" w:name="_Toc527101791"/>
      <w:bookmarkStart w:id="95" w:name="_Toc4654029"/>
      <w:bookmarkStart w:id="96" w:name="_Toc530128350"/>
      <w:bookmarkStart w:id="97" w:name="_Toc536789786"/>
      <w:bookmarkStart w:id="98" w:name="_Toc532564038"/>
      <w:bookmarkStart w:id="99" w:name="_Toc521660548"/>
      <w:bookmarkStart w:id="100" w:name="_Toc532564261"/>
      <w:bookmarkStart w:id="101" w:name="_Toc1739295"/>
      <w:bookmarkStart w:id="102" w:name="_Toc525306475"/>
      <w:bookmarkStart w:id="103" w:name="_Toc528919987"/>
      <w:bookmarkStart w:id="104" w:name="_Toc530750140"/>
      <w:bookmarkStart w:id="105" w:name="_Toc520465077"/>
      <w:bookmarkStart w:id="106" w:name="_Toc516234892"/>
      <w:bookmarkStart w:id="107" w:name="_Toc1139286"/>
      <w:bookmarkStart w:id="108" w:name="_Toc522870752"/>
      <w:bookmarkStart w:id="109" w:name="_Toc1035931"/>
      <w:bookmarkStart w:id="110" w:name="_Toc536198168"/>
      <w:bookmarkStart w:id="111" w:name="_Toc518032000"/>
      <w:bookmarkStart w:id="112" w:name="_Toc511390006"/>
      <w:bookmarkStart w:id="113" w:name="_Toc522870746"/>
      <w:bookmarkStart w:id="114" w:name="_Toc524091682"/>
      <w:bookmarkStart w:id="115" w:name="_Toc529526326"/>
      <w:bookmarkStart w:id="116" w:name="_Toc521057602"/>
      <w:bookmarkStart w:id="117" w:name="_Toc532564064"/>
      <w:bookmarkStart w:id="118" w:name="_Toc524701465"/>
    </w:p>
    <w:p>
      <w:pPr>
        <w:pStyle w:val="3"/>
        <w:snapToGrid w:val="0"/>
        <w:spacing w:before="0" w:after="0" w:line="400" w:lineRule="exact"/>
        <w:ind w:right="-145" w:rightChars="-69" w:firstLine="602" w:firstLineChars="200"/>
        <w:rPr>
          <w:rStyle w:val="24"/>
          <w:rFonts w:ascii="黑体" w:hAnsi="黑体" w:eastAsia="黑体" w:cs="黑体"/>
          <w:sz w:val="30"/>
          <w:szCs w:val="30"/>
          <w:highlight w:val="none"/>
        </w:rPr>
      </w:pPr>
      <w:bookmarkStart w:id="119" w:name="_Toc8991654"/>
      <w:bookmarkStart w:id="120" w:name="_Toc9583953"/>
      <w:bookmarkStart w:id="121" w:name="_Toc10202309"/>
      <w:bookmarkStart w:id="122" w:name="_Toc4767064"/>
      <w:bookmarkStart w:id="123" w:name="_Toc9597660"/>
      <w:bookmarkStart w:id="124" w:name="_Toc8378816"/>
      <w:bookmarkStart w:id="125" w:name="_Toc13217632"/>
      <w:bookmarkStart w:id="126" w:name="_Toc12609904"/>
      <w:bookmarkStart w:id="127" w:name="_Toc8313134"/>
      <w:r>
        <w:rPr>
          <w:rStyle w:val="24"/>
          <w:rFonts w:hint="eastAsia" w:ascii="黑体" w:hAnsi="黑体" w:eastAsia="黑体" w:cs="黑体"/>
          <w:sz w:val="30"/>
          <w:szCs w:val="30"/>
          <w:highlight w:val="none"/>
        </w:rPr>
        <w:t>评述：本周纯碱市场评述及行情预测</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rPr>
          <w:highlight w:val="none"/>
        </w:rPr>
      </w:pPr>
    </w:p>
    <w:p>
      <w:pPr>
        <w:pStyle w:val="26"/>
        <w:widowControl/>
        <w:spacing w:line="400" w:lineRule="exact"/>
        <w:ind w:firstLine="600"/>
        <w:jc w:val="left"/>
        <w:outlineLvl w:val="1"/>
        <w:rPr>
          <w:rFonts w:hint="eastAsia" w:ascii="黑体" w:hAnsi="黑体" w:eastAsia="黑体" w:cs="黑体"/>
          <w:kern w:val="0"/>
          <w:sz w:val="30"/>
          <w:szCs w:val="30"/>
          <w:highlight w:val="none"/>
        </w:rPr>
      </w:pPr>
      <w:bookmarkStart w:id="128" w:name="_Toc4596893"/>
      <w:bookmarkStart w:id="129" w:name="_Toc12609905"/>
      <w:bookmarkStart w:id="130" w:name="_Toc13217633"/>
      <w:bookmarkStart w:id="131" w:name="_Toc8991655"/>
      <w:bookmarkStart w:id="132" w:name="_Toc9583954"/>
      <w:bookmarkStart w:id="133" w:name="_Toc4654030"/>
      <w:bookmarkStart w:id="134" w:name="_Toc9597661"/>
      <w:bookmarkStart w:id="135" w:name="_Toc4767065"/>
      <w:bookmarkStart w:id="136" w:name="_Toc8313135"/>
      <w:bookmarkStart w:id="137" w:name="_Toc10202310"/>
      <w:bookmarkStart w:id="138" w:name="_Toc8378817"/>
    </w:p>
    <w:p>
      <w:pPr>
        <w:pStyle w:val="26"/>
        <w:widowControl/>
        <w:spacing w:line="400" w:lineRule="exact"/>
        <w:ind w:firstLine="600"/>
        <w:jc w:val="left"/>
        <w:outlineLvl w:val="1"/>
        <w:rPr>
          <w:rFonts w:ascii="黑体" w:hAnsi="黑体" w:eastAsia="黑体" w:cs="Times New Roman"/>
          <w:sz w:val="30"/>
          <w:szCs w:val="30"/>
          <w:highlight w:val="none"/>
        </w:rPr>
      </w:pPr>
      <w:r>
        <w:rPr>
          <w:rFonts w:hint="eastAsia" w:ascii="黑体" w:hAnsi="黑体" w:eastAsia="黑体" w:cs="黑体"/>
          <w:kern w:val="0"/>
          <w:sz w:val="30"/>
          <w:szCs w:val="30"/>
          <w:highlight w:val="none"/>
        </w:rPr>
        <w:t>一、纯碱市场一周</w:t>
      </w:r>
      <w:bookmarkStart w:id="139" w:name="_Toc392240278"/>
      <w:r>
        <w:rPr>
          <w:rFonts w:hint="eastAsia" w:ascii="黑体" w:hAnsi="黑体" w:eastAsia="黑体" w:cs="黑体"/>
          <w:kern w:val="0"/>
          <w:sz w:val="30"/>
          <w:szCs w:val="30"/>
          <w:highlight w:val="none"/>
        </w:rPr>
        <w:t>综述</w:t>
      </w:r>
      <w:bookmarkEnd w:id="128"/>
      <w:bookmarkEnd w:id="129"/>
      <w:bookmarkEnd w:id="130"/>
      <w:bookmarkEnd w:id="131"/>
      <w:bookmarkEnd w:id="132"/>
      <w:bookmarkEnd w:id="133"/>
      <w:bookmarkEnd w:id="134"/>
      <w:bookmarkEnd w:id="135"/>
      <w:bookmarkEnd w:id="136"/>
      <w:bookmarkEnd w:id="137"/>
      <w:bookmarkEnd w:id="138"/>
    </w:p>
    <w:p>
      <w:pPr>
        <w:pStyle w:val="12"/>
        <w:ind w:firstLine="560" w:firstLineChars="200"/>
        <w:rPr>
          <w:rFonts w:ascii="仿宋" w:hAnsi="仿宋" w:eastAsia="仿宋" w:cs="仿宋"/>
          <w:kern w:val="2"/>
          <w:sz w:val="28"/>
          <w:szCs w:val="28"/>
          <w:lang w:val="en-US" w:eastAsia="zh-CN"/>
        </w:rPr>
      </w:pPr>
      <w:r>
        <w:rPr>
          <w:rFonts w:ascii="仿宋" w:hAnsi="仿宋" w:eastAsia="仿宋" w:cs="仿宋"/>
          <w:kern w:val="2"/>
          <w:sz w:val="28"/>
          <w:szCs w:val="28"/>
          <w:lang w:val="en-US" w:eastAsia="zh-CN"/>
        </w:rPr>
        <w:t>本周虽然受纯碱招投标价格上涨30-80元/吨，加上稳产低库影响，另外有玻璃市场价格上行与稳产支撑，上游纯碱企业对10月订单价格有看涨想法。且从局部区域供应来看，国内青海、河南、湖北、江苏等地库存过少，弱供尚有调涨支撑。但是上游企业月底结算与下月订货节点再遇国庆长假，下游用户反馈，国庆期间的储备量尚可，伴随运力增压，下游需求按需释放为主;上游企业为保障国庆期间发量稳定，月末价格提涨表现不强，纯碱市场交投氛围相对缓和。当前上下游正值商议阶段，观望情绪较高，部分下游用户订单按需释放，成交价格大稳小动为主。</w:t>
      </w:r>
    </w:p>
    <w:p>
      <w:pPr>
        <w:pStyle w:val="26"/>
        <w:widowControl/>
        <w:spacing w:line="400" w:lineRule="exact"/>
        <w:ind w:firstLine="600"/>
        <w:jc w:val="left"/>
        <w:outlineLvl w:val="1"/>
        <w:rPr>
          <w:rFonts w:hint="eastAsia" w:ascii="黑体" w:hAnsi="黑体" w:eastAsia="黑体" w:cs="黑体"/>
          <w:kern w:val="0"/>
          <w:sz w:val="30"/>
          <w:szCs w:val="30"/>
          <w:highlight w:val="none"/>
        </w:rPr>
      </w:pPr>
    </w:p>
    <w:p>
      <w:pPr>
        <w:pStyle w:val="26"/>
        <w:widowControl/>
        <w:spacing w:line="400" w:lineRule="exact"/>
        <w:ind w:firstLine="600"/>
        <w:jc w:val="left"/>
        <w:outlineLvl w:val="1"/>
        <w:rPr>
          <w:rFonts w:hint="eastAsia" w:ascii="黑体" w:hAnsi="黑体" w:eastAsia="黑体" w:cs="黑体"/>
          <w:kern w:val="0"/>
          <w:sz w:val="30"/>
          <w:szCs w:val="30"/>
          <w:highlight w:val="none"/>
        </w:rPr>
      </w:pPr>
      <w:r>
        <w:rPr>
          <w:rFonts w:hint="eastAsia" w:ascii="黑体" w:hAnsi="黑体" w:eastAsia="黑体" w:cs="黑体"/>
          <w:kern w:val="0"/>
          <w:sz w:val="30"/>
          <w:szCs w:val="30"/>
          <w:highlight w:val="none"/>
        </w:rPr>
        <w:t>供应端：</w:t>
      </w:r>
    </w:p>
    <w:p>
      <w:pPr>
        <w:pStyle w:val="12"/>
        <w:ind w:firstLine="560" w:firstLineChars="200"/>
        <w:rPr>
          <w:rFonts w:ascii="仿宋" w:hAnsi="仿宋" w:eastAsia="仿宋" w:cs="仿宋"/>
          <w:kern w:val="2"/>
          <w:sz w:val="28"/>
          <w:szCs w:val="28"/>
          <w:lang w:val="en-US" w:eastAsia="zh-CN"/>
        </w:rPr>
      </w:pPr>
      <w:bookmarkStart w:id="140" w:name="_Toc8378818"/>
      <w:bookmarkStart w:id="141" w:name="_Toc13217634"/>
      <w:bookmarkStart w:id="142" w:name="_Toc4654031"/>
      <w:bookmarkStart w:id="143" w:name="_Toc10202311"/>
      <w:bookmarkStart w:id="144" w:name="_Toc8991656"/>
      <w:bookmarkStart w:id="145" w:name="_Toc12609906"/>
      <w:bookmarkStart w:id="146" w:name="_Toc8313136"/>
      <w:bookmarkStart w:id="147" w:name="_Toc9597662"/>
      <w:bookmarkStart w:id="148" w:name="_Toc4596894"/>
      <w:bookmarkStart w:id="149" w:name="_Toc9583955"/>
      <w:bookmarkStart w:id="150" w:name="_Toc4767066"/>
      <w:r>
        <w:rPr>
          <w:rFonts w:ascii="仿宋" w:hAnsi="仿宋" w:eastAsia="仿宋" w:cs="仿宋"/>
          <w:kern w:val="2"/>
          <w:sz w:val="28"/>
          <w:szCs w:val="28"/>
          <w:lang w:val="en-US" w:eastAsia="zh-CN"/>
        </w:rPr>
        <w:t>轻碱主流含税出厂价格：辽宁地区现阶段本地贸易出货含税出价在1750-1800元/吨左右，终端到货1850-1900元/吨左右;河北地区含税出价1700-1750元/吨;山东地区含税出价1700-1750元/吨;江苏地区主流含税出价1600-1680元/吨，部分高价以1650-1750元/吨;杭州地区含税出价1700-1750元/吨;福建地区含税出价1650-1680元/吨左右;广东地区含税出价1800-1850元/吨;华中地区主流含税出价1620-1650元/吨，部分高价在1680元/吨左右;青海地区含税出价1500-1550元/吨;川渝区域含税出价1680-1750元/吨;云贵地区含税出价1720-1750元/吨左右;江西区域含税出价1660-1700元/吨。</w:t>
      </w:r>
    </w:p>
    <w:p>
      <w:pPr>
        <w:pStyle w:val="12"/>
        <w:ind w:firstLine="560" w:firstLineChars="200"/>
        <w:rPr>
          <w:rFonts w:ascii="仿宋" w:hAnsi="仿宋" w:eastAsia="仿宋" w:cs="仿宋"/>
          <w:kern w:val="2"/>
          <w:sz w:val="28"/>
          <w:szCs w:val="28"/>
          <w:lang w:val="en-US" w:eastAsia="zh-CN"/>
        </w:rPr>
      </w:pPr>
      <w:r>
        <w:rPr>
          <w:rFonts w:ascii="仿宋" w:hAnsi="仿宋" w:eastAsia="仿宋" w:cs="仿宋"/>
          <w:kern w:val="2"/>
          <w:sz w:val="28"/>
          <w:szCs w:val="28"/>
          <w:lang w:val="en-US" w:eastAsia="zh-CN"/>
        </w:rPr>
        <w:t>重碱主流含税送到价格：目前华北地区重碱含税送到1800-1850元/吨左右，沙河区域含税送达1850元/吨(现汇价格);青海区域含税出厂价1500-1600元/吨以上;西南区域含税送到1800-1850元/吨;东北区域重碱主流含税送到1850-1900元/吨;广东重碱含税送到价格1900-1950元/吨;华东片区主流含税送到1850-1880元/吨。</w:t>
      </w:r>
    </w:p>
    <w:p>
      <w:pPr>
        <w:widowControl/>
        <w:numPr>
          <w:ilvl w:val="0"/>
          <w:numId w:val="1"/>
        </w:numPr>
        <w:ind w:firstLine="600" w:firstLineChars="200"/>
        <w:jc w:val="left"/>
        <w:outlineLvl w:val="1"/>
        <w:rPr>
          <w:rFonts w:ascii="黑体" w:hAnsi="黑体" w:eastAsia="黑体" w:cs="黑体"/>
          <w:sz w:val="30"/>
          <w:szCs w:val="30"/>
          <w:highlight w:val="none"/>
        </w:rPr>
      </w:pPr>
      <w:r>
        <w:rPr>
          <w:rFonts w:hint="eastAsia" w:ascii="黑体" w:hAnsi="黑体" w:eastAsia="黑体" w:cs="黑体"/>
          <w:sz w:val="30"/>
          <w:szCs w:val="30"/>
          <w:highlight w:val="none"/>
        </w:rPr>
        <w:t>影响市场因素及后市预测</w:t>
      </w:r>
      <w:bookmarkEnd w:id="140"/>
      <w:bookmarkEnd w:id="141"/>
      <w:bookmarkEnd w:id="142"/>
      <w:bookmarkEnd w:id="143"/>
      <w:bookmarkEnd w:id="144"/>
      <w:bookmarkEnd w:id="145"/>
      <w:bookmarkEnd w:id="146"/>
      <w:bookmarkEnd w:id="147"/>
      <w:bookmarkEnd w:id="148"/>
      <w:bookmarkEnd w:id="149"/>
      <w:bookmarkEnd w:id="150"/>
    </w:p>
    <w:p>
      <w:pPr>
        <w:pStyle w:val="12"/>
        <w:ind w:firstLine="560" w:firstLineChars="200"/>
        <w:rPr>
          <w:rFonts w:ascii="仿宋" w:hAnsi="仿宋" w:eastAsia="仿宋" w:cs="仿宋"/>
          <w:kern w:val="2"/>
          <w:sz w:val="28"/>
          <w:szCs w:val="28"/>
          <w:lang w:val="en-US" w:eastAsia="zh-CN"/>
        </w:rPr>
      </w:pPr>
      <w:bookmarkStart w:id="151" w:name="_Toc8378819"/>
      <w:bookmarkStart w:id="152" w:name="_Toc12609907"/>
      <w:bookmarkStart w:id="153" w:name="_Toc9583956"/>
      <w:bookmarkStart w:id="154" w:name="_Toc10202312"/>
      <w:bookmarkStart w:id="155" w:name="_Toc8313137"/>
      <w:bookmarkStart w:id="156" w:name="_Toc4596895"/>
      <w:bookmarkStart w:id="157" w:name="_Toc13217635"/>
      <w:bookmarkStart w:id="158" w:name="_Toc8991657"/>
      <w:bookmarkStart w:id="159" w:name="_Toc4654032"/>
      <w:bookmarkStart w:id="160" w:name="_Toc4767067"/>
      <w:bookmarkStart w:id="161" w:name="_Toc9597663"/>
      <w:r>
        <w:rPr>
          <w:rFonts w:ascii="仿宋" w:hAnsi="仿宋" w:eastAsia="仿宋" w:cs="仿宋"/>
          <w:kern w:val="2"/>
          <w:sz w:val="28"/>
          <w:szCs w:val="28"/>
          <w:lang w:val="en-US" w:eastAsia="zh-CN"/>
        </w:rPr>
        <w:t>供应方面：纯碱企业开工负荷下周将达到稳产高点，库存低位导致供应保持良好表现，随着国庆运力受限、再加企业签订不足或导致库存有增量可能，而个别厂家或以前期灵活签单方式提前缓解了国庆节假期间库存增量问题，供应压力增长或有缓和表现。</w:t>
      </w:r>
    </w:p>
    <w:p>
      <w:pPr>
        <w:pStyle w:val="12"/>
        <w:ind w:firstLine="560" w:firstLineChars="200"/>
        <w:rPr>
          <w:rFonts w:ascii="仿宋" w:hAnsi="仿宋" w:eastAsia="仿宋" w:cs="仿宋"/>
          <w:kern w:val="2"/>
          <w:sz w:val="28"/>
          <w:szCs w:val="28"/>
          <w:lang w:val="en-US" w:eastAsia="zh-CN"/>
        </w:rPr>
      </w:pPr>
      <w:r>
        <w:rPr>
          <w:rFonts w:ascii="仿宋" w:hAnsi="仿宋" w:eastAsia="仿宋" w:cs="仿宋"/>
          <w:kern w:val="2"/>
          <w:sz w:val="28"/>
          <w:szCs w:val="28"/>
          <w:lang w:val="en-US" w:eastAsia="zh-CN"/>
        </w:rPr>
        <w:t>需求方面：受环保趋严，津京冀周边轻碱需求压缩;重碱用量较稳;天气转冷后运输业受限，运力下降有望对需求造成增加影响，预计下周节假期低需过后，刚需稳中有增加可能。</w:t>
      </w:r>
    </w:p>
    <w:p>
      <w:pPr>
        <w:pStyle w:val="12"/>
        <w:ind w:firstLine="560" w:firstLineChars="200"/>
        <w:rPr>
          <w:rFonts w:ascii="仿宋" w:hAnsi="仿宋" w:eastAsia="仿宋" w:cs="仿宋"/>
          <w:kern w:val="2"/>
          <w:sz w:val="28"/>
          <w:szCs w:val="28"/>
          <w:lang w:val="en-US" w:eastAsia="zh-CN"/>
        </w:rPr>
      </w:pPr>
      <w:r>
        <w:rPr>
          <w:rFonts w:ascii="仿宋" w:hAnsi="仿宋" w:eastAsia="仿宋" w:cs="仿宋"/>
          <w:kern w:val="2"/>
          <w:sz w:val="28"/>
          <w:szCs w:val="28"/>
          <w:lang w:val="en-US" w:eastAsia="zh-CN"/>
        </w:rPr>
        <w:t>综上，国内纯碱市场价格有望在招标价格提涨氛围带动与下游冬储增需下，在国庆节后价格有明显提涨表现。</w:t>
      </w:r>
    </w:p>
    <w:p>
      <w:pPr>
        <w:pStyle w:val="12"/>
        <w:ind w:firstLine="560" w:firstLineChars="200"/>
        <w:rPr>
          <w:rFonts w:ascii="仿宋" w:hAnsi="仿宋" w:eastAsia="仿宋" w:cs="仿宋"/>
          <w:kern w:val="2"/>
          <w:sz w:val="28"/>
          <w:szCs w:val="28"/>
          <w:lang w:val="en-US" w:eastAsia="zh-CN"/>
        </w:rPr>
      </w:pPr>
    </w:p>
    <w:p>
      <w:pPr>
        <w:widowControl/>
        <w:ind w:firstLine="602" w:firstLineChars="200"/>
        <w:jc w:val="left"/>
        <w:outlineLvl w:val="2"/>
        <w:rPr>
          <w:rFonts w:ascii="仿宋" w:hAnsi="仿宋" w:eastAsia="仿宋" w:cs="仿宋"/>
          <w:sz w:val="28"/>
          <w:szCs w:val="28"/>
        </w:rPr>
      </w:pPr>
      <w:r>
        <w:rPr>
          <w:rStyle w:val="24"/>
          <w:rFonts w:hint="eastAsia"/>
          <w:b/>
          <w:bCs/>
          <w:sz w:val="30"/>
          <w:szCs w:val="30"/>
        </w:rPr>
        <w:t>本周国内纯碱市场价格</w:t>
      </w:r>
      <w:bookmarkEnd w:id="139"/>
      <w:bookmarkEnd w:id="151"/>
      <w:bookmarkEnd w:id="152"/>
      <w:bookmarkEnd w:id="153"/>
      <w:bookmarkEnd w:id="154"/>
      <w:bookmarkEnd w:id="155"/>
      <w:bookmarkEnd w:id="156"/>
      <w:bookmarkEnd w:id="157"/>
      <w:bookmarkEnd w:id="158"/>
      <w:bookmarkEnd w:id="159"/>
      <w:bookmarkEnd w:id="160"/>
      <w:bookmarkEnd w:id="161"/>
    </w:p>
    <w:tbl>
      <w:tblPr>
        <w:tblStyle w:val="13"/>
        <w:tblW w:w="8720" w:type="dxa"/>
        <w:tblInd w:w="0" w:type="dxa"/>
        <w:tblLayout w:type="fixed"/>
        <w:tblCellMar>
          <w:top w:w="0" w:type="dxa"/>
          <w:left w:w="108" w:type="dxa"/>
          <w:bottom w:w="0" w:type="dxa"/>
          <w:right w:w="108" w:type="dxa"/>
        </w:tblCellMar>
      </w:tblPr>
      <w:tblGrid>
        <w:gridCol w:w="1503"/>
        <w:gridCol w:w="1441"/>
        <w:gridCol w:w="1444"/>
        <w:gridCol w:w="1444"/>
        <w:gridCol w:w="1444"/>
        <w:gridCol w:w="1444"/>
      </w:tblGrid>
      <w:tr>
        <w:tblPrEx>
          <w:tblLayout w:type="fixed"/>
          <w:tblCellMar>
            <w:top w:w="0" w:type="dxa"/>
            <w:left w:w="108" w:type="dxa"/>
            <w:bottom w:w="0" w:type="dxa"/>
            <w:right w:w="108" w:type="dxa"/>
          </w:tblCellMar>
        </w:tblPrEx>
        <w:trPr>
          <w:trHeight w:val="285" w:hRule="atLeast"/>
        </w:trPr>
        <w:tc>
          <w:tcPr>
            <w:tcW w:w="1503"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日期</w:t>
            </w:r>
          </w:p>
        </w:tc>
        <w:tc>
          <w:tcPr>
            <w:tcW w:w="1441"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地区</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轻质碱</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重质碱</w:t>
            </w:r>
          </w:p>
        </w:tc>
      </w:tr>
      <w:tr>
        <w:tblPrEx>
          <w:tblLayout w:type="fixed"/>
          <w:tblCellMar>
            <w:top w:w="0" w:type="dxa"/>
            <w:left w:w="108" w:type="dxa"/>
            <w:bottom w:w="0" w:type="dxa"/>
            <w:right w:w="108" w:type="dxa"/>
          </w:tblCellMar>
        </w:tblPrEx>
        <w:trPr>
          <w:trHeight w:val="285" w:hRule="atLeast"/>
        </w:trPr>
        <w:tc>
          <w:tcPr>
            <w:tcW w:w="150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b/>
                <w:bCs/>
                <w:color w:val="000000"/>
                <w:kern w:val="0"/>
                <w:sz w:val="20"/>
                <w:szCs w:val="20"/>
              </w:rPr>
            </w:pPr>
          </w:p>
        </w:tc>
        <w:tc>
          <w:tcPr>
            <w:tcW w:w="144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b/>
                <w:bCs/>
                <w:color w:val="000000"/>
                <w:kern w:val="0"/>
                <w:sz w:val="20"/>
                <w:szCs w:val="20"/>
              </w:rPr>
            </w:pPr>
          </w:p>
        </w:tc>
        <w:tc>
          <w:tcPr>
            <w:tcW w:w="1444" w:type="dxa"/>
            <w:tcBorders>
              <w:top w:val="nil"/>
              <w:left w:val="nil"/>
              <w:bottom w:val="nil"/>
              <w:right w:val="single" w:color="000000" w:sz="8" w:space="0"/>
            </w:tcBorders>
            <w:shd w:val="clear" w:color="000000" w:fill="99CC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低端价</w:t>
            </w:r>
          </w:p>
        </w:tc>
        <w:tc>
          <w:tcPr>
            <w:tcW w:w="1444" w:type="dxa"/>
            <w:tcBorders>
              <w:top w:val="nil"/>
              <w:left w:val="nil"/>
              <w:bottom w:val="nil"/>
              <w:right w:val="single" w:color="000000" w:sz="8" w:space="0"/>
            </w:tcBorders>
            <w:shd w:val="clear" w:color="000000" w:fill="99CC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高端价</w:t>
            </w:r>
          </w:p>
        </w:tc>
        <w:tc>
          <w:tcPr>
            <w:tcW w:w="1444" w:type="dxa"/>
            <w:tcBorders>
              <w:top w:val="nil"/>
              <w:left w:val="nil"/>
              <w:bottom w:val="nil"/>
              <w:right w:val="single" w:color="000000" w:sz="8" w:space="0"/>
            </w:tcBorders>
            <w:shd w:val="clear" w:color="000000" w:fill="99CC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低端价</w:t>
            </w:r>
          </w:p>
        </w:tc>
        <w:tc>
          <w:tcPr>
            <w:tcW w:w="1444" w:type="dxa"/>
            <w:tcBorders>
              <w:top w:val="nil"/>
              <w:left w:val="nil"/>
              <w:bottom w:val="nil"/>
              <w:right w:val="single" w:color="000000" w:sz="8" w:space="0"/>
            </w:tcBorders>
            <w:shd w:val="clear" w:color="000000" w:fill="99CC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高端价</w:t>
            </w:r>
          </w:p>
        </w:tc>
      </w:tr>
      <w:tr>
        <w:tblPrEx>
          <w:tblLayout w:type="fixed"/>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华东</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500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0</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75</w:t>
            </w:r>
            <w:r>
              <w:rPr>
                <w:rFonts w:hint="eastAsia" w:ascii="宋体" w:hAnsi="宋体" w:cs="宋体"/>
                <w:color w:val="000000"/>
                <w:kern w:val="0"/>
                <w:sz w:val="20"/>
                <w:szCs w:val="20"/>
              </w:rPr>
              <w:t>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1750</w:t>
            </w:r>
          </w:p>
        </w:tc>
      </w:tr>
      <w:tr>
        <w:tblPrEx>
          <w:tblLayout w:type="fixed"/>
          <w:tblCellMar>
            <w:top w:w="0" w:type="dxa"/>
            <w:left w:w="108" w:type="dxa"/>
            <w:bottom w:w="0" w:type="dxa"/>
            <w:right w:w="108" w:type="dxa"/>
          </w:tblCellMar>
        </w:tblPrEx>
        <w:trPr>
          <w:trHeight w:val="90"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华南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tcPr>
          <w:p>
            <w:pPr>
              <w:jc w:val="center"/>
            </w:pPr>
            <w:r>
              <w:rPr>
                <w:rFonts w:hint="eastAsia" w:ascii="宋体" w:hAnsi="宋体" w:cs="宋体"/>
                <w:color w:val="000000"/>
                <w:kern w:val="0"/>
                <w:sz w:val="20"/>
                <w:szCs w:val="20"/>
              </w:rPr>
              <w:t>18</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tcPr>
          <w:p>
            <w:pPr>
              <w:jc w:val="cente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50</w:t>
            </w:r>
          </w:p>
        </w:tc>
        <w:tc>
          <w:tcPr>
            <w:tcW w:w="1444" w:type="dxa"/>
            <w:tcBorders>
              <w:top w:val="nil"/>
              <w:left w:val="nil"/>
              <w:bottom w:val="single" w:color="000000" w:sz="8" w:space="0"/>
              <w:right w:val="single" w:color="000000" w:sz="8" w:space="0"/>
            </w:tcBorders>
            <w:shd w:val="clear" w:color="000000" w:fill="FFFFFF"/>
          </w:tcPr>
          <w:p>
            <w:pPr>
              <w:jc w:val="cente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50</w:t>
            </w:r>
          </w:p>
        </w:tc>
      </w:tr>
      <w:tr>
        <w:tblPrEx>
          <w:tblLayout w:type="fixed"/>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华北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70</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72</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0</w:t>
            </w:r>
          </w:p>
        </w:tc>
      </w:tr>
      <w:tr>
        <w:tblPrEx>
          <w:tblLayout w:type="fixed"/>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1900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1950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1900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r>
      <w:tr>
        <w:tblPrEx>
          <w:tblLayout w:type="fixed"/>
          <w:tblCellMar>
            <w:top w:w="0" w:type="dxa"/>
            <w:left w:w="108" w:type="dxa"/>
            <w:bottom w:w="0" w:type="dxa"/>
            <w:right w:w="108" w:type="dxa"/>
          </w:tblCellMar>
        </w:tblPrEx>
        <w:trPr>
          <w:trHeight w:val="330"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70</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72</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0</w:t>
            </w:r>
          </w:p>
        </w:tc>
      </w:tr>
      <w:tr>
        <w:tblPrEx>
          <w:tblLayout w:type="fixed"/>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华中</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65</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1700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0</w:t>
            </w:r>
          </w:p>
        </w:tc>
      </w:tr>
      <w:tr>
        <w:tblPrEx>
          <w:tblLayout w:type="fixed"/>
          <w:tblCellMar>
            <w:top w:w="0" w:type="dxa"/>
            <w:left w:w="108" w:type="dxa"/>
            <w:bottom w:w="0" w:type="dxa"/>
            <w:right w:w="108" w:type="dxa"/>
          </w:tblCellMar>
        </w:tblPrEx>
        <w:trPr>
          <w:trHeight w:val="285" w:hRule="atLeast"/>
        </w:trPr>
        <w:tc>
          <w:tcPr>
            <w:tcW w:w="1503" w:type="dxa"/>
            <w:tcBorders>
              <w:top w:val="nil"/>
              <w:left w:val="single" w:color="000000" w:sz="8" w:space="0"/>
              <w:bottom w:val="single" w:color="000000" w:sz="8" w:space="0"/>
              <w:right w:val="single" w:color="000000" w:sz="8" w:space="0"/>
            </w:tcBorders>
            <w:shd w:val="clear" w:color="000000" w:fill="FFFFFF"/>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1441"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西北</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50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30</w:t>
            </w:r>
          </w:p>
        </w:tc>
        <w:tc>
          <w:tcPr>
            <w:tcW w:w="1444" w:type="dxa"/>
            <w:tcBorders>
              <w:top w:val="nil"/>
              <w:left w:val="nil"/>
              <w:bottom w:val="single" w:color="000000" w:sz="8" w:space="0"/>
              <w:right w:val="single" w:color="000000" w:sz="8"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43</w:t>
            </w:r>
            <w:r>
              <w:rPr>
                <w:rFonts w:hint="eastAsia" w:ascii="宋体" w:hAnsi="宋体" w:cs="宋体"/>
                <w:color w:val="000000"/>
                <w:kern w:val="0"/>
                <w:sz w:val="20"/>
                <w:szCs w:val="20"/>
              </w:rPr>
              <w:t>0</w:t>
            </w:r>
          </w:p>
        </w:tc>
        <w:tc>
          <w:tcPr>
            <w:tcW w:w="144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80</w:t>
            </w:r>
          </w:p>
        </w:tc>
      </w:tr>
    </w:tbl>
    <w:p>
      <w:pPr>
        <w:pStyle w:val="2"/>
        <w:spacing w:line="400" w:lineRule="exact"/>
        <w:ind w:firstLine="3855" w:firstLineChars="1200"/>
        <w:jc w:val="both"/>
        <w:rPr>
          <w:rFonts w:hint="eastAsia" w:cs="黑体"/>
        </w:rPr>
      </w:pPr>
      <w:bookmarkStart w:id="162" w:name="_Toc528919988"/>
      <w:bookmarkStart w:id="163" w:name="_Toc522870762"/>
      <w:bookmarkStart w:id="164" w:name="_Toc519848559"/>
      <w:bookmarkStart w:id="165" w:name="_Toc525306476"/>
      <w:bookmarkStart w:id="166" w:name="_Toc518032001"/>
      <w:bookmarkStart w:id="167" w:name="_Toc522870771"/>
      <w:bookmarkStart w:id="168" w:name="_Toc528329958"/>
      <w:bookmarkStart w:id="169" w:name="_Toc521660549"/>
      <w:bookmarkStart w:id="170" w:name="_Toc522259766"/>
      <w:bookmarkStart w:id="171" w:name="_Toc520465078"/>
      <w:bookmarkStart w:id="172" w:name="_Toc522870753"/>
      <w:bookmarkStart w:id="173" w:name="_Toc522280056"/>
      <w:bookmarkStart w:id="174" w:name="_Toc518638261"/>
      <w:bookmarkStart w:id="175" w:name="_Toc516234899"/>
      <w:bookmarkStart w:id="176" w:name="_Toc522870747"/>
      <w:bookmarkStart w:id="177" w:name="_Toc513127192"/>
      <w:bookmarkStart w:id="178" w:name="_Toc392240279"/>
      <w:bookmarkStart w:id="179" w:name="_Toc515610375"/>
      <w:bookmarkStart w:id="180" w:name="_Toc511390007"/>
      <w:bookmarkStart w:id="181" w:name="_Toc524091683"/>
      <w:bookmarkStart w:id="182" w:name="_Toc532564065"/>
      <w:bookmarkStart w:id="183" w:name="_Toc521057603"/>
      <w:bookmarkStart w:id="184" w:name="_Toc517425040"/>
      <w:bookmarkStart w:id="185" w:name="_Toc516839086"/>
      <w:bookmarkStart w:id="186" w:name="_Toc525289548"/>
      <w:bookmarkStart w:id="187" w:name="_Toc524701466"/>
      <w:bookmarkStart w:id="188" w:name="_Toc525306465"/>
      <w:bookmarkStart w:id="189" w:name="_Toc527101792"/>
      <w:bookmarkStart w:id="190" w:name="_Toc525912528"/>
      <w:bookmarkStart w:id="191" w:name="_Toc527705002"/>
      <w:bookmarkStart w:id="192" w:name="_Toc530128351"/>
      <w:bookmarkStart w:id="193" w:name="_Toc528930995"/>
      <w:bookmarkStart w:id="194" w:name="_Toc529526327"/>
      <w:bookmarkStart w:id="195" w:name="_Toc531954274"/>
      <w:bookmarkStart w:id="196" w:name="_Toc530750141"/>
      <w:bookmarkStart w:id="197" w:name="_Toc532564039"/>
      <w:bookmarkStart w:id="198" w:name="_Toc4654033"/>
      <w:bookmarkStart w:id="199" w:name="_Toc536541139"/>
      <w:bookmarkStart w:id="200" w:name="_Toc534915167"/>
      <w:bookmarkStart w:id="201" w:name="_Toc533149332"/>
      <w:bookmarkStart w:id="202" w:name="_Toc532564262"/>
      <w:bookmarkStart w:id="203" w:name="_Toc534378402"/>
      <w:bookmarkStart w:id="204" w:name="_Toc536198169"/>
      <w:bookmarkStart w:id="205" w:name="_Toc535588710"/>
      <w:bookmarkStart w:id="206" w:name="_Toc1394102"/>
      <w:bookmarkStart w:id="207" w:name="_Toc1739296"/>
      <w:bookmarkStart w:id="208" w:name="_Toc516234893"/>
      <w:bookmarkStart w:id="209" w:name="_Toc485981323"/>
      <w:bookmarkStart w:id="210" w:name="_Toc1035932"/>
      <w:bookmarkStart w:id="211" w:name="_Toc536540309"/>
      <w:bookmarkStart w:id="212" w:name="_Toc536789787"/>
      <w:bookmarkStart w:id="213" w:name="_Toc1139287"/>
      <w:bookmarkStart w:id="214" w:name="_Toc4139108"/>
      <w:bookmarkStart w:id="215" w:name="_Toc4596896"/>
      <w:bookmarkStart w:id="216" w:name="_Toc12609908"/>
      <w:bookmarkStart w:id="217" w:name="_Toc8991658"/>
      <w:bookmarkStart w:id="218" w:name="_Toc8313138"/>
      <w:bookmarkStart w:id="219" w:name="_Toc4767068"/>
      <w:bookmarkStart w:id="220" w:name="_Toc8378820"/>
      <w:bookmarkStart w:id="221" w:name="_Toc9597664"/>
      <w:bookmarkStart w:id="222" w:name="_Toc9583957"/>
      <w:bookmarkStart w:id="223" w:name="_Toc10202313"/>
      <w:bookmarkStart w:id="224" w:name="_Toc13217636"/>
    </w:p>
    <w:p>
      <w:pPr>
        <w:pStyle w:val="2"/>
        <w:spacing w:line="400" w:lineRule="exact"/>
        <w:ind w:firstLine="3855" w:firstLineChars="1200"/>
        <w:jc w:val="both"/>
        <w:rPr>
          <w:rFonts w:hint="eastAsia" w:cs="黑体"/>
        </w:rPr>
      </w:pPr>
      <w:r>
        <w:rPr>
          <w:rFonts w:hint="eastAsia" w:cs="黑体"/>
        </w:rPr>
        <w:t>烧碱</w:t>
      </w:r>
      <w:bookmarkEnd w:id="64"/>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Start w:id="225" w:name="_Toc295403449"/>
      <w:bookmarkStart w:id="226" w:name="_Toc250731925"/>
      <w:bookmarkStart w:id="227" w:name="_Toc252539754"/>
      <w:bookmarkStart w:id="228" w:name="_Toc300238848"/>
      <w:bookmarkStart w:id="229" w:name="_Toc4596897"/>
      <w:bookmarkStart w:id="230" w:name="_Toc4654034"/>
    </w:p>
    <w:p/>
    <w:p>
      <w:pPr>
        <w:spacing w:line="400" w:lineRule="exact"/>
        <w:ind w:firstLine="602" w:firstLineChars="200"/>
        <w:outlineLvl w:val="1"/>
        <w:rPr>
          <w:rFonts w:hint="eastAsia" w:ascii="黑体" w:hAnsi="黑体" w:eastAsia="黑体" w:cs="黑体"/>
          <w:b/>
          <w:bCs/>
          <w:sz w:val="30"/>
          <w:szCs w:val="30"/>
        </w:rPr>
      </w:pPr>
      <w:bookmarkStart w:id="231" w:name="_Toc8991659"/>
      <w:bookmarkStart w:id="232" w:name="_Toc8313139"/>
      <w:bookmarkStart w:id="233" w:name="_Toc9583958"/>
      <w:bookmarkStart w:id="234" w:name="_Toc9597665"/>
      <w:bookmarkStart w:id="235" w:name="_Toc13217637"/>
      <w:bookmarkStart w:id="236" w:name="_Toc12609909"/>
      <w:bookmarkStart w:id="237" w:name="_Toc4767069"/>
      <w:bookmarkStart w:id="238" w:name="_Toc8378821"/>
      <w:bookmarkStart w:id="239" w:name="_Toc10202314"/>
      <w:r>
        <w:rPr>
          <w:rFonts w:hint="eastAsia" w:ascii="黑体" w:hAnsi="黑体" w:eastAsia="黑体" w:cs="黑体"/>
          <w:b/>
          <w:bCs/>
          <w:sz w:val="30"/>
          <w:szCs w:val="30"/>
        </w:rPr>
        <w:t>中国烧碱市场行情综述</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Start w:id="240" w:name="_Toc264643747"/>
      <w:bookmarkStart w:id="241" w:name="_Toc295403451"/>
      <w:bookmarkStart w:id="242" w:name="_Toc392240280"/>
      <w:bookmarkStart w:id="243" w:name="_Toc300238850"/>
    </w:p>
    <w:p>
      <w:pPr>
        <w:spacing w:line="400" w:lineRule="exact"/>
        <w:ind w:firstLine="602" w:firstLineChars="200"/>
        <w:outlineLvl w:val="1"/>
        <w:rPr>
          <w:rFonts w:hint="eastAsia" w:ascii="黑体" w:hAnsi="黑体" w:eastAsia="黑体" w:cs="黑体"/>
          <w:b/>
          <w:bCs/>
          <w:sz w:val="30"/>
          <w:szCs w:val="30"/>
        </w:rPr>
      </w:pPr>
    </w:p>
    <w:p>
      <w:pPr>
        <w:spacing w:line="400" w:lineRule="exact"/>
        <w:ind w:firstLine="602" w:firstLineChars="200"/>
        <w:outlineLvl w:val="1"/>
        <w:rPr>
          <w:rFonts w:hint="eastAsia" w:ascii="黑体" w:hAnsi="黑体" w:eastAsia="黑体" w:cs="黑体"/>
          <w:b/>
          <w:bCs/>
          <w:sz w:val="30"/>
          <w:szCs w:val="30"/>
        </w:rPr>
      </w:pPr>
    </w:p>
    <w:p>
      <w:pPr>
        <w:pStyle w:val="12"/>
        <w:numPr>
          <w:ilvl w:val="0"/>
          <w:numId w:val="2"/>
        </w:numPr>
        <w:spacing w:before="0" w:beforeAutospacing="0" w:after="0" w:afterAutospacing="0" w:line="400" w:lineRule="exact"/>
        <w:ind w:left="1321"/>
        <w:outlineLvl w:val="1"/>
        <w:rPr>
          <w:rFonts w:ascii="黑体" w:hAnsi="黑体" w:eastAsia="黑体" w:cs="Times New Roman"/>
          <w:sz w:val="30"/>
          <w:szCs w:val="30"/>
        </w:rPr>
      </w:pPr>
      <w:bookmarkStart w:id="244" w:name="_Toc12609910"/>
      <w:bookmarkStart w:id="245" w:name="_Toc8378822"/>
      <w:bookmarkStart w:id="246" w:name="_Toc9597666"/>
      <w:bookmarkStart w:id="247" w:name="_Toc9583959"/>
      <w:bookmarkStart w:id="248" w:name="_Toc4767070"/>
      <w:bookmarkStart w:id="249" w:name="_Toc8313140"/>
      <w:bookmarkStart w:id="250" w:name="_Toc4596898"/>
      <w:bookmarkStart w:id="251" w:name="_Toc4654035"/>
      <w:bookmarkStart w:id="252" w:name="_Toc8991660"/>
      <w:bookmarkStart w:id="253" w:name="_Toc13217638"/>
      <w:bookmarkStart w:id="254" w:name="_Toc10202315"/>
      <w:r>
        <w:rPr>
          <w:rFonts w:hint="eastAsia" w:ascii="黑体" w:hAnsi="黑体" w:eastAsia="黑体" w:cs="黑体"/>
          <w:sz w:val="30"/>
          <w:szCs w:val="30"/>
        </w:rPr>
        <w:t>市场综述</w:t>
      </w:r>
      <w:bookmarkEnd w:id="244"/>
      <w:bookmarkEnd w:id="245"/>
      <w:bookmarkEnd w:id="246"/>
      <w:bookmarkEnd w:id="247"/>
      <w:bookmarkEnd w:id="248"/>
      <w:bookmarkEnd w:id="249"/>
      <w:bookmarkEnd w:id="250"/>
      <w:bookmarkEnd w:id="251"/>
      <w:bookmarkEnd w:id="252"/>
      <w:bookmarkEnd w:id="253"/>
      <w:bookmarkEnd w:id="254"/>
    </w:p>
    <w:p>
      <w:pPr>
        <w:pStyle w:val="12"/>
        <w:numPr>
          <w:ilvl w:val="0"/>
          <w:numId w:val="0"/>
        </w:numPr>
        <w:spacing w:before="0" w:beforeAutospacing="0" w:after="0" w:afterAutospacing="0" w:line="400" w:lineRule="exact"/>
        <w:ind w:left="601" w:leftChars="0"/>
        <w:outlineLvl w:val="1"/>
        <w:rPr>
          <w:rFonts w:ascii="黑体" w:hAnsi="黑体" w:eastAsia="黑体" w:cs="Times New Roman"/>
          <w:sz w:val="30"/>
          <w:szCs w:val="30"/>
        </w:rPr>
      </w:pPr>
    </w:p>
    <w:p>
      <w:pPr>
        <w:widowControl/>
        <w:ind w:firstLine="560" w:firstLineChars="200"/>
        <w:jc w:val="left"/>
        <w:outlineLvl w:val="2"/>
        <w:rPr>
          <w:rFonts w:hint="default" w:ascii="仿宋" w:hAnsi="仿宋" w:eastAsia="仿宋" w:cs="仿宋"/>
          <w:kern w:val="2"/>
          <w:sz w:val="28"/>
          <w:szCs w:val="28"/>
          <w:lang w:val="en-US" w:eastAsia="zh-CN" w:bidi="ar-SA"/>
        </w:rPr>
      </w:pPr>
      <w:bookmarkStart w:id="255" w:name="_Toc9597667"/>
      <w:bookmarkStart w:id="256" w:name="_Toc10202316"/>
      <w:bookmarkStart w:id="257" w:name="_Toc9583960"/>
      <w:bookmarkStart w:id="258" w:name="_Toc8991661"/>
      <w:bookmarkStart w:id="259" w:name="_Toc12609911"/>
      <w:bookmarkStart w:id="260" w:name="_Toc4596899"/>
      <w:bookmarkStart w:id="261" w:name="_Toc4654036"/>
      <w:bookmarkStart w:id="262" w:name="_Toc13217639"/>
      <w:bookmarkStart w:id="263" w:name="_Toc8313141"/>
      <w:bookmarkStart w:id="264" w:name="_Toc8378823"/>
      <w:bookmarkStart w:id="265" w:name="_Toc4767071"/>
      <w:r>
        <w:rPr>
          <w:rFonts w:hint="default" w:ascii="仿宋" w:hAnsi="仿宋" w:eastAsia="仿宋" w:cs="仿宋"/>
          <w:kern w:val="2"/>
          <w:sz w:val="28"/>
          <w:szCs w:val="28"/>
          <w:lang w:val="en-US" w:eastAsia="zh-CN" w:bidi="ar-SA"/>
        </w:rPr>
        <w:t>本周中国液碱市场走势上行，其中华东及华中地区本周涨势最为明显，华东江西地区长单已经敲定，价格环比8月上调约200元/吨(水碱价格)，并且现阶段现货紧张，成交重心上移;江西长单安徽地区厂家占比可观，并且国庆期间安徽地区液氯槽车暂停运输，安徽地区碱厂多将在国庆节期间减产运行，十月份烧碱供应必将紧缺，下游提货较积极;江苏地区本周以月底集中签订长单为主，外围订单价格上行，并且外围山东地区对苏南送到价格屡屡上调，对江苏地区碱厂有一定的提振作用，江苏区域内氯碱负荷仍不高，节前发货较稳。</w:t>
      </w:r>
    </w:p>
    <w:p>
      <w:pPr>
        <w:widowControl/>
        <w:ind w:firstLine="560" w:firstLineChars="200"/>
        <w:jc w:val="left"/>
        <w:outlineLvl w:val="2"/>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华中河南及湖北地区成交重心均有上行，河南地区目前省内有部分氯碱装置停车检修，省内液碱供应紧缺，出货价格适度上调。湖北地区氯碱开工较前期变化不大，省内下游开工平稳，上游氯碱企业整体库存水平持续低位，下游近期提货积极，液碱出货顺畅，新单成交价格再度走高。</w:t>
      </w:r>
    </w:p>
    <w:p>
      <w:pPr>
        <w:widowControl/>
        <w:ind w:firstLine="560" w:firstLineChars="200"/>
        <w:jc w:val="left"/>
        <w:outlineLvl w:val="2"/>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华北天津地区液碱成交重心上行，河北地区本周持稳观望为主，天津地区主要是因LG检修刚刚恢复，且省内有船碱出货，上游整体库存水平低位，液碱报价适度上调。</w:t>
      </w:r>
    </w:p>
    <w:p>
      <w:pPr>
        <w:widowControl/>
        <w:ind w:firstLine="560" w:firstLineChars="200"/>
        <w:jc w:val="left"/>
        <w:outlineLvl w:val="2"/>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西南地区稳中上行，下游需求较为平稳，区域内有部分氯碱装置有检修计划，加之外围液碱市场行情较好，区域内液碱库存水平低位，下游提货积极，液碱成交重心上提。</w:t>
      </w:r>
    </w:p>
    <w:p>
      <w:pPr>
        <w:widowControl/>
        <w:ind w:firstLine="560" w:firstLineChars="200"/>
        <w:jc w:val="left"/>
        <w:outlineLvl w:val="2"/>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西北地区本周液碱报价亦有提升，近期外围液碱市场价格持续上行，对区域内液碱市场有一定利好作用，加之下游片碱加工企业出货顺畅，对液碱需求稳定，出货价格适度上调。目前氯碱企业液碱库存水平低位，出货顺畅。</w:t>
      </w:r>
    </w:p>
    <w:p>
      <w:pPr>
        <w:widowControl/>
        <w:ind w:firstLine="560" w:firstLineChars="200"/>
        <w:jc w:val="left"/>
        <w:outlineLvl w:val="2"/>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跟踪数据，9月26日中国32%离子膜液碱市场价格指数851，较9月19日数据相比↑3.22%;9月26日中国50%离子膜液碱市场平均出厂价格在1419元/吨，较9月19日数据相比↑2.14%。</w:t>
      </w:r>
    </w:p>
    <w:p>
      <w:pPr>
        <w:pStyle w:val="12"/>
        <w:spacing w:before="0" w:beforeAutospacing="0" w:after="0" w:afterAutospacing="0" w:line="400" w:lineRule="exact"/>
        <w:ind w:firstLine="602" w:firstLineChars="200"/>
        <w:outlineLvl w:val="1"/>
        <w:rPr>
          <w:rFonts w:hint="eastAsia"/>
          <w:b/>
          <w:bCs/>
          <w:sz w:val="30"/>
          <w:szCs w:val="30"/>
        </w:rPr>
      </w:pPr>
    </w:p>
    <w:p>
      <w:pPr>
        <w:pStyle w:val="12"/>
        <w:spacing w:before="0" w:beforeAutospacing="0" w:after="0" w:afterAutospacing="0" w:line="400" w:lineRule="exact"/>
        <w:ind w:firstLine="602" w:firstLineChars="200"/>
        <w:outlineLvl w:val="1"/>
        <w:rPr>
          <w:rFonts w:hint="default" w:ascii="仿宋" w:hAnsi="仿宋" w:eastAsia="仿宋" w:cs="仿宋"/>
          <w:kern w:val="2"/>
          <w:sz w:val="28"/>
          <w:szCs w:val="28"/>
          <w:lang w:val="en-US" w:eastAsia="zh-CN" w:bidi="ar-SA"/>
        </w:rPr>
      </w:pPr>
      <w:r>
        <w:rPr>
          <w:rFonts w:hint="eastAsia"/>
          <w:b/>
          <w:bCs/>
          <w:sz w:val="30"/>
          <w:szCs w:val="30"/>
        </w:rPr>
        <w:t>二、价格方面</w:t>
      </w:r>
      <w:bookmarkEnd w:id="255"/>
      <w:bookmarkEnd w:id="256"/>
      <w:bookmarkEnd w:id="257"/>
      <w:bookmarkEnd w:id="258"/>
      <w:bookmarkEnd w:id="259"/>
      <w:bookmarkEnd w:id="260"/>
      <w:bookmarkEnd w:id="261"/>
      <w:bookmarkEnd w:id="262"/>
      <w:bookmarkEnd w:id="263"/>
      <w:bookmarkEnd w:id="264"/>
      <w:bookmarkEnd w:id="265"/>
      <w:bookmarkStart w:id="266" w:name="_Toc4767072"/>
      <w:bookmarkStart w:id="267" w:name="_Toc4596900"/>
      <w:bookmarkStart w:id="268" w:name="_Toc4654037"/>
    </w:p>
    <w:p>
      <w:pPr>
        <w:pStyle w:val="12"/>
        <w:keepNext w:val="0"/>
        <w:keepLines w:val="0"/>
        <w:widowControl/>
        <w:suppressLineNumbers w:val="0"/>
        <w:ind w:firstLine="560" w:firstLineChars="200"/>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截止9月26日各地区液碱价格(文中价格为现汇，承兑低浓度水碱加15元/吨，高浓度碱加30元/吨)</w:t>
      </w:r>
    </w:p>
    <w:p>
      <w:pPr>
        <w:pStyle w:val="12"/>
        <w:keepNext w:val="0"/>
        <w:keepLines w:val="0"/>
        <w:widowControl/>
        <w:suppressLineNumbers w:val="0"/>
        <w:ind w:firstLine="560" w:firstLineChars="200"/>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32%离子膜液碱主流出厂价格：山东供给氧化铝行业现汇出厂价格执行750元/吨，供其他客户主流出厂价格830-910元/吨;河北840-960元/吨;天津2500-2700元/吨(折百);浙江送到萧绍经销商1050-1070元/吨;江苏950-970元/吨;安徽910-950元/吨;江西地区1030-1050元/吨;福建省内送到1000-1050元/吨;广西800-880元/吨;湖北950-1000元/吨;河南2550-2600元/吨(折百);内蒙古2100-2200元/吨(折百);辽宁960-980元/吨;四川2800-2900元/吨(折百)。</w:t>
      </w:r>
    </w:p>
    <w:p>
      <w:pPr>
        <w:pStyle w:val="12"/>
        <w:keepNext w:val="0"/>
        <w:keepLines w:val="0"/>
        <w:widowControl/>
        <w:suppressLineNumbers w:val="0"/>
        <w:ind w:firstLine="560" w:firstLineChars="200"/>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高浓碱主流出厂价格：山东48%离子膜液碱出厂1350-1410元/吨，50%离子膜液碱出厂1410-1480元/吨。天津49%离子膜碱出厂价格2700-2850元/吨(折百)，福建50%离子膜液碱省内送到1650-1730元/吨左右;广西50%离子膜液碱出厂价格1350-1400元/吨;内蒙古48-50%离子膜液碱出厂价格2200-2300元/吨(折百);江苏地区48%离子膜液碱出厂价格1400-1450元/吨。辽宁地区45-50%离子膜液碱出厂报价在1500-1600元/吨;四川地区50%离子膜液碱主流出厂价格2900-3000元/吨(折百)。</w:t>
      </w:r>
    </w:p>
    <w:p>
      <w:pPr>
        <w:pStyle w:val="12"/>
        <w:keepNext w:val="0"/>
        <w:keepLines w:val="0"/>
        <w:widowControl/>
        <w:suppressLineNumbers w:val="0"/>
        <w:ind w:firstLine="560" w:firstLineChars="200"/>
        <w:rPr>
          <w:rFonts w:hint="default" w:ascii="仿宋" w:hAnsi="仿宋" w:eastAsia="仿宋" w:cs="仿宋"/>
          <w:kern w:val="2"/>
          <w:sz w:val="28"/>
          <w:szCs w:val="28"/>
          <w:lang w:val="en-US" w:eastAsia="zh-CN" w:bidi="ar-SA"/>
        </w:rPr>
      </w:pPr>
    </w:p>
    <w:p>
      <w:pPr>
        <w:widowControl/>
        <w:ind w:firstLine="602" w:firstLineChars="200"/>
        <w:jc w:val="left"/>
        <w:outlineLvl w:val="2"/>
        <w:rPr>
          <w:rFonts w:ascii="仿宋" w:hAnsi="仿宋" w:eastAsia="仿宋" w:cs="仿宋"/>
          <w:sz w:val="28"/>
          <w:szCs w:val="28"/>
        </w:rPr>
      </w:pPr>
      <w:r>
        <w:rPr>
          <w:rFonts w:hint="eastAsia" w:ascii="宋体" w:hAnsi="宋体" w:cs="宋体"/>
          <w:b/>
          <w:bCs/>
          <w:kern w:val="0"/>
          <w:sz w:val="30"/>
          <w:szCs w:val="30"/>
        </w:rPr>
        <w:t>三、后市预测</w:t>
      </w:r>
      <w:bookmarkEnd w:id="266"/>
      <w:bookmarkEnd w:id="267"/>
      <w:bookmarkEnd w:id="268"/>
      <w:bookmarkStart w:id="269" w:name="_Toc4654038"/>
      <w:bookmarkStart w:id="270" w:name="_Toc4596901"/>
    </w:p>
    <w:p>
      <w:pPr>
        <w:pStyle w:val="12"/>
        <w:keepNext w:val="0"/>
        <w:keepLines w:val="0"/>
        <w:widowControl/>
        <w:suppressLineNumbers w:val="0"/>
        <w:ind w:firstLine="560" w:firstLineChars="200"/>
        <w:rPr>
          <w:rFonts w:hint="default" w:ascii="仿宋" w:hAnsi="仿宋" w:eastAsia="仿宋" w:cs="仿宋"/>
          <w:kern w:val="2"/>
          <w:sz w:val="28"/>
          <w:szCs w:val="28"/>
          <w:lang w:val="en-US" w:eastAsia="zh-CN" w:bidi="ar-SA"/>
        </w:rPr>
      </w:pPr>
      <w:bookmarkStart w:id="271" w:name="_Toc8991662"/>
      <w:bookmarkStart w:id="272" w:name="_Toc8378824"/>
      <w:bookmarkStart w:id="273" w:name="_Toc9597668"/>
      <w:bookmarkStart w:id="274" w:name="_Toc4767073"/>
      <w:bookmarkStart w:id="275" w:name="_Toc8313142"/>
      <w:bookmarkStart w:id="276" w:name="_Toc10202317"/>
      <w:bookmarkStart w:id="277" w:name="_Toc9583961"/>
      <w:bookmarkStart w:id="278" w:name="_Toc12609912"/>
      <w:bookmarkStart w:id="279" w:name="_Toc13217640"/>
      <w:r>
        <w:rPr>
          <w:rFonts w:hint="default" w:ascii="仿宋" w:hAnsi="仿宋" w:eastAsia="仿宋" w:cs="仿宋"/>
          <w:kern w:val="2"/>
          <w:sz w:val="28"/>
          <w:szCs w:val="28"/>
          <w:lang w:val="en-US" w:eastAsia="zh-CN" w:bidi="ar-SA"/>
        </w:rPr>
        <w:t>下周即将迎来十一国庆假期，节日期间危化品运输管控严格，多地区液氯出货受阻，部分氯碱企业因此减负荷运行，烧碱供应整体减量为主。预计液碱市场多以高位盘整运行为主。</w:t>
      </w:r>
    </w:p>
    <w:p>
      <w:pPr>
        <w:pStyle w:val="12"/>
        <w:keepNext w:val="0"/>
        <w:keepLines w:val="0"/>
        <w:widowControl/>
        <w:suppressLineNumbers w:val="0"/>
        <w:ind w:firstLine="560" w:firstLineChars="200"/>
        <w:rPr>
          <w:rFonts w:hint="default" w:ascii="仿宋" w:hAnsi="仿宋" w:eastAsia="仿宋" w:cs="仿宋"/>
          <w:kern w:val="2"/>
          <w:sz w:val="28"/>
          <w:szCs w:val="28"/>
          <w:lang w:val="en-US" w:eastAsia="zh-CN" w:bidi="ar-SA"/>
        </w:rPr>
      </w:pPr>
    </w:p>
    <w:p>
      <w:pPr>
        <w:pStyle w:val="12"/>
        <w:keepNext w:val="0"/>
        <w:keepLines w:val="0"/>
        <w:widowControl/>
        <w:suppressLineNumbers w:val="0"/>
        <w:rPr>
          <w:rFonts w:hint="default" w:ascii="仿宋" w:hAnsi="仿宋" w:eastAsia="仿宋" w:cs="仿宋"/>
          <w:kern w:val="2"/>
          <w:sz w:val="28"/>
          <w:szCs w:val="28"/>
          <w:lang w:val="en-US" w:eastAsia="zh-CN" w:bidi="ar-SA"/>
        </w:rPr>
      </w:pPr>
    </w:p>
    <w:p>
      <w:pPr>
        <w:widowControl/>
        <w:ind w:firstLine="602" w:firstLineChars="200"/>
        <w:jc w:val="left"/>
        <w:outlineLvl w:val="2"/>
        <w:rPr>
          <w:rStyle w:val="24"/>
          <w:rFonts w:hint="eastAsia"/>
          <w:b/>
          <w:bCs/>
          <w:sz w:val="30"/>
          <w:szCs w:val="30"/>
        </w:rPr>
      </w:pPr>
      <w:r>
        <w:rPr>
          <w:rStyle w:val="24"/>
          <w:rFonts w:hint="eastAsia"/>
          <w:b/>
          <w:bCs/>
          <w:sz w:val="30"/>
          <w:szCs w:val="30"/>
        </w:rPr>
        <w:t>本周国内片碱实际成交周汇总</w:t>
      </w:r>
      <w:bookmarkEnd w:id="240"/>
      <w:bookmarkEnd w:id="241"/>
      <w:bookmarkEnd w:id="242"/>
      <w:bookmarkEnd w:id="243"/>
      <w:bookmarkEnd w:id="269"/>
      <w:bookmarkEnd w:id="270"/>
      <w:bookmarkEnd w:id="271"/>
      <w:bookmarkEnd w:id="272"/>
      <w:bookmarkEnd w:id="273"/>
      <w:bookmarkEnd w:id="274"/>
      <w:bookmarkEnd w:id="275"/>
      <w:bookmarkEnd w:id="276"/>
      <w:bookmarkEnd w:id="277"/>
      <w:bookmarkEnd w:id="278"/>
      <w:bookmarkEnd w:id="279"/>
    </w:p>
    <w:p>
      <w:pPr>
        <w:widowControl/>
        <w:ind w:firstLine="602" w:firstLineChars="200"/>
        <w:jc w:val="left"/>
        <w:outlineLvl w:val="2"/>
        <w:rPr>
          <w:rStyle w:val="24"/>
          <w:rFonts w:hint="eastAsia"/>
          <w:b/>
          <w:bCs/>
          <w:sz w:val="30"/>
          <w:szCs w:val="30"/>
        </w:rPr>
      </w:pPr>
    </w:p>
    <w:p>
      <w:pPr>
        <w:snapToGrid w:val="0"/>
        <w:spacing w:line="400" w:lineRule="exact"/>
        <w:ind w:right="-149" w:rightChars="-71"/>
        <w:rPr>
          <w:rFonts w:hint="eastAsia" w:ascii="仿宋" w:hAnsi="仿宋" w:eastAsia="仿宋" w:cs="仿宋"/>
          <w:sz w:val="28"/>
          <w:szCs w:val="28"/>
        </w:rPr>
      </w:pPr>
      <w:r>
        <w:rPr>
          <w:rFonts w:hint="eastAsia" w:ascii="仿宋" w:hAnsi="仿宋" w:eastAsia="仿宋" w:cs="仿宋"/>
          <w:sz w:val="28"/>
          <w:szCs w:val="28"/>
        </w:rPr>
        <w:t>单位：元</w:t>
      </w:r>
      <w:r>
        <w:rPr>
          <w:rFonts w:ascii="仿宋" w:hAnsi="仿宋" w:eastAsia="仿宋" w:cs="仿宋"/>
          <w:sz w:val="28"/>
          <w:szCs w:val="28"/>
        </w:rPr>
        <w:t>/</w:t>
      </w:r>
      <w:r>
        <w:rPr>
          <w:rFonts w:hint="eastAsia" w:ascii="仿宋" w:hAnsi="仿宋" w:eastAsia="仿宋" w:cs="仿宋"/>
          <w:sz w:val="28"/>
          <w:szCs w:val="28"/>
        </w:rPr>
        <w:t>吨</w:t>
      </w:r>
    </w:p>
    <w:tbl>
      <w:tblPr>
        <w:tblStyle w:val="13"/>
        <w:tblpPr w:leftFromText="180" w:rightFromText="180" w:vertAnchor="text" w:horzAnchor="page" w:tblpX="2166" w:tblpY="434"/>
        <w:tblOverlap w:val="never"/>
        <w:tblW w:w="7881" w:type="dxa"/>
        <w:tblInd w:w="0" w:type="dxa"/>
        <w:tblLayout w:type="fixed"/>
        <w:tblCellMar>
          <w:top w:w="0" w:type="dxa"/>
          <w:left w:w="108" w:type="dxa"/>
          <w:bottom w:w="0" w:type="dxa"/>
          <w:right w:w="108" w:type="dxa"/>
        </w:tblCellMar>
      </w:tblPr>
      <w:tblGrid>
        <w:gridCol w:w="1440"/>
        <w:gridCol w:w="2180"/>
        <w:gridCol w:w="1003"/>
        <w:gridCol w:w="1629"/>
        <w:gridCol w:w="1629"/>
      </w:tblGrid>
      <w:tr>
        <w:tblPrEx>
          <w:tblLayout w:type="fixed"/>
          <w:tblCellMar>
            <w:top w:w="0" w:type="dxa"/>
            <w:left w:w="108" w:type="dxa"/>
            <w:bottom w:w="0" w:type="dxa"/>
            <w:right w:w="108" w:type="dxa"/>
          </w:tblCellMar>
        </w:tblPrEx>
        <w:trPr>
          <w:trHeight w:val="420" w:hRule="atLeast"/>
        </w:trPr>
        <w:tc>
          <w:tcPr>
            <w:tcW w:w="1440" w:type="dxa"/>
            <w:vMerge w:val="restart"/>
            <w:tcBorders>
              <w:top w:val="single" w:color="auto" w:sz="8" w:space="0"/>
              <w:left w:val="single" w:color="auto" w:sz="8" w:space="0"/>
              <w:bottom w:val="single" w:color="000000" w:sz="8" w:space="0"/>
              <w:right w:val="single" w:color="auto" w:sz="8" w:space="0"/>
            </w:tcBorders>
            <w:shd w:val="clear" w:color="000000" w:fill="8DB4E3"/>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日期</w:t>
            </w:r>
          </w:p>
        </w:tc>
        <w:tc>
          <w:tcPr>
            <w:tcW w:w="2180" w:type="dxa"/>
            <w:vMerge w:val="restart"/>
            <w:tcBorders>
              <w:top w:val="single" w:color="auto" w:sz="8" w:space="0"/>
              <w:left w:val="single" w:color="auto" w:sz="8" w:space="0"/>
              <w:bottom w:val="single" w:color="000000" w:sz="8" w:space="0"/>
              <w:right w:val="single" w:color="auto" w:sz="8" w:space="0"/>
            </w:tcBorders>
            <w:shd w:val="clear" w:color="000000" w:fill="8DB4E3"/>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地区</w:t>
            </w:r>
          </w:p>
        </w:tc>
        <w:tc>
          <w:tcPr>
            <w:tcW w:w="4261" w:type="dxa"/>
            <w:gridSpan w:val="3"/>
            <w:tcBorders>
              <w:top w:val="single" w:color="auto" w:sz="8" w:space="0"/>
              <w:left w:val="nil"/>
              <w:bottom w:val="single" w:color="auto" w:sz="8" w:space="0"/>
              <w:right w:val="single" w:color="000000" w:sz="8" w:space="0"/>
            </w:tcBorders>
            <w:shd w:val="clear" w:color="000000" w:fill="8DB4E3"/>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96%片碱</w:t>
            </w:r>
          </w:p>
        </w:tc>
      </w:tr>
      <w:tr>
        <w:tblPrEx>
          <w:tblLayout w:type="fixed"/>
          <w:tblCellMar>
            <w:top w:w="0" w:type="dxa"/>
            <w:left w:w="108" w:type="dxa"/>
            <w:bottom w:w="0" w:type="dxa"/>
            <w:right w:w="108" w:type="dxa"/>
          </w:tblCellMar>
        </w:tblPrEx>
        <w:trPr>
          <w:trHeight w:val="450" w:hRule="atLeast"/>
        </w:trPr>
        <w:tc>
          <w:tcPr>
            <w:tcW w:w="14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0"/>
                <w:szCs w:val="20"/>
              </w:rPr>
            </w:pPr>
          </w:p>
        </w:tc>
        <w:tc>
          <w:tcPr>
            <w:tcW w:w="21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0"/>
                <w:szCs w:val="20"/>
              </w:rPr>
            </w:pPr>
          </w:p>
        </w:tc>
        <w:tc>
          <w:tcPr>
            <w:tcW w:w="1003" w:type="dxa"/>
            <w:tcBorders>
              <w:top w:val="nil"/>
              <w:left w:val="nil"/>
              <w:bottom w:val="single" w:color="auto" w:sz="8" w:space="0"/>
              <w:right w:val="single" w:color="auto" w:sz="8" w:space="0"/>
            </w:tcBorders>
            <w:shd w:val="clear" w:color="000000" w:fill="8DB4E3"/>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属性</w:t>
            </w:r>
          </w:p>
        </w:tc>
        <w:tc>
          <w:tcPr>
            <w:tcW w:w="1629" w:type="dxa"/>
            <w:tcBorders>
              <w:top w:val="nil"/>
              <w:left w:val="nil"/>
              <w:bottom w:val="single" w:color="auto" w:sz="8" w:space="0"/>
              <w:right w:val="single" w:color="auto" w:sz="8" w:space="0"/>
            </w:tcBorders>
            <w:shd w:val="clear" w:color="000000" w:fill="8DB4E3"/>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低价</w:t>
            </w:r>
          </w:p>
        </w:tc>
        <w:tc>
          <w:tcPr>
            <w:tcW w:w="1629" w:type="dxa"/>
            <w:tcBorders>
              <w:top w:val="nil"/>
              <w:left w:val="nil"/>
              <w:bottom w:val="single" w:color="auto" w:sz="8" w:space="0"/>
              <w:right w:val="single" w:color="auto" w:sz="8" w:space="0"/>
            </w:tcBorders>
            <w:shd w:val="clear" w:color="000000" w:fill="8DB4E3"/>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高价</w:t>
            </w:r>
          </w:p>
        </w:tc>
      </w:tr>
      <w:tr>
        <w:tblPrEx>
          <w:tblLayout w:type="fixed"/>
          <w:tblCellMar>
            <w:top w:w="0" w:type="dxa"/>
            <w:left w:w="108" w:type="dxa"/>
            <w:bottom w:w="0" w:type="dxa"/>
            <w:right w:w="108" w:type="dxa"/>
          </w:tblCellMar>
        </w:tblPrEx>
        <w:trPr>
          <w:trHeight w:val="375" w:hRule="atLeast"/>
        </w:trPr>
        <w:tc>
          <w:tcPr>
            <w:tcW w:w="1440"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rPr>
            </w:pPr>
            <w:r>
              <w:rPr>
                <w:rFonts w:hint="eastAsia" w:ascii="宋体" w:hAnsi="宋体" w:cs="宋体"/>
                <w:kern w:val="0"/>
              </w:rPr>
              <w:t>主流</w:t>
            </w:r>
          </w:p>
        </w:tc>
        <w:tc>
          <w:tcPr>
            <w:tcW w:w="100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162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31</w:t>
            </w:r>
            <w:r>
              <w:rPr>
                <w:rFonts w:hint="eastAsia" w:ascii="宋体" w:hAnsi="宋体" w:cs="宋体"/>
                <w:kern w:val="0"/>
                <w:sz w:val="18"/>
                <w:szCs w:val="18"/>
                <w:lang w:val="en-US" w:eastAsia="zh-CN"/>
              </w:rPr>
              <w:t>5</w:t>
            </w: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rPr>
            </w:pPr>
            <w:r>
              <w:rPr>
                <w:rFonts w:hint="eastAsia" w:ascii="宋体" w:hAnsi="宋体" w:cs="宋体"/>
                <w:kern w:val="0"/>
              </w:rPr>
              <w:t>主流</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noWrap/>
            <w:vAlign w:val="center"/>
          </w:tcPr>
          <w:p>
            <w:pPr>
              <w:widowControl/>
              <w:tabs>
                <w:tab w:val="center" w:pos="766"/>
                <w:tab w:val="right" w:pos="1413"/>
              </w:tabs>
              <w:ind w:firstLine="540" w:firstLineChars="300"/>
              <w:jc w:val="left"/>
              <w:rPr>
                <w:rFonts w:hint="default"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700</w:t>
            </w:r>
          </w:p>
        </w:tc>
        <w:tc>
          <w:tcPr>
            <w:tcW w:w="162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3</w:t>
            </w:r>
            <w:r>
              <w:rPr>
                <w:rFonts w:hint="eastAsia" w:ascii="宋体" w:hAnsi="宋体" w:cs="宋体"/>
                <w:kern w:val="0"/>
                <w:sz w:val="18"/>
                <w:szCs w:val="18"/>
                <w:lang w:val="en-US" w:eastAsia="zh-CN"/>
              </w:rPr>
              <w:t>250</w:t>
            </w:r>
          </w:p>
        </w:tc>
      </w:tr>
      <w:tr>
        <w:tblPrEx>
          <w:tblLayout w:type="fixed"/>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淄博环拓</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3</w:t>
            </w:r>
            <w:r>
              <w:rPr>
                <w:rFonts w:hint="eastAsia" w:ascii="宋体" w:hAnsi="宋体" w:cs="宋体"/>
                <w:kern w:val="0"/>
                <w:sz w:val="18"/>
                <w:szCs w:val="18"/>
                <w:lang w:val="en-US" w:eastAsia="zh-CN"/>
              </w:rPr>
              <w:t>250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3</w:t>
            </w:r>
            <w:r>
              <w:rPr>
                <w:rFonts w:hint="eastAsia" w:ascii="宋体" w:hAnsi="宋体" w:cs="宋体"/>
                <w:kern w:val="0"/>
                <w:sz w:val="18"/>
                <w:szCs w:val="18"/>
                <w:lang w:val="en-US" w:eastAsia="zh-CN"/>
              </w:rPr>
              <w:t>250</w:t>
            </w:r>
          </w:p>
        </w:tc>
      </w:tr>
      <w:tr>
        <w:tblPrEx>
          <w:tblLayout w:type="fixed"/>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山东永嘉</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淄博青临鸿金</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山东苗栗</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3</w:t>
            </w:r>
            <w:r>
              <w:rPr>
                <w:rFonts w:hint="eastAsia" w:ascii="宋体" w:hAnsi="宋体" w:cs="宋体"/>
                <w:kern w:val="0"/>
                <w:sz w:val="18"/>
                <w:szCs w:val="18"/>
                <w:lang w:val="en-US" w:eastAsia="zh-CN"/>
              </w:rPr>
              <w:t>100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3</w:t>
            </w:r>
            <w:r>
              <w:rPr>
                <w:rFonts w:hint="eastAsia" w:ascii="宋体" w:hAnsi="宋体" w:cs="宋体"/>
                <w:kern w:val="0"/>
                <w:sz w:val="18"/>
                <w:szCs w:val="18"/>
                <w:lang w:val="en-US" w:eastAsia="zh-CN"/>
              </w:rPr>
              <w:t>100</w:t>
            </w:r>
          </w:p>
        </w:tc>
      </w:tr>
      <w:tr>
        <w:tblPrEx>
          <w:tblLayout w:type="fixed"/>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淄博鲁威</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3000</w:t>
            </w:r>
          </w:p>
        </w:tc>
      </w:tr>
      <w:tr>
        <w:tblPrEx>
          <w:tblLayout w:type="fixed"/>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实得工贸</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淄博丰通</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天津红三环</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3150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3150</w:t>
            </w:r>
          </w:p>
        </w:tc>
      </w:tr>
      <w:tr>
        <w:tblPrEx>
          <w:tblLayout w:type="fixed"/>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天津兴凯</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天津云海碳素</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3100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3100</w:t>
            </w:r>
          </w:p>
        </w:tc>
      </w:tr>
      <w:tr>
        <w:tblPrEx>
          <w:tblLayout w:type="fixed"/>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天津丰泰</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天津鹏坤</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唐山汇成</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2650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2650</w:t>
            </w:r>
          </w:p>
        </w:tc>
      </w:tr>
      <w:tr>
        <w:tblPrEx>
          <w:tblLayout w:type="fixed"/>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沧州市荣庆</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2500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2500</w:t>
            </w:r>
          </w:p>
        </w:tc>
      </w:tr>
      <w:tr>
        <w:tblPrEx>
          <w:tblLayout w:type="fixed"/>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内蒙乌海欣业</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280</w:t>
            </w:r>
            <w:r>
              <w:rPr>
                <w:rFonts w:hint="eastAsia" w:ascii="宋体" w:hAnsi="宋体" w:cs="宋体"/>
                <w:kern w:val="0"/>
                <w:sz w:val="18"/>
                <w:szCs w:val="18"/>
              </w:rPr>
              <w:t>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280</w:t>
            </w: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375" w:hRule="atLeast"/>
        </w:trPr>
        <w:tc>
          <w:tcPr>
            <w:tcW w:w="1440" w:type="dxa"/>
            <w:tcBorders>
              <w:top w:val="nil"/>
              <w:left w:val="single" w:color="auto" w:sz="4" w:space="0"/>
              <w:bottom w:val="single" w:color="auto" w:sz="4" w:space="0"/>
              <w:right w:val="single" w:color="auto" w:sz="4" w:space="0"/>
            </w:tcBorders>
            <w:shd w:val="clear" w:color="000000" w:fill="FFFFFF"/>
            <w:noWrap/>
            <w:vAlign w:val="top"/>
          </w:tcPr>
          <w:p>
            <w:pPr>
              <w:jc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2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内蒙古中盐吉兰泰</w:t>
            </w:r>
          </w:p>
        </w:tc>
        <w:tc>
          <w:tcPr>
            <w:tcW w:w="1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出厂价</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2450</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2450</w:t>
            </w:r>
          </w:p>
        </w:tc>
      </w:tr>
    </w:tbl>
    <w:p>
      <w:pPr>
        <w:snapToGrid w:val="0"/>
        <w:spacing w:line="400" w:lineRule="exact"/>
        <w:ind w:right="-149" w:rightChars="-71"/>
        <w:jc w:val="both"/>
        <w:rPr>
          <w:rFonts w:ascii="仿宋" w:hAnsi="仿宋" w:eastAsia="仿宋" w:cs="Times New Roman"/>
          <w:sz w:val="28"/>
          <w:szCs w:val="28"/>
        </w:rPr>
      </w:pPr>
    </w:p>
    <w:p>
      <w:pPr>
        <w:pStyle w:val="2"/>
        <w:spacing w:line="400" w:lineRule="exact"/>
        <w:jc w:val="both"/>
        <w:rPr>
          <w:rFonts w:hint="eastAsia" w:cs="黑体"/>
        </w:rPr>
      </w:pPr>
      <w:bookmarkStart w:id="280" w:name="_Toc252539758"/>
      <w:bookmarkStart w:id="281" w:name="_Toc392240282"/>
      <w:bookmarkStart w:id="282" w:name="_Toc300238851"/>
      <w:bookmarkStart w:id="283" w:name="_Toc250731929"/>
      <w:bookmarkStart w:id="284" w:name="_Toc485981325"/>
      <w:bookmarkStart w:id="285" w:name="_Toc528329959"/>
      <w:bookmarkStart w:id="286" w:name="_Toc530750142"/>
      <w:bookmarkStart w:id="287" w:name="_Toc530128352"/>
      <w:bookmarkStart w:id="288" w:name="_Toc531954275"/>
      <w:bookmarkStart w:id="289" w:name="_Toc9597669"/>
      <w:bookmarkStart w:id="290" w:name="_Toc532564040"/>
      <w:bookmarkStart w:id="291" w:name="_Toc12609913"/>
      <w:bookmarkStart w:id="292" w:name="_Toc10202318"/>
      <w:bookmarkStart w:id="293" w:name="_Toc13217641"/>
      <w:bookmarkStart w:id="294" w:name="_Toc4139109"/>
      <w:bookmarkStart w:id="295" w:name="_Toc4596902"/>
      <w:bookmarkStart w:id="296" w:name="_Toc528919989"/>
      <w:bookmarkStart w:id="297" w:name="_Toc532564066"/>
      <w:bookmarkStart w:id="298" w:name="_Toc529526328"/>
      <w:bookmarkStart w:id="299" w:name="_Toc520465079"/>
      <w:bookmarkStart w:id="300" w:name="_Toc528930996"/>
      <w:bookmarkStart w:id="301" w:name="_Toc516234894"/>
      <w:bookmarkStart w:id="302" w:name="_Toc517425041"/>
      <w:bookmarkStart w:id="303" w:name="_Toc521057604"/>
      <w:bookmarkStart w:id="304" w:name="_Toc518032002"/>
      <w:bookmarkStart w:id="305" w:name="_Toc511390008"/>
      <w:bookmarkStart w:id="306" w:name="_Toc233795930"/>
      <w:bookmarkStart w:id="307" w:name="_Toc295403452"/>
      <w:bookmarkStart w:id="308" w:name="_Toc522870748"/>
      <w:bookmarkStart w:id="309" w:name="_Toc516234900"/>
      <w:bookmarkStart w:id="310" w:name="_Toc522280057"/>
      <w:bookmarkStart w:id="311" w:name="_Toc516839087"/>
      <w:bookmarkStart w:id="312" w:name="_Toc522259767"/>
      <w:bookmarkStart w:id="313" w:name="_Toc525306477"/>
      <w:bookmarkStart w:id="314" w:name="_Toc519848560"/>
      <w:bookmarkStart w:id="315" w:name="_Toc522870772"/>
      <w:bookmarkStart w:id="316" w:name="_Toc521660550"/>
      <w:bookmarkStart w:id="317" w:name="_Toc522870754"/>
      <w:bookmarkStart w:id="318" w:name="_Toc513127193"/>
      <w:bookmarkStart w:id="319" w:name="_Toc518638262"/>
      <w:bookmarkStart w:id="320" w:name="_Toc515610376"/>
      <w:bookmarkStart w:id="321" w:name="_Toc524091684"/>
      <w:bookmarkStart w:id="322" w:name="_Toc522870763"/>
      <w:bookmarkStart w:id="323" w:name="_Toc527101793"/>
      <w:bookmarkStart w:id="324" w:name="_Toc525912529"/>
      <w:bookmarkStart w:id="325" w:name="_Toc527705003"/>
      <w:bookmarkStart w:id="326" w:name="_Toc525306466"/>
      <w:bookmarkStart w:id="327" w:name="_Toc525289549"/>
      <w:bookmarkStart w:id="328" w:name="_Toc524701467"/>
      <w:bookmarkStart w:id="329" w:name="_Toc532564263"/>
      <w:bookmarkStart w:id="330" w:name="_Toc534378403"/>
      <w:bookmarkStart w:id="331" w:name="_Toc534915168"/>
      <w:bookmarkStart w:id="332" w:name="_Toc535588711"/>
      <w:bookmarkStart w:id="333" w:name="_Toc1739297"/>
      <w:bookmarkStart w:id="334" w:name="_Toc533149333"/>
      <w:bookmarkStart w:id="335" w:name="_Toc1394103"/>
      <w:bookmarkStart w:id="336" w:name="_Toc1139288"/>
      <w:bookmarkStart w:id="337" w:name="_Toc1035933"/>
      <w:bookmarkStart w:id="338" w:name="_Toc536789788"/>
      <w:bookmarkStart w:id="339" w:name="_Toc536541140"/>
      <w:bookmarkStart w:id="340" w:name="_Toc536540310"/>
      <w:bookmarkStart w:id="341" w:name="_Toc536198170"/>
      <w:bookmarkStart w:id="342" w:name="_Toc8991663"/>
      <w:bookmarkStart w:id="343" w:name="_Toc9583962"/>
      <w:bookmarkStart w:id="344" w:name="_Toc8378825"/>
      <w:bookmarkStart w:id="345" w:name="_Toc8313143"/>
      <w:bookmarkStart w:id="346" w:name="_Toc4654039"/>
      <w:bookmarkStart w:id="347" w:name="_Toc4767074"/>
    </w:p>
    <w:p>
      <w:pPr>
        <w:rPr>
          <w:rFonts w:hint="eastAsia" w:cs="黑体"/>
        </w:rPr>
      </w:pPr>
    </w:p>
    <w:p>
      <w:pPr>
        <w:rPr>
          <w:rFonts w:hint="eastAsia" w:cs="黑体"/>
        </w:rPr>
      </w:pPr>
    </w:p>
    <w:p>
      <w:pPr>
        <w:pStyle w:val="2"/>
        <w:spacing w:line="400" w:lineRule="exact"/>
        <w:jc w:val="center"/>
        <w:rPr>
          <w:rFonts w:cs="黑体"/>
        </w:rPr>
      </w:pPr>
      <w:r>
        <w:rPr>
          <w:rFonts w:hint="eastAsia" w:cs="黑体"/>
        </w:rPr>
        <w:t>液氯</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Start w:id="348" w:name="_Toc233795931"/>
      <w:bookmarkEnd w:id="348"/>
      <w:bookmarkStart w:id="349" w:name="_Toc295403453"/>
      <w:bookmarkStart w:id="350" w:name="_Toc252539759"/>
      <w:bookmarkStart w:id="351" w:name="_Toc392240283"/>
      <w:bookmarkStart w:id="352" w:name="_Toc485981326"/>
      <w:bookmarkStart w:id="353" w:name="_Toc300238852"/>
      <w:bookmarkStart w:id="354" w:name="_Toc185611021"/>
      <w:bookmarkStart w:id="355" w:name="_Toc250731930"/>
    </w:p>
    <w:p>
      <w:pPr>
        <w:spacing w:line="400" w:lineRule="exact"/>
        <w:ind w:firstLine="602" w:firstLineChars="200"/>
        <w:outlineLvl w:val="1"/>
        <w:rPr>
          <w:rFonts w:ascii="黑体" w:hAnsi="黑体" w:eastAsia="黑体" w:cs="黑体"/>
          <w:b/>
          <w:bCs/>
          <w:sz w:val="30"/>
          <w:szCs w:val="30"/>
        </w:rPr>
      </w:pPr>
      <w:bookmarkStart w:id="356" w:name="_Toc528919990"/>
      <w:bookmarkStart w:id="357" w:name="_Toc529526329"/>
      <w:bookmarkStart w:id="358" w:name="_Toc528930997"/>
      <w:bookmarkStart w:id="359" w:name="_Toc528329960"/>
      <w:bookmarkStart w:id="360" w:name="_Toc527705004"/>
      <w:bookmarkStart w:id="361" w:name="_Toc527101794"/>
      <w:bookmarkStart w:id="362" w:name="_Toc525912530"/>
      <w:bookmarkStart w:id="363" w:name="_Toc525306478"/>
      <w:bookmarkStart w:id="364" w:name="_Toc525306467"/>
      <w:bookmarkStart w:id="365" w:name="_Toc524091685"/>
      <w:bookmarkStart w:id="366" w:name="_Toc524701468"/>
      <w:bookmarkStart w:id="367" w:name="_Toc525289550"/>
      <w:bookmarkStart w:id="368" w:name="_Toc522870773"/>
      <w:bookmarkStart w:id="369" w:name="_Toc522870764"/>
      <w:bookmarkStart w:id="370" w:name="_Toc522870755"/>
      <w:bookmarkStart w:id="371" w:name="_Toc522870749"/>
      <w:bookmarkStart w:id="372" w:name="_Toc522280058"/>
      <w:bookmarkStart w:id="373" w:name="_Toc522259768"/>
      <w:bookmarkStart w:id="374" w:name="_Toc521660551"/>
      <w:bookmarkStart w:id="375" w:name="_Toc519848561"/>
      <w:bookmarkStart w:id="376" w:name="_Toc521057605"/>
      <w:bookmarkStart w:id="377" w:name="_Toc530128353"/>
      <w:bookmarkStart w:id="378" w:name="_Toc534378404"/>
      <w:bookmarkStart w:id="379" w:name="_Toc518638263"/>
      <w:bookmarkStart w:id="380" w:name="_Toc520465080"/>
      <w:bookmarkStart w:id="381" w:name="_Toc518032003"/>
      <w:bookmarkStart w:id="382" w:name="_Toc517425042"/>
      <w:bookmarkStart w:id="383" w:name="_Toc516839088"/>
      <w:bookmarkStart w:id="384" w:name="_Toc516234901"/>
      <w:bookmarkStart w:id="385" w:name="_Toc516234895"/>
      <w:bookmarkStart w:id="386" w:name="_Toc515610377"/>
      <w:bookmarkStart w:id="387" w:name="_Toc1739298"/>
      <w:bookmarkStart w:id="388" w:name="_Toc513127194"/>
      <w:bookmarkStart w:id="389" w:name="_Toc511390009"/>
      <w:bookmarkStart w:id="390" w:name="_Toc1394104"/>
      <w:bookmarkStart w:id="391" w:name="_Toc1139289"/>
      <w:bookmarkStart w:id="392" w:name="_Toc1035934"/>
      <w:bookmarkStart w:id="393" w:name="_Toc536789789"/>
      <w:bookmarkStart w:id="394" w:name="_Toc536541141"/>
      <w:bookmarkStart w:id="395" w:name="_Toc536540311"/>
      <w:bookmarkStart w:id="396" w:name="_Toc536198171"/>
      <w:bookmarkStart w:id="397" w:name="_Toc534915169"/>
      <w:bookmarkStart w:id="398" w:name="_Toc535588712"/>
      <w:bookmarkStart w:id="399" w:name="_Toc533149334"/>
      <w:bookmarkStart w:id="400" w:name="_Toc532564264"/>
      <w:bookmarkStart w:id="401" w:name="_Toc532564067"/>
      <w:bookmarkStart w:id="402" w:name="_Toc532564041"/>
      <w:bookmarkStart w:id="403" w:name="_Toc531954276"/>
      <w:bookmarkStart w:id="404" w:name="_Toc530750143"/>
      <w:bookmarkStart w:id="405" w:name="_Toc4596903"/>
      <w:bookmarkStart w:id="406" w:name="_Toc4139110"/>
      <w:bookmarkStart w:id="407" w:name="_Toc4654040"/>
    </w:p>
    <w:p>
      <w:pPr>
        <w:spacing w:line="400" w:lineRule="exact"/>
        <w:ind w:firstLine="602" w:firstLineChars="200"/>
        <w:outlineLvl w:val="1"/>
        <w:rPr>
          <w:rFonts w:ascii="黑体" w:hAnsi="黑体" w:eastAsia="黑体" w:cs="黑体"/>
          <w:b/>
          <w:bCs/>
          <w:sz w:val="30"/>
          <w:szCs w:val="30"/>
        </w:rPr>
      </w:pPr>
      <w:bookmarkStart w:id="408" w:name="_Toc10202319"/>
      <w:bookmarkStart w:id="409" w:name="_Toc8378826"/>
      <w:bookmarkStart w:id="410" w:name="_Toc8313144"/>
      <w:bookmarkStart w:id="411" w:name="_Toc9583963"/>
      <w:bookmarkStart w:id="412" w:name="_Toc9597670"/>
      <w:bookmarkStart w:id="413" w:name="_Toc8991664"/>
      <w:bookmarkStart w:id="414" w:name="_Toc12609914"/>
      <w:bookmarkStart w:id="415" w:name="_Toc13217642"/>
      <w:bookmarkStart w:id="416" w:name="_Toc4767075"/>
      <w:r>
        <w:rPr>
          <w:rFonts w:hint="eastAsia" w:ascii="黑体" w:hAnsi="黑体" w:eastAsia="黑体" w:cs="黑体"/>
          <w:b/>
          <w:bCs/>
          <w:sz w:val="30"/>
          <w:szCs w:val="30"/>
        </w:rPr>
        <w:t>评述：本周国内液氯市场评述及行情预测</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Start w:id="417" w:name="_Toc252539760"/>
      <w:bookmarkStart w:id="418" w:name="_Toc250731931"/>
    </w:p>
    <w:p>
      <w:pPr>
        <w:pStyle w:val="12"/>
        <w:spacing w:before="0" w:beforeAutospacing="0" w:after="0" w:afterAutospacing="0" w:line="400" w:lineRule="exact"/>
        <w:ind w:firstLine="600" w:firstLineChars="200"/>
        <w:rPr>
          <w:rFonts w:ascii="黑体" w:hAnsi="黑体" w:eastAsia="黑体" w:cs="Times New Roman"/>
          <w:color w:val="FF0000"/>
          <w:sz w:val="30"/>
          <w:szCs w:val="30"/>
        </w:rPr>
      </w:pPr>
    </w:p>
    <w:p>
      <w:pPr>
        <w:pStyle w:val="12"/>
        <w:spacing w:before="0" w:beforeAutospacing="0" w:after="0" w:afterAutospacing="0" w:line="400" w:lineRule="exact"/>
        <w:outlineLvl w:val="1"/>
        <w:rPr>
          <w:rFonts w:hint="eastAsia" w:ascii="黑体" w:hAnsi="黑体" w:eastAsia="黑体" w:cs="黑体"/>
          <w:sz w:val="30"/>
          <w:szCs w:val="30"/>
        </w:rPr>
      </w:pPr>
      <w:bookmarkStart w:id="480" w:name="_GoBack"/>
      <w:bookmarkEnd w:id="480"/>
      <w:bookmarkStart w:id="419" w:name="_Toc4596904"/>
      <w:bookmarkStart w:id="420" w:name="_Toc4654041"/>
      <w:bookmarkStart w:id="421" w:name="_Toc8991665"/>
      <w:bookmarkStart w:id="422" w:name="_Toc4767076"/>
      <w:bookmarkStart w:id="423" w:name="_Toc8313145"/>
      <w:bookmarkStart w:id="424" w:name="_Toc8378827"/>
      <w:bookmarkStart w:id="425" w:name="_Toc9583964"/>
      <w:bookmarkStart w:id="426" w:name="_Toc12609915"/>
      <w:bookmarkStart w:id="427" w:name="_Toc13217643"/>
      <w:bookmarkStart w:id="428" w:name="_Toc10202320"/>
      <w:bookmarkStart w:id="429" w:name="_Toc9597671"/>
    </w:p>
    <w:p>
      <w:pPr>
        <w:pStyle w:val="12"/>
        <w:numPr>
          <w:ilvl w:val="0"/>
          <w:numId w:val="3"/>
        </w:numPr>
        <w:spacing w:before="0" w:beforeAutospacing="0" w:after="0" w:afterAutospacing="0" w:line="400" w:lineRule="exact"/>
        <w:ind w:firstLine="600" w:firstLineChars="200"/>
        <w:outlineLvl w:val="1"/>
        <w:rPr>
          <w:rFonts w:hint="eastAsia" w:ascii="黑体" w:hAnsi="黑体" w:eastAsia="黑体" w:cs="黑体"/>
          <w:sz w:val="30"/>
          <w:szCs w:val="30"/>
        </w:rPr>
      </w:pPr>
      <w:r>
        <w:rPr>
          <w:rFonts w:hint="eastAsia" w:ascii="黑体" w:hAnsi="黑体" w:eastAsia="黑体" w:cs="黑体"/>
          <w:sz w:val="30"/>
          <w:szCs w:val="30"/>
        </w:rPr>
        <w:t>中国液氯市场行情综述</w:t>
      </w:r>
      <w:bookmarkEnd w:id="419"/>
      <w:bookmarkEnd w:id="420"/>
      <w:bookmarkEnd w:id="421"/>
      <w:bookmarkEnd w:id="422"/>
      <w:bookmarkEnd w:id="423"/>
      <w:bookmarkEnd w:id="424"/>
      <w:bookmarkEnd w:id="425"/>
      <w:bookmarkEnd w:id="426"/>
      <w:bookmarkEnd w:id="427"/>
      <w:bookmarkEnd w:id="428"/>
      <w:bookmarkEnd w:id="429"/>
    </w:p>
    <w:p>
      <w:pPr>
        <w:pStyle w:val="12"/>
        <w:ind w:firstLine="560" w:firstLineChars="200"/>
        <w:rPr>
          <w:rFonts w:hint="eastAsia" w:ascii="仿宋" w:hAnsi="仿宋" w:eastAsia="仿宋" w:cs="仿宋"/>
          <w:kern w:val="2"/>
          <w:sz w:val="28"/>
          <w:szCs w:val="28"/>
          <w:lang w:val="en-US" w:eastAsia="zh-CN"/>
        </w:rPr>
      </w:pPr>
      <w:bookmarkStart w:id="430" w:name="_Toc4596905"/>
      <w:bookmarkStart w:id="431" w:name="_Toc4654042"/>
      <w:bookmarkStart w:id="432" w:name="_Toc8313146"/>
      <w:bookmarkStart w:id="433" w:name="_Toc4767077"/>
      <w:bookmarkStart w:id="434" w:name="_Toc8378828"/>
      <w:bookmarkStart w:id="435" w:name="_Toc8991666"/>
      <w:bookmarkStart w:id="436" w:name="_Toc9597672"/>
      <w:bookmarkStart w:id="437" w:name="_Toc9583965"/>
      <w:bookmarkStart w:id="438" w:name="_Toc13217644"/>
      <w:bookmarkStart w:id="439" w:name="_Toc10202321"/>
      <w:bookmarkStart w:id="440" w:name="_Toc12609916"/>
      <w:r>
        <w:rPr>
          <w:rFonts w:hint="eastAsia" w:ascii="仿宋" w:hAnsi="仿宋" w:eastAsia="仿宋" w:cs="仿宋"/>
          <w:kern w:val="2"/>
          <w:sz w:val="28"/>
          <w:szCs w:val="28"/>
          <w:lang w:val="en-US" w:eastAsia="zh-CN"/>
        </w:rPr>
        <w:t>本周北方液氯市场呈现下跌走势，南方地区局部出货承压。</w:t>
      </w:r>
    </w:p>
    <w:p>
      <w:pPr>
        <w:pStyle w:val="12"/>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本周北方地区液氯市场价格整体下行200元/吨，本周河北地区碱厂供应增加约250吨/天，周初聊城甲烷氯化物厂家收货较差，聊城地区出货承压，价格顺势下行，东部地区观望过后价格随之下行为主。下行至槽车出货300-400元/吨之后，供需表现平衡，但自9.23开始河北、山东有不同程度的雾霾天气预警，各地有一定的限产，碱厂以及耗氯企业同步受限，当前出货暂无问题，较为顺畅。山西地区液氯市场价格稳定，山西孝义地区碱厂本周停车，恢复待定;山西地区目前供应不多，但山西地区国庆节期间液氯槽车停运，预计碱厂多减产为主。辽宁地区近期当地主要下游开工不佳，走货一般，价格有下行迹象。</w:t>
      </w:r>
    </w:p>
    <w:p>
      <w:pPr>
        <w:pStyle w:val="12"/>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华东地区液氯市场本周局部回落，皖北地区走货承压，价格有一定下行，目前皖北地区报价槽车在350-400元/吨，皖南地区报价多槽车在450-500元/吨。目前安徽地区确认国庆节七天内液氯槽车停运，下游目前接货尚可，节前碱厂多以积极发货为主，求稳心态浓厚。江苏地区液氯市场行情混乱，江苏地区当前以同市内液氯槽车可上路运输，但需要警车护送运输，目前已有少部分液氯槽车开始运输。但目前各家成交水平差异化较大，价格区间较广。江西地区本周理文和星火有机硅有检修，出货紧张;浙江地区因主要耗氯下游开工不足，整体走货方面压力加大，库存升温。</w:t>
      </w:r>
    </w:p>
    <w:p>
      <w:pPr>
        <w:pStyle w:val="12"/>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华中地区液氯供应平稳，河南地区需求淡稳，发货一般;湖北地区当地走货尚可，国庆节期间液氯槽车停运，节前备货尚可;湖南地区本周负荷较低，液氯供应紧张。内蒙地区节前备货，液氯稍显紧张，价格本周调涨150-200元/吨。</w:t>
      </w:r>
    </w:p>
    <w:p>
      <w:pPr>
        <w:widowControl/>
        <w:ind w:firstLine="600" w:firstLineChars="200"/>
        <w:jc w:val="left"/>
        <w:outlineLvl w:val="1"/>
        <w:rPr>
          <w:rFonts w:hint="eastAsia" w:ascii="仿宋" w:hAnsi="仿宋" w:eastAsia="仿宋" w:cs="仿宋"/>
          <w:kern w:val="2"/>
          <w:sz w:val="28"/>
          <w:szCs w:val="28"/>
          <w:lang w:val="en-US" w:eastAsia="zh-CN"/>
        </w:rPr>
      </w:pPr>
      <w:r>
        <w:rPr>
          <w:rFonts w:hint="eastAsia" w:ascii="黑体" w:hAnsi="黑体" w:eastAsia="黑体" w:cs="黑体"/>
          <w:sz w:val="30"/>
          <w:szCs w:val="30"/>
        </w:rPr>
        <w:t>二、市场价格</w:t>
      </w:r>
      <w:bookmarkEnd w:id="430"/>
      <w:bookmarkEnd w:id="431"/>
      <w:bookmarkEnd w:id="432"/>
      <w:bookmarkEnd w:id="433"/>
      <w:bookmarkEnd w:id="434"/>
      <w:bookmarkEnd w:id="435"/>
      <w:bookmarkEnd w:id="436"/>
      <w:bookmarkEnd w:id="437"/>
      <w:bookmarkEnd w:id="438"/>
      <w:bookmarkEnd w:id="439"/>
      <w:bookmarkEnd w:id="440"/>
      <w:bookmarkStart w:id="441" w:name="_Toc8991667"/>
      <w:bookmarkStart w:id="442" w:name="_Toc9583966"/>
      <w:bookmarkStart w:id="443" w:name="_Toc10202322"/>
      <w:bookmarkStart w:id="444" w:name="_Toc12609917"/>
      <w:bookmarkStart w:id="445" w:name="_Toc9597673"/>
      <w:bookmarkStart w:id="446" w:name="_Toc13217645"/>
    </w:p>
    <w:p>
      <w:pPr>
        <w:pStyle w:val="12"/>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截止到9月26日发稿，各地区液氯槽车主流出厂价格：</w:t>
      </w:r>
    </w:p>
    <w:p>
      <w:pPr>
        <w:pStyle w:val="12"/>
        <w:ind w:firstLine="560" w:firstLineChars="200"/>
        <w:rPr>
          <w:rFonts w:hint="eastAsia" w:ascii="黑体" w:hAnsi="黑体" w:eastAsia="黑体" w:cs="黑体"/>
          <w:sz w:val="30"/>
          <w:szCs w:val="30"/>
        </w:rPr>
      </w:pPr>
      <w:r>
        <w:rPr>
          <w:rFonts w:hint="eastAsia" w:ascii="仿宋" w:hAnsi="仿宋" w:eastAsia="仿宋" w:cs="仿宋"/>
          <w:kern w:val="2"/>
          <w:sz w:val="28"/>
          <w:szCs w:val="28"/>
          <w:lang w:val="en-US" w:eastAsia="zh-CN"/>
        </w:rPr>
        <w:t>山东省内主流槽车300-400元/吨，河北省内主流槽车执行400-500元/吨;河南省槽车主流出货价格在200-400元/吨，钢瓶槽车同价;山西地区槽车出货主流在100-200元/吨;浙江地区槽车出货主流在400-450元/吨左右;江苏地区槽车少量成交500-550元/吨，低价100-200元/吨亦有;江西地区槽车550-600元/吨;安徽地区槽车执行350-550元/吨;内蒙液氯槽车150-200元/吨;湖北本地槽车400-500元/吨;江西地区本周槽车价格执行500-550元/吨，湖南当地少量槽车价格偏高，四川地区300-400元/吨，当地高价成交有限。</w:t>
      </w:r>
    </w:p>
    <w:p>
      <w:pPr>
        <w:pStyle w:val="12"/>
        <w:spacing w:before="0" w:beforeAutospacing="0" w:after="0" w:afterAutospacing="0" w:line="400" w:lineRule="exact"/>
        <w:ind w:firstLine="600" w:firstLineChars="200"/>
        <w:outlineLvl w:val="1"/>
        <w:rPr>
          <w:rFonts w:ascii="黑体" w:hAnsi="黑体" w:eastAsia="黑体" w:cs="黑体"/>
          <w:sz w:val="30"/>
          <w:szCs w:val="30"/>
        </w:rPr>
      </w:pPr>
      <w:r>
        <w:rPr>
          <w:rFonts w:hint="eastAsia" w:ascii="黑体" w:hAnsi="黑体" w:eastAsia="黑体" w:cs="黑体"/>
          <w:sz w:val="30"/>
          <w:szCs w:val="30"/>
        </w:rPr>
        <w:t>三、</w:t>
      </w:r>
      <w:bookmarkStart w:id="447" w:name="_Toc4596906"/>
      <w:bookmarkStart w:id="448" w:name="_Toc4654043"/>
      <w:bookmarkStart w:id="449" w:name="_Toc4767078"/>
      <w:bookmarkStart w:id="450" w:name="_Toc8378829"/>
      <w:bookmarkStart w:id="451" w:name="_Toc8313147"/>
      <w:r>
        <w:rPr>
          <w:rFonts w:hint="eastAsia" w:ascii="黑体" w:hAnsi="黑体" w:eastAsia="黑体" w:cs="黑体"/>
          <w:sz w:val="30"/>
          <w:szCs w:val="30"/>
        </w:rPr>
        <w:t>山东市场分析</w:t>
      </w:r>
      <w:bookmarkEnd w:id="441"/>
      <w:bookmarkEnd w:id="442"/>
      <w:bookmarkEnd w:id="443"/>
      <w:bookmarkEnd w:id="444"/>
      <w:bookmarkEnd w:id="445"/>
      <w:bookmarkEnd w:id="446"/>
      <w:bookmarkEnd w:id="447"/>
      <w:bookmarkEnd w:id="448"/>
      <w:bookmarkEnd w:id="449"/>
      <w:bookmarkEnd w:id="450"/>
      <w:bookmarkEnd w:id="451"/>
      <w:bookmarkStart w:id="452" w:name="OLE_LINK56"/>
    </w:p>
    <w:bookmarkEnd w:id="452"/>
    <w:p>
      <w:pPr>
        <w:pStyle w:val="12"/>
        <w:ind w:firstLine="560" w:firstLineChars="200"/>
        <w:rPr>
          <w:rFonts w:hint="eastAsia" w:ascii="仿宋" w:hAnsi="仿宋" w:eastAsia="仿宋" w:cs="仿宋"/>
          <w:kern w:val="2"/>
          <w:sz w:val="28"/>
          <w:szCs w:val="28"/>
          <w:lang w:val="en-US" w:eastAsia="zh-CN"/>
        </w:rPr>
      </w:pPr>
      <w:bookmarkStart w:id="453" w:name="_Toc9583967"/>
      <w:bookmarkStart w:id="454" w:name="_Toc8991668"/>
      <w:bookmarkStart w:id="455" w:name="_Toc8378830"/>
      <w:bookmarkStart w:id="456" w:name="_Toc8313148"/>
      <w:bookmarkStart w:id="457" w:name="_Toc4767079"/>
      <w:bookmarkStart w:id="458" w:name="_Toc4654044"/>
      <w:bookmarkStart w:id="459" w:name="_Toc4596907"/>
      <w:bookmarkStart w:id="460" w:name="_Toc13217646"/>
      <w:bookmarkStart w:id="461" w:name="_Toc12609918"/>
      <w:bookmarkStart w:id="462" w:name="_Toc10202323"/>
      <w:bookmarkStart w:id="463" w:name="_Toc9597674"/>
      <w:r>
        <w:rPr>
          <w:rFonts w:hint="eastAsia" w:ascii="仿宋" w:hAnsi="仿宋" w:eastAsia="仿宋" w:cs="仿宋"/>
          <w:kern w:val="2"/>
          <w:sz w:val="28"/>
          <w:szCs w:val="28"/>
          <w:lang w:val="en-US" w:eastAsia="zh-CN"/>
        </w:rPr>
        <w:t>山东省内主流槽车300-400元/吨，河北省内主流槽车执行400-500元/吨;河南省槽车主流出货价格在200-400元/吨，钢瓶槽车同价;山西地区槽车出货主流在100-200元/吨;浙江地区槽车出货主流在400-450元/吨左右;江苏地区槽车少量成交500-550元/吨，低价100-200元/吨亦有;江西地区槽车550-600元/吨;安徽地区槽车执行350-550元/吨;内蒙液氯槽车150-200元/吨;湖北本地槽车400-500元/吨;江西地区本周槽车价格执行500-550元/吨，湖南当地少量槽车价格偏高，四川地区300-400元/吨，当地高价成交有限。</w:t>
      </w:r>
    </w:p>
    <w:p>
      <w:pPr>
        <w:pStyle w:val="12"/>
        <w:spacing w:before="0" w:beforeAutospacing="0" w:after="0" w:afterAutospacing="0" w:line="400" w:lineRule="exact"/>
        <w:ind w:firstLine="600" w:firstLineChars="200"/>
        <w:outlineLvl w:val="1"/>
        <w:rPr>
          <w:rFonts w:ascii="黑体" w:hAnsi="黑体" w:eastAsia="黑体" w:cs="黑体"/>
          <w:sz w:val="30"/>
          <w:szCs w:val="30"/>
        </w:rPr>
      </w:pPr>
      <w:r>
        <w:rPr>
          <w:rFonts w:hint="eastAsia" w:ascii="黑体" w:hAnsi="黑体" w:eastAsia="黑体" w:cs="黑体"/>
          <w:sz w:val="30"/>
          <w:szCs w:val="30"/>
        </w:rPr>
        <w:t>四、后市分析</w:t>
      </w:r>
      <w:bookmarkEnd w:id="453"/>
      <w:bookmarkEnd w:id="454"/>
      <w:bookmarkEnd w:id="455"/>
      <w:bookmarkEnd w:id="456"/>
      <w:bookmarkEnd w:id="457"/>
      <w:bookmarkEnd w:id="458"/>
      <w:bookmarkEnd w:id="459"/>
      <w:bookmarkEnd w:id="460"/>
      <w:bookmarkEnd w:id="461"/>
      <w:bookmarkEnd w:id="462"/>
      <w:bookmarkEnd w:id="463"/>
    </w:p>
    <w:p>
      <w:pPr>
        <w:pStyle w:val="12"/>
        <w:ind w:firstLine="560" w:firstLineChars="200"/>
        <w:rPr>
          <w:rFonts w:hint="eastAsia" w:ascii="仿宋" w:hAnsi="仿宋" w:eastAsia="仿宋" w:cs="仿宋"/>
          <w:kern w:val="2"/>
          <w:sz w:val="28"/>
          <w:szCs w:val="28"/>
          <w:lang w:val="en-US" w:eastAsia="zh-CN"/>
        </w:rPr>
      </w:pPr>
      <w:bookmarkStart w:id="464" w:name="_Toc10202324"/>
      <w:bookmarkStart w:id="465" w:name="_Toc4596908"/>
      <w:bookmarkStart w:id="466" w:name="_Toc4654045"/>
      <w:bookmarkStart w:id="467" w:name="_Toc4767080"/>
      <w:bookmarkStart w:id="468" w:name="_Toc8313149"/>
      <w:bookmarkStart w:id="469" w:name="_Toc8991669"/>
      <w:bookmarkStart w:id="470" w:name="_Toc8378831"/>
      <w:bookmarkStart w:id="471" w:name="_Toc9597675"/>
      <w:bookmarkStart w:id="472" w:name="_Toc9583968"/>
      <w:bookmarkStart w:id="473" w:name="_Toc12609919"/>
      <w:bookmarkStart w:id="474" w:name="_Toc13217647"/>
      <w:r>
        <w:rPr>
          <w:rFonts w:hint="eastAsia" w:ascii="仿宋" w:hAnsi="仿宋" w:eastAsia="仿宋" w:cs="仿宋"/>
          <w:kern w:val="2"/>
          <w:sz w:val="28"/>
          <w:szCs w:val="28"/>
          <w:lang w:val="en-US" w:eastAsia="zh-CN"/>
        </w:rPr>
        <w:t>下周进入逐渐进入国庆节，并且目前北方局部已现雾霾天气污染，运输缓解，以及上下游企业开工均将受到限制;北方地区需观察上下游负荷情况判断价格，预计国庆期间价格有下行的可能;华东地区仍将淡稳运行为主，局部企业国庆期间液氯槽车停止运输。后市预测：下周北方地区液氯价格略有下行，南方预计波动不大。全国液氯市场调整幅度在50-400元/吨之间波动。</w:t>
      </w:r>
    </w:p>
    <w:p>
      <w:pPr>
        <w:pStyle w:val="12"/>
        <w:ind w:firstLine="602" w:firstLineChars="200"/>
        <w:rPr>
          <w:b/>
          <w:bCs/>
          <w:sz w:val="30"/>
          <w:szCs w:val="30"/>
        </w:rPr>
      </w:pPr>
      <w:r>
        <w:rPr>
          <w:rFonts w:hint="eastAsia"/>
          <w:b/>
          <w:bCs/>
          <w:sz w:val="30"/>
          <w:szCs w:val="30"/>
        </w:rPr>
        <w:t>国内地区市场价格</w:t>
      </w:r>
      <w:bookmarkEnd w:id="464"/>
      <w:bookmarkEnd w:id="465"/>
      <w:bookmarkEnd w:id="466"/>
      <w:bookmarkEnd w:id="467"/>
      <w:bookmarkEnd w:id="468"/>
      <w:bookmarkEnd w:id="469"/>
      <w:bookmarkEnd w:id="470"/>
      <w:bookmarkEnd w:id="471"/>
      <w:bookmarkEnd w:id="472"/>
      <w:bookmarkEnd w:id="473"/>
      <w:bookmarkEnd w:id="474"/>
    </w:p>
    <w:bookmarkEnd w:id="417"/>
    <w:bookmarkEnd w:id="418"/>
    <w:tbl>
      <w:tblPr>
        <w:tblStyle w:val="13"/>
        <w:tblW w:w="8720" w:type="dxa"/>
        <w:tblInd w:w="0" w:type="dxa"/>
        <w:tblLayout w:type="fixed"/>
        <w:tblCellMar>
          <w:top w:w="0" w:type="dxa"/>
          <w:left w:w="108" w:type="dxa"/>
          <w:bottom w:w="0" w:type="dxa"/>
          <w:right w:w="108" w:type="dxa"/>
        </w:tblCellMar>
      </w:tblPr>
      <w:tblGrid>
        <w:gridCol w:w="1744"/>
        <w:gridCol w:w="1744"/>
        <w:gridCol w:w="1744"/>
        <w:gridCol w:w="1744"/>
        <w:gridCol w:w="1744"/>
      </w:tblGrid>
      <w:tr>
        <w:tblPrEx>
          <w:tblLayout w:type="fixed"/>
          <w:tblCellMar>
            <w:top w:w="0" w:type="dxa"/>
            <w:left w:w="108" w:type="dxa"/>
            <w:bottom w:w="0" w:type="dxa"/>
            <w:right w:w="108" w:type="dxa"/>
          </w:tblCellMar>
        </w:tblPrEx>
        <w:trPr>
          <w:trHeight w:val="255" w:hRule="atLeast"/>
        </w:trPr>
        <w:tc>
          <w:tcPr>
            <w:tcW w:w="1744" w:type="dxa"/>
            <w:vMerge w:val="restart"/>
            <w:tcBorders>
              <w:top w:val="single" w:color="auto" w:sz="4" w:space="0"/>
              <w:left w:val="single" w:color="auto" w:sz="4" w:space="0"/>
              <w:bottom w:val="single" w:color="000000"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bookmarkStart w:id="475" w:name="_Toc233795926"/>
            <w:bookmarkEnd w:id="475"/>
          </w:p>
          <w:p>
            <w:pPr>
              <w:widowControl/>
              <w:jc w:val="center"/>
              <w:rPr>
                <w:rFonts w:ascii="宋体" w:cs="Times New Roman"/>
                <w:b/>
                <w:bCs/>
                <w:color w:val="000000"/>
                <w:kern w:val="0"/>
                <w:sz w:val="20"/>
                <w:szCs w:val="20"/>
              </w:rPr>
            </w:pP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属性</w:t>
            </w:r>
          </w:p>
        </w:tc>
        <w:tc>
          <w:tcPr>
            <w:tcW w:w="3488" w:type="dxa"/>
            <w:gridSpan w:val="2"/>
            <w:tcBorders>
              <w:top w:val="single" w:color="auto" w:sz="4" w:space="0"/>
              <w:left w:val="nil"/>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液氯</w:t>
            </w:r>
          </w:p>
        </w:tc>
      </w:tr>
      <w:tr>
        <w:tblPrEx>
          <w:tblLayout w:type="fixed"/>
          <w:tblCellMar>
            <w:top w:w="0" w:type="dxa"/>
            <w:left w:w="108" w:type="dxa"/>
            <w:bottom w:w="0" w:type="dxa"/>
            <w:right w:w="108" w:type="dxa"/>
          </w:tblCellMar>
        </w:tblPrEx>
        <w:trPr>
          <w:trHeight w:val="255" w:hRule="atLeast"/>
        </w:trPr>
        <w:tc>
          <w:tcPr>
            <w:tcW w:w="17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20"/>
                <w:szCs w:val="20"/>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0"/>
                <w:szCs w:val="20"/>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0"/>
                <w:szCs w:val="20"/>
              </w:rPr>
            </w:pPr>
          </w:p>
        </w:tc>
        <w:tc>
          <w:tcPr>
            <w:tcW w:w="1744" w:type="dxa"/>
            <w:tcBorders>
              <w:top w:val="nil"/>
              <w:left w:val="nil"/>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744" w:type="dxa"/>
            <w:tcBorders>
              <w:top w:val="nil"/>
              <w:left w:val="nil"/>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高端价</w:t>
            </w:r>
          </w:p>
        </w:tc>
      </w:tr>
      <w:tr>
        <w:tblPrEx>
          <w:tblLayout w:type="fixed"/>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vAlign w:val="top"/>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山东市场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400</w:t>
            </w:r>
          </w:p>
        </w:tc>
      </w:tr>
      <w:tr>
        <w:tblPrEx>
          <w:tblLayout w:type="fixed"/>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vAlign w:val="top"/>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河北市场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400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500</w:t>
            </w:r>
          </w:p>
        </w:tc>
      </w:tr>
      <w:tr>
        <w:tblPrEx>
          <w:tblLayout w:type="fixed"/>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vAlign w:val="top"/>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华中</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河南市场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00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0</w:t>
            </w:r>
            <w:r>
              <w:rPr>
                <w:rFonts w:ascii="宋体" w:hAnsi="宋体" w:cs="宋体"/>
                <w:color w:val="000000"/>
                <w:kern w:val="0"/>
                <w:sz w:val="20"/>
                <w:szCs w:val="20"/>
              </w:rPr>
              <w:t>0</w:t>
            </w:r>
          </w:p>
        </w:tc>
      </w:tr>
      <w:tr>
        <w:tblPrEx>
          <w:tblLayout w:type="fixed"/>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vAlign w:val="top"/>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华东</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江苏市场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00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00</w:t>
            </w:r>
          </w:p>
        </w:tc>
      </w:tr>
      <w:tr>
        <w:tblPrEx>
          <w:tblLayout w:type="fixed"/>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vAlign w:val="top"/>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ascii="宋体" w:hAnsi="宋体" w:cs="宋体"/>
                <w:color w:val="000000"/>
                <w:kern w:val="0"/>
                <w:sz w:val="20"/>
                <w:szCs w:val="20"/>
              </w:rPr>
              <w:t>00</w:t>
            </w:r>
          </w:p>
        </w:tc>
      </w:tr>
      <w:tr>
        <w:tblPrEx>
          <w:tblLayout w:type="fixed"/>
          <w:tblCellMar>
            <w:top w:w="0" w:type="dxa"/>
            <w:left w:w="108" w:type="dxa"/>
            <w:bottom w:w="0" w:type="dxa"/>
            <w:right w:w="108" w:type="dxa"/>
          </w:tblCellMar>
        </w:tblPrEx>
        <w:trPr>
          <w:trHeight w:val="306" w:hRule="atLeast"/>
        </w:trPr>
        <w:tc>
          <w:tcPr>
            <w:tcW w:w="1744" w:type="dxa"/>
            <w:tcBorders>
              <w:top w:val="nil"/>
              <w:left w:val="single" w:color="auto" w:sz="4" w:space="0"/>
              <w:bottom w:val="single" w:color="auto" w:sz="4" w:space="0"/>
              <w:right w:val="single" w:color="auto" w:sz="4" w:space="0"/>
            </w:tcBorders>
            <w:shd w:val="clear" w:color="000000" w:fill="FFFFFF"/>
            <w:vAlign w:val="top"/>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东北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东北市场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250</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500</w:t>
            </w:r>
          </w:p>
        </w:tc>
      </w:tr>
      <w:tr>
        <w:tblPrEx>
          <w:tblLayout w:type="fixed"/>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vAlign w:val="top"/>
          </w:tcPr>
          <w:p>
            <w:pPr>
              <w:jc w:val="center"/>
              <w:rPr>
                <w:rFonts w:hint="default" w:eastAsia="宋体"/>
                <w:lang w:val="en-US" w:eastAsia="zh-CN"/>
              </w:rPr>
            </w:pPr>
            <w:r>
              <w:rPr>
                <w:rFonts w:hint="eastAsia" w:ascii="宋体" w:hAnsi="宋体" w:cs="宋体"/>
                <w:color w:val="000000"/>
                <w:kern w:val="0"/>
                <w:sz w:val="20"/>
                <w:szCs w:val="20"/>
              </w:rPr>
              <w:t>2019/</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27</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西北</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西北市场</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1</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bl>
    <w:p>
      <w:pPr>
        <w:spacing w:line="400" w:lineRule="exact"/>
        <w:rPr>
          <w:rFonts w:cs="Times New Roman"/>
        </w:rPr>
      </w:pPr>
    </w:p>
    <w:p>
      <w:pPr>
        <w:spacing w:line="400" w:lineRule="exact"/>
        <w:rPr>
          <w:rFonts w:ascii="Arial" w:hAnsi="Arial" w:cs="Arial"/>
          <w:kern w:val="0"/>
        </w:rPr>
      </w:pPr>
    </w:p>
    <w:p>
      <w:pPr>
        <w:spacing w:line="400" w:lineRule="exact"/>
        <w:ind w:firstLine="1600" w:firstLineChars="400"/>
        <w:rPr>
          <w:rFonts w:ascii="方正粗宋简体" w:eastAsia="方正粗宋简体" w:cs="Times New Roman"/>
          <w:spacing w:val="20"/>
          <w:sz w:val="36"/>
          <w:szCs w:val="36"/>
        </w:rPr>
      </w:pPr>
      <w:r>
        <w:rPr>
          <w:rFonts w:hint="eastAsia" w:ascii="方正粗宋简体" w:eastAsia="方正粗宋简体" w:cs="方正粗宋简体"/>
          <w:spacing w:val="20"/>
          <w:sz w:val="36"/>
          <w:szCs w:val="36"/>
        </w:rPr>
        <w:t>更多精彩敬请关注：</w:t>
      </w:r>
      <w:r>
        <w:fldChar w:fldCharType="begin"/>
      </w:r>
      <w:r>
        <w:instrText xml:space="preserve"> HYPERLINK "http://www.chinaccm.com/" </w:instrText>
      </w:r>
      <w:r>
        <w:fldChar w:fldCharType="separate"/>
      </w:r>
      <w:r>
        <w:rPr>
          <w:rStyle w:val="16"/>
          <w:rFonts w:hint="eastAsia" w:ascii="方正粗宋简体" w:eastAsia="方正粗宋简体" w:cs="方正粗宋简体"/>
          <w:spacing w:val="20"/>
          <w:sz w:val="36"/>
          <w:szCs w:val="36"/>
        </w:rPr>
        <w:t>中华商务网</w:t>
      </w:r>
      <w:r>
        <w:rPr>
          <w:rStyle w:val="16"/>
          <w:rFonts w:hint="eastAsia" w:ascii="方正粗宋简体" w:eastAsia="方正粗宋简体" w:cs="方正粗宋简体"/>
          <w:spacing w:val="20"/>
          <w:sz w:val="36"/>
          <w:szCs w:val="36"/>
        </w:rPr>
        <w:fldChar w:fldCharType="end"/>
      </w:r>
    </w:p>
    <w:p>
      <w:pPr>
        <w:spacing w:line="400" w:lineRule="exact"/>
        <w:jc w:val="center"/>
        <w:rPr>
          <w:rFonts w:eastAsia="方正粗宋简体" w:cs="Times New Roman"/>
          <w:spacing w:val="20"/>
          <w:sz w:val="36"/>
          <w:szCs w:val="36"/>
        </w:rPr>
      </w:pPr>
      <w:r>
        <w:rPr>
          <w:rFonts w:hint="eastAsia" w:ascii="方正粗宋简体" w:eastAsia="方正粗宋简体" w:cs="方正粗宋简体"/>
          <w:spacing w:val="20"/>
          <w:sz w:val="36"/>
          <w:szCs w:val="36"/>
        </w:rPr>
        <w:t>返回本期目录</w:t>
      </w: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粗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bCs/>
      </w:rPr>
      <w:fldChar w:fldCharType="begin"/>
    </w:r>
    <w:r>
      <w:rPr>
        <w:b/>
        <w:bCs/>
      </w:rPr>
      <w:instrText xml:space="preserve">PAGE</w:instrText>
    </w:r>
    <w:r>
      <w:rPr>
        <w:b/>
        <w:bCs/>
      </w:rPr>
      <w:fldChar w:fldCharType="separate"/>
    </w:r>
    <w:r>
      <w:rPr>
        <w:b/>
        <w:bCs/>
      </w:rPr>
      <w:t>10</w:t>
    </w:r>
    <w:r>
      <w:rPr>
        <w:b/>
        <w:bCs/>
      </w:rPr>
      <w:fldChar w:fldCharType="end"/>
    </w:r>
    <w:r>
      <w:rPr>
        <w:lang w:val="zh-CN"/>
      </w:rPr>
      <w:t xml:space="preserve">/ </w:t>
    </w:r>
    <w:r>
      <w:rPr>
        <w:b/>
        <w:bCs/>
      </w:rPr>
      <w:fldChar w:fldCharType="begin"/>
    </w:r>
    <w:r>
      <w:rPr>
        <w:b/>
        <w:bCs/>
      </w:rPr>
      <w:instrText xml:space="preserve">NUMPAGES</w:instrText>
    </w:r>
    <w:r>
      <w:rPr>
        <w:b/>
        <w:bCs/>
      </w:rPr>
      <w:fldChar w:fldCharType="separate"/>
    </w:r>
    <w:r>
      <w:rPr>
        <w:b/>
        <w:bCs/>
      </w:rPr>
      <w:t>11</w:t>
    </w:r>
    <w:r>
      <w:rPr>
        <w:b/>
        <w:bCs/>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drawing>
        <wp:anchor distT="0" distB="0" distL="114300" distR="114300" simplePos="0" relativeHeight="251658240" behindDoc="1" locked="0" layoutInCell="1" allowOverlap="1">
          <wp:simplePos x="0" y="0"/>
          <wp:positionH relativeFrom="column">
            <wp:posOffset>-1068705</wp:posOffset>
          </wp:positionH>
          <wp:positionV relativeFrom="paragraph">
            <wp:posOffset>-492760</wp:posOffset>
          </wp:positionV>
          <wp:extent cx="7553325" cy="10696575"/>
          <wp:effectExtent l="19050" t="0" r="9525" b="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内页.jpg"/>
                  <pic:cNvPicPr>
                    <a:picLocks noChangeAspect="1" noChangeArrowheads="1"/>
                  </pic:cNvPicPr>
                </pic:nvPicPr>
                <pic:blipFill>
                  <a:blip r:embed="rId1"/>
                  <a:srcRect/>
                  <a:stretch>
                    <a:fillRect/>
                  </a:stretch>
                </pic:blipFill>
                <pic:spPr>
                  <a:xfrm>
                    <a:off x="0" y="0"/>
                    <a:ext cx="7553325" cy="10696575"/>
                  </a:xfrm>
                  <a:prstGeom prst="rect">
                    <a:avLst/>
                  </a:prstGeom>
                  <a:noFill/>
                </pic:spPr>
              </pic:pic>
            </a:graphicData>
          </a:graphic>
        </wp:anchor>
      </w:drawing>
    </w:r>
  </w:p>
  <w:p>
    <w:pPr>
      <w:pStyle w:val="8"/>
      <w:pBdr>
        <w:bottom w:val="none" w:color="auto" w:sz="0" w:space="0"/>
      </w:pBdr>
    </w:pPr>
  </w:p>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9B408"/>
    <w:multiLevelType w:val="singleLevel"/>
    <w:tmpl w:val="8E59B408"/>
    <w:lvl w:ilvl="0" w:tentative="0">
      <w:start w:val="2"/>
      <w:numFmt w:val="chineseCounting"/>
      <w:suff w:val="nothing"/>
      <w:lvlText w:val="%1、"/>
      <w:lvlJc w:val="left"/>
      <w:rPr>
        <w:rFonts w:hint="eastAsia"/>
      </w:rPr>
    </w:lvl>
  </w:abstractNum>
  <w:abstractNum w:abstractNumId="1">
    <w:nsid w:val="AA80BF45"/>
    <w:multiLevelType w:val="singleLevel"/>
    <w:tmpl w:val="AA80BF45"/>
    <w:lvl w:ilvl="0" w:tentative="0">
      <w:start w:val="1"/>
      <w:numFmt w:val="chineseCounting"/>
      <w:suff w:val="nothing"/>
      <w:lvlText w:val="%1、"/>
      <w:lvlJc w:val="left"/>
      <w:rPr>
        <w:rFonts w:hint="eastAsia"/>
      </w:rPr>
    </w:lvl>
  </w:abstractNum>
  <w:abstractNum w:abstractNumId="2">
    <w:nsid w:val="17A37270"/>
    <w:multiLevelType w:val="multilevel"/>
    <w:tmpl w:val="17A37270"/>
    <w:lvl w:ilvl="0" w:tentative="0">
      <w:start w:val="1"/>
      <w:numFmt w:val="japaneseCounting"/>
      <w:lvlText w:val="%1、"/>
      <w:lvlJc w:val="left"/>
      <w:pPr>
        <w:ind w:left="1320" w:hanging="720"/>
      </w:pPr>
      <w:rPr>
        <w:rFonts w:hint="default" w:cs="黑体"/>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3C8"/>
    <w:rsid w:val="00002CE3"/>
    <w:rsid w:val="000053FD"/>
    <w:rsid w:val="00010DB4"/>
    <w:rsid w:val="000112E5"/>
    <w:rsid w:val="000154EF"/>
    <w:rsid w:val="000161BE"/>
    <w:rsid w:val="00026A36"/>
    <w:rsid w:val="00034D9D"/>
    <w:rsid w:val="0004320C"/>
    <w:rsid w:val="00045C9C"/>
    <w:rsid w:val="00057044"/>
    <w:rsid w:val="00057676"/>
    <w:rsid w:val="0005772F"/>
    <w:rsid w:val="0006570B"/>
    <w:rsid w:val="00065726"/>
    <w:rsid w:val="00072E1F"/>
    <w:rsid w:val="00074455"/>
    <w:rsid w:val="0007741E"/>
    <w:rsid w:val="000833E8"/>
    <w:rsid w:val="000849A7"/>
    <w:rsid w:val="00084DF0"/>
    <w:rsid w:val="00085917"/>
    <w:rsid w:val="00086FC3"/>
    <w:rsid w:val="0009407D"/>
    <w:rsid w:val="00095266"/>
    <w:rsid w:val="00096A95"/>
    <w:rsid w:val="00097923"/>
    <w:rsid w:val="000A004B"/>
    <w:rsid w:val="000B13BE"/>
    <w:rsid w:val="000B43A4"/>
    <w:rsid w:val="000B7162"/>
    <w:rsid w:val="000C4607"/>
    <w:rsid w:val="000C72ED"/>
    <w:rsid w:val="000D1869"/>
    <w:rsid w:val="000D33D7"/>
    <w:rsid w:val="000D3DBE"/>
    <w:rsid w:val="000E1971"/>
    <w:rsid w:val="000E26FB"/>
    <w:rsid w:val="000E41C2"/>
    <w:rsid w:val="000F061D"/>
    <w:rsid w:val="000F4985"/>
    <w:rsid w:val="000F4BC2"/>
    <w:rsid w:val="000F582E"/>
    <w:rsid w:val="001055DB"/>
    <w:rsid w:val="00105BD3"/>
    <w:rsid w:val="00105C40"/>
    <w:rsid w:val="001078AB"/>
    <w:rsid w:val="00113EEE"/>
    <w:rsid w:val="001164A9"/>
    <w:rsid w:val="00120F03"/>
    <w:rsid w:val="00123320"/>
    <w:rsid w:val="0012620F"/>
    <w:rsid w:val="00135248"/>
    <w:rsid w:val="001364CB"/>
    <w:rsid w:val="00136A19"/>
    <w:rsid w:val="0014366D"/>
    <w:rsid w:val="0014784B"/>
    <w:rsid w:val="00153176"/>
    <w:rsid w:val="00154128"/>
    <w:rsid w:val="00161430"/>
    <w:rsid w:val="00163783"/>
    <w:rsid w:val="0016388A"/>
    <w:rsid w:val="0016559E"/>
    <w:rsid w:val="00180C42"/>
    <w:rsid w:val="00190ADA"/>
    <w:rsid w:val="00192B10"/>
    <w:rsid w:val="001A10C8"/>
    <w:rsid w:val="001A49CA"/>
    <w:rsid w:val="001A5B29"/>
    <w:rsid w:val="001A5B52"/>
    <w:rsid w:val="001B0C21"/>
    <w:rsid w:val="001B1452"/>
    <w:rsid w:val="001B3397"/>
    <w:rsid w:val="001C20CD"/>
    <w:rsid w:val="001C42B0"/>
    <w:rsid w:val="001C4856"/>
    <w:rsid w:val="001C4858"/>
    <w:rsid w:val="001D3943"/>
    <w:rsid w:val="001D4D78"/>
    <w:rsid w:val="001E070F"/>
    <w:rsid w:val="001E158A"/>
    <w:rsid w:val="001E24A4"/>
    <w:rsid w:val="001E29F8"/>
    <w:rsid w:val="001E2FFF"/>
    <w:rsid w:val="001E5FA6"/>
    <w:rsid w:val="001E6FCE"/>
    <w:rsid w:val="001F103D"/>
    <w:rsid w:val="001F13A5"/>
    <w:rsid w:val="001F200E"/>
    <w:rsid w:val="001F2855"/>
    <w:rsid w:val="001F3EA0"/>
    <w:rsid w:val="001F633B"/>
    <w:rsid w:val="001F66E4"/>
    <w:rsid w:val="001F7A1C"/>
    <w:rsid w:val="00204238"/>
    <w:rsid w:val="00210AE7"/>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3011"/>
    <w:rsid w:val="00277D27"/>
    <w:rsid w:val="00277D2C"/>
    <w:rsid w:val="002831C3"/>
    <w:rsid w:val="0028492A"/>
    <w:rsid w:val="002854EB"/>
    <w:rsid w:val="00292924"/>
    <w:rsid w:val="002970A0"/>
    <w:rsid w:val="002A3052"/>
    <w:rsid w:val="002A3F05"/>
    <w:rsid w:val="002A4958"/>
    <w:rsid w:val="002B0DE2"/>
    <w:rsid w:val="002B37BA"/>
    <w:rsid w:val="002B425B"/>
    <w:rsid w:val="002B7C0C"/>
    <w:rsid w:val="002C0194"/>
    <w:rsid w:val="002C3A87"/>
    <w:rsid w:val="002C5DD5"/>
    <w:rsid w:val="002C6A4E"/>
    <w:rsid w:val="002D01CD"/>
    <w:rsid w:val="002D67FA"/>
    <w:rsid w:val="002E11E0"/>
    <w:rsid w:val="002E3DB4"/>
    <w:rsid w:val="002E4AEB"/>
    <w:rsid w:val="002F1450"/>
    <w:rsid w:val="002F750E"/>
    <w:rsid w:val="0030711E"/>
    <w:rsid w:val="00312DC6"/>
    <w:rsid w:val="0031346C"/>
    <w:rsid w:val="00317D90"/>
    <w:rsid w:val="00322DF7"/>
    <w:rsid w:val="00323B86"/>
    <w:rsid w:val="00325D41"/>
    <w:rsid w:val="003332DC"/>
    <w:rsid w:val="00344BEC"/>
    <w:rsid w:val="0034603D"/>
    <w:rsid w:val="003462AE"/>
    <w:rsid w:val="003503A7"/>
    <w:rsid w:val="00350C00"/>
    <w:rsid w:val="00356333"/>
    <w:rsid w:val="00361079"/>
    <w:rsid w:val="003625BB"/>
    <w:rsid w:val="003626D2"/>
    <w:rsid w:val="00365AAF"/>
    <w:rsid w:val="0036609F"/>
    <w:rsid w:val="003707D9"/>
    <w:rsid w:val="00373679"/>
    <w:rsid w:val="00375D35"/>
    <w:rsid w:val="0037795E"/>
    <w:rsid w:val="0038128C"/>
    <w:rsid w:val="00383FE2"/>
    <w:rsid w:val="00384728"/>
    <w:rsid w:val="003849D1"/>
    <w:rsid w:val="00384E33"/>
    <w:rsid w:val="00387F03"/>
    <w:rsid w:val="0039401A"/>
    <w:rsid w:val="003A0AB2"/>
    <w:rsid w:val="003A331B"/>
    <w:rsid w:val="003B15E0"/>
    <w:rsid w:val="003B58B8"/>
    <w:rsid w:val="003B64C7"/>
    <w:rsid w:val="003B7808"/>
    <w:rsid w:val="003C0792"/>
    <w:rsid w:val="003D13FD"/>
    <w:rsid w:val="003D4003"/>
    <w:rsid w:val="003D6138"/>
    <w:rsid w:val="003E1A1D"/>
    <w:rsid w:val="003E67E3"/>
    <w:rsid w:val="003E79A5"/>
    <w:rsid w:val="003F31AD"/>
    <w:rsid w:val="003F5A2E"/>
    <w:rsid w:val="003F7207"/>
    <w:rsid w:val="00404EBF"/>
    <w:rsid w:val="00405BA5"/>
    <w:rsid w:val="00407D4B"/>
    <w:rsid w:val="00411CC6"/>
    <w:rsid w:val="00412C07"/>
    <w:rsid w:val="004143B0"/>
    <w:rsid w:val="00415F5A"/>
    <w:rsid w:val="00416039"/>
    <w:rsid w:val="004203C1"/>
    <w:rsid w:val="00420B7E"/>
    <w:rsid w:val="00420C59"/>
    <w:rsid w:val="00421767"/>
    <w:rsid w:val="0042197D"/>
    <w:rsid w:val="00422CED"/>
    <w:rsid w:val="00423EC4"/>
    <w:rsid w:val="004257BC"/>
    <w:rsid w:val="00427C92"/>
    <w:rsid w:val="00433B13"/>
    <w:rsid w:val="00433DB4"/>
    <w:rsid w:val="004379B7"/>
    <w:rsid w:val="00444981"/>
    <w:rsid w:val="004450A9"/>
    <w:rsid w:val="00446F72"/>
    <w:rsid w:val="00454B72"/>
    <w:rsid w:val="0045664F"/>
    <w:rsid w:val="00456670"/>
    <w:rsid w:val="00466F83"/>
    <w:rsid w:val="00467D8A"/>
    <w:rsid w:val="00472BB7"/>
    <w:rsid w:val="00475F92"/>
    <w:rsid w:val="00482EAC"/>
    <w:rsid w:val="0048308D"/>
    <w:rsid w:val="00486295"/>
    <w:rsid w:val="00486621"/>
    <w:rsid w:val="00486BF4"/>
    <w:rsid w:val="0049002D"/>
    <w:rsid w:val="00491A4E"/>
    <w:rsid w:val="00493DEF"/>
    <w:rsid w:val="0049446C"/>
    <w:rsid w:val="004954AD"/>
    <w:rsid w:val="004954D8"/>
    <w:rsid w:val="004B0CDC"/>
    <w:rsid w:val="004B3E19"/>
    <w:rsid w:val="004B63A7"/>
    <w:rsid w:val="004B7BA6"/>
    <w:rsid w:val="004C2399"/>
    <w:rsid w:val="004C5799"/>
    <w:rsid w:val="004C76E1"/>
    <w:rsid w:val="004D0C5E"/>
    <w:rsid w:val="004D32D7"/>
    <w:rsid w:val="004D773F"/>
    <w:rsid w:val="004D7C15"/>
    <w:rsid w:val="004E044E"/>
    <w:rsid w:val="004E128B"/>
    <w:rsid w:val="004E3C75"/>
    <w:rsid w:val="004E73EE"/>
    <w:rsid w:val="004E7B26"/>
    <w:rsid w:val="004F1861"/>
    <w:rsid w:val="004F3262"/>
    <w:rsid w:val="004F76E6"/>
    <w:rsid w:val="00500399"/>
    <w:rsid w:val="0050040A"/>
    <w:rsid w:val="005020F8"/>
    <w:rsid w:val="00505022"/>
    <w:rsid w:val="005060EF"/>
    <w:rsid w:val="00506FA1"/>
    <w:rsid w:val="00507CF3"/>
    <w:rsid w:val="00513273"/>
    <w:rsid w:val="00514979"/>
    <w:rsid w:val="005203DB"/>
    <w:rsid w:val="00523E89"/>
    <w:rsid w:val="005270C8"/>
    <w:rsid w:val="0053120E"/>
    <w:rsid w:val="0053159E"/>
    <w:rsid w:val="0053365B"/>
    <w:rsid w:val="005337DE"/>
    <w:rsid w:val="00537D9E"/>
    <w:rsid w:val="00543B15"/>
    <w:rsid w:val="00553BB2"/>
    <w:rsid w:val="0056058C"/>
    <w:rsid w:val="005641D1"/>
    <w:rsid w:val="00565264"/>
    <w:rsid w:val="0057264B"/>
    <w:rsid w:val="0057406A"/>
    <w:rsid w:val="005806E8"/>
    <w:rsid w:val="005808B0"/>
    <w:rsid w:val="00582D5D"/>
    <w:rsid w:val="00583120"/>
    <w:rsid w:val="005845E2"/>
    <w:rsid w:val="00596F7F"/>
    <w:rsid w:val="005A17DA"/>
    <w:rsid w:val="005A3CE4"/>
    <w:rsid w:val="005A4B57"/>
    <w:rsid w:val="005A7F2C"/>
    <w:rsid w:val="005B0FEB"/>
    <w:rsid w:val="005B4468"/>
    <w:rsid w:val="005B7361"/>
    <w:rsid w:val="005B7EF1"/>
    <w:rsid w:val="005C08DC"/>
    <w:rsid w:val="005C2914"/>
    <w:rsid w:val="005C2CDA"/>
    <w:rsid w:val="005C64CC"/>
    <w:rsid w:val="005C6A97"/>
    <w:rsid w:val="005D007D"/>
    <w:rsid w:val="005D0F14"/>
    <w:rsid w:val="005D4AC0"/>
    <w:rsid w:val="005E040B"/>
    <w:rsid w:val="005E2B07"/>
    <w:rsid w:val="005E2EA6"/>
    <w:rsid w:val="005F08A1"/>
    <w:rsid w:val="005F0F47"/>
    <w:rsid w:val="005F3B12"/>
    <w:rsid w:val="005F4E29"/>
    <w:rsid w:val="005F638F"/>
    <w:rsid w:val="005F6651"/>
    <w:rsid w:val="005F6FE0"/>
    <w:rsid w:val="005F7C84"/>
    <w:rsid w:val="005F7FA9"/>
    <w:rsid w:val="0060433C"/>
    <w:rsid w:val="0060727C"/>
    <w:rsid w:val="00611B81"/>
    <w:rsid w:val="00636747"/>
    <w:rsid w:val="006405B5"/>
    <w:rsid w:val="00642549"/>
    <w:rsid w:val="00647952"/>
    <w:rsid w:val="00650ED7"/>
    <w:rsid w:val="00653539"/>
    <w:rsid w:val="00656C22"/>
    <w:rsid w:val="00663B7D"/>
    <w:rsid w:val="00664441"/>
    <w:rsid w:val="006663D0"/>
    <w:rsid w:val="006721AE"/>
    <w:rsid w:val="00673444"/>
    <w:rsid w:val="00674179"/>
    <w:rsid w:val="00674239"/>
    <w:rsid w:val="006752F3"/>
    <w:rsid w:val="00682577"/>
    <w:rsid w:val="0069452D"/>
    <w:rsid w:val="00695E33"/>
    <w:rsid w:val="00696EDF"/>
    <w:rsid w:val="0069725C"/>
    <w:rsid w:val="00697663"/>
    <w:rsid w:val="006A02D9"/>
    <w:rsid w:val="006A08B4"/>
    <w:rsid w:val="006A1E67"/>
    <w:rsid w:val="006A224F"/>
    <w:rsid w:val="006B06FF"/>
    <w:rsid w:val="006B3B80"/>
    <w:rsid w:val="006B3FA3"/>
    <w:rsid w:val="006B5764"/>
    <w:rsid w:val="006B5ECD"/>
    <w:rsid w:val="006B637D"/>
    <w:rsid w:val="006B7E7C"/>
    <w:rsid w:val="006C2EE4"/>
    <w:rsid w:val="006C3B06"/>
    <w:rsid w:val="006C3F53"/>
    <w:rsid w:val="006C43CA"/>
    <w:rsid w:val="006C5409"/>
    <w:rsid w:val="006D003B"/>
    <w:rsid w:val="006D1855"/>
    <w:rsid w:val="006D37BF"/>
    <w:rsid w:val="006E0A38"/>
    <w:rsid w:val="006E0B28"/>
    <w:rsid w:val="006E6D87"/>
    <w:rsid w:val="006F134F"/>
    <w:rsid w:val="00700544"/>
    <w:rsid w:val="00702144"/>
    <w:rsid w:val="00702423"/>
    <w:rsid w:val="007135D7"/>
    <w:rsid w:val="0071409C"/>
    <w:rsid w:val="007151B5"/>
    <w:rsid w:val="007154FE"/>
    <w:rsid w:val="00720C71"/>
    <w:rsid w:val="0072188E"/>
    <w:rsid w:val="0072434B"/>
    <w:rsid w:val="0072549A"/>
    <w:rsid w:val="007260DF"/>
    <w:rsid w:val="0072776C"/>
    <w:rsid w:val="0073241A"/>
    <w:rsid w:val="00734F14"/>
    <w:rsid w:val="00737C28"/>
    <w:rsid w:val="00740DDF"/>
    <w:rsid w:val="00741EF7"/>
    <w:rsid w:val="00745B76"/>
    <w:rsid w:val="00750DEB"/>
    <w:rsid w:val="0075263D"/>
    <w:rsid w:val="007564ED"/>
    <w:rsid w:val="007619F9"/>
    <w:rsid w:val="00761E5C"/>
    <w:rsid w:val="007642A5"/>
    <w:rsid w:val="00764918"/>
    <w:rsid w:val="00766A49"/>
    <w:rsid w:val="0076752D"/>
    <w:rsid w:val="00770753"/>
    <w:rsid w:val="007731FD"/>
    <w:rsid w:val="00773E14"/>
    <w:rsid w:val="00774768"/>
    <w:rsid w:val="00774E6C"/>
    <w:rsid w:val="00775A5B"/>
    <w:rsid w:val="00776665"/>
    <w:rsid w:val="007801FD"/>
    <w:rsid w:val="00783C73"/>
    <w:rsid w:val="007859E5"/>
    <w:rsid w:val="00787A5E"/>
    <w:rsid w:val="007935DB"/>
    <w:rsid w:val="007A141A"/>
    <w:rsid w:val="007A167E"/>
    <w:rsid w:val="007A223B"/>
    <w:rsid w:val="007A339C"/>
    <w:rsid w:val="007A5962"/>
    <w:rsid w:val="007A6F27"/>
    <w:rsid w:val="007B1517"/>
    <w:rsid w:val="007B5EC4"/>
    <w:rsid w:val="007C32F6"/>
    <w:rsid w:val="007C5699"/>
    <w:rsid w:val="007D29D0"/>
    <w:rsid w:val="007D6B00"/>
    <w:rsid w:val="007E0972"/>
    <w:rsid w:val="007E0F08"/>
    <w:rsid w:val="007E21DF"/>
    <w:rsid w:val="007E3FCF"/>
    <w:rsid w:val="007E6632"/>
    <w:rsid w:val="007F1C52"/>
    <w:rsid w:val="007F2624"/>
    <w:rsid w:val="007F4D63"/>
    <w:rsid w:val="008007E4"/>
    <w:rsid w:val="008074F4"/>
    <w:rsid w:val="008125AA"/>
    <w:rsid w:val="008144B6"/>
    <w:rsid w:val="00815E03"/>
    <w:rsid w:val="0082114E"/>
    <w:rsid w:val="00822A25"/>
    <w:rsid w:val="00824742"/>
    <w:rsid w:val="00824FA2"/>
    <w:rsid w:val="00831C9E"/>
    <w:rsid w:val="008342A1"/>
    <w:rsid w:val="00842CA3"/>
    <w:rsid w:val="00846284"/>
    <w:rsid w:val="00850EDB"/>
    <w:rsid w:val="00851423"/>
    <w:rsid w:val="00863F79"/>
    <w:rsid w:val="00864D7D"/>
    <w:rsid w:val="00865BDE"/>
    <w:rsid w:val="0087043F"/>
    <w:rsid w:val="0087619A"/>
    <w:rsid w:val="00885B66"/>
    <w:rsid w:val="00885E16"/>
    <w:rsid w:val="0089028B"/>
    <w:rsid w:val="00892DB9"/>
    <w:rsid w:val="00892F48"/>
    <w:rsid w:val="00892F70"/>
    <w:rsid w:val="0089332E"/>
    <w:rsid w:val="008A450F"/>
    <w:rsid w:val="008A670B"/>
    <w:rsid w:val="008B7EB0"/>
    <w:rsid w:val="008C0312"/>
    <w:rsid w:val="008C17FA"/>
    <w:rsid w:val="008C26E2"/>
    <w:rsid w:val="008C28FC"/>
    <w:rsid w:val="008D073F"/>
    <w:rsid w:val="008D4155"/>
    <w:rsid w:val="008D4780"/>
    <w:rsid w:val="008D7D72"/>
    <w:rsid w:val="008E3A8F"/>
    <w:rsid w:val="008E5DCD"/>
    <w:rsid w:val="008F10C3"/>
    <w:rsid w:val="008F1168"/>
    <w:rsid w:val="008F2440"/>
    <w:rsid w:val="008F3C41"/>
    <w:rsid w:val="008F6424"/>
    <w:rsid w:val="008F6D7F"/>
    <w:rsid w:val="008F7717"/>
    <w:rsid w:val="009012E8"/>
    <w:rsid w:val="009022E7"/>
    <w:rsid w:val="00914930"/>
    <w:rsid w:val="00915028"/>
    <w:rsid w:val="0091563D"/>
    <w:rsid w:val="0091594B"/>
    <w:rsid w:val="00915F8E"/>
    <w:rsid w:val="00917402"/>
    <w:rsid w:val="00917719"/>
    <w:rsid w:val="00921AD3"/>
    <w:rsid w:val="00927579"/>
    <w:rsid w:val="00927582"/>
    <w:rsid w:val="00927A24"/>
    <w:rsid w:val="00933A2A"/>
    <w:rsid w:val="00934CB5"/>
    <w:rsid w:val="00936C2E"/>
    <w:rsid w:val="00937BDF"/>
    <w:rsid w:val="009408F7"/>
    <w:rsid w:val="009410E0"/>
    <w:rsid w:val="00944FE5"/>
    <w:rsid w:val="0094505E"/>
    <w:rsid w:val="00945E43"/>
    <w:rsid w:val="00951818"/>
    <w:rsid w:val="009636D6"/>
    <w:rsid w:val="0096603F"/>
    <w:rsid w:val="0097234A"/>
    <w:rsid w:val="0097588D"/>
    <w:rsid w:val="00975E1F"/>
    <w:rsid w:val="0098318F"/>
    <w:rsid w:val="00985AB5"/>
    <w:rsid w:val="00986800"/>
    <w:rsid w:val="00987611"/>
    <w:rsid w:val="00990249"/>
    <w:rsid w:val="00993180"/>
    <w:rsid w:val="00994DAD"/>
    <w:rsid w:val="009A11CE"/>
    <w:rsid w:val="009A59EE"/>
    <w:rsid w:val="009A5F44"/>
    <w:rsid w:val="009B48C6"/>
    <w:rsid w:val="009B641F"/>
    <w:rsid w:val="009B7481"/>
    <w:rsid w:val="009C2D4D"/>
    <w:rsid w:val="009C625C"/>
    <w:rsid w:val="009C65CE"/>
    <w:rsid w:val="009D072C"/>
    <w:rsid w:val="009D2716"/>
    <w:rsid w:val="009E04BE"/>
    <w:rsid w:val="009E3765"/>
    <w:rsid w:val="009E450F"/>
    <w:rsid w:val="009E57C4"/>
    <w:rsid w:val="009F531E"/>
    <w:rsid w:val="009F6A41"/>
    <w:rsid w:val="00A0531F"/>
    <w:rsid w:val="00A0658F"/>
    <w:rsid w:val="00A06602"/>
    <w:rsid w:val="00A10EAD"/>
    <w:rsid w:val="00A12A78"/>
    <w:rsid w:val="00A13E5A"/>
    <w:rsid w:val="00A13F55"/>
    <w:rsid w:val="00A1633B"/>
    <w:rsid w:val="00A17FAC"/>
    <w:rsid w:val="00A23F31"/>
    <w:rsid w:val="00A244F2"/>
    <w:rsid w:val="00A27328"/>
    <w:rsid w:val="00A3138F"/>
    <w:rsid w:val="00A31F3B"/>
    <w:rsid w:val="00A34650"/>
    <w:rsid w:val="00A36214"/>
    <w:rsid w:val="00A424D6"/>
    <w:rsid w:val="00A4587B"/>
    <w:rsid w:val="00A52C76"/>
    <w:rsid w:val="00A52EE9"/>
    <w:rsid w:val="00A63A78"/>
    <w:rsid w:val="00A64EA0"/>
    <w:rsid w:val="00A700B3"/>
    <w:rsid w:val="00A74680"/>
    <w:rsid w:val="00A82147"/>
    <w:rsid w:val="00A842A6"/>
    <w:rsid w:val="00A8638B"/>
    <w:rsid w:val="00A914AA"/>
    <w:rsid w:val="00AA20B6"/>
    <w:rsid w:val="00AA4C1F"/>
    <w:rsid w:val="00AA57D9"/>
    <w:rsid w:val="00AA5889"/>
    <w:rsid w:val="00AB03F0"/>
    <w:rsid w:val="00AB1C0A"/>
    <w:rsid w:val="00AB48D2"/>
    <w:rsid w:val="00AB5851"/>
    <w:rsid w:val="00AB6505"/>
    <w:rsid w:val="00AC0BBE"/>
    <w:rsid w:val="00AC2F5A"/>
    <w:rsid w:val="00AD43FE"/>
    <w:rsid w:val="00AD4573"/>
    <w:rsid w:val="00AD5A9D"/>
    <w:rsid w:val="00AD6808"/>
    <w:rsid w:val="00AE0A18"/>
    <w:rsid w:val="00AE3F8C"/>
    <w:rsid w:val="00AE5DE8"/>
    <w:rsid w:val="00AF0F65"/>
    <w:rsid w:val="00AF20FE"/>
    <w:rsid w:val="00AF25E1"/>
    <w:rsid w:val="00AF5BF1"/>
    <w:rsid w:val="00B049BC"/>
    <w:rsid w:val="00B05414"/>
    <w:rsid w:val="00B05606"/>
    <w:rsid w:val="00B1158A"/>
    <w:rsid w:val="00B11A21"/>
    <w:rsid w:val="00B142A2"/>
    <w:rsid w:val="00B17B07"/>
    <w:rsid w:val="00B20CBC"/>
    <w:rsid w:val="00B260C3"/>
    <w:rsid w:val="00B34D11"/>
    <w:rsid w:val="00B40A83"/>
    <w:rsid w:val="00B46E60"/>
    <w:rsid w:val="00B51A50"/>
    <w:rsid w:val="00B52C30"/>
    <w:rsid w:val="00B5300C"/>
    <w:rsid w:val="00B5325A"/>
    <w:rsid w:val="00B60F55"/>
    <w:rsid w:val="00B6114B"/>
    <w:rsid w:val="00B63456"/>
    <w:rsid w:val="00B66A74"/>
    <w:rsid w:val="00B67096"/>
    <w:rsid w:val="00B734BA"/>
    <w:rsid w:val="00B7594B"/>
    <w:rsid w:val="00B83020"/>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7D26"/>
    <w:rsid w:val="00C017FE"/>
    <w:rsid w:val="00C02268"/>
    <w:rsid w:val="00C04852"/>
    <w:rsid w:val="00C10F0C"/>
    <w:rsid w:val="00C11F61"/>
    <w:rsid w:val="00C1328E"/>
    <w:rsid w:val="00C13A91"/>
    <w:rsid w:val="00C15291"/>
    <w:rsid w:val="00C153B1"/>
    <w:rsid w:val="00C20132"/>
    <w:rsid w:val="00C23B49"/>
    <w:rsid w:val="00C27C8E"/>
    <w:rsid w:val="00C31207"/>
    <w:rsid w:val="00C328A4"/>
    <w:rsid w:val="00C34791"/>
    <w:rsid w:val="00C378FA"/>
    <w:rsid w:val="00C412D4"/>
    <w:rsid w:val="00C41E7F"/>
    <w:rsid w:val="00C44B07"/>
    <w:rsid w:val="00C4540B"/>
    <w:rsid w:val="00C47C2A"/>
    <w:rsid w:val="00C5055D"/>
    <w:rsid w:val="00C514C7"/>
    <w:rsid w:val="00C51686"/>
    <w:rsid w:val="00C52912"/>
    <w:rsid w:val="00C52E4F"/>
    <w:rsid w:val="00C5446B"/>
    <w:rsid w:val="00C60172"/>
    <w:rsid w:val="00C61ECF"/>
    <w:rsid w:val="00C632D9"/>
    <w:rsid w:val="00C6616D"/>
    <w:rsid w:val="00C70AD6"/>
    <w:rsid w:val="00C76BD7"/>
    <w:rsid w:val="00C8000C"/>
    <w:rsid w:val="00C83A27"/>
    <w:rsid w:val="00C9137A"/>
    <w:rsid w:val="00C91F22"/>
    <w:rsid w:val="00C96363"/>
    <w:rsid w:val="00CA1673"/>
    <w:rsid w:val="00CA4CC2"/>
    <w:rsid w:val="00CA777D"/>
    <w:rsid w:val="00CB0F82"/>
    <w:rsid w:val="00CB4193"/>
    <w:rsid w:val="00CD3BAF"/>
    <w:rsid w:val="00CD4DE4"/>
    <w:rsid w:val="00CF2A3C"/>
    <w:rsid w:val="00CF307C"/>
    <w:rsid w:val="00CF39CD"/>
    <w:rsid w:val="00CF43F8"/>
    <w:rsid w:val="00CF4E40"/>
    <w:rsid w:val="00CF5611"/>
    <w:rsid w:val="00D00A08"/>
    <w:rsid w:val="00D013C8"/>
    <w:rsid w:val="00D03ED4"/>
    <w:rsid w:val="00D043E7"/>
    <w:rsid w:val="00D0593E"/>
    <w:rsid w:val="00D116BB"/>
    <w:rsid w:val="00D14E9C"/>
    <w:rsid w:val="00D205C2"/>
    <w:rsid w:val="00D22E99"/>
    <w:rsid w:val="00D23F9B"/>
    <w:rsid w:val="00D24CD9"/>
    <w:rsid w:val="00D257E5"/>
    <w:rsid w:val="00D27BAE"/>
    <w:rsid w:val="00D32A4D"/>
    <w:rsid w:val="00D36CAE"/>
    <w:rsid w:val="00D36EF5"/>
    <w:rsid w:val="00D3773D"/>
    <w:rsid w:val="00D431F2"/>
    <w:rsid w:val="00D47173"/>
    <w:rsid w:val="00D50CC7"/>
    <w:rsid w:val="00D5399D"/>
    <w:rsid w:val="00D72263"/>
    <w:rsid w:val="00D726A4"/>
    <w:rsid w:val="00D73706"/>
    <w:rsid w:val="00D76C80"/>
    <w:rsid w:val="00D839AE"/>
    <w:rsid w:val="00D865B9"/>
    <w:rsid w:val="00D86AD0"/>
    <w:rsid w:val="00D93F80"/>
    <w:rsid w:val="00D9559B"/>
    <w:rsid w:val="00D96DE5"/>
    <w:rsid w:val="00DA2865"/>
    <w:rsid w:val="00DA39CD"/>
    <w:rsid w:val="00DA5671"/>
    <w:rsid w:val="00DA66D7"/>
    <w:rsid w:val="00DB70BA"/>
    <w:rsid w:val="00DB7174"/>
    <w:rsid w:val="00DD0254"/>
    <w:rsid w:val="00DD0617"/>
    <w:rsid w:val="00DE0831"/>
    <w:rsid w:val="00DE08B6"/>
    <w:rsid w:val="00DE1E51"/>
    <w:rsid w:val="00DE1FB5"/>
    <w:rsid w:val="00DE27B8"/>
    <w:rsid w:val="00DE45DF"/>
    <w:rsid w:val="00DE583F"/>
    <w:rsid w:val="00DE5E9E"/>
    <w:rsid w:val="00DE7324"/>
    <w:rsid w:val="00E0152D"/>
    <w:rsid w:val="00E075D9"/>
    <w:rsid w:val="00E141AC"/>
    <w:rsid w:val="00E14507"/>
    <w:rsid w:val="00E16F09"/>
    <w:rsid w:val="00E26B1F"/>
    <w:rsid w:val="00E403E5"/>
    <w:rsid w:val="00E40936"/>
    <w:rsid w:val="00E4253D"/>
    <w:rsid w:val="00E45DBB"/>
    <w:rsid w:val="00E50F72"/>
    <w:rsid w:val="00E51CFA"/>
    <w:rsid w:val="00E51E94"/>
    <w:rsid w:val="00E53C80"/>
    <w:rsid w:val="00E54662"/>
    <w:rsid w:val="00E54C5D"/>
    <w:rsid w:val="00E55032"/>
    <w:rsid w:val="00E6203C"/>
    <w:rsid w:val="00E679A7"/>
    <w:rsid w:val="00E70F83"/>
    <w:rsid w:val="00E7238F"/>
    <w:rsid w:val="00E7364E"/>
    <w:rsid w:val="00E74E3E"/>
    <w:rsid w:val="00E81B53"/>
    <w:rsid w:val="00E82CFA"/>
    <w:rsid w:val="00E83A76"/>
    <w:rsid w:val="00E86451"/>
    <w:rsid w:val="00E86E39"/>
    <w:rsid w:val="00E872DE"/>
    <w:rsid w:val="00E90807"/>
    <w:rsid w:val="00E9158D"/>
    <w:rsid w:val="00E92017"/>
    <w:rsid w:val="00E92B36"/>
    <w:rsid w:val="00E92DD7"/>
    <w:rsid w:val="00E94998"/>
    <w:rsid w:val="00E952E4"/>
    <w:rsid w:val="00EA18E3"/>
    <w:rsid w:val="00EA260C"/>
    <w:rsid w:val="00EA656B"/>
    <w:rsid w:val="00EB014D"/>
    <w:rsid w:val="00EB11AE"/>
    <w:rsid w:val="00EB31D2"/>
    <w:rsid w:val="00EC0F19"/>
    <w:rsid w:val="00EC2277"/>
    <w:rsid w:val="00EC6DA6"/>
    <w:rsid w:val="00EC7C2F"/>
    <w:rsid w:val="00EC7F7C"/>
    <w:rsid w:val="00ED12C0"/>
    <w:rsid w:val="00ED13BF"/>
    <w:rsid w:val="00ED16F7"/>
    <w:rsid w:val="00ED7695"/>
    <w:rsid w:val="00EE0015"/>
    <w:rsid w:val="00EE164B"/>
    <w:rsid w:val="00EE7804"/>
    <w:rsid w:val="00F0287F"/>
    <w:rsid w:val="00F0655A"/>
    <w:rsid w:val="00F11086"/>
    <w:rsid w:val="00F122BB"/>
    <w:rsid w:val="00F21A41"/>
    <w:rsid w:val="00F22F19"/>
    <w:rsid w:val="00F25810"/>
    <w:rsid w:val="00F331BE"/>
    <w:rsid w:val="00F4062B"/>
    <w:rsid w:val="00F40B0F"/>
    <w:rsid w:val="00F41922"/>
    <w:rsid w:val="00F4206D"/>
    <w:rsid w:val="00F421B4"/>
    <w:rsid w:val="00F50E9F"/>
    <w:rsid w:val="00F52099"/>
    <w:rsid w:val="00F56B77"/>
    <w:rsid w:val="00F5736E"/>
    <w:rsid w:val="00F5787A"/>
    <w:rsid w:val="00F60A0A"/>
    <w:rsid w:val="00F61DEB"/>
    <w:rsid w:val="00F66669"/>
    <w:rsid w:val="00F708E1"/>
    <w:rsid w:val="00F70E4F"/>
    <w:rsid w:val="00F76CD7"/>
    <w:rsid w:val="00F77473"/>
    <w:rsid w:val="00F800D5"/>
    <w:rsid w:val="00F87861"/>
    <w:rsid w:val="00F91123"/>
    <w:rsid w:val="00F91E8D"/>
    <w:rsid w:val="00F93826"/>
    <w:rsid w:val="00F974D5"/>
    <w:rsid w:val="00F97DAE"/>
    <w:rsid w:val="00FA2047"/>
    <w:rsid w:val="00FA6490"/>
    <w:rsid w:val="00FB164A"/>
    <w:rsid w:val="00FB1EDD"/>
    <w:rsid w:val="00FB3554"/>
    <w:rsid w:val="00FB54E9"/>
    <w:rsid w:val="00FB718A"/>
    <w:rsid w:val="00FC26DE"/>
    <w:rsid w:val="00FD138F"/>
    <w:rsid w:val="00FD366D"/>
    <w:rsid w:val="00FD61D3"/>
    <w:rsid w:val="00FD7572"/>
    <w:rsid w:val="00FD7747"/>
    <w:rsid w:val="00FE42AC"/>
    <w:rsid w:val="00FE7C37"/>
    <w:rsid w:val="00FF5698"/>
    <w:rsid w:val="00FF6B16"/>
    <w:rsid w:val="01D93776"/>
    <w:rsid w:val="01F577B9"/>
    <w:rsid w:val="022167D2"/>
    <w:rsid w:val="023545E6"/>
    <w:rsid w:val="02483CA8"/>
    <w:rsid w:val="0259405D"/>
    <w:rsid w:val="02A87A41"/>
    <w:rsid w:val="02C35F1A"/>
    <w:rsid w:val="0543483B"/>
    <w:rsid w:val="054826E6"/>
    <w:rsid w:val="05486BF5"/>
    <w:rsid w:val="055C366D"/>
    <w:rsid w:val="059D0C5B"/>
    <w:rsid w:val="05AA6458"/>
    <w:rsid w:val="05AE0EA7"/>
    <w:rsid w:val="05CB7009"/>
    <w:rsid w:val="06870DAC"/>
    <w:rsid w:val="06922C24"/>
    <w:rsid w:val="06BF4FE7"/>
    <w:rsid w:val="07740842"/>
    <w:rsid w:val="07773497"/>
    <w:rsid w:val="080240DB"/>
    <w:rsid w:val="08BC3F7D"/>
    <w:rsid w:val="09593BE6"/>
    <w:rsid w:val="097B6FF1"/>
    <w:rsid w:val="09DF4FD2"/>
    <w:rsid w:val="0A152E7E"/>
    <w:rsid w:val="0A2D1211"/>
    <w:rsid w:val="0A66188B"/>
    <w:rsid w:val="0A841691"/>
    <w:rsid w:val="0BD71EE3"/>
    <w:rsid w:val="0CE73CE2"/>
    <w:rsid w:val="0E1378E5"/>
    <w:rsid w:val="0E2813BC"/>
    <w:rsid w:val="0E330069"/>
    <w:rsid w:val="0FF22D75"/>
    <w:rsid w:val="101007C5"/>
    <w:rsid w:val="116C0DA5"/>
    <w:rsid w:val="12DD29B7"/>
    <w:rsid w:val="12E74761"/>
    <w:rsid w:val="136F5708"/>
    <w:rsid w:val="138C04F1"/>
    <w:rsid w:val="139F4C26"/>
    <w:rsid w:val="13EF32B1"/>
    <w:rsid w:val="140677C1"/>
    <w:rsid w:val="14494DA0"/>
    <w:rsid w:val="146F074D"/>
    <w:rsid w:val="152016D6"/>
    <w:rsid w:val="159E1414"/>
    <w:rsid w:val="15C13076"/>
    <w:rsid w:val="16001B5A"/>
    <w:rsid w:val="16142C2C"/>
    <w:rsid w:val="164160AE"/>
    <w:rsid w:val="16F54AFF"/>
    <w:rsid w:val="17C12A54"/>
    <w:rsid w:val="1978453B"/>
    <w:rsid w:val="199961DA"/>
    <w:rsid w:val="1AB766D3"/>
    <w:rsid w:val="1B1E5671"/>
    <w:rsid w:val="1BF251FB"/>
    <w:rsid w:val="1C1E7791"/>
    <w:rsid w:val="1C2C1439"/>
    <w:rsid w:val="1C530D68"/>
    <w:rsid w:val="1C953F06"/>
    <w:rsid w:val="1CDE5D67"/>
    <w:rsid w:val="1D7338A6"/>
    <w:rsid w:val="1E4F567E"/>
    <w:rsid w:val="1F43662E"/>
    <w:rsid w:val="1F85078D"/>
    <w:rsid w:val="203175DD"/>
    <w:rsid w:val="20C22B0F"/>
    <w:rsid w:val="212577C9"/>
    <w:rsid w:val="21E309CC"/>
    <w:rsid w:val="22781FE1"/>
    <w:rsid w:val="228C1924"/>
    <w:rsid w:val="231321D1"/>
    <w:rsid w:val="248C0836"/>
    <w:rsid w:val="26C2123A"/>
    <w:rsid w:val="27192C51"/>
    <w:rsid w:val="27DD580C"/>
    <w:rsid w:val="285F0DD4"/>
    <w:rsid w:val="294F6A51"/>
    <w:rsid w:val="299E51AB"/>
    <w:rsid w:val="2B185B0D"/>
    <w:rsid w:val="2CC422A3"/>
    <w:rsid w:val="2D3F3099"/>
    <w:rsid w:val="2DBE47DC"/>
    <w:rsid w:val="2E5D760A"/>
    <w:rsid w:val="2E997E89"/>
    <w:rsid w:val="2EA02B25"/>
    <w:rsid w:val="2EBB4636"/>
    <w:rsid w:val="30443666"/>
    <w:rsid w:val="304478B7"/>
    <w:rsid w:val="31054673"/>
    <w:rsid w:val="31373757"/>
    <w:rsid w:val="318800B8"/>
    <w:rsid w:val="31A67991"/>
    <w:rsid w:val="327169B3"/>
    <w:rsid w:val="32BD5199"/>
    <w:rsid w:val="32DA04F5"/>
    <w:rsid w:val="33525A0A"/>
    <w:rsid w:val="3386387A"/>
    <w:rsid w:val="33C62097"/>
    <w:rsid w:val="33F6199A"/>
    <w:rsid w:val="34BE693E"/>
    <w:rsid w:val="34DF2DE7"/>
    <w:rsid w:val="3606082A"/>
    <w:rsid w:val="36607940"/>
    <w:rsid w:val="3679122E"/>
    <w:rsid w:val="36E22959"/>
    <w:rsid w:val="37C67B3A"/>
    <w:rsid w:val="38352242"/>
    <w:rsid w:val="38B7769F"/>
    <w:rsid w:val="38E24762"/>
    <w:rsid w:val="38FB076B"/>
    <w:rsid w:val="396C2796"/>
    <w:rsid w:val="3A65734A"/>
    <w:rsid w:val="3AA77AD9"/>
    <w:rsid w:val="3CCF420F"/>
    <w:rsid w:val="3D010241"/>
    <w:rsid w:val="3D6019E2"/>
    <w:rsid w:val="3EA83A40"/>
    <w:rsid w:val="3EBE0E18"/>
    <w:rsid w:val="3F263F12"/>
    <w:rsid w:val="3F6B4D22"/>
    <w:rsid w:val="404919BE"/>
    <w:rsid w:val="407812DD"/>
    <w:rsid w:val="40865790"/>
    <w:rsid w:val="41BD2E20"/>
    <w:rsid w:val="423C58E6"/>
    <w:rsid w:val="427F06AC"/>
    <w:rsid w:val="42ED2564"/>
    <w:rsid w:val="42F04B90"/>
    <w:rsid w:val="43BC78EC"/>
    <w:rsid w:val="458512A6"/>
    <w:rsid w:val="45EA14EE"/>
    <w:rsid w:val="463B1AAA"/>
    <w:rsid w:val="463F04DF"/>
    <w:rsid w:val="46851492"/>
    <w:rsid w:val="46975AF3"/>
    <w:rsid w:val="46E6270B"/>
    <w:rsid w:val="47174E47"/>
    <w:rsid w:val="474F32D6"/>
    <w:rsid w:val="47772291"/>
    <w:rsid w:val="47C03AAC"/>
    <w:rsid w:val="48DC2BE3"/>
    <w:rsid w:val="493577ED"/>
    <w:rsid w:val="49415DBF"/>
    <w:rsid w:val="49553CAC"/>
    <w:rsid w:val="498F735A"/>
    <w:rsid w:val="49971004"/>
    <w:rsid w:val="4A705D29"/>
    <w:rsid w:val="4AC026BD"/>
    <w:rsid w:val="4B392FD5"/>
    <w:rsid w:val="4BA14D45"/>
    <w:rsid w:val="4BCD0145"/>
    <w:rsid w:val="4CE47A3E"/>
    <w:rsid w:val="4CEB2A43"/>
    <w:rsid w:val="4D2852AE"/>
    <w:rsid w:val="4DAF2B52"/>
    <w:rsid w:val="4DD26988"/>
    <w:rsid w:val="4E41582A"/>
    <w:rsid w:val="4EB77DE7"/>
    <w:rsid w:val="4FBD68F8"/>
    <w:rsid w:val="502A390E"/>
    <w:rsid w:val="505121FE"/>
    <w:rsid w:val="5084796D"/>
    <w:rsid w:val="51560155"/>
    <w:rsid w:val="519B1BA0"/>
    <w:rsid w:val="51DE5599"/>
    <w:rsid w:val="51F77181"/>
    <w:rsid w:val="52621F83"/>
    <w:rsid w:val="53F372ED"/>
    <w:rsid w:val="543F4416"/>
    <w:rsid w:val="54C70160"/>
    <w:rsid w:val="54F619AF"/>
    <w:rsid w:val="54FC014A"/>
    <w:rsid w:val="55233E35"/>
    <w:rsid w:val="55495A6C"/>
    <w:rsid w:val="55597748"/>
    <w:rsid w:val="555C3769"/>
    <w:rsid w:val="572D0997"/>
    <w:rsid w:val="5751077E"/>
    <w:rsid w:val="57E56DE8"/>
    <w:rsid w:val="58210661"/>
    <w:rsid w:val="5948587F"/>
    <w:rsid w:val="597A0CF9"/>
    <w:rsid w:val="5A992B2C"/>
    <w:rsid w:val="5AFB1B92"/>
    <w:rsid w:val="5B047FE2"/>
    <w:rsid w:val="5B5271CD"/>
    <w:rsid w:val="5C54349C"/>
    <w:rsid w:val="5C7239E0"/>
    <w:rsid w:val="5C9725E4"/>
    <w:rsid w:val="5CF46AC5"/>
    <w:rsid w:val="5D365FD4"/>
    <w:rsid w:val="5D491E3A"/>
    <w:rsid w:val="5D94403E"/>
    <w:rsid w:val="5E180D90"/>
    <w:rsid w:val="5E1E0ACC"/>
    <w:rsid w:val="5E492213"/>
    <w:rsid w:val="5E527EC3"/>
    <w:rsid w:val="5F296C2A"/>
    <w:rsid w:val="5FB64157"/>
    <w:rsid w:val="5FEC0957"/>
    <w:rsid w:val="60145E67"/>
    <w:rsid w:val="614B4BC0"/>
    <w:rsid w:val="616D01B4"/>
    <w:rsid w:val="61B131C8"/>
    <w:rsid w:val="62674E7A"/>
    <w:rsid w:val="628711C7"/>
    <w:rsid w:val="62A5476F"/>
    <w:rsid w:val="62B3538F"/>
    <w:rsid w:val="62B40821"/>
    <w:rsid w:val="63711198"/>
    <w:rsid w:val="63D66457"/>
    <w:rsid w:val="6409526A"/>
    <w:rsid w:val="645D6907"/>
    <w:rsid w:val="64DA4F14"/>
    <w:rsid w:val="65233802"/>
    <w:rsid w:val="66A1426F"/>
    <w:rsid w:val="672512E6"/>
    <w:rsid w:val="672D4C66"/>
    <w:rsid w:val="677231B7"/>
    <w:rsid w:val="687B1AC6"/>
    <w:rsid w:val="689451EC"/>
    <w:rsid w:val="689F0630"/>
    <w:rsid w:val="699E3128"/>
    <w:rsid w:val="69AB3883"/>
    <w:rsid w:val="6A511A1B"/>
    <w:rsid w:val="6B242E96"/>
    <w:rsid w:val="6B391AB4"/>
    <w:rsid w:val="6B6443A0"/>
    <w:rsid w:val="6BC46FCF"/>
    <w:rsid w:val="6BE03119"/>
    <w:rsid w:val="6D5C3B68"/>
    <w:rsid w:val="6E4861B3"/>
    <w:rsid w:val="6ED40A7D"/>
    <w:rsid w:val="6F0408C9"/>
    <w:rsid w:val="6FEA13A8"/>
    <w:rsid w:val="6FF4258B"/>
    <w:rsid w:val="70225701"/>
    <w:rsid w:val="702F63A9"/>
    <w:rsid w:val="70E24EF9"/>
    <w:rsid w:val="71FE3A25"/>
    <w:rsid w:val="72176D98"/>
    <w:rsid w:val="734E035F"/>
    <w:rsid w:val="73E2393B"/>
    <w:rsid w:val="73EC233E"/>
    <w:rsid w:val="74394A4C"/>
    <w:rsid w:val="77FB607A"/>
    <w:rsid w:val="780A2C9F"/>
    <w:rsid w:val="783D79A3"/>
    <w:rsid w:val="78664122"/>
    <w:rsid w:val="791B706C"/>
    <w:rsid w:val="79B96A83"/>
    <w:rsid w:val="79C66977"/>
    <w:rsid w:val="7ADE77A7"/>
    <w:rsid w:val="7B5E4B72"/>
    <w:rsid w:val="7B5F5E64"/>
    <w:rsid w:val="7B8C3430"/>
    <w:rsid w:val="7BB74F57"/>
    <w:rsid w:val="7C1A111F"/>
    <w:rsid w:val="7CCE4378"/>
    <w:rsid w:val="7CD27F73"/>
    <w:rsid w:val="7D670B73"/>
    <w:rsid w:val="7D6A7849"/>
    <w:rsid w:val="7D9A3483"/>
    <w:rsid w:val="7DA63861"/>
    <w:rsid w:val="7E1A5D65"/>
    <w:rsid w:val="7E3E49D2"/>
    <w:rsid w:val="7E7E2A4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ocked="1"/>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rFonts w:ascii="Times New Roman" w:hAnsi="Times New Roman" w:eastAsia="黑体" w:cs="Times New Roman"/>
      <w:b/>
      <w:bCs/>
      <w:kern w:val="44"/>
      <w:sz w:val="32"/>
      <w:szCs w:val="32"/>
    </w:rPr>
  </w:style>
  <w:style w:type="paragraph" w:styleId="3">
    <w:name w:val="heading 2"/>
    <w:basedOn w:val="1"/>
    <w:next w:val="1"/>
    <w:link w:val="18"/>
    <w:qFormat/>
    <w:uiPriority w:val="99"/>
    <w:pPr>
      <w:keepNext/>
      <w:keepLines/>
      <w:spacing w:before="260" w:after="260" w:line="416" w:lineRule="auto"/>
      <w:outlineLvl w:val="1"/>
    </w:pPr>
    <w:rPr>
      <w:rFonts w:ascii="Cambria" w:hAnsi="Cambria" w:cs="Cambria"/>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28"/>
    <w:semiHidden/>
    <w:unhideWhenUsed/>
    <w:qFormat/>
    <w:uiPriority w:val="99"/>
    <w:rPr>
      <w:rFonts w:ascii="宋体"/>
      <w:sz w:val="18"/>
      <w:szCs w:val="18"/>
    </w:rPr>
  </w:style>
  <w:style w:type="paragraph" w:styleId="5">
    <w:name w:val="toc 3"/>
    <w:basedOn w:val="1"/>
    <w:next w:val="1"/>
    <w:qFormat/>
    <w:locked/>
    <w:uiPriority w:val="39"/>
    <w:pPr>
      <w:ind w:left="840" w:leftChars="400"/>
    </w:pPr>
  </w:style>
  <w:style w:type="paragraph" w:styleId="6">
    <w:name w:val="Balloon Text"/>
    <w:basedOn w:val="1"/>
    <w:link w:val="19"/>
    <w:semiHidden/>
    <w:qFormat/>
    <w:uiPriority w:val="99"/>
    <w:rPr>
      <w:rFonts w:ascii="Times New Roman" w:hAnsi="Times New Roman" w:cs="Times New Roman"/>
      <w:kern w:val="0"/>
      <w:sz w:val="18"/>
      <w:szCs w:val="18"/>
    </w:rPr>
  </w:style>
  <w:style w:type="paragraph" w:styleId="7">
    <w:name w:val="footer"/>
    <w:basedOn w:val="1"/>
    <w:link w:val="2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9">
    <w:name w:val="toc 1"/>
    <w:basedOn w:val="1"/>
    <w:next w:val="1"/>
    <w:qFormat/>
    <w:uiPriority w:val="39"/>
    <w:pPr>
      <w:tabs>
        <w:tab w:val="right" w:leader="dot" w:pos="9170"/>
      </w:tabs>
      <w:spacing w:before="120" w:after="120"/>
      <w:jc w:val="left"/>
    </w:pPr>
    <w:rPr>
      <w:rFonts w:ascii="宋体" w:hAnsi="宋体" w:cs="宋体"/>
      <w:b/>
      <w:bCs/>
      <w:caps/>
      <w:color w:val="000000"/>
      <w:sz w:val="24"/>
      <w:szCs w:val="24"/>
    </w:rPr>
  </w:style>
  <w:style w:type="paragraph" w:styleId="10">
    <w:name w:val="Subtitle"/>
    <w:basedOn w:val="1"/>
    <w:next w:val="1"/>
    <w:link w:val="22"/>
    <w:qFormat/>
    <w:uiPriority w:val="99"/>
    <w:pPr>
      <w:spacing w:before="240" w:after="60" w:line="312" w:lineRule="auto"/>
      <w:jc w:val="center"/>
      <w:outlineLvl w:val="1"/>
    </w:pPr>
    <w:rPr>
      <w:rFonts w:ascii="Cambria" w:hAnsi="Cambria" w:cs="Cambria"/>
      <w:b/>
      <w:bCs/>
      <w:kern w:val="28"/>
      <w:sz w:val="32"/>
      <w:szCs w:val="32"/>
    </w:rPr>
  </w:style>
  <w:style w:type="paragraph" w:styleId="11">
    <w:name w:val="toc 2"/>
    <w:basedOn w:val="1"/>
    <w:next w:val="1"/>
    <w:qFormat/>
    <w:uiPriority w:val="39"/>
    <w:pPr>
      <w:tabs>
        <w:tab w:val="right" w:leader="dot" w:pos="9170"/>
      </w:tabs>
      <w:spacing w:line="360" w:lineRule="auto"/>
      <w:ind w:left="210"/>
    </w:pPr>
    <w:rPr>
      <w:rFonts w:ascii="宋体" w:hAnsi="宋体" w:cs="宋体"/>
      <w:b/>
      <w:bCs/>
      <w:smallCaps/>
      <w:color w:val="000000"/>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22"/>
    <w:rPr>
      <w:b/>
      <w:bCs/>
    </w:rPr>
  </w:style>
  <w:style w:type="character" w:styleId="16">
    <w:name w:val="Hyperlink"/>
    <w:basedOn w:val="14"/>
    <w:qFormat/>
    <w:uiPriority w:val="99"/>
    <w:rPr>
      <w:color w:val="0000FF"/>
      <w:u w:val="single"/>
    </w:rPr>
  </w:style>
  <w:style w:type="character" w:customStyle="1" w:styleId="17">
    <w:name w:val="标题 1 Char"/>
    <w:basedOn w:val="14"/>
    <w:link w:val="2"/>
    <w:qFormat/>
    <w:locked/>
    <w:uiPriority w:val="99"/>
    <w:rPr>
      <w:rFonts w:eastAsia="黑体"/>
      <w:b/>
      <w:bCs/>
      <w:kern w:val="44"/>
      <w:sz w:val="44"/>
      <w:szCs w:val="44"/>
    </w:rPr>
  </w:style>
  <w:style w:type="character" w:customStyle="1" w:styleId="18">
    <w:name w:val="标题 2 Char"/>
    <w:basedOn w:val="14"/>
    <w:link w:val="3"/>
    <w:qFormat/>
    <w:locked/>
    <w:uiPriority w:val="99"/>
    <w:rPr>
      <w:rFonts w:ascii="Cambria" w:hAnsi="Cambria" w:cs="Cambria"/>
      <w:b/>
      <w:bCs/>
      <w:kern w:val="2"/>
      <w:sz w:val="32"/>
      <w:szCs w:val="32"/>
    </w:rPr>
  </w:style>
  <w:style w:type="character" w:customStyle="1" w:styleId="19">
    <w:name w:val="批注框文本 Char"/>
    <w:basedOn w:val="14"/>
    <w:link w:val="6"/>
    <w:semiHidden/>
    <w:qFormat/>
    <w:locked/>
    <w:uiPriority w:val="99"/>
    <w:rPr>
      <w:sz w:val="18"/>
      <w:szCs w:val="18"/>
    </w:rPr>
  </w:style>
  <w:style w:type="character" w:customStyle="1" w:styleId="20">
    <w:name w:val="页脚 Char"/>
    <w:basedOn w:val="14"/>
    <w:link w:val="7"/>
    <w:qFormat/>
    <w:locked/>
    <w:uiPriority w:val="99"/>
    <w:rPr>
      <w:sz w:val="18"/>
      <w:szCs w:val="18"/>
    </w:rPr>
  </w:style>
  <w:style w:type="character" w:customStyle="1" w:styleId="21">
    <w:name w:val="页眉 Char"/>
    <w:basedOn w:val="14"/>
    <w:link w:val="8"/>
    <w:qFormat/>
    <w:locked/>
    <w:uiPriority w:val="99"/>
    <w:rPr>
      <w:sz w:val="18"/>
      <w:szCs w:val="18"/>
    </w:rPr>
  </w:style>
  <w:style w:type="character" w:customStyle="1" w:styleId="22">
    <w:name w:val="副标题 Char"/>
    <w:basedOn w:val="14"/>
    <w:link w:val="10"/>
    <w:qFormat/>
    <w:locked/>
    <w:uiPriority w:val="99"/>
    <w:rPr>
      <w:rFonts w:ascii="Cambria" w:hAnsi="Cambria" w:cs="Cambria"/>
      <w:b/>
      <w:bCs/>
      <w:kern w:val="28"/>
      <w:sz w:val="32"/>
      <w:szCs w:val="32"/>
    </w:rPr>
  </w:style>
  <w:style w:type="paragraph" w:customStyle="1" w:styleId="23">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24">
    <w:name w:val="txt4"/>
    <w:basedOn w:val="14"/>
    <w:qFormat/>
    <w:uiPriority w:val="99"/>
  </w:style>
  <w:style w:type="paragraph" w:customStyle="1" w:styleId="25">
    <w:name w:val="TOC 标题1"/>
    <w:basedOn w:val="2"/>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26">
    <w:name w:val="列出段落1"/>
    <w:basedOn w:val="1"/>
    <w:qFormat/>
    <w:uiPriority w:val="99"/>
    <w:pPr>
      <w:ind w:firstLine="420" w:firstLineChars="200"/>
    </w:pPr>
  </w:style>
  <w:style w:type="character" w:customStyle="1" w:styleId="27">
    <w:name w:val="apple-converted-space"/>
    <w:basedOn w:val="14"/>
    <w:qFormat/>
    <w:uiPriority w:val="0"/>
  </w:style>
  <w:style w:type="character" w:customStyle="1" w:styleId="28">
    <w:name w:val="文档结构图 Char"/>
    <w:basedOn w:val="14"/>
    <w:link w:val="4"/>
    <w:semiHidden/>
    <w:qFormat/>
    <w:uiPriority w:val="99"/>
    <w:rPr>
      <w:rFonts w:ascii="宋体" w:hAnsi="Calibri" w:cs="Calibri"/>
      <w:kern w:val="2"/>
      <w:sz w:val="18"/>
      <w:szCs w:val="18"/>
    </w:rPr>
  </w:style>
  <w:style w:type="paragraph" w:styleId="29">
    <w:name w:val="No Spacing"/>
    <w:link w:val="30"/>
    <w:qFormat/>
    <w:uiPriority w:val="1"/>
    <w:rPr>
      <w:rFonts w:asciiTheme="minorHAnsi" w:hAnsiTheme="minorHAnsi" w:eastAsiaTheme="minorEastAsia" w:cstheme="minorBidi"/>
      <w:sz w:val="22"/>
      <w:szCs w:val="22"/>
      <w:lang w:val="en-US" w:eastAsia="zh-CN" w:bidi="ar-SA"/>
    </w:rPr>
  </w:style>
  <w:style w:type="character" w:customStyle="1" w:styleId="30">
    <w:name w:val="无间隔 Char"/>
    <w:basedOn w:val="14"/>
    <w:link w:val="29"/>
    <w:qFormat/>
    <w:uiPriority w:val="1"/>
    <w:rPr>
      <w:rFonts w:asciiTheme="minorHAnsi" w:hAnsiTheme="minorHAnsi" w:eastAsiaTheme="minorEastAsia" w:cstheme="minorBidi"/>
      <w:sz w:val="22"/>
      <w:szCs w:val="22"/>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745</Words>
  <Characters>4249</Characters>
  <Lines>35</Lines>
  <Paragraphs>9</Paragraphs>
  <TotalTime>12</TotalTime>
  <ScaleCrop>false</ScaleCrop>
  <LinksUpToDate>false</LinksUpToDate>
  <CharactersWithSpaces>4985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2018-07-12T05:18:00Z</dcterms:created>
  <dc:creator>AutoBVT</dc:creator>
  <cp:lastModifiedBy>° 胡先生</cp:lastModifiedBy>
  <dcterms:modified xsi:type="dcterms:W3CDTF">2019-09-27T05:24:07Z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