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E4" w:rsidRDefault="004F4F55">
      <w:r>
        <w:rPr>
          <w:noProof/>
        </w:rPr>
        <w:drawing>
          <wp:anchor distT="0" distB="0" distL="114300" distR="114300" simplePos="0" relativeHeight="251656192" behindDoc="1" locked="0" layoutInCell="1" allowOverlap="1">
            <wp:simplePos x="0" y="0"/>
            <wp:positionH relativeFrom="column">
              <wp:posOffset>-739775</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9"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rsidR="0004192E" w:rsidRDefault="00D1545C" w:rsidP="00B10C3E">
      <w:pPr>
        <w:ind w:left="420"/>
        <w:outlineLvl w:val="0"/>
        <w:rPr>
          <w:rFonts w:ascii="宋体" w:eastAsia="黑体" w:hAnsi="宋体" w:cs="Arial"/>
          <w:b/>
          <w:bCs/>
          <w:kern w:val="0"/>
          <w:sz w:val="30"/>
          <w:szCs w:val="30"/>
        </w:rPr>
      </w:pPr>
      <w:r w:rsidRPr="00D1545C">
        <w:pict>
          <v:shapetype id="_x0000_t202" coordsize="21600,21600" o:spt="202" path="m,l,21600r21600,l21600,xe">
            <v:stroke joinstyle="miter"/>
            <v:path gradientshapeok="t" o:connecttype="rect"/>
          </v:shapetype>
          <v:shape id="_x0000_s1026" type="#_x0000_t202" style="position:absolute;left:0;text-align:left;margin-left:36.75pt;margin-top:585pt;width:419.1pt;height:110.7pt;z-index:251657216"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filled="f" stroked="f">
            <v:textbox style="mso-next-textbox:#_x0000_s1026">
              <w:txbxContent>
                <w:p w:rsidR="006D1B6F" w:rsidRDefault="006D1B6F">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责任编辑：刘艳清</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w:t>
                  </w:r>
                  <w:r>
                    <w:rPr>
                      <w:rFonts w:ascii="黑体" w:eastAsia="黑体" w:hAnsi="宋体"/>
                      <w:bCs/>
                      <w:sz w:val="24"/>
                      <w:szCs w:val="24"/>
                    </w:rPr>
                    <w:t>86-010-</w:t>
                  </w:r>
                  <w:r>
                    <w:rPr>
                      <w:rFonts w:ascii="黑体" w:eastAsia="黑体" w:hAnsi="宋体"/>
                      <w:sz w:val="24"/>
                      <w:szCs w:val="24"/>
                    </w:rPr>
                    <w:t>85725055</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编辑邮箱：703680716@qq.com</w:t>
                  </w:r>
                </w:p>
                <w:p w:rsidR="006D1B6F" w:rsidRDefault="006D1B6F">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北京市朝阳区高碑店东区B8-1（邮编：100022）</w:t>
                  </w:r>
                </w:p>
                <w:p w:rsidR="006D1B6F" w:rsidRDefault="006D1B6F">
                  <w:pPr>
                    <w:jc w:val="left"/>
                  </w:pPr>
                </w:p>
              </w:txbxContent>
            </v:textbox>
          </v:shape>
        </w:pict>
      </w:r>
      <w:r w:rsidRPr="00D1545C">
        <w:pict>
          <v:shape id="文本框 3" o:spid="_x0000_s1028" type="#_x0000_t202" style="position:absolute;left:0;text-align:left;margin-left:175.45pt;margin-top:490.7pt;width:126.6pt;height:54.1pt;z-index:25165824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U2xfYAAAADAEAAA8AAAAAAAAA&#10;AQAgAAAAIgAAAGRycy9kb3ducmV2LnhtbFBLAQIUABQAAAAIAIdO4kBcidTQnwEAABcDAAAOAAAA&#10;AAAAAAEAIAAAACcBAABkcnMvZTJvRG9jLnhtbFBLBQYAAAAABgAGAFkBAAA4BQAAAAA=&#10;" filled="f" stroked="f">
            <v:textbox style="mso-next-textbox:#文本框 3">
              <w:txbxContent>
                <w:p w:rsidR="006D1B6F" w:rsidRDefault="006D1B6F">
                  <w:pPr>
                    <w:pStyle w:val="1"/>
                    <w:jc w:val="center"/>
                    <w:rPr>
                      <w:kern w:val="2"/>
                    </w:rPr>
                  </w:pPr>
                  <w:bookmarkStart w:id="0" w:name="_Toc12625772"/>
                  <w:r>
                    <w:rPr>
                      <w:rFonts w:hint="eastAsia"/>
                      <w:kern w:val="2"/>
                    </w:rPr>
                    <w:t>2019.</w:t>
                  </w:r>
                  <w:r w:rsidR="00E0713D">
                    <w:rPr>
                      <w:rFonts w:hint="eastAsia"/>
                      <w:kern w:val="2"/>
                    </w:rPr>
                    <w:t>07</w:t>
                  </w:r>
                  <w:r>
                    <w:rPr>
                      <w:rFonts w:hint="eastAsia"/>
                      <w:kern w:val="2"/>
                    </w:rPr>
                    <w:t>.</w:t>
                  </w:r>
                  <w:bookmarkEnd w:id="0"/>
                  <w:r w:rsidR="0000362D">
                    <w:rPr>
                      <w:rFonts w:hint="eastAsia"/>
                      <w:kern w:val="2"/>
                    </w:rPr>
                    <w:t>12</w:t>
                  </w:r>
                </w:p>
                <w:p w:rsidR="006D1B6F" w:rsidRDefault="006D1B6F"/>
              </w:txbxContent>
            </v:textbox>
          </v:shape>
        </w:pict>
      </w:r>
      <w:r w:rsidR="004F4F55">
        <w:br w:type="page"/>
      </w:r>
      <w:bookmarkStart w:id="1" w:name="_Toc485828985"/>
      <w:r w:rsidRPr="00D1545C">
        <w:rPr>
          <w:b/>
          <w:sz w:val="32"/>
          <w:szCs w:val="44"/>
        </w:rPr>
        <w:lastRenderedPageBreak/>
        <w:pict>
          <v:shape id="文本框 4" o:spid="_x0000_s1027" type="#_x0000_t202" style="position:absolute;left:0;text-align:left;margin-left:-.9pt;margin-top:34.7pt;width:489.15pt;height:642.7pt;z-index:251659264"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BspStgAAAAKAQAADwAAAAAA&#10;AAABACAAAAAiAAAAZHJzL2Rvd25yZXYueG1sUEsBAhQAFAAAAAgAh07iQOFWAi+hAQAAGAMAAA4A&#10;AAAAAAAAAQAgAAAAJwEAAGRycy9lMm9Eb2MueG1sUEsFBgAAAAAGAAYAWQEAADoFAAAAAA==&#10;" filled="f" stroked="f">
            <v:textbox style="mso-next-textbox:#文本框 4">
              <w:txbxContent>
                <w:p w:rsidR="006D1B6F" w:rsidRDefault="006D1B6F">
                  <w:pPr>
                    <w:pStyle w:val="CharCharChar1"/>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CF1825" w:rsidRDefault="00D1545C">
                  <w:pPr>
                    <w:pStyle w:val="10"/>
                    <w:rPr>
                      <w:rFonts w:asciiTheme="minorHAnsi" w:eastAsiaTheme="minorEastAsia" w:hAnsiTheme="minorHAnsi" w:cstheme="minorBidi"/>
                      <w:b w:val="0"/>
                      <w:bCs w:val="0"/>
                      <w:caps w:val="0"/>
                      <w:noProof/>
                      <w:color w:val="auto"/>
                      <w:sz w:val="21"/>
                      <w:szCs w:val="22"/>
                    </w:rPr>
                  </w:pPr>
                  <w:r w:rsidRPr="00D1545C">
                    <w:rPr>
                      <w:sz w:val="20"/>
                    </w:rPr>
                    <w:fldChar w:fldCharType="begin"/>
                  </w:r>
                  <w:r w:rsidR="006D1B6F">
                    <w:rPr>
                      <w:sz w:val="20"/>
                    </w:rPr>
                    <w:instrText xml:space="preserve"> TOC \o "1-3" \h \z \u </w:instrText>
                  </w:r>
                  <w:r w:rsidRPr="00D1545C">
                    <w:rPr>
                      <w:sz w:val="20"/>
                    </w:rPr>
                    <w:fldChar w:fldCharType="separate"/>
                  </w:r>
                  <w:hyperlink r:id="rId10" w:anchor="_Toc12625772" w:history="1">
                    <w:r w:rsidR="00CF1825" w:rsidRPr="001634E5">
                      <w:rPr>
                        <w:rStyle w:val="af0"/>
                        <w:noProof/>
                      </w:rPr>
                      <w:t>2019.</w:t>
                    </w:r>
                    <w:r w:rsidR="00E0713D">
                      <w:rPr>
                        <w:rStyle w:val="af0"/>
                        <w:rFonts w:hint="eastAsia"/>
                        <w:noProof/>
                      </w:rPr>
                      <w:t>07</w:t>
                    </w:r>
                    <w:r w:rsidR="00CF1825" w:rsidRPr="001634E5">
                      <w:rPr>
                        <w:rStyle w:val="af0"/>
                        <w:noProof/>
                      </w:rPr>
                      <w:t>.</w:t>
                    </w:r>
                    <w:r w:rsidR="0000362D">
                      <w:rPr>
                        <w:rStyle w:val="af0"/>
                        <w:rFonts w:hint="eastAsia"/>
                        <w:noProof/>
                      </w:rPr>
                      <w:t>12</w:t>
                    </w:r>
                    <w:r w:rsidR="00CF1825">
                      <w:rPr>
                        <w:noProof/>
                        <w:webHidden/>
                      </w:rPr>
                      <w:tab/>
                    </w:r>
                    <w:r>
                      <w:rPr>
                        <w:noProof/>
                        <w:webHidden/>
                      </w:rPr>
                      <w:fldChar w:fldCharType="begin"/>
                    </w:r>
                    <w:r w:rsidR="00CF1825">
                      <w:rPr>
                        <w:noProof/>
                        <w:webHidden/>
                      </w:rPr>
                      <w:instrText xml:space="preserve"> PAGEREF _Toc12625772 \h </w:instrText>
                    </w:r>
                    <w:r>
                      <w:rPr>
                        <w:noProof/>
                        <w:webHidden/>
                      </w:rPr>
                    </w:r>
                    <w:r>
                      <w:rPr>
                        <w:noProof/>
                        <w:webHidden/>
                      </w:rPr>
                      <w:fldChar w:fldCharType="separate"/>
                    </w:r>
                    <w:r w:rsidR="00CF1825">
                      <w:rPr>
                        <w:noProof/>
                        <w:webHidden/>
                      </w:rPr>
                      <w:t>1</w:t>
                    </w:r>
                    <w:r>
                      <w:rPr>
                        <w:noProof/>
                        <w:webHidden/>
                      </w:rPr>
                      <w:fldChar w:fldCharType="end"/>
                    </w:r>
                  </w:hyperlink>
                </w:p>
                <w:p w:rsidR="00CF1825" w:rsidRDefault="00D1545C">
                  <w:pPr>
                    <w:pStyle w:val="10"/>
                    <w:tabs>
                      <w:tab w:val="left" w:pos="840"/>
                    </w:tabs>
                    <w:rPr>
                      <w:rFonts w:asciiTheme="minorHAnsi" w:eastAsiaTheme="minorEastAsia" w:hAnsiTheme="minorHAnsi" w:cstheme="minorBidi"/>
                      <w:b w:val="0"/>
                      <w:bCs w:val="0"/>
                      <w:caps w:val="0"/>
                      <w:noProof/>
                      <w:color w:val="auto"/>
                      <w:sz w:val="21"/>
                      <w:szCs w:val="22"/>
                    </w:rPr>
                  </w:pPr>
                  <w:hyperlink w:anchor="_Toc12625773" w:history="1">
                    <w:r w:rsidR="00CF1825" w:rsidRPr="001634E5">
                      <w:rPr>
                        <w:rStyle w:val="af0"/>
                        <w:rFonts w:ascii="黑体" w:eastAsia="黑体" w:cs="Arial" w:hint="eastAsia"/>
                        <w:noProof/>
                        <w:kern w:val="0"/>
                      </w:rPr>
                      <w:t>一、</w:t>
                    </w:r>
                    <w:r w:rsidR="00CF1825">
                      <w:rPr>
                        <w:rFonts w:asciiTheme="minorHAnsi" w:eastAsiaTheme="minorEastAsia" w:hAnsiTheme="minorHAnsi" w:cstheme="minorBidi"/>
                        <w:b w:val="0"/>
                        <w:bCs w:val="0"/>
                        <w:caps w:val="0"/>
                        <w:noProof/>
                        <w:color w:val="auto"/>
                        <w:sz w:val="21"/>
                        <w:szCs w:val="22"/>
                      </w:rPr>
                      <w:tab/>
                    </w:r>
                    <w:r w:rsidR="00CF1825" w:rsidRPr="001634E5">
                      <w:rPr>
                        <w:rStyle w:val="af0"/>
                        <w:rFonts w:ascii="黑体" w:eastAsia="黑体" w:cs="Arial" w:hint="eastAsia"/>
                        <w:noProof/>
                        <w:kern w:val="0"/>
                      </w:rPr>
                      <w:t>一、国际原油市场回顾</w:t>
                    </w:r>
                    <w:r w:rsidR="00CF1825">
                      <w:rPr>
                        <w:noProof/>
                        <w:webHidden/>
                      </w:rPr>
                      <w:tab/>
                    </w:r>
                    <w:r>
                      <w:rPr>
                        <w:noProof/>
                        <w:webHidden/>
                      </w:rPr>
                      <w:fldChar w:fldCharType="begin"/>
                    </w:r>
                    <w:r w:rsidR="00CF1825">
                      <w:rPr>
                        <w:noProof/>
                        <w:webHidden/>
                      </w:rPr>
                      <w:instrText xml:space="preserve"> PAGEREF _Toc12625773 \h </w:instrText>
                    </w:r>
                    <w:r>
                      <w:rPr>
                        <w:noProof/>
                        <w:webHidden/>
                      </w:rPr>
                    </w:r>
                    <w:r>
                      <w:rPr>
                        <w:noProof/>
                        <w:webHidden/>
                      </w:rPr>
                      <w:fldChar w:fldCharType="separate"/>
                    </w:r>
                    <w:r w:rsidR="00CF1825">
                      <w:rPr>
                        <w:noProof/>
                        <w:webHidden/>
                      </w:rPr>
                      <w:t>3</w:t>
                    </w:r>
                    <w:r>
                      <w:rPr>
                        <w:noProof/>
                        <w:webHidden/>
                      </w:rPr>
                      <w:fldChar w:fldCharType="end"/>
                    </w:r>
                  </w:hyperlink>
                </w:p>
                <w:p w:rsidR="00CF1825" w:rsidRDefault="00D1545C">
                  <w:pPr>
                    <w:pStyle w:val="21"/>
                    <w:tabs>
                      <w:tab w:val="left" w:pos="840"/>
                    </w:tabs>
                    <w:rPr>
                      <w:rFonts w:asciiTheme="minorHAnsi" w:eastAsiaTheme="minorEastAsia" w:hAnsiTheme="minorHAnsi" w:cstheme="minorBidi"/>
                      <w:b w:val="0"/>
                      <w:smallCaps w:val="0"/>
                      <w:noProof/>
                      <w:color w:val="auto"/>
                      <w:sz w:val="21"/>
                      <w:szCs w:val="22"/>
                    </w:rPr>
                  </w:pPr>
                  <w:hyperlink w:anchor="_Toc12625774" w:history="1">
                    <w:r w:rsidR="00CF1825" w:rsidRPr="001634E5">
                      <w:rPr>
                        <w:rStyle w:val="af0"/>
                        <w:rFonts w:cs="Arial"/>
                        <w:noProof/>
                        <w:kern w:val="0"/>
                      </w:rPr>
                      <w:t>1.</w:t>
                    </w:r>
                    <w:r w:rsidR="00CF1825">
                      <w:rPr>
                        <w:rFonts w:asciiTheme="minorHAnsi" w:eastAsiaTheme="minorEastAsia" w:hAnsiTheme="minorHAnsi" w:cstheme="minorBidi"/>
                        <w:b w:val="0"/>
                        <w:smallCaps w:val="0"/>
                        <w:noProof/>
                        <w:color w:val="auto"/>
                        <w:sz w:val="21"/>
                        <w:szCs w:val="22"/>
                      </w:rPr>
                      <w:tab/>
                    </w:r>
                    <w:r w:rsidR="00CF1825" w:rsidRPr="001634E5">
                      <w:rPr>
                        <w:rStyle w:val="af0"/>
                        <w:rFonts w:cs="Arial" w:hint="eastAsia"/>
                        <w:noProof/>
                        <w:kern w:val="0"/>
                      </w:rPr>
                      <w:t>国际原油收盘价涨跌情况（单位：美元</w:t>
                    </w:r>
                    <w:r w:rsidR="00CF1825" w:rsidRPr="001634E5">
                      <w:rPr>
                        <w:rStyle w:val="af0"/>
                        <w:rFonts w:cs="Arial"/>
                        <w:noProof/>
                        <w:kern w:val="0"/>
                      </w:rPr>
                      <w:t>/</w:t>
                    </w:r>
                    <w:r w:rsidR="00CF1825" w:rsidRPr="001634E5">
                      <w:rPr>
                        <w:rStyle w:val="af0"/>
                        <w:rFonts w:cs="Arial" w:hint="eastAsia"/>
                        <w:noProof/>
                        <w:kern w:val="0"/>
                      </w:rPr>
                      <w:t>桶）</w:t>
                    </w:r>
                    <w:r w:rsidR="00CF1825">
                      <w:rPr>
                        <w:noProof/>
                        <w:webHidden/>
                      </w:rPr>
                      <w:tab/>
                    </w:r>
                    <w:r>
                      <w:rPr>
                        <w:noProof/>
                        <w:webHidden/>
                      </w:rPr>
                      <w:fldChar w:fldCharType="begin"/>
                    </w:r>
                    <w:r w:rsidR="00CF1825">
                      <w:rPr>
                        <w:noProof/>
                        <w:webHidden/>
                      </w:rPr>
                      <w:instrText xml:space="preserve"> PAGEREF _Toc12625774 \h </w:instrText>
                    </w:r>
                    <w:r>
                      <w:rPr>
                        <w:noProof/>
                        <w:webHidden/>
                      </w:rPr>
                    </w:r>
                    <w:r>
                      <w:rPr>
                        <w:noProof/>
                        <w:webHidden/>
                      </w:rPr>
                      <w:fldChar w:fldCharType="separate"/>
                    </w:r>
                    <w:r w:rsidR="00CF1825">
                      <w:rPr>
                        <w:noProof/>
                        <w:webHidden/>
                      </w:rPr>
                      <w:t>3</w:t>
                    </w:r>
                    <w:r>
                      <w:rPr>
                        <w:noProof/>
                        <w:webHidden/>
                      </w:rPr>
                      <w:fldChar w:fldCharType="end"/>
                    </w:r>
                  </w:hyperlink>
                </w:p>
                <w:p w:rsidR="00CF1825" w:rsidRDefault="00D1545C">
                  <w:pPr>
                    <w:pStyle w:val="21"/>
                    <w:rPr>
                      <w:rFonts w:asciiTheme="minorHAnsi" w:eastAsiaTheme="minorEastAsia" w:hAnsiTheme="minorHAnsi" w:cstheme="minorBidi"/>
                      <w:b w:val="0"/>
                      <w:smallCaps w:val="0"/>
                      <w:noProof/>
                      <w:color w:val="auto"/>
                      <w:sz w:val="21"/>
                      <w:szCs w:val="22"/>
                    </w:rPr>
                  </w:pPr>
                  <w:hyperlink w:anchor="_Toc12625775" w:history="1">
                    <w:r w:rsidR="00CF1825" w:rsidRPr="001634E5">
                      <w:rPr>
                        <w:rStyle w:val="af0"/>
                        <w:rFonts w:cs="Arial"/>
                        <w:noProof/>
                        <w:kern w:val="0"/>
                      </w:rPr>
                      <w:t>2.2019</w:t>
                    </w:r>
                    <w:r w:rsidR="00CF1825" w:rsidRPr="001634E5">
                      <w:rPr>
                        <w:rStyle w:val="af0"/>
                        <w:rFonts w:cs="Arial" w:hint="eastAsia"/>
                        <w:noProof/>
                        <w:kern w:val="0"/>
                      </w:rPr>
                      <w:t>年国际原油价格走势图</w:t>
                    </w:r>
                    <w:r w:rsidR="00CF1825">
                      <w:rPr>
                        <w:noProof/>
                        <w:webHidden/>
                      </w:rPr>
                      <w:tab/>
                    </w:r>
                    <w:r>
                      <w:rPr>
                        <w:noProof/>
                        <w:webHidden/>
                      </w:rPr>
                      <w:fldChar w:fldCharType="begin"/>
                    </w:r>
                    <w:r w:rsidR="00CF1825">
                      <w:rPr>
                        <w:noProof/>
                        <w:webHidden/>
                      </w:rPr>
                      <w:instrText xml:space="preserve"> PAGEREF _Toc12625775 \h </w:instrText>
                    </w:r>
                    <w:r>
                      <w:rPr>
                        <w:noProof/>
                        <w:webHidden/>
                      </w:rPr>
                    </w:r>
                    <w:r>
                      <w:rPr>
                        <w:noProof/>
                        <w:webHidden/>
                      </w:rPr>
                      <w:fldChar w:fldCharType="separate"/>
                    </w:r>
                    <w:r w:rsidR="00CF1825">
                      <w:rPr>
                        <w:noProof/>
                        <w:webHidden/>
                      </w:rPr>
                      <w:t>3</w:t>
                    </w:r>
                    <w:r>
                      <w:rPr>
                        <w:noProof/>
                        <w:webHidden/>
                      </w:rPr>
                      <w:fldChar w:fldCharType="end"/>
                    </w:r>
                  </w:hyperlink>
                </w:p>
                <w:p w:rsidR="00CF1825" w:rsidRDefault="00D1545C">
                  <w:pPr>
                    <w:pStyle w:val="10"/>
                    <w:tabs>
                      <w:tab w:val="left" w:pos="840"/>
                    </w:tabs>
                    <w:rPr>
                      <w:rFonts w:asciiTheme="minorHAnsi" w:eastAsiaTheme="minorEastAsia" w:hAnsiTheme="minorHAnsi" w:cstheme="minorBidi"/>
                      <w:b w:val="0"/>
                      <w:bCs w:val="0"/>
                      <w:caps w:val="0"/>
                      <w:noProof/>
                      <w:color w:val="auto"/>
                      <w:sz w:val="21"/>
                      <w:szCs w:val="22"/>
                    </w:rPr>
                  </w:pPr>
                  <w:hyperlink w:anchor="_Toc12625776" w:history="1">
                    <w:r w:rsidR="00CF1825" w:rsidRPr="001634E5">
                      <w:rPr>
                        <w:rStyle w:val="af0"/>
                        <w:rFonts w:cs="Arial" w:hint="eastAsia"/>
                        <w:noProof/>
                        <w:kern w:val="0"/>
                      </w:rPr>
                      <w:t>二、</w:t>
                    </w:r>
                    <w:r w:rsidR="00CF1825">
                      <w:rPr>
                        <w:rFonts w:asciiTheme="minorHAnsi" w:eastAsiaTheme="minorEastAsia" w:hAnsiTheme="minorHAnsi" w:cstheme="minorBidi"/>
                        <w:b w:val="0"/>
                        <w:bCs w:val="0"/>
                        <w:caps w:val="0"/>
                        <w:noProof/>
                        <w:color w:val="auto"/>
                        <w:sz w:val="21"/>
                        <w:szCs w:val="22"/>
                      </w:rPr>
                      <w:tab/>
                    </w:r>
                    <w:r w:rsidR="00CF1825" w:rsidRPr="001634E5">
                      <w:rPr>
                        <w:rStyle w:val="af0"/>
                        <w:rFonts w:cs="Arial" w:hint="eastAsia"/>
                        <w:noProof/>
                        <w:kern w:val="0"/>
                      </w:rPr>
                      <w:t>近期影响国际原油市场的主要因素</w:t>
                    </w:r>
                    <w:r w:rsidR="00CF1825">
                      <w:rPr>
                        <w:noProof/>
                        <w:webHidden/>
                      </w:rPr>
                      <w:tab/>
                    </w:r>
                    <w:r>
                      <w:rPr>
                        <w:noProof/>
                        <w:webHidden/>
                      </w:rPr>
                      <w:fldChar w:fldCharType="begin"/>
                    </w:r>
                    <w:r w:rsidR="00CF1825">
                      <w:rPr>
                        <w:noProof/>
                        <w:webHidden/>
                      </w:rPr>
                      <w:instrText xml:space="preserve"> PAGEREF _Toc12625776 \h </w:instrText>
                    </w:r>
                    <w:r>
                      <w:rPr>
                        <w:noProof/>
                        <w:webHidden/>
                      </w:rPr>
                    </w:r>
                    <w:r>
                      <w:rPr>
                        <w:noProof/>
                        <w:webHidden/>
                      </w:rPr>
                      <w:fldChar w:fldCharType="separate"/>
                    </w:r>
                    <w:r w:rsidR="00CF1825">
                      <w:rPr>
                        <w:noProof/>
                        <w:webHidden/>
                      </w:rPr>
                      <w:t>4</w:t>
                    </w:r>
                    <w:r>
                      <w:rPr>
                        <w:noProof/>
                        <w:webHidden/>
                      </w:rPr>
                      <w:fldChar w:fldCharType="end"/>
                    </w:r>
                  </w:hyperlink>
                </w:p>
                <w:p w:rsidR="00CF1825" w:rsidRDefault="00D1545C">
                  <w:pPr>
                    <w:pStyle w:val="21"/>
                    <w:rPr>
                      <w:rFonts w:asciiTheme="minorHAnsi" w:eastAsiaTheme="minorEastAsia" w:hAnsiTheme="minorHAnsi" w:cstheme="minorBidi"/>
                      <w:b w:val="0"/>
                      <w:smallCaps w:val="0"/>
                      <w:noProof/>
                      <w:color w:val="auto"/>
                      <w:sz w:val="21"/>
                      <w:szCs w:val="22"/>
                    </w:rPr>
                  </w:pPr>
                  <w:hyperlink w:anchor="_Toc12625777" w:history="1">
                    <w:r w:rsidR="00CF1825" w:rsidRPr="001634E5">
                      <w:rPr>
                        <w:rStyle w:val="af0"/>
                        <w:rFonts w:ascii="黑体" w:eastAsia="黑体"/>
                        <w:noProof/>
                      </w:rPr>
                      <w:t>1.</w:t>
                    </w:r>
                    <w:r w:rsidR="00CF1825" w:rsidRPr="001634E5">
                      <w:rPr>
                        <w:rStyle w:val="af0"/>
                        <w:rFonts w:ascii="黑体" w:eastAsia="黑体" w:hint="eastAsia"/>
                        <w:noProof/>
                      </w:rPr>
                      <w:t>美国原油库存情况</w:t>
                    </w:r>
                    <w:r w:rsidR="00CF1825">
                      <w:rPr>
                        <w:noProof/>
                        <w:webHidden/>
                      </w:rPr>
                      <w:tab/>
                    </w:r>
                    <w:r>
                      <w:rPr>
                        <w:noProof/>
                        <w:webHidden/>
                      </w:rPr>
                      <w:fldChar w:fldCharType="begin"/>
                    </w:r>
                    <w:r w:rsidR="00CF1825">
                      <w:rPr>
                        <w:noProof/>
                        <w:webHidden/>
                      </w:rPr>
                      <w:instrText xml:space="preserve"> PAGEREF _Toc12625777 \h </w:instrText>
                    </w:r>
                    <w:r>
                      <w:rPr>
                        <w:noProof/>
                        <w:webHidden/>
                      </w:rPr>
                    </w:r>
                    <w:r>
                      <w:rPr>
                        <w:noProof/>
                        <w:webHidden/>
                      </w:rPr>
                      <w:fldChar w:fldCharType="separate"/>
                    </w:r>
                    <w:r w:rsidR="00CF1825">
                      <w:rPr>
                        <w:noProof/>
                        <w:webHidden/>
                      </w:rPr>
                      <w:t>4</w:t>
                    </w:r>
                    <w:r>
                      <w:rPr>
                        <w:noProof/>
                        <w:webHidden/>
                      </w:rPr>
                      <w:fldChar w:fldCharType="end"/>
                    </w:r>
                  </w:hyperlink>
                </w:p>
                <w:p w:rsidR="00CF1825" w:rsidRDefault="00D1545C">
                  <w:pPr>
                    <w:pStyle w:val="21"/>
                    <w:rPr>
                      <w:rFonts w:asciiTheme="minorHAnsi" w:eastAsiaTheme="minorEastAsia" w:hAnsiTheme="minorHAnsi" w:cstheme="minorBidi"/>
                      <w:b w:val="0"/>
                      <w:smallCaps w:val="0"/>
                      <w:noProof/>
                      <w:color w:val="auto"/>
                      <w:sz w:val="21"/>
                      <w:szCs w:val="22"/>
                    </w:rPr>
                  </w:pPr>
                  <w:hyperlink w:anchor="_Toc12625778" w:history="1">
                    <w:r w:rsidR="00CF1825" w:rsidRPr="001634E5">
                      <w:rPr>
                        <w:rStyle w:val="af0"/>
                        <w:rFonts w:cs="Arial"/>
                        <w:bCs/>
                        <w:noProof/>
                      </w:rPr>
                      <w:t>3.</w:t>
                    </w:r>
                    <w:r w:rsidR="00CF1825" w:rsidRPr="001634E5">
                      <w:rPr>
                        <w:rStyle w:val="af0"/>
                        <w:rFonts w:cs="Arial" w:hint="eastAsia"/>
                        <w:bCs/>
                        <w:noProof/>
                      </w:rPr>
                      <w:t>世界经济形势</w:t>
                    </w:r>
                    <w:r w:rsidR="00CF1825">
                      <w:rPr>
                        <w:noProof/>
                        <w:webHidden/>
                      </w:rPr>
                      <w:tab/>
                    </w:r>
                    <w:r>
                      <w:rPr>
                        <w:noProof/>
                        <w:webHidden/>
                      </w:rPr>
                      <w:fldChar w:fldCharType="begin"/>
                    </w:r>
                    <w:r w:rsidR="00CF1825">
                      <w:rPr>
                        <w:noProof/>
                        <w:webHidden/>
                      </w:rPr>
                      <w:instrText xml:space="preserve"> PAGEREF _Toc12625778 \h </w:instrText>
                    </w:r>
                    <w:r>
                      <w:rPr>
                        <w:noProof/>
                        <w:webHidden/>
                      </w:rPr>
                    </w:r>
                    <w:r>
                      <w:rPr>
                        <w:noProof/>
                        <w:webHidden/>
                      </w:rPr>
                      <w:fldChar w:fldCharType="separate"/>
                    </w:r>
                    <w:r w:rsidR="00CF1825">
                      <w:rPr>
                        <w:noProof/>
                        <w:webHidden/>
                      </w:rPr>
                      <w:t>7</w:t>
                    </w:r>
                    <w:r>
                      <w:rPr>
                        <w:noProof/>
                        <w:webHidden/>
                      </w:rPr>
                      <w:fldChar w:fldCharType="end"/>
                    </w:r>
                  </w:hyperlink>
                </w:p>
                <w:p w:rsidR="00CF1825" w:rsidRDefault="00D1545C">
                  <w:pPr>
                    <w:pStyle w:val="10"/>
                    <w:rPr>
                      <w:rFonts w:asciiTheme="minorHAnsi" w:eastAsiaTheme="minorEastAsia" w:hAnsiTheme="minorHAnsi" w:cstheme="minorBidi"/>
                      <w:b w:val="0"/>
                      <w:bCs w:val="0"/>
                      <w:caps w:val="0"/>
                      <w:noProof/>
                      <w:color w:val="auto"/>
                      <w:sz w:val="21"/>
                      <w:szCs w:val="22"/>
                    </w:rPr>
                  </w:pPr>
                  <w:hyperlink w:anchor="_Toc12625779" w:history="1">
                    <w:r w:rsidR="00CF1825" w:rsidRPr="001634E5">
                      <w:rPr>
                        <w:rStyle w:val="af0"/>
                        <w:rFonts w:cs="Arial" w:hint="eastAsia"/>
                        <w:noProof/>
                        <w:kern w:val="0"/>
                      </w:rPr>
                      <w:t>三、</w:t>
                    </w:r>
                    <w:r w:rsidR="00CF1825" w:rsidRPr="001634E5">
                      <w:rPr>
                        <w:rStyle w:val="af0"/>
                        <w:rFonts w:cs="Arial"/>
                        <w:noProof/>
                        <w:kern w:val="0"/>
                      </w:rPr>
                      <w:t>2018</w:t>
                    </w:r>
                    <w:r w:rsidR="00CF1825" w:rsidRPr="001634E5">
                      <w:rPr>
                        <w:rStyle w:val="af0"/>
                        <w:rFonts w:cs="Arial" w:hint="eastAsia"/>
                        <w:noProof/>
                        <w:kern w:val="0"/>
                      </w:rPr>
                      <w:t>年</w:t>
                    </w:r>
                    <w:r w:rsidR="00CF1825" w:rsidRPr="001634E5">
                      <w:rPr>
                        <w:rStyle w:val="af0"/>
                        <w:rFonts w:cs="Arial"/>
                        <w:noProof/>
                        <w:kern w:val="0"/>
                      </w:rPr>
                      <w:t>11</w:t>
                    </w:r>
                    <w:r w:rsidR="00CF1825" w:rsidRPr="001634E5">
                      <w:rPr>
                        <w:rStyle w:val="af0"/>
                        <w:rFonts w:cs="Arial" w:hint="eastAsia"/>
                        <w:noProof/>
                        <w:kern w:val="0"/>
                      </w:rPr>
                      <w:t>月份全国原油进出口统计数据（产销国）</w:t>
                    </w:r>
                    <w:r w:rsidR="00CF1825">
                      <w:rPr>
                        <w:noProof/>
                        <w:webHidden/>
                      </w:rPr>
                      <w:tab/>
                    </w:r>
                    <w:r>
                      <w:rPr>
                        <w:noProof/>
                        <w:webHidden/>
                      </w:rPr>
                      <w:fldChar w:fldCharType="begin"/>
                    </w:r>
                    <w:r w:rsidR="00CF1825">
                      <w:rPr>
                        <w:noProof/>
                        <w:webHidden/>
                      </w:rPr>
                      <w:instrText xml:space="preserve"> PAGEREF _Toc12625779 \h </w:instrText>
                    </w:r>
                    <w:r>
                      <w:rPr>
                        <w:noProof/>
                        <w:webHidden/>
                      </w:rPr>
                    </w:r>
                    <w:r>
                      <w:rPr>
                        <w:noProof/>
                        <w:webHidden/>
                      </w:rPr>
                      <w:fldChar w:fldCharType="separate"/>
                    </w:r>
                    <w:r w:rsidR="00CF1825">
                      <w:rPr>
                        <w:noProof/>
                        <w:webHidden/>
                      </w:rPr>
                      <w:t>8</w:t>
                    </w:r>
                    <w:r>
                      <w:rPr>
                        <w:noProof/>
                        <w:webHidden/>
                      </w:rPr>
                      <w:fldChar w:fldCharType="end"/>
                    </w:r>
                  </w:hyperlink>
                </w:p>
                <w:p w:rsidR="00CF1825" w:rsidRDefault="00D1545C">
                  <w:pPr>
                    <w:pStyle w:val="10"/>
                    <w:rPr>
                      <w:rFonts w:asciiTheme="minorHAnsi" w:eastAsiaTheme="minorEastAsia" w:hAnsiTheme="minorHAnsi" w:cstheme="minorBidi"/>
                      <w:b w:val="0"/>
                      <w:bCs w:val="0"/>
                      <w:caps w:val="0"/>
                      <w:noProof/>
                      <w:color w:val="auto"/>
                      <w:sz w:val="21"/>
                      <w:szCs w:val="22"/>
                    </w:rPr>
                  </w:pPr>
                  <w:hyperlink w:anchor="_Toc12625780" w:history="1">
                    <w:r w:rsidR="00CF1825" w:rsidRPr="001634E5">
                      <w:rPr>
                        <w:rStyle w:val="af0"/>
                        <w:rFonts w:cs="Arial" w:hint="eastAsia"/>
                        <w:noProof/>
                        <w:kern w:val="0"/>
                      </w:rPr>
                      <w:t>四、后市预测</w:t>
                    </w:r>
                    <w:r w:rsidR="00CF1825">
                      <w:rPr>
                        <w:noProof/>
                        <w:webHidden/>
                      </w:rPr>
                      <w:tab/>
                    </w:r>
                    <w:r>
                      <w:rPr>
                        <w:noProof/>
                        <w:webHidden/>
                      </w:rPr>
                      <w:fldChar w:fldCharType="begin"/>
                    </w:r>
                    <w:r w:rsidR="00CF1825">
                      <w:rPr>
                        <w:noProof/>
                        <w:webHidden/>
                      </w:rPr>
                      <w:instrText xml:space="preserve"> PAGEREF _Toc12625780 \h </w:instrText>
                    </w:r>
                    <w:r>
                      <w:rPr>
                        <w:noProof/>
                        <w:webHidden/>
                      </w:rPr>
                    </w:r>
                    <w:r>
                      <w:rPr>
                        <w:noProof/>
                        <w:webHidden/>
                      </w:rPr>
                      <w:fldChar w:fldCharType="separate"/>
                    </w:r>
                    <w:r w:rsidR="00CF1825">
                      <w:rPr>
                        <w:noProof/>
                        <w:webHidden/>
                      </w:rPr>
                      <w:t>14</w:t>
                    </w:r>
                    <w:r>
                      <w:rPr>
                        <w:noProof/>
                        <w:webHidden/>
                      </w:rPr>
                      <w:fldChar w:fldCharType="end"/>
                    </w:r>
                  </w:hyperlink>
                </w:p>
                <w:p w:rsidR="00CF1825" w:rsidRDefault="00D1545C">
                  <w:pPr>
                    <w:pStyle w:val="10"/>
                    <w:rPr>
                      <w:rFonts w:asciiTheme="minorHAnsi" w:eastAsiaTheme="minorEastAsia" w:hAnsiTheme="minorHAnsi" w:cstheme="minorBidi"/>
                      <w:b w:val="0"/>
                      <w:bCs w:val="0"/>
                      <w:caps w:val="0"/>
                      <w:noProof/>
                      <w:color w:val="auto"/>
                      <w:sz w:val="21"/>
                      <w:szCs w:val="22"/>
                    </w:rPr>
                  </w:pPr>
                  <w:hyperlink w:anchor="_Toc12625781" w:history="1">
                    <w:r w:rsidR="00CF1825" w:rsidRPr="001634E5">
                      <w:rPr>
                        <w:rStyle w:val="af0"/>
                        <w:rFonts w:ascii="黑体" w:eastAsia="黑体" w:hint="eastAsia"/>
                        <w:noProof/>
                      </w:rPr>
                      <w:t>二、</w:t>
                    </w:r>
                    <w:r w:rsidR="00CF1825" w:rsidRPr="001634E5">
                      <w:rPr>
                        <w:rStyle w:val="af0"/>
                        <w:rFonts w:ascii="黑体" w:eastAsia="黑体"/>
                        <w:noProof/>
                      </w:rPr>
                      <w:t xml:space="preserve"> </w:t>
                    </w:r>
                    <w:r w:rsidR="00CF1825" w:rsidRPr="001634E5">
                      <w:rPr>
                        <w:rStyle w:val="af0"/>
                        <w:rFonts w:ascii="黑体" w:eastAsia="黑体" w:hint="eastAsia"/>
                        <w:noProof/>
                      </w:rPr>
                      <w:t>石脑油</w:t>
                    </w:r>
                    <w:r w:rsidR="00CF1825">
                      <w:rPr>
                        <w:noProof/>
                        <w:webHidden/>
                      </w:rPr>
                      <w:tab/>
                    </w:r>
                    <w:r>
                      <w:rPr>
                        <w:noProof/>
                        <w:webHidden/>
                      </w:rPr>
                      <w:fldChar w:fldCharType="begin"/>
                    </w:r>
                    <w:r w:rsidR="00CF1825">
                      <w:rPr>
                        <w:noProof/>
                        <w:webHidden/>
                      </w:rPr>
                      <w:instrText xml:space="preserve"> PAGEREF _Toc12625781 \h </w:instrText>
                    </w:r>
                    <w:r>
                      <w:rPr>
                        <w:noProof/>
                        <w:webHidden/>
                      </w:rPr>
                    </w:r>
                    <w:r>
                      <w:rPr>
                        <w:noProof/>
                        <w:webHidden/>
                      </w:rPr>
                      <w:fldChar w:fldCharType="separate"/>
                    </w:r>
                    <w:r w:rsidR="00CF1825">
                      <w:rPr>
                        <w:noProof/>
                        <w:webHidden/>
                      </w:rPr>
                      <w:t>16</w:t>
                    </w:r>
                    <w:r>
                      <w:rPr>
                        <w:noProof/>
                        <w:webHidden/>
                      </w:rPr>
                      <w:fldChar w:fldCharType="end"/>
                    </w:r>
                  </w:hyperlink>
                </w:p>
                <w:p w:rsidR="00CF1825" w:rsidRDefault="00D1545C">
                  <w:pPr>
                    <w:pStyle w:val="21"/>
                    <w:rPr>
                      <w:rFonts w:asciiTheme="minorHAnsi" w:eastAsiaTheme="minorEastAsia" w:hAnsiTheme="minorHAnsi" w:cstheme="minorBidi"/>
                      <w:b w:val="0"/>
                      <w:smallCaps w:val="0"/>
                      <w:noProof/>
                      <w:color w:val="auto"/>
                      <w:sz w:val="21"/>
                      <w:szCs w:val="22"/>
                    </w:rPr>
                  </w:pPr>
                  <w:hyperlink w:anchor="_Toc12625782" w:history="1">
                    <w:r w:rsidR="00CF1825" w:rsidRPr="001634E5">
                      <w:rPr>
                        <w:rStyle w:val="af0"/>
                        <w:noProof/>
                      </w:rPr>
                      <w:t>2. 1</w:t>
                    </w:r>
                    <w:r w:rsidR="00CF1825" w:rsidRPr="001634E5">
                      <w:rPr>
                        <w:rStyle w:val="af0"/>
                        <w:rFonts w:hint="eastAsia"/>
                        <w:noProof/>
                        <w:kern w:val="0"/>
                      </w:rPr>
                      <w:t>国际石脑油市场价格</w:t>
                    </w:r>
                    <w:r w:rsidR="00CF1825">
                      <w:rPr>
                        <w:noProof/>
                        <w:webHidden/>
                      </w:rPr>
                      <w:tab/>
                    </w:r>
                    <w:r>
                      <w:rPr>
                        <w:noProof/>
                        <w:webHidden/>
                      </w:rPr>
                      <w:fldChar w:fldCharType="begin"/>
                    </w:r>
                    <w:r w:rsidR="00CF1825">
                      <w:rPr>
                        <w:noProof/>
                        <w:webHidden/>
                      </w:rPr>
                      <w:instrText xml:space="preserve"> PAGEREF _Toc12625782 \h </w:instrText>
                    </w:r>
                    <w:r>
                      <w:rPr>
                        <w:noProof/>
                        <w:webHidden/>
                      </w:rPr>
                    </w:r>
                    <w:r>
                      <w:rPr>
                        <w:noProof/>
                        <w:webHidden/>
                      </w:rPr>
                      <w:fldChar w:fldCharType="separate"/>
                    </w:r>
                    <w:r w:rsidR="00CF1825">
                      <w:rPr>
                        <w:noProof/>
                        <w:webHidden/>
                      </w:rPr>
                      <w:t>16</w:t>
                    </w:r>
                    <w:r>
                      <w:rPr>
                        <w:noProof/>
                        <w:webHidden/>
                      </w:rPr>
                      <w:fldChar w:fldCharType="end"/>
                    </w:r>
                  </w:hyperlink>
                </w:p>
                <w:p w:rsidR="00CF1825" w:rsidRDefault="00D1545C">
                  <w:pPr>
                    <w:pStyle w:val="21"/>
                    <w:rPr>
                      <w:rFonts w:asciiTheme="minorHAnsi" w:eastAsiaTheme="minorEastAsia" w:hAnsiTheme="minorHAnsi" w:cstheme="minorBidi"/>
                      <w:b w:val="0"/>
                      <w:smallCaps w:val="0"/>
                      <w:noProof/>
                      <w:color w:val="auto"/>
                      <w:sz w:val="21"/>
                      <w:szCs w:val="22"/>
                    </w:rPr>
                  </w:pPr>
                  <w:hyperlink w:anchor="_Toc12625783" w:history="1">
                    <w:r w:rsidR="00CF1825" w:rsidRPr="001634E5">
                      <w:rPr>
                        <w:rStyle w:val="af0"/>
                        <w:rFonts w:asciiTheme="minorEastAsia" w:hAnsiTheme="minorEastAsia"/>
                        <w:noProof/>
                      </w:rPr>
                      <w:t>2.2</w:t>
                    </w:r>
                    <w:r w:rsidR="00CF1825" w:rsidRPr="001634E5">
                      <w:rPr>
                        <w:rStyle w:val="af0"/>
                        <w:rFonts w:asciiTheme="minorEastAsia" w:hAnsiTheme="minorEastAsia" w:hint="eastAsia"/>
                        <w:noProof/>
                      </w:rPr>
                      <w:t>地炼石脑油市场</w:t>
                    </w:r>
                    <w:r w:rsidR="00CF1825">
                      <w:rPr>
                        <w:noProof/>
                        <w:webHidden/>
                      </w:rPr>
                      <w:tab/>
                    </w:r>
                    <w:r>
                      <w:rPr>
                        <w:noProof/>
                        <w:webHidden/>
                      </w:rPr>
                      <w:fldChar w:fldCharType="begin"/>
                    </w:r>
                    <w:r w:rsidR="00CF1825">
                      <w:rPr>
                        <w:noProof/>
                        <w:webHidden/>
                      </w:rPr>
                      <w:instrText xml:space="preserve"> PAGEREF _Toc12625783 \h </w:instrText>
                    </w:r>
                    <w:r>
                      <w:rPr>
                        <w:noProof/>
                        <w:webHidden/>
                      </w:rPr>
                    </w:r>
                    <w:r>
                      <w:rPr>
                        <w:noProof/>
                        <w:webHidden/>
                      </w:rPr>
                      <w:fldChar w:fldCharType="separate"/>
                    </w:r>
                    <w:r w:rsidR="00CF1825">
                      <w:rPr>
                        <w:noProof/>
                        <w:webHidden/>
                      </w:rPr>
                      <w:t>17</w:t>
                    </w:r>
                    <w:r>
                      <w:rPr>
                        <w:noProof/>
                        <w:webHidden/>
                      </w:rPr>
                      <w:fldChar w:fldCharType="end"/>
                    </w:r>
                  </w:hyperlink>
                </w:p>
                <w:p w:rsidR="00CF1825" w:rsidRDefault="00D1545C">
                  <w:pPr>
                    <w:pStyle w:val="21"/>
                    <w:rPr>
                      <w:rFonts w:asciiTheme="minorHAnsi" w:eastAsiaTheme="minorEastAsia" w:hAnsiTheme="minorHAnsi" w:cstheme="minorBidi"/>
                      <w:b w:val="0"/>
                      <w:smallCaps w:val="0"/>
                      <w:noProof/>
                      <w:color w:val="auto"/>
                      <w:sz w:val="21"/>
                      <w:szCs w:val="22"/>
                    </w:rPr>
                  </w:pPr>
                  <w:hyperlink w:anchor="_Toc12625784" w:history="1">
                    <w:r w:rsidR="00CF1825" w:rsidRPr="001634E5">
                      <w:rPr>
                        <w:rStyle w:val="af0"/>
                        <w:rFonts w:asciiTheme="minorEastAsia" w:hAnsiTheme="minorEastAsia"/>
                        <w:noProof/>
                      </w:rPr>
                      <w:t>2.3</w:t>
                    </w:r>
                    <w:r w:rsidR="00CF1825" w:rsidRPr="001634E5">
                      <w:rPr>
                        <w:rStyle w:val="af0"/>
                        <w:rFonts w:asciiTheme="minorEastAsia" w:hAnsiTheme="minorEastAsia" w:hint="eastAsia"/>
                        <w:noProof/>
                      </w:rPr>
                      <w:t>本周国内石脑油价格汇总</w:t>
                    </w:r>
                    <w:r w:rsidR="00CF1825">
                      <w:rPr>
                        <w:noProof/>
                        <w:webHidden/>
                      </w:rPr>
                      <w:tab/>
                    </w:r>
                    <w:r>
                      <w:rPr>
                        <w:noProof/>
                        <w:webHidden/>
                      </w:rPr>
                      <w:fldChar w:fldCharType="begin"/>
                    </w:r>
                    <w:r w:rsidR="00CF1825">
                      <w:rPr>
                        <w:noProof/>
                        <w:webHidden/>
                      </w:rPr>
                      <w:instrText xml:space="preserve"> PAGEREF _Toc12625784 \h </w:instrText>
                    </w:r>
                    <w:r>
                      <w:rPr>
                        <w:noProof/>
                        <w:webHidden/>
                      </w:rPr>
                    </w:r>
                    <w:r>
                      <w:rPr>
                        <w:noProof/>
                        <w:webHidden/>
                      </w:rPr>
                      <w:fldChar w:fldCharType="separate"/>
                    </w:r>
                    <w:r w:rsidR="00CF1825">
                      <w:rPr>
                        <w:noProof/>
                        <w:webHidden/>
                      </w:rPr>
                      <w:t>18</w:t>
                    </w:r>
                    <w:r>
                      <w:rPr>
                        <w:noProof/>
                        <w:webHidden/>
                      </w:rPr>
                      <w:fldChar w:fldCharType="end"/>
                    </w:r>
                  </w:hyperlink>
                </w:p>
                <w:p w:rsidR="00CF1825" w:rsidRDefault="00D1545C">
                  <w:pPr>
                    <w:pStyle w:val="21"/>
                    <w:rPr>
                      <w:rFonts w:asciiTheme="minorHAnsi" w:eastAsiaTheme="minorEastAsia" w:hAnsiTheme="minorHAnsi" w:cstheme="minorBidi"/>
                      <w:b w:val="0"/>
                      <w:smallCaps w:val="0"/>
                      <w:noProof/>
                      <w:color w:val="auto"/>
                      <w:sz w:val="21"/>
                      <w:szCs w:val="22"/>
                    </w:rPr>
                  </w:pPr>
                  <w:hyperlink w:anchor="_Toc12625785" w:history="1">
                    <w:r w:rsidR="00CF1825" w:rsidRPr="001634E5">
                      <w:rPr>
                        <w:rStyle w:val="af0"/>
                        <w:rFonts w:asciiTheme="minorEastAsia" w:hAnsiTheme="minorEastAsia"/>
                        <w:noProof/>
                      </w:rPr>
                      <w:t>2.4</w:t>
                    </w:r>
                    <w:r w:rsidR="00CF1825" w:rsidRPr="001634E5">
                      <w:rPr>
                        <w:rStyle w:val="af0"/>
                        <w:rFonts w:asciiTheme="minorEastAsia" w:hAnsiTheme="minorEastAsia" w:hint="eastAsia"/>
                        <w:noProof/>
                      </w:rPr>
                      <w:t>山东地炼石脑油价格走势图</w:t>
                    </w:r>
                    <w:r w:rsidR="00CF1825">
                      <w:rPr>
                        <w:noProof/>
                        <w:webHidden/>
                      </w:rPr>
                      <w:tab/>
                    </w:r>
                    <w:r>
                      <w:rPr>
                        <w:noProof/>
                        <w:webHidden/>
                      </w:rPr>
                      <w:fldChar w:fldCharType="begin"/>
                    </w:r>
                    <w:r w:rsidR="00CF1825">
                      <w:rPr>
                        <w:noProof/>
                        <w:webHidden/>
                      </w:rPr>
                      <w:instrText xml:space="preserve"> PAGEREF _Toc12625785 \h </w:instrText>
                    </w:r>
                    <w:r>
                      <w:rPr>
                        <w:noProof/>
                        <w:webHidden/>
                      </w:rPr>
                    </w:r>
                    <w:r>
                      <w:rPr>
                        <w:noProof/>
                        <w:webHidden/>
                      </w:rPr>
                      <w:fldChar w:fldCharType="separate"/>
                    </w:r>
                    <w:r w:rsidR="00CF1825">
                      <w:rPr>
                        <w:noProof/>
                        <w:webHidden/>
                      </w:rPr>
                      <w:t>20</w:t>
                    </w:r>
                    <w:r>
                      <w:rPr>
                        <w:noProof/>
                        <w:webHidden/>
                      </w:rPr>
                      <w:fldChar w:fldCharType="end"/>
                    </w:r>
                  </w:hyperlink>
                </w:p>
                <w:p w:rsidR="00CF1825" w:rsidRDefault="00D1545C">
                  <w:pPr>
                    <w:pStyle w:val="10"/>
                    <w:rPr>
                      <w:rFonts w:asciiTheme="minorHAnsi" w:eastAsiaTheme="minorEastAsia" w:hAnsiTheme="minorHAnsi" w:cstheme="minorBidi"/>
                      <w:b w:val="0"/>
                      <w:bCs w:val="0"/>
                      <w:caps w:val="0"/>
                      <w:noProof/>
                      <w:color w:val="auto"/>
                      <w:sz w:val="21"/>
                      <w:szCs w:val="22"/>
                    </w:rPr>
                  </w:pPr>
                  <w:hyperlink w:anchor="_Toc12625786" w:history="1">
                    <w:r w:rsidR="00CF1825" w:rsidRPr="001634E5">
                      <w:rPr>
                        <w:rStyle w:val="af0"/>
                        <w:rFonts w:ascii="黑体" w:eastAsia="黑体" w:hint="eastAsia"/>
                        <w:noProof/>
                      </w:rPr>
                      <w:t>三、本周国内油品市场分析及预测</w:t>
                    </w:r>
                    <w:r w:rsidR="00CF1825">
                      <w:rPr>
                        <w:noProof/>
                        <w:webHidden/>
                      </w:rPr>
                      <w:tab/>
                    </w:r>
                    <w:r>
                      <w:rPr>
                        <w:noProof/>
                        <w:webHidden/>
                      </w:rPr>
                      <w:fldChar w:fldCharType="begin"/>
                    </w:r>
                    <w:r w:rsidR="00CF1825">
                      <w:rPr>
                        <w:noProof/>
                        <w:webHidden/>
                      </w:rPr>
                      <w:instrText xml:space="preserve"> PAGEREF _Toc12625786 \h </w:instrText>
                    </w:r>
                    <w:r>
                      <w:rPr>
                        <w:noProof/>
                        <w:webHidden/>
                      </w:rPr>
                    </w:r>
                    <w:r>
                      <w:rPr>
                        <w:noProof/>
                        <w:webHidden/>
                      </w:rPr>
                      <w:fldChar w:fldCharType="separate"/>
                    </w:r>
                    <w:r w:rsidR="00CF1825">
                      <w:rPr>
                        <w:noProof/>
                        <w:webHidden/>
                      </w:rPr>
                      <w:t>21</w:t>
                    </w:r>
                    <w:r>
                      <w:rPr>
                        <w:noProof/>
                        <w:webHidden/>
                      </w:rPr>
                      <w:fldChar w:fldCharType="end"/>
                    </w:r>
                  </w:hyperlink>
                </w:p>
                <w:p w:rsidR="00CF1825" w:rsidRDefault="00D1545C">
                  <w:pPr>
                    <w:pStyle w:val="10"/>
                    <w:rPr>
                      <w:rFonts w:asciiTheme="minorHAnsi" w:eastAsiaTheme="minorEastAsia" w:hAnsiTheme="minorHAnsi" w:cstheme="minorBidi"/>
                      <w:b w:val="0"/>
                      <w:bCs w:val="0"/>
                      <w:caps w:val="0"/>
                      <w:noProof/>
                      <w:color w:val="auto"/>
                      <w:sz w:val="21"/>
                      <w:szCs w:val="22"/>
                    </w:rPr>
                  </w:pPr>
                  <w:hyperlink w:anchor="_Toc12625787" w:history="1">
                    <w:r w:rsidR="00CF1825" w:rsidRPr="001634E5">
                      <w:rPr>
                        <w:rStyle w:val="af0"/>
                        <w:rFonts w:asciiTheme="minorEastAsia" w:hAnsiTheme="minorEastAsia"/>
                        <w:noProof/>
                      </w:rPr>
                      <w:t>3</w:t>
                    </w:r>
                    <w:r w:rsidR="00CF1825" w:rsidRPr="001634E5">
                      <w:rPr>
                        <w:rStyle w:val="af0"/>
                        <w:rFonts w:asciiTheme="minorEastAsia" w:hAnsiTheme="minorEastAsia" w:hint="eastAsia"/>
                        <w:noProof/>
                      </w:rPr>
                      <w:t>．</w:t>
                    </w:r>
                    <w:r w:rsidR="00CF1825" w:rsidRPr="001634E5">
                      <w:rPr>
                        <w:rStyle w:val="af0"/>
                        <w:rFonts w:asciiTheme="minorEastAsia" w:hAnsiTheme="minorEastAsia"/>
                        <w:noProof/>
                      </w:rPr>
                      <w:t xml:space="preserve">1  </w:t>
                    </w:r>
                    <w:r w:rsidR="00CF1825" w:rsidRPr="001634E5">
                      <w:rPr>
                        <w:rStyle w:val="af0"/>
                        <w:rFonts w:asciiTheme="minorEastAsia" w:hAnsiTheme="minorEastAsia" w:hint="eastAsia"/>
                        <w:noProof/>
                      </w:rPr>
                      <w:t>成品油市场动态</w:t>
                    </w:r>
                    <w:r w:rsidR="00CF1825">
                      <w:rPr>
                        <w:noProof/>
                        <w:webHidden/>
                      </w:rPr>
                      <w:tab/>
                    </w:r>
                    <w:r>
                      <w:rPr>
                        <w:noProof/>
                        <w:webHidden/>
                      </w:rPr>
                      <w:fldChar w:fldCharType="begin"/>
                    </w:r>
                    <w:r w:rsidR="00CF1825">
                      <w:rPr>
                        <w:noProof/>
                        <w:webHidden/>
                      </w:rPr>
                      <w:instrText xml:space="preserve"> PAGEREF _Toc12625787 \h </w:instrText>
                    </w:r>
                    <w:r>
                      <w:rPr>
                        <w:noProof/>
                        <w:webHidden/>
                      </w:rPr>
                    </w:r>
                    <w:r>
                      <w:rPr>
                        <w:noProof/>
                        <w:webHidden/>
                      </w:rPr>
                      <w:fldChar w:fldCharType="separate"/>
                    </w:r>
                    <w:r w:rsidR="00CF1825">
                      <w:rPr>
                        <w:noProof/>
                        <w:webHidden/>
                      </w:rPr>
                      <w:t>21</w:t>
                    </w:r>
                    <w:r>
                      <w:rPr>
                        <w:noProof/>
                        <w:webHidden/>
                      </w:rPr>
                      <w:fldChar w:fldCharType="end"/>
                    </w:r>
                  </w:hyperlink>
                </w:p>
                <w:p w:rsidR="00CF1825" w:rsidRDefault="00D1545C">
                  <w:pPr>
                    <w:pStyle w:val="10"/>
                    <w:rPr>
                      <w:rFonts w:asciiTheme="minorHAnsi" w:eastAsiaTheme="minorEastAsia" w:hAnsiTheme="minorHAnsi" w:cstheme="minorBidi"/>
                      <w:b w:val="0"/>
                      <w:bCs w:val="0"/>
                      <w:caps w:val="0"/>
                      <w:noProof/>
                      <w:color w:val="auto"/>
                      <w:sz w:val="21"/>
                      <w:szCs w:val="22"/>
                    </w:rPr>
                  </w:pPr>
                  <w:hyperlink w:anchor="_Toc12625788" w:history="1">
                    <w:r w:rsidR="00CF1825" w:rsidRPr="001634E5">
                      <w:rPr>
                        <w:rStyle w:val="af0"/>
                        <w:rFonts w:ascii="黑体" w:eastAsia="黑体" w:hint="eastAsia"/>
                        <w:noProof/>
                      </w:rPr>
                      <w:t>四、国内溶剂油市场综述</w:t>
                    </w:r>
                    <w:r w:rsidR="00CF1825">
                      <w:rPr>
                        <w:noProof/>
                        <w:webHidden/>
                      </w:rPr>
                      <w:tab/>
                    </w:r>
                    <w:r>
                      <w:rPr>
                        <w:noProof/>
                        <w:webHidden/>
                      </w:rPr>
                      <w:fldChar w:fldCharType="begin"/>
                    </w:r>
                    <w:r w:rsidR="00CF1825">
                      <w:rPr>
                        <w:noProof/>
                        <w:webHidden/>
                      </w:rPr>
                      <w:instrText xml:space="preserve"> PAGEREF _Toc12625788 \h </w:instrText>
                    </w:r>
                    <w:r>
                      <w:rPr>
                        <w:noProof/>
                        <w:webHidden/>
                      </w:rPr>
                    </w:r>
                    <w:r>
                      <w:rPr>
                        <w:noProof/>
                        <w:webHidden/>
                      </w:rPr>
                      <w:fldChar w:fldCharType="separate"/>
                    </w:r>
                    <w:r w:rsidR="00CF1825">
                      <w:rPr>
                        <w:noProof/>
                        <w:webHidden/>
                      </w:rPr>
                      <w:t>24</w:t>
                    </w:r>
                    <w:r>
                      <w:rPr>
                        <w:noProof/>
                        <w:webHidden/>
                      </w:rPr>
                      <w:fldChar w:fldCharType="end"/>
                    </w:r>
                  </w:hyperlink>
                </w:p>
                <w:p w:rsidR="00CF1825" w:rsidRDefault="00D1545C">
                  <w:pPr>
                    <w:pStyle w:val="10"/>
                    <w:rPr>
                      <w:rFonts w:asciiTheme="minorHAnsi" w:eastAsiaTheme="minorEastAsia" w:hAnsiTheme="minorHAnsi" w:cstheme="minorBidi"/>
                      <w:b w:val="0"/>
                      <w:bCs w:val="0"/>
                      <w:caps w:val="0"/>
                      <w:noProof/>
                      <w:color w:val="auto"/>
                      <w:sz w:val="21"/>
                      <w:szCs w:val="22"/>
                    </w:rPr>
                  </w:pPr>
                  <w:hyperlink w:anchor="_Toc12625789" w:history="1">
                    <w:r w:rsidR="00CF1825" w:rsidRPr="001634E5">
                      <w:rPr>
                        <w:rStyle w:val="af0"/>
                        <w:rFonts w:ascii="黑体" w:hint="eastAsia"/>
                        <w:noProof/>
                      </w:rPr>
                      <w:t>五、本周国内炼厂溶剂油产品价格对比</w:t>
                    </w:r>
                    <w:r w:rsidR="00CF1825">
                      <w:rPr>
                        <w:noProof/>
                        <w:webHidden/>
                      </w:rPr>
                      <w:tab/>
                    </w:r>
                    <w:r>
                      <w:rPr>
                        <w:noProof/>
                        <w:webHidden/>
                      </w:rPr>
                      <w:fldChar w:fldCharType="begin"/>
                    </w:r>
                    <w:r w:rsidR="00CF1825">
                      <w:rPr>
                        <w:noProof/>
                        <w:webHidden/>
                      </w:rPr>
                      <w:instrText xml:space="preserve"> PAGEREF _Toc12625789 \h </w:instrText>
                    </w:r>
                    <w:r>
                      <w:rPr>
                        <w:noProof/>
                        <w:webHidden/>
                      </w:rPr>
                    </w:r>
                    <w:r>
                      <w:rPr>
                        <w:noProof/>
                        <w:webHidden/>
                      </w:rPr>
                      <w:fldChar w:fldCharType="separate"/>
                    </w:r>
                    <w:r w:rsidR="00CF1825">
                      <w:rPr>
                        <w:noProof/>
                        <w:webHidden/>
                      </w:rPr>
                      <w:t>25</w:t>
                    </w:r>
                    <w:r>
                      <w:rPr>
                        <w:noProof/>
                        <w:webHidden/>
                      </w:rPr>
                      <w:fldChar w:fldCharType="end"/>
                    </w:r>
                  </w:hyperlink>
                </w:p>
                <w:p w:rsidR="00CF1825" w:rsidRDefault="00D1545C">
                  <w:pPr>
                    <w:pStyle w:val="10"/>
                    <w:rPr>
                      <w:rFonts w:asciiTheme="minorHAnsi" w:eastAsiaTheme="minorEastAsia" w:hAnsiTheme="minorHAnsi" w:cstheme="minorBidi"/>
                      <w:b w:val="0"/>
                      <w:bCs w:val="0"/>
                      <w:caps w:val="0"/>
                      <w:noProof/>
                      <w:color w:val="auto"/>
                      <w:sz w:val="21"/>
                      <w:szCs w:val="22"/>
                    </w:rPr>
                  </w:pPr>
                  <w:hyperlink w:anchor="_Toc12625790" w:history="1">
                    <w:r w:rsidR="00CF1825" w:rsidRPr="001634E5">
                      <w:rPr>
                        <w:rStyle w:val="af0"/>
                        <w:rFonts w:ascii="黑体" w:hint="eastAsia"/>
                        <w:noProof/>
                      </w:rPr>
                      <w:t>六、</w:t>
                    </w:r>
                    <w:r w:rsidR="00CF1825" w:rsidRPr="001634E5">
                      <w:rPr>
                        <w:rStyle w:val="af0"/>
                        <w:rFonts w:ascii="黑体"/>
                        <w:noProof/>
                      </w:rPr>
                      <w:t>D</w:t>
                    </w:r>
                    <w:r w:rsidR="00CF1825" w:rsidRPr="001634E5">
                      <w:rPr>
                        <w:rStyle w:val="af0"/>
                        <w:rFonts w:ascii="黑体" w:hint="eastAsia"/>
                        <w:noProof/>
                      </w:rPr>
                      <w:t>系列特种溶剂油</w:t>
                    </w:r>
                    <w:r w:rsidR="00CF1825">
                      <w:rPr>
                        <w:noProof/>
                        <w:webHidden/>
                      </w:rPr>
                      <w:tab/>
                    </w:r>
                    <w:r>
                      <w:rPr>
                        <w:noProof/>
                        <w:webHidden/>
                      </w:rPr>
                      <w:fldChar w:fldCharType="begin"/>
                    </w:r>
                    <w:r w:rsidR="00CF1825">
                      <w:rPr>
                        <w:noProof/>
                        <w:webHidden/>
                      </w:rPr>
                      <w:instrText xml:space="preserve"> PAGEREF _Toc12625790 \h </w:instrText>
                    </w:r>
                    <w:r>
                      <w:rPr>
                        <w:noProof/>
                        <w:webHidden/>
                      </w:rPr>
                    </w:r>
                    <w:r>
                      <w:rPr>
                        <w:noProof/>
                        <w:webHidden/>
                      </w:rPr>
                      <w:fldChar w:fldCharType="separate"/>
                    </w:r>
                    <w:r w:rsidR="00CF1825">
                      <w:rPr>
                        <w:noProof/>
                        <w:webHidden/>
                      </w:rPr>
                      <w:t>36</w:t>
                    </w:r>
                    <w:r>
                      <w:rPr>
                        <w:noProof/>
                        <w:webHidden/>
                      </w:rPr>
                      <w:fldChar w:fldCharType="end"/>
                    </w:r>
                  </w:hyperlink>
                </w:p>
                <w:p w:rsidR="00CF1825" w:rsidRDefault="00D1545C">
                  <w:pPr>
                    <w:pStyle w:val="10"/>
                    <w:rPr>
                      <w:rFonts w:asciiTheme="minorHAnsi" w:eastAsiaTheme="minorEastAsia" w:hAnsiTheme="minorHAnsi" w:cstheme="minorBidi"/>
                      <w:b w:val="0"/>
                      <w:bCs w:val="0"/>
                      <w:caps w:val="0"/>
                      <w:noProof/>
                      <w:color w:val="auto"/>
                      <w:sz w:val="21"/>
                      <w:szCs w:val="22"/>
                    </w:rPr>
                  </w:pPr>
                  <w:hyperlink w:anchor="_Toc12625791" w:history="1">
                    <w:r w:rsidR="00CF1825" w:rsidRPr="001634E5">
                      <w:rPr>
                        <w:rStyle w:val="af0"/>
                        <w:rFonts w:ascii="华文仿宋" w:eastAsia="华文仿宋" w:hAnsi="华文仿宋" w:hint="eastAsia"/>
                        <w:noProof/>
                      </w:rPr>
                      <w:t>七、重芳烃溶剂油</w:t>
                    </w:r>
                    <w:r w:rsidR="00CF1825">
                      <w:rPr>
                        <w:noProof/>
                        <w:webHidden/>
                      </w:rPr>
                      <w:tab/>
                    </w:r>
                    <w:r>
                      <w:rPr>
                        <w:noProof/>
                        <w:webHidden/>
                      </w:rPr>
                      <w:fldChar w:fldCharType="begin"/>
                    </w:r>
                    <w:r w:rsidR="00CF1825">
                      <w:rPr>
                        <w:noProof/>
                        <w:webHidden/>
                      </w:rPr>
                      <w:instrText xml:space="preserve"> PAGEREF _Toc12625791 \h </w:instrText>
                    </w:r>
                    <w:r>
                      <w:rPr>
                        <w:noProof/>
                        <w:webHidden/>
                      </w:rPr>
                    </w:r>
                    <w:r>
                      <w:rPr>
                        <w:noProof/>
                        <w:webHidden/>
                      </w:rPr>
                      <w:fldChar w:fldCharType="separate"/>
                    </w:r>
                    <w:r w:rsidR="00CF1825">
                      <w:rPr>
                        <w:noProof/>
                        <w:webHidden/>
                      </w:rPr>
                      <w:t>40</w:t>
                    </w:r>
                    <w:r>
                      <w:rPr>
                        <w:noProof/>
                        <w:webHidden/>
                      </w:rPr>
                      <w:fldChar w:fldCharType="end"/>
                    </w:r>
                  </w:hyperlink>
                </w:p>
                <w:p w:rsidR="00CF1825" w:rsidRDefault="00D1545C">
                  <w:pPr>
                    <w:pStyle w:val="10"/>
                    <w:rPr>
                      <w:rFonts w:asciiTheme="minorHAnsi" w:eastAsiaTheme="minorEastAsia" w:hAnsiTheme="minorHAnsi" w:cstheme="minorBidi"/>
                      <w:b w:val="0"/>
                      <w:bCs w:val="0"/>
                      <w:caps w:val="0"/>
                      <w:noProof/>
                      <w:color w:val="auto"/>
                      <w:sz w:val="21"/>
                      <w:szCs w:val="22"/>
                    </w:rPr>
                  </w:pPr>
                  <w:hyperlink w:anchor="_Toc12625792" w:history="1">
                    <w:r w:rsidR="00CF1825" w:rsidRPr="001634E5">
                      <w:rPr>
                        <w:rStyle w:val="af0"/>
                        <w:rFonts w:ascii="华文仿宋" w:eastAsia="华文仿宋" w:hAnsi="华文仿宋" w:hint="eastAsia"/>
                        <w:noProof/>
                      </w:rPr>
                      <w:t>八、正己烷</w:t>
                    </w:r>
                    <w:r w:rsidR="00CF1825">
                      <w:rPr>
                        <w:noProof/>
                        <w:webHidden/>
                      </w:rPr>
                      <w:tab/>
                    </w:r>
                    <w:r>
                      <w:rPr>
                        <w:noProof/>
                        <w:webHidden/>
                      </w:rPr>
                      <w:fldChar w:fldCharType="begin"/>
                    </w:r>
                    <w:r w:rsidR="00CF1825">
                      <w:rPr>
                        <w:noProof/>
                        <w:webHidden/>
                      </w:rPr>
                      <w:instrText xml:space="preserve"> PAGEREF _Toc12625792 \h </w:instrText>
                    </w:r>
                    <w:r>
                      <w:rPr>
                        <w:noProof/>
                        <w:webHidden/>
                      </w:rPr>
                    </w:r>
                    <w:r>
                      <w:rPr>
                        <w:noProof/>
                        <w:webHidden/>
                      </w:rPr>
                      <w:fldChar w:fldCharType="separate"/>
                    </w:r>
                    <w:r w:rsidR="00CF1825">
                      <w:rPr>
                        <w:noProof/>
                        <w:webHidden/>
                      </w:rPr>
                      <w:t>46</w:t>
                    </w:r>
                    <w:r>
                      <w:rPr>
                        <w:noProof/>
                        <w:webHidden/>
                      </w:rPr>
                      <w:fldChar w:fldCharType="end"/>
                    </w:r>
                  </w:hyperlink>
                </w:p>
                <w:p w:rsidR="00CF1825" w:rsidRDefault="00D1545C">
                  <w:pPr>
                    <w:pStyle w:val="10"/>
                    <w:rPr>
                      <w:rFonts w:asciiTheme="minorHAnsi" w:eastAsiaTheme="minorEastAsia" w:hAnsiTheme="minorHAnsi" w:cstheme="minorBidi"/>
                      <w:b w:val="0"/>
                      <w:bCs w:val="0"/>
                      <w:caps w:val="0"/>
                      <w:noProof/>
                      <w:color w:val="auto"/>
                      <w:sz w:val="21"/>
                      <w:szCs w:val="22"/>
                    </w:rPr>
                  </w:pPr>
                  <w:hyperlink w:anchor="_Toc12625793" w:history="1">
                    <w:r w:rsidR="00CF1825" w:rsidRPr="001634E5">
                      <w:rPr>
                        <w:rStyle w:val="af0"/>
                        <w:rFonts w:ascii="华文仿宋" w:eastAsia="华文仿宋" w:hAnsi="华文仿宋" w:hint="eastAsia"/>
                        <w:noProof/>
                      </w:rPr>
                      <w:t>九、</w:t>
                    </w:r>
                    <w:r w:rsidR="00CF1825" w:rsidRPr="001634E5">
                      <w:rPr>
                        <w:rStyle w:val="af0"/>
                        <w:rFonts w:ascii="华文仿宋" w:eastAsia="华文仿宋" w:hAnsi="华文仿宋"/>
                        <w:noProof/>
                      </w:rPr>
                      <w:t>2018</w:t>
                    </w:r>
                    <w:r w:rsidR="00CF1825" w:rsidRPr="001634E5">
                      <w:rPr>
                        <w:rStyle w:val="af0"/>
                        <w:rFonts w:ascii="华文仿宋" w:eastAsia="华文仿宋" w:hAnsi="华文仿宋" w:hint="eastAsia"/>
                        <w:noProof/>
                      </w:rPr>
                      <w:t>年</w:t>
                    </w:r>
                    <w:r w:rsidR="00CF1825" w:rsidRPr="001634E5">
                      <w:rPr>
                        <w:rStyle w:val="af0"/>
                        <w:rFonts w:ascii="华文仿宋" w:eastAsia="华文仿宋" w:hAnsi="华文仿宋"/>
                        <w:noProof/>
                      </w:rPr>
                      <w:t>11</w:t>
                    </w:r>
                    <w:r w:rsidR="00CF1825" w:rsidRPr="001634E5">
                      <w:rPr>
                        <w:rStyle w:val="af0"/>
                        <w:rFonts w:ascii="华文仿宋" w:eastAsia="华文仿宋" w:hAnsi="华文仿宋" w:hint="eastAsia"/>
                        <w:noProof/>
                      </w:rPr>
                      <w:t>月中国溶剂油进出口数据统计</w:t>
                    </w:r>
                    <w:r w:rsidR="00CF1825">
                      <w:rPr>
                        <w:noProof/>
                        <w:webHidden/>
                      </w:rPr>
                      <w:tab/>
                    </w:r>
                    <w:r>
                      <w:rPr>
                        <w:noProof/>
                        <w:webHidden/>
                      </w:rPr>
                      <w:fldChar w:fldCharType="begin"/>
                    </w:r>
                    <w:r w:rsidR="00CF1825">
                      <w:rPr>
                        <w:noProof/>
                        <w:webHidden/>
                      </w:rPr>
                      <w:instrText xml:space="preserve"> PAGEREF _Toc12625793 \h </w:instrText>
                    </w:r>
                    <w:r>
                      <w:rPr>
                        <w:noProof/>
                        <w:webHidden/>
                      </w:rPr>
                    </w:r>
                    <w:r>
                      <w:rPr>
                        <w:noProof/>
                        <w:webHidden/>
                      </w:rPr>
                      <w:fldChar w:fldCharType="separate"/>
                    </w:r>
                    <w:r w:rsidR="00CF1825">
                      <w:rPr>
                        <w:noProof/>
                        <w:webHidden/>
                      </w:rPr>
                      <w:t>48</w:t>
                    </w:r>
                    <w:r>
                      <w:rPr>
                        <w:noProof/>
                        <w:webHidden/>
                      </w:rPr>
                      <w:fldChar w:fldCharType="end"/>
                    </w:r>
                  </w:hyperlink>
                </w:p>
                <w:p w:rsidR="006D1B6F" w:rsidRDefault="00D1545C">
                  <w:r>
                    <w:rPr>
                      <w:rFonts w:ascii="宋体" w:hAnsi="宋体"/>
                    </w:rPr>
                    <w:fldChar w:fldCharType="end"/>
                  </w:r>
                </w:p>
              </w:txbxContent>
            </v:textbox>
          </v:shape>
        </w:pict>
      </w:r>
      <w:r w:rsidR="004F4F55">
        <w:br w:type="page"/>
      </w:r>
      <w:bookmarkStart w:id="2" w:name="_Toc10115987"/>
      <w:bookmarkStart w:id="3" w:name="_Toc12625682"/>
      <w:bookmarkStart w:id="4" w:name="_Toc12625773"/>
      <w:bookmarkStart w:id="5" w:name="_Toc536797012"/>
      <w:bookmarkStart w:id="6" w:name="_Toc505350007"/>
      <w:bookmarkStart w:id="7" w:name="_Toc296600809"/>
      <w:bookmarkStart w:id="8" w:name="_Toc281568199"/>
      <w:bookmarkStart w:id="9" w:name="_Toc158203127"/>
      <w:bookmarkStart w:id="10" w:name="_Toc239847712"/>
      <w:bookmarkStart w:id="11" w:name="_Toc485828984"/>
      <w:bookmarkStart w:id="12" w:name="_Toc5976969"/>
      <w:bookmarkEnd w:id="1"/>
      <w:r w:rsidR="0004192E" w:rsidRPr="0004192E">
        <w:rPr>
          <w:rFonts w:ascii="黑体" w:eastAsia="黑体" w:hAnsi="宋体" w:cs="Arial" w:hint="eastAsia"/>
          <w:b/>
          <w:bCs/>
          <w:kern w:val="0"/>
          <w:sz w:val="30"/>
          <w:szCs w:val="30"/>
        </w:rPr>
        <w:lastRenderedPageBreak/>
        <w:t>一、</w:t>
      </w:r>
      <w:r w:rsidR="0004192E">
        <w:rPr>
          <w:rFonts w:ascii="黑体" w:eastAsia="黑体" w:hAnsi="宋体" w:cs="Arial" w:hint="eastAsia"/>
          <w:b/>
          <w:bCs/>
          <w:kern w:val="0"/>
          <w:sz w:val="30"/>
          <w:szCs w:val="30"/>
        </w:rPr>
        <w:t>国际原油市场回顾</w:t>
      </w:r>
      <w:bookmarkEnd w:id="2"/>
      <w:bookmarkEnd w:id="3"/>
      <w:bookmarkEnd w:id="4"/>
      <w:r w:rsidR="0004192E">
        <w:rPr>
          <w:rFonts w:ascii="宋体" w:eastAsia="黑体" w:hAnsi="宋体" w:cs="Arial" w:hint="eastAsia"/>
          <w:b/>
          <w:bCs/>
          <w:kern w:val="0"/>
          <w:sz w:val="30"/>
          <w:szCs w:val="30"/>
        </w:rPr>
        <w:t> </w:t>
      </w:r>
    </w:p>
    <w:p w:rsidR="0000362D" w:rsidRDefault="0000362D" w:rsidP="0000362D">
      <w:pPr>
        <w:widowControl/>
        <w:numPr>
          <w:ilvl w:val="0"/>
          <w:numId w:val="1"/>
        </w:numPr>
        <w:tabs>
          <w:tab w:val="num" w:pos="312"/>
        </w:tabs>
        <w:wordWrap w:val="0"/>
        <w:spacing w:after="90" w:line="288" w:lineRule="auto"/>
        <w:ind w:firstLine="238"/>
        <w:jc w:val="left"/>
        <w:outlineLvl w:val="1"/>
        <w:rPr>
          <w:rFonts w:ascii="宋体" w:hAnsi="宋体" w:cs="Arial"/>
          <w:b/>
          <w:kern w:val="0"/>
          <w:sz w:val="30"/>
          <w:szCs w:val="30"/>
        </w:rPr>
      </w:pPr>
      <w:bookmarkStart w:id="13" w:name="_Toc13730536"/>
      <w:r>
        <w:rPr>
          <w:rFonts w:ascii="宋体" w:hAnsi="宋体" w:cs="Arial" w:hint="eastAsia"/>
          <w:b/>
          <w:kern w:val="0"/>
          <w:sz w:val="30"/>
          <w:szCs w:val="30"/>
        </w:rPr>
        <w:t>国际原油收盘价涨跌情况（单位：美元/桶）</w:t>
      </w:r>
      <w:bookmarkEnd w:id="13"/>
    </w:p>
    <w:tbl>
      <w:tblPr>
        <w:tblW w:w="8662" w:type="dxa"/>
        <w:tblLayout w:type="fixed"/>
        <w:tblCellMar>
          <w:top w:w="15" w:type="dxa"/>
          <w:left w:w="15" w:type="dxa"/>
          <w:bottom w:w="15" w:type="dxa"/>
          <w:right w:w="15" w:type="dxa"/>
        </w:tblCellMar>
        <w:tblLook w:val="0000"/>
      </w:tblPr>
      <w:tblGrid>
        <w:gridCol w:w="1291"/>
        <w:gridCol w:w="709"/>
        <w:gridCol w:w="709"/>
        <w:gridCol w:w="5953"/>
      </w:tblGrid>
      <w:tr w:rsidR="0000362D" w:rsidTr="004A7D76">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0362D" w:rsidRDefault="0000362D" w:rsidP="004A7D76">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日期</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0362D" w:rsidRDefault="0000362D" w:rsidP="004A7D76">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纽交所</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0362D" w:rsidRDefault="0000362D" w:rsidP="004A7D76">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伦交所</w:t>
            </w:r>
          </w:p>
        </w:tc>
        <w:tc>
          <w:tcPr>
            <w:tcW w:w="595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0362D" w:rsidRDefault="0000362D" w:rsidP="004A7D76">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影响因素</w:t>
            </w:r>
          </w:p>
        </w:tc>
      </w:tr>
      <w:tr w:rsidR="0000362D" w:rsidTr="004A7D76">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0362D" w:rsidRDefault="0000362D" w:rsidP="004A7D76">
            <w:pPr>
              <w:jc w:val="center"/>
              <w:rPr>
                <w:rFonts w:ascii="华文仿宋" w:eastAsia="华文仿宋" w:hAnsi="华文仿宋" w:cs="华文仿宋"/>
                <w:color w:val="000000"/>
                <w:sz w:val="28"/>
                <w:szCs w:val="28"/>
              </w:rPr>
            </w:pPr>
            <w:r>
              <w:rPr>
                <w:rFonts w:ascii="华文仿宋" w:eastAsia="华文仿宋" w:hAnsi="华文仿宋" w:cs="华文仿宋" w:hint="eastAsia"/>
                <w:color w:val="000000"/>
                <w:sz w:val="28"/>
                <w:szCs w:val="28"/>
              </w:rPr>
              <w:t>2019-7-10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0362D" w:rsidRPr="0023321A" w:rsidRDefault="0000362D" w:rsidP="004A7D76">
            <w:pPr>
              <w:jc w:val="center"/>
              <w:rPr>
                <w:rFonts w:ascii="华文仿宋" w:eastAsia="华文仿宋" w:hAnsi="华文仿宋" w:cs="华文仿宋"/>
                <w:color w:val="000000"/>
                <w:sz w:val="28"/>
                <w:szCs w:val="28"/>
              </w:rPr>
            </w:pPr>
            <w:r w:rsidRPr="0023321A">
              <w:rPr>
                <w:rFonts w:ascii="华文仿宋" w:eastAsia="华文仿宋" w:hAnsi="华文仿宋" w:cs="华文仿宋" w:hint="eastAsia"/>
                <w:color w:val="000000"/>
                <w:sz w:val="28"/>
                <w:szCs w:val="28"/>
              </w:rPr>
              <w:t>60.43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0362D" w:rsidRPr="0023321A" w:rsidRDefault="0000362D" w:rsidP="004A7D76">
            <w:pPr>
              <w:jc w:val="center"/>
              <w:rPr>
                <w:rFonts w:ascii="华文仿宋" w:eastAsia="华文仿宋" w:hAnsi="华文仿宋" w:cs="华文仿宋"/>
                <w:color w:val="000000"/>
                <w:sz w:val="28"/>
                <w:szCs w:val="28"/>
              </w:rPr>
            </w:pPr>
            <w:r w:rsidRPr="0023321A">
              <w:rPr>
                <w:rFonts w:ascii="华文仿宋" w:eastAsia="华文仿宋" w:hAnsi="华文仿宋" w:cs="华文仿宋" w:hint="eastAsia"/>
                <w:color w:val="000000"/>
                <w:sz w:val="28"/>
                <w:szCs w:val="28"/>
              </w:rPr>
              <w:t>67.01</w:t>
            </w:r>
          </w:p>
        </w:tc>
        <w:tc>
          <w:tcPr>
            <w:tcW w:w="5953" w:type="dxa"/>
            <w:tcBorders>
              <w:top w:val="single" w:sz="4" w:space="0" w:color="000000"/>
              <w:left w:val="single" w:sz="4" w:space="0" w:color="000000"/>
              <w:bottom w:val="single" w:sz="4" w:space="0" w:color="000000"/>
              <w:right w:val="single" w:sz="4" w:space="0" w:color="000000"/>
            </w:tcBorders>
            <w:vAlign w:val="center"/>
          </w:tcPr>
          <w:p w:rsidR="0000362D" w:rsidRDefault="0000362D" w:rsidP="004A7D76">
            <w:pPr>
              <w:rPr>
                <w:rFonts w:ascii="华文仿宋" w:eastAsia="华文仿宋" w:hAnsi="华文仿宋" w:cs="华文仿宋"/>
                <w:color w:val="000000"/>
                <w:sz w:val="28"/>
                <w:szCs w:val="28"/>
              </w:rPr>
            </w:pPr>
            <w:r w:rsidRPr="00AA42E5">
              <w:rPr>
                <w:rFonts w:ascii="华文仿宋" w:eastAsia="华文仿宋" w:hAnsi="华文仿宋" w:cs="华文仿宋" w:hint="eastAsia"/>
                <w:color w:val="333335"/>
                <w:sz w:val="28"/>
                <w:szCs w:val="28"/>
                <w:shd w:val="clear" w:color="auto" w:fill="FFFFFF"/>
              </w:rPr>
              <w:t>美国原油库存骤降提振油价大涨，而美国墨西哥湾因飓风影响石油产量下降也支撑油价，油价飙升4%至近一个月高位</w:t>
            </w:r>
            <w:r>
              <w:rPr>
                <w:rFonts w:ascii="华文仿宋" w:eastAsia="华文仿宋" w:hAnsi="华文仿宋" w:cs="华文仿宋" w:hint="eastAsia"/>
                <w:color w:val="333335"/>
                <w:sz w:val="28"/>
                <w:szCs w:val="28"/>
                <w:shd w:val="clear" w:color="auto" w:fill="FFFFFF"/>
              </w:rPr>
              <w:t>。</w:t>
            </w:r>
          </w:p>
        </w:tc>
      </w:tr>
      <w:tr w:rsidR="0000362D" w:rsidTr="004A7D76">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0362D" w:rsidRDefault="0000362D" w:rsidP="004A7D76">
            <w:pPr>
              <w:jc w:val="center"/>
              <w:rPr>
                <w:rFonts w:ascii="华文仿宋" w:eastAsia="华文仿宋" w:hAnsi="华文仿宋" w:cs="华文仿宋"/>
                <w:color w:val="000000"/>
                <w:sz w:val="28"/>
                <w:szCs w:val="28"/>
              </w:rPr>
            </w:pPr>
            <w:r>
              <w:rPr>
                <w:rFonts w:ascii="华文仿宋" w:eastAsia="华文仿宋" w:hAnsi="华文仿宋" w:cs="华文仿宋" w:hint="eastAsia"/>
                <w:color w:val="000000"/>
                <w:sz w:val="28"/>
                <w:szCs w:val="28"/>
              </w:rPr>
              <w:t>2019-7-9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0362D" w:rsidRPr="0023321A" w:rsidRDefault="0000362D" w:rsidP="004A7D76">
            <w:pPr>
              <w:jc w:val="center"/>
              <w:rPr>
                <w:rFonts w:ascii="华文仿宋" w:eastAsia="华文仿宋" w:hAnsi="华文仿宋" w:cs="华文仿宋"/>
                <w:color w:val="000000"/>
                <w:sz w:val="28"/>
                <w:szCs w:val="28"/>
              </w:rPr>
            </w:pPr>
            <w:r w:rsidRPr="0023321A">
              <w:rPr>
                <w:rFonts w:ascii="华文仿宋" w:eastAsia="华文仿宋" w:hAnsi="华文仿宋" w:cs="华文仿宋" w:hint="eastAsia"/>
                <w:color w:val="000000"/>
                <w:sz w:val="28"/>
                <w:szCs w:val="28"/>
              </w:rPr>
              <w:t>57.83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0362D" w:rsidRPr="0023321A" w:rsidRDefault="0000362D" w:rsidP="004A7D76">
            <w:pPr>
              <w:jc w:val="center"/>
              <w:rPr>
                <w:rFonts w:ascii="华文仿宋" w:eastAsia="华文仿宋" w:hAnsi="华文仿宋" w:cs="华文仿宋"/>
                <w:color w:val="000000"/>
                <w:sz w:val="28"/>
                <w:szCs w:val="28"/>
              </w:rPr>
            </w:pPr>
            <w:r w:rsidRPr="0023321A">
              <w:rPr>
                <w:rFonts w:ascii="华文仿宋" w:eastAsia="华文仿宋" w:hAnsi="华文仿宋" w:cs="华文仿宋" w:hint="eastAsia"/>
                <w:color w:val="000000"/>
                <w:sz w:val="28"/>
                <w:szCs w:val="28"/>
              </w:rPr>
              <w:t>64.16</w:t>
            </w:r>
          </w:p>
        </w:tc>
        <w:tc>
          <w:tcPr>
            <w:tcW w:w="5953" w:type="dxa"/>
            <w:tcBorders>
              <w:top w:val="single" w:sz="4" w:space="0" w:color="000000"/>
              <w:left w:val="single" w:sz="4" w:space="0" w:color="000000"/>
              <w:bottom w:val="single" w:sz="4" w:space="0" w:color="000000"/>
              <w:right w:val="single" w:sz="4" w:space="0" w:color="000000"/>
            </w:tcBorders>
            <w:vAlign w:val="center"/>
          </w:tcPr>
          <w:p w:rsidR="0000362D" w:rsidRDefault="0000362D" w:rsidP="004A7D76">
            <w:pPr>
              <w:rPr>
                <w:rFonts w:ascii="华文仿宋" w:eastAsia="华文仿宋" w:hAnsi="华文仿宋" w:cs="华文仿宋"/>
                <w:color w:val="333335"/>
                <w:sz w:val="28"/>
                <w:szCs w:val="28"/>
                <w:shd w:val="clear" w:color="auto" w:fill="FFFFFF"/>
              </w:rPr>
            </w:pPr>
            <w:r w:rsidRPr="00C46C18">
              <w:rPr>
                <w:rFonts w:ascii="华文仿宋" w:eastAsia="华文仿宋" w:hAnsi="华文仿宋" w:cs="华文仿宋" w:hint="eastAsia"/>
                <w:color w:val="333335"/>
                <w:sz w:val="28"/>
                <w:szCs w:val="28"/>
                <w:shd w:val="clear" w:color="auto" w:fill="FFFFFF"/>
              </w:rPr>
              <w:t>中东局势与OPEC减产支撑油价上行，但需求忧虑限制了油价的上涨空间，原油收盘仅小幅上涨</w:t>
            </w:r>
            <w:r>
              <w:rPr>
                <w:rFonts w:ascii="华文仿宋" w:eastAsia="华文仿宋" w:hAnsi="华文仿宋" w:cs="华文仿宋" w:hint="eastAsia"/>
                <w:color w:val="333335"/>
                <w:sz w:val="28"/>
                <w:szCs w:val="28"/>
                <w:shd w:val="clear" w:color="auto" w:fill="FFFFFF"/>
              </w:rPr>
              <w:t>。</w:t>
            </w:r>
          </w:p>
        </w:tc>
      </w:tr>
      <w:tr w:rsidR="0000362D" w:rsidTr="004A7D76">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0362D" w:rsidRDefault="0000362D" w:rsidP="004A7D76">
            <w:pPr>
              <w:jc w:val="center"/>
              <w:rPr>
                <w:rFonts w:ascii="华文仿宋" w:eastAsia="华文仿宋" w:hAnsi="华文仿宋" w:cs="华文仿宋"/>
                <w:color w:val="000000"/>
                <w:sz w:val="28"/>
                <w:szCs w:val="28"/>
              </w:rPr>
            </w:pPr>
            <w:r>
              <w:rPr>
                <w:rFonts w:ascii="华文仿宋" w:eastAsia="华文仿宋" w:hAnsi="华文仿宋" w:cs="华文仿宋" w:hint="eastAsia"/>
                <w:color w:val="000000"/>
                <w:sz w:val="28"/>
                <w:szCs w:val="28"/>
              </w:rPr>
              <w:t>2019-7-8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0362D" w:rsidRPr="0023321A" w:rsidRDefault="0000362D" w:rsidP="004A7D76">
            <w:pPr>
              <w:jc w:val="center"/>
              <w:rPr>
                <w:rFonts w:ascii="华文仿宋" w:eastAsia="华文仿宋" w:hAnsi="华文仿宋" w:cs="华文仿宋"/>
                <w:color w:val="000000"/>
                <w:sz w:val="28"/>
                <w:szCs w:val="28"/>
              </w:rPr>
            </w:pPr>
            <w:r w:rsidRPr="0023321A">
              <w:rPr>
                <w:rFonts w:ascii="华文仿宋" w:eastAsia="华文仿宋" w:hAnsi="华文仿宋" w:cs="华文仿宋" w:hint="eastAsia"/>
                <w:color w:val="000000"/>
                <w:sz w:val="28"/>
                <w:szCs w:val="28"/>
              </w:rPr>
              <w:t>57.66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0362D" w:rsidRPr="0023321A" w:rsidRDefault="0000362D" w:rsidP="004A7D76">
            <w:pPr>
              <w:jc w:val="center"/>
              <w:rPr>
                <w:rFonts w:ascii="华文仿宋" w:eastAsia="华文仿宋" w:hAnsi="华文仿宋" w:cs="华文仿宋"/>
                <w:color w:val="000000"/>
                <w:sz w:val="28"/>
                <w:szCs w:val="28"/>
              </w:rPr>
            </w:pPr>
            <w:r w:rsidRPr="0023321A">
              <w:rPr>
                <w:rFonts w:ascii="华文仿宋" w:eastAsia="华文仿宋" w:hAnsi="华文仿宋" w:cs="华文仿宋" w:hint="eastAsia"/>
                <w:color w:val="000000"/>
                <w:sz w:val="28"/>
                <w:szCs w:val="28"/>
              </w:rPr>
              <w:t>64.11</w:t>
            </w:r>
          </w:p>
        </w:tc>
        <w:tc>
          <w:tcPr>
            <w:tcW w:w="5953" w:type="dxa"/>
            <w:tcBorders>
              <w:top w:val="single" w:sz="4" w:space="0" w:color="000000"/>
              <w:left w:val="single" w:sz="4" w:space="0" w:color="000000"/>
              <w:bottom w:val="single" w:sz="4" w:space="0" w:color="000000"/>
              <w:right w:val="single" w:sz="4" w:space="0" w:color="000000"/>
            </w:tcBorders>
            <w:vAlign w:val="center"/>
          </w:tcPr>
          <w:p w:rsidR="0000362D" w:rsidRDefault="0000362D" w:rsidP="004A7D76">
            <w:pPr>
              <w:rPr>
                <w:rFonts w:ascii="华文仿宋" w:eastAsia="华文仿宋" w:hAnsi="华文仿宋" w:cs="华文仿宋"/>
                <w:color w:val="333335"/>
                <w:sz w:val="28"/>
                <w:szCs w:val="28"/>
                <w:shd w:val="clear" w:color="auto" w:fill="FFFFFF"/>
              </w:rPr>
            </w:pPr>
            <w:r w:rsidRPr="00C46C18">
              <w:rPr>
                <w:rFonts w:ascii="华文仿宋" w:eastAsia="华文仿宋" w:hAnsi="华文仿宋" w:cs="华文仿宋" w:hint="eastAsia"/>
                <w:color w:val="333335"/>
                <w:sz w:val="28"/>
                <w:szCs w:val="28"/>
                <w:shd w:val="clear" w:color="auto" w:fill="FFFFFF"/>
              </w:rPr>
              <w:t>伊朗核计划引发的紧张局势，抵消了外界对全球经济增长放缓是否会打击石油需求的担忧，原油收盘涨跌互现</w:t>
            </w:r>
            <w:r>
              <w:rPr>
                <w:rFonts w:ascii="华文仿宋" w:eastAsia="华文仿宋" w:hAnsi="华文仿宋" w:cs="华文仿宋" w:hint="eastAsia"/>
                <w:color w:val="333335"/>
                <w:sz w:val="28"/>
                <w:szCs w:val="28"/>
                <w:shd w:val="clear" w:color="auto" w:fill="FFFFFF"/>
              </w:rPr>
              <w:t>。</w:t>
            </w:r>
          </w:p>
        </w:tc>
      </w:tr>
      <w:tr w:rsidR="0000362D" w:rsidTr="004A7D76">
        <w:trPr>
          <w:trHeight w:val="43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0362D" w:rsidRDefault="0000362D" w:rsidP="004A7D76">
            <w:pPr>
              <w:jc w:val="center"/>
              <w:rPr>
                <w:rFonts w:ascii="华文仿宋" w:eastAsia="华文仿宋" w:hAnsi="华文仿宋" w:cs="华文仿宋"/>
                <w:color w:val="000000"/>
                <w:sz w:val="28"/>
                <w:szCs w:val="28"/>
              </w:rPr>
            </w:pPr>
            <w:r>
              <w:rPr>
                <w:rFonts w:ascii="华文仿宋" w:eastAsia="华文仿宋" w:hAnsi="华文仿宋" w:cs="华文仿宋" w:hint="eastAsia"/>
                <w:color w:val="000000"/>
                <w:sz w:val="28"/>
                <w:szCs w:val="28"/>
              </w:rPr>
              <w:t>2019-7-5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0362D" w:rsidRPr="0023321A" w:rsidRDefault="0000362D" w:rsidP="004A7D76">
            <w:pPr>
              <w:jc w:val="center"/>
              <w:rPr>
                <w:rFonts w:ascii="华文仿宋" w:eastAsia="华文仿宋" w:hAnsi="华文仿宋" w:cs="华文仿宋"/>
                <w:color w:val="000000"/>
                <w:sz w:val="28"/>
                <w:szCs w:val="28"/>
              </w:rPr>
            </w:pPr>
            <w:r w:rsidRPr="0023321A">
              <w:rPr>
                <w:rFonts w:ascii="华文仿宋" w:eastAsia="华文仿宋" w:hAnsi="华文仿宋" w:cs="华文仿宋" w:hint="eastAsia"/>
                <w:color w:val="000000"/>
                <w:sz w:val="28"/>
                <w:szCs w:val="28"/>
              </w:rPr>
              <w:t>57.51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0362D" w:rsidRPr="0023321A" w:rsidRDefault="0000362D" w:rsidP="004A7D76">
            <w:pPr>
              <w:jc w:val="center"/>
              <w:rPr>
                <w:rFonts w:ascii="华文仿宋" w:eastAsia="华文仿宋" w:hAnsi="华文仿宋" w:cs="华文仿宋"/>
                <w:color w:val="000000"/>
                <w:sz w:val="28"/>
                <w:szCs w:val="28"/>
              </w:rPr>
            </w:pPr>
            <w:r w:rsidRPr="0023321A">
              <w:rPr>
                <w:rFonts w:ascii="华文仿宋" w:eastAsia="华文仿宋" w:hAnsi="华文仿宋" w:cs="华文仿宋" w:hint="eastAsia"/>
                <w:color w:val="000000"/>
                <w:sz w:val="28"/>
                <w:szCs w:val="28"/>
              </w:rPr>
              <w:t>64.23</w:t>
            </w:r>
          </w:p>
        </w:tc>
        <w:tc>
          <w:tcPr>
            <w:tcW w:w="5953" w:type="dxa"/>
            <w:tcBorders>
              <w:top w:val="single" w:sz="4" w:space="0" w:color="000000"/>
              <w:left w:val="single" w:sz="4" w:space="0" w:color="000000"/>
              <w:bottom w:val="single" w:sz="4" w:space="0" w:color="000000"/>
              <w:right w:val="single" w:sz="4" w:space="0" w:color="000000"/>
            </w:tcBorders>
            <w:vAlign w:val="bottom"/>
          </w:tcPr>
          <w:p w:rsidR="0000362D" w:rsidRDefault="0000362D" w:rsidP="004A7D76">
            <w:pPr>
              <w:rPr>
                <w:rFonts w:ascii="华文仿宋" w:eastAsia="华文仿宋" w:hAnsi="华文仿宋" w:cs="华文仿宋"/>
                <w:color w:val="333335"/>
                <w:sz w:val="28"/>
                <w:szCs w:val="28"/>
                <w:shd w:val="clear" w:color="auto" w:fill="FFFFFF"/>
              </w:rPr>
            </w:pPr>
            <w:r w:rsidRPr="00C46C18">
              <w:rPr>
                <w:rFonts w:ascii="华文仿宋" w:eastAsia="华文仿宋" w:hAnsi="华文仿宋" w:cs="华文仿宋" w:hint="eastAsia"/>
                <w:color w:val="333335"/>
                <w:sz w:val="28"/>
                <w:szCs w:val="28"/>
                <w:shd w:val="clear" w:color="auto" w:fill="FFFFFF"/>
              </w:rPr>
              <w:t>数据显示石油输出国组织6月产量继续下滑为油价带来提振效果，原油收盘小幅上涨</w:t>
            </w:r>
            <w:r>
              <w:rPr>
                <w:rFonts w:ascii="华文仿宋" w:eastAsia="华文仿宋" w:hAnsi="华文仿宋" w:cs="华文仿宋" w:hint="eastAsia"/>
                <w:color w:val="333335"/>
                <w:sz w:val="28"/>
                <w:szCs w:val="28"/>
                <w:shd w:val="clear" w:color="auto" w:fill="FFFFFF"/>
              </w:rPr>
              <w:t>。</w:t>
            </w:r>
          </w:p>
        </w:tc>
      </w:tr>
      <w:tr w:rsidR="0000362D" w:rsidTr="004A7D76">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0362D" w:rsidRDefault="0000362D" w:rsidP="004A7D76">
            <w:pPr>
              <w:jc w:val="center"/>
              <w:rPr>
                <w:rFonts w:ascii="华文仿宋" w:eastAsia="华文仿宋" w:hAnsi="华文仿宋" w:cs="华文仿宋"/>
                <w:color w:val="000000"/>
                <w:sz w:val="28"/>
                <w:szCs w:val="28"/>
              </w:rPr>
            </w:pPr>
            <w:r>
              <w:rPr>
                <w:rFonts w:ascii="华文仿宋" w:eastAsia="华文仿宋" w:hAnsi="华文仿宋" w:cs="华文仿宋" w:hint="eastAsia"/>
                <w:color w:val="000000"/>
                <w:sz w:val="28"/>
                <w:szCs w:val="28"/>
              </w:rPr>
              <w:t>2019-7-4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0362D" w:rsidRPr="0023321A" w:rsidRDefault="0000362D" w:rsidP="004A7D76">
            <w:pPr>
              <w:jc w:val="center"/>
              <w:rPr>
                <w:rFonts w:ascii="华文仿宋" w:eastAsia="华文仿宋" w:hAnsi="华文仿宋" w:cs="华文仿宋"/>
                <w:color w:val="000000"/>
                <w:sz w:val="28"/>
                <w:szCs w:val="28"/>
              </w:rPr>
            </w:pPr>
            <w:r>
              <w:rPr>
                <w:rFonts w:ascii="华文仿宋" w:eastAsia="华文仿宋" w:hAnsi="华文仿宋" w:cs="华文仿宋" w:hint="eastAsia"/>
                <w:color w:val="000000"/>
                <w:sz w:val="28"/>
                <w:szCs w:val="28"/>
              </w:rPr>
              <w:t>休市</w:t>
            </w:r>
            <w:r w:rsidRPr="0023321A">
              <w:rPr>
                <w:rFonts w:ascii="华文仿宋" w:eastAsia="华文仿宋" w:hAnsi="华文仿宋" w:cs="华文仿宋" w:hint="eastAsia"/>
                <w:color w:val="000000"/>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0362D" w:rsidRPr="0023321A" w:rsidRDefault="0000362D" w:rsidP="004A7D76">
            <w:pPr>
              <w:jc w:val="center"/>
              <w:rPr>
                <w:rFonts w:ascii="华文仿宋" w:eastAsia="华文仿宋" w:hAnsi="华文仿宋" w:cs="华文仿宋"/>
                <w:color w:val="000000"/>
                <w:sz w:val="28"/>
                <w:szCs w:val="28"/>
              </w:rPr>
            </w:pPr>
            <w:r w:rsidRPr="0023321A">
              <w:rPr>
                <w:rFonts w:ascii="华文仿宋" w:eastAsia="华文仿宋" w:hAnsi="华文仿宋" w:cs="华文仿宋" w:hint="eastAsia"/>
                <w:color w:val="000000"/>
                <w:sz w:val="28"/>
                <w:szCs w:val="28"/>
              </w:rPr>
              <w:t>63.3</w:t>
            </w:r>
          </w:p>
        </w:tc>
        <w:tc>
          <w:tcPr>
            <w:tcW w:w="5953" w:type="dxa"/>
            <w:tcBorders>
              <w:top w:val="single" w:sz="4" w:space="0" w:color="000000"/>
              <w:left w:val="single" w:sz="4" w:space="0" w:color="000000"/>
              <w:bottom w:val="single" w:sz="4" w:space="0" w:color="000000"/>
              <w:right w:val="single" w:sz="4" w:space="0" w:color="000000"/>
            </w:tcBorders>
            <w:vAlign w:val="bottom"/>
          </w:tcPr>
          <w:p w:rsidR="0000362D" w:rsidRDefault="0000362D" w:rsidP="004A7D76">
            <w:pPr>
              <w:rPr>
                <w:rFonts w:ascii="华文仿宋" w:eastAsia="华文仿宋" w:hAnsi="华文仿宋" w:cs="华文仿宋"/>
                <w:color w:val="333335"/>
                <w:sz w:val="28"/>
                <w:szCs w:val="28"/>
                <w:shd w:val="clear" w:color="auto" w:fill="FFFFFF"/>
              </w:rPr>
            </w:pPr>
            <w:r w:rsidRPr="00C46C18">
              <w:rPr>
                <w:rFonts w:ascii="华文仿宋" w:eastAsia="华文仿宋" w:hAnsi="华文仿宋" w:cs="华文仿宋" w:hint="eastAsia"/>
                <w:color w:val="333335"/>
                <w:sz w:val="28"/>
                <w:szCs w:val="28"/>
                <w:shd w:val="clear" w:color="auto" w:fill="FFFFFF"/>
              </w:rPr>
              <w:t>原油需求端的疲软给油价带来的利空影响仍在持续，周四原油收盘小幅下跌</w:t>
            </w:r>
            <w:r>
              <w:rPr>
                <w:rFonts w:ascii="华文仿宋" w:eastAsia="华文仿宋" w:hAnsi="华文仿宋" w:cs="华文仿宋" w:hint="eastAsia"/>
                <w:color w:val="333335"/>
                <w:sz w:val="28"/>
                <w:szCs w:val="28"/>
                <w:shd w:val="clear" w:color="auto" w:fill="FFFFFF"/>
              </w:rPr>
              <w:t>。</w:t>
            </w:r>
          </w:p>
        </w:tc>
      </w:tr>
    </w:tbl>
    <w:p w:rsidR="0000362D" w:rsidRDefault="0000362D" w:rsidP="0000362D">
      <w:pPr>
        <w:widowControl/>
        <w:wordWrap w:val="0"/>
        <w:spacing w:after="90" w:line="288" w:lineRule="auto"/>
        <w:ind w:left="238"/>
        <w:jc w:val="left"/>
        <w:rPr>
          <w:rFonts w:ascii="宋体" w:hAnsi="宋体" w:cs="Arial"/>
          <w:b/>
          <w:kern w:val="0"/>
          <w:sz w:val="30"/>
          <w:szCs w:val="30"/>
        </w:rPr>
      </w:pPr>
    </w:p>
    <w:p w:rsidR="0000362D" w:rsidRDefault="0000362D" w:rsidP="0000362D">
      <w:pPr>
        <w:rPr>
          <w:rFonts w:ascii="宋体" w:hAnsi="宋体" w:cs="Arial"/>
          <w:kern w:val="0"/>
          <w:szCs w:val="21"/>
        </w:rPr>
      </w:pPr>
    </w:p>
    <w:p w:rsidR="0000362D" w:rsidRDefault="0000362D" w:rsidP="0000362D">
      <w:pPr>
        <w:rPr>
          <w:rFonts w:ascii="宋体" w:hAnsi="宋体" w:cs="Arial"/>
          <w:kern w:val="0"/>
          <w:szCs w:val="21"/>
        </w:rPr>
      </w:pPr>
    </w:p>
    <w:p w:rsidR="0000362D" w:rsidRDefault="0000362D" w:rsidP="0000362D">
      <w:pPr>
        <w:widowControl/>
        <w:wordWrap w:val="0"/>
        <w:spacing w:after="90" w:line="288" w:lineRule="auto"/>
        <w:ind w:firstLine="238"/>
        <w:jc w:val="left"/>
        <w:outlineLvl w:val="1"/>
        <w:rPr>
          <w:rFonts w:ascii="宋体" w:hAnsi="宋体" w:cs="Arial"/>
          <w:b/>
          <w:kern w:val="0"/>
          <w:sz w:val="30"/>
          <w:szCs w:val="30"/>
        </w:rPr>
      </w:pPr>
      <w:bookmarkStart w:id="14" w:name="_Toc13730537"/>
      <w:r>
        <w:rPr>
          <w:rFonts w:ascii="宋体" w:hAnsi="宋体" w:cs="Arial"/>
          <w:b/>
          <w:kern w:val="0"/>
          <w:sz w:val="30"/>
          <w:szCs w:val="30"/>
        </w:rPr>
        <w:t>2.201</w:t>
      </w:r>
      <w:r>
        <w:rPr>
          <w:rFonts w:ascii="宋体" w:hAnsi="宋体" w:cs="Arial" w:hint="eastAsia"/>
          <w:b/>
          <w:kern w:val="0"/>
          <w:sz w:val="30"/>
          <w:szCs w:val="30"/>
        </w:rPr>
        <w:t>9</w:t>
      </w:r>
      <w:r>
        <w:rPr>
          <w:rFonts w:ascii="宋体" w:hAnsi="宋体" w:cs="Arial"/>
          <w:b/>
          <w:kern w:val="0"/>
          <w:sz w:val="30"/>
          <w:szCs w:val="30"/>
        </w:rPr>
        <w:t>年</w:t>
      </w:r>
      <w:r>
        <w:rPr>
          <w:rFonts w:ascii="宋体" w:hAnsi="宋体" w:cs="Arial" w:hint="eastAsia"/>
          <w:b/>
          <w:kern w:val="0"/>
          <w:sz w:val="30"/>
          <w:szCs w:val="30"/>
        </w:rPr>
        <w:t>国际</w:t>
      </w:r>
      <w:r>
        <w:rPr>
          <w:rFonts w:ascii="宋体" w:hAnsi="宋体" w:cs="Arial"/>
          <w:b/>
          <w:kern w:val="0"/>
          <w:sz w:val="30"/>
          <w:szCs w:val="30"/>
        </w:rPr>
        <w:t>原油价格走势图</w:t>
      </w:r>
      <w:bookmarkEnd w:id="14"/>
    </w:p>
    <w:p w:rsidR="0000362D" w:rsidRDefault="0000362D" w:rsidP="0000362D">
      <w:pPr>
        <w:widowControl/>
        <w:wordWrap w:val="0"/>
        <w:spacing w:after="90" w:line="288" w:lineRule="auto"/>
        <w:jc w:val="left"/>
        <w:rPr>
          <w:rFonts w:ascii="宋体" w:hAnsi="宋体" w:cs="Arial"/>
          <w:b/>
          <w:kern w:val="0"/>
          <w:sz w:val="30"/>
          <w:szCs w:val="30"/>
        </w:rPr>
      </w:pPr>
      <w:r>
        <w:rPr>
          <w:noProof/>
        </w:rPr>
        <w:lastRenderedPageBreak/>
        <w:drawing>
          <wp:inline distT="0" distB="0" distL="0" distR="0">
            <wp:extent cx="4152900" cy="405765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152900" cy="4057650"/>
                    </a:xfrm>
                    <a:prstGeom prst="rect">
                      <a:avLst/>
                    </a:prstGeom>
                    <a:noFill/>
                    <a:ln w="9525">
                      <a:noFill/>
                      <a:miter lim="800000"/>
                      <a:headEnd/>
                      <a:tailEnd/>
                    </a:ln>
                  </pic:spPr>
                </pic:pic>
              </a:graphicData>
            </a:graphic>
          </wp:inline>
        </w:drawing>
      </w:r>
    </w:p>
    <w:p w:rsidR="0000362D" w:rsidRDefault="0000362D" w:rsidP="0000362D"/>
    <w:p w:rsidR="0000362D" w:rsidRDefault="0000362D" w:rsidP="0000362D">
      <w:pPr>
        <w:numPr>
          <w:ilvl w:val="0"/>
          <w:numId w:val="2"/>
        </w:numPr>
        <w:outlineLvl w:val="0"/>
        <w:rPr>
          <w:rFonts w:ascii="宋体" w:hAnsi="宋体" w:cs="Arial"/>
          <w:b/>
          <w:bCs/>
          <w:kern w:val="0"/>
          <w:sz w:val="32"/>
          <w:szCs w:val="32"/>
        </w:rPr>
      </w:pPr>
      <w:bookmarkStart w:id="15" w:name="_Toc13730538"/>
      <w:r>
        <w:rPr>
          <w:rFonts w:ascii="宋体" w:hAnsi="宋体" w:cs="Arial"/>
          <w:b/>
          <w:bCs/>
          <w:kern w:val="0"/>
          <w:sz w:val="32"/>
          <w:szCs w:val="32"/>
        </w:rPr>
        <w:t>近期影响国际原油市场的主要因素</w:t>
      </w:r>
      <w:bookmarkEnd w:id="15"/>
    </w:p>
    <w:p w:rsidR="0000362D" w:rsidRDefault="0000362D" w:rsidP="0000362D">
      <w:pPr>
        <w:ind w:firstLineChars="200" w:firstLine="562"/>
        <w:rPr>
          <w:rFonts w:ascii="黑体" w:eastAsia="黑体" w:hAnsi="宋体"/>
          <w:b/>
          <w:sz w:val="28"/>
          <w:szCs w:val="28"/>
        </w:rPr>
      </w:pPr>
    </w:p>
    <w:p w:rsidR="0000362D" w:rsidRDefault="0000362D" w:rsidP="0000362D">
      <w:pPr>
        <w:ind w:firstLineChars="196" w:firstLine="551"/>
        <w:outlineLvl w:val="1"/>
        <w:rPr>
          <w:rFonts w:ascii="黑体" w:eastAsia="黑体" w:hAnsi="宋体"/>
          <w:b/>
          <w:color w:val="000000"/>
          <w:sz w:val="28"/>
          <w:szCs w:val="28"/>
        </w:rPr>
      </w:pPr>
      <w:bookmarkStart w:id="16" w:name="_Toc13730539"/>
      <w:r>
        <w:rPr>
          <w:rFonts w:ascii="黑体" w:eastAsia="黑体" w:hAnsi="宋体" w:hint="eastAsia"/>
          <w:b/>
          <w:color w:val="000000"/>
          <w:sz w:val="28"/>
          <w:szCs w:val="28"/>
        </w:rPr>
        <w:t>1.美国原油库存情况</w:t>
      </w:r>
      <w:bookmarkEnd w:id="16"/>
      <w:r>
        <w:rPr>
          <w:rFonts w:ascii="黑体" w:eastAsia="黑体" w:hAnsi="宋体" w:hint="eastAsia"/>
          <w:b/>
          <w:color w:val="000000"/>
          <w:sz w:val="28"/>
          <w:szCs w:val="28"/>
        </w:rPr>
        <w:t xml:space="preserve"> </w:t>
      </w:r>
    </w:p>
    <w:p w:rsidR="0000362D" w:rsidRPr="00F1322B" w:rsidRDefault="0000362D" w:rsidP="0000362D">
      <w:pPr>
        <w:pStyle w:val="aa"/>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本周</w:t>
      </w:r>
      <w:r w:rsidRPr="00F1322B">
        <w:rPr>
          <w:rFonts w:ascii="仿宋" w:eastAsia="仿宋" w:hAnsi="仿宋" w:cs="仿宋"/>
          <w:sz w:val="28"/>
          <w:szCs w:val="28"/>
        </w:rPr>
        <w:t>美国能源信息署(EIA)公布的数据显示，截至6月28日当周美国除却战略储备的商业原油库存减少108.5万桶至4.685亿桶，减少0.2%;美国俄克拉荷马州库欣原油库存增加65.2万桶;汽油库存减少158.3万桶;精炼油库存增加140.8万桶，精炼油库存变化值连续3周录得下滑后本周录得增长。美国东海岸原油储量升至2017年9月以来新高，美国东海岸汽油库存降至2012年以来新低。美国石油协会(API)公布的数据显示，截至6月28日当周API原油库存减少500万桶，预期减少248.4万桶;汽油库存减少83.7万桶;精炼油库存减少170万桶</w:t>
      </w:r>
      <w:r w:rsidRPr="00F1322B">
        <w:rPr>
          <w:rFonts w:ascii="仿宋" w:eastAsia="仿宋" w:hAnsi="仿宋" w:cs="仿宋" w:hint="eastAsia"/>
          <w:sz w:val="28"/>
          <w:szCs w:val="28"/>
        </w:rPr>
        <w:t>。</w:t>
      </w:r>
    </w:p>
    <w:p w:rsidR="0000362D" w:rsidRPr="0000362D" w:rsidRDefault="0000362D" w:rsidP="0000362D">
      <w:pPr>
        <w:ind w:firstLineChars="196" w:firstLine="551"/>
        <w:outlineLvl w:val="1"/>
        <w:rPr>
          <w:rFonts w:ascii="黑体" w:eastAsia="黑体" w:hAnsi="宋体"/>
          <w:b/>
          <w:color w:val="000000"/>
          <w:sz w:val="28"/>
          <w:szCs w:val="28"/>
        </w:rPr>
      </w:pPr>
      <w:bookmarkStart w:id="17" w:name="_Toc13730540"/>
      <w:r w:rsidRPr="0000362D">
        <w:rPr>
          <w:rFonts w:ascii="黑体" w:eastAsia="黑体" w:hAnsi="宋体" w:hint="eastAsia"/>
          <w:b/>
          <w:color w:val="000000"/>
          <w:sz w:val="28"/>
          <w:szCs w:val="28"/>
        </w:rPr>
        <w:lastRenderedPageBreak/>
        <w:t>2.美国经济形势</w:t>
      </w:r>
      <w:bookmarkEnd w:id="17"/>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北京时间11日凌晨，美股周三收高，纳指创收盘历史新高。三大股指均创盘中最高纪录，标普500指数盘中史上首次突破3000点关口。美联储主席鲍威尔的讲话强化了市场对于美联储降息的预期。美联储会议纪要也显示许多官员认为降息理由增强。</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美东时间7月10日16：00(北京时间7月11日04：00)，道指涨76.71点，或0.29%，报26860.20点;标普500指数涨13.44点，或0.45%，报2993.07点;纳指涨60.80点，或0.75%，报8202.53点。</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周三早间，道指最高上涨至26983.45点，纳指最高上涨至8228.60点，标普500指数最高上涨至3002.98点，均刷新盘中历史最高纪录。</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美联储主席杰罗姆-鲍威尔(JeromePowell)周三上午在美国国会发表的证词强化了市场对于美联储的降息预期。鲍威尔周四还将出席参议院银行委员会作证。</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鲍威尔在周三提前公布的国会证词讲稿中表示，经济增长逆流重新出现，美联储将酌情采取“适当”措施以维持美国经济增长，很多委员在6月FOMC会议上看到有理由在一定程度上放松货币政策。鲍威尔的证词凸显了其对经济前景的忧虑。</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鲍威尔强调，商业投资增长似乎明显放缓，可能反映出对贸易紧张局势和全球增长放缓的担忧，似乎继续拖累美国经济前景，美联储将采取“适当”行动，以维持美国经济增长。</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lastRenderedPageBreak/>
        <w:t>鲍威尔指出，美国经济面临的长期挑战包括巨额联邦债务仍在不断提高，以及中低阶层收入增长相对停滞等等。美国第一季度消费者支出增长疲软，疲弱的通胀有可能比美联储目前预期的更加持久。</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鲍威尔的证词讲话稿公布后，联邦基金利率期货暗示，市场认为美联储本月降息50个基点的概率上升至12.5%，降息25基点概率为87.5%。金融博客零对冲在讲话稿公布后评论称，美联储降息50个基点的时机到了。</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在随后的问答环节中，鲍威尔表示，美联储在Facebook宣布加密货币Libra之后，与Facebook进行过接触，美联储认为Facebook的加密货币Libra引发了人们对于隐私、洗钱及金融稳定的严重担忧。他表示，美联储正在协同工作，以解决加密货币Libra所带来的担忧。</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鲍威尔称，如果Libra加密货币被广泛运用，将对金融稳定性带来威胁。</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关于美国总统特朗普对美联储及鲍威尔本人的抨击，鲍威尔称“即使特朗普要求我辞职，我也不会这么做”，并重申：“法律予以我4年的任期，我将完成我的任期”。关于美国经济，鲍威尔称，美联储认为美国经济处于良好状态，并承诺将采取工具保持这样的经济状态，没有足够的证据证明当前的劳动力市场过热。</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关于经济数据，鲍威尔称，从现在到7月底之间的经济数据很重要，美联储将会关注接下来即将公布的所有数据。6月份的非农就业报告“并未改变我们对于政策的预期。”</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lastRenderedPageBreak/>
        <w:t>鲍威尔还呼吁特朗普政府使用财政政策来支持经济增长，不要仅仅依赖美联储的货币政策。他表示：“将货币政策视为唯一可用策略并非好事，与货币政策相比，财政政策是更具力量的手段。”</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英国CMCMarkets公司市场分析师DavidMadden表示，鲍威尔的最新言论“很可能会极大地影响股票交易者的观点。在整个6月份，人们越来越相信美联储将在7月以及在今年年底前降息。”</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美联储会议纪要</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周三在华盛顿公布的6月18-19日联邦公开市场委员会会议纪要显示，美联储决策者们在6月份政策会议上判断，美国经济前景的不确定性和下行风险显著增加，从而增强了降息的理由。</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会议纪要称：“如果这些最近的事态发展证明是持续性的并继续拖累经济前景，许多人判断近期内出台额外的货币宽松政策将是合理之举。”</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纪要称：“几位”政策制定者表示，从风险管理的角度来看，近期降息是有必要的，因为这“可以帮助缓解未来经济所受到不利冲击的影响”。</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对通货膨胀的担忧也在会议纪要中占据突出地位。许多官员指出，不仅通胀风险偏向下行，而且通胀预期指标“可能低于与委员会2%通胀目标相符的水平”。</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并非所有美联储官员都接受近期降息。“几位”政策制定者表示，虽然风险有所增加，但他们要看到前景的进一步恶化才会支持更宽松政策。</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lastRenderedPageBreak/>
        <w:t>此外会议纪要显示，“一些与会者表示，虽然他们现在判断联邦基金利率的适当路径将遵循比他们先前假设更平坦的轨迹，但还没有降息的强有力理由。”</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在6月份会议上，政策制定者们提交了新的利率预测，显示17名官员中有8名预计2019年至少降息一次。此次会议标志着联邦公开市场委员会在六个月里的第二次立场转变。</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除了鲍威尔的讲话与美联储政策前景之外，分析师指出，国际贸易关系的进展也值得注意。</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经济数据面</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美国人口普查局公布，5月份批发库存增加至6781亿美元，而此前一个月为6757亿美元。15位经济学家对批发库存的预测值介于下滑0.2%至增长0.6%之间。4月份的库存从增长0.9%修正至增长0.8%。5月份批发销售增长0.1%，此前一个月为下降0.4%。</w:t>
      </w:r>
    </w:p>
    <w:p w:rsidR="0000362D" w:rsidRPr="00411EA6"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其他市场</w:t>
      </w:r>
    </w:p>
    <w:p w:rsidR="0000362D" w:rsidRDefault="0000362D" w:rsidP="0000362D">
      <w:pPr>
        <w:pStyle w:val="aa"/>
        <w:ind w:firstLineChars="200" w:firstLine="560"/>
        <w:rPr>
          <w:rFonts w:ascii="华文仿宋" w:eastAsia="华文仿宋" w:hAnsi="华文仿宋" w:cs="华文仿宋"/>
          <w:sz w:val="28"/>
          <w:szCs w:val="28"/>
        </w:rPr>
      </w:pPr>
      <w:r w:rsidRPr="00411EA6">
        <w:rPr>
          <w:rFonts w:ascii="华文仿宋" w:eastAsia="华文仿宋" w:hAnsi="华文仿宋" w:cs="华文仿宋"/>
          <w:sz w:val="28"/>
          <w:szCs w:val="28"/>
        </w:rPr>
        <w:t>纽约商品交易所8月交割的西德州中质原油(WTI)期货价格上涨2.60美元，涨幅4.5%，收于60.43美元/桶。FactSet的数据显示，这是自5月22日以来的最高收盘价。截至周三收盘，美国WTI原油期货已连续第五个交易日上涨，为2月以来最长的连续上涨时间</w:t>
      </w:r>
      <w:r>
        <w:rPr>
          <w:rFonts w:ascii="华文仿宋" w:eastAsia="华文仿宋" w:hAnsi="华文仿宋" w:cs="华文仿宋" w:hint="eastAsia"/>
          <w:sz w:val="28"/>
          <w:szCs w:val="28"/>
        </w:rPr>
        <w:t>。</w:t>
      </w:r>
    </w:p>
    <w:p w:rsidR="0000362D" w:rsidRDefault="0000362D" w:rsidP="0000362D">
      <w:pPr>
        <w:pStyle w:val="aa"/>
        <w:ind w:firstLineChars="200" w:firstLine="643"/>
        <w:outlineLvl w:val="1"/>
        <w:rPr>
          <w:rFonts w:cs="Arial"/>
          <w:b/>
          <w:bCs/>
          <w:sz w:val="32"/>
          <w:szCs w:val="32"/>
        </w:rPr>
      </w:pPr>
      <w:bookmarkStart w:id="18" w:name="_Toc13730541"/>
      <w:r>
        <w:rPr>
          <w:rFonts w:cs="Arial" w:hint="eastAsia"/>
          <w:b/>
          <w:bCs/>
          <w:sz w:val="32"/>
          <w:szCs w:val="32"/>
        </w:rPr>
        <w:t>3.世界经济形势</w:t>
      </w:r>
      <w:bookmarkEnd w:id="18"/>
    </w:p>
    <w:p w:rsidR="0000362D" w:rsidRPr="00777278" w:rsidRDefault="0000362D" w:rsidP="0000362D">
      <w:pPr>
        <w:pStyle w:val="aa"/>
        <w:spacing w:line="360" w:lineRule="auto"/>
        <w:ind w:firstLineChars="200" w:firstLine="560"/>
        <w:rPr>
          <w:rFonts w:ascii="华文仿宋" w:eastAsia="华文仿宋" w:hAnsi="华文仿宋" w:cs="华文仿宋"/>
          <w:sz w:val="28"/>
          <w:szCs w:val="28"/>
        </w:rPr>
      </w:pPr>
      <w:r w:rsidRPr="00777278">
        <w:rPr>
          <w:rFonts w:ascii="华文仿宋" w:eastAsia="华文仿宋" w:hAnsi="华文仿宋" w:cs="华文仿宋"/>
          <w:sz w:val="28"/>
          <w:szCs w:val="28"/>
        </w:rPr>
        <w:lastRenderedPageBreak/>
        <w:t>美国联邦储备委员会主席鲍威尔当地时间10日在国会听证会上表示，受多个因素影响，美国经济前景在近期没有出现好转迹象，不确定性增加。美媒普遍认为，鲍威尔的言论表明美联储可能将在近期降息。</w:t>
      </w:r>
    </w:p>
    <w:p w:rsidR="0000362D" w:rsidRPr="00777278" w:rsidRDefault="0000362D" w:rsidP="0000362D">
      <w:pPr>
        <w:pStyle w:val="aa"/>
        <w:spacing w:line="360" w:lineRule="auto"/>
        <w:ind w:firstLineChars="200" w:firstLine="560"/>
        <w:rPr>
          <w:rFonts w:ascii="华文仿宋" w:eastAsia="华文仿宋" w:hAnsi="华文仿宋" w:cs="华文仿宋"/>
          <w:sz w:val="28"/>
          <w:szCs w:val="28"/>
        </w:rPr>
      </w:pPr>
      <w:r w:rsidRPr="00777278">
        <w:rPr>
          <w:rFonts w:ascii="华文仿宋" w:eastAsia="华文仿宋" w:hAnsi="华文仿宋" w:cs="华文仿宋"/>
          <w:sz w:val="28"/>
          <w:szCs w:val="28"/>
        </w:rPr>
        <w:t>当日，鲍威尔出席国会众议院金融服务委员会听证会，就美联储半年度报告向国会作阐述。鲍威尔说，自从6月美联储会议以来，贸易摩擦所带来的不确定因素和全球经济增长下降都将影响美国经济前景。</w:t>
      </w:r>
    </w:p>
    <w:p w:rsidR="0000362D" w:rsidRPr="00777278" w:rsidRDefault="0000362D" w:rsidP="0000362D">
      <w:pPr>
        <w:pStyle w:val="aa"/>
        <w:spacing w:line="360" w:lineRule="auto"/>
        <w:ind w:firstLineChars="200" w:firstLine="560"/>
        <w:rPr>
          <w:rFonts w:ascii="华文仿宋" w:eastAsia="华文仿宋" w:hAnsi="华文仿宋" w:cs="华文仿宋"/>
          <w:sz w:val="28"/>
          <w:szCs w:val="28"/>
        </w:rPr>
      </w:pPr>
      <w:r w:rsidRPr="00777278">
        <w:rPr>
          <w:rFonts w:ascii="华文仿宋" w:eastAsia="华文仿宋" w:hAnsi="华文仿宋" w:cs="华文仿宋"/>
          <w:sz w:val="28"/>
          <w:szCs w:val="28"/>
        </w:rPr>
        <w:t>鲍威尔表示，尽管美国6月就业市场表现良好，新增22.4万个就业岗位，但这不能改变美国经济前景面临诸多风险的事实。</w:t>
      </w:r>
    </w:p>
    <w:p w:rsidR="0000362D" w:rsidRPr="00777278" w:rsidRDefault="0000362D" w:rsidP="0000362D">
      <w:pPr>
        <w:pStyle w:val="aa"/>
        <w:spacing w:line="360" w:lineRule="auto"/>
        <w:ind w:firstLineChars="200" w:firstLine="560"/>
        <w:rPr>
          <w:rFonts w:ascii="华文仿宋" w:eastAsia="华文仿宋" w:hAnsi="华文仿宋" w:cs="华文仿宋"/>
          <w:sz w:val="28"/>
          <w:szCs w:val="28"/>
        </w:rPr>
      </w:pPr>
      <w:r w:rsidRPr="00777278">
        <w:rPr>
          <w:rFonts w:ascii="华文仿宋" w:eastAsia="华文仿宋" w:hAnsi="华文仿宋" w:cs="华文仿宋"/>
          <w:sz w:val="28"/>
          <w:szCs w:val="28"/>
        </w:rPr>
        <w:t>对于美国和中国重新开启贸易谈判一事，鲍威尔称是“很有建设性的一步”，但这“不能消除对经济前景的不确定性判断”。</w:t>
      </w:r>
    </w:p>
    <w:p w:rsidR="0000362D" w:rsidRPr="00777278" w:rsidRDefault="0000362D" w:rsidP="0000362D">
      <w:pPr>
        <w:pStyle w:val="aa"/>
        <w:spacing w:line="360" w:lineRule="auto"/>
        <w:ind w:firstLineChars="200" w:firstLine="560"/>
        <w:rPr>
          <w:rFonts w:ascii="华文仿宋" w:eastAsia="华文仿宋" w:hAnsi="华文仿宋" w:cs="华文仿宋"/>
          <w:sz w:val="28"/>
          <w:szCs w:val="28"/>
        </w:rPr>
      </w:pPr>
      <w:r w:rsidRPr="00777278">
        <w:rPr>
          <w:rFonts w:ascii="华文仿宋" w:eastAsia="华文仿宋" w:hAnsi="华文仿宋" w:cs="华文仿宋"/>
          <w:sz w:val="28"/>
          <w:szCs w:val="28"/>
        </w:rPr>
        <w:t>对于鲍威尔的言论，美媒普遍解读为美联储将极有可能在本月会议上宣布降息。据美联社报道，如果降息，这将是美国自2008年金融危机以来的首次降息。</w:t>
      </w:r>
    </w:p>
    <w:p w:rsidR="0000362D" w:rsidRPr="00777278" w:rsidRDefault="0000362D" w:rsidP="0000362D">
      <w:pPr>
        <w:pStyle w:val="aa"/>
        <w:spacing w:line="360" w:lineRule="auto"/>
        <w:ind w:firstLineChars="200" w:firstLine="560"/>
        <w:rPr>
          <w:rFonts w:ascii="华文仿宋" w:eastAsia="华文仿宋" w:hAnsi="华文仿宋" w:cs="华文仿宋"/>
          <w:sz w:val="28"/>
          <w:szCs w:val="28"/>
        </w:rPr>
      </w:pPr>
      <w:r w:rsidRPr="00777278">
        <w:rPr>
          <w:rFonts w:ascii="华文仿宋" w:eastAsia="华文仿宋" w:hAnsi="华文仿宋" w:cs="华文仿宋"/>
          <w:sz w:val="28"/>
          <w:szCs w:val="28"/>
        </w:rPr>
        <w:t>受鲍威尔释放降息信号影响，美股当日出现上涨。道琼斯工业平均指数当日上午上涨约100点。</w:t>
      </w:r>
    </w:p>
    <w:p w:rsidR="0000362D" w:rsidRPr="00777278" w:rsidRDefault="0000362D" w:rsidP="0000362D">
      <w:pPr>
        <w:pStyle w:val="aa"/>
        <w:spacing w:line="360" w:lineRule="auto"/>
        <w:ind w:firstLineChars="200" w:firstLine="560"/>
        <w:rPr>
          <w:rFonts w:ascii="华文仿宋" w:eastAsia="华文仿宋" w:hAnsi="华文仿宋" w:cs="华文仿宋"/>
          <w:sz w:val="28"/>
          <w:szCs w:val="28"/>
        </w:rPr>
      </w:pPr>
      <w:r w:rsidRPr="00777278">
        <w:rPr>
          <w:rFonts w:ascii="华文仿宋" w:eastAsia="华文仿宋" w:hAnsi="华文仿宋" w:cs="华文仿宋"/>
          <w:sz w:val="28"/>
          <w:szCs w:val="28"/>
        </w:rPr>
        <w:t>此外，在听证会上，鲍威尔重申美联储的“独立性”。他表示，即使美国总统特朗普要解雇他，他也不会辞职。“法律规定我的任期是四年，我愿意完成任期。”</w:t>
      </w:r>
    </w:p>
    <w:p w:rsidR="0000362D" w:rsidRDefault="0000362D" w:rsidP="0000362D">
      <w:pPr>
        <w:pStyle w:val="aa"/>
        <w:spacing w:line="360" w:lineRule="auto"/>
        <w:ind w:firstLineChars="200" w:firstLine="560"/>
        <w:rPr>
          <w:rFonts w:ascii="华文仿宋" w:eastAsia="华文仿宋" w:hAnsi="华文仿宋" w:cs="华文仿宋"/>
          <w:sz w:val="28"/>
          <w:szCs w:val="28"/>
        </w:rPr>
      </w:pPr>
      <w:r w:rsidRPr="00777278">
        <w:rPr>
          <w:rFonts w:ascii="华文仿宋" w:eastAsia="华文仿宋" w:hAnsi="华文仿宋" w:cs="华文仿宋"/>
          <w:sz w:val="28"/>
          <w:szCs w:val="28"/>
        </w:rPr>
        <w:lastRenderedPageBreak/>
        <w:t>据报道，特朗普曾多次公开抨击美联储政策和鲍威尔本人。他称美联储是他“最大的威胁”，并把美联储2018年的加息政策视为“巨大的错误”。特朗普还多次表示考虑“换掉”鲍威尔</w:t>
      </w:r>
      <w:r>
        <w:rPr>
          <w:rFonts w:ascii="华文仿宋" w:eastAsia="华文仿宋" w:hAnsi="华文仿宋" w:cs="华文仿宋" w:hint="eastAsia"/>
          <w:sz w:val="28"/>
          <w:szCs w:val="28"/>
        </w:rPr>
        <w:t>。</w:t>
      </w:r>
    </w:p>
    <w:p w:rsidR="0000362D" w:rsidRDefault="0000362D" w:rsidP="0000362D">
      <w:pPr>
        <w:outlineLvl w:val="0"/>
        <w:rPr>
          <w:rFonts w:ascii="宋体" w:hAnsi="宋体" w:cs="Arial"/>
          <w:b/>
          <w:bCs/>
          <w:kern w:val="0"/>
          <w:sz w:val="32"/>
          <w:szCs w:val="32"/>
        </w:rPr>
      </w:pPr>
      <w:bookmarkStart w:id="19" w:name="_Toc13730542"/>
      <w:r>
        <w:rPr>
          <w:rFonts w:ascii="宋体" w:hAnsi="宋体" w:cs="Arial" w:hint="eastAsia"/>
          <w:b/>
          <w:bCs/>
          <w:kern w:val="0"/>
          <w:sz w:val="32"/>
          <w:szCs w:val="32"/>
        </w:rPr>
        <w:t>三、2018年11月份全国原油进出口统计数据（产销国）</w:t>
      </w:r>
      <w:bookmarkEnd w:id="19"/>
    </w:p>
    <w:p w:rsidR="0000362D" w:rsidRDefault="0000362D" w:rsidP="0000362D">
      <w:pPr>
        <w:jc w:val="right"/>
        <w:rPr>
          <w:rFonts w:ascii="宋体" w:hAnsi="宋体"/>
        </w:rPr>
      </w:pPr>
    </w:p>
    <w:p w:rsidR="0000362D" w:rsidRDefault="0000362D" w:rsidP="0000362D">
      <w:pPr>
        <w:jc w:val="right"/>
        <w:rPr>
          <w:rFonts w:ascii="宋体" w:hAnsi="宋体"/>
        </w:rPr>
      </w:pPr>
    </w:p>
    <w:tbl>
      <w:tblPr>
        <w:tblW w:w="0" w:type="auto"/>
        <w:shd w:val="clear" w:color="auto" w:fill="FFFFFF"/>
        <w:tblLayout w:type="fixed"/>
        <w:tblCellMar>
          <w:left w:w="0" w:type="dxa"/>
          <w:right w:w="0" w:type="dxa"/>
        </w:tblCellMar>
        <w:tblLook w:val="0000"/>
      </w:tblPr>
      <w:tblGrid>
        <w:gridCol w:w="1167"/>
        <w:gridCol w:w="536"/>
        <w:gridCol w:w="343"/>
        <w:gridCol w:w="454"/>
        <w:gridCol w:w="1388"/>
        <w:gridCol w:w="1783"/>
        <w:gridCol w:w="1125"/>
        <w:gridCol w:w="1520"/>
      </w:tblGrid>
      <w:tr w:rsidR="0000362D" w:rsidTr="004A7D76">
        <w:trPr>
          <w:trHeight w:val="270"/>
        </w:trPr>
        <w:tc>
          <w:tcPr>
            <w:tcW w:w="1167" w:type="dxa"/>
            <w:tcBorders>
              <w:top w:val="single" w:sz="4" w:space="0" w:color="333333"/>
              <w:left w:val="single" w:sz="4" w:space="0" w:color="333333"/>
              <w:bottom w:val="single" w:sz="4" w:space="0" w:color="333333"/>
              <w:right w:val="single" w:sz="4" w:space="0" w:color="333333"/>
            </w:tcBorders>
            <w:shd w:val="clear" w:color="auto" w:fill="00CCFF"/>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产品</w:t>
            </w:r>
          </w:p>
        </w:tc>
        <w:tc>
          <w:tcPr>
            <w:tcW w:w="536" w:type="dxa"/>
            <w:tcBorders>
              <w:top w:val="single" w:sz="4" w:space="0" w:color="333333"/>
              <w:left w:val="nil"/>
              <w:bottom w:val="single" w:sz="4" w:space="0" w:color="333333"/>
              <w:right w:val="single" w:sz="4" w:space="0" w:color="333333"/>
            </w:tcBorders>
            <w:shd w:val="clear" w:color="auto" w:fill="00CCFF"/>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年度</w:t>
            </w:r>
          </w:p>
        </w:tc>
        <w:tc>
          <w:tcPr>
            <w:tcW w:w="343" w:type="dxa"/>
            <w:tcBorders>
              <w:top w:val="single" w:sz="4" w:space="0" w:color="333333"/>
              <w:left w:val="nil"/>
              <w:bottom w:val="single" w:sz="4" w:space="0" w:color="333333"/>
              <w:right w:val="single" w:sz="4" w:space="0" w:color="333333"/>
            </w:tcBorders>
            <w:shd w:val="clear" w:color="auto" w:fill="00CCFF"/>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月份</w:t>
            </w:r>
          </w:p>
        </w:tc>
        <w:tc>
          <w:tcPr>
            <w:tcW w:w="454" w:type="dxa"/>
            <w:tcBorders>
              <w:top w:val="single" w:sz="4" w:space="0" w:color="333333"/>
              <w:left w:val="nil"/>
              <w:bottom w:val="single" w:sz="4" w:space="0" w:color="333333"/>
              <w:right w:val="single" w:sz="4" w:space="0" w:color="333333"/>
            </w:tcBorders>
            <w:shd w:val="clear" w:color="auto" w:fill="00CCFF"/>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333333"/>
                <w:kern w:val="0"/>
                <w:sz w:val="28"/>
                <w:szCs w:val="28"/>
              </w:rPr>
              <w:t>产销国</w:t>
            </w:r>
          </w:p>
        </w:tc>
        <w:tc>
          <w:tcPr>
            <w:tcW w:w="1388" w:type="dxa"/>
            <w:tcBorders>
              <w:top w:val="single" w:sz="4" w:space="0" w:color="333333"/>
              <w:left w:val="nil"/>
              <w:bottom w:val="single" w:sz="4" w:space="0" w:color="333333"/>
              <w:right w:val="single" w:sz="4" w:space="0" w:color="333333"/>
            </w:tcBorders>
            <w:shd w:val="clear" w:color="auto" w:fill="00CCFF"/>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进口数量/吨</w:t>
            </w:r>
          </w:p>
        </w:tc>
        <w:tc>
          <w:tcPr>
            <w:tcW w:w="1783" w:type="dxa"/>
            <w:tcBorders>
              <w:top w:val="single" w:sz="4" w:space="0" w:color="333333"/>
              <w:left w:val="nil"/>
              <w:bottom w:val="single" w:sz="4" w:space="0" w:color="333333"/>
              <w:right w:val="single" w:sz="4" w:space="0" w:color="333333"/>
            </w:tcBorders>
            <w:shd w:val="clear" w:color="auto" w:fill="00CCFF"/>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进口金额/美元</w:t>
            </w:r>
          </w:p>
        </w:tc>
        <w:tc>
          <w:tcPr>
            <w:tcW w:w="1125" w:type="dxa"/>
            <w:tcBorders>
              <w:top w:val="single" w:sz="4" w:space="0" w:color="333333"/>
              <w:left w:val="nil"/>
              <w:bottom w:val="single" w:sz="4" w:space="0" w:color="333333"/>
              <w:right w:val="single" w:sz="4" w:space="0" w:color="333333"/>
            </w:tcBorders>
            <w:shd w:val="clear" w:color="auto" w:fill="00CCFF"/>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出口数量/吨</w:t>
            </w:r>
          </w:p>
        </w:tc>
        <w:tc>
          <w:tcPr>
            <w:tcW w:w="1520" w:type="dxa"/>
            <w:tcBorders>
              <w:top w:val="single" w:sz="4" w:space="0" w:color="333333"/>
              <w:left w:val="nil"/>
              <w:bottom w:val="single" w:sz="4" w:space="0" w:color="333333"/>
              <w:right w:val="single" w:sz="4" w:space="0" w:color="333333"/>
            </w:tcBorders>
            <w:shd w:val="clear" w:color="auto" w:fill="00CCFF"/>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出口金额/美元</w:t>
            </w:r>
          </w:p>
        </w:tc>
      </w:tr>
      <w:tr w:rsidR="0000362D" w:rsidTr="004A7D76">
        <w:trPr>
          <w:trHeight w:val="270"/>
        </w:trPr>
        <w:tc>
          <w:tcPr>
            <w:tcW w:w="1167" w:type="dxa"/>
            <w:vMerge w:val="restart"/>
            <w:tcBorders>
              <w:top w:val="single" w:sz="4" w:space="0" w:color="333333"/>
              <w:left w:val="single" w:sz="4" w:space="0" w:color="333333"/>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石油原油(包括从沥青矿物提取的原油)</w:t>
            </w: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印度尼西亚</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40653.34</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25346064.00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沙特阿拉伯</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6559086.72</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3799894948.00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喀麦隆</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274520.10</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159589495.00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苏丹</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142372.63</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79205819.00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伊朗</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1597505.00</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912909959.00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泰国</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25362.03</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15565737.00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刚果(布)</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911835.95</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488114205.00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南苏丹共和国</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248895.93</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113509343.00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科威特</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1873420.00</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1066267344.00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也门</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350540.93</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203670399.00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赤道</w:t>
            </w:r>
            <w:r>
              <w:rPr>
                <w:rFonts w:ascii="华文仿宋" w:eastAsia="华文仿宋" w:hAnsi="华文仿宋" w:cs="Helvetica" w:hint="eastAsia"/>
                <w:color w:val="333333"/>
                <w:kern w:val="0"/>
                <w:sz w:val="28"/>
                <w:szCs w:val="28"/>
              </w:rPr>
              <w:lastRenderedPageBreak/>
              <w:t>几内亚</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225072.70</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129964020.00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挪威</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133437.19</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85050562.00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阿曼</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2776447.67</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1570404500.00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阿尔及利亚</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268525.13</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164163889.00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利比亚</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885974.67</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523180489.00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马来西亚</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833188.20</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491653771.00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越南</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44414.44</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28043616.00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加</w:t>
            </w:r>
            <w:r>
              <w:rPr>
                <w:rFonts w:ascii="华文仿宋" w:eastAsia="华文仿宋" w:hAnsi="华文仿宋" w:cs="Helvetica" w:hint="eastAsia"/>
                <w:color w:val="333333"/>
                <w:kern w:val="0"/>
                <w:sz w:val="28"/>
                <w:szCs w:val="28"/>
              </w:rPr>
              <w:lastRenderedPageBreak/>
              <w:t>蓬</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425818.46</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246914969.00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阿塞拜疆</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369626.55</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240045038.00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蒙古</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103478.90</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42882263.00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哈萨克斯坦</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382055.19</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219528579.00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加纳</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395143.42</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247439810.00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俄罗斯联邦</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6548835.91</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3790140429.00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伊拉克</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4489405.62</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2460243791.00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阿联酋</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1683047.16</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989595428.00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埃及</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314221.95</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158188628.00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英国</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1010539.66</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602684272.00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卡塔尔</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105875.29</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73199655.00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安哥拉</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3864267.16</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2157921285.00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尼日利亚</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138935.00</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80985584.00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厄瓜多尔</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198688.82</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109511633.00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委</w:t>
            </w:r>
            <w:r>
              <w:rPr>
                <w:rFonts w:ascii="华文仿宋" w:eastAsia="华文仿宋" w:hAnsi="华文仿宋" w:cs="Helvetica" w:hint="eastAsia"/>
                <w:color w:val="333333"/>
                <w:kern w:val="0"/>
                <w:sz w:val="28"/>
                <w:szCs w:val="28"/>
              </w:rPr>
              <w:lastRenderedPageBreak/>
              <w:t>内瑞拉</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1139778.98</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529498771.00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墨西哥</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69175.22</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35411984.00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哥伦比亚</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889238.87</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455402631.00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美国</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137908.22</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59015354.00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巴西</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2983655.73</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1586112356.00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澳大利亚</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190534.01</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112246681.00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加拿大</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240940.87</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103341004.00</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日</w:t>
            </w:r>
            <w:r>
              <w:rPr>
                <w:rFonts w:ascii="华文仿宋" w:eastAsia="华文仿宋" w:hAnsi="华文仿宋" w:cs="Helvetica" w:hint="eastAsia"/>
                <w:color w:val="333333"/>
                <w:kern w:val="0"/>
                <w:sz w:val="28"/>
                <w:szCs w:val="28"/>
              </w:rPr>
              <w:lastRenderedPageBreak/>
              <w:t>本</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131987.46</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75223977.00</w:t>
            </w:r>
          </w:p>
        </w:tc>
      </w:tr>
      <w:tr w:rsidR="0000362D" w:rsidTr="004A7D76">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新加坡</w:t>
            </w:r>
          </w:p>
        </w:tc>
        <w:tc>
          <w:tcPr>
            <w:tcW w:w="1388"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783"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125"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130508.98</w:t>
            </w:r>
          </w:p>
        </w:tc>
        <w:tc>
          <w:tcPr>
            <w:tcW w:w="1520" w:type="dxa"/>
            <w:tcBorders>
              <w:top w:val="single" w:sz="4" w:space="0" w:color="333333"/>
              <w:left w:val="nil"/>
              <w:bottom w:val="single" w:sz="4" w:space="0" w:color="333333"/>
              <w:right w:val="single" w:sz="4" w:space="0" w:color="333333"/>
            </w:tcBorders>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80170232.00</w:t>
            </w:r>
          </w:p>
        </w:tc>
      </w:tr>
      <w:tr w:rsidR="0000362D" w:rsidTr="004A7D76">
        <w:trPr>
          <w:trHeight w:val="270"/>
        </w:trPr>
        <w:tc>
          <w:tcPr>
            <w:tcW w:w="2500" w:type="dxa"/>
            <w:gridSpan w:val="4"/>
            <w:tcBorders>
              <w:top w:val="single" w:sz="4" w:space="0" w:color="333333"/>
              <w:left w:val="single" w:sz="4" w:space="0" w:color="333333"/>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2018年11月合计</w:t>
            </w:r>
          </w:p>
        </w:tc>
        <w:tc>
          <w:tcPr>
            <w:tcW w:w="1388" w:type="dxa"/>
            <w:tcBorders>
              <w:top w:val="single" w:sz="4" w:space="0" w:color="333333"/>
              <w:left w:val="nil"/>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42872423.61</w:t>
            </w:r>
          </w:p>
        </w:tc>
        <w:tc>
          <w:tcPr>
            <w:tcW w:w="1783" w:type="dxa"/>
            <w:tcBorders>
              <w:top w:val="single" w:sz="4" w:space="0" w:color="333333"/>
              <w:left w:val="nil"/>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24156844305.00</w:t>
            </w:r>
          </w:p>
        </w:tc>
        <w:tc>
          <w:tcPr>
            <w:tcW w:w="1125" w:type="dxa"/>
            <w:tcBorders>
              <w:top w:val="single" w:sz="4" w:space="0" w:color="333333"/>
              <w:left w:val="nil"/>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262496.44</w:t>
            </w:r>
          </w:p>
        </w:tc>
        <w:tc>
          <w:tcPr>
            <w:tcW w:w="1520" w:type="dxa"/>
            <w:tcBorders>
              <w:top w:val="single" w:sz="4" w:space="0" w:color="333333"/>
              <w:left w:val="nil"/>
              <w:bottom w:val="single" w:sz="4" w:space="0" w:color="333333"/>
              <w:right w:val="single" w:sz="4" w:space="0" w:color="333333"/>
            </w:tcBorders>
            <w:shd w:val="clear" w:color="auto" w:fill="FFFFFF"/>
            <w:vAlign w:val="center"/>
          </w:tcPr>
          <w:p w:rsidR="0000362D" w:rsidRDefault="0000362D" w:rsidP="004A7D76">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155394209.00</w:t>
            </w:r>
          </w:p>
        </w:tc>
      </w:tr>
    </w:tbl>
    <w:p w:rsidR="0000362D" w:rsidRDefault="0000362D" w:rsidP="0000362D">
      <w:pPr>
        <w:widowControl/>
        <w:jc w:val="center"/>
        <w:rPr>
          <w:rFonts w:ascii="宋体" w:hAnsi="宋体" w:cs="宋体"/>
          <w:color w:val="000000"/>
          <w:kern w:val="0"/>
          <w:szCs w:val="21"/>
        </w:rPr>
      </w:pPr>
    </w:p>
    <w:p w:rsidR="0000362D" w:rsidRDefault="0000362D" w:rsidP="0000362D">
      <w:pPr>
        <w:widowControl/>
        <w:jc w:val="center"/>
        <w:rPr>
          <w:rFonts w:ascii="宋体" w:hAnsi="宋体" w:cs="宋体"/>
          <w:color w:val="000000"/>
          <w:kern w:val="0"/>
          <w:szCs w:val="21"/>
        </w:rPr>
      </w:pPr>
    </w:p>
    <w:p w:rsidR="0000362D" w:rsidRDefault="0000362D" w:rsidP="0000362D">
      <w:pPr>
        <w:widowControl/>
        <w:jc w:val="center"/>
        <w:rPr>
          <w:rFonts w:ascii="宋体" w:hAnsi="宋体" w:cs="宋体"/>
          <w:color w:val="000000"/>
          <w:kern w:val="0"/>
          <w:szCs w:val="21"/>
        </w:rPr>
      </w:pPr>
    </w:p>
    <w:p w:rsidR="0000362D" w:rsidRDefault="0000362D" w:rsidP="0000362D">
      <w:pPr>
        <w:outlineLvl w:val="0"/>
        <w:rPr>
          <w:rFonts w:ascii="宋体" w:hAnsi="宋体" w:cs="Arial"/>
          <w:b/>
          <w:bCs/>
          <w:kern w:val="0"/>
          <w:sz w:val="32"/>
          <w:szCs w:val="32"/>
        </w:rPr>
      </w:pPr>
      <w:bookmarkStart w:id="20" w:name="_Toc13730543"/>
      <w:r>
        <w:rPr>
          <w:rFonts w:ascii="宋体" w:hAnsi="宋体" w:cs="Arial" w:hint="eastAsia"/>
          <w:b/>
          <w:bCs/>
          <w:kern w:val="0"/>
          <w:sz w:val="32"/>
          <w:szCs w:val="32"/>
        </w:rPr>
        <w:t>四、后市预测</w:t>
      </w:r>
      <w:bookmarkEnd w:id="20"/>
    </w:p>
    <w:p w:rsidR="0000362D" w:rsidRDefault="0000362D" w:rsidP="0000362D">
      <w:pPr>
        <w:pStyle w:val="aa"/>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本周美国WTI原油原油价格在57.51- 60.43美元/桶。布伦特原油价格在63.3- 67.01美元/桶震荡。周内国际油价格上涨趋势。</w:t>
      </w:r>
      <w:r w:rsidRPr="00C37867">
        <w:rPr>
          <w:rFonts w:ascii="华文仿宋" w:eastAsia="华文仿宋" w:hAnsi="华文仿宋" w:cs="华文仿宋"/>
          <w:sz w:val="28"/>
          <w:szCs w:val="28"/>
        </w:rPr>
        <w:t>美国原油库存报告整体利多，同时飓风可能会横扫美国墨西哥湾能源生产区域的消息也令油价获得提振。美国WTI原油期货价格盘中最高触及60.53美元/桶，布伦特原油期货价格盘中最高触及67.12美元/桶。基本面利好因素：美国能源信息署(EIA)周三(7月10日)公布报告显示，截至7月5日当周，美国原油库存减少949.9万桶至4.59亿桶，市场预估为减少356.7万桶。更多数据显示，上周俄克拉荷马州库欣原油库存减少31万桶。美国汽油库存减少145.5万，连续四周录得下滑，市场预估为减少123.3桶。美联储主席鲍威尔周三(7月10日)表示，对贸易政策和全球经济疲软的担忧“继续打压美国经济前景”，美联储准备“采取适当行动”来维持长达十年的经济扩张。这一讲话支持本月晚些时候降息的预期。鲍威尔的言论传来之后，美国利率期货价格的走势显示，本月大幅降息50个基点的可能性增强。受此影响，美元指数短线急跌。美国</w:t>
      </w:r>
      <w:r>
        <w:rPr>
          <w:rFonts w:ascii="华文仿宋" w:eastAsia="华文仿宋" w:hAnsi="华文仿宋" w:cs="华文仿宋"/>
          <w:sz w:val="28"/>
          <w:szCs w:val="28"/>
        </w:rPr>
        <w:t>国家飓风中心表示美国墨西哥湾或形成两种形式的热带气旋。</w:t>
      </w:r>
      <w:r w:rsidRPr="00C37867">
        <w:rPr>
          <w:rFonts w:ascii="华文仿宋" w:eastAsia="华文仿宋" w:hAnsi="华文仿宋" w:cs="华文仿宋"/>
          <w:sz w:val="28"/>
          <w:szCs w:val="28"/>
        </w:rPr>
        <w:t>飓风可能会横扫美国墨西哥湾能源生产区域。中东紧张局势依然为油价提供</w:t>
      </w:r>
      <w:r w:rsidRPr="00C37867">
        <w:rPr>
          <w:rFonts w:ascii="华文仿宋" w:eastAsia="华文仿宋" w:hAnsi="华文仿宋" w:cs="华文仿宋"/>
          <w:sz w:val="28"/>
          <w:szCs w:val="28"/>
        </w:rPr>
        <w:lastRenderedPageBreak/>
        <w:t>有效支撑。伊朗在周末已经承认正在提升浓缩铀储量，除非继续执行之前达成的核协议。美国总统特朗普在周日警告称，德黑兰方面对这样的决定“最好小心点”，暗示这是获取核武器的一个前兆。市场调查结果显示，6月石油输出国组织(OPEC)原油产量跌破3000万桶/日大关，较5月水平下降17万桶/日至2960万桶/日，创2014年4月来最低。因沙特原油产量升幅并不足以填补伊朗和委内瑞拉等国的产量降幅。作为OPEC最大的产油国，6月沙特原油产量环比增加10万桶/日至近980万桶/日。依然远低于1031.1万桶/日的减产承诺水平。OPEC官方产量报告将在下周四7月11日正式公布。与此同时，根据能源行业数据公司Kpler调查显示，6月OPEC原油出口较5月增长76.1万桶/日至2370万桶/日。5月该组织原油出口曾降至2200万桶/日下方。基本面利空因素：美国能源信息署(EIA)周三(7月10日)公布报告显示，截至7月5日当周，美国精炼油库存增加372.9万桶，连续两周录得增长，市场预估为增加143.3万桶。此外，上周美国国内原油产量增加10万桶至1230万桶/日，连续两周录得增长。美国能源信息署(EIA)发布短期能源展望报告，将2019年全球原油需求增速预期下调15万桶/日至107万桶/日;将2020年全球原油需求增速预期下调2万桶/日至140万桶/日。同时预计2019年美国原油产量为1236万桶/日，此前预期为1232万桶/日。国际能源信息署(IEA)认为美国的经济制裁以及中东地区油轮遇袭只会给油市添加有限的不确定性，但预计明年除OPEC以外全球原油供应增幅将达到230万桶/日，这将远高于需求增幅的140万桶/日。同时，IEA指出中国等国的经济刺激政策应该会支撑需求，但必须关注“全球贸易关系紧张化问题”</w:t>
      </w:r>
      <w:r>
        <w:rPr>
          <w:rFonts w:ascii="华文仿宋" w:eastAsia="华文仿宋" w:hAnsi="华文仿宋" w:cs="华文仿宋" w:hint="eastAsia"/>
          <w:sz w:val="28"/>
          <w:szCs w:val="28"/>
        </w:rPr>
        <w:t>。</w:t>
      </w:r>
    </w:p>
    <w:p w:rsidR="0000362D" w:rsidRPr="0000362D" w:rsidRDefault="0000362D" w:rsidP="0000362D">
      <w:pPr>
        <w:pStyle w:val="aa"/>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预测下周WTI油价将触及56-61美元/桶，布油在之后几个月触及61-67美元/桶。</w:t>
      </w:r>
    </w:p>
    <w:p w:rsidR="002F12E4" w:rsidRDefault="004F4F55">
      <w:pPr>
        <w:spacing w:line="360" w:lineRule="auto"/>
        <w:outlineLvl w:val="0"/>
        <w:rPr>
          <w:rFonts w:ascii="黑体" w:eastAsia="黑体" w:hAnsi="宋体"/>
          <w:b/>
          <w:sz w:val="28"/>
          <w:szCs w:val="28"/>
        </w:rPr>
      </w:pPr>
      <w:bookmarkStart w:id="21" w:name="_Toc2934025"/>
      <w:bookmarkStart w:id="22" w:name="_Toc2934046"/>
      <w:bookmarkStart w:id="23" w:name="_Toc1736583"/>
      <w:bookmarkStart w:id="24" w:name="_Toc4160086"/>
      <w:bookmarkStart w:id="25" w:name="_Toc4768336"/>
      <w:bookmarkStart w:id="26" w:name="_Toc5976978"/>
      <w:bookmarkStart w:id="27" w:name="_Toc5281983"/>
      <w:bookmarkStart w:id="28" w:name="_Toc4768356"/>
      <w:bookmarkStart w:id="29" w:name="_Toc5976958"/>
      <w:bookmarkStart w:id="30" w:name="_Toc10211767"/>
      <w:bookmarkStart w:id="31" w:name="_Toc10731579"/>
      <w:bookmarkStart w:id="32" w:name="_Toc12625691"/>
      <w:bookmarkStart w:id="33" w:name="_Toc12625781"/>
      <w:r>
        <w:rPr>
          <w:rFonts w:ascii="黑体" w:eastAsia="黑体" w:hAnsi="宋体" w:hint="eastAsia"/>
          <w:b/>
          <w:sz w:val="28"/>
          <w:szCs w:val="28"/>
        </w:rPr>
        <w:lastRenderedPageBreak/>
        <w:t>二、 石脑油</w:t>
      </w:r>
      <w:bookmarkEnd w:id="5"/>
      <w:bookmarkEnd w:id="6"/>
      <w:bookmarkEnd w:id="21"/>
      <w:bookmarkEnd w:id="22"/>
      <w:bookmarkEnd w:id="23"/>
      <w:bookmarkEnd w:id="24"/>
      <w:bookmarkEnd w:id="25"/>
      <w:bookmarkEnd w:id="26"/>
      <w:bookmarkEnd w:id="27"/>
      <w:bookmarkEnd w:id="28"/>
      <w:bookmarkEnd w:id="29"/>
      <w:bookmarkEnd w:id="30"/>
      <w:bookmarkEnd w:id="31"/>
      <w:bookmarkEnd w:id="32"/>
      <w:bookmarkEnd w:id="33"/>
    </w:p>
    <w:p w:rsidR="002F12E4" w:rsidRDefault="004F4F55">
      <w:pPr>
        <w:pStyle w:val="2"/>
        <w:spacing w:line="240" w:lineRule="auto"/>
        <w:rPr>
          <w:rFonts w:ascii="宋体" w:hAnsi="宋体" w:cs="Arial"/>
          <w:b w:val="0"/>
          <w:bCs w:val="0"/>
          <w:kern w:val="0"/>
          <w:szCs w:val="28"/>
        </w:rPr>
      </w:pPr>
      <w:bookmarkStart w:id="34" w:name="_Toc460250404"/>
      <w:bookmarkStart w:id="35" w:name="_Toc536797013"/>
      <w:bookmarkStart w:id="36" w:name="_Toc505350008"/>
      <w:bookmarkStart w:id="37" w:name="_Toc2934047"/>
      <w:bookmarkStart w:id="38" w:name="_Toc2934026"/>
      <w:bookmarkStart w:id="39" w:name="_Toc1736584"/>
      <w:bookmarkStart w:id="40" w:name="_Toc5281984"/>
      <w:bookmarkStart w:id="41" w:name="_Toc4768357"/>
      <w:bookmarkStart w:id="42" w:name="_Toc4160087"/>
      <w:bookmarkStart w:id="43" w:name="_Toc4768337"/>
      <w:bookmarkStart w:id="44" w:name="_Toc5976959"/>
      <w:bookmarkStart w:id="45" w:name="_Toc5976979"/>
      <w:bookmarkStart w:id="46" w:name="_Toc10211768"/>
      <w:bookmarkStart w:id="47" w:name="_Toc10731580"/>
      <w:bookmarkStart w:id="48" w:name="_Toc12625692"/>
      <w:bookmarkStart w:id="49" w:name="_Toc12625782"/>
      <w:r>
        <w:rPr>
          <w:rFonts w:hint="eastAsia"/>
        </w:rPr>
        <w:t>2. 1</w:t>
      </w:r>
      <w:r>
        <w:rPr>
          <w:rFonts w:hint="eastAsia"/>
          <w:kern w:val="0"/>
        </w:rPr>
        <w:t>国际石脑油市场价格</w:t>
      </w:r>
      <w:bookmarkEnd w:id="7"/>
      <w:bookmarkEnd w:id="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F12E4" w:rsidRDefault="004F4F55">
      <w:pPr>
        <w:widowControl/>
        <w:jc w:val="center"/>
        <w:rPr>
          <w:rFonts w:ascii="宋体" w:hAnsi="宋体" w:cs="宋体"/>
          <w:sz w:val="20"/>
          <w:szCs w:val="20"/>
        </w:rPr>
      </w:pPr>
      <w:r>
        <w:rPr>
          <w:rFonts w:ascii="宋体" w:hAnsi="宋体" w:cs="宋体" w:hint="eastAsia"/>
          <w:sz w:val="20"/>
          <w:szCs w:val="20"/>
        </w:rPr>
        <w:t xml:space="preserve">                                                                 单位：美元/吨  ①单位：美元/桶</w:t>
      </w:r>
    </w:p>
    <w:p w:rsidR="002F12E4" w:rsidRDefault="002F12E4">
      <w:pPr>
        <w:widowControl/>
        <w:rPr>
          <w:rFonts w:ascii="宋体" w:hAnsi="宋体" w:cs="宋体"/>
          <w:sz w:val="20"/>
          <w:szCs w:val="20"/>
        </w:rPr>
      </w:pPr>
    </w:p>
    <w:tbl>
      <w:tblPr>
        <w:tblW w:w="99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919"/>
        <w:gridCol w:w="1963"/>
        <w:gridCol w:w="1872"/>
        <w:gridCol w:w="1970"/>
        <w:gridCol w:w="2232"/>
      </w:tblGrid>
      <w:tr w:rsidR="002F12E4">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1805D9" w:rsidP="005B40A1">
            <w:pPr>
              <w:pStyle w:val="aa"/>
              <w:spacing w:before="0" w:beforeAutospacing="0" w:after="0" w:afterAutospacing="0" w:line="390" w:lineRule="atLeast"/>
              <w:jc w:val="center"/>
              <w:rPr>
                <w:rFonts w:ascii="华文仿宋" w:eastAsia="华文仿宋" w:hAnsi="华文仿宋" w:cs="Times New Roman"/>
                <w:kern w:val="2"/>
                <w:sz w:val="28"/>
                <w:szCs w:val="28"/>
              </w:rPr>
            </w:pPr>
            <w:bookmarkStart w:id="50" w:name="_Toc281568202"/>
            <w:bookmarkStart w:id="51" w:name="_Toc239847715"/>
            <w:bookmarkStart w:id="52" w:name="_Toc296600812"/>
            <w:bookmarkStart w:id="53" w:name="_Toc460250405"/>
            <w:bookmarkStart w:id="54" w:name="_Toc505350009"/>
            <w:r>
              <w:rPr>
                <w:rFonts w:ascii="华文仿宋" w:eastAsia="华文仿宋" w:hAnsi="华文仿宋" w:cs="Times New Roman" w:hint="eastAsia"/>
                <w:kern w:val="2"/>
                <w:sz w:val="28"/>
                <w:szCs w:val="28"/>
              </w:rPr>
              <w:t>7</w:t>
            </w:r>
            <w:r w:rsidR="004F4F55" w:rsidRPr="002C1452">
              <w:rPr>
                <w:rFonts w:ascii="华文仿宋" w:eastAsia="华文仿宋" w:hAnsi="华文仿宋" w:cs="Times New Roman" w:hint="eastAsia"/>
                <w:kern w:val="2"/>
                <w:sz w:val="28"/>
                <w:szCs w:val="28"/>
              </w:rPr>
              <w:t>月</w:t>
            </w:r>
            <w:r w:rsidR="005B40A1">
              <w:rPr>
                <w:rFonts w:ascii="华文仿宋" w:eastAsia="华文仿宋" w:hAnsi="华文仿宋" w:cs="Times New Roman" w:hint="eastAsia"/>
                <w:kern w:val="2"/>
                <w:sz w:val="28"/>
                <w:szCs w:val="28"/>
              </w:rPr>
              <w:t>12</w:t>
            </w:r>
            <w:r w:rsidR="004F4F55" w:rsidRPr="002C1452">
              <w:rPr>
                <w:rFonts w:ascii="华文仿宋" w:eastAsia="华文仿宋" w:hAnsi="华文仿宋" w:cs="Times New Roman" w:hint="eastAsia"/>
                <w:kern w:val="2"/>
                <w:sz w:val="28"/>
                <w:szCs w:val="28"/>
              </w:rPr>
              <w:t>日</w:t>
            </w:r>
          </w:p>
        </w:tc>
        <w:tc>
          <w:tcPr>
            <w:tcW w:w="196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低端价（美元/吨）</w:t>
            </w:r>
          </w:p>
        </w:tc>
        <w:tc>
          <w:tcPr>
            <w:tcW w:w="187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高端价（美元/吨）</w:t>
            </w:r>
          </w:p>
        </w:tc>
        <w:tc>
          <w:tcPr>
            <w:tcW w:w="197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均价涨跌幅</w:t>
            </w:r>
          </w:p>
        </w:tc>
        <w:tc>
          <w:tcPr>
            <w:tcW w:w="223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美分/加仑</w:t>
            </w:r>
          </w:p>
        </w:tc>
      </w:tr>
      <w:tr w:rsidR="005B40A1">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新加坡</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58.94美元/桶</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58.98美元/桶</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1.88</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140.333-140.429</w:t>
            </w:r>
          </w:p>
        </w:tc>
      </w:tr>
      <w:tr w:rsidR="005B40A1">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日本</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543.75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545.25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17.00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143.849-144.246</w:t>
            </w:r>
          </w:p>
        </w:tc>
      </w:tr>
      <w:tr w:rsidR="005B40A1">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阿拉伯海湾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519.84</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521.34</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15.90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137.524-137.921</w:t>
            </w:r>
          </w:p>
        </w:tc>
      </w:tr>
      <w:tr w:rsidR="005B40A1">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阿姆斯特丹、鹿特丹、安特卫普到岸价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531.75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532.25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2.75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142.179-142.313</w:t>
            </w:r>
          </w:p>
        </w:tc>
      </w:tr>
      <w:tr w:rsidR="005B40A1">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鹿特丹船货价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527.75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528.25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2.75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141.110-141.243</w:t>
            </w:r>
          </w:p>
        </w:tc>
      </w:tr>
      <w:tr w:rsidR="005B40A1">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地中海离岸价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506.00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506.50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1.25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135.294-135.428</w:t>
            </w:r>
          </w:p>
        </w:tc>
      </w:tr>
      <w:tr w:rsidR="005B40A1">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热那亚到</w:t>
            </w:r>
            <w:r w:rsidRPr="005B40A1">
              <w:rPr>
                <w:rFonts w:ascii="华文仿宋" w:eastAsia="华文仿宋" w:hAnsi="华文仿宋" w:cs="华文仿宋" w:hint="eastAsia"/>
                <w:sz w:val="28"/>
                <w:szCs w:val="28"/>
              </w:rPr>
              <w:lastRenderedPageBreak/>
              <w:t>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lastRenderedPageBreak/>
              <w:t>520.75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521.25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2.00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139.238-139.</w:t>
            </w:r>
            <w:r w:rsidRPr="005B40A1">
              <w:rPr>
                <w:rFonts w:ascii="华文仿宋" w:eastAsia="华文仿宋" w:hAnsi="华文仿宋" w:cs="华文仿宋" w:hint="eastAsia"/>
                <w:sz w:val="28"/>
                <w:szCs w:val="28"/>
              </w:rPr>
              <w:lastRenderedPageBreak/>
              <w:t>372</w:t>
            </w:r>
          </w:p>
        </w:tc>
      </w:tr>
      <w:tr w:rsidR="005B40A1">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lastRenderedPageBreak/>
              <w:t>美国墨西哥湾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536.18</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536.28</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-1.57美分/加仑</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153.150-153.250</w:t>
            </w:r>
          </w:p>
        </w:tc>
      </w:tr>
      <w:tr w:rsidR="005B40A1">
        <w:trPr>
          <w:trHeight w:val="74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加勒比海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B40A1" w:rsidRPr="005B40A1" w:rsidRDefault="005B40A1" w:rsidP="005B40A1">
            <w:pPr>
              <w:pStyle w:val="aa"/>
              <w:spacing w:line="360" w:lineRule="auto"/>
              <w:ind w:firstLineChars="200" w:firstLine="560"/>
              <w:rPr>
                <w:rFonts w:ascii="华文仿宋" w:eastAsia="华文仿宋" w:hAnsi="华文仿宋" w:cs="华文仿宋"/>
                <w:sz w:val="28"/>
                <w:szCs w:val="28"/>
              </w:rPr>
            </w:pPr>
            <w:r w:rsidRPr="005B40A1">
              <w:rPr>
                <w:rFonts w:ascii="华文仿宋" w:eastAsia="华文仿宋" w:hAnsi="华文仿宋" w:cs="华文仿宋" w:hint="eastAsia"/>
                <w:sz w:val="28"/>
                <w:szCs w:val="28"/>
              </w:rPr>
              <w:t> </w:t>
            </w:r>
          </w:p>
        </w:tc>
      </w:tr>
    </w:tbl>
    <w:p w:rsidR="002F12E4" w:rsidRDefault="002F12E4">
      <w:pPr>
        <w:rPr>
          <w:rFonts w:ascii="华文仿宋" w:eastAsia="华文仿宋" w:hAnsi="华文仿宋" w:cs="宋体"/>
          <w:kern w:val="0"/>
          <w:szCs w:val="28"/>
        </w:rPr>
      </w:pPr>
    </w:p>
    <w:p w:rsidR="002F12E4" w:rsidRDefault="004F4F55">
      <w:pPr>
        <w:pStyle w:val="2"/>
        <w:spacing w:line="240" w:lineRule="auto"/>
        <w:rPr>
          <w:rFonts w:asciiTheme="minorEastAsia" w:eastAsiaTheme="minorEastAsia" w:hAnsiTheme="minorEastAsia"/>
          <w:bCs w:val="0"/>
          <w:color w:val="000000" w:themeColor="text1"/>
          <w:szCs w:val="28"/>
        </w:rPr>
      </w:pPr>
      <w:bookmarkStart w:id="55" w:name="_Toc5976980"/>
      <w:bookmarkStart w:id="56" w:name="_Toc4768358"/>
      <w:bookmarkStart w:id="57" w:name="_Toc5976960"/>
      <w:bookmarkStart w:id="58" w:name="_Toc5281985"/>
      <w:bookmarkStart w:id="59" w:name="_Toc4768338"/>
      <w:bookmarkStart w:id="60" w:name="_Toc4160088"/>
      <w:bookmarkStart w:id="61" w:name="_Toc1736585"/>
      <w:bookmarkStart w:id="62" w:name="_Toc2934027"/>
      <w:bookmarkStart w:id="63" w:name="_Toc536797014"/>
      <w:bookmarkStart w:id="64" w:name="_Toc2934048"/>
      <w:bookmarkStart w:id="65" w:name="_Toc10211769"/>
      <w:bookmarkStart w:id="66" w:name="_Toc10731581"/>
      <w:bookmarkStart w:id="67" w:name="_Toc12625693"/>
      <w:bookmarkStart w:id="68" w:name="_Toc12625783"/>
      <w:r>
        <w:rPr>
          <w:rFonts w:asciiTheme="minorEastAsia" w:eastAsiaTheme="minorEastAsia" w:hAnsiTheme="minorEastAsia" w:hint="eastAsia"/>
          <w:bCs w:val="0"/>
          <w:color w:val="000000" w:themeColor="text1"/>
          <w:szCs w:val="28"/>
        </w:rPr>
        <w:t>2.2地炼石脑油市场</w:t>
      </w:r>
      <w:bookmarkEnd w:id="9"/>
      <w:bookmarkEnd w:id="1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C20AB6" w:rsidRPr="00C20AB6" w:rsidRDefault="00C20AB6" w:rsidP="00C20AB6">
      <w:pPr>
        <w:pStyle w:val="aa"/>
        <w:ind w:firstLineChars="200" w:firstLine="560"/>
        <w:rPr>
          <w:rFonts w:ascii="华文仿宋" w:eastAsia="华文仿宋" w:hAnsi="华文仿宋"/>
          <w:color w:val="000000"/>
          <w:sz w:val="28"/>
          <w:szCs w:val="28"/>
        </w:rPr>
      </w:pPr>
      <w:r w:rsidRPr="00C20AB6">
        <w:rPr>
          <w:rFonts w:ascii="华文仿宋" w:eastAsia="华文仿宋" w:hAnsi="华文仿宋"/>
          <w:color w:val="000000"/>
          <w:sz w:val="28"/>
          <w:szCs w:val="28"/>
        </w:rPr>
        <w:t>石脑油：国际原油近期重归弱势制约了石化市场活性。亚洲石脑油市场供应过剩态势并未出现改观，尽管近期自西方运抵亚洲区内的套利船货规模收窄，但前期资源囤积且区内消化能力不足施压油价，亚洲石脑油递价水平运行弱势，MOPJ价格下行修正。挂靠日本石脑油计价的中国主营炼厂石脑油出厂价本周期内呈现大举下行态势，截至6月14</w:t>
      </w:r>
      <w:r w:rsidR="00A50D8B">
        <w:rPr>
          <w:rFonts w:ascii="华文仿宋" w:eastAsia="华文仿宋" w:hAnsi="华文仿宋"/>
          <w:color w:val="000000"/>
          <w:sz w:val="28"/>
          <w:szCs w:val="28"/>
        </w:rPr>
        <w:t>日，</w:t>
      </w:r>
      <w:r w:rsidRPr="00C20AB6">
        <w:rPr>
          <w:rFonts w:ascii="华文仿宋" w:eastAsia="华文仿宋" w:hAnsi="华文仿宋"/>
          <w:color w:val="000000"/>
          <w:sz w:val="28"/>
          <w:szCs w:val="28"/>
        </w:rPr>
        <w:t>预测2019年6月中石化石脑油含税结算价跌600至3630元/吨。国内地炼及煤基石脑油市场周内一度调涨，但随后巨大的销售阻力施压成交均线，周内主力生产区域如山东、西北地区资源成交价格进一步下移，因东北部分外采单位检修，石化原料采购受限，乙烯料近期陷入销售停滞阶段，短线难现改观。</w:t>
      </w:r>
    </w:p>
    <w:p w:rsidR="002F12E4" w:rsidRDefault="004F4F55">
      <w:pPr>
        <w:outlineLvl w:val="1"/>
        <w:rPr>
          <w:rFonts w:asciiTheme="minorEastAsia" w:eastAsiaTheme="minorEastAsia" w:hAnsiTheme="minorEastAsia"/>
          <w:b/>
          <w:sz w:val="28"/>
          <w:szCs w:val="28"/>
        </w:rPr>
      </w:pPr>
      <w:bookmarkStart w:id="69" w:name="_Toc296600813"/>
      <w:bookmarkStart w:id="70" w:name="_Toc460250406"/>
      <w:bookmarkStart w:id="71" w:name="_Toc505350010"/>
      <w:bookmarkStart w:id="72" w:name="_Toc536797015"/>
      <w:bookmarkStart w:id="73" w:name="_Toc1736586"/>
      <w:bookmarkStart w:id="74" w:name="_Toc281568203"/>
      <w:bookmarkStart w:id="75" w:name="_Toc2934028"/>
      <w:bookmarkStart w:id="76" w:name="_Toc2934049"/>
      <w:bookmarkStart w:id="77" w:name="_Toc4160089"/>
      <w:bookmarkStart w:id="78" w:name="_Toc4768339"/>
      <w:bookmarkStart w:id="79" w:name="_Toc5281986"/>
      <w:bookmarkStart w:id="80" w:name="_Toc4768359"/>
      <w:bookmarkStart w:id="81" w:name="_Toc5976981"/>
      <w:bookmarkStart w:id="82" w:name="_Toc5976961"/>
      <w:bookmarkStart w:id="83" w:name="_Toc10211770"/>
      <w:bookmarkStart w:id="84" w:name="_Toc10731582"/>
      <w:bookmarkStart w:id="85" w:name="_Toc12625694"/>
      <w:bookmarkStart w:id="86" w:name="_Toc12625784"/>
      <w:r>
        <w:rPr>
          <w:rFonts w:asciiTheme="minorEastAsia" w:eastAsiaTheme="minorEastAsia" w:hAnsiTheme="minorEastAsia" w:hint="eastAsia"/>
          <w:b/>
          <w:sz w:val="28"/>
          <w:szCs w:val="28"/>
        </w:rPr>
        <w:t>2.3本周国内石脑油价格汇总</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2F12E4" w:rsidRDefault="002F12E4">
      <w:pPr>
        <w:rPr>
          <w:rFonts w:ascii="宋体" w:hAnsi="宋体" w:cs="Arial"/>
          <w:kern w:val="0"/>
          <w:sz w:val="20"/>
          <w:szCs w:val="20"/>
        </w:rPr>
      </w:pPr>
    </w:p>
    <w:p w:rsidR="002F12E4" w:rsidRDefault="002F12E4">
      <w:pPr>
        <w:rPr>
          <w:rFonts w:ascii="宋体" w:hAnsi="宋体" w:cs="Arial"/>
          <w:kern w:val="0"/>
          <w:sz w:val="20"/>
          <w:szCs w:val="20"/>
        </w:rPr>
      </w:pPr>
    </w:p>
    <w:p w:rsidR="002F12E4" w:rsidRDefault="004F4F55">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4F4F55">
      <w:pPr>
        <w:rPr>
          <w:rFonts w:ascii="宋体" w:hAnsi="宋体" w:cs="Arial"/>
          <w:kern w:val="0"/>
          <w:sz w:val="20"/>
          <w:szCs w:val="20"/>
        </w:rPr>
      </w:pPr>
      <w:r>
        <w:rPr>
          <w:rFonts w:ascii="宋体" w:hAnsi="宋体" w:cs="Arial" w:hint="eastAsia"/>
          <w:kern w:val="0"/>
          <w:sz w:val="20"/>
          <w:szCs w:val="20"/>
        </w:rPr>
        <w:t xml:space="preserve"> 单位：元/吨</w:t>
      </w:r>
    </w:p>
    <w:p w:rsidR="002F12E4" w:rsidRDefault="002F12E4">
      <w:pPr>
        <w:rPr>
          <w:rFonts w:ascii="宋体" w:hAnsi="宋体" w:cs="Arial"/>
          <w:kern w:val="0"/>
          <w:sz w:val="20"/>
          <w:szCs w:val="20"/>
        </w:rPr>
      </w:pPr>
    </w:p>
    <w:tbl>
      <w:tblPr>
        <w:tblW w:w="10060" w:type="dxa"/>
        <w:tblInd w:w="93" w:type="dxa"/>
        <w:tblLook w:val="04A0"/>
      </w:tblPr>
      <w:tblGrid>
        <w:gridCol w:w="1080"/>
        <w:gridCol w:w="1520"/>
        <w:gridCol w:w="1540"/>
        <w:gridCol w:w="1400"/>
        <w:gridCol w:w="1080"/>
        <w:gridCol w:w="1720"/>
        <w:gridCol w:w="1720"/>
      </w:tblGrid>
      <w:tr w:rsidR="006124EF" w:rsidRPr="006124EF" w:rsidTr="006124EF">
        <w:trPr>
          <w:trHeight w:val="405"/>
        </w:trPr>
        <w:tc>
          <w:tcPr>
            <w:tcW w:w="108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地区</w:t>
            </w:r>
          </w:p>
        </w:tc>
        <w:tc>
          <w:tcPr>
            <w:tcW w:w="1520" w:type="dxa"/>
            <w:tcBorders>
              <w:top w:val="single" w:sz="4" w:space="0" w:color="auto"/>
              <w:left w:val="nil"/>
              <w:bottom w:val="single" w:sz="4" w:space="0" w:color="auto"/>
              <w:right w:val="single" w:sz="4"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生产厂家</w:t>
            </w:r>
          </w:p>
        </w:tc>
        <w:tc>
          <w:tcPr>
            <w:tcW w:w="1540" w:type="dxa"/>
            <w:tcBorders>
              <w:top w:val="single" w:sz="4" w:space="0" w:color="auto"/>
              <w:left w:val="nil"/>
              <w:bottom w:val="single" w:sz="4" w:space="0" w:color="auto"/>
              <w:right w:val="single" w:sz="4"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产品名称</w:t>
            </w:r>
          </w:p>
        </w:tc>
        <w:tc>
          <w:tcPr>
            <w:tcW w:w="1400" w:type="dxa"/>
            <w:tcBorders>
              <w:top w:val="single" w:sz="4" w:space="0" w:color="auto"/>
              <w:left w:val="nil"/>
              <w:bottom w:val="single" w:sz="4" w:space="0" w:color="auto"/>
              <w:right w:val="single" w:sz="4"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价格类型</w:t>
            </w:r>
          </w:p>
        </w:tc>
        <w:tc>
          <w:tcPr>
            <w:tcW w:w="1080" w:type="dxa"/>
            <w:tcBorders>
              <w:top w:val="single" w:sz="4" w:space="0" w:color="auto"/>
              <w:left w:val="nil"/>
              <w:bottom w:val="single" w:sz="4" w:space="0" w:color="auto"/>
              <w:right w:val="single" w:sz="4"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涨跌</w:t>
            </w:r>
          </w:p>
        </w:tc>
        <w:tc>
          <w:tcPr>
            <w:tcW w:w="1720" w:type="dxa"/>
            <w:tcBorders>
              <w:top w:val="single" w:sz="4" w:space="0" w:color="auto"/>
              <w:left w:val="nil"/>
              <w:bottom w:val="single" w:sz="4" w:space="0" w:color="auto"/>
              <w:right w:val="single" w:sz="4"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2019/7/12</w:t>
            </w:r>
          </w:p>
        </w:tc>
        <w:tc>
          <w:tcPr>
            <w:tcW w:w="1720" w:type="dxa"/>
            <w:tcBorders>
              <w:top w:val="single" w:sz="4" w:space="0" w:color="auto"/>
              <w:left w:val="nil"/>
              <w:bottom w:val="single" w:sz="4" w:space="0" w:color="auto"/>
              <w:right w:val="single" w:sz="4"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2019/7/5</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lastRenderedPageBreak/>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金城石化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恒源石化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东明石化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中海石化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弘润石化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华星石化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海科石化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广饶石化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鑫泰石化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利津石化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胜华石化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长城石化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安邦石化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日照源丰</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富海石化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京博石化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昌邑石化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-200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5350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5150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垦利石化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寿光石化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神驰石化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汇丰石化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lastRenderedPageBreak/>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宝塔石化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滨化石化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81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高青宏远石化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河口实业</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r>
      <w:tr w:rsidR="006124EF" w:rsidRPr="006124EF" w:rsidTr="006124EF">
        <w:trPr>
          <w:trHeight w:val="81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科力达石化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5600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5600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东方华龙</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6550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6550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齐成工贸</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5350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5350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广悦化工</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6300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6300</w:t>
            </w:r>
          </w:p>
        </w:tc>
      </w:tr>
      <w:tr w:rsidR="006124EF" w:rsidRPr="006124EF" w:rsidTr="006124EF">
        <w:trPr>
          <w:trHeight w:val="81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石大昌盛能源</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-500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6200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5700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永鑫化工</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6250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6250</w:t>
            </w:r>
          </w:p>
        </w:tc>
      </w:tr>
      <w:tr w:rsidR="006124EF" w:rsidRPr="006124EF" w:rsidTr="006124EF">
        <w:trPr>
          <w:trHeight w:val="81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日照岚桥港口石化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6300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6300</w:t>
            </w:r>
          </w:p>
        </w:tc>
      </w:tr>
      <w:tr w:rsidR="006124EF" w:rsidRPr="006124EF" w:rsidTr="006124EF">
        <w:trPr>
          <w:trHeight w:val="81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无棣鑫岳石化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6300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6300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尚能石化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5980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5980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海右石化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5550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5550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亚通石化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6250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6250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鑫泉焦化</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7400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7400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盘锦北沥</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3656</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3656</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lastRenderedPageBreak/>
              <w:t>东北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盘锦宏业</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4956</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4956</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中天浩业</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4956</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4956</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陕西华航</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4250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4250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神木天元</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3800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3800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神木富油</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3850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3850</w:t>
            </w:r>
          </w:p>
        </w:tc>
      </w:tr>
      <w:tr w:rsidR="006124EF" w:rsidRPr="006124EF" w:rsidTr="006124EF">
        <w:trPr>
          <w:trHeight w:val="81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内蒙古庆华</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5450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5450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陕西未来</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3400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3400</w:t>
            </w:r>
          </w:p>
        </w:tc>
      </w:tr>
      <w:tr w:rsidR="006124EF" w:rsidRPr="006124EF" w:rsidTr="006124EF">
        <w:trPr>
          <w:trHeight w:val="40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华东</w:t>
            </w:r>
          </w:p>
        </w:tc>
        <w:tc>
          <w:tcPr>
            <w:tcW w:w="15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江苏新海</w:t>
            </w:r>
          </w:p>
        </w:tc>
        <w:tc>
          <w:tcPr>
            <w:tcW w:w="154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出厂价</w:t>
            </w:r>
          </w:p>
        </w:tc>
        <w:tc>
          <w:tcPr>
            <w:tcW w:w="108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6650</w:t>
            </w:r>
          </w:p>
        </w:tc>
        <w:tc>
          <w:tcPr>
            <w:tcW w:w="1720" w:type="dxa"/>
            <w:tcBorders>
              <w:top w:val="nil"/>
              <w:left w:val="nil"/>
              <w:bottom w:val="single" w:sz="4" w:space="0" w:color="auto"/>
              <w:right w:val="single" w:sz="4"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color w:val="000000"/>
                <w:kern w:val="0"/>
                <w:sz w:val="28"/>
                <w:szCs w:val="28"/>
              </w:rPr>
            </w:pPr>
            <w:r w:rsidRPr="006124EF">
              <w:rPr>
                <w:rFonts w:ascii="华文仿宋" w:eastAsia="华文仿宋" w:hAnsi="华文仿宋" w:cs="宋体" w:hint="eastAsia"/>
                <w:color w:val="000000"/>
                <w:kern w:val="0"/>
                <w:sz w:val="28"/>
                <w:szCs w:val="28"/>
              </w:rPr>
              <w:t>6650</w:t>
            </w:r>
          </w:p>
        </w:tc>
      </w:tr>
    </w:tbl>
    <w:p w:rsidR="002F12E4" w:rsidRDefault="002F12E4">
      <w:pPr>
        <w:rPr>
          <w:rFonts w:ascii="宋体" w:hAnsi="宋体" w:cs="Arial"/>
          <w:kern w:val="0"/>
          <w:sz w:val="20"/>
          <w:szCs w:val="20"/>
        </w:rPr>
      </w:pPr>
    </w:p>
    <w:p w:rsidR="002F12E4" w:rsidRDefault="004F4F55" w:rsidP="00284E04">
      <w:pPr>
        <w:pStyle w:val="2"/>
        <w:spacing w:line="240" w:lineRule="auto"/>
        <w:jc w:val="left"/>
        <w:rPr>
          <w:rFonts w:ascii="宋体" w:hAnsi="宋体" w:cs="宋体"/>
          <w:kern w:val="0"/>
          <w:sz w:val="24"/>
          <w:szCs w:val="24"/>
        </w:rPr>
      </w:pPr>
      <w:bookmarkStart w:id="87" w:name="_Toc5281987"/>
      <w:bookmarkStart w:id="88" w:name="_Toc4160090"/>
      <w:bookmarkStart w:id="89" w:name="_Toc4768340"/>
      <w:bookmarkStart w:id="90" w:name="_Toc5976982"/>
      <w:bookmarkStart w:id="91" w:name="_Toc4768360"/>
      <w:bookmarkStart w:id="92" w:name="_Toc5976962"/>
      <w:bookmarkStart w:id="93" w:name="_Toc2934050"/>
      <w:bookmarkStart w:id="94" w:name="_Toc2934029"/>
      <w:bookmarkStart w:id="95" w:name="_Toc281568204"/>
      <w:bookmarkStart w:id="96" w:name="_Toc505350011"/>
      <w:bookmarkStart w:id="97" w:name="_Toc1736587"/>
      <w:bookmarkStart w:id="98" w:name="_Toc536797016"/>
      <w:bookmarkStart w:id="99" w:name="_Toc460250407"/>
      <w:bookmarkStart w:id="100" w:name="_Toc296600814"/>
      <w:bookmarkStart w:id="101" w:name="_Toc10211771"/>
      <w:bookmarkStart w:id="102" w:name="_Toc10731583"/>
      <w:bookmarkStart w:id="103" w:name="_Toc12625695"/>
      <w:bookmarkStart w:id="104" w:name="_Toc12625785"/>
      <w:bookmarkStart w:id="105" w:name="_Toc239847719"/>
      <w:bookmarkStart w:id="106" w:name="_Toc158203132"/>
      <w:r>
        <w:rPr>
          <w:rFonts w:asciiTheme="minorEastAsia" w:eastAsiaTheme="minorEastAsia" w:hAnsiTheme="minorEastAsia" w:hint="eastAsia"/>
          <w:szCs w:val="28"/>
        </w:rPr>
        <w:t>2.4山东地炼石脑油价格走势图</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2F12E4" w:rsidRDefault="002F12E4">
      <w:pPr>
        <w:rPr>
          <w:sz w:val="20"/>
          <w:szCs w:val="20"/>
        </w:rPr>
      </w:pPr>
    </w:p>
    <w:p w:rsidR="002F12E4" w:rsidRDefault="00D70FE7" w:rsidP="00A43F9E">
      <w:pPr>
        <w:jc w:val="center"/>
        <w:rPr>
          <w:sz w:val="20"/>
          <w:szCs w:val="20"/>
        </w:rPr>
      </w:pPr>
      <w:r w:rsidRPr="00D70FE7">
        <w:rPr>
          <w:noProof/>
          <w:sz w:val="20"/>
          <w:szCs w:val="20"/>
        </w:rPr>
        <w:drawing>
          <wp:inline distT="0" distB="0" distL="0" distR="0">
            <wp:extent cx="5219700" cy="3200400"/>
            <wp:effectExtent l="19050" t="0" r="19050"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12E4" w:rsidRDefault="004F4F55">
      <w:pPr>
        <w:outlineLvl w:val="0"/>
        <w:rPr>
          <w:rFonts w:ascii="黑体" w:eastAsia="黑体"/>
          <w:b/>
          <w:sz w:val="28"/>
          <w:szCs w:val="28"/>
        </w:rPr>
      </w:pPr>
      <w:bookmarkStart w:id="107" w:name="_Toc237428455"/>
      <w:bookmarkStart w:id="108" w:name="_Toc460250408"/>
      <w:bookmarkStart w:id="109" w:name="_Toc5976963"/>
      <w:bookmarkStart w:id="110" w:name="_Toc296600816"/>
      <w:bookmarkStart w:id="111" w:name="_Toc2934030"/>
      <w:bookmarkStart w:id="112" w:name="_Toc536797017"/>
      <w:bookmarkStart w:id="113" w:name="_Toc5976983"/>
      <w:bookmarkStart w:id="114" w:name="_Toc1736588"/>
      <w:bookmarkStart w:id="115" w:name="_Toc4768361"/>
      <w:bookmarkStart w:id="116" w:name="_Toc281568206"/>
      <w:bookmarkStart w:id="117" w:name="_Toc5281988"/>
      <w:bookmarkStart w:id="118" w:name="_Toc4160091"/>
      <w:bookmarkStart w:id="119" w:name="_Toc4768341"/>
      <w:bookmarkStart w:id="120" w:name="_Toc505350012"/>
      <w:bookmarkStart w:id="121" w:name="_Toc2934051"/>
      <w:bookmarkStart w:id="122" w:name="_Toc10211772"/>
      <w:bookmarkStart w:id="123" w:name="_Toc10731584"/>
      <w:bookmarkStart w:id="124" w:name="_Toc12625696"/>
      <w:bookmarkStart w:id="125" w:name="_Toc12625786"/>
      <w:bookmarkEnd w:id="105"/>
      <w:bookmarkEnd w:id="106"/>
      <w:r>
        <w:rPr>
          <w:rFonts w:ascii="黑体" w:eastAsia="黑体" w:hint="eastAsia"/>
          <w:b/>
          <w:sz w:val="28"/>
          <w:szCs w:val="28"/>
        </w:rPr>
        <w:t>三、本周国内油品市场分析及预测</w:t>
      </w:r>
      <w:bookmarkStart w:id="126" w:name="_Toc460250409"/>
      <w:bookmarkStart w:id="127" w:name="_Toc281568207"/>
      <w:bookmarkStart w:id="128" w:name="_Toc296600817"/>
      <w:bookmarkStart w:id="129" w:name="_Toc237428456"/>
      <w:bookmarkStart w:id="130" w:name="_Toc176571903"/>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2F12E4" w:rsidRDefault="004F4F55">
      <w:pPr>
        <w:pStyle w:val="1"/>
        <w:spacing w:line="360" w:lineRule="auto"/>
        <w:rPr>
          <w:rFonts w:asciiTheme="minorEastAsia" w:eastAsiaTheme="minorEastAsia" w:hAnsiTheme="minorEastAsia"/>
          <w:kern w:val="2"/>
          <w:sz w:val="28"/>
          <w:szCs w:val="28"/>
        </w:rPr>
      </w:pPr>
      <w:bookmarkStart w:id="131" w:name="_Toc505350013"/>
      <w:bookmarkStart w:id="132" w:name="_Toc536797018"/>
      <w:bookmarkStart w:id="133" w:name="_Toc2934031"/>
      <w:bookmarkStart w:id="134" w:name="_Toc4160092"/>
      <w:bookmarkStart w:id="135" w:name="_Toc4768342"/>
      <w:bookmarkStart w:id="136" w:name="_Toc1736589"/>
      <w:bookmarkStart w:id="137" w:name="_Toc4768362"/>
      <w:bookmarkStart w:id="138" w:name="_Toc2934052"/>
      <w:bookmarkStart w:id="139" w:name="_Toc5281989"/>
      <w:bookmarkStart w:id="140" w:name="_Toc5976984"/>
      <w:bookmarkStart w:id="141" w:name="_Toc5976964"/>
      <w:bookmarkStart w:id="142" w:name="_Toc10211773"/>
      <w:bookmarkStart w:id="143" w:name="_Toc10731585"/>
      <w:bookmarkStart w:id="144" w:name="_Toc12625697"/>
      <w:bookmarkStart w:id="145" w:name="_Toc12625787"/>
      <w:r>
        <w:rPr>
          <w:rFonts w:asciiTheme="minorEastAsia" w:eastAsiaTheme="minorEastAsia" w:hAnsiTheme="minorEastAsia" w:hint="eastAsia"/>
          <w:kern w:val="2"/>
          <w:sz w:val="28"/>
          <w:szCs w:val="28"/>
        </w:rPr>
        <w:lastRenderedPageBreak/>
        <w:t>3．1  成品油市场动态</w:t>
      </w:r>
      <w:bookmarkEnd w:id="126"/>
      <w:bookmarkEnd w:id="127"/>
      <w:bookmarkEnd w:id="128"/>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773D99" w:rsidRPr="00773D99" w:rsidRDefault="00773D99" w:rsidP="00773D99">
      <w:pPr>
        <w:widowControl/>
        <w:ind w:firstLineChars="200" w:firstLine="560"/>
        <w:jc w:val="left"/>
        <w:rPr>
          <w:rFonts w:ascii="华文仿宋" w:eastAsia="华文仿宋" w:hAnsi="华文仿宋" w:cs="宋体"/>
          <w:kern w:val="0"/>
          <w:sz w:val="28"/>
          <w:szCs w:val="28"/>
        </w:rPr>
      </w:pPr>
      <w:r w:rsidRPr="00773D99">
        <w:rPr>
          <w:rFonts w:ascii="华文仿宋" w:eastAsia="华文仿宋" w:hAnsi="华文仿宋" w:cs="宋体" w:hint="eastAsia"/>
          <w:kern w:val="0"/>
          <w:sz w:val="28"/>
          <w:szCs w:val="28"/>
        </w:rPr>
        <w:t>本周，国际原油期货呈上行走势，据测算第二个工作日参考原油变化率为0.9%。受此影响，国内成品油市场行情整体上行，各地主营单位汽柴油价格上调。与此同时，山东地炼成品油行情涨势喜人，各炼厂报价频频推涨，但成交保持100元/吨左右优惠。具体来看出货方面：受外盘油价反弹提振，区内油市看涨气氛热烈，中间商囤货意向渐起，而下游用户补货操作明显增加。加上近期地炼纷纷得到来自主营的外采订单，因此地炼整体出货量增加，继而频频推价以刺激下游买涨情绪。</w:t>
      </w:r>
    </w:p>
    <w:p w:rsidR="00773D99" w:rsidRPr="00773D99" w:rsidRDefault="00773D99" w:rsidP="00773D99">
      <w:pPr>
        <w:widowControl/>
        <w:ind w:firstLineChars="200" w:firstLine="560"/>
        <w:jc w:val="left"/>
        <w:rPr>
          <w:rFonts w:ascii="华文仿宋" w:eastAsia="华文仿宋" w:hAnsi="华文仿宋" w:cs="宋体"/>
          <w:kern w:val="0"/>
          <w:sz w:val="28"/>
          <w:szCs w:val="28"/>
        </w:rPr>
      </w:pPr>
    </w:p>
    <w:p w:rsidR="00773D99" w:rsidRPr="00773D99" w:rsidRDefault="00773D99" w:rsidP="00773D99">
      <w:pPr>
        <w:widowControl/>
        <w:ind w:firstLineChars="200" w:firstLine="560"/>
        <w:jc w:val="left"/>
        <w:rPr>
          <w:rFonts w:ascii="华文仿宋" w:eastAsia="华文仿宋" w:hAnsi="华文仿宋" w:cs="宋体"/>
          <w:kern w:val="0"/>
          <w:sz w:val="28"/>
          <w:szCs w:val="28"/>
        </w:rPr>
      </w:pPr>
      <w:r w:rsidRPr="00773D99">
        <w:rPr>
          <w:rFonts w:ascii="华文仿宋" w:eastAsia="华文仿宋" w:hAnsi="华文仿宋" w:cs="宋体" w:hint="eastAsia"/>
          <w:kern w:val="0"/>
          <w:sz w:val="28"/>
          <w:szCs w:val="28"/>
        </w:rPr>
        <w:t>后市前瞻：进入下周，国际原油期价WTI在突破60美元/桶的整数关后，或有一个确认震荡的过程，此后有继续上行的空间，以WTI为例，主流运行区间在58-62(均值60)美元/桶之间。受消息面利好提振，山东地炼成品油行情有望保持坚挺，买卖双方操作仍显积极，市场交投气氛活跃。综上所述，预计下周山东地炼汽柴油价格稳中上涨。</w:t>
      </w:r>
    </w:p>
    <w:p w:rsidR="00773D99" w:rsidRPr="00773D99" w:rsidRDefault="00773D99" w:rsidP="00773D99">
      <w:pPr>
        <w:widowControl/>
        <w:ind w:firstLineChars="200" w:firstLine="560"/>
        <w:jc w:val="left"/>
        <w:rPr>
          <w:rFonts w:ascii="华文仿宋" w:eastAsia="华文仿宋" w:hAnsi="华文仿宋" w:cs="宋体"/>
          <w:kern w:val="0"/>
          <w:sz w:val="28"/>
          <w:szCs w:val="28"/>
        </w:rPr>
      </w:pPr>
    </w:p>
    <w:p w:rsidR="00773D99" w:rsidRPr="00773D99" w:rsidRDefault="00773D99" w:rsidP="00773D99">
      <w:pPr>
        <w:widowControl/>
        <w:ind w:firstLineChars="200" w:firstLine="560"/>
        <w:jc w:val="left"/>
        <w:rPr>
          <w:rFonts w:ascii="华文仿宋" w:eastAsia="华文仿宋" w:hAnsi="华文仿宋" w:cs="宋体"/>
          <w:kern w:val="0"/>
          <w:sz w:val="28"/>
          <w:szCs w:val="28"/>
        </w:rPr>
      </w:pPr>
      <w:r w:rsidRPr="00773D99">
        <w:rPr>
          <w:rFonts w:ascii="华文仿宋" w:eastAsia="华文仿宋" w:hAnsi="华文仿宋" w:cs="宋体" w:hint="eastAsia"/>
          <w:kern w:val="0"/>
          <w:sz w:val="28"/>
          <w:szCs w:val="28"/>
        </w:rPr>
        <w:t>华中地区本周(7月5日-7月11日)，区内油价涨势逐渐扩大 市场成交气氛难有提升 具体分析如下，周初，原油波动有限，零售价于周二如期兑现上调。但因前期价格多有消化，故主营汽柴报价以稳居多，部分单位根据自身情况涨跌调整。下游入市谨慎，市场交投偏淡。随后原油期价接连收涨，变化率由负转为正向运行，消息面利好加深，加上近期地炼价格不断拉升，主营汽柴报价涨势扩大。后市来看，国际原油或维持偏强震荡，本轮零售价或仍存上调预期，消息面对市</w:t>
      </w:r>
      <w:r w:rsidRPr="00773D99">
        <w:rPr>
          <w:rFonts w:ascii="华文仿宋" w:eastAsia="华文仿宋" w:hAnsi="华文仿宋" w:cs="宋体" w:hint="eastAsia"/>
          <w:kern w:val="0"/>
          <w:sz w:val="28"/>
          <w:szCs w:val="28"/>
        </w:rPr>
        <w:lastRenderedPageBreak/>
        <w:t>场有一定支撑。故预计短期内华中地区成品油价格或延续震荡上行，不过随着主营出货压力增大，其销售政策或愈加灵活。</w:t>
      </w:r>
    </w:p>
    <w:p w:rsidR="00773D99" w:rsidRPr="00773D99" w:rsidRDefault="00773D99" w:rsidP="00773D99">
      <w:pPr>
        <w:widowControl/>
        <w:ind w:firstLineChars="200" w:firstLine="560"/>
        <w:jc w:val="left"/>
        <w:rPr>
          <w:rFonts w:ascii="华文仿宋" w:eastAsia="华文仿宋" w:hAnsi="华文仿宋" w:cs="宋体"/>
          <w:kern w:val="0"/>
          <w:sz w:val="28"/>
          <w:szCs w:val="28"/>
        </w:rPr>
      </w:pPr>
    </w:p>
    <w:p w:rsidR="00773D99" w:rsidRPr="00773D99" w:rsidRDefault="00773D99" w:rsidP="00773D99">
      <w:pPr>
        <w:widowControl/>
        <w:ind w:firstLineChars="200" w:firstLine="560"/>
        <w:jc w:val="left"/>
        <w:rPr>
          <w:rFonts w:ascii="华文仿宋" w:eastAsia="华文仿宋" w:hAnsi="华文仿宋" w:cs="宋体"/>
          <w:kern w:val="0"/>
          <w:sz w:val="28"/>
          <w:szCs w:val="28"/>
        </w:rPr>
      </w:pPr>
      <w:r w:rsidRPr="00773D99">
        <w:rPr>
          <w:rFonts w:ascii="华文仿宋" w:eastAsia="华文仿宋" w:hAnsi="华文仿宋" w:cs="宋体" w:hint="eastAsia"/>
          <w:kern w:val="0"/>
          <w:sz w:val="28"/>
          <w:szCs w:val="28"/>
        </w:rPr>
        <w:t>华北地区主营汽柴油延续上涨趋势，市场交投氛围较为清淡。分析来看，本周国际原油期价震荡走高，周二零售价上调如时兑现，且进入新一轮周期变化率由负值转为正值运行，整体看来消息面向好运行，对区内成品油市场形成支撑。加之华北地区主营柴油资源依然偏紧，价格涨幅明显。下游业者入市操作心态谨慎，市场成交氛围偏淡。后市来看，国际原油或震荡上行，零售价存“二连涨”预期，因此预计下周华北成品油市场或高位区间震荡，购销氛围维持平淡。</w:t>
      </w:r>
    </w:p>
    <w:p w:rsidR="00773D99" w:rsidRPr="00773D99" w:rsidRDefault="00773D99" w:rsidP="00773D99">
      <w:pPr>
        <w:widowControl/>
        <w:ind w:firstLineChars="200" w:firstLine="560"/>
        <w:jc w:val="left"/>
        <w:rPr>
          <w:rFonts w:ascii="华文仿宋" w:eastAsia="华文仿宋" w:hAnsi="华文仿宋" w:cs="宋体"/>
          <w:kern w:val="0"/>
          <w:sz w:val="28"/>
          <w:szCs w:val="28"/>
        </w:rPr>
      </w:pPr>
    </w:p>
    <w:p w:rsidR="00773D99" w:rsidRPr="00773D99" w:rsidRDefault="00773D99" w:rsidP="00773D99">
      <w:pPr>
        <w:widowControl/>
        <w:ind w:firstLineChars="200" w:firstLine="560"/>
        <w:jc w:val="left"/>
        <w:rPr>
          <w:rFonts w:ascii="华文仿宋" w:eastAsia="华文仿宋" w:hAnsi="华文仿宋" w:cs="宋体"/>
          <w:kern w:val="0"/>
          <w:sz w:val="28"/>
          <w:szCs w:val="28"/>
        </w:rPr>
      </w:pPr>
      <w:r w:rsidRPr="00773D99">
        <w:rPr>
          <w:rFonts w:ascii="华文仿宋" w:eastAsia="华文仿宋" w:hAnsi="华文仿宋" w:cs="宋体" w:hint="eastAsia"/>
          <w:kern w:val="0"/>
          <w:sz w:val="28"/>
          <w:szCs w:val="28"/>
        </w:rPr>
        <w:t>华东地区成品油行情进一步上涨，市场购销难有明显好转。具体来看，7月9日汽柴油零售价兑现上调，新一轮计价周期内国际油价大幅上涨，变化率再度正向运行，消息面对市场提振明显。由于地方炼厂降负荷，成品油尤其柴油产量难以提升，华东地区柴油外采难度较大，个别单位资源偏紧，区内柴油价格稳中上行;而本月受夏季因素提振以及外采成本上扬影响，区内主营汽油行情支撑走高，目前汽柴批发价格仍然倒挂运行。下游用户多观望操作为主，入市采购较为有限，市场交投气氛难有改善。后市而言，国际油价或仍震荡上扬，成品油零售价存“二连涨”预期，消息面依旧对市场有所支撑。预计下周华东地区成品油行情或仍震荡走高，汽柴油批发倒挂幅度或进一步缩小，部分业者采购汽油意愿或增强，而柴油价格偏高业者抵触心态升温</w:t>
      </w:r>
    </w:p>
    <w:p w:rsidR="00773D99" w:rsidRPr="00773D99" w:rsidRDefault="00773D99" w:rsidP="00773D99">
      <w:pPr>
        <w:widowControl/>
        <w:ind w:firstLineChars="200" w:firstLine="560"/>
        <w:jc w:val="left"/>
        <w:rPr>
          <w:rFonts w:ascii="华文仿宋" w:eastAsia="华文仿宋" w:hAnsi="华文仿宋" w:cs="宋体"/>
          <w:kern w:val="0"/>
          <w:sz w:val="28"/>
          <w:szCs w:val="28"/>
        </w:rPr>
      </w:pPr>
    </w:p>
    <w:p w:rsidR="00773D99" w:rsidRPr="00773D99" w:rsidRDefault="00773D99" w:rsidP="00773D99">
      <w:pPr>
        <w:widowControl/>
        <w:ind w:firstLineChars="200" w:firstLine="560"/>
        <w:jc w:val="left"/>
        <w:rPr>
          <w:rFonts w:ascii="华文仿宋" w:eastAsia="华文仿宋" w:hAnsi="华文仿宋" w:cs="宋体"/>
          <w:kern w:val="0"/>
          <w:sz w:val="28"/>
          <w:szCs w:val="28"/>
        </w:rPr>
      </w:pPr>
      <w:r w:rsidRPr="00773D99">
        <w:rPr>
          <w:rFonts w:ascii="华文仿宋" w:eastAsia="华文仿宋" w:hAnsi="华文仿宋" w:cs="宋体" w:hint="eastAsia"/>
          <w:kern w:val="0"/>
          <w:sz w:val="28"/>
          <w:szCs w:val="28"/>
        </w:rPr>
        <w:lastRenderedPageBreak/>
        <w:t>华南地区成品油行情温和上行，市场购销气氛平淡。具体来看，原油期货震荡走高，零售价上调如期兑现，新一轮计价周期变化率负向开端后转正运行。与此同时，山东地炼汽柴油价格连续走高，得益于此，区内主营汽柴油价格连续小幅推涨，业者消库之余刚需购进，市场交投气氛略显一般。后市来看，原油期货不乏继续震荡上涨可能，消息方面仍存支撑。与此同时，下游需求平淡，业者按需小单操作为主。预计下周华南地区汽柴油行情或小幅走高，交投气氛平平。</w:t>
      </w:r>
    </w:p>
    <w:p w:rsidR="00773D99" w:rsidRPr="00773D99" w:rsidRDefault="00773D99" w:rsidP="00773D99">
      <w:pPr>
        <w:widowControl/>
        <w:ind w:firstLineChars="200" w:firstLine="560"/>
        <w:jc w:val="left"/>
        <w:rPr>
          <w:rFonts w:ascii="华文仿宋" w:eastAsia="华文仿宋" w:hAnsi="华文仿宋" w:cs="宋体"/>
          <w:kern w:val="0"/>
          <w:sz w:val="28"/>
          <w:szCs w:val="28"/>
        </w:rPr>
      </w:pPr>
    </w:p>
    <w:p w:rsidR="00635578" w:rsidRPr="0073688D" w:rsidRDefault="00773D99" w:rsidP="00773D99">
      <w:pPr>
        <w:widowControl/>
        <w:ind w:firstLineChars="200" w:firstLine="560"/>
        <w:jc w:val="left"/>
        <w:rPr>
          <w:rFonts w:ascii="华文仿宋" w:eastAsia="华文仿宋" w:hAnsi="华文仿宋" w:cs="宋体"/>
          <w:kern w:val="0"/>
          <w:sz w:val="28"/>
          <w:szCs w:val="28"/>
        </w:rPr>
      </w:pPr>
      <w:r w:rsidRPr="00773D99">
        <w:rPr>
          <w:rFonts w:ascii="华文仿宋" w:eastAsia="华文仿宋" w:hAnsi="华文仿宋" w:cs="宋体" w:hint="eastAsia"/>
          <w:kern w:val="0"/>
          <w:sz w:val="28"/>
          <w:szCs w:val="28"/>
        </w:rPr>
        <w:t>西南地区汽柴行情延续上行态势，市场成交气氛清淡。分析来看：本周二成品油零售价上调兑现，消息面对市场仍有支撑。加之，主营柴油资源偏紧，因此柴油行情继续走高;汽油行情缺乏上行动力，稳中整理为主。进入新一轮计价周期，国际油价连续收涨，消息面利好渐增，对市场较有提振，部分地区主营再度推高汽柴成交价。不过，夏季降雨频繁，工矿基建等行业开工受限，柴油需求转淡;汽油需求虽有支撑，但市场供应过剩压力仍存。业者多消耗前期库存为主，入市补货谨慎，市场成交难有提升。就后市而言，国际油价或维持震荡上行，变化率正向延伸，消息面对市场仍有支撑，预计短线西南地区汽柴行情维持高位运行。但业者操作心态谨慎，市场成交难见活跃。</w:t>
      </w:r>
    </w:p>
    <w:p w:rsidR="002F12E4" w:rsidRDefault="004F4F55" w:rsidP="00266404">
      <w:pPr>
        <w:outlineLvl w:val="0"/>
        <w:rPr>
          <w:rFonts w:ascii="黑体" w:eastAsia="黑体"/>
          <w:b/>
          <w:sz w:val="28"/>
          <w:szCs w:val="28"/>
        </w:rPr>
      </w:pPr>
      <w:bookmarkStart w:id="146" w:name="_Toc1736590"/>
      <w:bookmarkStart w:id="147" w:name="_Toc505350014"/>
      <w:bookmarkStart w:id="148" w:name="_Toc2934053"/>
      <w:bookmarkStart w:id="149" w:name="_Toc2934032"/>
      <w:bookmarkStart w:id="150" w:name="_Toc536797019"/>
      <w:bookmarkStart w:id="151" w:name="_Toc10211774"/>
      <w:bookmarkStart w:id="152" w:name="_Toc10731586"/>
      <w:bookmarkStart w:id="153" w:name="_Toc12625698"/>
      <w:bookmarkStart w:id="154" w:name="_Toc12625788"/>
      <w:bookmarkStart w:id="155" w:name="_Toc460250410"/>
      <w:bookmarkStart w:id="156" w:name="_Toc180485827"/>
      <w:bookmarkStart w:id="157" w:name="_Toc281568208"/>
      <w:bookmarkStart w:id="158" w:name="_Toc296600818"/>
      <w:bookmarkStart w:id="159" w:name="_Toc369858747"/>
      <w:bookmarkStart w:id="160" w:name="_Toc296600819"/>
      <w:bookmarkStart w:id="161" w:name="_Toc281568211"/>
      <w:bookmarkEnd w:id="129"/>
      <w:bookmarkEnd w:id="130"/>
      <w:r>
        <w:rPr>
          <w:rFonts w:ascii="黑体" w:eastAsia="黑体" w:hint="eastAsia"/>
          <w:b/>
          <w:sz w:val="28"/>
          <w:szCs w:val="28"/>
        </w:rPr>
        <w:t>四、国内溶剂油市场综述</w:t>
      </w:r>
      <w:bookmarkEnd w:id="146"/>
      <w:bookmarkEnd w:id="147"/>
      <w:bookmarkEnd w:id="148"/>
      <w:bookmarkEnd w:id="149"/>
      <w:bookmarkEnd w:id="150"/>
      <w:bookmarkEnd w:id="151"/>
      <w:bookmarkEnd w:id="152"/>
      <w:bookmarkEnd w:id="153"/>
      <w:bookmarkEnd w:id="154"/>
    </w:p>
    <w:p w:rsidR="005B40A1" w:rsidRPr="005B40A1" w:rsidRDefault="005B40A1" w:rsidP="005B40A1">
      <w:pPr>
        <w:widowControl/>
        <w:ind w:firstLineChars="200" w:firstLine="560"/>
        <w:jc w:val="left"/>
        <w:rPr>
          <w:rFonts w:ascii="华文仿宋" w:eastAsia="华文仿宋" w:hAnsi="华文仿宋" w:cs="宋体"/>
          <w:kern w:val="0"/>
          <w:sz w:val="28"/>
          <w:szCs w:val="28"/>
        </w:rPr>
      </w:pPr>
      <w:bookmarkStart w:id="162" w:name="_Toc505350015"/>
      <w:bookmarkStart w:id="163" w:name="_Toc460250411"/>
      <w:bookmarkEnd w:id="155"/>
      <w:bookmarkEnd w:id="156"/>
      <w:bookmarkEnd w:id="157"/>
      <w:bookmarkEnd w:id="158"/>
      <w:bookmarkEnd w:id="159"/>
      <w:r w:rsidRPr="005B40A1">
        <w:rPr>
          <w:rFonts w:ascii="华文仿宋" w:eastAsia="华文仿宋" w:hAnsi="华文仿宋" w:cs="宋体"/>
          <w:kern w:val="0"/>
          <w:sz w:val="28"/>
          <w:szCs w:val="28"/>
        </w:rPr>
        <w:t>截至7月12日，监测数据显示，两大集团国标6#溶剂油均价4950元/吨，国标120#溶剂油均价5900元/吨。 山东地区国标6#溶剂油均价4740元/吨，国标120#溶剂油均价4688元/吨，国标200#溶剂油5550元/吨。非标120#溶剂油均价4100涨10元/吨;非标200#溶剂油均价5000元/吨。原油暴涨利好初步消化，地炼溶剂油跟涨气氛收敛，今日仅非标120#尚有余力跟进，国标溶剂油暨非标</w:t>
      </w:r>
      <w:r w:rsidRPr="005B40A1">
        <w:rPr>
          <w:rFonts w:ascii="华文仿宋" w:eastAsia="华文仿宋" w:hAnsi="华文仿宋" w:cs="宋体"/>
          <w:kern w:val="0"/>
          <w:sz w:val="28"/>
          <w:szCs w:val="28"/>
        </w:rPr>
        <w:lastRenderedPageBreak/>
        <w:t>200#多数转入盘整阶段。汽油、汽油料因前期亏损，贸易商及调油环节意图低位追多，原油收盘小跌未明显抑制供方推价心态，不过预计近期物价即将触顶。非标200#则因商谈居高压制走单，今日早间走货稍有软化，但由于东营现货不足且石脑油热衷追涨，成交回调仍需时日。溶剂类需求不及调油刚猛，华南中期追涨后转入盘整。东北大庆综合成交行情做出延期操作，检修计划拖至下旬进行，目前溶剂分馏装置正常生产，承接下游买涨。预计地炼溶剂油周末多半稳健，虽无原油指向但西部煤制原料仍在上修，这将托起实单。美国WTI原油8月期货周四(7月11日)收跌0.23美元，或0.4%，报60.20美元/桶。布伦特原油9月期货周四收跌0.49美元，或0.7%，报66.52美元/桶。石油输出国组织(OPEC)对原油需求的悲观预期令原油多头开始获利了结，即使墨西哥湾沿岸即将遭受的飓风袭击已经降低了美国原油产量。本轮第3个工作日，原油估价65.163较基准价涨0.543或0.84%，对应幅度上调35元/吨，暂预计7月23日24时成品油零限价不调整。近期芳烃油因原油跳涨及部分重整原料跟进促成物价上移，不过物价持高运行打击下游采购，华东终端迫于采购压力近期部分转向北方提货。预计本周余日芳烃油转盘整过渡，借原油微跌之际商谈或有所松动。</w:t>
      </w:r>
    </w:p>
    <w:p w:rsidR="002F12E4" w:rsidRDefault="004F4F55" w:rsidP="00266404">
      <w:pPr>
        <w:pStyle w:val="aa"/>
        <w:outlineLvl w:val="0"/>
        <w:rPr>
          <w:rFonts w:ascii="黑体"/>
          <w:b/>
          <w:bCs/>
          <w:sz w:val="28"/>
          <w:szCs w:val="28"/>
        </w:rPr>
      </w:pPr>
      <w:bookmarkStart w:id="164" w:name="_Toc10211775"/>
      <w:bookmarkStart w:id="165" w:name="_Toc10731587"/>
      <w:bookmarkStart w:id="166" w:name="_Toc12625699"/>
      <w:bookmarkStart w:id="167" w:name="_Toc12625789"/>
      <w:r>
        <w:rPr>
          <w:rFonts w:ascii="黑体" w:hint="eastAsia"/>
          <w:b/>
          <w:bCs/>
          <w:sz w:val="28"/>
          <w:szCs w:val="28"/>
        </w:rPr>
        <w:t>五、本周国内炼厂溶剂油产品价格对比</w:t>
      </w:r>
      <w:bookmarkEnd w:id="160"/>
      <w:bookmarkEnd w:id="161"/>
      <w:bookmarkEnd w:id="162"/>
      <w:bookmarkEnd w:id="163"/>
      <w:bookmarkEnd w:id="164"/>
      <w:bookmarkEnd w:id="165"/>
      <w:bookmarkEnd w:id="166"/>
      <w:bookmarkEnd w:id="167"/>
    </w:p>
    <w:p w:rsidR="002F12E4" w:rsidRDefault="004F4F55">
      <w:pPr>
        <w:rPr>
          <w:rFonts w:ascii="宋体" w:hAnsi="宋体"/>
          <w:sz w:val="20"/>
          <w:szCs w:val="20"/>
        </w:rPr>
      </w:pPr>
      <w:r>
        <w:rPr>
          <w:rFonts w:ascii="宋体" w:hAnsi="宋体" w:hint="eastAsia"/>
          <w:sz w:val="20"/>
          <w:szCs w:val="20"/>
        </w:rPr>
        <w:t>单位：元/吨</w:t>
      </w:r>
    </w:p>
    <w:p w:rsidR="002F12E4" w:rsidRDefault="002F12E4">
      <w:pPr>
        <w:rPr>
          <w:rFonts w:ascii="宋体" w:hAnsi="宋体"/>
          <w:sz w:val="20"/>
          <w:szCs w:val="20"/>
        </w:rPr>
      </w:pPr>
    </w:p>
    <w:tbl>
      <w:tblPr>
        <w:tblW w:w="9940" w:type="dxa"/>
        <w:jc w:val="center"/>
        <w:tblInd w:w="93" w:type="dxa"/>
        <w:tblLook w:val="04A0"/>
      </w:tblPr>
      <w:tblGrid>
        <w:gridCol w:w="1075"/>
        <w:gridCol w:w="1412"/>
        <w:gridCol w:w="1371"/>
        <w:gridCol w:w="998"/>
        <w:gridCol w:w="1391"/>
        <w:gridCol w:w="938"/>
        <w:gridCol w:w="1416"/>
        <w:gridCol w:w="1339"/>
      </w:tblGrid>
      <w:tr w:rsidR="006124EF" w:rsidRPr="006124EF" w:rsidTr="006124EF">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地区</w:t>
            </w:r>
          </w:p>
        </w:tc>
        <w:tc>
          <w:tcPr>
            <w:tcW w:w="1420" w:type="dxa"/>
            <w:tcBorders>
              <w:top w:val="single" w:sz="4" w:space="0" w:color="auto"/>
              <w:left w:val="nil"/>
              <w:bottom w:val="single" w:sz="4" w:space="0" w:color="auto"/>
              <w:right w:val="single" w:sz="4"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生产厂家</w:t>
            </w:r>
          </w:p>
        </w:tc>
        <w:tc>
          <w:tcPr>
            <w:tcW w:w="1380" w:type="dxa"/>
            <w:tcBorders>
              <w:top w:val="single" w:sz="4" w:space="0" w:color="auto"/>
              <w:left w:val="nil"/>
              <w:bottom w:val="single" w:sz="4" w:space="0" w:color="auto"/>
              <w:right w:val="single" w:sz="4"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产品名称</w:t>
            </w:r>
          </w:p>
        </w:tc>
        <w:tc>
          <w:tcPr>
            <w:tcW w:w="1000" w:type="dxa"/>
            <w:tcBorders>
              <w:top w:val="single" w:sz="4" w:space="0" w:color="auto"/>
              <w:left w:val="nil"/>
              <w:bottom w:val="single" w:sz="4" w:space="0" w:color="auto"/>
              <w:right w:val="single" w:sz="4"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型号</w:t>
            </w:r>
          </w:p>
        </w:tc>
        <w:tc>
          <w:tcPr>
            <w:tcW w:w="1400" w:type="dxa"/>
            <w:tcBorders>
              <w:top w:val="single" w:sz="4" w:space="0" w:color="auto"/>
              <w:left w:val="nil"/>
              <w:bottom w:val="single" w:sz="4" w:space="0" w:color="auto"/>
              <w:right w:val="single" w:sz="4"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价格类型</w:t>
            </w:r>
          </w:p>
        </w:tc>
        <w:tc>
          <w:tcPr>
            <w:tcW w:w="940" w:type="dxa"/>
            <w:tcBorders>
              <w:top w:val="single" w:sz="4" w:space="0" w:color="auto"/>
              <w:left w:val="nil"/>
              <w:bottom w:val="single" w:sz="4" w:space="0" w:color="auto"/>
              <w:right w:val="single" w:sz="4"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涨跌</w:t>
            </w:r>
          </w:p>
        </w:tc>
        <w:tc>
          <w:tcPr>
            <w:tcW w:w="1380" w:type="dxa"/>
            <w:tcBorders>
              <w:top w:val="single" w:sz="4" w:space="0" w:color="auto"/>
              <w:left w:val="nil"/>
              <w:bottom w:val="single" w:sz="4" w:space="0" w:color="auto"/>
              <w:right w:val="single" w:sz="4"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2019/7/12</w:t>
            </w:r>
          </w:p>
        </w:tc>
        <w:tc>
          <w:tcPr>
            <w:tcW w:w="1340" w:type="dxa"/>
            <w:tcBorders>
              <w:top w:val="single" w:sz="4" w:space="0" w:color="auto"/>
              <w:left w:val="nil"/>
              <w:bottom w:val="single" w:sz="4" w:space="0" w:color="auto"/>
              <w:right w:val="single" w:sz="4"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2019/7/5</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大庆精细化工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300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3900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4200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大庆精细</w:t>
            </w:r>
            <w:r w:rsidRPr="006124EF">
              <w:rPr>
                <w:rFonts w:ascii="华文仿宋" w:eastAsia="华文仿宋" w:hAnsi="华文仿宋" w:cs="宋体" w:hint="eastAsia"/>
                <w:kern w:val="0"/>
                <w:sz w:val="28"/>
                <w:szCs w:val="28"/>
              </w:rPr>
              <w:lastRenderedPageBreak/>
              <w:t>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-450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4950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4500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东北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大庆精细化工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190#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5100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4900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锦州石化精细化工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锦州石化精细化工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锦州石化精细化工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大庆精细化工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大庆庆升</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大庆庆升</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大庆庆升</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180#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大庆庆升</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西北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乌鲁木齐石化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西北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乌鲁木齐石化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西北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乌鲁木齐石化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西北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独山子石化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西北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独山子石化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121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西北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新疆康佳投资(集团)</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121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西北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新疆康佳投资(集团)</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西北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吐哈油田</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西北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吐哈油田</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西北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吐哈油田</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190#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西北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吐哈油田</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西北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南充炼厂</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石家庄炼厂</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石家庄炼厂</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石家庄炼厂</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天津天泰实业</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6#窄</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天津天泰实业</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天津天泰实业</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沧州炼厂</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胜华化工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胜华化工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胜华化工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140#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胜华化工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180#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胜华化工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淄博锐博化工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淄博锐博化工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260#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淄博锐博化工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280#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淄博胜炼</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淄博胜炼</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淄博胜炼</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150#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和利时石化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6#窄</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4650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4600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和利时石化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6000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6000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和利时石化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5600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5600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山东集兴化工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山东集兴化工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山东东营旺豪</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5700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5700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山东东营旺豪</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5700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5700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山东东营旺豪</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6100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6100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山东东营旭辰化工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6#窄</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山东东营旭辰化工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4600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4600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山东东营旭辰化工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4800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4600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山东东营旭辰化工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-100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5800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5700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胜利桩西</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胜利桩西</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胜利桩西</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淄博远达化工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5000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5000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淄博远达化工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4800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4800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淄博远达化工</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5000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5000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青岛石化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济南炼厂</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东明石化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7150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7150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高桥石化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6300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6300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金陵石化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400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5300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5700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金陵石化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7300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7300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扬子石化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扬子石化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镇海炼化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镇海炼化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高桥石化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90#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华东</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清江石化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杭州炼厂</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泰州石化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8050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8050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金陵烷基苯厂</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扬州石化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广州石化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广州石化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广州赫尔普公司</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10"/>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广州赫尔普公司</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南海志德</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4400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4400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南海志德</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4400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4400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南方石油</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南方石油</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茂名石化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茂名石化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九江石化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九江石化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茂名华粤</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茂名华粤</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260#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华南</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福建联合</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华中</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中原石化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华中</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中原石化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华中</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中原石化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华中</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洛阳石化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华中</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洛阳石化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华中</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长岭炼化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4600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4600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华中</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长岭炼化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4650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4650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华中</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长岭炼化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华中</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巴陵石化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110#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华中</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巴陵石化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-950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7650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6700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华中</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南阳石化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华中</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武汉石化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05"/>
          <w:jc w:val="center"/>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华中</w:t>
            </w:r>
          </w:p>
        </w:tc>
        <w:tc>
          <w:tcPr>
            <w:tcW w:w="142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武汉石化</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溶剂油</w:t>
            </w:r>
          </w:p>
        </w:tc>
        <w:tc>
          <w:tcPr>
            <w:tcW w:w="10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120#</w:t>
            </w:r>
          </w:p>
        </w:tc>
        <w:tc>
          <w:tcPr>
            <w:tcW w:w="140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9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8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bl>
    <w:p w:rsidR="002F12E4" w:rsidRDefault="002F12E4" w:rsidP="006124EF">
      <w:pPr>
        <w:widowControl/>
        <w:jc w:val="center"/>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168" w:name="_Toc281568213"/>
      <w:bookmarkStart w:id="169" w:name="_Toc505350016"/>
      <w:bookmarkStart w:id="170" w:name="_Toc460250412"/>
      <w:bookmarkStart w:id="171" w:name="_Toc2934054"/>
      <w:bookmarkStart w:id="172" w:name="_Toc536797020"/>
      <w:bookmarkStart w:id="173" w:name="_Toc296600821"/>
      <w:bookmarkStart w:id="174" w:name="_Toc1736591"/>
      <w:bookmarkStart w:id="175" w:name="_Toc2934033"/>
      <w:bookmarkStart w:id="176" w:name="_Toc4768343"/>
      <w:bookmarkStart w:id="177" w:name="_Toc5281990"/>
      <w:bookmarkStart w:id="178" w:name="_Toc4160093"/>
      <w:bookmarkStart w:id="179" w:name="_Toc5976985"/>
      <w:bookmarkStart w:id="180" w:name="_Toc5976965"/>
      <w:bookmarkStart w:id="181" w:name="_Toc4768363"/>
      <w:bookmarkStart w:id="182" w:name="_Toc10211776"/>
      <w:bookmarkStart w:id="183" w:name="_Toc10731588"/>
      <w:bookmarkStart w:id="184" w:name="_Toc12625700"/>
      <w:bookmarkStart w:id="185" w:name="_Toc12625790"/>
      <w:r>
        <w:rPr>
          <w:rFonts w:ascii="黑体" w:hAnsi="宋体" w:hint="eastAsia"/>
          <w:sz w:val="28"/>
          <w:szCs w:val="28"/>
        </w:rPr>
        <w:t>六、D系列特种溶剂油</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本周国内D系列溶剂油价格汇总</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单位：元/吨</w:t>
      </w:r>
    </w:p>
    <w:tbl>
      <w:tblPr>
        <w:tblW w:w="9380" w:type="dxa"/>
        <w:tblInd w:w="93" w:type="dxa"/>
        <w:tblLook w:val="04A0"/>
      </w:tblPr>
      <w:tblGrid>
        <w:gridCol w:w="1080"/>
        <w:gridCol w:w="1080"/>
        <w:gridCol w:w="1080"/>
        <w:gridCol w:w="1080"/>
        <w:gridCol w:w="1080"/>
        <w:gridCol w:w="1080"/>
        <w:gridCol w:w="1480"/>
        <w:gridCol w:w="1420"/>
      </w:tblGrid>
      <w:tr w:rsidR="006124EF" w:rsidRPr="006124EF" w:rsidTr="006124EF">
        <w:trPr>
          <w:trHeight w:val="825"/>
        </w:trPr>
        <w:tc>
          <w:tcPr>
            <w:tcW w:w="1080"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地区</w:t>
            </w:r>
          </w:p>
        </w:tc>
        <w:tc>
          <w:tcPr>
            <w:tcW w:w="1080" w:type="dxa"/>
            <w:tcBorders>
              <w:top w:val="single" w:sz="8" w:space="0" w:color="auto"/>
              <w:left w:val="nil"/>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生产厂家</w:t>
            </w:r>
          </w:p>
        </w:tc>
        <w:tc>
          <w:tcPr>
            <w:tcW w:w="1080" w:type="dxa"/>
            <w:tcBorders>
              <w:top w:val="single" w:sz="8" w:space="0" w:color="auto"/>
              <w:left w:val="nil"/>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产品名称</w:t>
            </w:r>
          </w:p>
        </w:tc>
        <w:tc>
          <w:tcPr>
            <w:tcW w:w="1080" w:type="dxa"/>
            <w:tcBorders>
              <w:top w:val="single" w:sz="8" w:space="0" w:color="auto"/>
              <w:left w:val="nil"/>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型号</w:t>
            </w:r>
          </w:p>
        </w:tc>
        <w:tc>
          <w:tcPr>
            <w:tcW w:w="1080" w:type="dxa"/>
            <w:tcBorders>
              <w:top w:val="single" w:sz="8" w:space="0" w:color="auto"/>
              <w:left w:val="nil"/>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价格类型</w:t>
            </w:r>
          </w:p>
        </w:tc>
        <w:tc>
          <w:tcPr>
            <w:tcW w:w="1080" w:type="dxa"/>
            <w:tcBorders>
              <w:top w:val="single" w:sz="8" w:space="0" w:color="auto"/>
              <w:left w:val="nil"/>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涨跌</w:t>
            </w:r>
          </w:p>
        </w:tc>
        <w:tc>
          <w:tcPr>
            <w:tcW w:w="1480" w:type="dxa"/>
            <w:tcBorders>
              <w:top w:val="single" w:sz="8" w:space="0" w:color="auto"/>
              <w:left w:val="nil"/>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2019/7/12</w:t>
            </w:r>
          </w:p>
        </w:tc>
        <w:tc>
          <w:tcPr>
            <w:tcW w:w="1420" w:type="dxa"/>
            <w:tcBorders>
              <w:top w:val="single" w:sz="8" w:space="0" w:color="auto"/>
              <w:left w:val="nil"/>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2019/7/5</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华北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D20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6185</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6185</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6885</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6885</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D75</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6850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6850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7985</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7985</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D90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7985</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7985</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D95</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7800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7800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D105</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6850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6850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D100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6685</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6685</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D110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6785</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6785</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D120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6685</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6685</w:t>
            </w:r>
          </w:p>
        </w:tc>
      </w:tr>
      <w:tr w:rsidR="006124EF" w:rsidRPr="006124EF" w:rsidTr="006124EF">
        <w:trPr>
          <w:trHeight w:val="123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上海高桥爱思开</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123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上海高桥爱思开</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D30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123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上海高桥爱思开</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123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上海高桥爱思开</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D100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123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上海高桥爱思开</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D130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清江石化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D30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6900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6900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清江石化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6900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6900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清江石化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D60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7100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7100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清江石化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7700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7700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清江石化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D100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7000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7000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清江石化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D110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清江石化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D130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金陵石化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D30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金陵石化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6100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6100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金陵石化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D60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6100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6100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金陵石化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6100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6100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金陵石化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D90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金陵石化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D140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6300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6300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茂名实</w:t>
            </w:r>
            <w:r w:rsidRPr="006124EF">
              <w:rPr>
                <w:rFonts w:ascii="华文仿宋" w:eastAsia="华文仿宋" w:hAnsi="华文仿宋" w:cs="宋体" w:hint="eastAsia"/>
                <w:kern w:val="0"/>
                <w:sz w:val="28"/>
                <w:szCs w:val="28"/>
              </w:rPr>
              <w:lastRenderedPageBreak/>
              <w:t>华</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D30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7650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7650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华南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茂名实华</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7100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7100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茂名实华</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D65</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7100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7100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茂名实华</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6500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6500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茂名实华</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D100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7300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7300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抚顺石化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抚顺石化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D60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抚顺石化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抚顺石化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D100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华中</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洛阳金达</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华中</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洛阳金达</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D70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华中</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洛阳金达</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华中</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洛阳金达</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D95</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华中</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洛阳金达</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D100</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2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186" w:name="_Toc460250413"/>
      <w:bookmarkStart w:id="187" w:name="_Toc296600822"/>
      <w:bookmarkStart w:id="188" w:name="_Toc281568214"/>
      <w:bookmarkStart w:id="189" w:name="_Toc505350017"/>
      <w:bookmarkStart w:id="190" w:name="_Toc1736592"/>
      <w:bookmarkStart w:id="191" w:name="_Toc536797021"/>
      <w:bookmarkStart w:id="192" w:name="_Toc4160094"/>
      <w:bookmarkStart w:id="193" w:name="_Toc4768364"/>
      <w:bookmarkStart w:id="194" w:name="_Toc5281991"/>
      <w:bookmarkStart w:id="195" w:name="_Toc2934034"/>
      <w:bookmarkStart w:id="196" w:name="_Toc4768344"/>
      <w:bookmarkStart w:id="197" w:name="_Toc2934055"/>
      <w:bookmarkStart w:id="198" w:name="_Toc5976966"/>
      <w:bookmarkStart w:id="199" w:name="_Toc5976986"/>
      <w:bookmarkStart w:id="200" w:name="_Toc10211777"/>
      <w:bookmarkStart w:id="201" w:name="_Toc10731589"/>
      <w:bookmarkStart w:id="202" w:name="_Toc12625701"/>
      <w:bookmarkStart w:id="203" w:name="_Toc12625791"/>
      <w:r>
        <w:rPr>
          <w:rFonts w:ascii="华文仿宋" w:eastAsia="华文仿宋" w:hAnsi="华文仿宋" w:hint="eastAsia"/>
          <w:bCs w:val="0"/>
          <w:kern w:val="2"/>
          <w:sz w:val="28"/>
          <w:szCs w:val="28"/>
        </w:rPr>
        <w:t>七、重芳烃溶剂油</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2F12E4" w:rsidRDefault="004F4F55">
      <w:pPr>
        <w:autoSpaceDE w:val="0"/>
        <w:autoSpaceDN w:val="0"/>
        <w:adjustRightInd w:val="0"/>
        <w:ind w:firstLineChars="50" w:firstLine="140"/>
        <w:rPr>
          <w:rFonts w:ascii="华文仿宋" w:eastAsia="华文仿宋" w:hAnsi="华文仿宋"/>
          <w:sz w:val="28"/>
          <w:szCs w:val="28"/>
        </w:rPr>
      </w:pPr>
      <w:r>
        <w:rPr>
          <w:rFonts w:ascii="华文仿宋" w:eastAsia="华文仿宋" w:hAnsi="华文仿宋" w:hint="eastAsia"/>
          <w:sz w:val="28"/>
          <w:szCs w:val="28"/>
        </w:rPr>
        <w:t>单位：元/吨</w:t>
      </w:r>
    </w:p>
    <w:tbl>
      <w:tblPr>
        <w:tblW w:w="9280" w:type="dxa"/>
        <w:tblInd w:w="93" w:type="dxa"/>
        <w:tblLook w:val="04A0"/>
      </w:tblPr>
      <w:tblGrid>
        <w:gridCol w:w="1063"/>
        <w:gridCol w:w="1063"/>
        <w:gridCol w:w="1062"/>
        <w:gridCol w:w="1150"/>
        <w:gridCol w:w="1062"/>
        <w:gridCol w:w="1068"/>
        <w:gridCol w:w="1416"/>
        <w:gridCol w:w="1396"/>
      </w:tblGrid>
      <w:tr w:rsidR="006124EF" w:rsidRPr="006124EF" w:rsidTr="006124EF">
        <w:trPr>
          <w:trHeight w:val="825"/>
        </w:trPr>
        <w:tc>
          <w:tcPr>
            <w:tcW w:w="1080"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地区</w:t>
            </w:r>
          </w:p>
        </w:tc>
        <w:tc>
          <w:tcPr>
            <w:tcW w:w="1080" w:type="dxa"/>
            <w:tcBorders>
              <w:top w:val="single" w:sz="8" w:space="0" w:color="auto"/>
              <w:left w:val="nil"/>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生产厂家</w:t>
            </w:r>
          </w:p>
        </w:tc>
        <w:tc>
          <w:tcPr>
            <w:tcW w:w="1080" w:type="dxa"/>
            <w:tcBorders>
              <w:top w:val="single" w:sz="8" w:space="0" w:color="auto"/>
              <w:left w:val="nil"/>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产品名称</w:t>
            </w:r>
          </w:p>
        </w:tc>
        <w:tc>
          <w:tcPr>
            <w:tcW w:w="1080" w:type="dxa"/>
            <w:tcBorders>
              <w:top w:val="single" w:sz="8" w:space="0" w:color="auto"/>
              <w:left w:val="nil"/>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型号</w:t>
            </w:r>
          </w:p>
        </w:tc>
        <w:tc>
          <w:tcPr>
            <w:tcW w:w="1080" w:type="dxa"/>
            <w:tcBorders>
              <w:top w:val="single" w:sz="8" w:space="0" w:color="auto"/>
              <w:left w:val="nil"/>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价格类型</w:t>
            </w:r>
          </w:p>
        </w:tc>
        <w:tc>
          <w:tcPr>
            <w:tcW w:w="1080" w:type="dxa"/>
            <w:tcBorders>
              <w:top w:val="single" w:sz="8" w:space="0" w:color="auto"/>
              <w:left w:val="nil"/>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涨跌</w:t>
            </w:r>
          </w:p>
        </w:tc>
        <w:tc>
          <w:tcPr>
            <w:tcW w:w="1400" w:type="dxa"/>
            <w:tcBorders>
              <w:top w:val="single" w:sz="8" w:space="0" w:color="auto"/>
              <w:left w:val="nil"/>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2019/7/12</w:t>
            </w:r>
          </w:p>
        </w:tc>
        <w:tc>
          <w:tcPr>
            <w:tcW w:w="1400" w:type="dxa"/>
            <w:tcBorders>
              <w:top w:val="single" w:sz="8" w:space="0" w:color="auto"/>
              <w:left w:val="nil"/>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2019/7/5</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丹阳联东化工</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混三甲苯-1</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丹阳联东化工</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混三甲苯-3</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丹阳联东化工</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混四甲苯</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云合化工厂</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S-1000#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云合化</w:t>
            </w:r>
            <w:r w:rsidRPr="006124EF">
              <w:rPr>
                <w:rFonts w:ascii="华文仿宋" w:eastAsia="华文仿宋" w:hAnsi="华文仿宋" w:cs="宋体" w:hint="eastAsia"/>
                <w:kern w:val="0"/>
                <w:sz w:val="28"/>
                <w:szCs w:val="28"/>
              </w:rPr>
              <w:lastRenderedPageBreak/>
              <w:t>工厂</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芳烃溶</w:t>
            </w:r>
            <w:r w:rsidRPr="006124EF">
              <w:rPr>
                <w:rFonts w:ascii="华文仿宋" w:eastAsia="华文仿宋" w:hAnsi="华文仿宋" w:cs="宋体" w:hint="eastAsia"/>
                <w:kern w:val="0"/>
                <w:sz w:val="28"/>
                <w:szCs w:val="28"/>
              </w:rPr>
              <w:lastRenderedPageBreak/>
              <w:t>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S-1500#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云合化工厂</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S-1800#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云合化工厂</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S-2300#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江苏华伦化工</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S100#A</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6400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6400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江苏华伦化工</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S100#B</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6400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6400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江苏华伦化工</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S100#C</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6400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6400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江苏华伦化工</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S180#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6500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6500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江苏华伦化工</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S150#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6600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6400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江苏华伦化工</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S200#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常熟联邦</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800#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常熟联邦</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1000#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5600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5600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常熟联邦</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1800#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5400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5400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常熟联邦</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1500#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4700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4700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溧阳诚兴化工</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S1000#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溧阳诚兴化工</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S1001#</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溧阳诚兴化工</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S1500#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溧阳诚兴化工</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S1501#</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溧阳诚兴化工</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S1800A</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溧阳诚兴化工</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S1800B</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燕化高新</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燕化高新</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S200#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163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华北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天津兴实化工有限公司</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5500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5500</w:t>
            </w:r>
          </w:p>
        </w:tc>
      </w:tr>
      <w:tr w:rsidR="006124EF" w:rsidRPr="006124EF" w:rsidTr="006124EF">
        <w:trPr>
          <w:trHeight w:val="163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天津兴实化工有限公司</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S150#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5200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5200</w:t>
            </w:r>
          </w:p>
        </w:tc>
      </w:tr>
      <w:tr w:rsidR="006124EF" w:rsidRPr="006124EF" w:rsidTr="006124EF">
        <w:trPr>
          <w:trHeight w:val="163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天津兴实化工有限公司</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S180#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4900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4900</w:t>
            </w:r>
          </w:p>
        </w:tc>
      </w:tr>
      <w:tr w:rsidR="006124EF" w:rsidRPr="006124EF" w:rsidTr="006124EF">
        <w:trPr>
          <w:trHeight w:val="163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天津兴实化工有限公司</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S200#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淄博锐博化工</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S100A</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5400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5400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淄博锐博化工</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S100B</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123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北京西贝明国</w:t>
            </w:r>
            <w:r w:rsidRPr="006124EF">
              <w:rPr>
                <w:rFonts w:ascii="华文仿宋" w:eastAsia="华文仿宋" w:hAnsi="华文仿宋" w:cs="宋体" w:hint="eastAsia"/>
                <w:kern w:val="0"/>
                <w:sz w:val="28"/>
                <w:szCs w:val="28"/>
              </w:rPr>
              <w:lastRenderedPageBreak/>
              <w:t>际</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混合芳烃</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123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华北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北京西贝明国际</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130#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123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北京西贝明国际</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250#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123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北京西贝明国际</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加氢白C9</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123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北京西贝明国际</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C9馏分</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123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北京西贝明国际</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C5</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华中</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长岭炼化</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混合甲乙苯</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华中</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长岭炼化</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混合三甲苯</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华中</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洛阳宇晶</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S1000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华中</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洛阳宇晶</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S1500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辽阳化纤</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1000#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辽阳化纤</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1500#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辽阳化纤</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盘锦和运实业</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150#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盘锦和运实业</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100#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盘锦和运实业</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混合芳烃</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九江华庐</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C9</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九江华庐</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芳烃溶剂油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C10</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中海油</w:t>
            </w:r>
            <w:r w:rsidRPr="006124EF">
              <w:rPr>
                <w:rFonts w:ascii="华文仿宋" w:eastAsia="华文仿宋" w:hAnsi="华文仿宋" w:cs="宋体" w:hint="eastAsia"/>
                <w:kern w:val="0"/>
                <w:sz w:val="28"/>
                <w:szCs w:val="28"/>
              </w:rPr>
              <w:lastRenderedPageBreak/>
              <w:t>惠州</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芳烃溶</w:t>
            </w:r>
            <w:r w:rsidRPr="006124EF">
              <w:rPr>
                <w:rFonts w:ascii="华文仿宋" w:eastAsia="华文仿宋" w:hAnsi="华文仿宋" w:cs="宋体" w:hint="eastAsia"/>
                <w:kern w:val="0"/>
                <w:sz w:val="28"/>
                <w:szCs w:val="28"/>
              </w:rPr>
              <w:lastRenderedPageBreak/>
              <w:t>剂油</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C9</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bl>
    <w:p w:rsidR="002F12E4" w:rsidRDefault="002F12E4" w:rsidP="003F29A5">
      <w:pPr>
        <w:widowControl/>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204" w:name="_Toc4768345"/>
      <w:bookmarkStart w:id="205" w:name="_Toc2934056"/>
      <w:bookmarkStart w:id="206" w:name="_Toc505350018"/>
      <w:bookmarkStart w:id="207" w:name="_Toc5976987"/>
      <w:bookmarkStart w:id="208" w:name="_Toc4768365"/>
      <w:bookmarkStart w:id="209" w:name="_Toc4160095"/>
      <w:bookmarkStart w:id="210" w:name="_Toc5281992"/>
      <w:bookmarkStart w:id="211" w:name="_Toc5976967"/>
      <w:bookmarkStart w:id="212" w:name="_Toc296600823"/>
      <w:bookmarkStart w:id="213" w:name="_Toc460250414"/>
      <w:bookmarkStart w:id="214" w:name="_Toc281568215"/>
      <w:bookmarkStart w:id="215" w:name="_Toc1736593"/>
      <w:bookmarkStart w:id="216" w:name="_Toc536797022"/>
      <w:bookmarkStart w:id="217" w:name="_Toc180485835"/>
      <w:bookmarkStart w:id="218" w:name="_Toc2934035"/>
      <w:bookmarkStart w:id="219" w:name="_Toc10211778"/>
      <w:bookmarkStart w:id="220" w:name="_Toc10731590"/>
      <w:bookmarkStart w:id="221" w:name="_Toc12625702"/>
      <w:bookmarkStart w:id="222" w:name="_Toc12625792"/>
      <w:r>
        <w:rPr>
          <w:rFonts w:ascii="华文仿宋" w:eastAsia="华文仿宋" w:hAnsi="华文仿宋" w:hint="eastAsia"/>
          <w:bCs w:val="0"/>
          <w:kern w:val="2"/>
          <w:sz w:val="28"/>
          <w:szCs w:val="28"/>
        </w:rPr>
        <w:t>八、正己烷</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sz w:val="28"/>
          <w:szCs w:val="28"/>
        </w:rPr>
      </w:pPr>
      <w:r>
        <w:rPr>
          <w:rFonts w:ascii="华文仿宋" w:eastAsia="华文仿宋" w:hAnsi="华文仿宋" w:hint="eastAsia"/>
          <w:sz w:val="28"/>
          <w:szCs w:val="28"/>
        </w:rPr>
        <w:t>本周国内正己烷价格汇总</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 xml:space="preserve">单位：元/吨 </w:t>
      </w:r>
    </w:p>
    <w:tbl>
      <w:tblPr>
        <w:tblW w:w="8540" w:type="dxa"/>
        <w:tblInd w:w="93" w:type="dxa"/>
        <w:tblLook w:val="04A0"/>
      </w:tblPr>
      <w:tblGrid>
        <w:gridCol w:w="1080"/>
        <w:gridCol w:w="1300"/>
        <w:gridCol w:w="1080"/>
        <w:gridCol w:w="1080"/>
        <w:gridCol w:w="1080"/>
        <w:gridCol w:w="1480"/>
        <w:gridCol w:w="1440"/>
      </w:tblGrid>
      <w:tr w:rsidR="006124EF" w:rsidRPr="006124EF" w:rsidTr="006124EF">
        <w:trPr>
          <w:trHeight w:val="825"/>
        </w:trPr>
        <w:tc>
          <w:tcPr>
            <w:tcW w:w="1080"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地区</w:t>
            </w:r>
          </w:p>
        </w:tc>
        <w:tc>
          <w:tcPr>
            <w:tcW w:w="1300" w:type="dxa"/>
            <w:tcBorders>
              <w:top w:val="single" w:sz="8" w:space="0" w:color="auto"/>
              <w:left w:val="nil"/>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生产厂家</w:t>
            </w:r>
          </w:p>
        </w:tc>
        <w:tc>
          <w:tcPr>
            <w:tcW w:w="1080" w:type="dxa"/>
            <w:tcBorders>
              <w:top w:val="single" w:sz="8" w:space="0" w:color="auto"/>
              <w:left w:val="nil"/>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产品名称</w:t>
            </w:r>
          </w:p>
        </w:tc>
        <w:tc>
          <w:tcPr>
            <w:tcW w:w="1080" w:type="dxa"/>
            <w:tcBorders>
              <w:top w:val="single" w:sz="8" w:space="0" w:color="auto"/>
              <w:left w:val="nil"/>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价格类型</w:t>
            </w:r>
          </w:p>
        </w:tc>
        <w:tc>
          <w:tcPr>
            <w:tcW w:w="1080" w:type="dxa"/>
            <w:tcBorders>
              <w:top w:val="single" w:sz="8" w:space="0" w:color="auto"/>
              <w:left w:val="nil"/>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涨跌</w:t>
            </w:r>
          </w:p>
        </w:tc>
        <w:tc>
          <w:tcPr>
            <w:tcW w:w="1480" w:type="dxa"/>
            <w:tcBorders>
              <w:top w:val="single" w:sz="8" w:space="0" w:color="auto"/>
              <w:left w:val="nil"/>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2019/7/12</w:t>
            </w:r>
          </w:p>
        </w:tc>
        <w:tc>
          <w:tcPr>
            <w:tcW w:w="1440" w:type="dxa"/>
            <w:tcBorders>
              <w:top w:val="single" w:sz="8" w:space="0" w:color="auto"/>
              <w:left w:val="nil"/>
              <w:bottom w:val="single" w:sz="8" w:space="0" w:color="auto"/>
              <w:right w:val="single" w:sz="8" w:space="0" w:color="auto"/>
            </w:tcBorders>
            <w:shd w:val="clear" w:color="000000" w:fill="99CC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2019/7/5</w:t>
            </w:r>
          </w:p>
        </w:tc>
      </w:tr>
      <w:tr w:rsidR="006124EF" w:rsidRPr="006124EF" w:rsidTr="006124EF">
        <w:trPr>
          <w:trHeight w:val="42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3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燕山石化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4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2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华北</w:t>
            </w:r>
          </w:p>
        </w:tc>
        <w:tc>
          <w:tcPr>
            <w:tcW w:w="13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燕山集联</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4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2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3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大连石化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4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2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3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辽阳石化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4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2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3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辽阳裕丰</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4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2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东北</w:t>
            </w:r>
          </w:p>
        </w:tc>
        <w:tc>
          <w:tcPr>
            <w:tcW w:w="13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辽阳亿鑫</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4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r w:rsidR="006124EF" w:rsidRPr="006124EF" w:rsidTr="006124EF">
        <w:trPr>
          <w:trHeight w:val="42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lastRenderedPageBreak/>
              <w:t>华中</w:t>
            </w:r>
          </w:p>
        </w:tc>
        <w:tc>
          <w:tcPr>
            <w:tcW w:w="13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岳阳金瀚</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6200</w:t>
            </w:r>
          </w:p>
        </w:tc>
        <w:tc>
          <w:tcPr>
            <w:tcW w:w="144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6200</w:t>
            </w:r>
          </w:p>
        </w:tc>
      </w:tr>
      <w:tr w:rsidR="006124EF" w:rsidRPr="006124EF" w:rsidTr="006124EF">
        <w:trPr>
          <w:trHeight w:val="42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华东</w:t>
            </w:r>
          </w:p>
        </w:tc>
        <w:tc>
          <w:tcPr>
            <w:tcW w:w="13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扬子石化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250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6450</w:t>
            </w:r>
          </w:p>
        </w:tc>
        <w:tc>
          <w:tcPr>
            <w:tcW w:w="144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6700</w:t>
            </w:r>
          </w:p>
        </w:tc>
      </w:tr>
      <w:tr w:rsidR="006124EF" w:rsidRPr="006124EF" w:rsidTr="006124EF">
        <w:trPr>
          <w:trHeight w:val="825"/>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华南</w:t>
            </w:r>
          </w:p>
        </w:tc>
        <w:tc>
          <w:tcPr>
            <w:tcW w:w="13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广州赫尔普</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7500</w:t>
            </w:r>
          </w:p>
        </w:tc>
        <w:tc>
          <w:tcPr>
            <w:tcW w:w="144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7500</w:t>
            </w:r>
          </w:p>
        </w:tc>
      </w:tr>
      <w:tr w:rsidR="006124EF" w:rsidRPr="006124EF" w:rsidTr="006124EF">
        <w:trPr>
          <w:trHeight w:val="42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西北</w:t>
            </w:r>
          </w:p>
        </w:tc>
        <w:tc>
          <w:tcPr>
            <w:tcW w:w="13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兰州石化</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7600</w:t>
            </w:r>
          </w:p>
        </w:tc>
        <w:tc>
          <w:tcPr>
            <w:tcW w:w="144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7600</w:t>
            </w:r>
          </w:p>
        </w:tc>
      </w:tr>
      <w:tr w:rsidR="006124EF" w:rsidRPr="006124EF" w:rsidTr="006124EF">
        <w:trPr>
          <w:trHeight w:val="420"/>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西北</w:t>
            </w:r>
          </w:p>
        </w:tc>
        <w:tc>
          <w:tcPr>
            <w:tcW w:w="130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克拉玛依</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出厂价</w:t>
            </w:r>
          </w:p>
        </w:tc>
        <w:tc>
          <w:tcPr>
            <w:tcW w:w="10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c>
          <w:tcPr>
            <w:tcW w:w="1440" w:type="dxa"/>
            <w:tcBorders>
              <w:top w:val="nil"/>
              <w:left w:val="nil"/>
              <w:bottom w:val="single" w:sz="8" w:space="0" w:color="auto"/>
              <w:right w:val="single" w:sz="8" w:space="0" w:color="auto"/>
            </w:tcBorders>
            <w:shd w:val="clear" w:color="000000" w:fill="FFFFFF"/>
            <w:vAlign w:val="bottom"/>
            <w:hideMark/>
          </w:tcPr>
          <w:p w:rsidR="006124EF" w:rsidRPr="006124EF" w:rsidRDefault="006124EF" w:rsidP="006124EF">
            <w:pPr>
              <w:widowControl/>
              <w:jc w:val="center"/>
              <w:rPr>
                <w:rFonts w:ascii="华文仿宋" w:eastAsia="华文仿宋" w:hAnsi="华文仿宋" w:cs="宋体"/>
                <w:kern w:val="0"/>
                <w:sz w:val="28"/>
                <w:szCs w:val="28"/>
              </w:rPr>
            </w:pPr>
            <w:r w:rsidRPr="006124EF">
              <w:rPr>
                <w:rFonts w:ascii="华文仿宋" w:eastAsia="华文仿宋" w:hAnsi="华文仿宋" w:cs="宋体" w:hint="eastAsia"/>
                <w:kern w:val="0"/>
                <w:sz w:val="28"/>
                <w:szCs w:val="28"/>
              </w:rPr>
              <w:t>0</w:t>
            </w:r>
          </w:p>
        </w:tc>
      </w:tr>
    </w:tbl>
    <w:p w:rsidR="002F12E4" w:rsidRDefault="002F12E4" w:rsidP="00786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华文仿宋" w:eastAsia="华文仿宋" w:hAnsi="华文仿宋"/>
          <w:sz w:val="28"/>
          <w:szCs w:val="28"/>
        </w:rPr>
      </w:pP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223" w:name="_Toc281568216"/>
      <w:bookmarkStart w:id="224" w:name="_Toc2934036"/>
      <w:bookmarkStart w:id="225" w:name="_Toc1736594"/>
      <w:bookmarkStart w:id="226" w:name="_Toc5976968"/>
      <w:bookmarkStart w:id="227" w:name="_Toc5976988"/>
      <w:bookmarkStart w:id="228" w:name="_Toc4160096"/>
      <w:bookmarkStart w:id="229" w:name="_Toc4768366"/>
      <w:bookmarkStart w:id="230" w:name="_Toc2934057"/>
      <w:bookmarkStart w:id="231" w:name="_Toc4768346"/>
      <w:bookmarkStart w:id="232" w:name="_Toc296600824"/>
      <w:bookmarkStart w:id="233" w:name="_Toc536797023"/>
      <w:bookmarkStart w:id="234" w:name="_Toc505350019"/>
      <w:bookmarkStart w:id="235" w:name="_Toc5281993"/>
      <w:bookmarkStart w:id="236" w:name="_Toc460250415"/>
      <w:bookmarkStart w:id="237" w:name="_Toc10211779"/>
      <w:bookmarkStart w:id="238" w:name="_Toc10731591"/>
      <w:bookmarkStart w:id="239" w:name="_Toc12625703"/>
      <w:bookmarkStart w:id="240" w:name="_Toc12625793"/>
      <w:r>
        <w:rPr>
          <w:rFonts w:ascii="华文仿宋" w:eastAsia="华文仿宋" w:hAnsi="华文仿宋" w:hint="eastAsia"/>
          <w:bCs w:val="0"/>
          <w:kern w:val="2"/>
          <w:sz w:val="28"/>
          <w:szCs w:val="28"/>
        </w:rPr>
        <w:t>九、2018年11月中国溶剂油进出口数据统计</w:t>
      </w:r>
      <w:bookmarkEnd w:id="11"/>
      <w:bookmarkEnd w:id="1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2F12E4" w:rsidRDefault="002F12E4"/>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b/>
          <w:sz w:val="28"/>
          <w:szCs w:val="28"/>
        </w:rPr>
      </w:pPr>
      <w:r>
        <w:rPr>
          <w:rFonts w:ascii="华文仿宋" w:eastAsia="华文仿宋" w:hAnsi="华文仿宋" w:hint="eastAsia"/>
          <w:b/>
          <w:sz w:val="28"/>
          <w:szCs w:val="28"/>
        </w:rPr>
        <w:t>2018年11月份中国溶剂油进出口统计数据（按产销国分）</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color w:val="333333"/>
          <w:sz w:val="28"/>
          <w:szCs w:val="28"/>
          <w:shd w:val="clear" w:color="auto" w:fill="FFFFFF"/>
        </w:rPr>
        <w:t>单位：吨；美元</w:t>
      </w:r>
      <w:r>
        <w:rPr>
          <w:rFonts w:ascii="华文仿宋" w:eastAsia="华文仿宋" w:hAnsi="华文仿宋" w:cs="华文仿宋" w:hint="eastAsia"/>
          <w:sz w:val="28"/>
          <w:szCs w:val="28"/>
        </w:rPr>
        <w:t>)</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tbl>
      <w:tblPr>
        <w:tblW w:w="9766" w:type="dxa"/>
        <w:tblInd w:w="-10" w:type="dxa"/>
        <w:tblLayout w:type="fixed"/>
        <w:tblCellMar>
          <w:left w:w="0" w:type="dxa"/>
          <w:right w:w="0" w:type="dxa"/>
        </w:tblCellMar>
        <w:tblLook w:val="04A0"/>
      </w:tblPr>
      <w:tblGrid>
        <w:gridCol w:w="1065"/>
        <w:gridCol w:w="1066"/>
        <w:gridCol w:w="1065"/>
        <w:gridCol w:w="1480"/>
        <w:gridCol w:w="1361"/>
        <w:gridCol w:w="1401"/>
        <w:gridCol w:w="1263"/>
        <w:gridCol w:w="1065"/>
      </w:tblGrid>
      <w:tr w:rsidR="002F12E4">
        <w:trPr>
          <w:trHeight w:val="270"/>
        </w:trPr>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产品</w:t>
            </w:r>
          </w:p>
        </w:tc>
        <w:tc>
          <w:tcPr>
            <w:tcW w:w="1066"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年度</w:t>
            </w:r>
          </w:p>
        </w:tc>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月度</w:t>
            </w:r>
          </w:p>
        </w:tc>
        <w:tc>
          <w:tcPr>
            <w:tcW w:w="1480"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产销国及地区</w:t>
            </w:r>
          </w:p>
        </w:tc>
        <w:tc>
          <w:tcPr>
            <w:tcW w:w="1361"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进口数量</w:t>
            </w:r>
          </w:p>
        </w:tc>
        <w:tc>
          <w:tcPr>
            <w:tcW w:w="1401"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进口金额</w:t>
            </w:r>
          </w:p>
        </w:tc>
        <w:tc>
          <w:tcPr>
            <w:tcW w:w="1263"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出口数量</w:t>
            </w:r>
          </w:p>
        </w:tc>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出口金额</w:t>
            </w:r>
          </w:p>
        </w:tc>
      </w:tr>
      <w:tr w:rsidR="002F12E4">
        <w:trPr>
          <w:trHeight w:val="270"/>
        </w:trPr>
        <w:tc>
          <w:tcPr>
            <w:tcW w:w="106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橡胶溶</w:t>
            </w:r>
            <w:r>
              <w:rPr>
                <w:rFonts w:ascii="华文仿宋" w:eastAsia="华文仿宋" w:hAnsi="华文仿宋" w:cs="华文仿宋" w:hint="eastAsia"/>
                <w:color w:val="000000"/>
                <w:kern w:val="0"/>
                <w:sz w:val="28"/>
                <w:szCs w:val="28"/>
              </w:rPr>
              <w:lastRenderedPageBreak/>
              <w:t>剂油、油漆溶剂油、抽提溶剂油、不含有生物柴油</w:t>
            </w: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lastRenderedPageBreak/>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新加坡</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584</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676,913</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德国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470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525,861</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日本</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289</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389,957</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韩国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188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225,910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台湾</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59,916</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美国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24,848</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泰国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17,038</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1,564</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西班牙</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829</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以色列</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502</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柬埔寨</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13,051</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香港</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124</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93,560</w:t>
            </w:r>
          </w:p>
        </w:tc>
      </w:tr>
      <w:tr w:rsidR="002F12E4">
        <w:trPr>
          <w:trHeight w:val="270"/>
        </w:trPr>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2018年11月</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1,598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1,921,774</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133</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108,175</w:t>
            </w:r>
          </w:p>
        </w:tc>
      </w:tr>
    </w:tbl>
    <w:p w:rsidR="002F12E4" w:rsidRDefault="002F12E4" w:rsidP="006229EB">
      <w:pPr>
        <w:widowControl/>
        <w:rPr>
          <w:rFonts w:ascii="华文仿宋" w:eastAsia="华文仿宋" w:hAnsi="华文仿宋"/>
          <w:sz w:val="28"/>
          <w:szCs w:val="28"/>
        </w:rPr>
      </w:pPr>
    </w:p>
    <w:sectPr w:rsidR="002F12E4" w:rsidSect="002F12E4">
      <w:headerReference w:type="default" r:id="rId13"/>
      <w:footerReference w:type="default" r:id="rId14"/>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905" w:rsidRDefault="000C2905" w:rsidP="002F12E4">
      <w:r>
        <w:separator/>
      </w:r>
    </w:p>
  </w:endnote>
  <w:endnote w:type="continuationSeparator" w:id="1">
    <w:p w:rsidR="000C2905" w:rsidRDefault="000C2905" w:rsidP="002F1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华文仿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B6F" w:rsidRDefault="00D1545C">
    <w:pPr>
      <w:pStyle w:val="a7"/>
      <w:jc w:val="center"/>
    </w:pPr>
    <w:r>
      <w:rPr>
        <w:b/>
        <w:bCs/>
        <w:sz w:val="24"/>
        <w:szCs w:val="24"/>
      </w:rPr>
      <w:fldChar w:fldCharType="begin"/>
    </w:r>
    <w:r w:rsidR="006D1B6F">
      <w:rPr>
        <w:b/>
        <w:bCs/>
      </w:rPr>
      <w:instrText>PAGE</w:instrText>
    </w:r>
    <w:r>
      <w:rPr>
        <w:b/>
        <w:bCs/>
        <w:sz w:val="24"/>
        <w:szCs w:val="24"/>
      </w:rPr>
      <w:fldChar w:fldCharType="separate"/>
    </w:r>
    <w:r w:rsidR="006124EF">
      <w:rPr>
        <w:b/>
        <w:bCs/>
        <w:noProof/>
      </w:rPr>
      <w:t>46</w:t>
    </w:r>
    <w:r>
      <w:rPr>
        <w:b/>
        <w:bCs/>
        <w:sz w:val="24"/>
        <w:szCs w:val="24"/>
      </w:rPr>
      <w:fldChar w:fldCharType="end"/>
    </w:r>
    <w:r w:rsidR="006D1B6F">
      <w:rPr>
        <w:lang w:val="zh-CN"/>
      </w:rPr>
      <w:t xml:space="preserve"> / </w:t>
    </w:r>
    <w:r>
      <w:rPr>
        <w:b/>
        <w:bCs/>
        <w:sz w:val="24"/>
        <w:szCs w:val="24"/>
      </w:rPr>
      <w:fldChar w:fldCharType="begin"/>
    </w:r>
    <w:r w:rsidR="006D1B6F">
      <w:rPr>
        <w:b/>
        <w:bCs/>
      </w:rPr>
      <w:instrText>NUMPAGES</w:instrText>
    </w:r>
    <w:r>
      <w:rPr>
        <w:b/>
        <w:bCs/>
        <w:sz w:val="24"/>
        <w:szCs w:val="24"/>
      </w:rPr>
      <w:fldChar w:fldCharType="separate"/>
    </w:r>
    <w:r w:rsidR="006124EF">
      <w:rPr>
        <w:b/>
        <w:bCs/>
        <w:noProof/>
      </w:rPr>
      <w:t>46</w:t>
    </w:r>
    <w:r>
      <w:rPr>
        <w:b/>
        <w:bCs/>
        <w:sz w:val="24"/>
        <w:szCs w:val="24"/>
      </w:rPr>
      <w:fldChar w:fldCharType="end"/>
    </w:r>
  </w:p>
  <w:p w:rsidR="006D1B6F" w:rsidRDefault="006D1B6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905" w:rsidRDefault="000C2905" w:rsidP="002F12E4">
      <w:r>
        <w:separator/>
      </w:r>
    </w:p>
  </w:footnote>
  <w:footnote w:type="continuationSeparator" w:id="1">
    <w:p w:rsidR="000C2905" w:rsidRDefault="000C2905" w:rsidP="002F1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B6F" w:rsidRDefault="006D1B6F">
    <w:pPr>
      <w:pStyle w:val="a8"/>
      <w:pBdr>
        <w:bottom w:val="none" w:sz="0" w:space="0" w:color="auto"/>
      </w:pBdr>
      <w:jc w:val="both"/>
    </w:pPr>
    <w:r>
      <w:rPr>
        <w:noProof/>
      </w:rP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rsidR="006D1B6F" w:rsidRDefault="006D1B6F">
    <w:pPr>
      <w:pStyle w:val="a8"/>
      <w:pBdr>
        <w:bottom w:val="none" w:sz="0" w:space="0" w:color="auto"/>
      </w:pBdr>
      <w:tabs>
        <w:tab w:val="clear" w:pos="8306"/>
        <w:tab w:val="left" w:pos="4200"/>
        <w:tab w:val="left" w:pos="4620"/>
      </w:tabs>
      <w:jc w:val="left"/>
    </w:pPr>
    <w:r>
      <w:tab/>
    </w:r>
    <w:r>
      <w:tab/>
    </w:r>
    <w:r>
      <w:tab/>
    </w:r>
    <w:r>
      <w:tab/>
    </w:r>
  </w:p>
  <w:p w:rsidR="006D1B6F" w:rsidRDefault="006D1B6F">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7F91"/>
    <w:multiLevelType w:val="singleLevel"/>
    <w:tmpl w:val="0B177F91"/>
    <w:lvl w:ilvl="0">
      <w:start w:val="1"/>
      <w:numFmt w:val="decimal"/>
      <w:lvlText w:val="%1."/>
      <w:lvlJc w:val="left"/>
      <w:pPr>
        <w:tabs>
          <w:tab w:val="left" w:pos="312"/>
        </w:tabs>
      </w:pPr>
    </w:lvl>
  </w:abstractNum>
  <w:abstractNum w:abstractNumId="1">
    <w:nsid w:val="422701EE"/>
    <w:multiLevelType w:val="multilevel"/>
    <w:tmpl w:val="422701EE"/>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65538" fillcolor="white" stroke="f">
      <v:fill color="white"/>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013C8"/>
    <w:rsid w:val="0000362D"/>
    <w:rsid w:val="00004CFF"/>
    <w:rsid w:val="000071C7"/>
    <w:rsid w:val="00007808"/>
    <w:rsid w:val="00007BC8"/>
    <w:rsid w:val="000121DE"/>
    <w:rsid w:val="000130B9"/>
    <w:rsid w:val="00013FDF"/>
    <w:rsid w:val="00020192"/>
    <w:rsid w:val="0003360D"/>
    <w:rsid w:val="00037E49"/>
    <w:rsid w:val="0004192E"/>
    <w:rsid w:val="000425F6"/>
    <w:rsid w:val="000436BC"/>
    <w:rsid w:val="000516D9"/>
    <w:rsid w:val="00052A4E"/>
    <w:rsid w:val="0005567F"/>
    <w:rsid w:val="00057ECC"/>
    <w:rsid w:val="00060511"/>
    <w:rsid w:val="00061563"/>
    <w:rsid w:val="00062A8E"/>
    <w:rsid w:val="00063B35"/>
    <w:rsid w:val="00064D33"/>
    <w:rsid w:val="000654E9"/>
    <w:rsid w:val="000672ED"/>
    <w:rsid w:val="0007498D"/>
    <w:rsid w:val="000824CA"/>
    <w:rsid w:val="000828AD"/>
    <w:rsid w:val="00084C53"/>
    <w:rsid w:val="00085917"/>
    <w:rsid w:val="00085ADA"/>
    <w:rsid w:val="000862A0"/>
    <w:rsid w:val="00087B10"/>
    <w:rsid w:val="0009414D"/>
    <w:rsid w:val="00096A95"/>
    <w:rsid w:val="00097DEF"/>
    <w:rsid w:val="000A0D0E"/>
    <w:rsid w:val="000B03A3"/>
    <w:rsid w:val="000B1002"/>
    <w:rsid w:val="000B1594"/>
    <w:rsid w:val="000B2483"/>
    <w:rsid w:val="000B4670"/>
    <w:rsid w:val="000C2905"/>
    <w:rsid w:val="000C3871"/>
    <w:rsid w:val="000C409C"/>
    <w:rsid w:val="000C4C8D"/>
    <w:rsid w:val="000D02E6"/>
    <w:rsid w:val="000D07A4"/>
    <w:rsid w:val="000D3112"/>
    <w:rsid w:val="000D3893"/>
    <w:rsid w:val="000D6DB7"/>
    <w:rsid w:val="000D7C1F"/>
    <w:rsid w:val="000E12DD"/>
    <w:rsid w:val="000E34FD"/>
    <w:rsid w:val="000E3ED3"/>
    <w:rsid w:val="000E4486"/>
    <w:rsid w:val="000E58ED"/>
    <w:rsid w:val="000F4930"/>
    <w:rsid w:val="000F6AFC"/>
    <w:rsid w:val="000F72F8"/>
    <w:rsid w:val="00100B41"/>
    <w:rsid w:val="001028D9"/>
    <w:rsid w:val="00103D77"/>
    <w:rsid w:val="001045A7"/>
    <w:rsid w:val="00111DD8"/>
    <w:rsid w:val="00111F37"/>
    <w:rsid w:val="0011230E"/>
    <w:rsid w:val="00113D3C"/>
    <w:rsid w:val="00114C42"/>
    <w:rsid w:val="00114D13"/>
    <w:rsid w:val="0011778E"/>
    <w:rsid w:val="0012267A"/>
    <w:rsid w:val="00123276"/>
    <w:rsid w:val="00130438"/>
    <w:rsid w:val="001316A0"/>
    <w:rsid w:val="00133CC8"/>
    <w:rsid w:val="001351B0"/>
    <w:rsid w:val="00137FFE"/>
    <w:rsid w:val="0014013A"/>
    <w:rsid w:val="001479D7"/>
    <w:rsid w:val="00147D86"/>
    <w:rsid w:val="00150B7B"/>
    <w:rsid w:val="001546FC"/>
    <w:rsid w:val="00165F76"/>
    <w:rsid w:val="00167025"/>
    <w:rsid w:val="00174197"/>
    <w:rsid w:val="001805D9"/>
    <w:rsid w:val="00183F2A"/>
    <w:rsid w:val="001909B4"/>
    <w:rsid w:val="00190EB4"/>
    <w:rsid w:val="00191D80"/>
    <w:rsid w:val="00194FF2"/>
    <w:rsid w:val="00195689"/>
    <w:rsid w:val="001A3318"/>
    <w:rsid w:val="001A3BEB"/>
    <w:rsid w:val="001A58F5"/>
    <w:rsid w:val="001B0F30"/>
    <w:rsid w:val="001B2E5D"/>
    <w:rsid w:val="001B32BE"/>
    <w:rsid w:val="001B7F7D"/>
    <w:rsid w:val="001C077C"/>
    <w:rsid w:val="001C20CD"/>
    <w:rsid w:val="001C2EBD"/>
    <w:rsid w:val="001C37E2"/>
    <w:rsid w:val="001C5CC6"/>
    <w:rsid w:val="001C6F15"/>
    <w:rsid w:val="001D1279"/>
    <w:rsid w:val="001D2FA8"/>
    <w:rsid w:val="001D35A4"/>
    <w:rsid w:val="001D3943"/>
    <w:rsid w:val="001D408B"/>
    <w:rsid w:val="001D48F1"/>
    <w:rsid w:val="001D4DC7"/>
    <w:rsid w:val="001E2FF2"/>
    <w:rsid w:val="001E7175"/>
    <w:rsid w:val="001F0235"/>
    <w:rsid w:val="001F24AD"/>
    <w:rsid w:val="001F325D"/>
    <w:rsid w:val="001F3557"/>
    <w:rsid w:val="001F4A29"/>
    <w:rsid w:val="00200758"/>
    <w:rsid w:val="002020F1"/>
    <w:rsid w:val="00210717"/>
    <w:rsid w:val="00212A13"/>
    <w:rsid w:val="00214955"/>
    <w:rsid w:val="0021517F"/>
    <w:rsid w:val="00216D04"/>
    <w:rsid w:val="00223AF9"/>
    <w:rsid w:val="00224DAB"/>
    <w:rsid w:val="00225CE6"/>
    <w:rsid w:val="00227F5A"/>
    <w:rsid w:val="00231BFF"/>
    <w:rsid w:val="00231D5F"/>
    <w:rsid w:val="00234D42"/>
    <w:rsid w:val="0023608D"/>
    <w:rsid w:val="002366DE"/>
    <w:rsid w:val="00237B6C"/>
    <w:rsid w:val="00240DF6"/>
    <w:rsid w:val="002447EA"/>
    <w:rsid w:val="00244F15"/>
    <w:rsid w:val="002451B5"/>
    <w:rsid w:val="002477D4"/>
    <w:rsid w:val="002502CA"/>
    <w:rsid w:val="002517C0"/>
    <w:rsid w:val="00251F8B"/>
    <w:rsid w:val="00260BDE"/>
    <w:rsid w:val="002614B0"/>
    <w:rsid w:val="00261884"/>
    <w:rsid w:val="00262F32"/>
    <w:rsid w:val="002642C1"/>
    <w:rsid w:val="00266404"/>
    <w:rsid w:val="00274D99"/>
    <w:rsid w:val="0027542A"/>
    <w:rsid w:val="00277A2E"/>
    <w:rsid w:val="00277D2C"/>
    <w:rsid w:val="002828E1"/>
    <w:rsid w:val="00284E04"/>
    <w:rsid w:val="0028779B"/>
    <w:rsid w:val="00287A7F"/>
    <w:rsid w:val="00290A13"/>
    <w:rsid w:val="0029167F"/>
    <w:rsid w:val="0029698F"/>
    <w:rsid w:val="002A0B34"/>
    <w:rsid w:val="002A1698"/>
    <w:rsid w:val="002A4F6D"/>
    <w:rsid w:val="002B018D"/>
    <w:rsid w:val="002B3AF4"/>
    <w:rsid w:val="002B62D9"/>
    <w:rsid w:val="002C1452"/>
    <w:rsid w:val="002C3203"/>
    <w:rsid w:val="002C6CDA"/>
    <w:rsid w:val="002C7B93"/>
    <w:rsid w:val="002D0CDE"/>
    <w:rsid w:val="002D1062"/>
    <w:rsid w:val="002D12FA"/>
    <w:rsid w:val="002D67FA"/>
    <w:rsid w:val="002E1DC1"/>
    <w:rsid w:val="002E38DB"/>
    <w:rsid w:val="002F12E4"/>
    <w:rsid w:val="002F33D8"/>
    <w:rsid w:val="002F4F0E"/>
    <w:rsid w:val="002F5234"/>
    <w:rsid w:val="002F54D8"/>
    <w:rsid w:val="00307354"/>
    <w:rsid w:val="0031365E"/>
    <w:rsid w:val="0032110B"/>
    <w:rsid w:val="003240B9"/>
    <w:rsid w:val="00324F27"/>
    <w:rsid w:val="00326F50"/>
    <w:rsid w:val="00327FC0"/>
    <w:rsid w:val="00334BA1"/>
    <w:rsid w:val="00335FD6"/>
    <w:rsid w:val="00341C36"/>
    <w:rsid w:val="00344452"/>
    <w:rsid w:val="003530D9"/>
    <w:rsid w:val="00355C68"/>
    <w:rsid w:val="00356436"/>
    <w:rsid w:val="003572B9"/>
    <w:rsid w:val="0035738C"/>
    <w:rsid w:val="0036061A"/>
    <w:rsid w:val="00361079"/>
    <w:rsid w:val="00365DE0"/>
    <w:rsid w:val="0036649D"/>
    <w:rsid w:val="00370336"/>
    <w:rsid w:val="00370DF6"/>
    <w:rsid w:val="0037465B"/>
    <w:rsid w:val="0037670E"/>
    <w:rsid w:val="00377F89"/>
    <w:rsid w:val="00380D44"/>
    <w:rsid w:val="00381DF6"/>
    <w:rsid w:val="00384C31"/>
    <w:rsid w:val="00387771"/>
    <w:rsid w:val="00391FCD"/>
    <w:rsid w:val="003945A0"/>
    <w:rsid w:val="00394660"/>
    <w:rsid w:val="00394B51"/>
    <w:rsid w:val="00396825"/>
    <w:rsid w:val="00396ACE"/>
    <w:rsid w:val="00397D27"/>
    <w:rsid w:val="003A05B5"/>
    <w:rsid w:val="003A177D"/>
    <w:rsid w:val="003A1B34"/>
    <w:rsid w:val="003A236C"/>
    <w:rsid w:val="003A4492"/>
    <w:rsid w:val="003B2552"/>
    <w:rsid w:val="003B4A54"/>
    <w:rsid w:val="003B70E4"/>
    <w:rsid w:val="003C090A"/>
    <w:rsid w:val="003C393A"/>
    <w:rsid w:val="003D18AF"/>
    <w:rsid w:val="003D6166"/>
    <w:rsid w:val="003D632C"/>
    <w:rsid w:val="003D6751"/>
    <w:rsid w:val="003E2A66"/>
    <w:rsid w:val="003E3F79"/>
    <w:rsid w:val="003E6C5C"/>
    <w:rsid w:val="003F0853"/>
    <w:rsid w:val="003F15E2"/>
    <w:rsid w:val="003F26E1"/>
    <w:rsid w:val="003F29A5"/>
    <w:rsid w:val="003F30FD"/>
    <w:rsid w:val="003F5F7C"/>
    <w:rsid w:val="003F6DCC"/>
    <w:rsid w:val="003F76C3"/>
    <w:rsid w:val="00405A2D"/>
    <w:rsid w:val="00407D07"/>
    <w:rsid w:val="0041068E"/>
    <w:rsid w:val="0041230B"/>
    <w:rsid w:val="00412C3D"/>
    <w:rsid w:val="00417CA3"/>
    <w:rsid w:val="00420769"/>
    <w:rsid w:val="00421410"/>
    <w:rsid w:val="004220B2"/>
    <w:rsid w:val="00424E11"/>
    <w:rsid w:val="00425D79"/>
    <w:rsid w:val="004326DA"/>
    <w:rsid w:val="00432A38"/>
    <w:rsid w:val="004371A4"/>
    <w:rsid w:val="00437B9F"/>
    <w:rsid w:val="00445837"/>
    <w:rsid w:val="00447890"/>
    <w:rsid w:val="00452199"/>
    <w:rsid w:val="00452E7F"/>
    <w:rsid w:val="004535CF"/>
    <w:rsid w:val="00455FD1"/>
    <w:rsid w:val="00465A63"/>
    <w:rsid w:val="0047082D"/>
    <w:rsid w:val="00474BA0"/>
    <w:rsid w:val="00475BC4"/>
    <w:rsid w:val="00476DE0"/>
    <w:rsid w:val="00476F38"/>
    <w:rsid w:val="004774BB"/>
    <w:rsid w:val="00485005"/>
    <w:rsid w:val="0049171C"/>
    <w:rsid w:val="00491A4E"/>
    <w:rsid w:val="00494524"/>
    <w:rsid w:val="004A2527"/>
    <w:rsid w:val="004A2995"/>
    <w:rsid w:val="004A6E28"/>
    <w:rsid w:val="004A7473"/>
    <w:rsid w:val="004A7B5F"/>
    <w:rsid w:val="004B02A7"/>
    <w:rsid w:val="004B078A"/>
    <w:rsid w:val="004B2762"/>
    <w:rsid w:val="004B37AA"/>
    <w:rsid w:val="004B4629"/>
    <w:rsid w:val="004B5ABD"/>
    <w:rsid w:val="004B72B2"/>
    <w:rsid w:val="004C0320"/>
    <w:rsid w:val="004C1F94"/>
    <w:rsid w:val="004C2578"/>
    <w:rsid w:val="004C4B2D"/>
    <w:rsid w:val="004C515D"/>
    <w:rsid w:val="004D1EB5"/>
    <w:rsid w:val="004D25B2"/>
    <w:rsid w:val="004D3C9D"/>
    <w:rsid w:val="004D6F1B"/>
    <w:rsid w:val="004E0D9B"/>
    <w:rsid w:val="004E117F"/>
    <w:rsid w:val="004E2F19"/>
    <w:rsid w:val="004F1799"/>
    <w:rsid w:val="004F3817"/>
    <w:rsid w:val="004F491D"/>
    <w:rsid w:val="004F4F55"/>
    <w:rsid w:val="004F57CD"/>
    <w:rsid w:val="004F7B37"/>
    <w:rsid w:val="0050120B"/>
    <w:rsid w:val="00501686"/>
    <w:rsid w:val="00501DD8"/>
    <w:rsid w:val="0050387D"/>
    <w:rsid w:val="00504E0E"/>
    <w:rsid w:val="00505881"/>
    <w:rsid w:val="00510901"/>
    <w:rsid w:val="0051359C"/>
    <w:rsid w:val="005153F9"/>
    <w:rsid w:val="00515CF7"/>
    <w:rsid w:val="00517918"/>
    <w:rsid w:val="00520AEF"/>
    <w:rsid w:val="0052375A"/>
    <w:rsid w:val="00524DE5"/>
    <w:rsid w:val="00527E80"/>
    <w:rsid w:val="00530810"/>
    <w:rsid w:val="0053224A"/>
    <w:rsid w:val="00533757"/>
    <w:rsid w:val="005351E4"/>
    <w:rsid w:val="00536E37"/>
    <w:rsid w:val="00541C07"/>
    <w:rsid w:val="005429EE"/>
    <w:rsid w:val="00542C07"/>
    <w:rsid w:val="0054523B"/>
    <w:rsid w:val="00547632"/>
    <w:rsid w:val="00547B9C"/>
    <w:rsid w:val="005579EC"/>
    <w:rsid w:val="00565438"/>
    <w:rsid w:val="00565F85"/>
    <w:rsid w:val="005666EC"/>
    <w:rsid w:val="00566E0F"/>
    <w:rsid w:val="005670E7"/>
    <w:rsid w:val="005673DC"/>
    <w:rsid w:val="00570216"/>
    <w:rsid w:val="005734C8"/>
    <w:rsid w:val="00581114"/>
    <w:rsid w:val="00581F9C"/>
    <w:rsid w:val="00585C56"/>
    <w:rsid w:val="00586698"/>
    <w:rsid w:val="00587D98"/>
    <w:rsid w:val="00595E1A"/>
    <w:rsid w:val="0059652E"/>
    <w:rsid w:val="005965F5"/>
    <w:rsid w:val="00597091"/>
    <w:rsid w:val="00597232"/>
    <w:rsid w:val="005A244F"/>
    <w:rsid w:val="005A4B85"/>
    <w:rsid w:val="005B0F38"/>
    <w:rsid w:val="005B12A5"/>
    <w:rsid w:val="005B18CF"/>
    <w:rsid w:val="005B36D7"/>
    <w:rsid w:val="005B40A1"/>
    <w:rsid w:val="005B4843"/>
    <w:rsid w:val="005B5D5F"/>
    <w:rsid w:val="005B67FC"/>
    <w:rsid w:val="005C1130"/>
    <w:rsid w:val="005C1227"/>
    <w:rsid w:val="005C2613"/>
    <w:rsid w:val="005C5518"/>
    <w:rsid w:val="005C6091"/>
    <w:rsid w:val="005D1871"/>
    <w:rsid w:val="005D7C50"/>
    <w:rsid w:val="005E01E3"/>
    <w:rsid w:val="005E1F2A"/>
    <w:rsid w:val="005E2512"/>
    <w:rsid w:val="005E5619"/>
    <w:rsid w:val="005F3DC7"/>
    <w:rsid w:val="005F4FD4"/>
    <w:rsid w:val="00603412"/>
    <w:rsid w:val="006124EF"/>
    <w:rsid w:val="00612F43"/>
    <w:rsid w:val="006145D2"/>
    <w:rsid w:val="00616239"/>
    <w:rsid w:val="006229EB"/>
    <w:rsid w:val="00623E59"/>
    <w:rsid w:val="00627BE6"/>
    <w:rsid w:val="00630ED3"/>
    <w:rsid w:val="00632B23"/>
    <w:rsid w:val="00634572"/>
    <w:rsid w:val="0063461D"/>
    <w:rsid w:val="00635578"/>
    <w:rsid w:val="006409F2"/>
    <w:rsid w:val="00640ACF"/>
    <w:rsid w:val="00650197"/>
    <w:rsid w:val="00650D2E"/>
    <w:rsid w:val="00654D32"/>
    <w:rsid w:val="00660BE8"/>
    <w:rsid w:val="00660FA3"/>
    <w:rsid w:val="00661E23"/>
    <w:rsid w:val="00670DCC"/>
    <w:rsid w:val="00672B6D"/>
    <w:rsid w:val="00673BF4"/>
    <w:rsid w:val="00674F58"/>
    <w:rsid w:val="00677A2A"/>
    <w:rsid w:val="006813E0"/>
    <w:rsid w:val="00685EB7"/>
    <w:rsid w:val="00685F6D"/>
    <w:rsid w:val="00690BA2"/>
    <w:rsid w:val="00690DD2"/>
    <w:rsid w:val="006918BC"/>
    <w:rsid w:val="00693C56"/>
    <w:rsid w:val="00695E69"/>
    <w:rsid w:val="00697E63"/>
    <w:rsid w:val="006A3863"/>
    <w:rsid w:val="006A3B86"/>
    <w:rsid w:val="006B315F"/>
    <w:rsid w:val="006B389F"/>
    <w:rsid w:val="006B4454"/>
    <w:rsid w:val="006B4F5F"/>
    <w:rsid w:val="006B6761"/>
    <w:rsid w:val="006C0BE2"/>
    <w:rsid w:val="006C1AEF"/>
    <w:rsid w:val="006C37A4"/>
    <w:rsid w:val="006C745D"/>
    <w:rsid w:val="006C7D15"/>
    <w:rsid w:val="006D0372"/>
    <w:rsid w:val="006D0B7F"/>
    <w:rsid w:val="006D0C94"/>
    <w:rsid w:val="006D1B6F"/>
    <w:rsid w:val="006D23A3"/>
    <w:rsid w:val="006D5471"/>
    <w:rsid w:val="006D6ABD"/>
    <w:rsid w:val="006E172C"/>
    <w:rsid w:val="006E195D"/>
    <w:rsid w:val="006E58D9"/>
    <w:rsid w:val="006E7999"/>
    <w:rsid w:val="006F2697"/>
    <w:rsid w:val="006F7170"/>
    <w:rsid w:val="007056A7"/>
    <w:rsid w:val="00707175"/>
    <w:rsid w:val="00707732"/>
    <w:rsid w:val="00713A74"/>
    <w:rsid w:val="00715AEB"/>
    <w:rsid w:val="00720A30"/>
    <w:rsid w:val="00721AE4"/>
    <w:rsid w:val="00723454"/>
    <w:rsid w:val="007271CA"/>
    <w:rsid w:val="00730BB5"/>
    <w:rsid w:val="007314A0"/>
    <w:rsid w:val="00731F5F"/>
    <w:rsid w:val="007326DF"/>
    <w:rsid w:val="0073688D"/>
    <w:rsid w:val="00737AF5"/>
    <w:rsid w:val="00742A37"/>
    <w:rsid w:val="00744555"/>
    <w:rsid w:val="00754B00"/>
    <w:rsid w:val="0075685A"/>
    <w:rsid w:val="00763F6F"/>
    <w:rsid w:val="00765F8B"/>
    <w:rsid w:val="00767C71"/>
    <w:rsid w:val="007734E2"/>
    <w:rsid w:val="00773D99"/>
    <w:rsid w:val="00774217"/>
    <w:rsid w:val="007752FF"/>
    <w:rsid w:val="00776D2B"/>
    <w:rsid w:val="007812FC"/>
    <w:rsid w:val="007815C0"/>
    <w:rsid w:val="00782BC6"/>
    <w:rsid w:val="00783A4E"/>
    <w:rsid w:val="007849B1"/>
    <w:rsid w:val="00785313"/>
    <w:rsid w:val="00785EE7"/>
    <w:rsid w:val="00786E8E"/>
    <w:rsid w:val="007873C3"/>
    <w:rsid w:val="00791D07"/>
    <w:rsid w:val="00793DD7"/>
    <w:rsid w:val="00797A26"/>
    <w:rsid w:val="007A3B57"/>
    <w:rsid w:val="007A73BE"/>
    <w:rsid w:val="007A78BE"/>
    <w:rsid w:val="007B0E9B"/>
    <w:rsid w:val="007B38A5"/>
    <w:rsid w:val="007B3E0D"/>
    <w:rsid w:val="007B4C66"/>
    <w:rsid w:val="007C001C"/>
    <w:rsid w:val="007C0E95"/>
    <w:rsid w:val="007C32F6"/>
    <w:rsid w:val="007C748B"/>
    <w:rsid w:val="007D28DE"/>
    <w:rsid w:val="007D70EC"/>
    <w:rsid w:val="007E012D"/>
    <w:rsid w:val="007E177D"/>
    <w:rsid w:val="007E52C7"/>
    <w:rsid w:val="007E6808"/>
    <w:rsid w:val="007E6FF7"/>
    <w:rsid w:val="007F0394"/>
    <w:rsid w:val="007F1029"/>
    <w:rsid w:val="007F4AE2"/>
    <w:rsid w:val="007F4B19"/>
    <w:rsid w:val="0080356F"/>
    <w:rsid w:val="00806040"/>
    <w:rsid w:val="008156F9"/>
    <w:rsid w:val="008161B2"/>
    <w:rsid w:val="00823808"/>
    <w:rsid w:val="00825E46"/>
    <w:rsid w:val="00832565"/>
    <w:rsid w:val="008336D0"/>
    <w:rsid w:val="00835D26"/>
    <w:rsid w:val="00836111"/>
    <w:rsid w:val="008370FE"/>
    <w:rsid w:val="00837F73"/>
    <w:rsid w:val="00837FE5"/>
    <w:rsid w:val="008400E1"/>
    <w:rsid w:val="00844D40"/>
    <w:rsid w:val="00847F03"/>
    <w:rsid w:val="0085080D"/>
    <w:rsid w:val="00851423"/>
    <w:rsid w:val="00851ABE"/>
    <w:rsid w:val="00851E9E"/>
    <w:rsid w:val="008526E8"/>
    <w:rsid w:val="00853A64"/>
    <w:rsid w:val="00853E97"/>
    <w:rsid w:val="00854715"/>
    <w:rsid w:val="00856FC8"/>
    <w:rsid w:val="00860184"/>
    <w:rsid w:val="00863076"/>
    <w:rsid w:val="00863FA6"/>
    <w:rsid w:val="00867B6F"/>
    <w:rsid w:val="00871AD9"/>
    <w:rsid w:val="00872119"/>
    <w:rsid w:val="00872609"/>
    <w:rsid w:val="00880326"/>
    <w:rsid w:val="00881178"/>
    <w:rsid w:val="00881E5D"/>
    <w:rsid w:val="00884F2A"/>
    <w:rsid w:val="00885369"/>
    <w:rsid w:val="00885420"/>
    <w:rsid w:val="0088710F"/>
    <w:rsid w:val="00887728"/>
    <w:rsid w:val="00887BB7"/>
    <w:rsid w:val="00890FEA"/>
    <w:rsid w:val="00894685"/>
    <w:rsid w:val="00897839"/>
    <w:rsid w:val="008A0EA8"/>
    <w:rsid w:val="008A551C"/>
    <w:rsid w:val="008A71DE"/>
    <w:rsid w:val="008D3798"/>
    <w:rsid w:val="008D3C02"/>
    <w:rsid w:val="008D4C33"/>
    <w:rsid w:val="008D6398"/>
    <w:rsid w:val="008E2155"/>
    <w:rsid w:val="008E2C6F"/>
    <w:rsid w:val="008E6CAE"/>
    <w:rsid w:val="008F047D"/>
    <w:rsid w:val="008F309D"/>
    <w:rsid w:val="008F4D12"/>
    <w:rsid w:val="008F6EB4"/>
    <w:rsid w:val="009136FA"/>
    <w:rsid w:val="00914B70"/>
    <w:rsid w:val="009166B6"/>
    <w:rsid w:val="00916884"/>
    <w:rsid w:val="00917A6A"/>
    <w:rsid w:val="00920F2D"/>
    <w:rsid w:val="00921A1B"/>
    <w:rsid w:val="00922FF4"/>
    <w:rsid w:val="009347F0"/>
    <w:rsid w:val="00935F33"/>
    <w:rsid w:val="0093638A"/>
    <w:rsid w:val="00936436"/>
    <w:rsid w:val="00936550"/>
    <w:rsid w:val="009378FF"/>
    <w:rsid w:val="00940506"/>
    <w:rsid w:val="00940754"/>
    <w:rsid w:val="00944A63"/>
    <w:rsid w:val="00945B4E"/>
    <w:rsid w:val="00947B06"/>
    <w:rsid w:val="00947B15"/>
    <w:rsid w:val="00950328"/>
    <w:rsid w:val="00952E08"/>
    <w:rsid w:val="0095496E"/>
    <w:rsid w:val="00954B41"/>
    <w:rsid w:val="00956005"/>
    <w:rsid w:val="00956999"/>
    <w:rsid w:val="00964933"/>
    <w:rsid w:val="009717D1"/>
    <w:rsid w:val="00974AAA"/>
    <w:rsid w:val="00974DF6"/>
    <w:rsid w:val="00974FDE"/>
    <w:rsid w:val="00975441"/>
    <w:rsid w:val="00975BF1"/>
    <w:rsid w:val="00980354"/>
    <w:rsid w:val="00980E9A"/>
    <w:rsid w:val="00987DE6"/>
    <w:rsid w:val="00992AF4"/>
    <w:rsid w:val="00993180"/>
    <w:rsid w:val="00997B04"/>
    <w:rsid w:val="009A3031"/>
    <w:rsid w:val="009A6AB7"/>
    <w:rsid w:val="009B11C6"/>
    <w:rsid w:val="009B1709"/>
    <w:rsid w:val="009B6343"/>
    <w:rsid w:val="009C365B"/>
    <w:rsid w:val="009C5E0B"/>
    <w:rsid w:val="009D30D0"/>
    <w:rsid w:val="009D3DF0"/>
    <w:rsid w:val="009D4038"/>
    <w:rsid w:val="009D4595"/>
    <w:rsid w:val="009D4EB3"/>
    <w:rsid w:val="009E4F67"/>
    <w:rsid w:val="009E69A9"/>
    <w:rsid w:val="009F05BF"/>
    <w:rsid w:val="009F1D70"/>
    <w:rsid w:val="009F5944"/>
    <w:rsid w:val="009F6EED"/>
    <w:rsid w:val="00A0021E"/>
    <w:rsid w:val="00A03977"/>
    <w:rsid w:val="00A0658F"/>
    <w:rsid w:val="00A13F55"/>
    <w:rsid w:val="00A140B5"/>
    <w:rsid w:val="00A154A5"/>
    <w:rsid w:val="00A2031A"/>
    <w:rsid w:val="00A20C84"/>
    <w:rsid w:val="00A22AA0"/>
    <w:rsid w:val="00A25050"/>
    <w:rsid w:val="00A26CD6"/>
    <w:rsid w:val="00A31F3B"/>
    <w:rsid w:val="00A33138"/>
    <w:rsid w:val="00A36CBA"/>
    <w:rsid w:val="00A40391"/>
    <w:rsid w:val="00A42D38"/>
    <w:rsid w:val="00A43587"/>
    <w:rsid w:val="00A4389F"/>
    <w:rsid w:val="00A43F9E"/>
    <w:rsid w:val="00A4409F"/>
    <w:rsid w:val="00A44808"/>
    <w:rsid w:val="00A458A0"/>
    <w:rsid w:val="00A465CB"/>
    <w:rsid w:val="00A504C2"/>
    <w:rsid w:val="00A50D8B"/>
    <w:rsid w:val="00A5136B"/>
    <w:rsid w:val="00A51A65"/>
    <w:rsid w:val="00A53FC4"/>
    <w:rsid w:val="00A563EE"/>
    <w:rsid w:val="00A57187"/>
    <w:rsid w:val="00A6075D"/>
    <w:rsid w:val="00A63181"/>
    <w:rsid w:val="00A66B7D"/>
    <w:rsid w:val="00A71790"/>
    <w:rsid w:val="00A74C7D"/>
    <w:rsid w:val="00A766C9"/>
    <w:rsid w:val="00A773DA"/>
    <w:rsid w:val="00A77796"/>
    <w:rsid w:val="00A77E3A"/>
    <w:rsid w:val="00A81F35"/>
    <w:rsid w:val="00A8382F"/>
    <w:rsid w:val="00A8579A"/>
    <w:rsid w:val="00A85912"/>
    <w:rsid w:val="00A8643B"/>
    <w:rsid w:val="00A93708"/>
    <w:rsid w:val="00AA060B"/>
    <w:rsid w:val="00AA2A31"/>
    <w:rsid w:val="00AA4211"/>
    <w:rsid w:val="00AA5F39"/>
    <w:rsid w:val="00AB0525"/>
    <w:rsid w:val="00AB0E0A"/>
    <w:rsid w:val="00AB0F41"/>
    <w:rsid w:val="00AB4BB0"/>
    <w:rsid w:val="00AB4BD8"/>
    <w:rsid w:val="00AB5344"/>
    <w:rsid w:val="00AB65DD"/>
    <w:rsid w:val="00AC0BBE"/>
    <w:rsid w:val="00AC2EAE"/>
    <w:rsid w:val="00AC5E29"/>
    <w:rsid w:val="00AC5EFA"/>
    <w:rsid w:val="00AD1F63"/>
    <w:rsid w:val="00AD515B"/>
    <w:rsid w:val="00AD6713"/>
    <w:rsid w:val="00AD745A"/>
    <w:rsid w:val="00AE6B0A"/>
    <w:rsid w:val="00AF044A"/>
    <w:rsid w:val="00AF2497"/>
    <w:rsid w:val="00AF6EDC"/>
    <w:rsid w:val="00B002B8"/>
    <w:rsid w:val="00B049AB"/>
    <w:rsid w:val="00B079E9"/>
    <w:rsid w:val="00B10C3E"/>
    <w:rsid w:val="00B14D22"/>
    <w:rsid w:val="00B16BEF"/>
    <w:rsid w:val="00B16FDE"/>
    <w:rsid w:val="00B1736E"/>
    <w:rsid w:val="00B2427E"/>
    <w:rsid w:val="00B25F3F"/>
    <w:rsid w:val="00B26353"/>
    <w:rsid w:val="00B26CF4"/>
    <w:rsid w:val="00B27C6C"/>
    <w:rsid w:val="00B32F59"/>
    <w:rsid w:val="00B330CE"/>
    <w:rsid w:val="00B34DB9"/>
    <w:rsid w:val="00B35A3B"/>
    <w:rsid w:val="00B35DBD"/>
    <w:rsid w:val="00B3655C"/>
    <w:rsid w:val="00B36918"/>
    <w:rsid w:val="00B37BD5"/>
    <w:rsid w:val="00B4089B"/>
    <w:rsid w:val="00B41501"/>
    <w:rsid w:val="00B4225A"/>
    <w:rsid w:val="00B4252A"/>
    <w:rsid w:val="00B43FD3"/>
    <w:rsid w:val="00B46280"/>
    <w:rsid w:val="00B54753"/>
    <w:rsid w:val="00B56DAC"/>
    <w:rsid w:val="00B65C66"/>
    <w:rsid w:val="00B66525"/>
    <w:rsid w:val="00B7201D"/>
    <w:rsid w:val="00B72421"/>
    <w:rsid w:val="00B72D56"/>
    <w:rsid w:val="00B73385"/>
    <w:rsid w:val="00B7660A"/>
    <w:rsid w:val="00B77137"/>
    <w:rsid w:val="00B80D78"/>
    <w:rsid w:val="00B80F1F"/>
    <w:rsid w:val="00B81D14"/>
    <w:rsid w:val="00B85715"/>
    <w:rsid w:val="00B86CFA"/>
    <w:rsid w:val="00B87EBA"/>
    <w:rsid w:val="00B92B61"/>
    <w:rsid w:val="00B93322"/>
    <w:rsid w:val="00B949E5"/>
    <w:rsid w:val="00B94A66"/>
    <w:rsid w:val="00B969D4"/>
    <w:rsid w:val="00BA230A"/>
    <w:rsid w:val="00BA7BA1"/>
    <w:rsid w:val="00BB20E4"/>
    <w:rsid w:val="00BB2229"/>
    <w:rsid w:val="00BB6A10"/>
    <w:rsid w:val="00BC087F"/>
    <w:rsid w:val="00BC0A29"/>
    <w:rsid w:val="00BC23E1"/>
    <w:rsid w:val="00BC2882"/>
    <w:rsid w:val="00BC31D3"/>
    <w:rsid w:val="00BC3235"/>
    <w:rsid w:val="00BC3AF2"/>
    <w:rsid w:val="00BC4513"/>
    <w:rsid w:val="00BC476E"/>
    <w:rsid w:val="00BC6912"/>
    <w:rsid w:val="00BD1EE5"/>
    <w:rsid w:val="00BD3E25"/>
    <w:rsid w:val="00BD4147"/>
    <w:rsid w:val="00BE0143"/>
    <w:rsid w:val="00BE088D"/>
    <w:rsid w:val="00BE41D1"/>
    <w:rsid w:val="00BE4927"/>
    <w:rsid w:val="00BE60C2"/>
    <w:rsid w:val="00BF4005"/>
    <w:rsid w:val="00BF56EB"/>
    <w:rsid w:val="00BF5FDD"/>
    <w:rsid w:val="00C010CC"/>
    <w:rsid w:val="00C017F9"/>
    <w:rsid w:val="00C0315D"/>
    <w:rsid w:val="00C04234"/>
    <w:rsid w:val="00C143F0"/>
    <w:rsid w:val="00C15280"/>
    <w:rsid w:val="00C16649"/>
    <w:rsid w:val="00C20AB6"/>
    <w:rsid w:val="00C21042"/>
    <w:rsid w:val="00C22F47"/>
    <w:rsid w:val="00C24580"/>
    <w:rsid w:val="00C25298"/>
    <w:rsid w:val="00C263DA"/>
    <w:rsid w:val="00C30738"/>
    <w:rsid w:val="00C510E8"/>
    <w:rsid w:val="00C5471C"/>
    <w:rsid w:val="00C558A1"/>
    <w:rsid w:val="00C56029"/>
    <w:rsid w:val="00C5695E"/>
    <w:rsid w:val="00C63E4A"/>
    <w:rsid w:val="00C7198C"/>
    <w:rsid w:val="00C7213E"/>
    <w:rsid w:val="00C76F2B"/>
    <w:rsid w:val="00C771C0"/>
    <w:rsid w:val="00C820FE"/>
    <w:rsid w:val="00C85235"/>
    <w:rsid w:val="00C8580D"/>
    <w:rsid w:val="00C876BD"/>
    <w:rsid w:val="00C91326"/>
    <w:rsid w:val="00C91B70"/>
    <w:rsid w:val="00C95585"/>
    <w:rsid w:val="00C964F5"/>
    <w:rsid w:val="00CA0E82"/>
    <w:rsid w:val="00CA705C"/>
    <w:rsid w:val="00CB17C8"/>
    <w:rsid w:val="00CB2F62"/>
    <w:rsid w:val="00CB3130"/>
    <w:rsid w:val="00CB4928"/>
    <w:rsid w:val="00CC3660"/>
    <w:rsid w:val="00CD06D5"/>
    <w:rsid w:val="00CD1794"/>
    <w:rsid w:val="00CD5F66"/>
    <w:rsid w:val="00CE2915"/>
    <w:rsid w:val="00CE48BB"/>
    <w:rsid w:val="00CF1825"/>
    <w:rsid w:val="00CF1CB7"/>
    <w:rsid w:val="00CF30C9"/>
    <w:rsid w:val="00CF7DD5"/>
    <w:rsid w:val="00D00BB2"/>
    <w:rsid w:val="00D013C8"/>
    <w:rsid w:val="00D03E8B"/>
    <w:rsid w:val="00D06BE0"/>
    <w:rsid w:val="00D07006"/>
    <w:rsid w:val="00D13DC7"/>
    <w:rsid w:val="00D1545C"/>
    <w:rsid w:val="00D167DD"/>
    <w:rsid w:val="00D16B1B"/>
    <w:rsid w:val="00D2082B"/>
    <w:rsid w:val="00D252F8"/>
    <w:rsid w:val="00D30499"/>
    <w:rsid w:val="00D340ED"/>
    <w:rsid w:val="00D414AB"/>
    <w:rsid w:val="00D445EC"/>
    <w:rsid w:val="00D476C4"/>
    <w:rsid w:val="00D51E6B"/>
    <w:rsid w:val="00D56268"/>
    <w:rsid w:val="00D56F92"/>
    <w:rsid w:val="00D57F76"/>
    <w:rsid w:val="00D70593"/>
    <w:rsid w:val="00D70FE7"/>
    <w:rsid w:val="00D766DC"/>
    <w:rsid w:val="00D81013"/>
    <w:rsid w:val="00D82E79"/>
    <w:rsid w:val="00D84ADA"/>
    <w:rsid w:val="00D853F5"/>
    <w:rsid w:val="00D859DE"/>
    <w:rsid w:val="00D86D2D"/>
    <w:rsid w:val="00D87D5F"/>
    <w:rsid w:val="00D919D9"/>
    <w:rsid w:val="00D9238E"/>
    <w:rsid w:val="00D9776A"/>
    <w:rsid w:val="00DA4501"/>
    <w:rsid w:val="00DA4F2B"/>
    <w:rsid w:val="00DA5FEE"/>
    <w:rsid w:val="00DA6C7F"/>
    <w:rsid w:val="00DB1006"/>
    <w:rsid w:val="00DB57C9"/>
    <w:rsid w:val="00DB5F48"/>
    <w:rsid w:val="00DB617D"/>
    <w:rsid w:val="00DB79D6"/>
    <w:rsid w:val="00DC43C2"/>
    <w:rsid w:val="00DC59D6"/>
    <w:rsid w:val="00DC60AC"/>
    <w:rsid w:val="00DC66A4"/>
    <w:rsid w:val="00DD0B3A"/>
    <w:rsid w:val="00DD21B3"/>
    <w:rsid w:val="00DD364C"/>
    <w:rsid w:val="00DD4A91"/>
    <w:rsid w:val="00DD4D46"/>
    <w:rsid w:val="00DD4EB3"/>
    <w:rsid w:val="00DD7167"/>
    <w:rsid w:val="00DD7E7D"/>
    <w:rsid w:val="00DE139B"/>
    <w:rsid w:val="00DE34F1"/>
    <w:rsid w:val="00DE40FB"/>
    <w:rsid w:val="00DF65D2"/>
    <w:rsid w:val="00E00471"/>
    <w:rsid w:val="00E0381A"/>
    <w:rsid w:val="00E04811"/>
    <w:rsid w:val="00E05707"/>
    <w:rsid w:val="00E0713D"/>
    <w:rsid w:val="00E072B6"/>
    <w:rsid w:val="00E141C3"/>
    <w:rsid w:val="00E2087D"/>
    <w:rsid w:val="00E222B8"/>
    <w:rsid w:val="00E230E3"/>
    <w:rsid w:val="00E25E6A"/>
    <w:rsid w:val="00E30A09"/>
    <w:rsid w:val="00E30FC1"/>
    <w:rsid w:val="00E33D32"/>
    <w:rsid w:val="00E36209"/>
    <w:rsid w:val="00E4010A"/>
    <w:rsid w:val="00E508F5"/>
    <w:rsid w:val="00E54015"/>
    <w:rsid w:val="00E57AE9"/>
    <w:rsid w:val="00E6086B"/>
    <w:rsid w:val="00E61CE5"/>
    <w:rsid w:val="00E6237C"/>
    <w:rsid w:val="00E70F83"/>
    <w:rsid w:val="00E71E4A"/>
    <w:rsid w:val="00E73393"/>
    <w:rsid w:val="00E737F1"/>
    <w:rsid w:val="00E74D23"/>
    <w:rsid w:val="00E74DFA"/>
    <w:rsid w:val="00E75CFD"/>
    <w:rsid w:val="00E77A87"/>
    <w:rsid w:val="00E8370B"/>
    <w:rsid w:val="00E83EC9"/>
    <w:rsid w:val="00E87184"/>
    <w:rsid w:val="00E87533"/>
    <w:rsid w:val="00E91F42"/>
    <w:rsid w:val="00E94089"/>
    <w:rsid w:val="00E944D7"/>
    <w:rsid w:val="00E94998"/>
    <w:rsid w:val="00EA5075"/>
    <w:rsid w:val="00EA5E30"/>
    <w:rsid w:val="00EA7391"/>
    <w:rsid w:val="00EC014D"/>
    <w:rsid w:val="00EC02F1"/>
    <w:rsid w:val="00EC509C"/>
    <w:rsid w:val="00EE47B0"/>
    <w:rsid w:val="00EE7555"/>
    <w:rsid w:val="00EE78E5"/>
    <w:rsid w:val="00EF05B9"/>
    <w:rsid w:val="00EF434E"/>
    <w:rsid w:val="00EF59C3"/>
    <w:rsid w:val="00EF749C"/>
    <w:rsid w:val="00F0222D"/>
    <w:rsid w:val="00F036AB"/>
    <w:rsid w:val="00F051D9"/>
    <w:rsid w:val="00F07784"/>
    <w:rsid w:val="00F137E6"/>
    <w:rsid w:val="00F13BD1"/>
    <w:rsid w:val="00F13D15"/>
    <w:rsid w:val="00F13F98"/>
    <w:rsid w:val="00F14617"/>
    <w:rsid w:val="00F14661"/>
    <w:rsid w:val="00F14AB6"/>
    <w:rsid w:val="00F15A0F"/>
    <w:rsid w:val="00F20377"/>
    <w:rsid w:val="00F22426"/>
    <w:rsid w:val="00F2698F"/>
    <w:rsid w:val="00F273D7"/>
    <w:rsid w:val="00F27D6D"/>
    <w:rsid w:val="00F27FE7"/>
    <w:rsid w:val="00F4011D"/>
    <w:rsid w:val="00F4237A"/>
    <w:rsid w:val="00F42600"/>
    <w:rsid w:val="00F43FF4"/>
    <w:rsid w:val="00F53EB5"/>
    <w:rsid w:val="00F543E2"/>
    <w:rsid w:val="00F54A24"/>
    <w:rsid w:val="00F54FEA"/>
    <w:rsid w:val="00F553FB"/>
    <w:rsid w:val="00F611CA"/>
    <w:rsid w:val="00F61215"/>
    <w:rsid w:val="00F61D33"/>
    <w:rsid w:val="00F6247A"/>
    <w:rsid w:val="00F656E7"/>
    <w:rsid w:val="00F6621F"/>
    <w:rsid w:val="00F66767"/>
    <w:rsid w:val="00F67AE8"/>
    <w:rsid w:val="00F72F22"/>
    <w:rsid w:val="00F733F0"/>
    <w:rsid w:val="00F80C18"/>
    <w:rsid w:val="00F8269A"/>
    <w:rsid w:val="00F87D35"/>
    <w:rsid w:val="00F9529D"/>
    <w:rsid w:val="00F9678C"/>
    <w:rsid w:val="00FA0050"/>
    <w:rsid w:val="00FA0D01"/>
    <w:rsid w:val="00FB3204"/>
    <w:rsid w:val="00FB59C8"/>
    <w:rsid w:val="00FB70D8"/>
    <w:rsid w:val="00FC29B1"/>
    <w:rsid w:val="00FC56F6"/>
    <w:rsid w:val="00FC6B14"/>
    <w:rsid w:val="00FC7592"/>
    <w:rsid w:val="00FC770F"/>
    <w:rsid w:val="00FD2679"/>
    <w:rsid w:val="00FD2BBF"/>
    <w:rsid w:val="00FD40EB"/>
    <w:rsid w:val="00FD46B2"/>
    <w:rsid w:val="00FD47D5"/>
    <w:rsid w:val="00FD6021"/>
    <w:rsid w:val="00FD63AC"/>
    <w:rsid w:val="00FE1CDB"/>
    <w:rsid w:val="00FE2871"/>
    <w:rsid w:val="00FE2B19"/>
    <w:rsid w:val="00FE3BE9"/>
    <w:rsid w:val="00FE6042"/>
    <w:rsid w:val="00FE6C55"/>
    <w:rsid w:val="00FF269E"/>
    <w:rsid w:val="00FF3251"/>
    <w:rsid w:val="00FF3578"/>
    <w:rsid w:val="00FF4B1C"/>
    <w:rsid w:val="034215CC"/>
    <w:rsid w:val="034D1875"/>
    <w:rsid w:val="03A810DA"/>
    <w:rsid w:val="04793982"/>
    <w:rsid w:val="0914216F"/>
    <w:rsid w:val="09263EDE"/>
    <w:rsid w:val="099F699F"/>
    <w:rsid w:val="0B125935"/>
    <w:rsid w:val="0BB90B94"/>
    <w:rsid w:val="0BEE311F"/>
    <w:rsid w:val="0BF558B0"/>
    <w:rsid w:val="0C6F4F00"/>
    <w:rsid w:val="0CBA42B6"/>
    <w:rsid w:val="0CD07931"/>
    <w:rsid w:val="0E220EFD"/>
    <w:rsid w:val="0E300DF1"/>
    <w:rsid w:val="106000A3"/>
    <w:rsid w:val="106D2E5F"/>
    <w:rsid w:val="10C92BDE"/>
    <w:rsid w:val="11AE1526"/>
    <w:rsid w:val="11E06D1D"/>
    <w:rsid w:val="14BD6DE9"/>
    <w:rsid w:val="151B0610"/>
    <w:rsid w:val="153967D9"/>
    <w:rsid w:val="15A51265"/>
    <w:rsid w:val="1602563E"/>
    <w:rsid w:val="172042BD"/>
    <w:rsid w:val="17DF730A"/>
    <w:rsid w:val="182037F9"/>
    <w:rsid w:val="1871150E"/>
    <w:rsid w:val="18A601CA"/>
    <w:rsid w:val="193B0DD2"/>
    <w:rsid w:val="1950525E"/>
    <w:rsid w:val="19995649"/>
    <w:rsid w:val="1A4B0BD2"/>
    <w:rsid w:val="1B142ABF"/>
    <w:rsid w:val="1BB02F43"/>
    <w:rsid w:val="1C8E7E91"/>
    <w:rsid w:val="1CD92D71"/>
    <w:rsid w:val="1D3A515F"/>
    <w:rsid w:val="1DA91524"/>
    <w:rsid w:val="1DBC2256"/>
    <w:rsid w:val="1F57560A"/>
    <w:rsid w:val="20DD1860"/>
    <w:rsid w:val="21416467"/>
    <w:rsid w:val="21467DDF"/>
    <w:rsid w:val="2258468B"/>
    <w:rsid w:val="24977CE4"/>
    <w:rsid w:val="250C493B"/>
    <w:rsid w:val="26E64670"/>
    <w:rsid w:val="272712C8"/>
    <w:rsid w:val="28D36530"/>
    <w:rsid w:val="29CF7033"/>
    <w:rsid w:val="2C672FEB"/>
    <w:rsid w:val="2D12102F"/>
    <w:rsid w:val="2D33196C"/>
    <w:rsid w:val="2DF41104"/>
    <w:rsid w:val="2F3F3674"/>
    <w:rsid w:val="2F6F6534"/>
    <w:rsid w:val="2FB62CD5"/>
    <w:rsid w:val="3166404B"/>
    <w:rsid w:val="316E4BCF"/>
    <w:rsid w:val="32FB3069"/>
    <w:rsid w:val="332831C8"/>
    <w:rsid w:val="349E77F0"/>
    <w:rsid w:val="359C2633"/>
    <w:rsid w:val="35C82541"/>
    <w:rsid w:val="360A4426"/>
    <w:rsid w:val="37623BD0"/>
    <w:rsid w:val="378A2746"/>
    <w:rsid w:val="382035D9"/>
    <w:rsid w:val="390E2AE7"/>
    <w:rsid w:val="39B12B9E"/>
    <w:rsid w:val="3A2A6D06"/>
    <w:rsid w:val="3A55034F"/>
    <w:rsid w:val="3AAD4D2B"/>
    <w:rsid w:val="3BA17D0E"/>
    <w:rsid w:val="3C7F4653"/>
    <w:rsid w:val="3D5C793D"/>
    <w:rsid w:val="3DFD6225"/>
    <w:rsid w:val="3E0B15BA"/>
    <w:rsid w:val="3E615B52"/>
    <w:rsid w:val="3EC639AA"/>
    <w:rsid w:val="3FE24704"/>
    <w:rsid w:val="40C10AD3"/>
    <w:rsid w:val="427631AB"/>
    <w:rsid w:val="43A8211E"/>
    <w:rsid w:val="4464587F"/>
    <w:rsid w:val="45455C37"/>
    <w:rsid w:val="47C07043"/>
    <w:rsid w:val="4B3A5EC6"/>
    <w:rsid w:val="4D722D5E"/>
    <w:rsid w:val="4DEE463E"/>
    <w:rsid w:val="504264C4"/>
    <w:rsid w:val="50A4483B"/>
    <w:rsid w:val="50D54E3C"/>
    <w:rsid w:val="50F85DA4"/>
    <w:rsid w:val="51AF26D5"/>
    <w:rsid w:val="532F052B"/>
    <w:rsid w:val="53CB1533"/>
    <w:rsid w:val="54A90501"/>
    <w:rsid w:val="552402CA"/>
    <w:rsid w:val="55434855"/>
    <w:rsid w:val="55882EFC"/>
    <w:rsid w:val="56490C7C"/>
    <w:rsid w:val="58343EAC"/>
    <w:rsid w:val="58F33E0F"/>
    <w:rsid w:val="597E6C17"/>
    <w:rsid w:val="5B3B15FB"/>
    <w:rsid w:val="5B7464C5"/>
    <w:rsid w:val="5B920EBC"/>
    <w:rsid w:val="5BFA6CAE"/>
    <w:rsid w:val="5D0D24D3"/>
    <w:rsid w:val="5D2B5A03"/>
    <w:rsid w:val="5D654113"/>
    <w:rsid w:val="5D676170"/>
    <w:rsid w:val="5DB45A4D"/>
    <w:rsid w:val="5E2A7A6D"/>
    <w:rsid w:val="5E3D22F6"/>
    <w:rsid w:val="5E41737F"/>
    <w:rsid w:val="5E9E5CF6"/>
    <w:rsid w:val="5F5A3274"/>
    <w:rsid w:val="5F5C54EB"/>
    <w:rsid w:val="5FB62CE4"/>
    <w:rsid w:val="5FDC66AB"/>
    <w:rsid w:val="60886E86"/>
    <w:rsid w:val="61426FC7"/>
    <w:rsid w:val="63247138"/>
    <w:rsid w:val="635A6060"/>
    <w:rsid w:val="64440A64"/>
    <w:rsid w:val="659D1EC8"/>
    <w:rsid w:val="65C42961"/>
    <w:rsid w:val="66AD6F06"/>
    <w:rsid w:val="66D04F8A"/>
    <w:rsid w:val="67F355EF"/>
    <w:rsid w:val="68727AEB"/>
    <w:rsid w:val="68CB2404"/>
    <w:rsid w:val="6AE57802"/>
    <w:rsid w:val="6B353E8E"/>
    <w:rsid w:val="6B7A4196"/>
    <w:rsid w:val="6BC94628"/>
    <w:rsid w:val="6D082DCE"/>
    <w:rsid w:val="6DC45725"/>
    <w:rsid w:val="6DD964A3"/>
    <w:rsid w:val="6F514B5B"/>
    <w:rsid w:val="6FC87D4D"/>
    <w:rsid w:val="6FE46FB1"/>
    <w:rsid w:val="70071414"/>
    <w:rsid w:val="712C720C"/>
    <w:rsid w:val="74605603"/>
    <w:rsid w:val="74EA6BF5"/>
    <w:rsid w:val="75903C84"/>
    <w:rsid w:val="766E0138"/>
    <w:rsid w:val="767D7AB0"/>
    <w:rsid w:val="76CB600F"/>
    <w:rsid w:val="76DA4E14"/>
    <w:rsid w:val="78C05101"/>
    <w:rsid w:val="79273F04"/>
    <w:rsid w:val="7A0850E0"/>
    <w:rsid w:val="7BAB2825"/>
    <w:rsid w:val="7C4A2B81"/>
    <w:rsid w:val="7C5D0A8B"/>
    <w:rsid w:val="7C754D92"/>
    <w:rsid w:val="7FAA3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HTML Preformatted" w:semiHidden="0" w:uiPriority="0" w:unhideWhenUsed="0" w:qFormat="1"/>
    <w:lsdException w:name="Normal Table" w:qFormat="1"/>
    <w:lsdException w:name="Balloon Text" w:semiHidden="0" w:uiPriority="0" w:qFormat="1"/>
    <w:lsdException w:name="Table Grid" w:semiHidden="0" w:uiPriority="59" w:unhideWhenUsed="0" w:qFormat="1"/>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E4"/>
    <w:pPr>
      <w:widowControl w:val="0"/>
      <w:jc w:val="both"/>
    </w:pPr>
    <w:rPr>
      <w:kern w:val="2"/>
      <w:sz w:val="21"/>
      <w:szCs w:val="22"/>
    </w:rPr>
  </w:style>
  <w:style w:type="paragraph" w:styleId="1">
    <w:name w:val="heading 1"/>
    <w:basedOn w:val="a"/>
    <w:next w:val="a"/>
    <w:link w:val="1Char"/>
    <w:uiPriority w:val="9"/>
    <w:qFormat/>
    <w:rsid w:val="002F12E4"/>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2F12E4"/>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2F12E4"/>
    <w:pPr>
      <w:keepNext/>
      <w:keepLines/>
      <w:spacing w:before="260" w:after="260" w:line="416" w:lineRule="auto"/>
      <w:outlineLvl w:val="2"/>
    </w:pPr>
    <w:rPr>
      <w:bCs/>
      <w:sz w:val="24"/>
      <w:szCs w:val="32"/>
    </w:rPr>
  </w:style>
  <w:style w:type="paragraph" w:styleId="4">
    <w:name w:val="heading 4"/>
    <w:basedOn w:val="a"/>
    <w:next w:val="a"/>
    <w:qFormat/>
    <w:rsid w:val="002F12E4"/>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sid w:val="002F12E4"/>
    <w:rPr>
      <w:rFonts w:eastAsia="黑体"/>
      <w:b/>
      <w:bCs/>
      <w:kern w:val="44"/>
      <w:sz w:val="32"/>
      <w:szCs w:val="44"/>
    </w:rPr>
  </w:style>
  <w:style w:type="character" w:customStyle="1" w:styleId="2Char1">
    <w:name w:val="标题 2 Char1"/>
    <w:link w:val="2"/>
    <w:uiPriority w:val="9"/>
    <w:qFormat/>
    <w:rsid w:val="002F12E4"/>
    <w:rPr>
      <w:rFonts w:ascii="Cambria" w:hAnsi="Cambria"/>
      <w:b/>
      <w:bCs/>
      <w:kern w:val="2"/>
      <w:sz w:val="28"/>
      <w:szCs w:val="32"/>
    </w:rPr>
  </w:style>
  <w:style w:type="paragraph" w:styleId="a3">
    <w:name w:val="Document Map"/>
    <w:basedOn w:val="a"/>
    <w:link w:val="Char"/>
    <w:uiPriority w:val="99"/>
    <w:semiHidden/>
    <w:unhideWhenUsed/>
    <w:qFormat/>
    <w:rsid w:val="002F12E4"/>
    <w:rPr>
      <w:rFonts w:ascii="宋体"/>
      <w:sz w:val="18"/>
      <w:szCs w:val="18"/>
    </w:rPr>
  </w:style>
  <w:style w:type="character" w:customStyle="1" w:styleId="Char">
    <w:name w:val="文档结构图 Char"/>
    <w:basedOn w:val="a0"/>
    <w:link w:val="a3"/>
    <w:uiPriority w:val="99"/>
    <w:semiHidden/>
    <w:qFormat/>
    <w:rsid w:val="002F12E4"/>
    <w:rPr>
      <w:rFonts w:ascii="宋体"/>
      <w:kern w:val="2"/>
      <w:sz w:val="18"/>
      <w:szCs w:val="18"/>
    </w:rPr>
  </w:style>
  <w:style w:type="paragraph" w:styleId="a4">
    <w:name w:val="Body Text Indent"/>
    <w:basedOn w:val="a"/>
    <w:qFormat/>
    <w:rsid w:val="002F12E4"/>
    <w:pPr>
      <w:autoSpaceDE w:val="0"/>
      <w:autoSpaceDN w:val="0"/>
      <w:adjustRightInd w:val="0"/>
      <w:ind w:firstLineChars="200" w:firstLine="420"/>
      <w:jc w:val="left"/>
    </w:pPr>
    <w:rPr>
      <w:rFonts w:ascii="宋体"/>
      <w:kern w:val="0"/>
      <w:szCs w:val="20"/>
      <w:lang w:val="zh-CN"/>
    </w:rPr>
  </w:style>
  <w:style w:type="paragraph" w:styleId="30">
    <w:name w:val="toc 3"/>
    <w:basedOn w:val="a"/>
    <w:next w:val="a"/>
    <w:uiPriority w:val="39"/>
    <w:unhideWhenUsed/>
    <w:qFormat/>
    <w:rsid w:val="002F12E4"/>
    <w:pPr>
      <w:ind w:leftChars="400" w:left="840"/>
    </w:pPr>
  </w:style>
  <w:style w:type="paragraph" w:styleId="a5">
    <w:name w:val="Date"/>
    <w:basedOn w:val="a"/>
    <w:next w:val="a"/>
    <w:qFormat/>
    <w:rsid w:val="002F12E4"/>
    <w:pPr>
      <w:ind w:leftChars="2500" w:left="100"/>
    </w:pPr>
    <w:rPr>
      <w:rFonts w:ascii="宋体"/>
      <w:kern w:val="0"/>
      <w:sz w:val="20"/>
      <w:szCs w:val="20"/>
      <w:lang w:val="zh-CN"/>
    </w:rPr>
  </w:style>
  <w:style w:type="paragraph" w:styleId="20">
    <w:name w:val="Body Text Indent 2"/>
    <w:basedOn w:val="a"/>
    <w:qFormat/>
    <w:rsid w:val="002F12E4"/>
    <w:pPr>
      <w:tabs>
        <w:tab w:val="left" w:pos="2520"/>
      </w:tabs>
      <w:ind w:firstLine="435"/>
    </w:pPr>
    <w:rPr>
      <w:szCs w:val="24"/>
    </w:rPr>
  </w:style>
  <w:style w:type="paragraph" w:styleId="a6">
    <w:name w:val="Balloon Text"/>
    <w:basedOn w:val="a"/>
    <w:link w:val="Char0"/>
    <w:unhideWhenUsed/>
    <w:qFormat/>
    <w:rsid w:val="002F12E4"/>
    <w:rPr>
      <w:kern w:val="0"/>
      <w:sz w:val="18"/>
      <w:szCs w:val="18"/>
    </w:rPr>
  </w:style>
  <w:style w:type="character" w:customStyle="1" w:styleId="Char0">
    <w:name w:val="批注框文本 Char"/>
    <w:link w:val="a6"/>
    <w:uiPriority w:val="99"/>
    <w:semiHidden/>
    <w:qFormat/>
    <w:rsid w:val="002F12E4"/>
    <w:rPr>
      <w:sz w:val="18"/>
      <w:szCs w:val="18"/>
    </w:rPr>
  </w:style>
  <w:style w:type="paragraph" w:styleId="a7">
    <w:name w:val="footer"/>
    <w:basedOn w:val="a"/>
    <w:link w:val="Char1"/>
    <w:uiPriority w:val="99"/>
    <w:unhideWhenUsed/>
    <w:qFormat/>
    <w:rsid w:val="002F12E4"/>
    <w:pPr>
      <w:tabs>
        <w:tab w:val="center" w:pos="4153"/>
        <w:tab w:val="right" w:pos="8306"/>
      </w:tabs>
      <w:snapToGrid w:val="0"/>
      <w:jc w:val="left"/>
    </w:pPr>
    <w:rPr>
      <w:kern w:val="0"/>
      <w:sz w:val="18"/>
      <w:szCs w:val="18"/>
    </w:rPr>
  </w:style>
  <w:style w:type="character" w:customStyle="1" w:styleId="Char1">
    <w:name w:val="页脚 Char"/>
    <w:link w:val="a7"/>
    <w:uiPriority w:val="99"/>
    <w:qFormat/>
    <w:rsid w:val="002F12E4"/>
    <w:rPr>
      <w:sz w:val="18"/>
      <w:szCs w:val="18"/>
    </w:rPr>
  </w:style>
  <w:style w:type="paragraph" w:styleId="a8">
    <w:name w:val="header"/>
    <w:basedOn w:val="a"/>
    <w:link w:val="Char2"/>
    <w:uiPriority w:val="99"/>
    <w:unhideWhenUsed/>
    <w:qFormat/>
    <w:rsid w:val="002F12E4"/>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8"/>
    <w:uiPriority w:val="99"/>
    <w:qFormat/>
    <w:rsid w:val="002F12E4"/>
    <w:rPr>
      <w:sz w:val="18"/>
      <w:szCs w:val="18"/>
    </w:rPr>
  </w:style>
  <w:style w:type="paragraph" w:styleId="10">
    <w:name w:val="toc 1"/>
    <w:basedOn w:val="a"/>
    <w:next w:val="a"/>
    <w:uiPriority w:val="39"/>
    <w:qFormat/>
    <w:rsid w:val="002F12E4"/>
    <w:pPr>
      <w:tabs>
        <w:tab w:val="right" w:leader="dot" w:pos="9170"/>
      </w:tabs>
      <w:spacing w:before="120" w:after="120"/>
      <w:jc w:val="left"/>
    </w:pPr>
    <w:rPr>
      <w:rFonts w:ascii="宋体" w:hAnsi="宋体"/>
      <w:b/>
      <w:bCs/>
      <w:caps/>
      <w:color w:val="000000"/>
      <w:sz w:val="24"/>
      <w:szCs w:val="24"/>
    </w:rPr>
  </w:style>
  <w:style w:type="paragraph" w:styleId="a9">
    <w:name w:val="Subtitle"/>
    <w:basedOn w:val="a"/>
    <w:next w:val="a"/>
    <w:link w:val="Char3"/>
    <w:uiPriority w:val="11"/>
    <w:qFormat/>
    <w:rsid w:val="002F12E4"/>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9"/>
    <w:uiPriority w:val="11"/>
    <w:qFormat/>
    <w:rsid w:val="002F12E4"/>
    <w:rPr>
      <w:rFonts w:ascii="Cambria" w:hAnsi="Cambria" w:cs="Times New Roman"/>
      <w:b/>
      <w:bCs/>
      <w:kern w:val="28"/>
      <w:sz w:val="32"/>
      <w:szCs w:val="32"/>
    </w:rPr>
  </w:style>
  <w:style w:type="paragraph" w:styleId="31">
    <w:name w:val="Body Text Indent 3"/>
    <w:basedOn w:val="a"/>
    <w:qFormat/>
    <w:rsid w:val="002F12E4"/>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qFormat/>
    <w:rsid w:val="002F12E4"/>
    <w:pPr>
      <w:tabs>
        <w:tab w:val="right" w:leader="dot" w:pos="9170"/>
      </w:tabs>
      <w:spacing w:line="360" w:lineRule="auto"/>
      <w:ind w:left="210"/>
      <w:jc w:val="left"/>
    </w:pPr>
    <w:rPr>
      <w:rFonts w:ascii="宋体" w:hAnsi="宋体"/>
      <w:b/>
      <w:smallCaps/>
      <w:color w:val="000000"/>
      <w:sz w:val="24"/>
      <w:szCs w:val="24"/>
    </w:rPr>
  </w:style>
  <w:style w:type="paragraph" w:styleId="HTML">
    <w:name w:val="HTML Preformatted"/>
    <w:basedOn w:val="a"/>
    <w:qFormat/>
    <w:rsid w:val="002F12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a">
    <w:name w:val="Normal (Web)"/>
    <w:basedOn w:val="a"/>
    <w:link w:val="Char4"/>
    <w:uiPriority w:val="99"/>
    <w:qFormat/>
    <w:rsid w:val="002F12E4"/>
    <w:pPr>
      <w:widowControl/>
      <w:spacing w:before="100" w:beforeAutospacing="1" w:after="100" w:afterAutospacing="1"/>
      <w:jc w:val="left"/>
    </w:pPr>
    <w:rPr>
      <w:rFonts w:ascii="宋体" w:hAnsi="宋体" w:cs="宋体"/>
      <w:kern w:val="0"/>
      <w:sz w:val="24"/>
      <w:szCs w:val="24"/>
    </w:rPr>
  </w:style>
  <w:style w:type="character" w:customStyle="1" w:styleId="Char4">
    <w:name w:val="普通(网站) Char"/>
    <w:link w:val="aa"/>
    <w:qFormat/>
    <w:locked/>
    <w:rsid w:val="002F12E4"/>
    <w:rPr>
      <w:rFonts w:ascii="宋体" w:hAnsi="宋体" w:cs="宋体"/>
      <w:sz w:val="24"/>
      <w:szCs w:val="24"/>
    </w:rPr>
  </w:style>
  <w:style w:type="table" w:styleId="ab">
    <w:name w:val="Table Grid"/>
    <w:basedOn w:val="a1"/>
    <w:uiPriority w:val="59"/>
    <w:qFormat/>
    <w:rsid w:val="002F12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Theme"/>
    <w:basedOn w:val="a1"/>
    <w:qFormat/>
    <w:rsid w:val="002F12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2F12E4"/>
    <w:rPr>
      <w:b/>
      <w:bCs/>
    </w:rPr>
  </w:style>
  <w:style w:type="character" w:styleId="ae">
    <w:name w:val="page number"/>
    <w:basedOn w:val="a0"/>
    <w:qFormat/>
    <w:rsid w:val="002F12E4"/>
  </w:style>
  <w:style w:type="character" w:styleId="af">
    <w:name w:val="FollowedHyperlink"/>
    <w:uiPriority w:val="99"/>
    <w:qFormat/>
    <w:rsid w:val="002F12E4"/>
    <w:rPr>
      <w:color w:val="800080"/>
      <w:u w:val="single"/>
    </w:rPr>
  </w:style>
  <w:style w:type="character" w:styleId="af0">
    <w:name w:val="Hyperlink"/>
    <w:uiPriority w:val="99"/>
    <w:qFormat/>
    <w:rsid w:val="002F12E4"/>
    <w:rPr>
      <w:color w:val="0000FF"/>
      <w:u w:val="single"/>
    </w:rPr>
  </w:style>
  <w:style w:type="character" w:customStyle="1" w:styleId="3Char">
    <w:name w:val="标题 3 Char"/>
    <w:qFormat/>
    <w:rsid w:val="002F12E4"/>
    <w:rPr>
      <w:rFonts w:eastAsia="宋体"/>
      <w:b/>
      <w:bCs/>
      <w:kern w:val="2"/>
      <w:sz w:val="32"/>
      <w:szCs w:val="32"/>
      <w:lang w:val="en-US" w:eastAsia="zh-CN" w:bidi="ar-SA"/>
    </w:rPr>
  </w:style>
  <w:style w:type="character" w:customStyle="1" w:styleId="showtext">
    <w:name w:val="showtext"/>
    <w:basedOn w:val="a0"/>
    <w:qFormat/>
    <w:rsid w:val="002F12E4"/>
  </w:style>
  <w:style w:type="character" w:customStyle="1" w:styleId="WebCharChar2">
    <w:name w:val="普通 (Web) Char Char2"/>
    <w:qFormat/>
    <w:locked/>
    <w:rsid w:val="002F12E4"/>
    <w:rPr>
      <w:rFonts w:ascii="宋体" w:eastAsia="宋体" w:hAnsi="宋体" w:cs="宋体"/>
      <w:sz w:val="24"/>
      <w:szCs w:val="24"/>
      <w:lang w:val="en-US" w:eastAsia="zh-CN" w:bidi="ar-SA"/>
    </w:rPr>
  </w:style>
  <w:style w:type="character" w:customStyle="1" w:styleId="apple-converted-space">
    <w:name w:val="apple-converted-space"/>
    <w:basedOn w:val="a0"/>
    <w:qFormat/>
    <w:rsid w:val="002F12E4"/>
  </w:style>
  <w:style w:type="character" w:customStyle="1" w:styleId="f21">
    <w:name w:val="f21"/>
    <w:qFormat/>
    <w:rsid w:val="002F12E4"/>
    <w:rPr>
      <w:rFonts w:ascii="宋体" w:eastAsia="宋体" w:hAnsi="宋体" w:hint="eastAsia"/>
      <w:sz w:val="21"/>
      <w:szCs w:val="21"/>
    </w:rPr>
  </w:style>
  <w:style w:type="character" w:customStyle="1" w:styleId="style11">
    <w:name w:val="style11"/>
    <w:qFormat/>
    <w:rsid w:val="002F12E4"/>
    <w:rPr>
      <w:color w:val="999999"/>
      <w:sz w:val="18"/>
      <w:szCs w:val="18"/>
    </w:rPr>
  </w:style>
  <w:style w:type="character" w:customStyle="1" w:styleId="2Char">
    <w:name w:val="标题 2 Char"/>
    <w:qFormat/>
    <w:rsid w:val="002F12E4"/>
    <w:rPr>
      <w:rFonts w:ascii="Arial" w:eastAsia="黑体" w:hAnsi="Arial"/>
      <w:b/>
      <w:bCs/>
      <w:kern w:val="2"/>
      <w:sz w:val="32"/>
      <w:szCs w:val="32"/>
      <w:lang w:val="en-US" w:eastAsia="zh-CN" w:bidi="ar-SA"/>
    </w:rPr>
  </w:style>
  <w:style w:type="character" w:customStyle="1" w:styleId="style171">
    <w:name w:val="style171"/>
    <w:qFormat/>
    <w:rsid w:val="002F12E4"/>
    <w:rPr>
      <w:sz w:val="21"/>
      <w:szCs w:val="21"/>
    </w:rPr>
  </w:style>
  <w:style w:type="character" w:customStyle="1" w:styleId="WebCharChar">
    <w:name w:val="普通 (Web) Char Char"/>
    <w:qFormat/>
    <w:locked/>
    <w:rsid w:val="002F12E4"/>
    <w:rPr>
      <w:rFonts w:ascii="宋体" w:eastAsia="宋体" w:hAnsi="宋体" w:cs="宋体"/>
      <w:sz w:val="24"/>
      <w:szCs w:val="24"/>
      <w:lang w:val="en-US" w:eastAsia="zh-CN" w:bidi="ar-SA"/>
    </w:rPr>
  </w:style>
  <w:style w:type="character" w:customStyle="1" w:styleId="style61">
    <w:name w:val="style61"/>
    <w:qFormat/>
    <w:rsid w:val="002F12E4"/>
    <w:rPr>
      <w:b/>
      <w:bCs/>
      <w:color w:val="3399FF"/>
      <w:sz w:val="24"/>
      <w:szCs w:val="24"/>
    </w:rPr>
  </w:style>
  <w:style w:type="character" w:customStyle="1" w:styleId="f41">
    <w:name w:val="f41"/>
    <w:qFormat/>
    <w:rsid w:val="002F12E4"/>
    <w:rPr>
      <w:rFonts w:ascii="宋体" w:eastAsia="宋体" w:hAnsi="宋体" w:hint="eastAsia"/>
      <w:sz w:val="18"/>
      <w:szCs w:val="18"/>
    </w:rPr>
  </w:style>
  <w:style w:type="character" w:customStyle="1" w:styleId="3Char1">
    <w:name w:val="标题 3 Char1"/>
    <w:qFormat/>
    <w:rsid w:val="002F12E4"/>
    <w:rPr>
      <w:rFonts w:eastAsia="宋体"/>
      <w:b/>
      <w:bCs/>
      <w:kern w:val="2"/>
      <w:sz w:val="32"/>
      <w:szCs w:val="32"/>
      <w:lang w:val="en-US" w:eastAsia="zh-CN" w:bidi="ar-SA"/>
    </w:rPr>
  </w:style>
  <w:style w:type="character" w:customStyle="1" w:styleId="style161">
    <w:name w:val="style161"/>
    <w:qFormat/>
    <w:rsid w:val="002F12E4"/>
    <w:rPr>
      <w:sz w:val="24"/>
      <w:szCs w:val="24"/>
    </w:rPr>
  </w:style>
  <w:style w:type="character" w:customStyle="1" w:styleId="f31">
    <w:name w:val="f31"/>
    <w:qFormat/>
    <w:rsid w:val="002F12E4"/>
    <w:rPr>
      <w:rFonts w:ascii="ˎ̥" w:hAnsi="ˎ̥" w:hint="default"/>
      <w:color w:val="999999"/>
      <w:sz w:val="16"/>
      <w:szCs w:val="16"/>
    </w:rPr>
  </w:style>
  <w:style w:type="paragraph" w:customStyle="1" w:styleId="xl91">
    <w:name w:val="xl9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
    <w:name w:val="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5">
    <w:name w:val="f5"/>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1">
    <w:name w:val="Char Char Char1"/>
    <w:basedOn w:val="a"/>
    <w:qFormat/>
    <w:rsid w:val="002F12E4"/>
    <w:pPr>
      <w:widowControl/>
      <w:spacing w:after="160" w:line="240" w:lineRule="exact"/>
      <w:jc w:val="left"/>
    </w:pPr>
    <w:rPr>
      <w:rFonts w:ascii="Verdana" w:hAnsi="Verdana"/>
      <w:kern w:val="0"/>
      <w:sz w:val="20"/>
      <w:szCs w:val="20"/>
      <w:lang w:eastAsia="en-US"/>
    </w:rPr>
  </w:style>
  <w:style w:type="paragraph" w:customStyle="1" w:styleId="font6">
    <w:name w:val="font6"/>
    <w:basedOn w:val="a"/>
    <w:qFormat/>
    <w:rsid w:val="002F12E4"/>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qFormat/>
    <w:rsid w:val="002F12E4"/>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qFormat/>
    <w:rsid w:val="002F12E4"/>
    <w:pPr>
      <w:widowControl/>
      <w:spacing w:before="100" w:beforeAutospacing="1" w:after="100" w:afterAutospacing="1"/>
      <w:jc w:val="left"/>
    </w:pPr>
    <w:rPr>
      <w:rFonts w:eastAsia="Arial Unicode MS"/>
      <w:kern w:val="0"/>
      <w:sz w:val="20"/>
      <w:szCs w:val="20"/>
    </w:rPr>
  </w:style>
  <w:style w:type="paragraph" w:customStyle="1" w:styleId="xl28">
    <w:name w:val="xl2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qFormat/>
    <w:rsid w:val="002F12E4"/>
    <w:pPr>
      <w:widowControl/>
      <w:spacing w:before="100" w:beforeAutospacing="1" w:after="100" w:afterAutospacing="1"/>
      <w:jc w:val="left"/>
      <w:textAlignment w:val="top"/>
    </w:pPr>
    <w:rPr>
      <w:kern w:val="0"/>
      <w:sz w:val="20"/>
      <w:szCs w:val="20"/>
    </w:rPr>
  </w:style>
  <w:style w:type="paragraph" w:customStyle="1" w:styleId="440">
    <w:name w:val="为440"/>
    <w:basedOn w:val="a"/>
    <w:qFormat/>
    <w:rsid w:val="002F12E4"/>
    <w:pPr>
      <w:adjustRightInd w:val="0"/>
      <w:spacing w:line="360" w:lineRule="atLeast"/>
      <w:jc w:val="left"/>
      <w:textAlignment w:val="baseline"/>
    </w:pPr>
    <w:rPr>
      <w:kern w:val="0"/>
      <w:sz w:val="24"/>
      <w:szCs w:val="20"/>
    </w:rPr>
  </w:style>
  <w:style w:type="paragraph" w:customStyle="1" w:styleId="xl39">
    <w:name w:val="xl3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z-1">
    <w:name w:val="z-窗体顶端1"/>
    <w:basedOn w:val="a"/>
    <w:next w:val="a"/>
    <w:qFormat/>
    <w:rsid w:val="002F12E4"/>
    <w:pPr>
      <w:widowControl/>
      <w:pBdr>
        <w:bottom w:val="single" w:sz="6" w:space="1" w:color="auto"/>
      </w:pBdr>
      <w:jc w:val="center"/>
    </w:pPr>
    <w:rPr>
      <w:rFonts w:ascii="Arial" w:hAnsi="Arial" w:cs="Arial"/>
      <w:vanish/>
      <w:kern w:val="0"/>
      <w:sz w:val="16"/>
      <w:szCs w:val="16"/>
    </w:rPr>
  </w:style>
  <w:style w:type="paragraph" w:customStyle="1" w:styleId="xl50">
    <w:name w:val="xl5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qFormat/>
    <w:rsid w:val="002F12E4"/>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qFormat/>
    <w:rsid w:val="002F12E4"/>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qFormat/>
    <w:rsid w:val="002F12E4"/>
    <w:pPr>
      <w:widowControl/>
      <w:spacing w:before="100" w:beforeAutospacing="1" w:after="100" w:afterAutospacing="1"/>
      <w:jc w:val="left"/>
    </w:pPr>
    <w:rPr>
      <w:kern w:val="0"/>
      <w:sz w:val="20"/>
      <w:szCs w:val="20"/>
    </w:rPr>
  </w:style>
  <w:style w:type="paragraph" w:customStyle="1" w:styleId="xl110">
    <w:name w:val="xl110"/>
    <w:basedOn w:val="a"/>
    <w:qFormat/>
    <w:rsid w:val="002F12E4"/>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qFormat/>
    <w:rsid w:val="002F12E4"/>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qFormat/>
    <w:rsid w:val="002F12E4"/>
    <w:pPr>
      <w:widowControl/>
      <w:spacing w:line="330" w:lineRule="atLeast"/>
      <w:jc w:val="left"/>
    </w:pPr>
    <w:rPr>
      <w:rFonts w:ascii="宋体" w:hAnsi="宋体" w:cs="宋体"/>
      <w:kern w:val="0"/>
      <w:szCs w:val="21"/>
    </w:rPr>
  </w:style>
  <w:style w:type="paragraph" w:customStyle="1" w:styleId="f0">
    <w:name w:val="f0"/>
    <w:basedOn w:val="a"/>
    <w:qFormat/>
    <w:rsid w:val="002F12E4"/>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qFormat/>
    <w:rsid w:val="002F12E4"/>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qFormat/>
    <w:rsid w:val="002F12E4"/>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qFormat/>
    <w:rsid w:val="002F12E4"/>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3">
    <w:name w:val="f3"/>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qFormat/>
    <w:rsid w:val="002F12E4"/>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5">
    <w:name w:val="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qFormat/>
    <w:rsid w:val="002F12E4"/>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qFormat/>
    <w:rsid w:val="002F12E4"/>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qFormat/>
    <w:rsid w:val="002F12E4"/>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qFormat/>
    <w:rsid w:val="002F12E4"/>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qFormat/>
    <w:rsid w:val="002F12E4"/>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qFormat/>
    <w:rsid w:val="002F12E4"/>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qFormat/>
    <w:rsid w:val="002F12E4"/>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qFormat/>
    <w:rsid w:val="002F12E4"/>
    <w:pPr>
      <w:widowControl/>
      <w:spacing w:before="100" w:beforeAutospacing="1" w:after="100" w:afterAutospacing="1"/>
      <w:jc w:val="left"/>
    </w:pPr>
    <w:rPr>
      <w:b/>
      <w:bCs/>
      <w:color w:val="FFFFFF"/>
      <w:kern w:val="0"/>
      <w:sz w:val="18"/>
      <w:szCs w:val="18"/>
    </w:rPr>
  </w:style>
  <w:style w:type="paragraph" w:customStyle="1" w:styleId="xl44">
    <w:name w:val="xl44"/>
    <w:basedOn w:val="a"/>
    <w:qFormat/>
    <w:rsid w:val="002F12E4"/>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qFormat/>
    <w:rsid w:val="002F12E4"/>
    <w:pPr>
      <w:widowControl/>
      <w:spacing w:before="100" w:beforeAutospacing="1" w:after="100" w:afterAutospacing="1"/>
      <w:jc w:val="center"/>
      <w:textAlignment w:val="bottom"/>
    </w:pPr>
    <w:rPr>
      <w:kern w:val="0"/>
      <w:sz w:val="20"/>
      <w:szCs w:val="20"/>
    </w:rPr>
  </w:style>
  <w:style w:type="paragraph" w:customStyle="1" w:styleId="xl46">
    <w:name w:val="xl4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qFormat/>
    <w:rsid w:val="002F12E4"/>
    <w:pPr>
      <w:widowControl/>
      <w:spacing w:before="100" w:beforeAutospacing="1" w:after="100" w:afterAutospacing="1"/>
      <w:jc w:val="left"/>
      <w:textAlignment w:val="bottom"/>
    </w:pPr>
    <w:rPr>
      <w:kern w:val="0"/>
      <w:sz w:val="20"/>
      <w:szCs w:val="20"/>
    </w:rPr>
  </w:style>
  <w:style w:type="paragraph" w:customStyle="1" w:styleId="xl68">
    <w:name w:val="xl68"/>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qFormat/>
    <w:rsid w:val="002F12E4"/>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qFormat/>
    <w:rsid w:val="002F12E4"/>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qFormat/>
    <w:rsid w:val="002F12E4"/>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qFormat/>
    <w:rsid w:val="002F12E4"/>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qFormat/>
    <w:rsid w:val="002F12E4"/>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qFormat/>
    <w:rsid w:val="002F12E4"/>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qFormat/>
    <w:rsid w:val="002F12E4"/>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qFormat/>
    <w:rsid w:val="002F12E4"/>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qFormat/>
    <w:rsid w:val="002F12E4"/>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qFormat/>
    <w:rsid w:val="002F12E4"/>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qFormat/>
    <w:rsid w:val="002F12E4"/>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2F12E4"/>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rsid w:val="002F12E4"/>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z-10">
    <w:name w:val="z-窗体底端1"/>
    <w:basedOn w:val="a"/>
    <w:next w:val="a"/>
    <w:qFormat/>
    <w:rsid w:val="002F12E4"/>
    <w:pPr>
      <w:widowControl/>
      <w:pBdr>
        <w:top w:val="single" w:sz="6" w:space="1" w:color="auto"/>
      </w:pBdr>
      <w:jc w:val="center"/>
    </w:pPr>
    <w:rPr>
      <w:rFonts w:ascii="Arial" w:hAnsi="Arial" w:cs="Arial"/>
      <w:vanish/>
      <w:kern w:val="0"/>
      <w:sz w:val="16"/>
      <w:szCs w:val="16"/>
    </w:rPr>
  </w:style>
  <w:style w:type="paragraph" w:customStyle="1" w:styleId="Default">
    <w:name w:val="Default"/>
    <w:qFormat/>
    <w:rsid w:val="002F12E4"/>
    <w:pPr>
      <w:widowControl w:val="0"/>
      <w:autoSpaceDE w:val="0"/>
      <w:autoSpaceDN w:val="0"/>
      <w:adjustRightInd w:val="0"/>
    </w:pPr>
    <w:rPr>
      <w:rFonts w:ascii="微软雅黑" w:hAnsi="微软雅黑" w:cs="微软雅黑"/>
      <w:color w:val="000000"/>
      <w:sz w:val="24"/>
      <w:szCs w:val="24"/>
    </w:rPr>
  </w:style>
  <w:style w:type="paragraph" w:styleId="af1">
    <w:name w:val="List Paragraph"/>
    <w:basedOn w:val="a"/>
    <w:uiPriority w:val="99"/>
    <w:qFormat/>
    <w:rsid w:val="002F12E4"/>
    <w:pPr>
      <w:ind w:firstLineChars="200" w:firstLine="420"/>
    </w:pPr>
  </w:style>
  <w:style w:type="character" w:customStyle="1" w:styleId="font41">
    <w:name w:val="font41"/>
    <w:basedOn w:val="a0"/>
    <w:qFormat/>
    <w:rsid w:val="002F12E4"/>
    <w:rPr>
      <w:rFonts w:ascii="MS Gothic" w:eastAsia="MS Gothic" w:hAnsi="MS Gothic" w:cs="MS Gothic"/>
      <w:color w:val="000000"/>
      <w:sz w:val="20"/>
      <w:szCs w:val="20"/>
      <w:u w:val="none"/>
    </w:rPr>
  </w:style>
  <w:style w:type="character" w:customStyle="1" w:styleId="font31">
    <w:name w:val="font31"/>
    <w:basedOn w:val="a0"/>
    <w:qFormat/>
    <w:rsid w:val="002F12E4"/>
    <w:rPr>
      <w:rFonts w:ascii="宋体" w:eastAsia="宋体" w:hAnsi="宋体" w:cs="宋体" w:hint="eastAsia"/>
      <w:color w:val="000000"/>
      <w:sz w:val="20"/>
      <w:szCs w:val="20"/>
      <w:u w:val="none"/>
    </w:rPr>
  </w:style>
  <w:style w:type="character" w:customStyle="1" w:styleId="font91">
    <w:name w:val="font91"/>
    <w:basedOn w:val="a0"/>
    <w:qFormat/>
    <w:rsid w:val="002F12E4"/>
    <w:rPr>
      <w:rFonts w:ascii="宋体" w:eastAsia="宋体" w:hAnsi="宋体" w:cs="宋体" w:hint="eastAsia"/>
      <w:color w:val="000000"/>
      <w:sz w:val="18"/>
      <w:szCs w:val="18"/>
      <w:u w:val="none"/>
    </w:rPr>
  </w:style>
  <w:style w:type="paragraph" w:customStyle="1" w:styleId="xl183">
    <w:name w:val="xl183"/>
    <w:basedOn w:val="a"/>
    <w:rsid w:val="00A57187"/>
    <w:pPr>
      <w:widowControl/>
      <w:spacing w:before="100" w:beforeAutospacing="1" w:after="100" w:afterAutospacing="1"/>
      <w:jc w:val="left"/>
    </w:pPr>
    <w:rPr>
      <w:rFonts w:ascii="宋体" w:hAnsi="宋体" w:cs="宋体"/>
      <w:kern w:val="0"/>
      <w:sz w:val="20"/>
      <w:szCs w:val="20"/>
    </w:rPr>
  </w:style>
  <w:style w:type="paragraph" w:customStyle="1" w:styleId="xl184">
    <w:name w:val="xl184"/>
    <w:basedOn w:val="a"/>
    <w:rsid w:val="00A5718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85">
    <w:name w:val="xl185"/>
    <w:basedOn w:val="a"/>
    <w:rsid w:val="00A5718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86">
    <w:name w:val="xl186"/>
    <w:basedOn w:val="a"/>
    <w:rsid w:val="00A5718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87">
    <w:name w:val="xl187"/>
    <w:basedOn w:val="a"/>
    <w:rsid w:val="00A5718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8">
    <w:name w:val="xl188"/>
    <w:basedOn w:val="a"/>
    <w:rsid w:val="00A5718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9">
    <w:name w:val="xl189"/>
    <w:basedOn w:val="a"/>
    <w:rsid w:val="00A5718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0">
    <w:name w:val="xl190"/>
    <w:basedOn w:val="a"/>
    <w:rsid w:val="00A5718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5">
    <w:name w:val="xl195"/>
    <w:basedOn w:val="a"/>
    <w:rsid w:val="00A03977"/>
    <w:pPr>
      <w:widowControl/>
      <w:spacing w:before="100" w:beforeAutospacing="1" w:after="100" w:afterAutospacing="1"/>
      <w:jc w:val="left"/>
    </w:pPr>
    <w:rPr>
      <w:rFonts w:ascii="宋体" w:hAnsi="宋体" w:cs="宋体"/>
      <w:kern w:val="0"/>
      <w:sz w:val="20"/>
      <w:szCs w:val="20"/>
    </w:rPr>
  </w:style>
  <w:style w:type="paragraph" w:customStyle="1" w:styleId="xl196">
    <w:name w:val="xl196"/>
    <w:basedOn w:val="a"/>
    <w:rsid w:val="00A0397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97">
    <w:name w:val="xl197"/>
    <w:basedOn w:val="a"/>
    <w:rsid w:val="00A0397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98">
    <w:name w:val="xl198"/>
    <w:basedOn w:val="a"/>
    <w:rsid w:val="00A0397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99">
    <w:name w:val="xl199"/>
    <w:basedOn w:val="a"/>
    <w:rsid w:val="00A0397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0">
    <w:name w:val="xl200"/>
    <w:basedOn w:val="a"/>
    <w:rsid w:val="00A0397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1">
    <w:name w:val="xl201"/>
    <w:basedOn w:val="a"/>
    <w:rsid w:val="00A0397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2">
    <w:name w:val="xl202"/>
    <w:basedOn w:val="a"/>
    <w:rsid w:val="00A0397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3">
    <w:name w:val="xl203"/>
    <w:basedOn w:val="a"/>
    <w:rsid w:val="00A039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imsun" w:hAnsi="Simsun" w:cs="宋体"/>
      <w:color w:val="FF0000"/>
      <w:kern w:val="0"/>
      <w:sz w:val="20"/>
      <w:szCs w:val="20"/>
    </w:rPr>
  </w:style>
  <w:style w:type="paragraph" w:customStyle="1" w:styleId="xl204">
    <w:name w:val="xl204"/>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color w:val="000000"/>
      <w:kern w:val="0"/>
      <w:sz w:val="20"/>
      <w:szCs w:val="20"/>
    </w:rPr>
  </w:style>
  <w:style w:type="paragraph" w:customStyle="1" w:styleId="xl205">
    <w:name w:val="xl205"/>
    <w:basedOn w:val="a"/>
    <w:rsid w:val="00A03977"/>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Simsun" w:hAnsi="Simsun" w:cs="宋体"/>
      <w:kern w:val="0"/>
      <w:sz w:val="20"/>
      <w:szCs w:val="20"/>
    </w:rPr>
  </w:style>
  <w:style w:type="paragraph" w:customStyle="1" w:styleId="xl206">
    <w:name w:val="xl206"/>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kern w:val="0"/>
      <w:sz w:val="20"/>
      <w:szCs w:val="20"/>
    </w:rPr>
  </w:style>
  <w:style w:type="paragraph" w:customStyle="1" w:styleId="xl207">
    <w:name w:val="xl207"/>
    <w:basedOn w:val="a"/>
    <w:rsid w:val="00A03977"/>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rFonts w:ascii="Simsun" w:hAnsi="Simsun" w:cs="宋体"/>
      <w:kern w:val="0"/>
      <w:sz w:val="20"/>
      <w:szCs w:val="20"/>
    </w:rPr>
  </w:style>
  <w:style w:type="paragraph" w:customStyle="1" w:styleId="xl208">
    <w:name w:val="xl208"/>
    <w:basedOn w:val="a"/>
    <w:rsid w:val="006124E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仿宋" w:eastAsia="华文仿宋" w:hAnsi="华文仿宋" w:cs="宋体"/>
      <w:kern w:val="0"/>
      <w:sz w:val="28"/>
      <w:szCs w:val="28"/>
    </w:rPr>
  </w:style>
</w:styles>
</file>

<file path=word/webSettings.xml><?xml version="1.0" encoding="utf-8"?>
<w:webSettings xmlns:r="http://schemas.openxmlformats.org/officeDocument/2006/relationships" xmlns:w="http://schemas.openxmlformats.org/wordprocessingml/2006/main">
  <w:divs>
    <w:div w:id="9574132">
      <w:bodyDiv w:val="1"/>
      <w:marLeft w:val="0"/>
      <w:marRight w:val="0"/>
      <w:marTop w:val="0"/>
      <w:marBottom w:val="0"/>
      <w:divBdr>
        <w:top w:val="none" w:sz="0" w:space="0" w:color="auto"/>
        <w:left w:val="none" w:sz="0" w:space="0" w:color="auto"/>
        <w:bottom w:val="none" w:sz="0" w:space="0" w:color="auto"/>
        <w:right w:val="none" w:sz="0" w:space="0" w:color="auto"/>
      </w:divBdr>
    </w:div>
    <w:div w:id="82536080">
      <w:bodyDiv w:val="1"/>
      <w:marLeft w:val="0"/>
      <w:marRight w:val="0"/>
      <w:marTop w:val="0"/>
      <w:marBottom w:val="0"/>
      <w:divBdr>
        <w:top w:val="none" w:sz="0" w:space="0" w:color="auto"/>
        <w:left w:val="none" w:sz="0" w:space="0" w:color="auto"/>
        <w:bottom w:val="none" w:sz="0" w:space="0" w:color="auto"/>
        <w:right w:val="none" w:sz="0" w:space="0" w:color="auto"/>
      </w:divBdr>
    </w:div>
    <w:div w:id="154881106">
      <w:bodyDiv w:val="1"/>
      <w:marLeft w:val="0"/>
      <w:marRight w:val="0"/>
      <w:marTop w:val="0"/>
      <w:marBottom w:val="0"/>
      <w:divBdr>
        <w:top w:val="none" w:sz="0" w:space="0" w:color="auto"/>
        <w:left w:val="none" w:sz="0" w:space="0" w:color="auto"/>
        <w:bottom w:val="none" w:sz="0" w:space="0" w:color="auto"/>
        <w:right w:val="none" w:sz="0" w:space="0" w:color="auto"/>
      </w:divBdr>
    </w:div>
    <w:div w:id="294215518">
      <w:bodyDiv w:val="1"/>
      <w:marLeft w:val="0"/>
      <w:marRight w:val="0"/>
      <w:marTop w:val="0"/>
      <w:marBottom w:val="0"/>
      <w:divBdr>
        <w:top w:val="none" w:sz="0" w:space="0" w:color="auto"/>
        <w:left w:val="none" w:sz="0" w:space="0" w:color="auto"/>
        <w:bottom w:val="none" w:sz="0" w:space="0" w:color="auto"/>
        <w:right w:val="none" w:sz="0" w:space="0" w:color="auto"/>
      </w:divBdr>
    </w:div>
    <w:div w:id="349650941">
      <w:bodyDiv w:val="1"/>
      <w:marLeft w:val="0"/>
      <w:marRight w:val="0"/>
      <w:marTop w:val="0"/>
      <w:marBottom w:val="0"/>
      <w:divBdr>
        <w:top w:val="none" w:sz="0" w:space="0" w:color="auto"/>
        <w:left w:val="none" w:sz="0" w:space="0" w:color="auto"/>
        <w:bottom w:val="none" w:sz="0" w:space="0" w:color="auto"/>
        <w:right w:val="none" w:sz="0" w:space="0" w:color="auto"/>
      </w:divBdr>
    </w:div>
    <w:div w:id="364254484">
      <w:bodyDiv w:val="1"/>
      <w:marLeft w:val="0"/>
      <w:marRight w:val="0"/>
      <w:marTop w:val="0"/>
      <w:marBottom w:val="0"/>
      <w:divBdr>
        <w:top w:val="none" w:sz="0" w:space="0" w:color="auto"/>
        <w:left w:val="none" w:sz="0" w:space="0" w:color="auto"/>
        <w:bottom w:val="none" w:sz="0" w:space="0" w:color="auto"/>
        <w:right w:val="none" w:sz="0" w:space="0" w:color="auto"/>
      </w:divBdr>
    </w:div>
    <w:div w:id="403259788">
      <w:bodyDiv w:val="1"/>
      <w:marLeft w:val="0"/>
      <w:marRight w:val="0"/>
      <w:marTop w:val="0"/>
      <w:marBottom w:val="0"/>
      <w:divBdr>
        <w:top w:val="none" w:sz="0" w:space="0" w:color="auto"/>
        <w:left w:val="none" w:sz="0" w:space="0" w:color="auto"/>
        <w:bottom w:val="none" w:sz="0" w:space="0" w:color="auto"/>
        <w:right w:val="none" w:sz="0" w:space="0" w:color="auto"/>
      </w:divBdr>
    </w:div>
    <w:div w:id="421266655">
      <w:bodyDiv w:val="1"/>
      <w:marLeft w:val="0"/>
      <w:marRight w:val="0"/>
      <w:marTop w:val="0"/>
      <w:marBottom w:val="0"/>
      <w:divBdr>
        <w:top w:val="none" w:sz="0" w:space="0" w:color="auto"/>
        <w:left w:val="none" w:sz="0" w:space="0" w:color="auto"/>
        <w:bottom w:val="none" w:sz="0" w:space="0" w:color="auto"/>
        <w:right w:val="none" w:sz="0" w:space="0" w:color="auto"/>
      </w:divBdr>
    </w:div>
    <w:div w:id="522210658">
      <w:bodyDiv w:val="1"/>
      <w:marLeft w:val="0"/>
      <w:marRight w:val="0"/>
      <w:marTop w:val="0"/>
      <w:marBottom w:val="0"/>
      <w:divBdr>
        <w:top w:val="none" w:sz="0" w:space="0" w:color="auto"/>
        <w:left w:val="none" w:sz="0" w:space="0" w:color="auto"/>
        <w:bottom w:val="none" w:sz="0" w:space="0" w:color="auto"/>
        <w:right w:val="none" w:sz="0" w:space="0" w:color="auto"/>
      </w:divBdr>
    </w:div>
    <w:div w:id="556161387">
      <w:bodyDiv w:val="1"/>
      <w:marLeft w:val="0"/>
      <w:marRight w:val="0"/>
      <w:marTop w:val="0"/>
      <w:marBottom w:val="0"/>
      <w:divBdr>
        <w:top w:val="none" w:sz="0" w:space="0" w:color="auto"/>
        <w:left w:val="none" w:sz="0" w:space="0" w:color="auto"/>
        <w:bottom w:val="none" w:sz="0" w:space="0" w:color="auto"/>
        <w:right w:val="none" w:sz="0" w:space="0" w:color="auto"/>
      </w:divBdr>
    </w:div>
    <w:div w:id="614290304">
      <w:bodyDiv w:val="1"/>
      <w:marLeft w:val="0"/>
      <w:marRight w:val="0"/>
      <w:marTop w:val="0"/>
      <w:marBottom w:val="0"/>
      <w:divBdr>
        <w:top w:val="none" w:sz="0" w:space="0" w:color="auto"/>
        <w:left w:val="none" w:sz="0" w:space="0" w:color="auto"/>
        <w:bottom w:val="none" w:sz="0" w:space="0" w:color="auto"/>
        <w:right w:val="none" w:sz="0" w:space="0" w:color="auto"/>
      </w:divBdr>
    </w:div>
    <w:div w:id="788088404">
      <w:bodyDiv w:val="1"/>
      <w:marLeft w:val="0"/>
      <w:marRight w:val="0"/>
      <w:marTop w:val="0"/>
      <w:marBottom w:val="0"/>
      <w:divBdr>
        <w:top w:val="none" w:sz="0" w:space="0" w:color="auto"/>
        <w:left w:val="none" w:sz="0" w:space="0" w:color="auto"/>
        <w:bottom w:val="none" w:sz="0" w:space="0" w:color="auto"/>
        <w:right w:val="none" w:sz="0" w:space="0" w:color="auto"/>
      </w:divBdr>
    </w:div>
    <w:div w:id="880820676">
      <w:bodyDiv w:val="1"/>
      <w:marLeft w:val="0"/>
      <w:marRight w:val="0"/>
      <w:marTop w:val="0"/>
      <w:marBottom w:val="0"/>
      <w:divBdr>
        <w:top w:val="none" w:sz="0" w:space="0" w:color="auto"/>
        <w:left w:val="none" w:sz="0" w:space="0" w:color="auto"/>
        <w:bottom w:val="none" w:sz="0" w:space="0" w:color="auto"/>
        <w:right w:val="none" w:sz="0" w:space="0" w:color="auto"/>
      </w:divBdr>
    </w:div>
    <w:div w:id="935675313">
      <w:bodyDiv w:val="1"/>
      <w:marLeft w:val="0"/>
      <w:marRight w:val="0"/>
      <w:marTop w:val="0"/>
      <w:marBottom w:val="0"/>
      <w:divBdr>
        <w:top w:val="none" w:sz="0" w:space="0" w:color="auto"/>
        <w:left w:val="none" w:sz="0" w:space="0" w:color="auto"/>
        <w:bottom w:val="none" w:sz="0" w:space="0" w:color="auto"/>
        <w:right w:val="none" w:sz="0" w:space="0" w:color="auto"/>
      </w:divBdr>
    </w:div>
    <w:div w:id="962075262">
      <w:bodyDiv w:val="1"/>
      <w:marLeft w:val="0"/>
      <w:marRight w:val="0"/>
      <w:marTop w:val="0"/>
      <w:marBottom w:val="0"/>
      <w:divBdr>
        <w:top w:val="none" w:sz="0" w:space="0" w:color="auto"/>
        <w:left w:val="none" w:sz="0" w:space="0" w:color="auto"/>
        <w:bottom w:val="none" w:sz="0" w:space="0" w:color="auto"/>
        <w:right w:val="none" w:sz="0" w:space="0" w:color="auto"/>
      </w:divBdr>
    </w:div>
    <w:div w:id="986781729">
      <w:bodyDiv w:val="1"/>
      <w:marLeft w:val="0"/>
      <w:marRight w:val="0"/>
      <w:marTop w:val="0"/>
      <w:marBottom w:val="0"/>
      <w:divBdr>
        <w:top w:val="none" w:sz="0" w:space="0" w:color="auto"/>
        <w:left w:val="none" w:sz="0" w:space="0" w:color="auto"/>
        <w:bottom w:val="none" w:sz="0" w:space="0" w:color="auto"/>
        <w:right w:val="none" w:sz="0" w:space="0" w:color="auto"/>
      </w:divBdr>
    </w:div>
    <w:div w:id="1023553416">
      <w:bodyDiv w:val="1"/>
      <w:marLeft w:val="0"/>
      <w:marRight w:val="0"/>
      <w:marTop w:val="0"/>
      <w:marBottom w:val="0"/>
      <w:divBdr>
        <w:top w:val="none" w:sz="0" w:space="0" w:color="auto"/>
        <w:left w:val="none" w:sz="0" w:space="0" w:color="auto"/>
        <w:bottom w:val="none" w:sz="0" w:space="0" w:color="auto"/>
        <w:right w:val="none" w:sz="0" w:space="0" w:color="auto"/>
      </w:divBdr>
    </w:div>
    <w:div w:id="1040588876">
      <w:bodyDiv w:val="1"/>
      <w:marLeft w:val="0"/>
      <w:marRight w:val="0"/>
      <w:marTop w:val="0"/>
      <w:marBottom w:val="0"/>
      <w:divBdr>
        <w:top w:val="none" w:sz="0" w:space="0" w:color="auto"/>
        <w:left w:val="none" w:sz="0" w:space="0" w:color="auto"/>
        <w:bottom w:val="none" w:sz="0" w:space="0" w:color="auto"/>
        <w:right w:val="none" w:sz="0" w:space="0" w:color="auto"/>
      </w:divBdr>
    </w:div>
    <w:div w:id="1195342340">
      <w:bodyDiv w:val="1"/>
      <w:marLeft w:val="0"/>
      <w:marRight w:val="0"/>
      <w:marTop w:val="0"/>
      <w:marBottom w:val="0"/>
      <w:divBdr>
        <w:top w:val="none" w:sz="0" w:space="0" w:color="auto"/>
        <w:left w:val="none" w:sz="0" w:space="0" w:color="auto"/>
        <w:bottom w:val="none" w:sz="0" w:space="0" w:color="auto"/>
        <w:right w:val="none" w:sz="0" w:space="0" w:color="auto"/>
      </w:divBdr>
      <w:divsChild>
        <w:div w:id="138575229">
          <w:marLeft w:val="0"/>
          <w:marRight w:val="0"/>
          <w:marTop w:val="0"/>
          <w:marBottom w:val="0"/>
          <w:divBdr>
            <w:top w:val="none" w:sz="0" w:space="0" w:color="auto"/>
            <w:left w:val="none" w:sz="0" w:space="0" w:color="auto"/>
            <w:bottom w:val="none" w:sz="0" w:space="0" w:color="auto"/>
            <w:right w:val="none" w:sz="0" w:space="0" w:color="auto"/>
          </w:divBdr>
        </w:div>
      </w:divsChild>
    </w:div>
    <w:div w:id="1267688833">
      <w:bodyDiv w:val="1"/>
      <w:marLeft w:val="0"/>
      <w:marRight w:val="0"/>
      <w:marTop w:val="0"/>
      <w:marBottom w:val="0"/>
      <w:divBdr>
        <w:top w:val="none" w:sz="0" w:space="0" w:color="auto"/>
        <w:left w:val="none" w:sz="0" w:space="0" w:color="auto"/>
        <w:bottom w:val="none" w:sz="0" w:space="0" w:color="auto"/>
        <w:right w:val="none" w:sz="0" w:space="0" w:color="auto"/>
      </w:divBdr>
    </w:div>
    <w:div w:id="1277561428">
      <w:bodyDiv w:val="1"/>
      <w:marLeft w:val="0"/>
      <w:marRight w:val="0"/>
      <w:marTop w:val="0"/>
      <w:marBottom w:val="0"/>
      <w:divBdr>
        <w:top w:val="none" w:sz="0" w:space="0" w:color="auto"/>
        <w:left w:val="none" w:sz="0" w:space="0" w:color="auto"/>
        <w:bottom w:val="none" w:sz="0" w:space="0" w:color="auto"/>
        <w:right w:val="none" w:sz="0" w:space="0" w:color="auto"/>
      </w:divBdr>
    </w:div>
    <w:div w:id="1300919315">
      <w:bodyDiv w:val="1"/>
      <w:marLeft w:val="0"/>
      <w:marRight w:val="0"/>
      <w:marTop w:val="0"/>
      <w:marBottom w:val="0"/>
      <w:divBdr>
        <w:top w:val="none" w:sz="0" w:space="0" w:color="auto"/>
        <w:left w:val="none" w:sz="0" w:space="0" w:color="auto"/>
        <w:bottom w:val="none" w:sz="0" w:space="0" w:color="auto"/>
        <w:right w:val="none" w:sz="0" w:space="0" w:color="auto"/>
      </w:divBdr>
    </w:div>
    <w:div w:id="1349600531">
      <w:bodyDiv w:val="1"/>
      <w:marLeft w:val="0"/>
      <w:marRight w:val="0"/>
      <w:marTop w:val="0"/>
      <w:marBottom w:val="0"/>
      <w:divBdr>
        <w:top w:val="none" w:sz="0" w:space="0" w:color="auto"/>
        <w:left w:val="none" w:sz="0" w:space="0" w:color="auto"/>
        <w:bottom w:val="none" w:sz="0" w:space="0" w:color="auto"/>
        <w:right w:val="none" w:sz="0" w:space="0" w:color="auto"/>
      </w:divBdr>
    </w:div>
    <w:div w:id="1372725087">
      <w:bodyDiv w:val="1"/>
      <w:marLeft w:val="0"/>
      <w:marRight w:val="0"/>
      <w:marTop w:val="0"/>
      <w:marBottom w:val="0"/>
      <w:divBdr>
        <w:top w:val="none" w:sz="0" w:space="0" w:color="auto"/>
        <w:left w:val="none" w:sz="0" w:space="0" w:color="auto"/>
        <w:bottom w:val="none" w:sz="0" w:space="0" w:color="auto"/>
        <w:right w:val="none" w:sz="0" w:space="0" w:color="auto"/>
      </w:divBdr>
    </w:div>
    <w:div w:id="1405252422">
      <w:bodyDiv w:val="1"/>
      <w:marLeft w:val="0"/>
      <w:marRight w:val="0"/>
      <w:marTop w:val="0"/>
      <w:marBottom w:val="0"/>
      <w:divBdr>
        <w:top w:val="none" w:sz="0" w:space="0" w:color="auto"/>
        <w:left w:val="none" w:sz="0" w:space="0" w:color="auto"/>
        <w:bottom w:val="none" w:sz="0" w:space="0" w:color="auto"/>
        <w:right w:val="none" w:sz="0" w:space="0" w:color="auto"/>
      </w:divBdr>
    </w:div>
    <w:div w:id="1622344002">
      <w:bodyDiv w:val="1"/>
      <w:marLeft w:val="0"/>
      <w:marRight w:val="0"/>
      <w:marTop w:val="0"/>
      <w:marBottom w:val="0"/>
      <w:divBdr>
        <w:top w:val="none" w:sz="0" w:space="0" w:color="auto"/>
        <w:left w:val="none" w:sz="0" w:space="0" w:color="auto"/>
        <w:bottom w:val="none" w:sz="0" w:space="0" w:color="auto"/>
        <w:right w:val="none" w:sz="0" w:space="0" w:color="auto"/>
      </w:divBdr>
    </w:div>
    <w:div w:id="1646427879">
      <w:bodyDiv w:val="1"/>
      <w:marLeft w:val="0"/>
      <w:marRight w:val="0"/>
      <w:marTop w:val="0"/>
      <w:marBottom w:val="0"/>
      <w:divBdr>
        <w:top w:val="none" w:sz="0" w:space="0" w:color="auto"/>
        <w:left w:val="none" w:sz="0" w:space="0" w:color="auto"/>
        <w:bottom w:val="none" w:sz="0" w:space="0" w:color="auto"/>
        <w:right w:val="none" w:sz="0" w:space="0" w:color="auto"/>
      </w:divBdr>
    </w:div>
    <w:div w:id="1654989798">
      <w:bodyDiv w:val="1"/>
      <w:marLeft w:val="0"/>
      <w:marRight w:val="0"/>
      <w:marTop w:val="0"/>
      <w:marBottom w:val="0"/>
      <w:divBdr>
        <w:top w:val="none" w:sz="0" w:space="0" w:color="auto"/>
        <w:left w:val="none" w:sz="0" w:space="0" w:color="auto"/>
        <w:bottom w:val="none" w:sz="0" w:space="0" w:color="auto"/>
        <w:right w:val="none" w:sz="0" w:space="0" w:color="auto"/>
      </w:divBdr>
    </w:div>
    <w:div w:id="1659726091">
      <w:bodyDiv w:val="1"/>
      <w:marLeft w:val="0"/>
      <w:marRight w:val="0"/>
      <w:marTop w:val="0"/>
      <w:marBottom w:val="0"/>
      <w:divBdr>
        <w:top w:val="none" w:sz="0" w:space="0" w:color="auto"/>
        <w:left w:val="none" w:sz="0" w:space="0" w:color="auto"/>
        <w:bottom w:val="none" w:sz="0" w:space="0" w:color="auto"/>
        <w:right w:val="none" w:sz="0" w:space="0" w:color="auto"/>
      </w:divBdr>
    </w:div>
    <w:div w:id="1729835227">
      <w:bodyDiv w:val="1"/>
      <w:marLeft w:val="0"/>
      <w:marRight w:val="0"/>
      <w:marTop w:val="0"/>
      <w:marBottom w:val="0"/>
      <w:divBdr>
        <w:top w:val="none" w:sz="0" w:space="0" w:color="auto"/>
        <w:left w:val="none" w:sz="0" w:space="0" w:color="auto"/>
        <w:bottom w:val="none" w:sz="0" w:space="0" w:color="auto"/>
        <w:right w:val="none" w:sz="0" w:space="0" w:color="auto"/>
      </w:divBdr>
    </w:div>
    <w:div w:id="1784692574">
      <w:bodyDiv w:val="1"/>
      <w:marLeft w:val="0"/>
      <w:marRight w:val="0"/>
      <w:marTop w:val="0"/>
      <w:marBottom w:val="0"/>
      <w:divBdr>
        <w:top w:val="none" w:sz="0" w:space="0" w:color="auto"/>
        <w:left w:val="none" w:sz="0" w:space="0" w:color="auto"/>
        <w:bottom w:val="none" w:sz="0" w:space="0" w:color="auto"/>
        <w:right w:val="none" w:sz="0" w:space="0" w:color="auto"/>
      </w:divBdr>
    </w:div>
    <w:div w:id="1799883137">
      <w:bodyDiv w:val="1"/>
      <w:marLeft w:val="0"/>
      <w:marRight w:val="0"/>
      <w:marTop w:val="0"/>
      <w:marBottom w:val="0"/>
      <w:divBdr>
        <w:top w:val="none" w:sz="0" w:space="0" w:color="auto"/>
        <w:left w:val="none" w:sz="0" w:space="0" w:color="auto"/>
        <w:bottom w:val="none" w:sz="0" w:space="0" w:color="auto"/>
        <w:right w:val="none" w:sz="0" w:space="0" w:color="auto"/>
      </w:divBdr>
    </w:div>
    <w:div w:id="1810170395">
      <w:bodyDiv w:val="1"/>
      <w:marLeft w:val="0"/>
      <w:marRight w:val="0"/>
      <w:marTop w:val="0"/>
      <w:marBottom w:val="0"/>
      <w:divBdr>
        <w:top w:val="none" w:sz="0" w:space="0" w:color="auto"/>
        <w:left w:val="none" w:sz="0" w:space="0" w:color="auto"/>
        <w:bottom w:val="none" w:sz="0" w:space="0" w:color="auto"/>
        <w:right w:val="none" w:sz="0" w:space="0" w:color="auto"/>
      </w:divBdr>
    </w:div>
    <w:div w:id="1844004430">
      <w:bodyDiv w:val="1"/>
      <w:marLeft w:val="0"/>
      <w:marRight w:val="0"/>
      <w:marTop w:val="0"/>
      <w:marBottom w:val="0"/>
      <w:divBdr>
        <w:top w:val="none" w:sz="0" w:space="0" w:color="auto"/>
        <w:left w:val="none" w:sz="0" w:space="0" w:color="auto"/>
        <w:bottom w:val="none" w:sz="0" w:space="0" w:color="auto"/>
        <w:right w:val="none" w:sz="0" w:space="0" w:color="auto"/>
      </w:divBdr>
    </w:div>
    <w:div w:id="1864898356">
      <w:bodyDiv w:val="1"/>
      <w:marLeft w:val="0"/>
      <w:marRight w:val="0"/>
      <w:marTop w:val="0"/>
      <w:marBottom w:val="0"/>
      <w:divBdr>
        <w:top w:val="none" w:sz="0" w:space="0" w:color="auto"/>
        <w:left w:val="none" w:sz="0" w:space="0" w:color="auto"/>
        <w:bottom w:val="none" w:sz="0" w:space="0" w:color="auto"/>
        <w:right w:val="none" w:sz="0" w:space="0" w:color="auto"/>
      </w:divBdr>
    </w:div>
    <w:div w:id="1865514085">
      <w:bodyDiv w:val="1"/>
      <w:marLeft w:val="0"/>
      <w:marRight w:val="0"/>
      <w:marTop w:val="0"/>
      <w:marBottom w:val="0"/>
      <w:divBdr>
        <w:top w:val="none" w:sz="0" w:space="0" w:color="auto"/>
        <w:left w:val="none" w:sz="0" w:space="0" w:color="auto"/>
        <w:bottom w:val="none" w:sz="0" w:space="0" w:color="auto"/>
        <w:right w:val="none" w:sz="0" w:space="0" w:color="auto"/>
      </w:divBdr>
    </w:div>
    <w:div w:id="1881436221">
      <w:bodyDiv w:val="1"/>
      <w:marLeft w:val="0"/>
      <w:marRight w:val="0"/>
      <w:marTop w:val="0"/>
      <w:marBottom w:val="0"/>
      <w:divBdr>
        <w:top w:val="none" w:sz="0" w:space="0" w:color="auto"/>
        <w:left w:val="none" w:sz="0" w:space="0" w:color="auto"/>
        <w:bottom w:val="none" w:sz="0" w:space="0" w:color="auto"/>
        <w:right w:val="none" w:sz="0" w:space="0" w:color="auto"/>
      </w:divBdr>
    </w:div>
    <w:div w:id="1909068807">
      <w:bodyDiv w:val="1"/>
      <w:marLeft w:val="0"/>
      <w:marRight w:val="0"/>
      <w:marTop w:val="0"/>
      <w:marBottom w:val="0"/>
      <w:divBdr>
        <w:top w:val="none" w:sz="0" w:space="0" w:color="auto"/>
        <w:left w:val="none" w:sz="0" w:space="0" w:color="auto"/>
        <w:bottom w:val="none" w:sz="0" w:space="0" w:color="auto"/>
        <w:right w:val="none" w:sz="0" w:space="0" w:color="auto"/>
      </w:divBdr>
    </w:div>
    <w:div w:id="1946687747">
      <w:bodyDiv w:val="1"/>
      <w:marLeft w:val="0"/>
      <w:marRight w:val="0"/>
      <w:marTop w:val="0"/>
      <w:marBottom w:val="0"/>
      <w:divBdr>
        <w:top w:val="none" w:sz="0" w:space="0" w:color="auto"/>
        <w:left w:val="none" w:sz="0" w:space="0" w:color="auto"/>
        <w:bottom w:val="none" w:sz="0" w:space="0" w:color="auto"/>
        <w:right w:val="none" w:sz="0" w:space="0" w:color="auto"/>
      </w:divBdr>
    </w:div>
    <w:div w:id="2069569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Administrator.USER-20170424GR\Desktop\&#21608;&#20116;&#30707;&#27833;&#25253;&#34920;\&#28342;&#21058;&#27833;&#65288;&#30707;&#33041;&#27833;&#65289;&#21608;&#25253;2019-6-28.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USER-20170424GR\Desktop\&#21608;&#20116;&#30707;&#27833;&#25253;&#34920;\&#26368;&#26032;&#28342;&#21058;&#27833;&#21608;&#25253;&#65306;&#23665;&#19996;&#22320;&#28860;&#30707;&#33041;&#27833;&#20215;&#26684;&#36208;&#21183;&#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0643285214348212"/>
          <c:y val="0.14267029121359817"/>
          <c:w val="0.86856714785651756"/>
          <c:h val="0.57433602049743759"/>
        </c:manualLayout>
      </c:layout>
      <c:lineChart>
        <c:grouping val="standard"/>
        <c:ser>
          <c:idx val="0"/>
          <c:order val="0"/>
          <c:tx>
            <c:strRef>
              <c:f>'溶剂油周报-石脑油价格走势图表'!$B$366</c:f>
              <c:strCache>
                <c:ptCount val="1"/>
                <c:pt idx="0">
                  <c:v>东方华龙</c:v>
                </c:pt>
              </c:strCache>
            </c:strRef>
          </c:tx>
          <c:marker>
            <c:symbol val="none"/>
          </c:marker>
          <c:cat>
            <c:numRef>
              <c:f>'溶剂油周报-石脑油价格走势图表'!$A$367:$A$613</c:f>
              <c:numCache>
                <c:formatCode>yyyy/m/d</c:formatCode>
                <c:ptCount val="247"/>
                <c:pt idx="0">
                  <c:v>43214</c:v>
                </c:pt>
                <c:pt idx="1">
                  <c:v>43215</c:v>
                </c:pt>
                <c:pt idx="2">
                  <c:v>43216</c:v>
                </c:pt>
                <c:pt idx="3">
                  <c:v>43217</c:v>
                </c:pt>
                <c:pt idx="4">
                  <c:v>43218</c:v>
                </c:pt>
                <c:pt idx="5">
                  <c:v>43222</c:v>
                </c:pt>
                <c:pt idx="6">
                  <c:v>43223</c:v>
                </c:pt>
                <c:pt idx="7">
                  <c:v>43224</c:v>
                </c:pt>
                <c:pt idx="8">
                  <c:v>43227</c:v>
                </c:pt>
                <c:pt idx="9">
                  <c:v>43228</c:v>
                </c:pt>
                <c:pt idx="10">
                  <c:v>43229</c:v>
                </c:pt>
                <c:pt idx="11">
                  <c:v>43230</c:v>
                </c:pt>
                <c:pt idx="12">
                  <c:v>43231</c:v>
                </c:pt>
                <c:pt idx="13">
                  <c:v>43234</c:v>
                </c:pt>
                <c:pt idx="14">
                  <c:v>43235</c:v>
                </c:pt>
                <c:pt idx="15">
                  <c:v>43236</c:v>
                </c:pt>
                <c:pt idx="16">
                  <c:v>43237</c:v>
                </c:pt>
                <c:pt idx="17">
                  <c:v>43238</c:v>
                </c:pt>
                <c:pt idx="18">
                  <c:v>43241</c:v>
                </c:pt>
                <c:pt idx="19">
                  <c:v>43243</c:v>
                </c:pt>
                <c:pt idx="20">
                  <c:v>43244</c:v>
                </c:pt>
                <c:pt idx="21">
                  <c:v>43245</c:v>
                </c:pt>
                <c:pt idx="22">
                  <c:v>43248</c:v>
                </c:pt>
                <c:pt idx="23">
                  <c:v>43249</c:v>
                </c:pt>
                <c:pt idx="24">
                  <c:v>43250</c:v>
                </c:pt>
                <c:pt idx="25">
                  <c:v>43251</c:v>
                </c:pt>
                <c:pt idx="26">
                  <c:v>43252</c:v>
                </c:pt>
                <c:pt idx="27">
                  <c:v>43255</c:v>
                </c:pt>
                <c:pt idx="28">
                  <c:v>43256</c:v>
                </c:pt>
                <c:pt idx="29">
                  <c:v>43257</c:v>
                </c:pt>
                <c:pt idx="30">
                  <c:v>43258</c:v>
                </c:pt>
                <c:pt idx="31">
                  <c:v>43259</c:v>
                </c:pt>
                <c:pt idx="32">
                  <c:v>43262</c:v>
                </c:pt>
                <c:pt idx="33">
                  <c:v>43263</c:v>
                </c:pt>
                <c:pt idx="34">
                  <c:v>43264</c:v>
                </c:pt>
                <c:pt idx="35">
                  <c:v>43265</c:v>
                </c:pt>
                <c:pt idx="36">
                  <c:v>43266</c:v>
                </c:pt>
                <c:pt idx="37">
                  <c:v>43270</c:v>
                </c:pt>
                <c:pt idx="38">
                  <c:v>43271</c:v>
                </c:pt>
                <c:pt idx="39">
                  <c:v>43272</c:v>
                </c:pt>
                <c:pt idx="40">
                  <c:v>43273</c:v>
                </c:pt>
                <c:pt idx="41">
                  <c:v>43276</c:v>
                </c:pt>
                <c:pt idx="42">
                  <c:v>43277</c:v>
                </c:pt>
                <c:pt idx="43">
                  <c:v>43278</c:v>
                </c:pt>
                <c:pt idx="44">
                  <c:v>43279</c:v>
                </c:pt>
                <c:pt idx="45">
                  <c:v>43280</c:v>
                </c:pt>
                <c:pt idx="46">
                  <c:v>43283</c:v>
                </c:pt>
                <c:pt idx="47">
                  <c:v>43284</c:v>
                </c:pt>
                <c:pt idx="48">
                  <c:v>43285</c:v>
                </c:pt>
                <c:pt idx="49">
                  <c:v>43286</c:v>
                </c:pt>
                <c:pt idx="50">
                  <c:v>43287</c:v>
                </c:pt>
                <c:pt idx="51">
                  <c:v>43290</c:v>
                </c:pt>
                <c:pt idx="52">
                  <c:v>43291</c:v>
                </c:pt>
                <c:pt idx="53">
                  <c:v>43292</c:v>
                </c:pt>
                <c:pt idx="54">
                  <c:v>43293</c:v>
                </c:pt>
                <c:pt idx="55">
                  <c:v>43294</c:v>
                </c:pt>
                <c:pt idx="56">
                  <c:v>43297</c:v>
                </c:pt>
                <c:pt idx="57">
                  <c:v>43298</c:v>
                </c:pt>
                <c:pt idx="58">
                  <c:v>43299</c:v>
                </c:pt>
                <c:pt idx="59">
                  <c:v>43300</c:v>
                </c:pt>
                <c:pt idx="60">
                  <c:v>43301</c:v>
                </c:pt>
                <c:pt idx="61">
                  <c:v>43304</c:v>
                </c:pt>
                <c:pt idx="62">
                  <c:v>43305</c:v>
                </c:pt>
                <c:pt idx="63">
                  <c:v>43306</c:v>
                </c:pt>
                <c:pt idx="64">
                  <c:v>43307</c:v>
                </c:pt>
                <c:pt idx="65">
                  <c:v>43308</c:v>
                </c:pt>
                <c:pt idx="66">
                  <c:v>43311</c:v>
                </c:pt>
                <c:pt idx="67">
                  <c:v>43312</c:v>
                </c:pt>
                <c:pt idx="68">
                  <c:v>43313</c:v>
                </c:pt>
                <c:pt idx="69">
                  <c:v>43314</c:v>
                </c:pt>
                <c:pt idx="70">
                  <c:v>43315</c:v>
                </c:pt>
                <c:pt idx="71">
                  <c:v>43318</c:v>
                </c:pt>
                <c:pt idx="72">
                  <c:v>43319</c:v>
                </c:pt>
                <c:pt idx="73">
                  <c:v>43320</c:v>
                </c:pt>
                <c:pt idx="74">
                  <c:v>43321</c:v>
                </c:pt>
                <c:pt idx="75">
                  <c:v>43322</c:v>
                </c:pt>
                <c:pt idx="76">
                  <c:v>43325</c:v>
                </c:pt>
                <c:pt idx="77">
                  <c:v>43326</c:v>
                </c:pt>
                <c:pt idx="78">
                  <c:v>43327</c:v>
                </c:pt>
                <c:pt idx="79">
                  <c:v>43328</c:v>
                </c:pt>
                <c:pt idx="80">
                  <c:v>43329</c:v>
                </c:pt>
                <c:pt idx="81">
                  <c:v>43332</c:v>
                </c:pt>
                <c:pt idx="82">
                  <c:v>43333</c:v>
                </c:pt>
                <c:pt idx="83">
                  <c:v>43334</c:v>
                </c:pt>
                <c:pt idx="84">
                  <c:v>43335</c:v>
                </c:pt>
                <c:pt idx="85">
                  <c:v>43336</c:v>
                </c:pt>
                <c:pt idx="86">
                  <c:v>43339</c:v>
                </c:pt>
                <c:pt idx="87">
                  <c:v>43340</c:v>
                </c:pt>
                <c:pt idx="88">
                  <c:v>43341</c:v>
                </c:pt>
                <c:pt idx="89">
                  <c:v>43342</c:v>
                </c:pt>
                <c:pt idx="90">
                  <c:v>43343</c:v>
                </c:pt>
                <c:pt idx="91">
                  <c:v>43346</c:v>
                </c:pt>
                <c:pt idx="92">
                  <c:v>43347</c:v>
                </c:pt>
                <c:pt idx="93">
                  <c:v>43348</c:v>
                </c:pt>
                <c:pt idx="94">
                  <c:v>43349</c:v>
                </c:pt>
                <c:pt idx="95">
                  <c:v>43350</c:v>
                </c:pt>
                <c:pt idx="96">
                  <c:v>43353</c:v>
                </c:pt>
                <c:pt idx="97">
                  <c:v>43354</c:v>
                </c:pt>
                <c:pt idx="98">
                  <c:v>43355</c:v>
                </c:pt>
                <c:pt idx="99">
                  <c:v>43356</c:v>
                </c:pt>
                <c:pt idx="100">
                  <c:v>43357</c:v>
                </c:pt>
                <c:pt idx="101">
                  <c:v>43360</c:v>
                </c:pt>
                <c:pt idx="102">
                  <c:v>43361</c:v>
                </c:pt>
                <c:pt idx="103">
                  <c:v>43362</c:v>
                </c:pt>
                <c:pt idx="104">
                  <c:v>43363</c:v>
                </c:pt>
                <c:pt idx="105">
                  <c:v>43364</c:v>
                </c:pt>
                <c:pt idx="106">
                  <c:v>43368</c:v>
                </c:pt>
                <c:pt idx="107">
                  <c:v>43369</c:v>
                </c:pt>
                <c:pt idx="108">
                  <c:v>43370</c:v>
                </c:pt>
                <c:pt idx="109">
                  <c:v>43371</c:v>
                </c:pt>
                <c:pt idx="110">
                  <c:v>43372</c:v>
                </c:pt>
                <c:pt idx="111">
                  <c:v>43373</c:v>
                </c:pt>
                <c:pt idx="112">
                  <c:v>43381</c:v>
                </c:pt>
                <c:pt idx="113">
                  <c:v>43382</c:v>
                </c:pt>
                <c:pt idx="114">
                  <c:v>43383</c:v>
                </c:pt>
                <c:pt idx="115">
                  <c:v>43384</c:v>
                </c:pt>
                <c:pt idx="116">
                  <c:v>43385</c:v>
                </c:pt>
                <c:pt idx="117">
                  <c:v>43388</c:v>
                </c:pt>
                <c:pt idx="118">
                  <c:v>43389</c:v>
                </c:pt>
                <c:pt idx="119">
                  <c:v>43390</c:v>
                </c:pt>
                <c:pt idx="120">
                  <c:v>43391</c:v>
                </c:pt>
                <c:pt idx="121">
                  <c:v>43392</c:v>
                </c:pt>
                <c:pt idx="122">
                  <c:v>43395</c:v>
                </c:pt>
                <c:pt idx="123">
                  <c:v>43396</c:v>
                </c:pt>
                <c:pt idx="124">
                  <c:v>43397</c:v>
                </c:pt>
                <c:pt idx="125">
                  <c:v>43398</c:v>
                </c:pt>
                <c:pt idx="126">
                  <c:v>43399</c:v>
                </c:pt>
                <c:pt idx="127">
                  <c:v>43402</c:v>
                </c:pt>
                <c:pt idx="128">
                  <c:v>43403</c:v>
                </c:pt>
                <c:pt idx="129">
                  <c:v>43404</c:v>
                </c:pt>
                <c:pt idx="130">
                  <c:v>43405</c:v>
                </c:pt>
                <c:pt idx="131">
                  <c:v>43406</c:v>
                </c:pt>
                <c:pt idx="132">
                  <c:v>43410</c:v>
                </c:pt>
                <c:pt idx="133">
                  <c:v>43411</c:v>
                </c:pt>
                <c:pt idx="134">
                  <c:v>43412</c:v>
                </c:pt>
                <c:pt idx="135">
                  <c:v>43413</c:v>
                </c:pt>
                <c:pt idx="136">
                  <c:v>43416</c:v>
                </c:pt>
                <c:pt idx="137">
                  <c:v>43417</c:v>
                </c:pt>
                <c:pt idx="138">
                  <c:v>43418</c:v>
                </c:pt>
                <c:pt idx="139">
                  <c:v>43419</c:v>
                </c:pt>
                <c:pt idx="140">
                  <c:v>43420</c:v>
                </c:pt>
                <c:pt idx="141">
                  <c:v>43423</c:v>
                </c:pt>
                <c:pt idx="142">
                  <c:v>43424</c:v>
                </c:pt>
                <c:pt idx="143">
                  <c:v>43425</c:v>
                </c:pt>
                <c:pt idx="144">
                  <c:v>43426</c:v>
                </c:pt>
                <c:pt idx="145">
                  <c:v>43430</c:v>
                </c:pt>
                <c:pt idx="146">
                  <c:v>43431</c:v>
                </c:pt>
                <c:pt idx="147">
                  <c:v>43437</c:v>
                </c:pt>
                <c:pt idx="148">
                  <c:v>43438</c:v>
                </c:pt>
                <c:pt idx="149">
                  <c:v>43439</c:v>
                </c:pt>
                <c:pt idx="150">
                  <c:v>43440</c:v>
                </c:pt>
                <c:pt idx="151">
                  <c:v>43441</c:v>
                </c:pt>
                <c:pt idx="152">
                  <c:v>43444</c:v>
                </c:pt>
                <c:pt idx="153">
                  <c:v>43445</c:v>
                </c:pt>
                <c:pt idx="154">
                  <c:v>43446</c:v>
                </c:pt>
                <c:pt idx="155">
                  <c:v>43447</c:v>
                </c:pt>
                <c:pt idx="156">
                  <c:v>43448</c:v>
                </c:pt>
                <c:pt idx="157">
                  <c:v>43451</c:v>
                </c:pt>
                <c:pt idx="158">
                  <c:v>43452</c:v>
                </c:pt>
                <c:pt idx="159">
                  <c:v>43453</c:v>
                </c:pt>
                <c:pt idx="160">
                  <c:v>43454</c:v>
                </c:pt>
                <c:pt idx="161">
                  <c:v>43455</c:v>
                </c:pt>
                <c:pt idx="162">
                  <c:v>43458</c:v>
                </c:pt>
                <c:pt idx="163">
                  <c:v>43459</c:v>
                </c:pt>
                <c:pt idx="164">
                  <c:v>43460</c:v>
                </c:pt>
                <c:pt idx="165">
                  <c:v>43461</c:v>
                </c:pt>
                <c:pt idx="166">
                  <c:v>43462</c:v>
                </c:pt>
                <c:pt idx="167">
                  <c:v>43467</c:v>
                </c:pt>
                <c:pt idx="168">
                  <c:v>43468</c:v>
                </c:pt>
                <c:pt idx="169">
                  <c:v>43472</c:v>
                </c:pt>
                <c:pt idx="170">
                  <c:v>43473</c:v>
                </c:pt>
                <c:pt idx="171">
                  <c:v>43474</c:v>
                </c:pt>
                <c:pt idx="172">
                  <c:v>43475</c:v>
                </c:pt>
                <c:pt idx="173">
                  <c:v>43476</c:v>
                </c:pt>
                <c:pt idx="174">
                  <c:v>43479</c:v>
                </c:pt>
                <c:pt idx="175">
                  <c:v>43480</c:v>
                </c:pt>
                <c:pt idx="176">
                  <c:v>43481</c:v>
                </c:pt>
                <c:pt idx="177">
                  <c:v>43482</c:v>
                </c:pt>
                <c:pt idx="178">
                  <c:v>43483</c:v>
                </c:pt>
                <c:pt idx="179">
                  <c:v>43486</c:v>
                </c:pt>
                <c:pt idx="180">
                  <c:v>43487</c:v>
                </c:pt>
                <c:pt idx="181">
                  <c:v>43488</c:v>
                </c:pt>
                <c:pt idx="182">
                  <c:v>43489</c:v>
                </c:pt>
                <c:pt idx="183">
                  <c:v>43490</c:v>
                </c:pt>
                <c:pt idx="184">
                  <c:v>43493</c:v>
                </c:pt>
                <c:pt idx="185">
                  <c:v>43494</c:v>
                </c:pt>
                <c:pt idx="186">
                  <c:v>43495</c:v>
                </c:pt>
                <c:pt idx="187">
                  <c:v>43496</c:v>
                </c:pt>
                <c:pt idx="188">
                  <c:v>43507</c:v>
                </c:pt>
                <c:pt idx="189">
                  <c:v>43508</c:v>
                </c:pt>
                <c:pt idx="190">
                  <c:v>43509</c:v>
                </c:pt>
                <c:pt idx="191">
                  <c:v>43510</c:v>
                </c:pt>
                <c:pt idx="192">
                  <c:v>43511</c:v>
                </c:pt>
                <c:pt idx="193">
                  <c:v>43514</c:v>
                </c:pt>
                <c:pt idx="194">
                  <c:v>43515</c:v>
                </c:pt>
                <c:pt idx="195">
                  <c:v>43516</c:v>
                </c:pt>
                <c:pt idx="196">
                  <c:v>43517</c:v>
                </c:pt>
                <c:pt idx="197">
                  <c:v>43518</c:v>
                </c:pt>
                <c:pt idx="198">
                  <c:v>43521</c:v>
                </c:pt>
                <c:pt idx="199">
                  <c:v>43522</c:v>
                </c:pt>
                <c:pt idx="200">
                  <c:v>43523</c:v>
                </c:pt>
                <c:pt idx="201">
                  <c:v>43524</c:v>
                </c:pt>
                <c:pt idx="202">
                  <c:v>43525</c:v>
                </c:pt>
                <c:pt idx="203">
                  <c:v>43528</c:v>
                </c:pt>
                <c:pt idx="204">
                  <c:v>43529</c:v>
                </c:pt>
                <c:pt idx="205">
                  <c:v>43530</c:v>
                </c:pt>
                <c:pt idx="206">
                  <c:v>43531</c:v>
                </c:pt>
                <c:pt idx="207">
                  <c:v>43532</c:v>
                </c:pt>
                <c:pt idx="208">
                  <c:v>43535</c:v>
                </c:pt>
                <c:pt idx="209">
                  <c:v>43536</c:v>
                </c:pt>
                <c:pt idx="210">
                  <c:v>43537</c:v>
                </c:pt>
                <c:pt idx="211">
                  <c:v>43538</c:v>
                </c:pt>
                <c:pt idx="212">
                  <c:v>43539</c:v>
                </c:pt>
                <c:pt idx="213">
                  <c:v>43542</c:v>
                </c:pt>
                <c:pt idx="214">
                  <c:v>43543</c:v>
                </c:pt>
                <c:pt idx="215">
                  <c:v>43544</c:v>
                </c:pt>
                <c:pt idx="216">
                  <c:v>43545</c:v>
                </c:pt>
                <c:pt idx="217">
                  <c:v>43546</c:v>
                </c:pt>
                <c:pt idx="218">
                  <c:v>43549</c:v>
                </c:pt>
                <c:pt idx="219">
                  <c:v>43550</c:v>
                </c:pt>
                <c:pt idx="220">
                  <c:v>43551</c:v>
                </c:pt>
                <c:pt idx="221">
                  <c:v>43552</c:v>
                </c:pt>
                <c:pt idx="222">
                  <c:v>43556</c:v>
                </c:pt>
                <c:pt idx="223">
                  <c:v>43557</c:v>
                </c:pt>
                <c:pt idx="224">
                  <c:v>43558</c:v>
                </c:pt>
                <c:pt idx="225">
                  <c:v>43559</c:v>
                </c:pt>
                <c:pt idx="226">
                  <c:v>43563</c:v>
                </c:pt>
                <c:pt idx="227">
                  <c:v>43564</c:v>
                </c:pt>
                <c:pt idx="228">
                  <c:v>43565</c:v>
                </c:pt>
                <c:pt idx="229">
                  <c:v>43566</c:v>
                </c:pt>
                <c:pt idx="230">
                  <c:v>43567</c:v>
                </c:pt>
                <c:pt idx="231">
                  <c:v>43570</c:v>
                </c:pt>
                <c:pt idx="232">
                  <c:v>43571</c:v>
                </c:pt>
                <c:pt idx="233">
                  <c:v>43572</c:v>
                </c:pt>
                <c:pt idx="234">
                  <c:v>43573</c:v>
                </c:pt>
                <c:pt idx="235">
                  <c:v>43577</c:v>
                </c:pt>
                <c:pt idx="236">
                  <c:v>43578</c:v>
                </c:pt>
                <c:pt idx="237">
                  <c:v>43579</c:v>
                </c:pt>
                <c:pt idx="238">
                  <c:v>43580</c:v>
                </c:pt>
                <c:pt idx="239">
                  <c:v>43581</c:v>
                </c:pt>
                <c:pt idx="240">
                  <c:v>43595</c:v>
                </c:pt>
                <c:pt idx="241">
                  <c:v>43602</c:v>
                </c:pt>
                <c:pt idx="242">
                  <c:v>43609</c:v>
                </c:pt>
                <c:pt idx="243">
                  <c:v>43616</c:v>
                </c:pt>
                <c:pt idx="244">
                  <c:v>43637</c:v>
                </c:pt>
                <c:pt idx="245">
                  <c:v>43644</c:v>
                </c:pt>
              </c:numCache>
            </c:numRef>
          </c:cat>
          <c:val>
            <c:numRef>
              <c:f>'溶剂油周报-石脑油价格走势图表'!$B$367:$B$613</c:f>
              <c:numCache>
                <c:formatCode>0_ </c:formatCode>
                <c:ptCount val="247"/>
                <c:pt idx="0">
                  <c:v>6150</c:v>
                </c:pt>
                <c:pt idx="1">
                  <c:v>6150</c:v>
                </c:pt>
                <c:pt idx="2">
                  <c:v>6150</c:v>
                </c:pt>
                <c:pt idx="3">
                  <c:v>6150</c:v>
                </c:pt>
                <c:pt idx="4">
                  <c:v>6150</c:v>
                </c:pt>
                <c:pt idx="5">
                  <c:v>6150</c:v>
                </c:pt>
                <c:pt idx="6">
                  <c:v>6150</c:v>
                </c:pt>
                <c:pt idx="7">
                  <c:v>6150</c:v>
                </c:pt>
                <c:pt idx="8">
                  <c:v>6150</c:v>
                </c:pt>
                <c:pt idx="9">
                  <c:v>6150</c:v>
                </c:pt>
                <c:pt idx="10">
                  <c:v>6150</c:v>
                </c:pt>
                <c:pt idx="11">
                  <c:v>6150</c:v>
                </c:pt>
                <c:pt idx="12">
                  <c:v>6150</c:v>
                </c:pt>
                <c:pt idx="13">
                  <c:v>6150</c:v>
                </c:pt>
                <c:pt idx="14">
                  <c:v>6150</c:v>
                </c:pt>
                <c:pt idx="15">
                  <c:v>6150</c:v>
                </c:pt>
                <c:pt idx="16">
                  <c:v>6150</c:v>
                </c:pt>
                <c:pt idx="17">
                  <c:v>6150</c:v>
                </c:pt>
                <c:pt idx="18">
                  <c:v>6150</c:v>
                </c:pt>
                <c:pt idx="19">
                  <c:v>6150</c:v>
                </c:pt>
                <c:pt idx="20">
                  <c:v>6150</c:v>
                </c:pt>
                <c:pt idx="21">
                  <c:v>6150</c:v>
                </c:pt>
                <c:pt idx="22">
                  <c:v>6150</c:v>
                </c:pt>
                <c:pt idx="23">
                  <c:v>6150</c:v>
                </c:pt>
                <c:pt idx="24">
                  <c:v>6150</c:v>
                </c:pt>
                <c:pt idx="25">
                  <c:v>6150</c:v>
                </c:pt>
                <c:pt idx="26">
                  <c:v>6150</c:v>
                </c:pt>
                <c:pt idx="27">
                  <c:v>6150</c:v>
                </c:pt>
                <c:pt idx="28">
                  <c:v>6150</c:v>
                </c:pt>
                <c:pt idx="29">
                  <c:v>6150</c:v>
                </c:pt>
                <c:pt idx="30">
                  <c:v>6150</c:v>
                </c:pt>
                <c:pt idx="31">
                  <c:v>6150</c:v>
                </c:pt>
                <c:pt idx="32">
                  <c:v>6150</c:v>
                </c:pt>
                <c:pt idx="33">
                  <c:v>6150</c:v>
                </c:pt>
                <c:pt idx="34">
                  <c:v>6150</c:v>
                </c:pt>
                <c:pt idx="35">
                  <c:v>6150</c:v>
                </c:pt>
                <c:pt idx="36">
                  <c:v>6150</c:v>
                </c:pt>
                <c:pt idx="37">
                  <c:v>6150</c:v>
                </c:pt>
                <c:pt idx="38">
                  <c:v>6150</c:v>
                </c:pt>
                <c:pt idx="39">
                  <c:v>6150</c:v>
                </c:pt>
                <c:pt idx="40">
                  <c:v>6150</c:v>
                </c:pt>
                <c:pt idx="41">
                  <c:v>6150</c:v>
                </c:pt>
                <c:pt idx="42">
                  <c:v>6150</c:v>
                </c:pt>
                <c:pt idx="43">
                  <c:v>6150</c:v>
                </c:pt>
                <c:pt idx="44">
                  <c:v>6150</c:v>
                </c:pt>
                <c:pt idx="45">
                  <c:v>6150</c:v>
                </c:pt>
                <c:pt idx="46">
                  <c:v>6150</c:v>
                </c:pt>
                <c:pt idx="47">
                  <c:v>6150</c:v>
                </c:pt>
                <c:pt idx="48">
                  <c:v>6150</c:v>
                </c:pt>
                <c:pt idx="49">
                  <c:v>6150</c:v>
                </c:pt>
                <c:pt idx="50">
                  <c:v>6150</c:v>
                </c:pt>
                <c:pt idx="51">
                  <c:v>6150</c:v>
                </c:pt>
                <c:pt idx="52">
                  <c:v>6150</c:v>
                </c:pt>
                <c:pt idx="53">
                  <c:v>6150</c:v>
                </c:pt>
                <c:pt idx="54">
                  <c:v>6150</c:v>
                </c:pt>
                <c:pt idx="55">
                  <c:v>6150</c:v>
                </c:pt>
                <c:pt idx="56">
                  <c:v>6150</c:v>
                </c:pt>
                <c:pt idx="57">
                  <c:v>6150</c:v>
                </c:pt>
                <c:pt idx="58">
                  <c:v>6150</c:v>
                </c:pt>
                <c:pt idx="59">
                  <c:v>6150</c:v>
                </c:pt>
                <c:pt idx="60">
                  <c:v>6150</c:v>
                </c:pt>
                <c:pt idx="61">
                  <c:v>6150</c:v>
                </c:pt>
                <c:pt idx="62">
                  <c:v>6150</c:v>
                </c:pt>
                <c:pt idx="63">
                  <c:v>6150</c:v>
                </c:pt>
                <c:pt idx="64">
                  <c:v>6150</c:v>
                </c:pt>
                <c:pt idx="65">
                  <c:v>6150</c:v>
                </c:pt>
                <c:pt idx="66">
                  <c:v>6150</c:v>
                </c:pt>
                <c:pt idx="67">
                  <c:v>6150</c:v>
                </c:pt>
                <c:pt idx="68">
                  <c:v>6150</c:v>
                </c:pt>
                <c:pt idx="69">
                  <c:v>6150</c:v>
                </c:pt>
                <c:pt idx="70">
                  <c:v>6150</c:v>
                </c:pt>
                <c:pt idx="71">
                  <c:v>6150</c:v>
                </c:pt>
                <c:pt idx="72">
                  <c:v>6150</c:v>
                </c:pt>
                <c:pt idx="73">
                  <c:v>6150</c:v>
                </c:pt>
                <c:pt idx="74">
                  <c:v>6150</c:v>
                </c:pt>
                <c:pt idx="75">
                  <c:v>6150</c:v>
                </c:pt>
                <c:pt idx="76">
                  <c:v>6150</c:v>
                </c:pt>
                <c:pt idx="77">
                  <c:v>6150</c:v>
                </c:pt>
                <c:pt idx="78">
                  <c:v>6150</c:v>
                </c:pt>
                <c:pt idx="79">
                  <c:v>6150</c:v>
                </c:pt>
                <c:pt idx="80">
                  <c:v>6150</c:v>
                </c:pt>
                <c:pt idx="81">
                  <c:v>6150</c:v>
                </c:pt>
                <c:pt idx="82">
                  <c:v>6150</c:v>
                </c:pt>
                <c:pt idx="83">
                  <c:v>6150</c:v>
                </c:pt>
                <c:pt idx="84">
                  <c:v>6150</c:v>
                </c:pt>
                <c:pt idx="85">
                  <c:v>6150</c:v>
                </c:pt>
                <c:pt idx="86">
                  <c:v>6150</c:v>
                </c:pt>
                <c:pt idx="87">
                  <c:v>6150</c:v>
                </c:pt>
                <c:pt idx="88">
                  <c:v>6150</c:v>
                </c:pt>
                <c:pt idx="89">
                  <c:v>6150</c:v>
                </c:pt>
                <c:pt idx="90">
                  <c:v>6150</c:v>
                </c:pt>
                <c:pt idx="91">
                  <c:v>6150</c:v>
                </c:pt>
                <c:pt idx="92">
                  <c:v>6150</c:v>
                </c:pt>
                <c:pt idx="93">
                  <c:v>6150</c:v>
                </c:pt>
                <c:pt idx="94">
                  <c:v>6150</c:v>
                </c:pt>
                <c:pt idx="95">
                  <c:v>6150</c:v>
                </c:pt>
                <c:pt idx="96">
                  <c:v>6150</c:v>
                </c:pt>
                <c:pt idx="97">
                  <c:v>6150</c:v>
                </c:pt>
                <c:pt idx="98">
                  <c:v>6150</c:v>
                </c:pt>
                <c:pt idx="99">
                  <c:v>6150</c:v>
                </c:pt>
                <c:pt idx="100">
                  <c:v>6150</c:v>
                </c:pt>
                <c:pt idx="101">
                  <c:v>6150</c:v>
                </c:pt>
                <c:pt idx="102">
                  <c:v>6150</c:v>
                </c:pt>
                <c:pt idx="103">
                  <c:v>6150</c:v>
                </c:pt>
                <c:pt idx="104">
                  <c:v>6150</c:v>
                </c:pt>
                <c:pt idx="105">
                  <c:v>6150</c:v>
                </c:pt>
                <c:pt idx="106">
                  <c:v>6150</c:v>
                </c:pt>
                <c:pt idx="107">
                  <c:v>6150</c:v>
                </c:pt>
                <c:pt idx="108">
                  <c:v>6150</c:v>
                </c:pt>
                <c:pt idx="109">
                  <c:v>6150</c:v>
                </c:pt>
                <c:pt idx="110">
                  <c:v>6150</c:v>
                </c:pt>
                <c:pt idx="111">
                  <c:v>6150</c:v>
                </c:pt>
                <c:pt idx="112">
                  <c:v>6150</c:v>
                </c:pt>
                <c:pt idx="113">
                  <c:v>6150</c:v>
                </c:pt>
                <c:pt idx="114">
                  <c:v>6150</c:v>
                </c:pt>
                <c:pt idx="115">
                  <c:v>6150</c:v>
                </c:pt>
                <c:pt idx="116">
                  <c:v>6150</c:v>
                </c:pt>
                <c:pt idx="117">
                  <c:v>6150</c:v>
                </c:pt>
                <c:pt idx="118">
                  <c:v>6150</c:v>
                </c:pt>
                <c:pt idx="119">
                  <c:v>6150</c:v>
                </c:pt>
                <c:pt idx="120">
                  <c:v>7850</c:v>
                </c:pt>
                <c:pt idx="121">
                  <c:v>7800</c:v>
                </c:pt>
                <c:pt idx="122">
                  <c:v>7800</c:v>
                </c:pt>
                <c:pt idx="123">
                  <c:v>7800</c:v>
                </c:pt>
                <c:pt idx="124">
                  <c:v>7800</c:v>
                </c:pt>
                <c:pt idx="125">
                  <c:v>7800</c:v>
                </c:pt>
                <c:pt idx="126">
                  <c:v>7800</c:v>
                </c:pt>
                <c:pt idx="127">
                  <c:v>7800</c:v>
                </c:pt>
                <c:pt idx="128">
                  <c:v>7800</c:v>
                </c:pt>
                <c:pt idx="129">
                  <c:v>7700</c:v>
                </c:pt>
                <c:pt idx="130">
                  <c:v>7600</c:v>
                </c:pt>
                <c:pt idx="131">
                  <c:v>7400</c:v>
                </c:pt>
                <c:pt idx="132">
                  <c:v>6950</c:v>
                </c:pt>
                <c:pt idx="133">
                  <c:v>6950</c:v>
                </c:pt>
                <c:pt idx="134">
                  <c:v>6950</c:v>
                </c:pt>
                <c:pt idx="135">
                  <c:v>6950</c:v>
                </c:pt>
                <c:pt idx="136">
                  <c:v>6950</c:v>
                </c:pt>
                <c:pt idx="137">
                  <c:v>6950</c:v>
                </c:pt>
                <c:pt idx="138">
                  <c:v>6950</c:v>
                </c:pt>
                <c:pt idx="139">
                  <c:v>6450</c:v>
                </c:pt>
                <c:pt idx="140">
                  <c:v>6450</c:v>
                </c:pt>
                <c:pt idx="141">
                  <c:v>6500</c:v>
                </c:pt>
                <c:pt idx="142">
                  <c:v>6500</c:v>
                </c:pt>
                <c:pt idx="143">
                  <c:v>6500</c:v>
                </c:pt>
                <c:pt idx="144">
                  <c:v>6500</c:v>
                </c:pt>
                <c:pt idx="145">
                  <c:v>6100</c:v>
                </c:pt>
                <c:pt idx="146">
                  <c:v>6100</c:v>
                </c:pt>
                <c:pt idx="147">
                  <c:v>6200</c:v>
                </c:pt>
                <c:pt idx="148">
                  <c:v>6500</c:v>
                </c:pt>
                <c:pt idx="149">
                  <c:v>6500</c:v>
                </c:pt>
                <c:pt idx="150">
                  <c:v>6500</c:v>
                </c:pt>
                <c:pt idx="151">
                  <c:v>6400</c:v>
                </c:pt>
                <c:pt idx="152">
                  <c:v>6400</c:v>
                </c:pt>
                <c:pt idx="153">
                  <c:v>6300</c:v>
                </c:pt>
                <c:pt idx="154">
                  <c:v>6300</c:v>
                </c:pt>
                <c:pt idx="155">
                  <c:v>6300</c:v>
                </c:pt>
                <c:pt idx="156">
                  <c:v>6300</c:v>
                </c:pt>
                <c:pt idx="157">
                  <c:v>6200</c:v>
                </c:pt>
                <c:pt idx="158">
                  <c:v>6100</c:v>
                </c:pt>
                <c:pt idx="159">
                  <c:v>6000</c:v>
                </c:pt>
                <c:pt idx="160">
                  <c:v>6000</c:v>
                </c:pt>
                <c:pt idx="161">
                  <c:v>6000</c:v>
                </c:pt>
                <c:pt idx="162">
                  <c:v>6000</c:v>
                </c:pt>
                <c:pt idx="163">
                  <c:v>6000</c:v>
                </c:pt>
                <c:pt idx="164">
                  <c:v>6000</c:v>
                </c:pt>
                <c:pt idx="165">
                  <c:v>6000</c:v>
                </c:pt>
                <c:pt idx="166">
                  <c:v>6000</c:v>
                </c:pt>
                <c:pt idx="167">
                  <c:v>6100</c:v>
                </c:pt>
                <c:pt idx="168">
                  <c:v>6100</c:v>
                </c:pt>
                <c:pt idx="169">
                  <c:v>6100</c:v>
                </c:pt>
                <c:pt idx="170">
                  <c:v>6100</c:v>
                </c:pt>
                <c:pt idx="171">
                  <c:v>6250</c:v>
                </c:pt>
                <c:pt idx="172">
                  <c:v>6350</c:v>
                </c:pt>
                <c:pt idx="173">
                  <c:v>6350</c:v>
                </c:pt>
                <c:pt idx="174">
                  <c:v>6350</c:v>
                </c:pt>
                <c:pt idx="175">
                  <c:v>6350</c:v>
                </c:pt>
                <c:pt idx="176">
                  <c:v>6350</c:v>
                </c:pt>
                <c:pt idx="177">
                  <c:v>6350</c:v>
                </c:pt>
                <c:pt idx="178">
                  <c:v>6250</c:v>
                </c:pt>
                <c:pt idx="179">
                  <c:v>6250</c:v>
                </c:pt>
                <c:pt idx="180">
                  <c:v>6250</c:v>
                </c:pt>
                <c:pt idx="181">
                  <c:v>6250</c:v>
                </c:pt>
                <c:pt idx="182">
                  <c:v>6250</c:v>
                </c:pt>
                <c:pt idx="183">
                  <c:v>6250</c:v>
                </c:pt>
                <c:pt idx="184">
                  <c:v>6250</c:v>
                </c:pt>
                <c:pt idx="185">
                  <c:v>6250</c:v>
                </c:pt>
                <c:pt idx="186">
                  <c:v>6250</c:v>
                </c:pt>
                <c:pt idx="187">
                  <c:v>6250</c:v>
                </c:pt>
                <c:pt idx="188">
                  <c:v>6250</c:v>
                </c:pt>
                <c:pt idx="189">
                  <c:v>6250</c:v>
                </c:pt>
                <c:pt idx="190">
                  <c:v>6350</c:v>
                </c:pt>
                <c:pt idx="191">
                  <c:v>6350</c:v>
                </c:pt>
                <c:pt idx="192">
                  <c:v>6350</c:v>
                </c:pt>
                <c:pt idx="193">
                  <c:v>6350</c:v>
                </c:pt>
                <c:pt idx="194">
                  <c:v>6350</c:v>
                </c:pt>
                <c:pt idx="195">
                  <c:v>6350</c:v>
                </c:pt>
                <c:pt idx="196">
                  <c:v>6350</c:v>
                </c:pt>
                <c:pt idx="197">
                  <c:v>6350</c:v>
                </c:pt>
                <c:pt idx="198">
                  <c:v>6350</c:v>
                </c:pt>
                <c:pt idx="199">
                  <c:v>6350</c:v>
                </c:pt>
                <c:pt idx="200">
                  <c:v>6350</c:v>
                </c:pt>
                <c:pt idx="201">
                  <c:v>6350</c:v>
                </c:pt>
                <c:pt idx="202">
                  <c:v>6350</c:v>
                </c:pt>
                <c:pt idx="203">
                  <c:v>6350</c:v>
                </c:pt>
                <c:pt idx="204">
                  <c:v>6350</c:v>
                </c:pt>
                <c:pt idx="205">
                  <c:v>6350</c:v>
                </c:pt>
                <c:pt idx="206">
                  <c:v>6350</c:v>
                </c:pt>
                <c:pt idx="207">
                  <c:v>6350</c:v>
                </c:pt>
                <c:pt idx="208">
                  <c:v>6350</c:v>
                </c:pt>
                <c:pt idx="209">
                  <c:v>6350</c:v>
                </c:pt>
                <c:pt idx="210">
                  <c:v>6350</c:v>
                </c:pt>
                <c:pt idx="211">
                  <c:v>6350</c:v>
                </c:pt>
                <c:pt idx="212">
                  <c:v>6350</c:v>
                </c:pt>
                <c:pt idx="213">
                  <c:v>6350</c:v>
                </c:pt>
                <c:pt idx="214">
                  <c:v>6350</c:v>
                </c:pt>
                <c:pt idx="215">
                  <c:v>6350</c:v>
                </c:pt>
                <c:pt idx="216">
                  <c:v>6350</c:v>
                </c:pt>
                <c:pt idx="217">
                  <c:v>6350</c:v>
                </c:pt>
                <c:pt idx="218">
                  <c:v>6350</c:v>
                </c:pt>
                <c:pt idx="219">
                  <c:v>6350</c:v>
                </c:pt>
                <c:pt idx="220">
                  <c:v>6350</c:v>
                </c:pt>
                <c:pt idx="221">
                  <c:v>6350</c:v>
                </c:pt>
                <c:pt idx="222">
                  <c:v>6350</c:v>
                </c:pt>
                <c:pt idx="223">
                  <c:v>6350</c:v>
                </c:pt>
                <c:pt idx="224">
                  <c:v>6350</c:v>
                </c:pt>
                <c:pt idx="225">
                  <c:v>6350</c:v>
                </c:pt>
                <c:pt idx="226">
                  <c:v>6350</c:v>
                </c:pt>
                <c:pt idx="227">
                  <c:v>6350</c:v>
                </c:pt>
                <c:pt idx="228">
                  <c:v>6350</c:v>
                </c:pt>
                <c:pt idx="229">
                  <c:v>6350</c:v>
                </c:pt>
                <c:pt idx="230">
                  <c:v>6350</c:v>
                </c:pt>
                <c:pt idx="231">
                  <c:v>6350</c:v>
                </c:pt>
                <c:pt idx="232">
                  <c:v>6350</c:v>
                </c:pt>
                <c:pt idx="233">
                  <c:v>6350</c:v>
                </c:pt>
                <c:pt idx="234">
                  <c:v>6350</c:v>
                </c:pt>
                <c:pt idx="235">
                  <c:v>6350</c:v>
                </c:pt>
                <c:pt idx="236">
                  <c:v>6350</c:v>
                </c:pt>
                <c:pt idx="237">
                  <c:v>6350</c:v>
                </c:pt>
                <c:pt idx="238">
                  <c:v>6350</c:v>
                </c:pt>
                <c:pt idx="239">
                  <c:v>6350</c:v>
                </c:pt>
                <c:pt idx="240">
                  <c:v>6550</c:v>
                </c:pt>
                <c:pt idx="241">
                  <c:v>6550</c:v>
                </c:pt>
                <c:pt idx="242">
                  <c:v>6550</c:v>
                </c:pt>
                <c:pt idx="243">
                  <c:v>6550</c:v>
                </c:pt>
                <c:pt idx="244">
                  <c:v>6550</c:v>
                </c:pt>
                <c:pt idx="245">
                  <c:v>6550</c:v>
                </c:pt>
              </c:numCache>
            </c:numRef>
          </c:val>
        </c:ser>
        <c:ser>
          <c:idx val="1"/>
          <c:order val="1"/>
          <c:tx>
            <c:strRef>
              <c:f>'溶剂油周报-石脑油价格走势图表'!$C$366</c:f>
              <c:strCache>
                <c:ptCount val="1"/>
                <c:pt idx="0">
                  <c:v>广悦化工</c:v>
                </c:pt>
              </c:strCache>
            </c:strRef>
          </c:tx>
          <c:marker>
            <c:symbol val="none"/>
          </c:marker>
          <c:cat>
            <c:numRef>
              <c:f>'溶剂油周报-石脑油价格走势图表'!$A$367:$A$613</c:f>
              <c:numCache>
                <c:formatCode>yyyy/m/d</c:formatCode>
                <c:ptCount val="247"/>
                <c:pt idx="0">
                  <c:v>43214</c:v>
                </c:pt>
                <c:pt idx="1">
                  <c:v>43215</c:v>
                </c:pt>
                <c:pt idx="2">
                  <c:v>43216</c:v>
                </c:pt>
                <c:pt idx="3">
                  <c:v>43217</c:v>
                </c:pt>
                <c:pt idx="4">
                  <c:v>43218</c:v>
                </c:pt>
                <c:pt idx="5">
                  <c:v>43222</c:v>
                </c:pt>
                <c:pt idx="6">
                  <c:v>43223</c:v>
                </c:pt>
                <c:pt idx="7">
                  <c:v>43224</c:v>
                </c:pt>
                <c:pt idx="8">
                  <c:v>43227</c:v>
                </c:pt>
                <c:pt idx="9">
                  <c:v>43228</c:v>
                </c:pt>
                <c:pt idx="10">
                  <c:v>43229</c:v>
                </c:pt>
                <c:pt idx="11">
                  <c:v>43230</c:v>
                </c:pt>
                <c:pt idx="12">
                  <c:v>43231</c:v>
                </c:pt>
                <c:pt idx="13">
                  <c:v>43234</c:v>
                </c:pt>
                <c:pt idx="14">
                  <c:v>43235</c:v>
                </c:pt>
                <c:pt idx="15">
                  <c:v>43236</c:v>
                </c:pt>
                <c:pt idx="16">
                  <c:v>43237</c:v>
                </c:pt>
                <c:pt idx="17">
                  <c:v>43238</c:v>
                </c:pt>
                <c:pt idx="18">
                  <c:v>43241</c:v>
                </c:pt>
                <c:pt idx="19">
                  <c:v>43243</c:v>
                </c:pt>
                <c:pt idx="20">
                  <c:v>43244</c:v>
                </c:pt>
                <c:pt idx="21">
                  <c:v>43245</c:v>
                </c:pt>
                <c:pt idx="22">
                  <c:v>43248</c:v>
                </c:pt>
                <c:pt idx="23">
                  <c:v>43249</c:v>
                </c:pt>
                <c:pt idx="24">
                  <c:v>43250</c:v>
                </c:pt>
                <c:pt idx="25">
                  <c:v>43251</c:v>
                </c:pt>
                <c:pt idx="26">
                  <c:v>43252</c:v>
                </c:pt>
                <c:pt idx="27">
                  <c:v>43255</c:v>
                </c:pt>
                <c:pt idx="28">
                  <c:v>43256</c:v>
                </c:pt>
                <c:pt idx="29">
                  <c:v>43257</c:v>
                </c:pt>
                <c:pt idx="30">
                  <c:v>43258</c:v>
                </c:pt>
                <c:pt idx="31">
                  <c:v>43259</c:v>
                </c:pt>
                <c:pt idx="32">
                  <c:v>43262</c:v>
                </c:pt>
                <c:pt idx="33">
                  <c:v>43263</c:v>
                </c:pt>
                <c:pt idx="34">
                  <c:v>43264</c:v>
                </c:pt>
                <c:pt idx="35">
                  <c:v>43265</c:v>
                </c:pt>
                <c:pt idx="36">
                  <c:v>43266</c:v>
                </c:pt>
                <c:pt idx="37">
                  <c:v>43270</c:v>
                </c:pt>
                <c:pt idx="38">
                  <c:v>43271</c:v>
                </c:pt>
                <c:pt idx="39">
                  <c:v>43272</c:v>
                </c:pt>
                <c:pt idx="40">
                  <c:v>43273</c:v>
                </c:pt>
                <c:pt idx="41">
                  <c:v>43276</c:v>
                </c:pt>
                <c:pt idx="42">
                  <c:v>43277</c:v>
                </c:pt>
                <c:pt idx="43">
                  <c:v>43278</c:v>
                </c:pt>
                <c:pt idx="44">
                  <c:v>43279</c:v>
                </c:pt>
                <c:pt idx="45">
                  <c:v>43280</c:v>
                </c:pt>
                <c:pt idx="46">
                  <c:v>43283</c:v>
                </c:pt>
                <c:pt idx="47">
                  <c:v>43284</c:v>
                </c:pt>
                <c:pt idx="48">
                  <c:v>43285</c:v>
                </c:pt>
                <c:pt idx="49">
                  <c:v>43286</c:v>
                </c:pt>
                <c:pt idx="50">
                  <c:v>43287</c:v>
                </c:pt>
                <c:pt idx="51">
                  <c:v>43290</c:v>
                </c:pt>
                <c:pt idx="52">
                  <c:v>43291</c:v>
                </c:pt>
                <c:pt idx="53">
                  <c:v>43292</c:v>
                </c:pt>
                <c:pt idx="54">
                  <c:v>43293</c:v>
                </c:pt>
                <c:pt idx="55">
                  <c:v>43294</c:v>
                </c:pt>
                <c:pt idx="56">
                  <c:v>43297</c:v>
                </c:pt>
                <c:pt idx="57">
                  <c:v>43298</c:v>
                </c:pt>
                <c:pt idx="58">
                  <c:v>43299</c:v>
                </c:pt>
                <c:pt idx="59">
                  <c:v>43300</c:v>
                </c:pt>
                <c:pt idx="60">
                  <c:v>43301</c:v>
                </c:pt>
                <c:pt idx="61">
                  <c:v>43304</c:v>
                </c:pt>
                <c:pt idx="62">
                  <c:v>43305</c:v>
                </c:pt>
                <c:pt idx="63">
                  <c:v>43306</c:v>
                </c:pt>
                <c:pt idx="64">
                  <c:v>43307</c:v>
                </c:pt>
                <c:pt idx="65">
                  <c:v>43308</c:v>
                </c:pt>
                <c:pt idx="66">
                  <c:v>43311</c:v>
                </c:pt>
                <c:pt idx="67">
                  <c:v>43312</c:v>
                </c:pt>
                <c:pt idx="68">
                  <c:v>43313</c:v>
                </c:pt>
                <c:pt idx="69">
                  <c:v>43314</c:v>
                </c:pt>
                <c:pt idx="70">
                  <c:v>43315</c:v>
                </c:pt>
                <c:pt idx="71">
                  <c:v>43318</c:v>
                </c:pt>
                <c:pt idx="72">
                  <c:v>43319</c:v>
                </c:pt>
                <c:pt idx="73">
                  <c:v>43320</c:v>
                </c:pt>
                <c:pt idx="74">
                  <c:v>43321</c:v>
                </c:pt>
                <c:pt idx="75">
                  <c:v>43322</c:v>
                </c:pt>
                <c:pt idx="76">
                  <c:v>43325</c:v>
                </c:pt>
                <c:pt idx="77">
                  <c:v>43326</c:v>
                </c:pt>
                <c:pt idx="78">
                  <c:v>43327</c:v>
                </c:pt>
                <c:pt idx="79">
                  <c:v>43328</c:v>
                </c:pt>
                <c:pt idx="80">
                  <c:v>43329</c:v>
                </c:pt>
                <c:pt idx="81">
                  <c:v>43332</c:v>
                </c:pt>
                <c:pt idx="82">
                  <c:v>43333</c:v>
                </c:pt>
                <c:pt idx="83">
                  <c:v>43334</c:v>
                </c:pt>
                <c:pt idx="84">
                  <c:v>43335</c:v>
                </c:pt>
                <c:pt idx="85">
                  <c:v>43336</c:v>
                </c:pt>
                <c:pt idx="86">
                  <c:v>43339</c:v>
                </c:pt>
                <c:pt idx="87">
                  <c:v>43340</c:v>
                </c:pt>
                <c:pt idx="88">
                  <c:v>43341</c:v>
                </c:pt>
                <c:pt idx="89">
                  <c:v>43342</c:v>
                </c:pt>
                <c:pt idx="90">
                  <c:v>43343</c:v>
                </c:pt>
                <c:pt idx="91">
                  <c:v>43346</c:v>
                </c:pt>
                <c:pt idx="92">
                  <c:v>43347</c:v>
                </c:pt>
                <c:pt idx="93">
                  <c:v>43348</c:v>
                </c:pt>
                <c:pt idx="94">
                  <c:v>43349</c:v>
                </c:pt>
                <c:pt idx="95">
                  <c:v>43350</c:v>
                </c:pt>
                <c:pt idx="96">
                  <c:v>43353</c:v>
                </c:pt>
                <c:pt idx="97">
                  <c:v>43354</c:v>
                </c:pt>
                <c:pt idx="98">
                  <c:v>43355</c:v>
                </c:pt>
                <c:pt idx="99">
                  <c:v>43356</c:v>
                </c:pt>
                <c:pt idx="100">
                  <c:v>43357</c:v>
                </c:pt>
                <c:pt idx="101">
                  <c:v>43360</c:v>
                </c:pt>
                <c:pt idx="102">
                  <c:v>43361</c:v>
                </c:pt>
                <c:pt idx="103">
                  <c:v>43362</c:v>
                </c:pt>
                <c:pt idx="104">
                  <c:v>43363</c:v>
                </c:pt>
                <c:pt idx="105">
                  <c:v>43364</c:v>
                </c:pt>
                <c:pt idx="106">
                  <c:v>43368</c:v>
                </c:pt>
                <c:pt idx="107">
                  <c:v>43369</c:v>
                </c:pt>
                <c:pt idx="108">
                  <c:v>43370</c:v>
                </c:pt>
                <c:pt idx="109">
                  <c:v>43371</c:v>
                </c:pt>
                <c:pt idx="110">
                  <c:v>43372</c:v>
                </c:pt>
                <c:pt idx="111">
                  <c:v>43373</c:v>
                </c:pt>
                <c:pt idx="112">
                  <c:v>43381</c:v>
                </c:pt>
                <c:pt idx="113">
                  <c:v>43382</c:v>
                </c:pt>
                <c:pt idx="114">
                  <c:v>43383</c:v>
                </c:pt>
                <c:pt idx="115">
                  <c:v>43384</c:v>
                </c:pt>
                <c:pt idx="116">
                  <c:v>43385</c:v>
                </c:pt>
                <c:pt idx="117">
                  <c:v>43388</c:v>
                </c:pt>
                <c:pt idx="118">
                  <c:v>43389</c:v>
                </c:pt>
                <c:pt idx="119">
                  <c:v>43390</c:v>
                </c:pt>
                <c:pt idx="120">
                  <c:v>43391</c:v>
                </c:pt>
                <c:pt idx="121">
                  <c:v>43392</c:v>
                </c:pt>
                <c:pt idx="122">
                  <c:v>43395</c:v>
                </c:pt>
                <c:pt idx="123">
                  <c:v>43396</c:v>
                </c:pt>
                <c:pt idx="124">
                  <c:v>43397</c:v>
                </c:pt>
                <c:pt idx="125">
                  <c:v>43398</c:v>
                </c:pt>
                <c:pt idx="126">
                  <c:v>43399</c:v>
                </c:pt>
                <c:pt idx="127">
                  <c:v>43402</c:v>
                </c:pt>
                <c:pt idx="128">
                  <c:v>43403</c:v>
                </c:pt>
                <c:pt idx="129">
                  <c:v>43404</c:v>
                </c:pt>
                <c:pt idx="130">
                  <c:v>43405</c:v>
                </c:pt>
                <c:pt idx="131">
                  <c:v>43406</c:v>
                </c:pt>
                <c:pt idx="132">
                  <c:v>43410</c:v>
                </c:pt>
                <c:pt idx="133">
                  <c:v>43411</c:v>
                </c:pt>
                <c:pt idx="134">
                  <c:v>43412</c:v>
                </c:pt>
                <c:pt idx="135">
                  <c:v>43413</c:v>
                </c:pt>
                <c:pt idx="136">
                  <c:v>43416</c:v>
                </c:pt>
                <c:pt idx="137">
                  <c:v>43417</c:v>
                </c:pt>
                <c:pt idx="138">
                  <c:v>43418</c:v>
                </c:pt>
                <c:pt idx="139">
                  <c:v>43419</c:v>
                </c:pt>
                <c:pt idx="140">
                  <c:v>43420</c:v>
                </c:pt>
                <c:pt idx="141">
                  <c:v>43423</c:v>
                </c:pt>
                <c:pt idx="142">
                  <c:v>43424</c:v>
                </c:pt>
                <c:pt idx="143">
                  <c:v>43425</c:v>
                </c:pt>
                <c:pt idx="144">
                  <c:v>43426</c:v>
                </c:pt>
                <c:pt idx="145">
                  <c:v>43430</c:v>
                </c:pt>
                <c:pt idx="146">
                  <c:v>43431</c:v>
                </c:pt>
                <c:pt idx="147">
                  <c:v>43437</c:v>
                </c:pt>
                <c:pt idx="148">
                  <c:v>43438</c:v>
                </c:pt>
                <c:pt idx="149">
                  <c:v>43439</c:v>
                </c:pt>
                <c:pt idx="150">
                  <c:v>43440</c:v>
                </c:pt>
                <c:pt idx="151">
                  <c:v>43441</c:v>
                </c:pt>
                <c:pt idx="152">
                  <c:v>43444</c:v>
                </c:pt>
                <c:pt idx="153">
                  <c:v>43445</c:v>
                </c:pt>
                <c:pt idx="154">
                  <c:v>43446</c:v>
                </c:pt>
                <c:pt idx="155">
                  <c:v>43447</c:v>
                </c:pt>
                <c:pt idx="156">
                  <c:v>43448</c:v>
                </c:pt>
                <c:pt idx="157">
                  <c:v>43451</c:v>
                </c:pt>
                <c:pt idx="158">
                  <c:v>43452</c:v>
                </c:pt>
                <c:pt idx="159">
                  <c:v>43453</c:v>
                </c:pt>
                <c:pt idx="160">
                  <c:v>43454</c:v>
                </c:pt>
                <c:pt idx="161">
                  <c:v>43455</c:v>
                </c:pt>
                <c:pt idx="162">
                  <c:v>43458</c:v>
                </c:pt>
                <c:pt idx="163">
                  <c:v>43459</c:v>
                </c:pt>
                <c:pt idx="164">
                  <c:v>43460</c:v>
                </c:pt>
                <c:pt idx="165">
                  <c:v>43461</c:v>
                </c:pt>
                <c:pt idx="166">
                  <c:v>43462</c:v>
                </c:pt>
                <c:pt idx="167">
                  <c:v>43467</c:v>
                </c:pt>
                <c:pt idx="168">
                  <c:v>43468</c:v>
                </c:pt>
                <c:pt idx="169">
                  <c:v>43472</c:v>
                </c:pt>
                <c:pt idx="170">
                  <c:v>43473</c:v>
                </c:pt>
                <c:pt idx="171">
                  <c:v>43474</c:v>
                </c:pt>
                <c:pt idx="172">
                  <c:v>43475</c:v>
                </c:pt>
                <c:pt idx="173">
                  <c:v>43476</c:v>
                </c:pt>
                <c:pt idx="174">
                  <c:v>43479</c:v>
                </c:pt>
                <c:pt idx="175">
                  <c:v>43480</c:v>
                </c:pt>
                <c:pt idx="176">
                  <c:v>43481</c:v>
                </c:pt>
                <c:pt idx="177">
                  <c:v>43482</c:v>
                </c:pt>
                <c:pt idx="178">
                  <c:v>43483</c:v>
                </c:pt>
                <c:pt idx="179">
                  <c:v>43486</c:v>
                </c:pt>
                <c:pt idx="180">
                  <c:v>43487</c:v>
                </c:pt>
                <c:pt idx="181">
                  <c:v>43488</c:v>
                </c:pt>
                <c:pt idx="182">
                  <c:v>43489</c:v>
                </c:pt>
                <c:pt idx="183">
                  <c:v>43490</c:v>
                </c:pt>
                <c:pt idx="184">
                  <c:v>43493</c:v>
                </c:pt>
                <c:pt idx="185">
                  <c:v>43494</c:v>
                </c:pt>
                <c:pt idx="186">
                  <c:v>43495</c:v>
                </c:pt>
                <c:pt idx="187">
                  <c:v>43496</c:v>
                </c:pt>
                <c:pt idx="188">
                  <c:v>43507</c:v>
                </c:pt>
                <c:pt idx="189">
                  <c:v>43508</c:v>
                </c:pt>
                <c:pt idx="190">
                  <c:v>43509</c:v>
                </c:pt>
                <c:pt idx="191">
                  <c:v>43510</c:v>
                </c:pt>
                <c:pt idx="192">
                  <c:v>43511</c:v>
                </c:pt>
                <c:pt idx="193">
                  <c:v>43514</c:v>
                </c:pt>
                <c:pt idx="194">
                  <c:v>43515</c:v>
                </c:pt>
                <c:pt idx="195">
                  <c:v>43516</c:v>
                </c:pt>
                <c:pt idx="196">
                  <c:v>43517</c:v>
                </c:pt>
                <c:pt idx="197">
                  <c:v>43518</c:v>
                </c:pt>
                <c:pt idx="198">
                  <c:v>43521</c:v>
                </c:pt>
                <c:pt idx="199">
                  <c:v>43522</c:v>
                </c:pt>
                <c:pt idx="200">
                  <c:v>43523</c:v>
                </c:pt>
                <c:pt idx="201">
                  <c:v>43524</c:v>
                </c:pt>
                <c:pt idx="202">
                  <c:v>43525</c:v>
                </c:pt>
                <c:pt idx="203">
                  <c:v>43528</c:v>
                </c:pt>
                <c:pt idx="204">
                  <c:v>43529</c:v>
                </c:pt>
                <c:pt idx="205">
                  <c:v>43530</c:v>
                </c:pt>
                <c:pt idx="206">
                  <c:v>43531</c:v>
                </c:pt>
                <c:pt idx="207">
                  <c:v>43532</c:v>
                </c:pt>
                <c:pt idx="208">
                  <c:v>43535</c:v>
                </c:pt>
                <c:pt idx="209">
                  <c:v>43536</c:v>
                </c:pt>
                <c:pt idx="210">
                  <c:v>43537</c:v>
                </c:pt>
                <c:pt idx="211">
                  <c:v>43538</c:v>
                </c:pt>
                <c:pt idx="212">
                  <c:v>43539</c:v>
                </c:pt>
                <c:pt idx="213">
                  <c:v>43542</c:v>
                </c:pt>
                <c:pt idx="214">
                  <c:v>43543</c:v>
                </c:pt>
                <c:pt idx="215">
                  <c:v>43544</c:v>
                </c:pt>
                <c:pt idx="216">
                  <c:v>43545</c:v>
                </c:pt>
                <c:pt idx="217">
                  <c:v>43546</c:v>
                </c:pt>
                <c:pt idx="218">
                  <c:v>43549</c:v>
                </c:pt>
                <c:pt idx="219">
                  <c:v>43550</c:v>
                </c:pt>
                <c:pt idx="220">
                  <c:v>43551</c:v>
                </c:pt>
                <c:pt idx="221">
                  <c:v>43552</c:v>
                </c:pt>
                <c:pt idx="222">
                  <c:v>43556</c:v>
                </c:pt>
                <c:pt idx="223">
                  <c:v>43557</c:v>
                </c:pt>
                <c:pt idx="224">
                  <c:v>43558</c:v>
                </c:pt>
                <c:pt idx="225">
                  <c:v>43559</c:v>
                </c:pt>
                <c:pt idx="226">
                  <c:v>43563</c:v>
                </c:pt>
                <c:pt idx="227">
                  <c:v>43564</c:v>
                </c:pt>
                <c:pt idx="228">
                  <c:v>43565</c:v>
                </c:pt>
                <c:pt idx="229">
                  <c:v>43566</c:v>
                </c:pt>
                <c:pt idx="230">
                  <c:v>43567</c:v>
                </c:pt>
                <c:pt idx="231">
                  <c:v>43570</c:v>
                </c:pt>
                <c:pt idx="232">
                  <c:v>43571</c:v>
                </c:pt>
                <c:pt idx="233">
                  <c:v>43572</c:v>
                </c:pt>
                <c:pt idx="234">
                  <c:v>43573</c:v>
                </c:pt>
                <c:pt idx="235">
                  <c:v>43577</c:v>
                </c:pt>
                <c:pt idx="236">
                  <c:v>43578</c:v>
                </c:pt>
                <c:pt idx="237">
                  <c:v>43579</c:v>
                </c:pt>
                <c:pt idx="238">
                  <c:v>43580</c:v>
                </c:pt>
                <c:pt idx="239">
                  <c:v>43581</c:v>
                </c:pt>
                <c:pt idx="240">
                  <c:v>43595</c:v>
                </c:pt>
                <c:pt idx="241">
                  <c:v>43602</c:v>
                </c:pt>
                <c:pt idx="242">
                  <c:v>43609</c:v>
                </c:pt>
                <c:pt idx="243">
                  <c:v>43616</c:v>
                </c:pt>
                <c:pt idx="244">
                  <c:v>43637</c:v>
                </c:pt>
                <c:pt idx="245">
                  <c:v>43644</c:v>
                </c:pt>
              </c:numCache>
            </c:numRef>
          </c:cat>
          <c:val>
            <c:numRef>
              <c:f>'溶剂油周报-石脑油价格走势图表'!$C$367:$C$613</c:f>
              <c:numCache>
                <c:formatCode>0_ </c:formatCode>
                <c:ptCount val="247"/>
                <c:pt idx="0">
                  <c:v>6540</c:v>
                </c:pt>
                <c:pt idx="1">
                  <c:v>6540</c:v>
                </c:pt>
                <c:pt idx="2">
                  <c:v>6540</c:v>
                </c:pt>
                <c:pt idx="3">
                  <c:v>6540</c:v>
                </c:pt>
                <c:pt idx="4">
                  <c:v>6540</c:v>
                </c:pt>
                <c:pt idx="5">
                  <c:v>6540</c:v>
                </c:pt>
                <c:pt idx="6">
                  <c:v>6540</c:v>
                </c:pt>
                <c:pt idx="7">
                  <c:v>6540</c:v>
                </c:pt>
                <c:pt idx="8">
                  <c:v>6540</c:v>
                </c:pt>
                <c:pt idx="9">
                  <c:v>6540</c:v>
                </c:pt>
                <c:pt idx="10">
                  <c:v>6540</c:v>
                </c:pt>
                <c:pt idx="11">
                  <c:v>6540</c:v>
                </c:pt>
                <c:pt idx="12">
                  <c:v>6540</c:v>
                </c:pt>
                <c:pt idx="13">
                  <c:v>6540</c:v>
                </c:pt>
                <c:pt idx="14">
                  <c:v>6540</c:v>
                </c:pt>
                <c:pt idx="15">
                  <c:v>6540</c:v>
                </c:pt>
                <c:pt idx="16">
                  <c:v>6540</c:v>
                </c:pt>
                <c:pt idx="17">
                  <c:v>6670</c:v>
                </c:pt>
                <c:pt idx="18">
                  <c:v>6670</c:v>
                </c:pt>
                <c:pt idx="19">
                  <c:v>6670</c:v>
                </c:pt>
                <c:pt idx="20">
                  <c:v>6670</c:v>
                </c:pt>
                <c:pt idx="21">
                  <c:v>6670</c:v>
                </c:pt>
                <c:pt idx="22">
                  <c:v>6520</c:v>
                </c:pt>
                <c:pt idx="23">
                  <c:v>6470</c:v>
                </c:pt>
                <c:pt idx="24">
                  <c:v>6470</c:v>
                </c:pt>
                <c:pt idx="25">
                  <c:v>6470</c:v>
                </c:pt>
                <c:pt idx="26">
                  <c:v>6470</c:v>
                </c:pt>
                <c:pt idx="27">
                  <c:v>6470</c:v>
                </c:pt>
                <c:pt idx="28">
                  <c:v>6470</c:v>
                </c:pt>
                <c:pt idx="29">
                  <c:v>6470</c:v>
                </c:pt>
                <c:pt idx="30">
                  <c:v>6470</c:v>
                </c:pt>
                <c:pt idx="31">
                  <c:v>6470</c:v>
                </c:pt>
                <c:pt idx="32">
                  <c:v>6470</c:v>
                </c:pt>
                <c:pt idx="33">
                  <c:v>6470</c:v>
                </c:pt>
                <c:pt idx="34">
                  <c:v>6470</c:v>
                </c:pt>
                <c:pt idx="35">
                  <c:v>6470</c:v>
                </c:pt>
                <c:pt idx="36">
                  <c:v>6470</c:v>
                </c:pt>
                <c:pt idx="37">
                  <c:v>6470</c:v>
                </c:pt>
                <c:pt idx="38">
                  <c:v>6470</c:v>
                </c:pt>
                <c:pt idx="39">
                  <c:v>6470</c:v>
                </c:pt>
                <c:pt idx="40">
                  <c:v>6470</c:v>
                </c:pt>
                <c:pt idx="41">
                  <c:v>6470</c:v>
                </c:pt>
                <c:pt idx="42">
                  <c:v>6470</c:v>
                </c:pt>
                <c:pt idx="43">
                  <c:v>6470</c:v>
                </c:pt>
                <c:pt idx="44">
                  <c:v>6470</c:v>
                </c:pt>
                <c:pt idx="45">
                  <c:v>6470</c:v>
                </c:pt>
                <c:pt idx="46">
                  <c:v>6470</c:v>
                </c:pt>
                <c:pt idx="47">
                  <c:v>6470</c:v>
                </c:pt>
                <c:pt idx="48">
                  <c:v>6470</c:v>
                </c:pt>
                <c:pt idx="49">
                  <c:v>6470</c:v>
                </c:pt>
                <c:pt idx="50">
                  <c:v>6470</c:v>
                </c:pt>
                <c:pt idx="51">
                  <c:v>6470</c:v>
                </c:pt>
                <c:pt idx="52">
                  <c:v>6570</c:v>
                </c:pt>
                <c:pt idx="53">
                  <c:v>6570</c:v>
                </c:pt>
                <c:pt idx="54">
                  <c:v>6570</c:v>
                </c:pt>
                <c:pt idx="55">
                  <c:v>6570</c:v>
                </c:pt>
                <c:pt idx="56">
                  <c:v>6620</c:v>
                </c:pt>
                <c:pt idx="57">
                  <c:v>6620</c:v>
                </c:pt>
                <c:pt idx="58">
                  <c:v>6620</c:v>
                </c:pt>
                <c:pt idx="59">
                  <c:v>6620</c:v>
                </c:pt>
                <c:pt idx="60">
                  <c:v>6620</c:v>
                </c:pt>
                <c:pt idx="61">
                  <c:v>6620</c:v>
                </c:pt>
                <c:pt idx="62">
                  <c:v>6620</c:v>
                </c:pt>
                <c:pt idx="63">
                  <c:v>6620</c:v>
                </c:pt>
                <c:pt idx="64">
                  <c:v>6620</c:v>
                </c:pt>
                <c:pt idx="65">
                  <c:v>6620</c:v>
                </c:pt>
                <c:pt idx="66">
                  <c:v>6620</c:v>
                </c:pt>
                <c:pt idx="67">
                  <c:v>6670</c:v>
                </c:pt>
                <c:pt idx="68">
                  <c:v>6670</c:v>
                </c:pt>
                <c:pt idx="69">
                  <c:v>6700</c:v>
                </c:pt>
                <c:pt idx="70">
                  <c:v>6700</c:v>
                </c:pt>
                <c:pt idx="71">
                  <c:v>6700</c:v>
                </c:pt>
                <c:pt idx="72">
                  <c:v>6700</c:v>
                </c:pt>
                <c:pt idx="73">
                  <c:v>6700</c:v>
                </c:pt>
                <c:pt idx="74">
                  <c:v>6700</c:v>
                </c:pt>
                <c:pt idx="75">
                  <c:v>6700</c:v>
                </c:pt>
                <c:pt idx="76">
                  <c:v>6700</c:v>
                </c:pt>
                <c:pt idx="77">
                  <c:v>7300</c:v>
                </c:pt>
                <c:pt idx="78">
                  <c:v>7300</c:v>
                </c:pt>
                <c:pt idx="79">
                  <c:v>7300</c:v>
                </c:pt>
                <c:pt idx="80">
                  <c:v>7300</c:v>
                </c:pt>
                <c:pt idx="81">
                  <c:v>7300</c:v>
                </c:pt>
                <c:pt idx="82">
                  <c:v>7300</c:v>
                </c:pt>
                <c:pt idx="83">
                  <c:v>7300</c:v>
                </c:pt>
                <c:pt idx="84">
                  <c:v>7300</c:v>
                </c:pt>
                <c:pt idx="85">
                  <c:v>7300</c:v>
                </c:pt>
                <c:pt idx="86">
                  <c:v>7300</c:v>
                </c:pt>
                <c:pt idx="87">
                  <c:v>7300</c:v>
                </c:pt>
                <c:pt idx="88">
                  <c:v>7300</c:v>
                </c:pt>
                <c:pt idx="89">
                  <c:v>7300</c:v>
                </c:pt>
                <c:pt idx="90">
                  <c:v>7300</c:v>
                </c:pt>
                <c:pt idx="91">
                  <c:v>7300</c:v>
                </c:pt>
                <c:pt idx="92">
                  <c:v>7300</c:v>
                </c:pt>
                <c:pt idx="93">
                  <c:v>7300</c:v>
                </c:pt>
                <c:pt idx="94">
                  <c:v>7300</c:v>
                </c:pt>
                <c:pt idx="95">
                  <c:v>7300</c:v>
                </c:pt>
                <c:pt idx="96">
                  <c:v>7300</c:v>
                </c:pt>
                <c:pt idx="97">
                  <c:v>7300</c:v>
                </c:pt>
                <c:pt idx="98">
                  <c:v>7500</c:v>
                </c:pt>
                <c:pt idx="99">
                  <c:v>7500</c:v>
                </c:pt>
                <c:pt idx="100">
                  <c:v>7500</c:v>
                </c:pt>
                <c:pt idx="101">
                  <c:v>7500</c:v>
                </c:pt>
                <c:pt idx="102">
                  <c:v>7500</c:v>
                </c:pt>
                <c:pt idx="103">
                  <c:v>7550</c:v>
                </c:pt>
                <c:pt idx="104">
                  <c:v>7550</c:v>
                </c:pt>
                <c:pt idx="105">
                  <c:v>7550</c:v>
                </c:pt>
                <c:pt idx="106">
                  <c:v>7550</c:v>
                </c:pt>
                <c:pt idx="107">
                  <c:v>7550</c:v>
                </c:pt>
                <c:pt idx="108">
                  <c:v>7550</c:v>
                </c:pt>
                <c:pt idx="109">
                  <c:v>7550</c:v>
                </c:pt>
                <c:pt idx="110">
                  <c:v>7550</c:v>
                </c:pt>
                <c:pt idx="111">
                  <c:v>7550</c:v>
                </c:pt>
                <c:pt idx="112">
                  <c:v>7550</c:v>
                </c:pt>
                <c:pt idx="113">
                  <c:v>7550</c:v>
                </c:pt>
                <c:pt idx="114">
                  <c:v>7550</c:v>
                </c:pt>
                <c:pt idx="115">
                  <c:v>7550</c:v>
                </c:pt>
                <c:pt idx="116">
                  <c:v>7550</c:v>
                </c:pt>
                <c:pt idx="117">
                  <c:v>7550</c:v>
                </c:pt>
                <c:pt idx="118">
                  <c:v>7550</c:v>
                </c:pt>
                <c:pt idx="119">
                  <c:v>7550</c:v>
                </c:pt>
                <c:pt idx="120">
                  <c:v>7550</c:v>
                </c:pt>
                <c:pt idx="121">
                  <c:v>7550</c:v>
                </c:pt>
                <c:pt idx="122">
                  <c:v>7550</c:v>
                </c:pt>
                <c:pt idx="123">
                  <c:v>7550</c:v>
                </c:pt>
                <c:pt idx="124">
                  <c:v>7550</c:v>
                </c:pt>
                <c:pt idx="125">
                  <c:v>7550</c:v>
                </c:pt>
                <c:pt idx="126">
                  <c:v>7550</c:v>
                </c:pt>
                <c:pt idx="127">
                  <c:v>7550</c:v>
                </c:pt>
                <c:pt idx="128">
                  <c:v>7550</c:v>
                </c:pt>
                <c:pt idx="129">
                  <c:v>7550</c:v>
                </c:pt>
                <c:pt idx="130">
                  <c:v>7550</c:v>
                </c:pt>
                <c:pt idx="131">
                  <c:v>7550</c:v>
                </c:pt>
                <c:pt idx="132">
                  <c:v>7550</c:v>
                </c:pt>
                <c:pt idx="133">
                  <c:v>7550</c:v>
                </c:pt>
                <c:pt idx="134">
                  <c:v>7550</c:v>
                </c:pt>
                <c:pt idx="135">
                  <c:v>7550</c:v>
                </c:pt>
                <c:pt idx="136">
                  <c:v>7550</c:v>
                </c:pt>
                <c:pt idx="137">
                  <c:v>7550</c:v>
                </c:pt>
                <c:pt idx="138">
                  <c:v>7550</c:v>
                </c:pt>
                <c:pt idx="139">
                  <c:v>7550</c:v>
                </c:pt>
                <c:pt idx="140">
                  <c:v>7550</c:v>
                </c:pt>
                <c:pt idx="141">
                  <c:v>7550</c:v>
                </c:pt>
                <c:pt idx="142">
                  <c:v>7550</c:v>
                </c:pt>
                <c:pt idx="143">
                  <c:v>7550</c:v>
                </c:pt>
                <c:pt idx="144">
                  <c:v>7550</c:v>
                </c:pt>
                <c:pt idx="145">
                  <c:v>6500</c:v>
                </c:pt>
                <c:pt idx="146">
                  <c:v>6200</c:v>
                </c:pt>
                <c:pt idx="147">
                  <c:v>6200</c:v>
                </c:pt>
                <c:pt idx="148">
                  <c:v>6300</c:v>
                </c:pt>
                <c:pt idx="149">
                  <c:v>6300</c:v>
                </c:pt>
                <c:pt idx="150">
                  <c:v>6300</c:v>
                </c:pt>
                <c:pt idx="151">
                  <c:v>6300</c:v>
                </c:pt>
                <c:pt idx="152">
                  <c:v>6300</c:v>
                </c:pt>
                <c:pt idx="153">
                  <c:v>6300</c:v>
                </c:pt>
                <c:pt idx="154">
                  <c:v>6300</c:v>
                </c:pt>
                <c:pt idx="155">
                  <c:v>6300</c:v>
                </c:pt>
                <c:pt idx="156">
                  <c:v>6300</c:v>
                </c:pt>
                <c:pt idx="157">
                  <c:v>6300</c:v>
                </c:pt>
                <c:pt idx="158">
                  <c:v>6300</c:v>
                </c:pt>
                <c:pt idx="159">
                  <c:v>6100</c:v>
                </c:pt>
                <c:pt idx="160">
                  <c:v>6100</c:v>
                </c:pt>
                <c:pt idx="161">
                  <c:v>6100</c:v>
                </c:pt>
                <c:pt idx="162">
                  <c:v>6100</c:v>
                </c:pt>
                <c:pt idx="163">
                  <c:v>5700</c:v>
                </c:pt>
                <c:pt idx="164">
                  <c:v>5700</c:v>
                </c:pt>
                <c:pt idx="165">
                  <c:v>5700</c:v>
                </c:pt>
                <c:pt idx="166">
                  <c:v>5700</c:v>
                </c:pt>
                <c:pt idx="167">
                  <c:v>5700</c:v>
                </c:pt>
                <c:pt idx="168">
                  <c:v>5700</c:v>
                </c:pt>
                <c:pt idx="169">
                  <c:v>5700</c:v>
                </c:pt>
                <c:pt idx="170">
                  <c:v>5700</c:v>
                </c:pt>
                <c:pt idx="171">
                  <c:v>5700</c:v>
                </c:pt>
                <c:pt idx="172">
                  <c:v>5700</c:v>
                </c:pt>
                <c:pt idx="173">
                  <c:v>5700</c:v>
                </c:pt>
                <c:pt idx="174">
                  <c:v>5700</c:v>
                </c:pt>
                <c:pt idx="175">
                  <c:v>5700</c:v>
                </c:pt>
                <c:pt idx="176">
                  <c:v>5700</c:v>
                </c:pt>
                <c:pt idx="177">
                  <c:v>5700</c:v>
                </c:pt>
                <c:pt idx="178">
                  <c:v>5700</c:v>
                </c:pt>
                <c:pt idx="179">
                  <c:v>5700</c:v>
                </c:pt>
                <c:pt idx="180">
                  <c:v>5700</c:v>
                </c:pt>
                <c:pt idx="181">
                  <c:v>5700</c:v>
                </c:pt>
                <c:pt idx="182">
                  <c:v>5700</c:v>
                </c:pt>
                <c:pt idx="183">
                  <c:v>5700</c:v>
                </c:pt>
                <c:pt idx="184">
                  <c:v>5700</c:v>
                </c:pt>
                <c:pt idx="185">
                  <c:v>5700</c:v>
                </c:pt>
                <c:pt idx="186">
                  <c:v>5700</c:v>
                </c:pt>
                <c:pt idx="187">
                  <c:v>5700</c:v>
                </c:pt>
                <c:pt idx="188">
                  <c:v>5700</c:v>
                </c:pt>
                <c:pt idx="189">
                  <c:v>5700</c:v>
                </c:pt>
                <c:pt idx="190">
                  <c:v>5800</c:v>
                </c:pt>
                <c:pt idx="191">
                  <c:v>5800</c:v>
                </c:pt>
                <c:pt idx="192">
                  <c:v>5800</c:v>
                </c:pt>
                <c:pt idx="193">
                  <c:v>5800</c:v>
                </c:pt>
                <c:pt idx="194">
                  <c:v>6000</c:v>
                </c:pt>
                <c:pt idx="195">
                  <c:v>6000</c:v>
                </c:pt>
                <c:pt idx="196">
                  <c:v>6000</c:v>
                </c:pt>
                <c:pt idx="197">
                  <c:v>6000</c:v>
                </c:pt>
                <c:pt idx="198">
                  <c:v>6000</c:v>
                </c:pt>
                <c:pt idx="199">
                  <c:v>6000</c:v>
                </c:pt>
                <c:pt idx="200">
                  <c:v>6000</c:v>
                </c:pt>
                <c:pt idx="201">
                  <c:v>6000</c:v>
                </c:pt>
                <c:pt idx="202">
                  <c:v>6000</c:v>
                </c:pt>
                <c:pt idx="203">
                  <c:v>6000</c:v>
                </c:pt>
                <c:pt idx="204">
                  <c:v>6000</c:v>
                </c:pt>
                <c:pt idx="205">
                  <c:v>6000</c:v>
                </c:pt>
                <c:pt idx="206">
                  <c:v>6000</c:v>
                </c:pt>
                <c:pt idx="207">
                  <c:v>6000</c:v>
                </c:pt>
                <c:pt idx="208">
                  <c:v>6300</c:v>
                </c:pt>
                <c:pt idx="209">
                  <c:v>6300</c:v>
                </c:pt>
                <c:pt idx="210">
                  <c:v>6300</c:v>
                </c:pt>
                <c:pt idx="211">
                  <c:v>6300</c:v>
                </c:pt>
                <c:pt idx="212">
                  <c:v>6300</c:v>
                </c:pt>
                <c:pt idx="213">
                  <c:v>6300</c:v>
                </c:pt>
                <c:pt idx="214">
                  <c:v>6300</c:v>
                </c:pt>
                <c:pt idx="215">
                  <c:v>6300</c:v>
                </c:pt>
                <c:pt idx="216">
                  <c:v>6300</c:v>
                </c:pt>
                <c:pt idx="217">
                  <c:v>6300</c:v>
                </c:pt>
                <c:pt idx="218">
                  <c:v>6300</c:v>
                </c:pt>
                <c:pt idx="219">
                  <c:v>6300</c:v>
                </c:pt>
                <c:pt idx="220">
                  <c:v>6300</c:v>
                </c:pt>
                <c:pt idx="221">
                  <c:v>6300</c:v>
                </c:pt>
                <c:pt idx="222">
                  <c:v>6300</c:v>
                </c:pt>
                <c:pt idx="223">
                  <c:v>6300</c:v>
                </c:pt>
                <c:pt idx="224">
                  <c:v>6300</c:v>
                </c:pt>
                <c:pt idx="225">
                  <c:v>6300</c:v>
                </c:pt>
                <c:pt idx="226">
                  <c:v>6300</c:v>
                </c:pt>
                <c:pt idx="227">
                  <c:v>6300</c:v>
                </c:pt>
                <c:pt idx="228">
                  <c:v>6300</c:v>
                </c:pt>
                <c:pt idx="229">
                  <c:v>6300</c:v>
                </c:pt>
                <c:pt idx="230">
                  <c:v>6300</c:v>
                </c:pt>
                <c:pt idx="231">
                  <c:v>6300</c:v>
                </c:pt>
                <c:pt idx="232">
                  <c:v>6300</c:v>
                </c:pt>
                <c:pt idx="233">
                  <c:v>6300</c:v>
                </c:pt>
                <c:pt idx="234">
                  <c:v>6300</c:v>
                </c:pt>
                <c:pt idx="235">
                  <c:v>6300</c:v>
                </c:pt>
                <c:pt idx="236">
                  <c:v>6300</c:v>
                </c:pt>
                <c:pt idx="237">
                  <c:v>6300</c:v>
                </c:pt>
                <c:pt idx="238">
                  <c:v>6300</c:v>
                </c:pt>
                <c:pt idx="239">
                  <c:v>6300</c:v>
                </c:pt>
                <c:pt idx="240">
                  <c:v>6300</c:v>
                </c:pt>
                <c:pt idx="241">
                  <c:v>6300</c:v>
                </c:pt>
                <c:pt idx="242">
                  <c:v>6300</c:v>
                </c:pt>
                <c:pt idx="243">
                  <c:v>6300</c:v>
                </c:pt>
                <c:pt idx="244">
                  <c:v>6300</c:v>
                </c:pt>
                <c:pt idx="245">
                  <c:v>6300</c:v>
                </c:pt>
              </c:numCache>
            </c:numRef>
          </c:val>
        </c:ser>
        <c:ser>
          <c:idx val="2"/>
          <c:order val="2"/>
          <c:tx>
            <c:strRef>
              <c:f>'溶剂油周报-石脑油价格走势图表'!$D$366</c:f>
              <c:strCache>
                <c:ptCount val="1"/>
                <c:pt idx="0">
                  <c:v>科力达石化</c:v>
                </c:pt>
              </c:strCache>
            </c:strRef>
          </c:tx>
          <c:marker>
            <c:symbol val="none"/>
          </c:marker>
          <c:cat>
            <c:numRef>
              <c:f>'溶剂油周报-石脑油价格走势图表'!$A$367:$A$613</c:f>
              <c:numCache>
                <c:formatCode>yyyy/m/d</c:formatCode>
                <c:ptCount val="247"/>
                <c:pt idx="0">
                  <c:v>43214</c:v>
                </c:pt>
                <c:pt idx="1">
                  <c:v>43215</c:v>
                </c:pt>
                <c:pt idx="2">
                  <c:v>43216</c:v>
                </c:pt>
                <c:pt idx="3">
                  <c:v>43217</c:v>
                </c:pt>
                <c:pt idx="4">
                  <c:v>43218</c:v>
                </c:pt>
                <c:pt idx="5">
                  <c:v>43222</c:v>
                </c:pt>
                <c:pt idx="6">
                  <c:v>43223</c:v>
                </c:pt>
                <c:pt idx="7">
                  <c:v>43224</c:v>
                </c:pt>
                <c:pt idx="8">
                  <c:v>43227</c:v>
                </c:pt>
                <c:pt idx="9">
                  <c:v>43228</c:v>
                </c:pt>
                <c:pt idx="10">
                  <c:v>43229</c:v>
                </c:pt>
                <c:pt idx="11">
                  <c:v>43230</c:v>
                </c:pt>
                <c:pt idx="12">
                  <c:v>43231</c:v>
                </c:pt>
                <c:pt idx="13">
                  <c:v>43234</c:v>
                </c:pt>
                <c:pt idx="14">
                  <c:v>43235</c:v>
                </c:pt>
                <c:pt idx="15">
                  <c:v>43236</c:v>
                </c:pt>
                <c:pt idx="16">
                  <c:v>43237</c:v>
                </c:pt>
                <c:pt idx="17">
                  <c:v>43238</c:v>
                </c:pt>
                <c:pt idx="18">
                  <c:v>43241</c:v>
                </c:pt>
                <c:pt idx="19">
                  <c:v>43243</c:v>
                </c:pt>
                <c:pt idx="20">
                  <c:v>43244</c:v>
                </c:pt>
                <c:pt idx="21">
                  <c:v>43245</c:v>
                </c:pt>
                <c:pt idx="22">
                  <c:v>43248</c:v>
                </c:pt>
                <c:pt idx="23">
                  <c:v>43249</c:v>
                </c:pt>
                <c:pt idx="24">
                  <c:v>43250</c:v>
                </c:pt>
                <c:pt idx="25">
                  <c:v>43251</c:v>
                </c:pt>
                <c:pt idx="26">
                  <c:v>43252</c:v>
                </c:pt>
                <c:pt idx="27">
                  <c:v>43255</c:v>
                </c:pt>
                <c:pt idx="28">
                  <c:v>43256</c:v>
                </c:pt>
                <c:pt idx="29">
                  <c:v>43257</c:v>
                </c:pt>
                <c:pt idx="30">
                  <c:v>43258</c:v>
                </c:pt>
                <c:pt idx="31">
                  <c:v>43259</c:v>
                </c:pt>
                <c:pt idx="32">
                  <c:v>43262</c:v>
                </c:pt>
                <c:pt idx="33">
                  <c:v>43263</c:v>
                </c:pt>
                <c:pt idx="34">
                  <c:v>43264</c:v>
                </c:pt>
                <c:pt idx="35">
                  <c:v>43265</c:v>
                </c:pt>
                <c:pt idx="36">
                  <c:v>43266</c:v>
                </c:pt>
                <c:pt idx="37">
                  <c:v>43270</c:v>
                </c:pt>
                <c:pt idx="38">
                  <c:v>43271</c:v>
                </c:pt>
                <c:pt idx="39">
                  <c:v>43272</c:v>
                </c:pt>
                <c:pt idx="40">
                  <c:v>43273</c:v>
                </c:pt>
                <c:pt idx="41">
                  <c:v>43276</c:v>
                </c:pt>
                <c:pt idx="42">
                  <c:v>43277</c:v>
                </c:pt>
                <c:pt idx="43">
                  <c:v>43278</c:v>
                </c:pt>
                <c:pt idx="44">
                  <c:v>43279</c:v>
                </c:pt>
                <c:pt idx="45">
                  <c:v>43280</c:v>
                </c:pt>
                <c:pt idx="46">
                  <c:v>43283</c:v>
                </c:pt>
                <c:pt idx="47">
                  <c:v>43284</c:v>
                </c:pt>
                <c:pt idx="48">
                  <c:v>43285</c:v>
                </c:pt>
                <c:pt idx="49">
                  <c:v>43286</c:v>
                </c:pt>
                <c:pt idx="50">
                  <c:v>43287</c:v>
                </c:pt>
                <c:pt idx="51">
                  <c:v>43290</c:v>
                </c:pt>
                <c:pt idx="52">
                  <c:v>43291</c:v>
                </c:pt>
                <c:pt idx="53">
                  <c:v>43292</c:v>
                </c:pt>
                <c:pt idx="54">
                  <c:v>43293</c:v>
                </c:pt>
                <c:pt idx="55">
                  <c:v>43294</c:v>
                </c:pt>
                <c:pt idx="56">
                  <c:v>43297</c:v>
                </c:pt>
                <c:pt idx="57">
                  <c:v>43298</c:v>
                </c:pt>
                <c:pt idx="58">
                  <c:v>43299</c:v>
                </c:pt>
                <c:pt idx="59">
                  <c:v>43300</c:v>
                </c:pt>
                <c:pt idx="60">
                  <c:v>43301</c:v>
                </c:pt>
                <c:pt idx="61">
                  <c:v>43304</c:v>
                </c:pt>
                <c:pt idx="62">
                  <c:v>43305</c:v>
                </c:pt>
                <c:pt idx="63">
                  <c:v>43306</c:v>
                </c:pt>
                <c:pt idx="64">
                  <c:v>43307</c:v>
                </c:pt>
                <c:pt idx="65">
                  <c:v>43308</c:v>
                </c:pt>
                <c:pt idx="66">
                  <c:v>43311</c:v>
                </c:pt>
                <c:pt idx="67">
                  <c:v>43312</c:v>
                </c:pt>
                <c:pt idx="68">
                  <c:v>43313</c:v>
                </c:pt>
                <c:pt idx="69">
                  <c:v>43314</c:v>
                </c:pt>
                <c:pt idx="70">
                  <c:v>43315</c:v>
                </c:pt>
                <c:pt idx="71">
                  <c:v>43318</c:v>
                </c:pt>
                <c:pt idx="72">
                  <c:v>43319</c:v>
                </c:pt>
                <c:pt idx="73">
                  <c:v>43320</c:v>
                </c:pt>
                <c:pt idx="74">
                  <c:v>43321</c:v>
                </c:pt>
                <c:pt idx="75">
                  <c:v>43322</c:v>
                </c:pt>
                <c:pt idx="76">
                  <c:v>43325</c:v>
                </c:pt>
                <c:pt idx="77">
                  <c:v>43326</c:v>
                </c:pt>
                <c:pt idx="78">
                  <c:v>43327</c:v>
                </c:pt>
                <c:pt idx="79">
                  <c:v>43328</c:v>
                </c:pt>
                <c:pt idx="80">
                  <c:v>43329</c:v>
                </c:pt>
                <c:pt idx="81">
                  <c:v>43332</c:v>
                </c:pt>
                <c:pt idx="82">
                  <c:v>43333</c:v>
                </c:pt>
                <c:pt idx="83">
                  <c:v>43334</c:v>
                </c:pt>
                <c:pt idx="84">
                  <c:v>43335</c:v>
                </c:pt>
                <c:pt idx="85">
                  <c:v>43336</c:v>
                </c:pt>
                <c:pt idx="86">
                  <c:v>43339</c:v>
                </c:pt>
                <c:pt idx="87">
                  <c:v>43340</c:v>
                </c:pt>
                <c:pt idx="88">
                  <c:v>43341</c:v>
                </c:pt>
                <c:pt idx="89">
                  <c:v>43342</c:v>
                </c:pt>
                <c:pt idx="90">
                  <c:v>43343</c:v>
                </c:pt>
                <c:pt idx="91">
                  <c:v>43346</c:v>
                </c:pt>
                <c:pt idx="92">
                  <c:v>43347</c:v>
                </c:pt>
                <c:pt idx="93">
                  <c:v>43348</c:v>
                </c:pt>
                <c:pt idx="94">
                  <c:v>43349</c:v>
                </c:pt>
                <c:pt idx="95">
                  <c:v>43350</c:v>
                </c:pt>
                <c:pt idx="96">
                  <c:v>43353</c:v>
                </c:pt>
                <c:pt idx="97">
                  <c:v>43354</c:v>
                </c:pt>
                <c:pt idx="98">
                  <c:v>43355</c:v>
                </c:pt>
                <c:pt idx="99">
                  <c:v>43356</c:v>
                </c:pt>
                <c:pt idx="100">
                  <c:v>43357</c:v>
                </c:pt>
                <c:pt idx="101">
                  <c:v>43360</c:v>
                </c:pt>
                <c:pt idx="102">
                  <c:v>43361</c:v>
                </c:pt>
                <c:pt idx="103">
                  <c:v>43362</c:v>
                </c:pt>
                <c:pt idx="104">
                  <c:v>43363</c:v>
                </c:pt>
                <c:pt idx="105">
                  <c:v>43364</c:v>
                </c:pt>
                <c:pt idx="106">
                  <c:v>43368</c:v>
                </c:pt>
                <c:pt idx="107">
                  <c:v>43369</c:v>
                </c:pt>
                <c:pt idx="108">
                  <c:v>43370</c:v>
                </c:pt>
                <c:pt idx="109">
                  <c:v>43371</c:v>
                </c:pt>
                <c:pt idx="110">
                  <c:v>43372</c:v>
                </c:pt>
                <c:pt idx="111">
                  <c:v>43373</c:v>
                </c:pt>
                <c:pt idx="112">
                  <c:v>43381</c:v>
                </c:pt>
                <c:pt idx="113">
                  <c:v>43382</c:v>
                </c:pt>
                <c:pt idx="114">
                  <c:v>43383</c:v>
                </c:pt>
                <c:pt idx="115">
                  <c:v>43384</c:v>
                </c:pt>
                <c:pt idx="116">
                  <c:v>43385</c:v>
                </c:pt>
                <c:pt idx="117">
                  <c:v>43388</c:v>
                </c:pt>
                <c:pt idx="118">
                  <c:v>43389</c:v>
                </c:pt>
                <c:pt idx="119">
                  <c:v>43390</c:v>
                </c:pt>
                <c:pt idx="120">
                  <c:v>43391</c:v>
                </c:pt>
                <c:pt idx="121">
                  <c:v>43392</c:v>
                </c:pt>
                <c:pt idx="122">
                  <c:v>43395</c:v>
                </c:pt>
                <c:pt idx="123">
                  <c:v>43396</c:v>
                </c:pt>
                <c:pt idx="124">
                  <c:v>43397</c:v>
                </c:pt>
                <c:pt idx="125">
                  <c:v>43398</c:v>
                </c:pt>
                <c:pt idx="126">
                  <c:v>43399</c:v>
                </c:pt>
                <c:pt idx="127">
                  <c:v>43402</c:v>
                </c:pt>
                <c:pt idx="128">
                  <c:v>43403</c:v>
                </c:pt>
                <c:pt idx="129">
                  <c:v>43404</c:v>
                </c:pt>
                <c:pt idx="130">
                  <c:v>43405</c:v>
                </c:pt>
                <c:pt idx="131">
                  <c:v>43406</c:v>
                </c:pt>
                <c:pt idx="132">
                  <c:v>43410</c:v>
                </c:pt>
                <c:pt idx="133">
                  <c:v>43411</c:v>
                </c:pt>
                <c:pt idx="134">
                  <c:v>43412</c:v>
                </c:pt>
                <c:pt idx="135">
                  <c:v>43413</c:v>
                </c:pt>
                <c:pt idx="136">
                  <c:v>43416</c:v>
                </c:pt>
                <c:pt idx="137">
                  <c:v>43417</c:v>
                </c:pt>
                <c:pt idx="138">
                  <c:v>43418</c:v>
                </c:pt>
                <c:pt idx="139">
                  <c:v>43419</c:v>
                </c:pt>
                <c:pt idx="140">
                  <c:v>43420</c:v>
                </c:pt>
                <c:pt idx="141">
                  <c:v>43423</c:v>
                </c:pt>
                <c:pt idx="142">
                  <c:v>43424</c:v>
                </c:pt>
                <c:pt idx="143">
                  <c:v>43425</c:v>
                </c:pt>
                <c:pt idx="144">
                  <c:v>43426</c:v>
                </c:pt>
                <c:pt idx="145">
                  <c:v>43430</c:v>
                </c:pt>
                <c:pt idx="146">
                  <c:v>43431</c:v>
                </c:pt>
                <c:pt idx="147">
                  <c:v>43437</c:v>
                </c:pt>
                <c:pt idx="148">
                  <c:v>43438</c:v>
                </c:pt>
                <c:pt idx="149">
                  <c:v>43439</c:v>
                </c:pt>
                <c:pt idx="150">
                  <c:v>43440</c:v>
                </c:pt>
                <c:pt idx="151">
                  <c:v>43441</c:v>
                </c:pt>
                <c:pt idx="152">
                  <c:v>43444</c:v>
                </c:pt>
                <c:pt idx="153">
                  <c:v>43445</c:v>
                </c:pt>
                <c:pt idx="154">
                  <c:v>43446</c:v>
                </c:pt>
                <c:pt idx="155">
                  <c:v>43447</c:v>
                </c:pt>
                <c:pt idx="156">
                  <c:v>43448</c:v>
                </c:pt>
                <c:pt idx="157">
                  <c:v>43451</c:v>
                </c:pt>
                <c:pt idx="158">
                  <c:v>43452</c:v>
                </c:pt>
                <c:pt idx="159">
                  <c:v>43453</c:v>
                </c:pt>
                <c:pt idx="160">
                  <c:v>43454</c:v>
                </c:pt>
                <c:pt idx="161">
                  <c:v>43455</c:v>
                </c:pt>
                <c:pt idx="162">
                  <c:v>43458</c:v>
                </c:pt>
                <c:pt idx="163">
                  <c:v>43459</c:v>
                </c:pt>
                <c:pt idx="164">
                  <c:v>43460</c:v>
                </c:pt>
                <c:pt idx="165">
                  <c:v>43461</c:v>
                </c:pt>
                <c:pt idx="166">
                  <c:v>43462</c:v>
                </c:pt>
                <c:pt idx="167">
                  <c:v>43467</c:v>
                </c:pt>
                <c:pt idx="168">
                  <c:v>43468</c:v>
                </c:pt>
                <c:pt idx="169">
                  <c:v>43472</c:v>
                </c:pt>
                <c:pt idx="170">
                  <c:v>43473</c:v>
                </c:pt>
                <c:pt idx="171">
                  <c:v>43474</c:v>
                </c:pt>
                <c:pt idx="172">
                  <c:v>43475</c:v>
                </c:pt>
                <c:pt idx="173">
                  <c:v>43476</c:v>
                </c:pt>
                <c:pt idx="174">
                  <c:v>43479</c:v>
                </c:pt>
                <c:pt idx="175">
                  <c:v>43480</c:v>
                </c:pt>
                <c:pt idx="176">
                  <c:v>43481</c:v>
                </c:pt>
                <c:pt idx="177">
                  <c:v>43482</c:v>
                </c:pt>
                <c:pt idx="178">
                  <c:v>43483</c:v>
                </c:pt>
                <c:pt idx="179">
                  <c:v>43486</c:v>
                </c:pt>
                <c:pt idx="180">
                  <c:v>43487</c:v>
                </c:pt>
                <c:pt idx="181">
                  <c:v>43488</c:v>
                </c:pt>
                <c:pt idx="182">
                  <c:v>43489</c:v>
                </c:pt>
                <c:pt idx="183">
                  <c:v>43490</c:v>
                </c:pt>
                <c:pt idx="184">
                  <c:v>43493</c:v>
                </c:pt>
                <c:pt idx="185">
                  <c:v>43494</c:v>
                </c:pt>
                <c:pt idx="186">
                  <c:v>43495</c:v>
                </c:pt>
                <c:pt idx="187">
                  <c:v>43496</c:v>
                </c:pt>
                <c:pt idx="188">
                  <c:v>43507</c:v>
                </c:pt>
                <c:pt idx="189">
                  <c:v>43508</c:v>
                </c:pt>
                <c:pt idx="190">
                  <c:v>43509</c:v>
                </c:pt>
                <c:pt idx="191">
                  <c:v>43510</c:v>
                </c:pt>
                <c:pt idx="192">
                  <c:v>43511</c:v>
                </c:pt>
                <c:pt idx="193">
                  <c:v>43514</c:v>
                </c:pt>
                <c:pt idx="194">
                  <c:v>43515</c:v>
                </c:pt>
                <c:pt idx="195">
                  <c:v>43516</c:v>
                </c:pt>
                <c:pt idx="196">
                  <c:v>43517</c:v>
                </c:pt>
                <c:pt idx="197">
                  <c:v>43518</c:v>
                </c:pt>
                <c:pt idx="198">
                  <c:v>43521</c:v>
                </c:pt>
                <c:pt idx="199">
                  <c:v>43522</c:v>
                </c:pt>
                <c:pt idx="200">
                  <c:v>43523</c:v>
                </c:pt>
                <c:pt idx="201">
                  <c:v>43524</c:v>
                </c:pt>
                <c:pt idx="202">
                  <c:v>43525</c:v>
                </c:pt>
                <c:pt idx="203">
                  <c:v>43528</c:v>
                </c:pt>
                <c:pt idx="204">
                  <c:v>43529</c:v>
                </c:pt>
                <c:pt idx="205">
                  <c:v>43530</c:v>
                </c:pt>
                <c:pt idx="206">
                  <c:v>43531</c:v>
                </c:pt>
                <c:pt idx="207">
                  <c:v>43532</c:v>
                </c:pt>
                <c:pt idx="208">
                  <c:v>43535</c:v>
                </c:pt>
                <c:pt idx="209">
                  <c:v>43536</c:v>
                </c:pt>
                <c:pt idx="210">
                  <c:v>43537</c:v>
                </c:pt>
                <c:pt idx="211">
                  <c:v>43538</c:v>
                </c:pt>
                <c:pt idx="212">
                  <c:v>43539</c:v>
                </c:pt>
                <c:pt idx="213">
                  <c:v>43542</c:v>
                </c:pt>
                <c:pt idx="214">
                  <c:v>43543</c:v>
                </c:pt>
                <c:pt idx="215">
                  <c:v>43544</c:v>
                </c:pt>
                <c:pt idx="216">
                  <c:v>43545</c:v>
                </c:pt>
                <c:pt idx="217">
                  <c:v>43546</c:v>
                </c:pt>
                <c:pt idx="218">
                  <c:v>43549</c:v>
                </c:pt>
                <c:pt idx="219">
                  <c:v>43550</c:v>
                </c:pt>
                <c:pt idx="220">
                  <c:v>43551</c:v>
                </c:pt>
                <c:pt idx="221">
                  <c:v>43552</c:v>
                </c:pt>
                <c:pt idx="222">
                  <c:v>43556</c:v>
                </c:pt>
                <c:pt idx="223">
                  <c:v>43557</c:v>
                </c:pt>
                <c:pt idx="224">
                  <c:v>43558</c:v>
                </c:pt>
                <c:pt idx="225">
                  <c:v>43559</c:v>
                </c:pt>
                <c:pt idx="226">
                  <c:v>43563</c:v>
                </c:pt>
                <c:pt idx="227">
                  <c:v>43564</c:v>
                </c:pt>
                <c:pt idx="228">
                  <c:v>43565</c:v>
                </c:pt>
                <c:pt idx="229">
                  <c:v>43566</c:v>
                </c:pt>
                <c:pt idx="230">
                  <c:v>43567</c:v>
                </c:pt>
                <c:pt idx="231">
                  <c:v>43570</c:v>
                </c:pt>
                <c:pt idx="232">
                  <c:v>43571</c:v>
                </c:pt>
                <c:pt idx="233">
                  <c:v>43572</c:v>
                </c:pt>
                <c:pt idx="234">
                  <c:v>43573</c:v>
                </c:pt>
                <c:pt idx="235">
                  <c:v>43577</c:v>
                </c:pt>
                <c:pt idx="236">
                  <c:v>43578</c:v>
                </c:pt>
                <c:pt idx="237">
                  <c:v>43579</c:v>
                </c:pt>
                <c:pt idx="238">
                  <c:v>43580</c:v>
                </c:pt>
                <c:pt idx="239">
                  <c:v>43581</c:v>
                </c:pt>
                <c:pt idx="240">
                  <c:v>43595</c:v>
                </c:pt>
                <c:pt idx="241">
                  <c:v>43602</c:v>
                </c:pt>
                <c:pt idx="242">
                  <c:v>43609</c:v>
                </c:pt>
                <c:pt idx="243">
                  <c:v>43616</c:v>
                </c:pt>
                <c:pt idx="244">
                  <c:v>43637</c:v>
                </c:pt>
                <c:pt idx="245">
                  <c:v>43644</c:v>
                </c:pt>
              </c:numCache>
            </c:numRef>
          </c:cat>
          <c:val>
            <c:numRef>
              <c:f>'溶剂油周报-石脑油价格走势图表'!$D$367:$D$613</c:f>
              <c:numCache>
                <c:formatCode>0_ </c:formatCode>
                <c:ptCount val="247"/>
                <c:pt idx="0">
                  <c:v>6350</c:v>
                </c:pt>
                <c:pt idx="1">
                  <c:v>6350</c:v>
                </c:pt>
                <c:pt idx="2">
                  <c:v>6350</c:v>
                </c:pt>
                <c:pt idx="3">
                  <c:v>6350</c:v>
                </c:pt>
                <c:pt idx="4">
                  <c:v>6350</c:v>
                </c:pt>
                <c:pt idx="5">
                  <c:v>6350</c:v>
                </c:pt>
                <c:pt idx="6">
                  <c:v>6350</c:v>
                </c:pt>
                <c:pt idx="7">
                  <c:v>6350</c:v>
                </c:pt>
                <c:pt idx="8">
                  <c:v>6350</c:v>
                </c:pt>
                <c:pt idx="9">
                  <c:v>6350</c:v>
                </c:pt>
                <c:pt idx="10">
                  <c:v>6350</c:v>
                </c:pt>
                <c:pt idx="11">
                  <c:v>6350</c:v>
                </c:pt>
                <c:pt idx="12">
                  <c:v>6350</c:v>
                </c:pt>
                <c:pt idx="13">
                  <c:v>6800</c:v>
                </c:pt>
                <c:pt idx="14">
                  <c:v>6800</c:v>
                </c:pt>
                <c:pt idx="15">
                  <c:v>6800</c:v>
                </c:pt>
                <c:pt idx="16">
                  <c:v>6800</c:v>
                </c:pt>
                <c:pt idx="17">
                  <c:v>6800</c:v>
                </c:pt>
                <c:pt idx="18">
                  <c:v>6800</c:v>
                </c:pt>
                <c:pt idx="19">
                  <c:v>6850</c:v>
                </c:pt>
                <c:pt idx="20">
                  <c:v>6850</c:v>
                </c:pt>
                <c:pt idx="21">
                  <c:v>6850</c:v>
                </c:pt>
                <c:pt idx="22">
                  <c:v>6850</c:v>
                </c:pt>
                <c:pt idx="23">
                  <c:v>6850</c:v>
                </c:pt>
                <c:pt idx="24">
                  <c:v>6850</c:v>
                </c:pt>
                <c:pt idx="25">
                  <c:v>6850</c:v>
                </c:pt>
                <c:pt idx="26">
                  <c:v>6850</c:v>
                </c:pt>
                <c:pt idx="27">
                  <c:v>6850</c:v>
                </c:pt>
                <c:pt idx="28">
                  <c:v>6850</c:v>
                </c:pt>
                <c:pt idx="29">
                  <c:v>6850</c:v>
                </c:pt>
                <c:pt idx="30">
                  <c:v>6850</c:v>
                </c:pt>
                <c:pt idx="31">
                  <c:v>6850</c:v>
                </c:pt>
                <c:pt idx="32">
                  <c:v>6850</c:v>
                </c:pt>
                <c:pt idx="33">
                  <c:v>6850</c:v>
                </c:pt>
                <c:pt idx="34">
                  <c:v>6850</c:v>
                </c:pt>
                <c:pt idx="35">
                  <c:v>6850</c:v>
                </c:pt>
                <c:pt idx="36">
                  <c:v>6400</c:v>
                </c:pt>
                <c:pt idx="37">
                  <c:v>6400</c:v>
                </c:pt>
                <c:pt idx="38">
                  <c:v>6400</c:v>
                </c:pt>
                <c:pt idx="39">
                  <c:v>6400</c:v>
                </c:pt>
                <c:pt idx="40">
                  <c:v>6400</c:v>
                </c:pt>
                <c:pt idx="41">
                  <c:v>6400</c:v>
                </c:pt>
                <c:pt idx="42">
                  <c:v>6400</c:v>
                </c:pt>
                <c:pt idx="43">
                  <c:v>6400</c:v>
                </c:pt>
                <c:pt idx="44">
                  <c:v>6400</c:v>
                </c:pt>
                <c:pt idx="45">
                  <c:v>6400</c:v>
                </c:pt>
                <c:pt idx="46">
                  <c:v>6400</c:v>
                </c:pt>
                <c:pt idx="47">
                  <c:v>6400</c:v>
                </c:pt>
                <c:pt idx="48">
                  <c:v>6400</c:v>
                </c:pt>
                <c:pt idx="49">
                  <c:v>6450</c:v>
                </c:pt>
                <c:pt idx="50">
                  <c:v>6450</c:v>
                </c:pt>
                <c:pt idx="51">
                  <c:v>6450</c:v>
                </c:pt>
                <c:pt idx="52">
                  <c:v>6700</c:v>
                </c:pt>
                <c:pt idx="53">
                  <c:v>6700</c:v>
                </c:pt>
                <c:pt idx="54">
                  <c:v>6700</c:v>
                </c:pt>
                <c:pt idx="55">
                  <c:v>6700</c:v>
                </c:pt>
                <c:pt idx="56">
                  <c:v>6730</c:v>
                </c:pt>
                <c:pt idx="57">
                  <c:v>6730</c:v>
                </c:pt>
                <c:pt idx="58">
                  <c:v>6730</c:v>
                </c:pt>
                <c:pt idx="59">
                  <c:v>6730</c:v>
                </c:pt>
                <c:pt idx="60">
                  <c:v>6730</c:v>
                </c:pt>
                <c:pt idx="61">
                  <c:v>6600</c:v>
                </c:pt>
                <c:pt idx="62">
                  <c:v>6600</c:v>
                </c:pt>
                <c:pt idx="63">
                  <c:v>6850</c:v>
                </c:pt>
                <c:pt idx="64">
                  <c:v>6850</c:v>
                </c:pt>
                <c:pt idx="65">
                  <c:v>6850</c:v>
                </c:pt>
                <c:pt idx="66">
                  <c:v>6900</c:v>
                </c:pt>
                <c:pt idx="67">
                  <c:v>6900</c:v>
                </c:pt>
                <c:pt idx="68">
                  <c:v>7000</c:v>
                </c:pt>
                <c:pt idx="69">
                  <c:v>7000</c:v>
                </c:pt>
                <c:pt idx="70">
                  <c:v>7000</c:v>
                </c:pt>
                <c:pt idx="71">
                  <c:v>7100</c:v>
                </c:pt>
                <c:pt idx="72">
                  <c:v>7220</c:v>
                </c:pt>
                <c:pt idx="73">
                  <c:v>7300</c:v>
                </c:pt>
                <c:pt idx="74">
                  <c:v>7300</c:v>
                </c:pt>
                <c:pt idx="75">
                  <c:v>7300</c:v>
                </c:pt>
                <c:pt idx="76">
                  <c:v>7400</c:v>
                </c:pt>
                <c:pt idx="77">
                  <c:v>7400</c:v>
                </c:pt>
                <c:pt idx="78">
                  <c:v>7480</c:v>
                </c:pt>
                <c:pt idx="79">
                  <c:v>7480</c:v>
                </c:pt>
                <c:pt idx="80">
                  <c:v>7480</c:v>
                </c:pt>
                <c:pt idx="81">
                  <c:v>7480</c:v>
                </c:pt>
                <c:pt idx="82">
                  <c:v>7480</c:v>
                </c:pt>
                <c:pt idx="83">
                  <c:v>7550</c:v>
                </c:pt>
                <c:pt idx="84">
                  <c:v>7550</c:v>
                </c:pt>
                <c:pt idx="85">
                  <c:v>7550</c:v>
                </c:pt>
                <c:pt idx="86">
                  <c:v>7550</c:v>
                </c:pt>
                <c:pt idx="87">
                  <c:v>7550</c:v>
                </c:pt>
                <c:pt idx="88">
                  <c:v>7550</c:v>
                </c:pt>
                <c:pt idx="89">
                  <c:v>7550</c:v>
                </c:pt>
                <c:pt idx="90">
                  <c:v>7550</c:v>
                </c:pt>
                <c:pt idx="91">
                  <c:v>7700</c:v>
                </c:pt>
                <c:pt idx="92">
                  <c:v>7700</c:v>
                </c:pt>
                <c:pt idx="93">
                  <c:v>7700</c:v>
                </c:pt>
                <c:pt idx="94">
                  <c:v>7700</c:v>
                </c:pt>
                <c:pt idx="95">
                  <c:v>7700</c:v>
                </c:pt>
                <c:pt idx="96">
                  <c:v>7700</c:v>
                </c:pt>
                <c:pt idx="97">
                  <c:v>7700</c:v>
                </c:pt>
                <c:pt idx="98">
                  <c:v>7700</c:v>
                </c:pt>
                <c:pt idx="99">
                  <c:v>7850</c:v>
                </c:pt>
                <c:pt idx="100">
                  <c:v>7850</c:v>
                </c:pt>
                <c:pt idx="101">
                  <c:v>7700</c:v>
                </c:pt>
                <c:pt idx="102">
                  <c:v>7700</c:v>
                </c:pt>
                <c:pt idx="103">
                  <c:v>7700</c:v>
                </c:pt>
                <c:pt idx="104">
                  <c:v>7700</c:v>
                </c:pt>
                <c:pt idx="105">
                  <c:v>7700</c:v>
                </c:pt>
                <c:pt idx="106">
                  <c:v>7550</c:v>
                </c:pt>
                <c:pt idx="107">
                  <c:v>7650</c:v>
                </c:pt>
                <c:pt idx="108">
                  <c:v>7650</c:v>
                </c:pt>
                <c:pt idx="109">
                  <c:v>7650</c:v>
                </c:pt>
                <c:pt idx="110">
                  <c:v>7650</c:v>
                </c:pt>
                <c:pt idx="111">
                  <c:v>7650</c:v>
                </c:pt>
                <c:pt idx="112">
                  <c:v>7800</c:v>
                </c:pt>
                <c:pt idx="113">
                  <c:v>7800</c:v>
                </c:pt>
                <c:pt idx="114">
                  <c:v>7800</c:v>
                </c:pt>
                <c:pt idx="115">
                  <c:v>7800</c:v>
                </c:pt>
                <c:pt idx="116">
                  <c:v>7800</c:v>
                </c:pt>
                <c:pt idx="117">
                  <c:v>7700</c:v>
                </c:pt>
                <c:pt idx="118">
                  <c:v>7700</c:v>
                </c:pt>
                <c:pt idx="119">
                  <c:v>7750</c:v>
                </c:pt>
                <c:pt idx="120">
                  <c:v>7750</c:v>
                </c:pt>
                <c:pt idx="121">
                  <c:v>7750</c:v>
                </c:pt>
                <c:pt idx="122">
                  <c:v>7750</c:v>
                </c:pt>
                <c:pt idx="123">
                  <c:v>7750</c:v>
                </c:pt>
                <c:pt idx="124">
                  <c:v>7750</c:v>
                </c:pt>
                <c:pt idx="125">
                  <c:v>7750</c:v>
                </c:pt>
                <c:pt idx="126">
                  <c:v>7750</c:v>
                </c:pt>
                <c:pt idx="127">
                  <c:v>7750</c:v>
                </c:pt>
                <c:pt idx="128">
                  <c:v>7700</c:v>
                </c:pt>
                <c:pt idx="129">
                  <c:v>7580</c:v>
                </c:pt>
                <c:pt idx="130">
                  <c:v>7150</c:v>
                </c:pt>
                <c:pt idx="131">
                  <c:v>7250</c:v>
                </c:pt>
                <c:pt idx="132">
                  <c:v>7100</c:v>
                </c:pt>
                <c:pt idx="133">
                  <c:v>7100</c:v>
                </c:pt>
                <c:pt idx="134">
                  <c:v>7100</c:v>
                </c:pt>
                <c:pt idx="135">
                  <c:v>7100</c:v>
                </c:pt>
                <c:pt idx="136">
                  <c:v>6850</c:v>
                </c:pt>
                <c:pt idx="137">
                  <c:v>6850</c:v>
                </c:pt>
                <c:pt idx="138">
                  <c:v>6550</c:v>
                </c:pt>
                <c:pt idx="139">
                  <c:v>6550</c:v>
                </c:pt>
                <c:pt idx="140">
                  <c:v>6550</c:v>
                </c:pt>
                <c:pt idx="141">
                  <c:v>6360</c:v>
                </c:pt>
                <c:pt idx="142">
                  <c:v>6360</c:v>
                </c:pt>
                <c:pt idx="143">
                  <c:v>6360</c:v>
                </c:pt>
                <c:pt idx="144">
                  <c:v>6360</c:v>
                </c:pt>
                <c:pt idx="145">
                  <c:v>6250</c:v>
                </c:pt>
                <c:pt idx="146">
                  <c:v>6050</c:v>
                </c:pt>
                <c:pt idx="147">
                  <c:v>6150</c:v>
                </c:pt>
                <c:pt idx="148">
                  <c:v>6300</c:v>
                </c:pt>
                <c:pt idx="149">
                  <c:v>6300</c:v>
                </c:pt>
                <c:pt idx="150">
                  <c:v>6300</c:v>
                </c:pt>
                <c:pt idx="151">
                  <c:v>6300</c:v>
                </c:pt>
                <c:pt idx="152">
                  <c:v>6300</c:v>
                </c:pt>
                <c:pt idx="153">
                  <c:v>6300</c:v>
                </c:pt>
                <c:pt idx="154">
                  <c:v>6300</c:v>
                </c:pt>
                <c:pt idx="155">
                  <c:v>6450</c:v>
                </c:pt>
                <c:pt idx="156">
                  <c:v>6300</c:v>
                </c:pt>
                <c:pt idx="157">
                  <c:v>6450</c:v>
                </c:pt>
                <c:pt idx="158">
                  <c:v>6450</c:v>
                </c:pt>
                <c:pt idx="159">
                  <c:v>6450</c:v>
                </c:pt>
                <c:pt idx="160">
                  <c:v>6300</c:v>
                </c:pt>
                <c:pt idx="161">
                  <c:v>6300</c:v>
                </c:pt>
                <c:pt idx="162">
                  <c:v>5900</c:v>
                </c:pt>
                <c:pt idx="163">
                  <c:v>5900</c:v>
                </c:pt>
                <c:pt idx="164">
                  <c:v>5900</c:v>
                </c:pt>
                <c:pt idx="165">
                  <c:v>5900</c:v>
                </c:pt>
                <c:pt idx="166">
                  <c:v>5900</c:v>
                </c:pt>
                <c:pt idx="167">
                  <c:v>5800</c:v>
                </c:pt>
                <c:pt idx="168">
                  <c:v>5800</c:v>
                </c:pt>
                <c:pt idx="169">
                  <c:v>5900</c:v>
                </c:pt>
                <c:pt idx="170">
                  <c:v>5900</c:v>
                </c:pt>
                <c:pt idx="171">
                  <c:v>5900</c:v>
                </c:pt>
                <c:pt idx="172">
                  <c:v>6050</c:v>
                </c:pt>
                <c:pt idx="173">
                  <c:v>6000</c:v>
                </c:pt>
                <c:pt idx="174">
                  <c:v>5850</c:v>
                </c:pt>
                <c:pt idx="175">
                  <c:v>5850</c:v>
                </c:pt>
                <c:pt idx="176">
                  <c:v>5850</c:v>
                </c:pt>
                <c:pt idx="177">
                  <c:v>5850</c:v>
                </c:pt>
                <c:pt idx="178">
                  <c:v>5850</c:v>
                </c:pt>
                <c:pt idx="179">
                  <c:v>5880</c:v>
                </c:pt>
                <c:pt idx="180">
                  <c:v>5880</c:v>
                </c:pt>
                <c:pt idx="181">
                  <c:v>5880</c:v>
                </c:pt>
                <c:pt idx="182">
                  <c:v>5880</c:v>
                </c:pt>
                <c:pt idx="183">
                  <c:v>5880</c:v>
                </c:pt>
                <c:pt idx="184">
                  <c:v>5880</c:v>
                </c:pt>
                <c:pt idx="185">
                  <c:v>5880</c:v>
                </c:pt>
                <c:pt idx="186">
                  <c:v>5880</c:v>
                </c:pt>
                <c:pt idx="187">
                  <c:v>5880</c:v>
                </c:pt>
                <c:pt idx="188">
                  <c:v>6080</c:v>
                </c:pt>
                <c:pt idx="189">
                  <c:v>6160</c:v>
                </c:pt>
                <c:pt idx="190">
                  <c:v>6160</c:v>
                </c:pt>
                <c:pt idx="191">
                  <c:v>6180</c:v>
                </c:pt>
                <c:pt idx="192">
                  <c:v>6180</c:v>
                </c:pt>
                <c:pt idx="193">
                  <c:v>6180</c:v>
                </c:pt>
                <c:pt idx="194">
                  <c:v>6180</c:v>
                </c:pt>
                <c:pt idx="195">
                  <c:v>6430</c:v>
                </c:pt>
                <c:pt idx="196">
                  <c:v>6430</c:v>
                </c:pt>
                <c:pt idx="197">
                  <c:v>6430</c:v>
                </c:pt>
                <c:pt idx="198">
                  <c:v>6430</c:v>
                </c:pt>
                <c:pt idx="199">
                  <c:v>6430</c:v>
                </c:pt>
                <c:pt idx="200">
                  <c:v>6430</c:v>
                </c:pt>
                <c:pt idx="201">
                  <c:v>6430</c:v>
                </c:pt>
                <c:pt idx="202">
                  <c:v>6430</c:v>
                </c:pt>
                <c:pt idx="203">
                  <c:v>6430</c:v>
                </c:pt>
                <c:pt idx="204">
                  <c:v>6430</c:v>
                </c:pt>
                <c:pt idx="205">
                  <c:v>6430</c:v>
                </c:pt>
                <c:pt idx="206">
                  <c:v>6430</c:v>
                </c:pt>
                <c:pt idx="207">
                  <c:v>6430</c:v>
                </c:pt>
                <c:pt idx="208">
                  <c:v>6430</c:v>
                </c:pt>
                <c:pt idx="209">
                  <c:v>6430</c:v>
                </c:pt>
                <c:pt idx="210">
                  <c:v>6430</c:v>
                </c:pt>
                <c:pt idx="211">
                  <c:v>6430</c:v>
                </c:pt>
                <c:pt idx="212">
                  <c:v>6430</c:v>
                </c:pt>
                <c:pt idx="213">
                  <c:v>6430</c:v>
                </c:pt>
                <c:pt idx="214">
                  <c:v>6430</c:v>
                </c:pt>
                <c:pt idx="215">
                  <c:v>6550</c:v>
                </c:pt>
                <c:pt idx="216">
                  <c:v>6550</c:v>
                </c:pt>
                <c:pt idx="217">
                  <c:v>6550</c:v>
                </c:pt>
                <c:pt idx="218">
                  <c:v>6550</c:v>
                </c:pt>
                <c:pt idx="219">
                  <c:v>6550</c:v>
                </c:pt>
                <c:pt idx="220">
                  <c:v>6550</c:v>
                </c:pt>
                <c:pt idx="221">
                  <c:v>6550</c:v>
                </c:pt>
                <c:pt idx="222">
                  <c:v>6400</c:v>
                </c:pt>
                <c:pt idx="223">
                  <c:v>6400</c:v>
                </c:pt>
                <c:pt idx="224">
                  <c:v>6400</c:v>
                </c:pt>
                <c:pt idx="225">
                  <c:v>6400</c:v>
                </c:pt>
                <c:pt idx="226">
                  <c:v>6400</c:v>
                </c:pt>
                <c:pt idx="227">
                  <c:v>6400</c:v>
                </c:pt>
                <c:pt idx="228">
                  <c:v>6400</c:v>
                </c:pt>
                <c:pt idx="229">
                  <c:v>6400</c:v>
                </c:pt>
                <c:pt idx="230">
                  <c:v>6400</c:v>
                </c:pt>
                <c:pt idx="231">
                  <c:v>6400</c:v>
                </c:pt>
                <c:pt idx="232">
                  <c:v>6400</c:v>
                </c:pt>
                <c:pt idx="233">
                  <c:v>6400</c:v>
                </c:pt>
                <c:pt idx="234">
                  <c:v>6400</c:v>
                </c:pt>
                <c:pt idx="235">
                  <c:v>6400</c:v>
                </c:pt>
                <c:pt idx="236">
                  <c:v>6400</c:v>
                </c:pt>
                <c:pt idx="237">
                  <c:v>6400</c:v>
                </c:pt>
                <c:pt idx="238">
                  <c:v>6500</c:v>
                </c:pt>
                <c:pt idx="239">
                  <c:v>6500</c:v>
                </c:pt>
                <c:pt idx="240">
                  <c:v>6450</c:v>
                </c:pt>
                <c:pt idx="241">
                  <c:v>6450</c:v>
                </c:pt>
                <c:pt idx="242">
                  <c:v>6300</c:v>
                </c:pt>
                <c:pt idx="243">
                  <c:v>6300</c:v>
                </c:pt>
                <c:pt idx="244">
                  <c:v>5600</c:v>
                </c:pt>
                <c:pt idx="245">
                  <c:v>5600</c:v>
                </c:pt>
              </c:numCache>
            </c:numRef>
          </c:val>
        </c:ser>
        <c:ser>
          <c:idx val="3"/>
          <c:order val="3"/>
          <c:tx>
            <c:strRef>
              <c:f>'溶剂油周报-石脑油价格走势图表'!$E$366</c:f>
              <c:strCache>
                <c:ptCount val="1"/>
                <c:pt idx="0">
                  <c:v>齐成工贸</c:v>
                </c:pt>
              </c:strCache>
            </c:strRef>
          </c:tx>
          <c:marker>
            <c:symbol val="none"/>
          </c:marker>
          <c:cat>
            <c:numRef>
              <c:f>'溶剂油周报-石脑油价格走势图表'!$A$367:$A$613</c:f>
              <c:numCache>
                <c:formatCode>yyyy/m/d</c:formatCode>
                <c:ptCount val="247"/>
                <c:pt idx="0">
                  <c:v>43214</c:v>
                </c:pt>
                <c:pt idx="1">
                  <c:v>43215</c:v>
                </c:pt>
                <c:pt idx="2">
                  <c:v>43216</c:v>
                </c:pt>
                <c:pt idx="3">
                  <c:v>43217</c:v>
                </c:pt>
                <c:pt idx="4">
                  <c:v>43218</c:v>
                </c:pt>
                <c:pt idx="5">
                  <c:v>43222</c:v>
                </c:pt>
                <c:pt idx="6">
                  <c:v>43223</c:v>
                </c:pt>
                <c:pt idx="7">
                  <c:v>43224</c:v>
                </c:pt>
                <c:pt idx="8">
                  <c:v>43227</c:v>
                </c:pt>
                <c:pt idx="9">
                  <c:v>43228</c:v>
                </c:pt>
                <c:pt idx="10">
                  <c:v>43229</c:v>
                </c:pt>
                <c:pt idx="11">
                  <c:v>43230</c:v>
                </c:pt>
                <c:pt idx="12">
                  <c:v>43231</c:v>
                </c:pt>
                <c:pt idx="13">
                  <c:v>43234</c:v>
                </c:pt>
                <c:pt idx="14">
                  <c:v>43235</c:v>
                </c:pt>
                <c:pt idx="15">
                  <c:v>43236</c:v>
                </c:pt>
                <c:pt idx="16">
                  <c:v>43237</c:v>
                </c:pt>
                <c:pt idx="17">
                  <c:v>43238</c:v>
                </c:pt>
                <c:pt idx="18">
                  <c:v>43241</c:v>
                </c:pt>
                <c:pt idx="19">
                  <c:v>43243</c:v>
                </c:pt>
                <c:pt idx="20">
                  <c:v>43244</c:v>
                </c:pt>
                <c:pt idx="21">
                  <c:v>43245</c:v>
                </c:pt>
                <c:pt idx="22">
                  <c:v>43248</c:v>
                </c:pt>
                <c:pt idx="23">
                  <c:v>43249</c:v>
                </c:pt>
                <c:pt idx="24">
                  <c:v>43250</c:v>
                </c:pt>
                <c:pt idx="25">
                  <c:v>43251</c:v>
                </c:pt>
                <c:pt idx="26">
                  <c:v>43252</c:v>
                </c:pt>
                <c:pt idx="27">
                  <c:v>43255</c:v>
                </c:pt>
                <c:pt idx="28">
                  <c:v>43256</c:v>
                </c:pt>
                <c:pt idx="29">
                  <c:v>43257</c:v>
                </c:pt>
                <c:pt idx="30">
                  <c:v>43258</c:v>
                </c:pt>
                <c:pt idx="31">
                  <c:v>43259</c:v>
                </c:pt>
                <c:pt idx="32">
                  <c:v>43262</c:v>
                </c:pt>
                <c:pt idx="33">
                  <c:v>43263</c:v>
                </c:pt>
                <c:pt idx="34">
                  <c:v>43264</c:v>
                </c:pt>
                <c:pt idx="35">
                  <c:v>43265</c:v>
                </c:pt>
                <c:pt idx="36">
                  <c:v>43266</c:v>
                </c:pt>
                <c:pt idx="37">
                  <c:v>43270</c:v>
                </c:pt>
                <c:pt idx="38">
                  <c:v>43271</c:v>
                </c:pt>
                <c:pt idx="39">
                  <c:v>43272</c:v>
                </c:pt>
                <c:pt idx="40">
                  <c:v>43273</c:v>
                </c:pt>
                <c:pt idx="41">
                  <c:v>43276</c:v>
                </c:pt>
                <c:pt idx="42">
                  <c:v>43277</c:v>
                </c:pt>
                <c:pt idx="43">
                  <c:v>43278</c:v>
                </c:pt>
                <c:pt idx="44">
                  <c:v>43279</c:v>
                </c:pt>
                <c:pt idx="45">
                  <c:v>43280</c:v>
                </c:pt>
                <c:pt idx="46">
                  <c:v>43283</c:v>
                </c:pt>
                <c:pt idx="47">
                  <c:v>43284</c:v>
                </c:pt>
                <c:pt idx="48">
                  <c:v>43285</c:v>
                </c:pt>
                <c:pt idx="49">
                  <c:v>43286</c:v>
                </c:pt>
                <c:pt idx="50">
                  <c:v>43287</c:v>
                </c:pt>
                <c:pt idx="51">
                  <c:v>43290</c:v>
                </c:pt>
                <c:pt idx="52">
                  <c:v>43291</c:v>
                </c:pt>
                <c:pt idx="53">
                  <c:v>43292</c:v>
                </c:pt>
                <c:pt idx="54">
                  <c:v>43293</c:v>
                </c:pt>
                <c:pt idx="55">
                  <c:v>43294</c:v>
                </c:pt>
                <c:pt idx="56">
                  <c:v>43297</c:v>
                </c:pt>
                <c:pt idx="57">
                  <c:v>43298</c:v>
                </c:pt>
                <c:pt idx="58">
                  <c:v>43299</c:v>
                </c:pt>
                <c:pt idx="59">
                  <c:v>43300</c:v>
                </c:pt>
                <c:pt idx="60">
                  <c:v>43301</c:v>
                </c:pt>
                <c:pt idx="61">
                  <c:v>43304</c:v>
                </c:pt>
                <c:pt idx="62">
                  <c:v>43305</c:v>
                </c:pt>
                <c:pt idx="63">
                  <c:v>43306</c:v>
                </c:pt>
                <c:pt idx="64">
                  <c:v>43307</c:v>
                </c:pt>
                <c:pt idx="65">
                  <c:v>43308</c:v>
                </c:pt>
                <c:pt idx="66">
                  <c:v>43311</c:v>
                </c:pt>
                <c:pt idx="67">
                  <c:v>43312</c:v>
                </c:pt>
                <c:pt idx="68">
                  <c:v>43313</c:v>
                </c:pt>
                <c:pt idx="69">
                  <c:v>43314</c:v>
                </c:pt>
                <c:pt idx="70">
                  <c:v>43315</c:v>
                </c:pt>
                <c:pt idx="71">
                  <c:v>43318</c:v>
                </c:pt>
                <c:pt idx="72">
                  <c:v>43319</c:v>
                </c:pt>
                <c:pt idx="73">
                  <c:v>43320</c:v>
                </c:pt>
                <c:pt idx="74">
                  <c:v>43321</c:v>
                </c:pt>
                <c:pt idx="75">
                  <c:v>43322</c:v>
                </c:pt>
                <c:pt idx="76">
                  <c:v>43325</c:v>
                </c:pt>
                <c:pt idx="77">
                  <c:v>43326</c:v>
                </c:pt>
                <c:pt idx="78">
                  <c:v>43327</c:v>
                </c:pt>
                <c:pt idx="79">
                  <c:v>43328</c:v>
                </c:pt>
                <c:pt idx="80">
                  <c:v>43329</c:v>
                </c:pt>
                <c:pt idx="81">
                  <c:v>43332</c:v>
                </c:pt>
                <c:pt idx="82">
                  <c:v>43333</c:v>
                </c:pt>
                <c:pt idx="83">
                  <c:v>43334</c:v>
                </c:pt>
                <c:pt idx="84">
                  <c:v>43335</c:v>
                </c:pt>
                <c:pt idx="85">
                  <c:v>43336</c:v>
                </c:pt>
                <c:pt idx="86">
                  <c:v>43339</c:v>
                </c:pt>
                <c:pt idx="87">
                  <c:v>43340</c:v>
                </c:pt>
                <c:pt idx="88">
                  <c:v>43341</c:v>
                </c:pt>
                <c:pt idx="89">
                  <c:v>43342</c:v>
                </c:pt>
                <c:pt idx="90">
                  <c:v>43343</c:v>
                </c:pt>
                <c:pt idx="91">
                  <c:v>43346</c:v>
                </c:pt>
                <c:pt idx="92">
                  <c:v>43347</c:v>
                </c:pt>
                <c:pt idx="93">
                  <c:v>43348</c:v>
                </c:pt>
                <c:pt idx="94">
                  <c:v>43349</c:v>
                </c:pt>
                <c:pt idx="95">
                  <c:v>43350</c:v>
                </c:pt>
                <c:pt idx="96">
                  <c:v>43353</c:v>
                </c:pt>
                <c:pt idx="97">
                  <c:v>43354</c:v>
                </c:pt>
                <c:pt idx="98">
                  <c:v>43355</c:v>
                </c:pt>
                <c:pt idx="99">
                  <c:v>43356</c:v>
                </c:pt>
                <c:pt idx="100">
                  <c:v>43357</c:v>
                </c:pt>
                <c:pt idx="101">
                  <c:v>43360</c:v>
                </c:pt>
                <c:pt idx="102">
                  <c:v>43361</c:v>
                </c:pt>
                <c:pt idx="103">
                  <c:v>43362</c:v>
                </c:pt>
                <c:pt idx="104">
                  <c:v>43363</c:v>
                </c:pt>
                <c:pt idx="105">
                  <c:v>43364</c:v>
                </c:pt>
                <c:pt idx="106">
                  <c:v>43368</c:v>
                </c:pt>
                <c:pt idx="107">
                  <c:v>43369</c:v>
                </c:pt>
                <c:pt idx="108">
                  <c:v>43370</c:v>
                </c:pt>
                <c:pt idx="109">
                  <c:v>43371</c:v>
                </c:pt>
                <c:pt idx="110">
                  <c:v>43372</c:v>
                </c:pt>
                <c:pt idx="111">
                  <c:v>43373</c:v>
                </c:pt>
                <c:pt idx="112">
                  <c:v>43381</c:v>
                </c:pt>
                <c:pt idx="113">
                  <c:v>43382</c:v>
                </c:pt>
                <c:pt idx="114">
                  <c:v>43383</c:v>
                </c:pt>
                <c:pt idx="115">
                  <c:v>43384</c:v>
                </c:pt>
                <c:pt idx="116">
                  <c:v>43385</c:v>
                </c:pt>
                <c:pt idx="117">
                  <c:v>43388</c:v>
                </c:pt>
                <c:pt idx="118">
                  <c:v>43389</c:v>
                </c:pt>
                <c:pt idx="119">
                  <c:v>43390</c:v>
                </c:pt>
                <c:pt idx="120">
                  <c:v>43391</c:v>
                </c:pt>
                <c:pt idx="121">
                  <c:v>43392</c:v>
                </c:pt>
                <c:pt idx="122">
                  <c:v>43395</c:v>
                </c:pt>
                <c:pt idx="123">
                  <c:v>43396</c:v>
                </c:pt>
                <c:pt idx="124">
                  <c:v>43397</c:v>
                </c:pt>
                <c:pt idx="125">
                  <c:v>43398</c:v>
                </c:pt>
                <c:pt idx="126">
                  <c:v>43399</c:v>
                </c:pt>
                <c:pt idx="127">
                  <c:v>43402</c:v>
                </c:pt>
                <c:pt idx="128">
                  <c:v>43403</c:v>
                </c:pt>
                <c:pt idx="129">
                  <c:v>43404</c:v>
                </c:pt>
                <c:pt idx="130">
                  <c:v>43405</c:v>
                </c:pt>
                <c:pt idx="131">
                  <c:v>43406</c:v>
                </c:pt>
                <c:pt idx="132">
                  <c:v>43410</c:v>
                </c:pt>
                <c:pt idx="133">
                  <c:v>43411</c:v>
                </c:pt>
                <c:pt idx="134">
                  <c:v>43412</c:v>
                </c:pt>
                <c:pt idx="135">
                  <c:v>43413</c:v>
                </c:pt>
                <c:pt idx="136">
                  <c:v>43416</c:v>
                </c:pt>
                <c:pt idx="137">
                  <c:v>43417</c:v>
                </c:pt>
                <c:pt idx="138">
                  <c:v>43418</c:v>
                </c:pt>
                <c:pt idx="139">
                  <c:v>43419</c:v>
                </c:pt>
                <c:pt idx="140">
                  <c:v>43420</c:v>
                </c:pt>
                <c:pt idx="141">
                  <c:v>43423</c:v>
                </c:pt>
                <c:pt idx="142">
                  <c:v>43424</c:v>
                </c:pt>
                <c:pt idx="143">
                  <c:v>43425</c:v>
                </c:pt>
                <c:pt idx="144">
                  <c:v>43426</c:v>
                </c:pt>
                <c:pt idx="145">
                  <c:v>43430</c:v>
                </c:pt>
                <c:pt idx="146">
                  <c:v>43431</c:v>
                </c:pt>
                <c:pt idx="147">
                  <c:v>43437</c:v>
                </c:pt>
                <c:pt idx="148">
                  <c:v>43438</c:v>
                </c:pt>
                <c:pt idx="149">
                  <c:v>43439</c:v>
                </c:pt>
                <c:pt idx="150">
                  <c:v>43440</c:v>
                </c:pt>
                <c:pt idx="151">
                  <c:v>43441</c:v>
                </c:pt>
                <c:pt idx="152">
                  <c:v>43444</c:v>
                </c:pt>
                <c:pt idx="153">
                  <c:v>43445</c:v>
                </c:pt>
                <c:pt idx="154">
                  <c:v>43446</c:v>
                </c:pt>
                <c:pt idx="155">
                  <c:v>43447</c:v>
                </c:pt>
                <c:pt idx="156">
                  <c:v>43448</c:v>
                </c:pt>
                <c:pt idx="157">
                  <c:v>43451</c:v>
                </c:pt>
                <c:pt idx="158">
                  <c:v>43452</c:v>
                </c:pt>
                <c:pt idx="159">
                  <c:v>43453</c:v>
                </c:pt>
                <c:pt idx="160">
                  <c:v>43454</c:v>
                </c:pt>
                <c:pt idx="161">
                  <c:v>43455</c:v>
                </c:pt>
                <c:pt idx="162">
                  <c:v>43458</c:v>
                </c:pt>
                <c:pt idx="163">
                  <c:v>43459</c:v>
                </c:pt>
                <c:pt idx="164">
                  <c:v>43460</c:v>
                </c:pt>
                <c:pt idx="165">
                  <c:v>43461</c:v>
                </c:pt>
                <c:pt idx="166">
                  <c:v>43462</c:v>
                </c:pt>
                <c:pt idx="167">
                  <c:v>43467</c:v>
                </c:pt>
                <c:pt idx="168">
                  <c:v>43468</c:v>
                </c:pt>
                <c:pt idx="169">
                  <c:v>43472</c:v>
                </c:pt>
                <c:pt idx="170">
                  <c:v>43473</c:v>
                </c:pt>
                <c:pt idx="171">
                  <c:v>43474</c:v>
                </c:pt>
                <c:pt idx="172">
                  <c:v>43475</c:v>
                </c:pt>
                <c:pt idx="173">
                  <c:v>43476</c:v>
                </c:pt>
                <c:pt idx="174">
                  <c:v>43479</c:v>
                </c:pt>
                <c:pt idx="175">
                  <c:v>43480</c:v>
                </c:pt>
                <c:pt idx="176">
                  <c:v>43481</c:v>
                </c:pt>
                <c:pt idx="177">
                  <c:v>43482</c:v>
                </c:pt>
                <c:pt idx="178">
                  <c:v>43483</c:v>
                </c:pt>
                <c:pt idx="179">
                  <c:v>43486</c:v>
                </c:pt>
                <c:pt idx="180">
                  <c:v>43487</c:v>
                </c:pt>
                <c:pt idx="181">
                  <c:v>43488</c:v>
                </c:pt>
                <c:pt idx="182">
                  <c:v>43489</c:v>
                </c:pt>
                <c:pt idx="183">
                  <c:v>43490</c:v>
                </c:pt>
                <c:pt idx="184">
                  <c:v>43493</c:v>
                </c:pt>
                <c:pt idx="185">
                  <c:v>43494</c:v>
                </c:pt>
                <c:pt idx="186">
                  <c:v>43495</c:v>
                </c:pt>
                <c:pt idx="187">
                  <c:v>43496</c:v>
                </c:pt>
                <c:pt idx="188">
                  <c:v>43507</c:v>
                </c:pt>
                <c:pt idx="189">
                  <c:v>43508</c:v>
                </c:pt>
                <c:pt idx="190">
                  <c:v>43509</c:v>
                </c:pt>
                <c:pt idx="191">
                  <c:v>43510</c:v>
                </c:pt>
                <c:pt idx="192">
                  <c:v>43511</c:v>
                </c:pt>
                <c:pt idx="193">
                  <c:v>43514</c:v>
                </c:pt>
                <c:pt idx="194">
                  <c:v>43515</c:v>
                </c:pt>
                <c:pt idx="195">
                  <c:v>43516</c:v>
                </c:pt>
                <c:pt idx="196">
                  <c:v>43517</c:v>
                </c:pt>
                <c:pt idx="197">
                  <c:v>43518</c:v>
                </c:pt>
                <c:pt idx="198">
                  <c:v>43521</c:v>
                </c:pt>
                <c:pt idx="199">
                  <c:v>43522</c:v>
                </c:pt>
                <c:pt idx="200">
                  <c:v>43523</c:v>
                </c:pt>
                <c:pt idx="201">
                  <c:v>43524</c:v>
                </c:pt>
                <c:pt idx="202">
                  <c:v>43525</c:v>
                </c:pt>
                <c:pt idx="203">
                  <c:v>43528</c:v>
                </c:pt>
                <c:pt idx="204">
                  <c:v>43529</c:v>
                </c:pt>
                <c:pt idx="205">
                  <c:v>43530</c:v>
                </c:pt>
                <c:pt idx="206">
                  <c:v>43531</c:v>
                </c:pt>
                <c:pt idx="207">
                  <c:v>43532</c:v>
                </c:pt>
                <c:pt idx="208">
                  <c:v>43535</c:v>
                </c:pt>
                <c:pt idx="209">
                  <c:v>43536</c:v>
                </c:pt>
                <c:pt idx="210">
                  <c:v>43537</c:v>
                </c:pt>
                <c:pt idx="211">
                  <c:v>43538</c:v>
                </c:pt>
                <c:pt idx="212">
                  <c:v>43539</c:v>
                </c:pt>
                <c:pt idx="213">
                  <c:v>43542</c:v>
                </c:pt>
                <c:pt idx="214">
                  <c:v>43543</c:v>
                </c:pt>
                <c:pt idx="215">
                  <c:v>43544</c:v>
                </c:pt>
                <c:pt idx="216">
                  <c:v>43545</c:v>
                </c:pt>
                <c:pt idx="217">
                  <c:v>43546</c:v>
                </c:pt>
                <c:pt idx="218">
                  <c:v>43549</c:v>
                </c:pt>
                <c:pt idx="219">
                  <c:v>43550</c:v>
                </c:pt>
                <c:pt idx="220">
                  <c:v>43551</c:v>
                </c:pt>
                <c:pt idx="221">
                  <c:v>43552</c:v>
                </c:pt>
                <c:pt idx="222">
                  <c:v>43556</c:v>
                </c:pt>
                <c:pt idx="223">
                  <c:v>43557</c:v>
                </c:pt>
                <c:pt idx="224">
                  <c:v>43558</c:v>
                </c:pt>
                <c:pt idx="225">
                  <c:v>43559</c:v>
                </c:pt>
                <c:pt idx="226">
                  <c:v>43563</c:v>
                </c:pt>
                <c:pt idx="227">
                  <c:v>43564</c:v>
                </c:pt>
                <c:pt idx="228">
                  <c:v>43565</c:v>
                </c:pt>
                <c:pt idx="229">
                  <c:v>43566</c:v>
                </c:pt>
                <c:pt idx="230">
                  <c:v>43567</c:v>
                </c:pt>
                <c:pt idx="231">
                  <c:v>43570</c:v>
                </c:pt>
                <c:pt idx="232">
                  <c:v>43571</c:v>
                </c:pt>
                <c:pt idx="233">
                  <c:v>43572</c:v>
                </c:pt>
                <c:pt idx="234">
                  <c:v>43573</c:v>
                </c:pt>
                <c:pt idx="235">
                  <c:v>43577</c:v>
                </c:pt>
                <c:pt idx="236">
                  <c:v>43578</c:v>
                </c:pt>
                <c:pt idx="237">
                  <c:v>43579</c:v>
                </c:pt>
                <c:pt idx="238">
                  <c:v>43580</c:v>
                </c:pt>
                <c:pt idx="239">
                  <c:v>43581</c:v>
                </c:pt>
                <c:pt idx="240">
                  <c:v>43595</c:v>
                </c:pt>
                <c:pt idx="241">
                  <c:v>43602</c:v>
                </c:pt>
                <c:pt idx="242">
                  <c:v>43609</c:v>
                </c:pt>
                <c:pt idx="243">
                  <c:v>43616</c:v>
                </c:pt>
                <c:pt idx="244">
                  <c:v>43637</c:v>
                </c:pt>
                <c:pt idx="245">
                  <c:v>43644</c:v>
                </c:pt>
              </c:numCache>
            </c:numRef>
          </c:cat>
          <c:val>
            <c:numRef>
              <c:f>'溶剂油周报-石脑油价格走势图表'!$E$367:$E$613</c:f>
              <c:numCache>
                <c:formatCode>General</c:formatCode>
                <c:ptCount val="247"/>
                <c:pt idx="76" formatCode="0_ ">
                  <c:v>7400</c:v>
                </c:pt>
                <c:pt idx="77" formatCode="0_ ">
                  <c:v>7450</c:v>
                </c:pt>
                <c:pt idx="78" formatCode="0_ ">
                  <c:v>7450</c:v>
                </c:pt>
                <c:pt idx="79" formatCode="0_ ">
                  <c:v>7450</c:v>
                </c:pt>
                <c:pt idx="80" formatCode="0_ ">
                  <c:v>7450</c:v>
                </c:pt>
                <c:pt idx="81" formatCode="0_ ">
                  <c:v>7480</c:v>
                </c:pt>
                <c:pt idx="82" formatCode="0_ ">
                  <c:v>7480</c:v>
                </c:pt>
                <c:pt idx="83" formatCode="0_ ">
                  <c:v>7480</c:v>
                </c:pt>
                <c:pt idx="84" formatCode="0_ ">
                  <c:v>7480</c:v>
                </c:pt>
                <c:pt idx="85" formatCode="0_ ">
                  <c:v>7480</c:v>
                </c:pt>
                <c:pt idx="86" formatCode="0_ ">
                  <c:v>7480</c:v>
                </c:pt>
                <c:pt idx="87" formatCode="0_ ">
                  <c:v>7480</c:v>
                </c:pt>
                <c:pt idx="88" formatCode="0_ ">
                  <c:v>7480</c:v>
                </c:pt>
                <c:pt idx="89" formatCode="0_ ">
                  <c:v>7480</c:v>
                </c:pt>
                <c:pt idx="90" formatCode="0_ ">
                  <c:v>7480</c:v>
                </c:pt>
                <c:pt idx="91" formatCode="0_ ">
                  <c:v>7480</c:v>
                </c:pt>
                <c:pt idx="92" formatCode="0_ ">
                  <c:v>7480</c:v>
                </c:pt>
                <c:pt idx="93" formatCode="0_ ">
                  <c:v>7480</c:v>
                </c:pt>
                <c:pt idx="94" formatCode="0_ ">
                  <c:v>7480</c:v>
                </c:pt>
                <c:pt idx="95" formatCode="0_ ">
                  <c:v>7480</c:v>
                </c:pt>
                <c:pt idx="96" formatCode="0_ ">
                  <c:v>7480</c:v>
                </c:pt>
                <c:pt idx="103" formatCode="0_ ">
                  <c:v>7550</c:v>
                </c:pt>
                <c:pt idx="106" formatCode="0_ ">
                  <c:v>7500</c:v>
                </c:pt>
                <c:pt idx="107" formatCode="0_ ">
                  <c:v>7500</c:v>
                </c:pt>
                <c:pt idx="108" formatCode="0_ ">
                  <c:v>7500</c:v>
                </c:pt>
                <c:pt idx="109" formatCode="0_ ">
                  <c:v>7500</c:v>
                </c:pt>
                <c:pt idx="110" formatCode="0_ ">
                  <c:v>7500</c:v>
                </c:pt>
                <c:pt idx="111" formatCode="0_ ">
                  <c:v>7500</c:v>
                </c:pt>
                <c:pt idx="112" formatCode="0_ ">
                  <c:v>7900</c:v>
                </c:pt>
                <c:pt idx="113" formatCode="0_ ">
                  <c:v>7900</c:v>
                </c:pt>
                <c:pt idx="114" formatCode="0_ ">
                  <c:v>7750</c:v>
                </c:pt>
                <c:pt idx="115" formatCode="0_ ">
                  <c:v>7750</c:v>
                </c:pt>
                <c:pt idx="116" formatCode="0_ ">
                  <c:v>7720</c:v>
                </c:pt>
                <c:pt idx="117" formatCode="0_ ">
                  <c:v>7720</c:v>
                </c:pt>
                <c:pt idx="118" formatCode="0_ ">
                  <c:v>7750</c:v>
                </c:pt>
                <c:pt idx="119" formatCode="0_ ">
                  <c:v>7770</c:v>
                </c:pt>
                <c:pt idx="120" formatCode="0_ ">
                  <c:v>7770</c:v>
                </c:pt>
                <c:pt idx="121" formatCode="0_ ">
                  <c:v>7720</c:v>
                </c:pt>
                <c:pt idx="122" formatCode="0_ ">
                  <c:v>7620</c:v>
                </c:pt>
                <c:pt idx="123" formatCode="0_ ">
                  <c:v>7670</c:v>
                </c:pt>
                <c:pt idx="124" formatCode="0_ ">
                  <c:v>7670</c:v>
                </c:pt>
                <c:pt idx="125" formatCode="0_ ">
                  <c:v>7670</c:v>
                </c:pt>
                <c:pt idx="126" formatCode="0_ ">
                  <c:v>7640</c:v>
                </c:pt>
                <c:pt idx="127" formatCode="0_ ">
                  <c:v>7610</c:v>
                </c:pt>
                <c:pt idx="128" formatCode="0_ ">
                  <c:v>7550</c:v>
                </c:pt>
                <c:pt idx="129" formatCode="0_ ">
                  <c:v>7550</c:v>
                </c:pt>
                <c:pt idx="130" formatCode="0_ ">
                  <c:v>7550</c:v>
                </c:pt>
                <c:pt idx="131" formatCode="0_ ">
                  <c:v>7550</c:v>
                </c:pt>
                <c:pt idx="132" formatCode="0_ ">
                  <c:v>7150</c:v>
                </c:pt>
                <c:pt idx="133" formatCode="0_ ">
                  <c:v>7050</c:v>
                </c:pt>
                <c:pt idx="134" formatCode="0_ ">
                  <c:v>7050</c:v>
                </c:pt>
                <c:pt idx="135" formatCode="0_ ">
                  <c:v>7050</c:v>
                </c:pt>
                <c:pt idx="136" formatCode="0_ ">
                  <c:v>7050</c:v>
                </c:pt>
                <c:pt idx="137" formatCode="0_ ">
                  <c:v>7050</c:v>
                </c:pt>
                <c:pt idx="138" formatCode="0_ ">
                  <c:v>7050</c:v>
                </c:pt>
                <c:pt idx="139" formatCode="0_ ">
                  <c:v>6250</c:v>
                </c:pt>
                <c:pt idx="140" formatCode="0_ ">
                  <c:v>6250</c:v>
                </c:pt>
                <c:pt idx="141" formatCode="0_ ">
                  <c:v>6250</c:v>
                </c:pt>
                <c:pt idx="142" formatCode="0_ ">
                  <c:v>6250</c:v>
                </c:pt>
                <c:pt idx="143" formatCode="0_ ">
                  <c:v>6250</c:v>
                </c:pt>
                <c:pt idx="144" formatCode="0_ ">
                  <c:v>6250</c:v>
                </c:pt>
                <c:pt idx="145" formatCode="0_ ">
                  <c:v>6280</c:v>
                </c:pt>
                <c:pt idx="146" formatCode="0_ ">
                  <c:v>6050</c:v>
                </c:pt>
                <c:pt idx="147" formatCode="0_ ">
                  <c:v>6000</c:v>
                </c:pt>
                <c:pt idx="148" formatCode="0_ ">
                  <c:v>6300</c:v>
                </c:pt>
                <c:pt idx="149" formatCode="0_ ">
                  <c:v>6400</c:v>
                </c:pt>
                <c:pt idx="150" formatCode="0_ ">
                  <c:v>6400</c:v>
                </c:pt>
                <c:pt idx="151" formatCode="0_ ">
                  <c:v>6400</c:v>
                </c:pt>
                <c:pt idx="152" formatCode="0_ ">
                  <c:v>6300</c:v>
                </c:pt>
                <c:pt idx="153" formatCode="0_ ">
                  <c:v>6300</c:v>
                </c:pt>
                <c:pt idx="154" formatCode="0_ ">
                  <c:v>6300</c:v>
                </c:pt>
                <c:pt idx="155" formatCode="0_ ">
                  <c:v>6300</c:v>
                </c:pt>
                <c:pt idx="156" formatCode="0_ ">
                  <c:v>6300</c:v>
                </c:pt>
                <c:pt idx="157" formatCode="0_ ">
                  <c:v>6300</c:v>
                </c:pt>
                <c:pt idx="158" formatCode="0_ ">
                  <c:v>6300</c:v>
                </c:pt>
                <c:pt idx="159" formatCode="0_ ">
                  <c:v>6300</c:v>
                </c:pt>
                <c:pt idx="160" formatCode="0_ ">
                  <c:v>6300</c:v>
                </c:pt>
                <c:pt idx="161" formatCode="0_ ">
                  <c:v>6300</c:v>
                </c:pt>
                <c:pt idx="162" formatCode="0_ ">
                  <c:v>6000</c:v>
                </c:pt>
                <c:pt idx="163" formatCode="0_ ">
                  <c:v>5950</c:v>
                </c:pt>
                <c:pt idx="164" formatCode="0_ ">
                  <c:v>5850</c:v>
                </c:pt>
                <c:pt idx="165" formatCode="0_ ">
                  <c:v>5850</c:v>
                </c:pt>
                <c:pt idx="166" formatCode="0_ ">
                  <c:v>5850</c:v>
                </c:pt>
                <c:pt idx="167" formatCode="0_ ">
                  <c:v>5850</c:v>
                </c:pt>
                <c:pt idx="168" formatCode="0_ ">
                  <c:v>5850</c:v>
                </c:pt>
                <c:pt idx="169" formatCode="0_ ">
                  <c:v>5950</c:v>
                </c:pt>
                <c:pt idx="170" formatCode="0_ ">
                  <c:v>5950</c:v>
                </c:pt>
                <c:pt idx="171" formatCode="0_ ">
                  <c:v>5950</c:v>
                </c:pt>
                <c:pt idx="172" formatCode="0_ ">
                  <c:v>5950</c:v>
                </c:pt>
                <c:pt idx="173" formatCode="0_ ">
                  <c:v>5950</c:v>
                </c:pt>
                <c:pt idx="174" formatCode="0_ ">
                  <c:v>5850</c:v>
                </c:pt>
                <c:pt idx="175" formatCode="0_ ">
                  <c:v>5850</c:v>
                </c:pt>
                <c:pt idx="176" formatCode="0_ ">
                  <c:v>5850</c:v>
                </c:pt>
                <c:pt idx="177" formatCode="0_ ">
                  <c:v>5850</c:v>
                </c:pt>
                <c:pt idx="178" formatCode="0_ ">
                  <c:v>5850</c:v>
                </c:pt>
                <c:pt idx="179" formatCode="0_ ">
                  <c:v>5850</c:v>
                </c:pt>
                <c:pt idx="180" formatCode="0_ ">
                  <c:v>5850</c:v>
                </c:pt>
                <c:pt idx="181" formatCode="0_ ">
                  <c:v>5850</c:v>
                </c:pt>
                <c:pt idx="182" formatCode="0_ ">
                  <c:v>5850</c:v>
                </c:pt>
                <c:pt idx="183" formatCode="0_ ">
                  <c:v>5850</c:v>
                </c:pt>
                <c:pt idx="184" formatCode="0_ ">
                  <c:v>5850</c:v>
                </c:pt>
                <c:pt idx="185" formatCode="0_ ">
                  <c:v>5850</c:v>
                </c:pt>
                <c:pt idx="186" formatCode="0_ ">
                  <c:v>5850</c:v>
                </c:pt>
                <c:pt idx="187" formatCode="0_ ">
                  <c:v>5850</c:v>
                </c:pt>
                <c:pt idx="188" formatCode="0_ ">
                  <c:v>5850</c:v>
                </c:pt>
                <c:pt idx="189" formatCode="0_ ">
                  <c:v>5850</c:v>
                </c:pt>
                <c:pt idx="190" formatCode="0_ ">
                  <c:v>5850</c:v>
                </c:pt>
                <c:pt idx="191" formatCode="0_ ">
                  <c:v>6090</c:v>
                </c:pt>
                <c:pt idx="192" formatCode="0_ ">
                  <c:v>6090</c:v>
                </c:pt>
                <c:pt idx="193" formatCode="0_ ">
                  <c:v>6090</c:v>
                </c:pt>
                <c:pt idx="194" formatCode="0_ ">
                  <c:v>6090</c:v>
                </c:pt>
                <c:pt idx="195" formatCode="0_ ">
                  <c:v>6090</c:v>
                </c:pt>
                <c:pt idx="196" formatCode="0_ ">
                  <c:v>6090</c:v>
                </c:pt>
                <c:pt idx="197" formatCode="0_ ">
                  <c:v>6090</c:v>
                </c:pt>
                <c:pt idx="198" formatCode="0_ ">
                  <c:v>6090</c:v>
                </c:pt>
                <c:pt idx="199" formatCode="0_ ">
                  <c:v>6090</c:v>
                </c:pt>
                <c:pt idx="200" formatCode="0_ ">
                  <c:v>6090</c:v>
                </c:pt>
                <c:pt idx="201" formatCode="0_ ">
                  <c:v>6090</c:v>
                </c:pt>
                <c:pt idx="202" formatCode="0_ ">
                  <c:v>6090</c:v>
                </c:pt>
                <c:pt idx="203" formatCode="0_ ">
                  <c:v>6090</c:v>
                </c:pt>
                <c:pt idx="204" formatCode="0_ ">
                  <c:v>6090</c:v>
                </c:pt>
                <c:pt idx="205" formatCode="0_ ">
                  <c:v>6090</c:v>
                </c:pt>
                <c:pt idx="206" formatCode="0_ ">
                  <c:v>6090</c:v>
                </c:pt>
                <c:pt idx="207" formatCode="0_ ">
                  <c:v>6090</c:v>
                </c:pt>
                <c:pt idx="208" formatCode="0_ ">
                  <c:v>6090</c:v>
                </c:pt>
                <c:pt idx="209" formatCode="0_ ">
                  <c:v>6090</c:v>
                </c:pt>
                <c:pt idx="210" formatCode="0_ ">
                  <c:v>6090</c:v>
                </c:pt>
                <c:pt idx="211" formatCode="0_ ">
                  <c:v>6090</c:v>
                </c:pt>
                <c:pt idx="212" formatCode="0_ ">
                  <c:v>6090</c:v>
                </c:pt>
                <c:pt idx="213" formatCode="0_ ">
                  <c:v>6090</c:v>
                </c:pt>
                <c:pt idx="214" formatCode="0_ ">
                  <c:v>6090</c:v>
                </c:pt>
                <c:pt idx="215" formatCode="0_ ">
                  <c:v>6090</c:v>
                </c:pt>
                <c:pt idx="216" formatCode="0_ ">
                  <c:v>6090</c:v>
                </c:pt>
                <c:pt idx="217" formatCode="0_ ">
                  <c:v>6090</c:v>
                </c:pt>
                <c:pt idx="218" formatCode="0_ ">
                  <c:v>6090</c:v>
                </c:pt>
                <c:pt idx="219" formatCode="0_ ">
                  <c:v>6090</c:v>
                </c:pt>
                <c:pt idx="220" formatCode="0_ ">
                  <c:v>6090</c:v>
                </c:pt>
                <c:pt idx="221" formatCode="0_ ">
                  <c:v>6470</c:v>
                </c:pt>
                <c:pt idx="222" formatCode="0_ ">
                  <c:v>6470</c:v>
                </c:pt>
                <c:pt idx="223" formatCode="0_ ">
                  <c:v>6470</c:v>
                </c:pt>
                <c:pt idx="224" formatCode="0_ ">
                  <c:v>6470</c:v>
                </c:pt>
                <c:pt idx="225" formatCode="0_ ">
                  <c:v>6470</c:v>
                </c:pt>
                <c:pt idx="226" formatCode="0_ ">
                  <c:v>6470</c:v>
                </c:pt>
                <c:pt idx="227" formatCode="0_ ">
                  <c:v>6470</c:v>
                </c:pt>
                <c:pt idx="228" formatCode="0_ ">
                  <c:v>6470</c:v>
                </c:pt>
                <c:pt idx="229" formatCode="0_ ">
                  <c:v>6470</c:v>
                </c:pt>
                <c:pt idx="230" formatCode="0_ ">
                  <c:v>6470</c:v>
                </c:pt>
                <c:pt idx="231" formatCode="0_ ">
                  <c:v>6470</c:v>
                </c:pt>
                <c:pt idx="232" formatCode="0_ ">
                  <c:v>6470</c:v>
                </c:pt>
                <c:pt idx="233" formatCode="0_ ">
                  <c:v>6470</c:v>
                </c:pt>
                <c:pt idx="234" formatCode="0_ ">
                  <c:v>6470</c:v>
                </c:pt>
                <c:pt idx="235" formatCode="0_ ">
                  <c:v>6470</c:v>
                </c:pt>
                <c:pt idx="236" formatCode="0_ ">
                  <c:v>6470</c:v>
                </c:pt>
                <c:pt idx="237" formatCode="0_ ">
                  <c:v>6470</c:v>
                </c:pt>
                <c:pt idx="238" formatCode="0_ ">
                  <c:v>6470</c:v>
                </c:pt>
                <c:pt idx="239" formatCode="0_ ">
                  <c:v>6470</c:v>
                </c:pt>
                <c:pt idx="240" formatCode="0_ ">
                  <c:v>6210</c:v>
                </c:pt>
                <c:pt idx="241" formatCode="0_ ">
                  <c:v>6210</c:v>
                </c:pt>
                <c:pt idx="242" formatCode="0_ ">
                  <c:v>6210</c:v>
                </c:pt>
                <c:pt idx="243" formatCode="0_ ">
                  <c:v>5990</c:v>
                </c:pt>
                <c:pt idx="244" formatCode="0_ ">
                  <c:v>5350</c:v>
                </c:pt>
                <c:pt idx="245" formatCode="0_ ">
                  <c:v>5350</c:v>
                </c:pt>
              </c:numCache>
            </c:numRef>
          </c:val>
        </c:ser>
        <c:ser>
          <c:idx val="4"/>
          <c:order val="4"/>
          <c:tx>
            <c:strRef>
              <c:f>'溶剂油周报-石脑油价格走势图表'!$F$366</c:f>
              <c:strCache>
                <c:ptCount val="1"/>
                <c:pt idx="0">
                  <c:v>永鑫化工</c:v>
                </c:pt>
              </c:strCache>
            </c:strRef>
          </c:tx>
          <c:marker>
            <c:symbol val="none"/>
          </c:marker>
          <c:cat>
            <c:numRef>
              <c:f>'溶剂油周报-石脑油价格走势图表'!$A$367:$A$613</c:f>
              <c:numCache>
                <c:formatCode>yyyy/m/d</c:formatCode>
                <c:ptCount val="247"/>
                <c:pt idx="0">
                  <c:v>43214</c:v>
                </c:pt>
                <c:pt idx="1">
                  <c:v>43215</c:v>
                </c:pt>
                <c:pt idx="2">
                  <c:v>43216</c:v>
                </c:pt>
                <c:pt idx="3">
                  <c:v>43217</c:v>
                </c:pt>
                <c:pt idx="4">
                  <c:v>43218</c:v>
                </c:pt>
                <c:pt idx="5">
                  <c:v>43222</c:v>
                </c:pt>
                <c:pt idx="6">
                  <c:v>43223</c:v>
                </c:pt>
                <c:pt idx="7">
                  <c:v>43224</c:v>
                </c:pt>
                <c:pt idx="8">
                  <c:v>43227</c:v>
                </c:pt>
                <c:pt idx="9">
                  <c:v>43228</c:v>
                </c:pt>
                <c:pt idx="10">
                  <c:v>43229</c:v>
                </c:pt>
                <c:pt idx="11">
                  <c:v>43230</c:v>
                </c:pt>
                <c:pt idx="12">
                  <c:v>43231</c:v>
                </c:pt>
                <c:pt idx="13">
                  <c:v>43234</c:v>
                </c:pt>
                <c:pt idx="14">
                  <c:v>43235</c:v>
                </c:pt>
                <c:pt idx="15">
                  <c:v>43236</c:v>
                </c:pt>
                <c:pt idx="16">
                  <c:v>43237</c:v>
                </c:pt>
                <c:pt idx="17">
                  <c:v>43238</c:v>
                </c:pt>
                <c:pt idx="18">
                  <c:v>43241</c:v>
                </c:pt>
                <c:pt idx="19">
                  <c:v>43243</c:v>
                </c:pt>
                <c:pt idx="20">
                  <c:v>43244</c:v>
                </c:pt>
                <c:pt idx="21">
                  <c:v>43245</c:v>
                </c:pt>
                <c:pt idx="22">
                  <c:v>43248</c:v>
                </c:pt>
                <c:pt idx="23">
                  <c:v>43249</c:v>
                </c:pt>
                <c:pt idx="24">
                  <c:v>43250</c:v>
                </c:pt>
                <c:pt idx="25">
                  <c:v>43251</c:v>
                </c:pt>
                <c:pt idx="26">
                  <c:v>43252</c:v>
                </c:pt>
                <c:pt idx="27">
                  <c:v>43255</c:v>
                </c:pt>
                <c:pt idx="28">
                  <c:v>43256</c:v>
                </c:pt>
                <c:pt idx="29">
                  <c:v>43257</c:v>
                </c:pt>
                <c:pt idx="30">
                  <c:v>43258</c:v>
                </c:pt>
                <c:pt idx="31">
                  <c:v>43259</c:v>
                </c:pt>
                <c:pt idx="32">
                  <c:v>43262</c:v>
                </c:pt>
                <c:pt idx="33">
                  <c:v>43263</c:v>
                </c:pt>
                <c:pt idx="34">
                  <c:v>43264</c:v>
                </c:pt>
                <c:pt idx="35">
                  <c:v>43265</c:v>
                </c:pt>
                <c:pt idx="36">
                  <c:v>43266</c:v>
                </c:pt>
                <c:pt idx="37">
                  <c:v>43270</c:v>
                </c:pt>
                <c:pt idx="38">
                  <c:v>43271</c:v>
                </c:pt>
                <c:pt idx="39">
                  <c:v>43272</c:v>
                </c:pt>
                <c:pt idx="40">
                  <c:v>43273</c:v>
                </c:pt>
                <c:pt idx="41">
                  <c:v>43276</c:v>
                </c:pt>
                <c:pt idx="42">
                  <c:v>43277</c:v>
                </c:pt>
                <c:pt idx="43">
                  <c:v>43278</c:v>
                </c:pt>
                <c:pt idx="44">
                  <c:v>43279</c:v>
                </c:pt>
                <c:pt idx="45">
                  <c:v>43280</c:v>
                </c:pt>
                <c:pt idx="46">
                  <c:v>43283</c:v>
                </c:pt>
                <c:pt idx="47">
                  <c:v>43284</c:v>
                </c:pt>
                <c:pt idx="48">
                  <c:v>43285</c:v>
                </c:pt>
                <c:pt idx="49">
                  <c:v>43286</c:v>
                </c:pt>
                <c:pt idx="50">
                  <c:v>43287</c:v>
                </c:pt>
                <c:pt idx="51">
                  <c:v>43290</c:v>
                </c:pt>
                <c:pt idx="52">
                  <c:v>43291</c:v>
                </c:pt>
                <c:pt idx="53">
                  <c:v>43292</c:v>
                </c:pt>
                <c:pt idx="54">
                  <c:v>43293</c:v>
                </c:pt>
                <c:pt idx="55">
                  <c:v>43294</c:v>
                </c:pt>
                <c:pt idx="56">
                  <c:v>43297</c:v>
                </c:pt>
                <c:pt idx="57">
                  <c:v>43298</c:v>
                </c:pt>
                <c:pt idx="58">
                  <c:v>43299</c:v>
                </c:pt>
                <c:pt idx="59">
                  <c:v>43300</c:v>
                </c:pt>
                <c:pt idx="60">
                  <c:v>43301</c:v>
                </c:pt>
                <c:pt idx="61">
                  <c:v>43304</c:v>
                </c:pt>
                <c:pt idx="62">
                  <c:v>43305</c:v>
                </c:pt>
                <c:pt idx="63">
                  <c:v>43306</c:v>
                </c:pt>
                <c:pt idx="64">
                  <c:v>43307</c:v>
                </c:pt>
                <c:pt idx="65">
                  <c:v>43308</c:v>
                </c:pt>
                <c:pt idx="66">
                  <c:v>43311</c:v>
                </c:pt>
                <c:pt idx="67">
                  <c:v>43312</c:v>
                </c:pt>
                <c:pt idx="68">
                  <c:v>43313</c:v>
                </c:pt>
                <c:pt idx="69">
                  <c:v>43314</c:v>
                </c:pt>
                <c:pt idx="70">
                  <c:v>43315</c:v>
                </c:pt>
                <c:pt idx="71">
                  <c:v>43318</c:v>
                </c:pt>
                <c:pt idx="72">
                  <c:v>43319</c:v>
                </c:pt>
                <c:pt idx="73">
                  <c:v>43320</c:v>
                </c:pt>
                <c:pt idx="74">
                  <c:v>43321</c:v>
                </c:pt>
                <c:pt idx="75">
                  <c:v>43322</c:v>
                </c:pt>
                <c:pt idx="76">
                  <c:v>43325</c:v>
                </c:pt>
                <c:pt idx="77">
                  <c:v>43326</c:v>
                </c:pt>
                <c:pt idx="78">
                  <c:v>43327</c:v>
                </c:pt>
                <c:pt idx="79">
                  <c:v>43328</c:v>
                </c:pt>
                <c:pt idx="80">
                  <c:v>43329</c:v>
                </c:pt>
                <c:pt idx="81">
                  <c:v>43332</c:v>
                </c:pt>
                <c:pt idx="82">
                  <c:v>43333</c:v>
                </c:pt>
                <c:pt idx="83">
                  <c:v>43334</c:v>
                </c:pt>
                <c:pt idx="84">
                  <c:v>43335</c:v>
                </c:pt>
                <c:pt idx="85">
                  <c:v>43336</c:v>
                </c:pt>
                <c:pt idx="86">
                  <c:v>43339</c:v>
                </c:pt>
                <c:pt idx="87">
                  <c:v>43340</c:v>
                </c:pt>
                <c:pt idx="88">
                  <c:v>43341</c:v>
                </c:pt>
                <c:pt idx="89">
                  <c:v>43342</c:v>
                </c:pt>
                <c:pt idx="90">
                  <c:v>43343</c:v>
                </c:pt>
                <c:pt idx="91">
                  <c:v>43346</c:v>
                </c:pt>
                <c:pt idx="92">
                  <c:v>43347</c:v>
                </c:pt>
                <c:pt idx="93">
                  <c:v>43348</c:v>
                </c:pt>
                <c:pt idx="94">
                  <c:v>43349</c:v>
                </c:pt>
                <c:pt idx="95">
                  <c:v>43350</c:v>
                </c:pt>
                <c:pt idx="96">
                  <c:v>43353</c:v>
                </c:pt>
                <c:pt idx="97">
                  <c:v>43354</c:v>
                </c:pt>
                <c:pt idx="98">
                  <c:v>43355</c:v>
                </c:pt>
                <c:pt idx="99">
                  <c:v>43356</c:v>
                </c:pt>
                <c:pt idx="100">
                  <c:v>43357</c:v>
                </c:pt>
                <c:pt idx="101">
                  <c:v>43360</c:v>
                </c:pt>
                <c:pt idx="102">
                  <c:v>43361</c:v>
                </c:pt>
                <c:pt idx="103">
                  <c:v>43362</c:v>
                </c:pt>
                <c:pt idx="104">
                  <c:v>43363</c:v>
                </c:pt>
                <c:pt idx="105">
                  <c:v>43364</c:v>
                </c:pt>
                <c:pt idx="106">
                  <c:v>43368</c:v>
                </c:pt>
                <c:pt idx="107">
                  <c:v>43369</c:v>
                </c:pt>
                <c:pt idx="108">
                  <c:v>43370</c:v>
                </c:pt>
                <c:pt idx="109">
                  <c:v>43371</c:v>
                </c:pt>
                <c:pt idx="110">
                  <c:v>43372</c:v>
                </c:pt>
                <c:pt idx="111">
                  <c:v>43373</c:v>
                </c:pt>
                <c:pt idx="112">
                  <c:v>43381</c:v>
                </c:pt>
                <c:pt idx="113">
                  <c:v>43382</c:v>
                </c:pt>
                <c:pt idx="114">
                  <c:v>43383</c:v>
                </c:pt>
                <c:pt idx="115">
                  <c:v>43384</c:v>
                </c:pt>
                <c:pt idx="116">
                  <c:v>43385</c:v>
                </c:pt>
                <c:pt idx="117">
                  <c:v>43388</c:v>
                </c:pt>
                <c:pt idx="118">
                  <c:v>43389</c:v>
                </c:pt>
                <c:pt idx="119">
                  <c:v>43390</c:v>
                </c:pt>
                <c:pt idx="120">
                  <c:v>43391</c:v>
                </c:pt>
                <c:pt idx="121">
                  <c:v>43392</c:v>
                </c:pt>
                <c:pt idx="122">
                  <c:v>43395</c:v>
                </c:pt>
                <c:pt idx="123">
                  <c:v>43396</c:v>
                </c:pt>
                <c:pt idx="124">
                  <c:v>43397</c:v>
                </c:pt>
                <c:pt idx="125">
                  <c:v>43398</c:v>
                </c:pt>
                <c:pt idx="126">
                  <c:v>43399</c:v>
                </c:pt>
                <c:pt idx="127">
                  <c:v>43402</c:v>
                </c:pt>
                <c:pt idx="128">
                  <c:v>43403</c:v>
                </c:pt>
                <c:pt idx="129">
                  <c:v>43404</c:v>
                </c:pt>
                <c:pt idx="130">
                  <c:v>43405</c:v>
                </c:pt>
                <c:pt idx="131">
                  <c:v>43406</c:v>
                </c:pt>
                <c:pt idx="132">
                  <c:v>43410</c:v>
                </c:pt>
                <c:pt idx="133">
                  <c:v>43411</c:v>
                </c:pt>
                <c:pt idx="134">
                  <c:v>43412</c:v>
                </c:pt>
                <c:pt idx="135">
                  <c:v>43413</c:v>
                </c:pt>
                <c:pt idx="136">
                  <c:v>43416</c:v>
                </c:pt>
                <c:pt idx="137">
                  <c:v>43417</c:v>
                </c:pt>
                <c:pt idx="138">
                  <c:v>43418</c:v>
                </c:pt>
                <c:pt idx="139">
                  <c:v>43419</c:v>
                </c:pt>
                <c:pt idx="140">
                  <c:v>43420</c:v>
                </c:pt>
                <c:pt idx="141">
                  <c:v>43423</c:v>
                </c:pt>
                <c:pt idx="142">
                  <c:v>43424</c:v>
                </c:pt>
                <c:pt idx="143">
                  <c:v>43425</c:v>
                </c:pt>
                <c:pt idx="144">
                  <c:v>43426</c:v>
                </c:pt>
                <c:pt idx="145">
                  <c:v>43430</c:v>
                </c:pt>
                <c:pt idx="146">
                  <c:v>43431</c:v>
                </c:pt>
                <c:pt idx="147">
                  <c:v>43437</c:v>
                </c:pt>
                <c:pt idx="148">
                  <c:v>43438</c:v>
                </c:pt>
                <c:pt idx="149">
                  <c:v>43439</c:v>
                </c:pt>
                <c:pt idx="150">
                  <c:v>43440</c:v>
                </c:pt>
                <c:pt idx="151">
                  <c:v>43441</c:v>
                </c:pt>
                <c:pt idx="152">
                  <c:v>43444</c:v>
                </c:pt>
                <c:pt idx="153">
                  <c:v>43445</c:v>
                </c:pt>
                <c:pt idx="154">
                  <c:v>43446</c:v>
                </c:pt>
                <c:pt idx="155">
                  <c:v>43447</c:v>
                </c:pt>
                <c:pt idx="156">
                  <c:v>43448</c:v>
                </c:pt>
                <c:pt idx="157">
                  <c:v>43451</c:v>
                </c:pt>
                <c:pt idx="158">
                  <c:v>43452</c:v>
                </c:pt>
                <c:pt idx="159">
                  <c:v>43453</c:v>
                </c:pt>
                <c:pt idx="160">
                  <c:v>43454</c:v>
                </c:pt>
                <c:pt idx="161">
                  <c:v>43455</c:v>
                </c:pt>
                <c:pt idx="162">
                  <c:v>43458</c:v>
                </c:pt>
                <c:pt idx="163">
                  <c:v>43459</c:v>
                </c:pt>
                <c:pt idx="164">
                  <c:v>43460</c:v>
                </c:pt>
                <c:pt idx="165">
                  <c:v>43461</c:v>
                </c:pt>
                <c:pt idx="166">
                  <c:v>43462</c:v>
                </c:pt>
                <c:pt idx="167">
                  <c:v>43467</c:v>
                </c:pt>
                <c:pt idx="168">
                  <c:v>43468</c:v>
                </c:pt>
                <c:pt idx="169">
                  <c:v>43472</c:v>
                </c:pt>
                <c:pt idx="170">
                  <c:v>43473</c:v>
                </c:pt>
                <c:pt idx="171">
                  <c:v>43474</c:v>
                </c:pt>
                <c:pt idx="172">
                  <c:v>43475</c:v>
                </c:pt>
                <c:pt idx="173">
                  <c:v>43476</c:v>
                </c:pt>
                <c:pt idx="174">
                  <c:v>43479</c:v>
                </c:pt>
                <c:pt idx="175">
                  <c:v>43480</c:v>
                </c:pt>
                <c:pt idx="176">
                  <c:v>43481</c:v>
                </c:pt>
                <c:pt idx="177">
                  <c:v>43482</c:v>
                </c:pt>
                <c:pt idx="178">
                  <c:v>43483</c:v>
                </c:pt>
                <c:pt idx="179">
                  <c:v>43486</c:v>
                </c:pt>
                <c:pt idx="180">
                  <c:v>43487</c:v>
                </c:pt>
                <c:pt idx="181">
                  <c:v>43488</c:v>
                </c:pt>
                <c:pt idx="182">
                  <c:v>43489</c:v>
                </c:pt>
                <c:pt idx="183">
                  <c:v>43490</c:v>
                </c:pt>
                <c:pt idx="184">
                  <c:v>43493</c:v>
                </c:pt>
                <c:pt idx="185">
                  <c:v>43494</c:v>
                </c:pt>
                <c:pt idx="186">
                  <c:v>43495</c:v>
                </c:pt>
                <c:pt idx="187">
                  <c:v>43496</c:v>
                </c:pt>
                <c:pt idx="188">
                  <c:v>43507</c:v>
                </c:pt>
                <c:pt idx="189">
                  <c:v>43508</c:v>
                </c:pt>
                <c:pt idx="190">
                  <c:v>43509</c:v>
                </c:pt>
                <c:pt idx="191">
                  <c:v>43510</c:v>
                </c:pt>
                <c:pt idx="192">
                  <c:v>43511</c:v>
                </c:pt>
                <c:pt idx="193">
                  <c:v>43514</c:v>
                </c:pt>
                <c:pt idx="194">
                  <c:v>43515</c:v>
                </c:pt>
                <c:pt idx="195">
                  <c:v>43516</c:v>
                </c:pt>
                <c:pt idx="196">
                  <c:v>43517</c:v>
                </c:pt>
                <c:pt idx="197">
                  <c:v>43518</c:v>
                </c:pt>
                <c:pt idx="198">
                  <c:v>43521</c:v>
                </c:pt>
                <c:pt idx="199">
                  <c:v>43522</c:v>
                </c:pt>
                <c:pt idx="200">
                  <c:v>43523</c:v>
                </c:pt>
                <c:pt idx="201">
                  <c:v>43524</c:v>
                </c:pt>
                <c:pt idx="202">
                  <c:v>43525</c:v>
                </c:pt>
                <c:pt idx="203">
                  <c:v>43528</c:v>
                </c:pt>
                <c:pt idx="204">
                  <c:v>43529</c:v>
                </c:pt>
                <c:pt idx="205">
                  <c:v>43530</c:v>
                </c:pt>
                <c:pt idx="206">
                  <c:v>43531</c:v>
                </c:pt>
                <c:pt idx="207">
                  <c:v>43532</c:v>
                </c:pt>
                <c:pt idx="208">
                  <c:v>43535</c:v>
                </c:pt>
                <c:pt idx="209">
                  <c:v>43536</c:v>
                </c:pt>
                <c:pt idx="210">
                  <c:v>43537</c:v>
                </c:pt>
                <c:pt idx="211">
                  <c:v>43538</c:v>
                </c:pt>
                <c:pt idx="212">
                  <c:v>43539</c:v>
                </c:pt>
                <c:pt idx="213">
                  <c:v>43542</c:v>
                </c:pt>
                <c:pt idx="214">
                  <c:v>43543</c:v>
                </c:pt>
                <c:pt idx="215">
                  <c:v>43544</c:v>
                </c:pt>
                <c:pt idx="216">
                  <c:v>43545</c:v>
                </c:pt>
                <c:pt idx="217">
                  <c:v>43546</c:v>
                </c:pt>
                <c:pt idx="218">
                  <c:v>43549</c:v>
                </c:pt>
                <c:pt idx="219">
                  <c:v>43550</c:v>
                </c:pt>
                <c:pt idx="220">
                  <c:v>43551</c:v>
                </c:pt>
                <c:pt idx="221">
                  <c:v>43552</c:v>
                </c:pt>
                <c:pt idx="222">
                  <c:v>43556</c:v>
                </c:pt>
                <c:pt idx="223">
                  <c:v>43557</c:v>
                </c:pt>
                <c:pt idx="224">
                  <c:v>43558</c:v>
                </c:pt>
                <c:pt idx="225">
                  <c:v>43559</c:v>
                </c:pt>
                <c:pt idx="226">
                  <c:v>43563</c:v>
                </c:pt>
                <c:pt idx="227">
                  <c:v>43564</c:v>
                </c:pt>
                <c:pt idx="228">
                  <c:v>43565</c:v>
                </c:pt>
                <c:pt idx="229">
                  <c:v>43566</c:v>
                </c:pt>
                <c:pt idx="230">
                  <c:v>43567</c:v>
                </c:pt>
                <c:pt idx="231">
                  <c:v>43570</c:v>
                </c:pt>
                <c:pt idx="232">
                  <c:v>43571</c:v>
                </c:pt>
                <c:pt idx="233">
                  <c:v>43572</c:v>
                </c:pt>
                <c:pt idx="234">
                  <c:v>43573</c:v>
                </c:pt>
                <c:pt idx="235">
                  <c:v>43577</c:v>
                </c:pt>
                <c:pt idx="236">
                  <c:v>43578</c:v>
                </c:pt>
                <c:pt idx="237">
                  <c:v>43579</c:v>
                </c:pt>
                <c:pt idx="238">
                  <c:v>43580</c:v>
                </c:pt>
                <c:pt idx="239">
                  <c:v>43581</c:v>
                </c:pt>
                <c:pt idx="240">
                  <c:v>43595</c:v>
                </c:pt>
                <c:pt idx="241">
                  <c:v>43602</c:v>
                </c:pt>
                <c:pt idx="242">
                  <c:v>43609</c:v>
                </c:pt>
                <c:pt idx="243">
                  <c:v>43616</c:v>
                </c:pt>
                <c:pt idx="244">
                  <c:v>43637</c:v>
                </c:pt>
                <c:pt idx="245">
                  <c:v>43644</c:v>
                </c:pt>
              </c:numCache>
            </c:numRef>
          </c:cat>
          <c:val>
            <c:numRef>
              <c:f>'溶剂油周报-石脑油价格走势图表'!$F$367:$F$613</c:f>
              <c:numCache>
                <c:formatCode>0_ </c:formatCode>
                <c:ptCount val="247"/>
                <c:pt idx="0">
                  <c:v>6120</c:v>
                </c:pt>
                <c:pt idx="1">
                  <c:v>6120</c:v>
                </c:pt>
                <c:pt idx="2">
                  <c:v>6120</c:v>
                </c:pt>
                <c:pt idx="3">
                  <c:v>6120</c:v>
                </c:pt>
                <c:pt idx="4">
                  <c:v>6120</c:v>
                </c:pt>
                <c:pt idx="5">
                  <c:v>6120</c:v>
                </c:pt>
                <c:pt idx="6">
                  <c:v>6120</c:v>
                </c:pt>
                <c:pt idx="7">
                  <c:v>6120</c:v>
                </c:pt>
                <c:pt idx="8">
                  <c:v>6120</c:v>
                </c:pt>
                <c:pt idx="9">
                  <c:v>6120</c:v>
                </c:pt>
                <c:pt idx="10">
                  <c:v>6120</c:v>
                </c:pt>
                <c:pt idx="11">
                  <c:v>6120</c:v>
                </c:pt>
                <c:pt idx="12">
                  <c:v>6120</c:v>
                </c:pt>
                <c:pt idx="13">
                  <c:v>6120</c:v>
                </c:pt>
                <c:pt idx="14">
                  <c:v>6120</c:v>
                </c:pt>
                <c:pt idx="15">
                  <c:v>6120</c:v>
                </c:pt>
                <c:pt idx="16">
                  <c:v>6120</c:v>
                </c:pt>
                <c:pt idx="17">
                  <c:v>6120</c:v>
                </c:pt>
                <c:pt idx="18">
                  <c:v>6120</c:v>
                </c:pt>
                <c:pt idx="19">
                  <c:v>6120</c:v>
                </c:pt>
                <c:pt idx="20">
                  <c:v>6120</c:v>
                </c:pt>
                <c:pt idx="21">
                  <c:v>6120</c:v>
                </c:pt>
                <c:pt idx="22">
                  <c:v>6120</c:v>
                </c:pt>
                <c:pt idx="23">
                  <c:v>6120</c:v>
                </c:pt>
                <c:pt idx="24">
                  <c:v>6120</c:v>
                </c:pt>
                <c:pt idx="25">
                  <c:v>6120</c:v>
                </c:pt>
                <c:pt idx="26">
                  <c:v>6120</c:v>
                </c:pt>
                <c:pt idx="27">
                  <c:v>6120</c:v>
                </c:pt>
                <c:pt idx="28">
                  <c:v>6120</c:v>
                </c:pt>
                <c:pt idx="29">
                  <c:v>6120</c:v>
                </c:pt>
                <c:pt idx="30">
                  <c:v>6120</c:v>
                </c:pt>
                <c:pt idx="31">
                  <c:v>6120</c:v>
                </c:pt>
                <c:pt idx="32">
                  <c:v>6120</c:v>
                </c:pt>
                <c:pt idx="33">
                  <c:v>6120</c:v>
                </c:pt>
                <c:pt idx="34">
                  <c:v>6120</c:v>
                </c:pt>
                <c:pt idx="35">
                  <c:v>6120</c:v>
                </c:pt>
                <c:pt idx="36">
                  <c:v>6120</c:v>
                </c:pt>
                <c:pt idx="37">
                  <c:v>6120</c:v>
                </c:pt>
                <c:pt idx="38">
                  <c:v>6120</c:v>
                </c:pt>
                <c:pt idx="39">
                  <c:v>6120</c:v>
                </c:pt>
                <c:pt idx="40">
                  <c:v>6120</c:v>
                </c:pt>
                <c:pt idx="41">
                  <c:v>6120</c:v>
                </c:pt>
                <c:pt idx="42">
                  <c:v>6120</c:v>
                </c:pt>
                <c:pt idx="43">
                  <c:v>6120</c:v>
                </c:pt>
                <c:pt idx="44">
                  <c:v>6120</c:v>
                </c:pt>
                <c:pt idx="45">
                  <c:v>6120</c:v>
                </c:pt>
                <c:pt idx="46">
                  <c:v>6120</c:v>
                </c:pt>
                <c:pt idx="47">
                  <c:v>6120</c:v>
                </c:pt>
                <c:pt idx="48">
                  <c:v>6120</c:v>
                </c:pt>
                <c:pt idx="49">
                  <c:v>6120</c:v>
                </c:pt>
                <c:pt idx="50">
                  <c:v>6120</c:v>
                </c:pt>
                <c:pt idx="51">
                  <c:v>6120</c:v>
                </c:pt>
                <c:pt idx="52">
                  <c:v>6120</c:v>
                </c:pt>
                <c:pt idx="53">
                  <c:v>6120</c:v>
                </c:pt>
                <c:pt idx="54">
                  <c:v>6120</c:v>
                </c:pt>
                <c:pt idx="55">
                  <c:v>6120</c:v>
                </c:pt>
                <c:pt idx="56">
                  <c:v>6120</c:v>
                </c:pt>
                <c:pt idx="57">
                  <c:v>6120</c:v>
                </c:pt>
                <c:pt idx="58">
                  <c:v>6120</c:v>
                </c:pt>
                <c:pt idx="59">
                  <c:v>6120</c:v>
                </c:pt>
                <c:pt idx="60">
                  <c:v>6120</c:v>
                </c:pt>
                <c:pt idx="61">
                  <c:v>6120</c:v>
                </c:pt>
                <c:pt idx="62">
                  <c:v>6120</c:v>
                </c:pt>
                <c:pt idx="63">
                  <c:v>6120</c:v>
                </c:pt>
                <c:pt idx="64">
                  <c:v>6120</c:v>
                </c:pt>
                <c:pt idx="65">
                  <c:v>6120</c:v>
                </c:pt>
                <c:pt idx="66">
                  <c:v>6120</c:v>
                </c:pt>
                <c:pt idx="67">
                  <c:v>6120</c:v>
                </c:pt>
                <c:pt idx="68">
                  <c:v>6120</c:v>
                </c:pt>
                <c:pt idx="69">
                  <c:v>6120</c:v>
                </c:pt>
                <c:pt idx="70">
                  <c:v>6120</c:v>
                </c:pt>
                <c:pt idx="71">
                  <c:v>6120</c:v>
                </c:pt>
                <c:pt idx="72">
                  <c:v>6120</c:v>
                </c:pt>
                <c:pt idx="73">
                  <c:v>6120</c:v>
                </c:pt>
                <c:pt idx="74">
                  <c:v>6120</c:v>
                </c:pt>
                <c:pt idx="75">
                  <c:v>6120</c:v>
                </c:pt>
                <c:pt idx="76">
                  <c:v>6120</c:v>
                </c:pt>
                <c:pt idx="77">
                  <c:v>6120</c:v>
                </c:pt>
                <c:pt idx="78">
                  <c:v>6120</c:v>
                </c:pt>
                <c:pt idx="79">
                  <c:v>6120</c:v>
                </c:pt>
                <c:pt idx="80">
                  <c:v>6120</c:v>
                </c:pt>
                <c:pt idx="81">
                  <c:v>6120</c:v>
                </c:pt>
                <c:pt idx="82">
                  <c:v>6120</c:v>
                </c:pt>
                <c:pt idx="83">
                  <c:v>6120</c:v>
                </c:pt>
                <c:pt idx="84">
                  <c:v>6120</c:v>
                </c:pt>
                <c:pt idx="85">
                  <c:v>6120</c:v>
                </c:pt>
                <c:pt idx="86">
                  <c:v>6120</c:v>
                </c:pt>
                <c:pt idx="87">
                  <c:v>6120</c:v>
                </c:pt>
                <c:pt idx="88">
                  <c:v>6120</c:v>
                </c:pt>
                <c:pt idx="89">
                  <c:v>6120</c:v>
                </c:pt>
                <c:pt idx="90">
                  <c:v>6120</c:v>
                </c:pt>
                <c:pt idx="91">
                  <c:v>6120</c:v>
                </c:pt>
                <c:pt idx="92">
                  <c:v>6120</c:v>
                </c:pt>
                <c:pt idx="93">
                  <c:v>6120</c:v>
                </c:pt>
                <c:pt idx="94">
                  <c:v>6120</c:v>
                </c:pt>
                <c:pt idx="95">
                  <c:v>6120</c:v>
                </c:pt>
                <c:pt idx="96">
                  <c:v>6120</c:v>
                </c:pt>
                <c:pt idx="97">
                  <c:v>6120</c:v>
                </c:pt>
                <c:pt idx="98">
                  <c:v>6120</c:v>
                </c:pt>
                <c:pt idx="99">
                  <c:v>6120</c:v>
                </c:pt>
                <c:pt idx="100">
                  <c:v>6120</c:v>
                </c:pt>
                <c:pt idx="101">
                  <c:v>6120</c:v>
                </c:pt>
                <c:pt idx="102">
                  <c:v>6120</c:v>
                </c:pt>
                <c:pt idx="103">
                  <c:v>6120</c:v>
                </c:pt>
                <c:pt idx="104">
                  <c:v>6120</c:v>
                </c:pt>
                <c:pt idx="105">
                  <c:v>6120</c:v>
                </c:pt>
                <c:pt idx="106">
                  <c:v>6120</c:v>
                </c:pt>
                <c:pt idx="107">
                  <c:v>6120</c:v>
                </c:pt>
                <c:pt idx="108">
                  <c:v>6120</c:v>
                </c:pt>
                <c:pt idx="109">
                  <c:v>6120</c:v>
                </c:pt>
                <c:pt idx="110">
                  <c:v>6120</c:v>
                </c:pt>
                <c:pt idx="111">
                  <c:v>6120</c:v>
                </c:pt>
                <c:pt idx="112">
                  <c:v>6120</c:v>
                </c:pt>
                <c:pt idx="113">
                  <c:v>6120</c:v>
                </c:pt>
                <c:pt idx="114">
                  <c:v>6120</c:v>
                </c:pt>
                <c:pt idx="115">
                  <c:v>6120</c:v>
                </c:pt>
                <c:pt idx="116">
                  <c:v>6120</c:v>
                </c:pt>
                <c:pt idx="117">
                  <c:v>6120</c:v>
                </c:pt>
                <c:pt idx="118">
                  <c:v>6120</c:v>
                </c:pt>
                <c:pt idx="119">
                  <c:v>6120</c:v>
                </c:pt>
                <c:pt idx="120">
                  <c:v>6120</c:v>
                </c:pt>
                <c:pt idx="121">
                  <c:v>6120</c:v>
                </c:pt>
                <c:pt idx="122">
                  <c:v>6120</c:v>
                </c:pt>
                <c:pt idx="123">
                  <c:v>6120</c:v>
                </c:pt>
                <c:pt idx="124">
                  <c:v>6120</c:v>
                </c:pt>
                <c:pt idx="125">
                  <c:v>6120</c:v>
                </c:pt>
                <c:pt idx="126">
                  <c:v>6120</c:v>
                </c:pt>
                <c:pt idx="127">
                  <c:v>6120</c:v>
                </c:pt>
                <c:pt idx="128">
                  <c:v>6120</c:v>
                </c:pt>
                <c:pt idx="129">
                  <c:v>6120</c:v>
                </c:pt>
                <c:pt idx="130">
                  <c:v>6120</c:v>
                </c:pt>
                <c:pt idx="131">
                  <c:v>6950</c:v>
                </c:pt>
                <c:pt idx="132">
                  <c:v>6950</c:v>
                </c:pt>
                <c:pt idx="133">
                  <c:v>6950</c:v>
                </c:pt>
                <c:pt idx="134">
                  <c:v>6950</c:v>
                </c:pt>
                <c:pt idx="135">
                  <c:v>6950</c:v>
                </c:pt>
                <c:pt idx="136">
                  <c:v>6650</c:v>
                </c:pt>
                <c:pt idx="137">
                  <c:v>6650</c:v>
                </c:pt>
                <c:pt idx="138">
                  <c:v>6650</c:v>
                </c:pt>
                <c:pt idx="139">
                  <c:v>6200</c:v>
                </c:pt>
                <c:pt idx="140">
                  <c:v>6200</c:v>
                </c:pt>
                <c:pt idx="141">
                  <c:v>6300</c:v>
                </c:pt>
                <c:pt idx="142">
                  <c:v>6300</c:v>
                </c:pt>
                <c:pt idx="143">
                  <c:v>6300</c:v>
                </c:pt>
                <c:pt idx="144">
                  <c:v>6300</c:v>
                </c:pt>
                <c:pt idx="145">
                  <c:v>5900</c:v>
                </c:pt>
                <c:pt idx="146">
                  <c:v>5900</c:v>
                </c:pt>
                <c:pt idx="147">
                  <c:v>5950</c:v>
                </c:pt>
                <c:pt idx="148">
                  <c:v>6150</c:v>
                </c:pt>
                <c:pt idx="149">
                  <c:v>6150</c:v>
                </c:pt>
                <c:pt idx="150">
                  <c:v>6150</c:v>
                </c:pt>
                <c:pt idx="151">
                  <c:v>6250</c:v>
                </c:pt>
                <c:pt idx="152">
                  <c:v>6200</c:v>
                </c:pt>
                <c:pt idx="153">
                  <c:v>6200</c:v>
                </c:pt>
                <c:pt idx="154">
                  <c:v>6200</c:v>
                </c:pt>
                <c:pt idx="155">
                  <c:v>6200</c:v>
                </c:pt>
                <c:pt idx="156">
                  <c:v>6200</c:v>
                </c:pt>
                <c:pt idx="157">
                  <c:v>6200</c:v>
                </c:pt>
                <c:pt idx="158">
                  <c:v>6200</c:v>
                </c:pt>
                <c:pt idx="159">
                  <c:v>6200</c:v>
                </c:pt>
                <c:pt idx="160">
                  <c:v>6200</c:v>
                </c:pt>
                <c:pt idx="161">
                  <c:v>6200</c:v>
                </c:pt>
                <c:pt idx="162">
                  <c:v>5700</c:v>
                </c:pt>
                <c:pt idx="163">
                  <c:v>5700</c:v>
                </c:pt>
                <c:pt idx="164">
                  <c:v>5700</c:v>
                </c:pt>
                <c:pt idx="165">
                  <c:v>5700</c:v>
                </c:pt>
                <c:pt idx="166">
                  <c:v>5700</c:v>
                </c:pt>
                <c:pt idx="167">
                  <c:v>5600</c:v>
                </c:pt>
                <c:pt idx="168">
                  <c:v>5600</c:v>
                </c:pt>
                <c:pt idx="169">
                  <c:v>5600</c:v>
                </c:pt>
                <c:pt idx="170">
                  <c:v>5600</c:v>
                </c:pt>
                <c:pt idx="171">
                  <c:v>5600</c:v>
                </c:pt>
                <c:pt idx="172">
                  <c:v>5600</c:v>
                </c:pt>
                <c:pt idx="173">
                  <c:v>5600</c:v>
                </c:pt>
                <c:pt idx="174">
                  <c:v>5600</c:v>
                </c:pt>
                <c:pt idx="175">
                  <c:v>5600</c:v>
                </c:pt>
                <c:pt idx="176">
                  <c:v>5600</c:v>
                </c:pt>
                <c:pt idx="177">
                  <c:v>5600</c:v>
                </c:pt>
                <c:pt idx="178">
                  <c:v>5600</c:v>
                </c:pt>
                <c:pt idx="179">
                  <c:v>5600</c:v>
                </c:pt>
                <c:pt idx="180">
                  <c:v>5600</c:v>
                </c:pt>
                <c:pt idx="181">
                  <c:v>5600</c:v>
                </c:pt>
                <c:pt idx="182">
                  <c:v>5600</c:v>
                </c:pt>
                <c:pt idx="183">
                  <c:v>5600</c:v>
                </c:pt>
                <c:pt idx="184">
                  <c:v>5600</c:v>
                </c:pt>
                <c:pt idx="185">
                  <c:v>5600</c:v>
                </c:pt>
                <c:pt idx="186">
                  <c:v>5600</c:v>
                </c:pt>
                <c:pt idx="187">
                  <c:v>5600</c:v>
                </c:pt>
                <c:pt idx="188">
                  <c:v>5600</c:v>
                </c:pt>
                <c:pt idx="189">
                  <c:v>5600</c:v>
                </c:pt>
                <c:pt idx="190">
                  <c:v>5600</c:v>
                </c:pt>
                <c:pt idx="191">
                  <c:v>5600</c:v>
                </c:pt>
                <c:pt idx="192">
                  <c:v>5600</c:v>
                </c:pt>
                <c:pt idx="193">
                  <c:v>5600</c:v>
                </c:pt>
                <c:pt idx="194">
                  <c:v>5600</c:v>
                </c:pt>
                <c:pt idx="195">
                  <c:v>5600</c:v>
                </c:pt>
                <c:pt idx="196">
                  <c:v>5600</c:v>
                </c:pt>
                <c:pt idx="197">
                  <c:v>5600</c:v>
                </c:pt>
                <c:pt idx="198">
                  <c:v>5600</c:v>
                </c:pt>
                <c:pt idx="199">
                  <c:v>5600</c:v>
                </c:pt>
                <c:pt idx="200">
                  <c:v>5600</c:v>
                </c:pt>
                <c:pt idx="201">
                  <c:v>5600</c:v>
                </c:pt>
                <c:pt idx="202">
                  <c:v>5600</c:v>
                </c:pt>
                <c:pt idx="203">
                  <c:v>5600</c:v>
                </c:pt>
                <c:pt idx="204">
                  <c:v>5600</c:v>
                </c:pt>
                <c:pt idx="205">
                  <c:v>5600</c:v>
                </c:pt>
                <c:pt idx="206">
                  <c:v>5600</c:v>
                </c:pt>
                <c:pt idx="207">
                  <c:v>5600</c:v>
                </c:pt>
                <c:pt idx="208">
                  <c:v>5600</c:v>
                </c:pt>
                <c:pt idx="209">
                  <c:v>5600</c:v>
                </c:pt>
                <c:pt idx="210">
                  <c:v>5600</c:v>
                </c:pt>
                <c:pt idx="211">
                  <c:v>5600</c:v>
                </c:pt>
                <c:pt idx="212">
                  <c:v>5600</c:v>
                </c:pt>
                <c:pt idx="213">
                  <c:v>5600</c:v>
                </c:pt>
                <c:pt idx="214">
                  <c:v>5600</c:v>
                </c:pt>
                <c:pt idx="215">
                  <c:v>5600</c:v>
                </c:pt>
                <c:pt idx="216">
                  <c:v>5600</c:v>
                </c:pt>
                <c:pt idx="217">
                  <c:v>5600</c:v>
                </c:pt>
                <c:pt idx="218">
                  <c:v>5600</c:v>
                </c:pt>
                <c:pt idx="219">
                  <c:v>5600</c:v>
                </c:pt>
                <c:pt idx="220">
                  <c:v>6200</c:v>
                </c:pt>
                <c:pt idx="221">
                  <c:v>6200</c:v>
                </c:pt>
                <c:pt idx="222">
                  <c:v>6200</c:v>
                </c:pt>
                <c:pt idx="223">
                  <c:v>6250</c:v>
                </c:pt>
                <c:pt idx="224">
                  <c:v>6250</c:v>
                </c:pt>
                <c:pt idx="225">
                  <c:v>6250</c:v>
                </c:pt>
                <c:pt idx="226">
                  <c:v>6250</c:v>
                </c:pt>
                <c:pt idx="227">
                  <c:v>6250</c:v>
                </c:pt>
                <c:pt idx="228">
                  <c:v>6250</c:v>
                </c:pt>
                <c:pt idx="229">
                  <c:v>6250</c:v>
                </c:pt>
                <c:pt idx="230">
                  <c:v>6250</c:v>
                </c:pt>
                <c:pt idx="231">
                  <c:v>6250</c:v>
                </c:pt>
                <c:pt idx="232">
                  <c:v>6250</c:v>
                </c:pt>
                <c:pt idx="233">
                  <c:v>6250</c:v>
                </c:pt>
                <c:pt idx="234">
                  <c:v>6250</c:v>
                </c:pt>
                <c:pt idx="235">
                  <c:v>6250</c:v>
                </c:pt>
                <c:pt idx="236">
                  <c:v>6250</c:v>
                </c:pt>
                <c:pt idx="237">
                  <c:v>6250</c:v>
                </c:pt>
                <c:pt idx="238">
                  <c:v>6250</c:v>
                </c:pt>
                <c:pt idx="239">
                  <c:v>6250</c:v>
                </c:pt>
                <c:pt idx="240">
                  <c:v>6250</c:v>
                </c:pt>
                <c:pt idx="241">
                  <c:v>6250</c:v>
                </c:pt>
                <c:pt idx="242">
                  <c:v>6250</c:v>
                </c:pt>
                <c:pt idx="243">
                  <c:v>6250</c:v>
                </c:pt>
                <c:pt idx="244">
                  <c:v>6250</c:v>
                </c:pt>
                <c:pt idx="245">
                  <c:v>6250</c:v>
                </c:pt>
              </c:numCache>
            </c:numRef>
          </c:val>
        </c:ser>
        <c:marker val="1"/>
        <c:axId val="98995584"/>
        <c:axId val="126522496"/>
      </c:lineChart>
      <c:dateAx>
        <c:axId val="98995584"/>
        <c:scaling>
          <c:orientation val="minMax"/>
          <c:max val="43637"/>
          <c:min val="43251"/>
        </c:scaling>
        <c:axPos val="b"/>
        <c:numFmt formatCode="yyyy/m/d" sourceLinked="0"/>
        <c:tickLblPos val="nextTo"/>
        <c:txPr>
          <a:bodyPr rot="-2700000" vert="horz"/>
          <a:lstStyle/>
          <a:p>
            <a:pPr>
              <a:defRPr sz="1000" b="0" i="0" u="none" strike="noStrike" baseline="0">
                <a:solidFill>
                  <a:srgbClr val="000000"/>
                </a:solidFill>
                <a:latin typeface="宋体"/>
                <a:ea typeface="宋体"/>
                <a:cs typeface="宋体"/>
              </a:defRPr>
            </a:pPr>
            <a:endParaRPr lang="zh-CN"/>
          </a:p>
        </c:txPr>
        <c:crossAx val="126522496"/>
        <c:crosses val="autoZero"/>
        <c:auto val="1"/>
        <c:lblOffset val="100"/>
        <c:baseTimeUnit val="days"/>
      </c:dateAx>
      <c:valAx>
        <c:axId val="126522496"/>
        <c:scaling>
          <c:orientation val="minMax"/>
          <c:min val="5000"/>
        </c:scaling>
        <c:axPos val="l"/>
        <c:majorGridlines/>
        <c:numFmt formatCode="0_ " sourceLinked="1"/>
        <c:tickLblPos val="nextTo"/>
        <c:txPr>
          <a:bodyPr rot="0" vert="horz"/>
          <a:lstStyle/>
          <a:p>
            <a:pPr>
              <a:defRPr sz="1000" b="0" i="0" u="none" strike="noStrike" baseline="0">
                <a:solidFill>
                  <a:srgbClr val="000000"/>
                </a:solidFill>
                <a:latin typeface="宋体"/>
                <a:ea typeface="宋体"/>
                <a:cs typeface="宋体"/>
              </a:defRPr>
            </a:pPr>
            <a:endParaRPr lang="zh-CN"/>
          </a:p>
        </c:txPr>
        <c:crossAx val="98995584"/>
        <c:crosses val="autoZero"/>
        <c:crossBetween val="between"/>
      </c:valAx>
      <c:spPr>
        <a:ln>
          <a:solidFill>
            <a:schemeClr val="bg1">
              <a:lumMod val="85000"/>
            </a:schemeClr>
          </a:solidFill>
        </a:ln>
      </c:spPr>
    </c:plotArea>
    <c:legend>
      <c:legendPos val="r"/>
      <c:layout>
        <c:manualLayout>
          <c:xMode val="edge"/>
          <c:yMode val="edge"/>
          <c:x val="2.7777841638408414E-2"/>
          <c:y val="0.91107736532933359"/>
          <c:w val="0.97025001436864344"/>
          <c:h val="4.5749906261717273E-2"/>
        </c:manualLayout>
      </c:layout>
      <c:txPr>
        <a:bodyPr/>
        <a:lstStyle/>
        <a:p>
          <a:pPr>
            <a:defRPr sz="920" b="0" i="0" u="none" strike="noStrike" baseline="0">
              <a:solidFill>
                <a:srgbClr val="000000"/>
              </a:solidFill>
              <a:latin typeface="宋体"/>
              <a:ea typeface="宋体"/>
              <a:cs typeface="宋体"/>
            </a:defRPr>
          </a:pPr>
          <a:endParaRPr lang="zh-CN"/>
        </a:p>
      </c:txPr>
    </c:legend>
    <c:plotVisOnly val="1"/>
    <c:dispBlanksAs val="gap"/>
  </c:chart>
  <c:txPr>
    <a:bodyPr/>
    <a:lstStyle/>
    <a:p>
      <a:pPr>
        <a:defRPr sz="1000" b="0" i="0" u="none" strike="noStrike" baseline="0">
          <a:solidFill>
            <a:srgbClr val="000000"/>
          </a:solidFill>
          <a:latin typeface="宋体"/>
          <a:ea typeface="宋体"/>
          <a:cs typeface="宋体"/>
        </a:defRPr>
      </a:pPr>
      <a:endParaRPr lang="zh-CN"/>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0.39593</cdr:x>
      <cdr:y>0.02664</cdr:y>
    </cdr:from>
    <cdr:to>
      <cdr:x>0.7409</cdr:x>
      <cdr:y>0.15221</cdr:y>
    </cdr:to>
    <cdr:sp macro="" textlink="">
      <cdr:nvSpPr>
        <cdr:cNvPr id="2" name="TextBox 1"/>
        <cdr:cNvSpPr/>
      </cdr:nvSpPr>
      <cdr:spPr>
        <a:xfrm xmlns:a="http://schemas.openxmlformats.org/drawingml/2006/main">
          <a:off x="1590651" y="66664"/>
          <a:ext cx="2086001" cy="3143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100"/>
            <a:t>山东地炼石脑油价格走势图</a:t>
          </a:r>
        </a:p>
      </cdr:txBody>
    </cdr:sp>
  </cdr:relSizeAnchor>
  <cdr:relSizeAnchor xmlns:cdr="http://schemas.openxmlformats.org/drawingml/2006/chartDrawing">
    <cdr:from>
      <cdr:x>0.02272</cdr:x>
      <cdr:y>0.03274</cdr:y>
    </cdr:from>
    <cdr:to>
      <cdr:x>0.26167</cdr:x>
      <cdr:y>0.11012</cdr:y>
    </cdr:to>
    <cdr:sp macro="" textlink="">
      <cdr:nvSpPr>
        <cdr:cNvPr id="3" name="TextBox 2"/>
        <cdr:cNvSpPr/>
      </cdr:nvSpPr>
      <cdr:spPr>
        <a:xfrm xmlns:a="http://schemas.openxmlformats.org/drawingml/2006/main">
          <a:off x="118573" y="104776"/>
          <a:ext cx="1247246"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050"/>
            <a:t>元</a:t>
          </a:r>
          <a:r>
            <a:rPr lang="en-US" altLang="zh-CN" sz="1050"/>
            <a:t>/</a:t>
          </a:r>
          <a:r>
            <a:rPr lang="zh-CN" altLang="en-US" sz="1050"/>
            <a:t>吨</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95F7CE46-A126-463F-9E4B-69A526132B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46</Pages>
  <Words>2752</Words>
  <Characters>15687</Characters>
  <Application>Microsoft Office Word</Application>
  <DocSecurity>0</DocSecurity>
  <Lines>130</Lines>
  <Paragraphs>36</Paragraphs>
  <ScaleCrop>false</ScaleCrop>
  <Company>china</Company>
  <LinksUpToDate>false</LinksUpToDate>
  <CharactersWithSpaces>18403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299</cp:revision>
  <dcterms:created xsi:type="dcterms:W3CDTF">2018-08-31T06:57:00Z</dcterms:created>
  <dcterms:modified xsi:type="dcterms:W3CDTF">2019-07-12T08:29:00Z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