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-1395730</wp:posOffset>
            </wp:positionH>
            <wp:positionV relativeFrom="paragraph">
              <wp:posOffset>27940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eastAsia"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7</w:t>
      </w:r>
      <w:r>
        <w:rPr>
          <w:rFonts w:hint="eastAsia" w:ascii="宋体" w:hAnsi="宋体"/>
          <w:b/>
          <w:sz w:val="30"/>
          <w:szCs w:val="30"/>
        </w:rPr>
        <w:t>.</w:t>
      </w:r>
      <w:bookmarkStart w:id="0" w:name="_top"/>
      <w:bookmarkEnd w:id="0"/>
      <w:r>
        <w:rPr>
          <w:rFonts w:hint="eastAsia" w:ascii="宋体" w:hAnsi="宋体"/>
          <w:b/>
          <w:sz w:val="30"/>
          <w:szCs w:val="30"/>
          <w:lang w:val="en-US" w:eastAsia="zh-CN"/>
        </w:rPr>
        <w:t>4</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1" w:name="_Toc533771861"/>
      <w:r>
        <w:rPr>
          <w:rFonts w:hint="eastAsia"/>
        </w:rPr>
        <w:t>一、国际原油市场回顾</w:t>
      </w:r>
      <w:bookmarkEnd w:id="1"/>
      <w:r>
        <w:rPr>
          <w:rFonts w:hint="eastAsia"/>
        </w:rPr>
        <w:t> </w:t>
      </w:r>
    </w:p>
    <w:p>
      <w:pPr>
        <w:pStyle w:val="3"/>
        <w:spacing w:before="120" w:after="120" w:line="240" w:lineRule="auto"/>
        <w:rPr>
          <w:rFonts w:ascii="宋体" w:hAnsi="宋体"/>
          <w:b/>
          <w:sz w:val="30"/>
          <w:szCs w:val="30"/>
        </w:rPr>
      </w:pPr>
      <w:bookmarkStart w:id="2" w:name="_Toc533771862"/>
      <w:r>
        <w:rPr>
          <w:rFonts w:hint="eastAsia" w:ascii="宋体" w:hAnsi="宋体"/>
          <w:b/>
          <w:sz w:val="30"/>
          <w:szCs w:val="30"/>
        </w:rPr>
        <w:t>1.1国际原油收盘价涨跌情况（单位：美元/桶）</w:t>
      </w:r>
      <w:bookmarkEnd w:id="2"/>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2019-</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57.34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63.82</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aps w:val="0"/>
                <w:color w:val="333335"/>
                <w:spacing w:val="0"/>
                <w:sz w:val="24"/>
                <w:szCs w:val="24"/>
                <w:shd w:val="clear" w:color="auto" w:fill="FFFFFF"/>
              </w:rPr>
              <w:t>即使降幅不及市场预期，但美国原油库存继续下降依然为油价提供支撑，此外OPEC减产对市场的提振效果开始显现，周三油价收盘回涨。</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2019-</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56.25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62.4</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i w:val="0"/>
                <w:caps w:val="0"/>
                <w:color w:val="333335"/>
                <w:spacing w:val="0"/>
                <w:sz w:val="24"/>
                <w:szCs w:val="24"/>
                <w:shd w:val="clear" w:color="auto" w:fill="FFFFFF"/>
              </w:rPr>
              <w:t>经济放缓忧虑令原油需求前景面临严峻考验，暂时抵消了石油输出国组织(OPEC)及其盟国延长减产带来的利好影响。</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rPr>
              <w:t>2019-</w:t>
            </w:r>
            <w:r>
              <w:rPr>
                <w:rFonts w:hint="eastAsia" w:asciiTheme="minorEastAsia" w:hAnsiTheme="minorEastAsia" w:eastAsiaTheme="minorEastAsia" w:cstheme="minorEastAsia"/>
                <w:color w:val="000000"/>
                <w:sz w:val="24"/>
                <w:szCs w:val="24"/>
                <w:lang w:val="en-US" w:eastAsia="zh-CN"/>
              </w:rPr>
              <w:t>7-1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59.09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65.06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i w:val="0"/>
                <w:caps w:val="0"/>
                <w:color w:val="333335"/>
                <w:spacing w:val="0"/>
                <w:sz w:val="24"/>
                <w:szCs w:val="24"/>
                <w:shd w:val="clear" w:color="auto" w:fill="FFFFFF"/>
              </w:rPr>
              <w:t>石油输出国组织</w:t>
            </w:r>
            <w:r>
              <w:rPr>
                <w:rFonts w:hint="eastAsia" w:asciiTheme="minorEastAsia" w:hAnsiTheme="minorEastAsia" w:eastAsiaTheme="minorEastAsia" w:cstheme="minorEastAsia"/>
                <w:i w:val="0"/>
                <w:caps w:val="0"/>
                <w:color w:val="333335"/>
                <w:spacing w:val="0"/>
                <w:sz w:val="24"/>
                <w:szCs w:val="24"/>
                <w:shd w:val="clear" w:color="auto" w:fill="FFFFFF"/>
                <w:lang w:val="en-US"/>
              </w:rPr>
              <w:t>(OPEC)</w:t>
            </w:r>
            <w:r>
              <w:rPr>
                <w:rFonts w:hint="eastAsia" w:asciiTheme="minorEastAsia" w:hAnsiTheme="minorEastAsia" w:eastAsiaTheme="minorEastAsia" w:cstheme="minorEastAsia"/>
                <w:i w:val="0"/>
                <w:caps w:val="0"/>
                <w:color w:val="333335"/>
                <w:spacing w:val="0"/>
                <w:sz w:val="24"/>
                <w:szCs w:val="24"/>
                <w:shd w:val="clear" w:color="auto" w:fill="FFFFFF"/>
              </w:rPr>
              <w:t>最终达成一致同意将减产协议延长</w:t>
            </w:r>
            <w:r>
              <w:rPr>
                <w:rFonts w:hint="eastAsia" w:asciiTheme="minorEastAsia" w:hAnsiTheme="minorEastAsia" w:eastAsiaTheme="minorEastAsia" w:cstheme="minorEastAsia"/>
                <w:i w:val="0"/>
                <w:caps w:val="0"/>
                <w:color w:val="333335"/>
                <w:spacing w:val="0"/>
                <w:sz w:val="24"/>
                <w:szCs w:val="24"/>
                <w:shd w:val="clear" w:color="auto" w:fill="FFFFFF"/>
                <w:lang w:val="en-US"/>
              </w:rPr>
              <w:t>9</w:t>
            </w:r>
            <w:r>
              <w:rPr>
                <w:rFonts w:hint="eastAsia" w:asciiTheme="minorEastAsia" w:hAnsiTheme="minorEastAsia" w:eastAsiaTheme="minorEastAsia" w:cstheme="minorEastAsia"/>
                <w:i w:val="0"/>
                <w:caps w:val="0"/>
                <w:color w:val="333335"/>
                <w:spacing w:val="0"/>
                <w:sz w:val="24"/>
                <w:szCs w:val="24"/>
                <w:shd w:val="clear" w:color="auto" w:fill="FFFFFF"/>
              </w:rPr>
              <w:t>个月，这令原油多头信心受到鼓舞。同时中美双方同意重启谈判也令市场风险情绪获得改善。</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2019-6-2</w:t>
            </w:r>
            <w:r>
              <w:rPr>
                <w:rFonts w:hint="eastAsia" w:asciiTheme="minorEastAsia" w:hAnsiTheme="minorEastAsia" w:eastAsiaTheme="minorEastAsia" w:cstheme="minorEastAsia"/>
                <w:color w:val="000000"/>
                <w:sz w:val="24"/>
                <w:szCs w:val="24"/>
                <w:lang w:val="en-US" w:eastAsia="zh-CN"/>
              </w:rPr>
              <w:t>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58.47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65.55</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i w:val="0"/>
                <w:caps w:val="0"/>
                <w:color w:val="333335"/>
                <w:spacing w:val="0"/>
                <w:sz w:val="24"/>
                <w:szCs w:val="24"/>
                <w:shd w:val="clear" w:color="auto" w:fill="FFFFFF"/>
                <w:lang w:val="en-US"/>
              </w:rPr>
              <w:t>EIA</w:t>
            </w:r>
            <w:r>
              <w:rPr>
                <w:rFonts w:hint="eastAsia" w:asciiTheme="minorEastAsia" w:hAnsiTheme="minorEastAsia" w:eastAsiaTheme="minorEastAsia" w:cstheme="minorEastAsia"/>
                <w:i w:val="0"/>
                <w:caps w:val="0"/>
                <w:color w:val="333335"/>
                <w:spacing w:val="0"/>
                <w:sz w:val="24"/>
                <w:szCs w:val="24"/>
                <w:shd w:val="clear" w:color="auto" w:fill="FFFFFF"/>
              </w:rPr>
              <w:t>发布数据显示美国原油产量升至纪录高位令油价承压下滑。</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2019-6-2</w:t>
            </w:r>
            <w:r>
              <w:rPr>
                <w:rFonts w:hint="eastAsia" w:asciiTheme="minorEastAsia" w:hAnsiTheme="minorEastAsia" w:eastAsiaTheme="minorEastAsia" w:cstheme="minorEastAsia"/>
                <w:color w:val="000000"/>
                <w:sz w:val="24"/>
                <w:szCs w:val="24"/>
                <w:lang w:val="en-US" w:eastAsia="zh-CN"/>
              </w:rPr>
              <w:t>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59.43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66.55</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i w:val="0"/>
                <w:caps w:val="0"/>
                <w:color w:val="333335"/>
                <w:spacing w:val="0"/>
                <w:sz w:val="24"/>
                <w:szCs w:val="24"/>
                <w:shd w:val="clear" w:color="auto" w:fill="FFFFFF"/>
              </w:rPr>
              <w:t>油价大涨之后</w:t>
            </w:r>
            <w:r>
              <w:rPr>
                <w:rFonts w:hint="eastAsia" w:asciiTheme="minorEastAsia" w:hAnsiTheme="minorEastAsia" w:eastAsiaTheme="minorEastAsia" w:cstheme="minorEastAsia"/>
                <w:i w:val="0"/>
                <w:caps w:val="0"/>
                <w:color w:val="333335"/>
                <w:spacing w:val="0"/>
                <w:sz w:val="24"/>
                <w:szCs w:val="24"/>
                <w:shd w:val="clear" w:color="auto" w:fill="FFFFFF"/>
                <w:lang w:val="en-US"/>
              </w:rPr>
              <w:t>,</w:t>
            </w:r>
            <w:r>
              <w:rPr>
                <w:rFonts w:hint="eastAsia" w:asciiTheme="minorEastAsia" w:hAnsiTheme="minorEastAsia" w:eastAsiaTheme="minorEastAsia" w:cstheme="minorEastAsia"/>
                <w:i w:val="0"/>
                <w:caps w:val="0"/>
                <w:color w:val="333335"/>
                <w:spacing w:val="0"/>
                <w:sz w:val="24"/>
                <w:szCs w:val="24"/>
                <w:shd w:val="clear" w:color="auto" w:fill="FFFFFF"/>
              </w:rPr>
              <w:t>市场在</w:t>
            </w:r>
            <w:r>
              <w:rPr>
                <w:rFonts w:hint="eastAsia" w:asciiTheme="minorEastAsia" w:hAnsiTheme="minorEastAsia" w:eastAsiaTheme="minorEastAsia" w:cstheme="minorEastAsia"/>
                <w:i w:val="0"/>
                <w:caps w:val="0"/>
                <w:color w:val="333335"/>
                <w:spacing w:val="0"/>
                <w:sz w:val="24"/>
                <w:szCs w:val="24"/>
                <w:shd w:val="clear" w:color="auto" w:fill="FFFFFF"/>
                <w:lang w:val="en-US"/>
              </w:rPr>
              <w:t>G20</w:t>
            </w:r>
            <w:r>
              <w:rPr>
                <w:rFonts w:hint="eastAsia" w:asciiTheme="minorEastAsia" w:hAnsiTheme="minorEastAsia" w:eastAsiaTheme="minorEastAsia" w:cstheme="minorEastAsia"/>
                <w:i w:val="0"/>
                <w:caps w:val="0"/>
                <w:color w:val="333335"/>
                <w:spacing w:val="0"/>
                <w:sz w:val="24"/>
                <w:szCs w:val="24"/>
                <w:shd w:val="clear" w:color="auto" w:fill="FFFFFF"/>
              </w:rPr>
              <w:t>峰会及</w:t>
            </w:r>
            <w:r>
              <w:rPr>
                <w:rFonts w:hint="eastAsia" w:asciiTheme="minorEastAsia" w:hAnsiTheme="minorEastAsia" w:eastAsiaTheme="minorEastAsia" w:cstheme="minorEastAsia"/>
                <w:i w:val="0"/>
                <w:caps w:val="0"/>
                <w:color w:val="333335"/>
                <w:spacing w:val="0"/>
                <w:sz w:val="24"/>
                <w:szCs w:val="24"/>
                <w:shd w:val="clear" w:color="auto" w:fill="FFFFFF"/>
                <w:lang w:val="en-US"/>
              </w:rPr>
              <w:t>OPEC</w:t>
            </w:r>
            <w:r>
              <w:rPr>
                <w:rFonts w:hint="eastAsia" w:asciiTheme="minorEastAsia" w:hAnsiTheme="minorEastAsia" w:eastAsiaTheme="minorEastAsia" w:cstheme="minorEastAsia"/>
                <w:i w:val="0"/>
                <w:caps w:val="0"/>
                <w:color w:val="333335"/>
                <w:spacing w:val="0"/>
                <w:sz w:val="24"/>
                <w:szCs w:val="24"/>
                <w:shd w:val="clear" w:color="auto" w:fill="FFFFFF"/>
              </w:rPr>
              <w:t>会议前仍旧保持谨慎态度</w:t>
            </w:r>
            <w:r>
              <w:rPr>
                <w:rFonts w:hint="eastAsia" w:asciiTheme="minorEastAsia" w:hAnsiTheme="minorEastAsia" w:eastAsiaTheme="minorEastAsia" w:cstheme="minorEastAsia"/>
                <w:i w:val="0"/>
                <w:caps w:val="0"/>
                <w:color w:val="333335"/>
                <w:spacing w:val="0"/>
                <w:sz w:val="24"/>
                <w:szCs w:val="24"/>
                <w:shd w:val="clear" w:color="auto" w:fill="FFFFFF"/>
                <w:lang w:val="en-US"/>
              </w:rPr>
              <w:t>,</w:t>
            </w:r>
            <w:r>
              <w:rPr>
                <w:rFonts w:hint="eastAsia" w:asciiTheme="minorEastAsia" w:hAnsiTheme="minorEastAsia" w:eastAsiaTheme="minorEastAsia" w:cstheme="minorEastAsia"/>
                <w:i w:val="0"/>
                <w:caps w:val="0"/>
                <w:color w:val="333335"/>
                <w:spacing w:val="0"/>
                <w:sz w:val="24"/>
                <w:szCs w:val="24"/>
                <w:shd w:val="clear" w:color="auto" w:fill="FFFFFF"/>
              </w:rPr>
              <w:t>原油收盘仅小幅上涨。</w:t>
            </w:r>
          </w:p>
        </w:tc>
      </w:tr>
    </w:tbl>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p/>
    <w:p>
      <w:pPr>
        <w:pStyle w:val="3"/>
        <w:spacing w:before="120" w:after="120" w:line="240" w:lineRule="auto"/>
        <w:rPr>
          <w:rFonts w:ascii="宋体" w:hAnsi="宋体"/>
          <w:b/>
          <w:sz w:val="30"/>
          <w:szCs w:val="30"/>
        </w:rPr>
      </w:pPr>
      <w:bookmarkStart w:id="3"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3"/>
    </w:p>
    <w:p>
      <w:pPr>
        <w:jc w:val="center"/>
      </w:pPr>
      <w:r>
        <w:drawing>
          <wp:inline distT="0" distB="0" distL="114300" distR="114300">
            <wp:extent cx="4762500" cy="40767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762500" cy="4076700"/>
                    </a:xfrm>
                    <a:prstGeom prst="rect">
                      <a:avLst/>
                    </a:prstGeom>
                    <a:noFill/>
                    <a:ln>
                      <a:noFill/>
                    </a:ln>
                  </pic:spPr>
                </pic:pic>
              </a:graphicData>
            </a:graphic>
          </wp:inline>
        </w:drawing>
      </w:r>
    </w:p>
    <w:p>
      <w:pPr>
        <w:jc w:val="center"/>
      </w:pPr>
    </w:p>
    <w:p>
      <w:pPr>
        <w:jc w:val="center"/>
      </w:pPr>
    </w:p>
    <w:p>
      <w:pPr>
        <w:pStyle w:val="2"/>
        <w:spacing w:before="120" w:after="0" w:line="240" w:lineRule="auto"/>
      </w:pPr>
      <w:bookmarkStart w:id="4" w:name="_Toc533771864"/>
      <w:r>
        <w:t>二、</w:t>
      </w:r>
      <w:r>
        <w:rPr>
          <w:rFonts w:hint="eastAsia"/>
        </w:rPr>
        <w:t>近期影响国际原油市场的主要因素</w:t>
      </w:r>
      <w:bookmarkEnd w:id="4"/>
    </w:p>
    <w:p>
      <w:pPr>
        <w:pStyle w:val="3"/>
        <w:spacing w:before="120" w:after="120" w:line="240" w:lineRule="auto"/>
        <w:rPr>
          <w:rFonts w:ascii="宋体" w:hAnsi="宋体"/>
          <w:b/>
          <w:sz w:val="30"/>
          <w:szCs w:val="30"/>
        </w:rPr>
      </w:pPr>
      <w:bookmarkStart w:id="5" w:name="_Toc533771865"/>
      <w:r>
        <w:rPr>
          <w:rFonts w:hint="eastAsia" w:ascii="宋体" w:hAnsi="宋体"/>
          <w:b/>
          <w:sz w:val="30"/>
          <w:szCs w:val="30"/>
        </w:rPr>
        <w:t>2.1影响国际原油市场的主要因素</w:t>
      </w:r>
      <w:bookmarkEnd w:id="5"/>
    </w:p>
    <w:p>
      <w:pPr>
        <w:ind w:firstLine="551" w:firstLineChars="196"/>
        <w:outlineLvl w:val="1"/>
        <w:rPr>
          <w:rFonts w:hint="eastAsia" w:ascii="黑体" w:hAnsi="宋体" w:eastAsia="黑体"/>
          <w:b/>
          <w:color w:val="000000"/>
          <w:sz w:val="28"/>
          <w:szCs w:val="28"/>
        </w:rPr>
      </w:pPr>
      <w:bookmarkStart w:id="6" w:name="_Toc10115991"/>
      <w:r>
        <w:rPr>
          <w:rFonts w:hint="eastAsia" w:ascii="黑体" w:hAnsi="宋体" w:eastAsia="黑体"/>
          <w:b/>
          <w:color w:val="000000"/>
          <w:sz w:val="28"/>
          <w:szCs w:val="28"/>
        </w:rPr>
        <w:t>1.美国原油库存情况</w:t>
      </w:r>
      <w:bookmarkEnd w:id="6"/>
      <w:r>
        <w:rPr>
          <w:rFonts w:hint="eastAsia" w:ascii="黑体" w:hAnsi="宋体" w:eastAsia="黑体"/>
          <w:b/>
          <w:color w:val="000000"/>
          <w:sz w:val="28"/>
          <w:szCs w:val="28"/>
        </w:rPr>
        <w:t xml:space="preserve"> </w:t>
      </w:r>
    </w:p>
    <w:p>
      <w:pPr>
        <w:pStyle w:val="23"/>
        <w:spacing w:line="360" w:lineRule="auto"/>
        <w:ind w:firstLine="480" w:firstLineChars="200"/>
        <w:rPr>
          <w:rFonts w:hint="eastAsia" w:asciiTheme="minorEastAsia" w:hAnsiTheme="minorEastAsia" w:eastAsiaTheme="minorEastAsia" w:cstheme="minorEastAsia"/>
          <w:sz w:val="24"/>
          <w:szCs w:val="24"/>
        </w:rPr>
      </w:pPr>
      <w:bookmarkStart w:id="7" w:name="_Toc10115992"/>
      <w:r>
        <w:rPr>
          <w:rFonts w:hint="eastAsia" w:asciiTheme="minorEastAsia" w:hAnsiTheme="minorEastAsia" w:eastAsiaTheme="minorEastAsia" w:cstheme="minorEastAsia"/>
          <w:sz w:val="24"/>
          <w:szCs w:val="24"/>
        </w:rPr>
        <w:t>美国石油协会(API)公布的数据显示，美国截至6月21日当周API原油库存减少755万桶，预期减少289.1万桶;汽油库存减少317万桶;精炼油库存增加15.5万桶。美国能源信息署(EIA)周三(6月26日)公布报告显示，截至6月21日当周，美国原油库存减少1278.8万桶至4.696亿桶，创2016年9月9日当周(146周)以来最大降幅，市场预估为减少289.1万桶。更多数据显示，上周俄克拉荷马州库欣原油库存减少174.6万桶，连续3周录得增长后再度录得下滑，且创2018年7月13日当周(50周)以来最大降幅。美国精炼油库存减少244.1万桶，连续3周录得下滑，且创3月22日当周(14周)以来最大降幅，市场预估为增加49.6万桶。美国汽油库存减少99.6万桶，市场预估为增加21.7万桶。</w:t>
      </w:r>
    </w:p>
    <w:p>
      <w:pPr>
        <w:pStyle w:val="23"/>
        <w:ind w:firstLine="420" w:firstLineChars="200"/>
        <w:rPr>
          <w:rFonts w:hint="eastAsia" w:ascii="Times New Roman" w:hAnsi="Times New Roman" w:cs="Times New Roman"/>
          <w:kern w:val="2"/>
          <w:sz w:val="21"/>
        </w:rPr>
      </w:pPr>
    </w:p>
    <w:p>
      <w:pPr>
        <w:pStyle w:val="23"/>
        <w:ind w:firstLine="562" w:firstLineChars="200"/>
        <w:outlineLvl w:val="1"/>
        <w:rPr>
          <w:rFonts w:hint="eastAsia" w:ascii="黑体" w:eastAsia="黑体"/>
          <w:b/>
          <w:sz w:val="28"/>
          <w:szCs w:val="28"/>
        </w:rPr>
      </w:pPr>
      <w:r>
        <w:rPr>
          <w:rFonts w:hint="eastAsia" w:ascii="黑体" w:eastAsia="黑体"/>
          <w:b/>
          <w:sz w:val="28"/>
          <w:szCs w:val="28"/>
        </w:rPr>
        <w:t>2.美国经济形势</w:t>
      </w:r>
      <w:bookmarkEnd w:id="7"/>
    </w:p>
    <w:p>
      <w:pPr>
        <w:pStyle w:val="23"/>
        <w:spacing w:line="360" w:lineRule="auto"/>
        <w:ind w:firstLine="480" w:firstLineChars="200"/>
        <w:rPr>
          <w:rFonts w:hint="eastAsia" w:asciiTheme="minorEastAsia" w:hAnsiTheme="minorEastAsia" w:eastAsiaTheme="minorEastAsia" w:cstheme="minorEastAsia"/>
          <w:sz w:val="24"/>
          <w:szCs w:val="24"/>
        </w:rPr>
      </w:pPr>
      <w:bookmarkStart w:id="8" w:name="_Toc10115993"/>
      <w:r>
        <w:rPr>
          <w:rFonts w:hint="eastAsia" w:asciiTheme="minorEastAsia" w:hAnsiTheme="minorEastAsia" w:eastAsiaTheme="minorEastAsia" w:cstheme="minorEastAsia"/>
          <w:sz w:val="24"/>
          <w:szCs w:val="24"/>
        </w:rPr>
        <w:t>北京时间4日凌晨，美股周三收高，三大股指均创历史最高收盘纪录。疲软的经济数据公布后，市场下注美联储将在7月底的货币政策会议上降息。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美东时间7月3日13：00(北京时间7月4日01：00)，道指涨179.32点，或0.67%，报26966.00点;标普500指数涨22.81点，或0.77%，报2995.82点;纳指涨61.14点，或0.75%，报8170.23点。</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本周四是美国的独立日，美国金融市场休市。周三美国股市提前至美东时间13：00收盘。</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周三早间美国ADP机构报告称，美国6月ADP私营部门就业人数增加10.2万，增幅低于市场预期。这份疲软的经济数据公布后，市场认为美联储在7月底的货币政策会议上降息的可能性增大。</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在上个月的会议上，美联储宣称将“采取适当措施”维持现有的经济扩张，暗示有可能降息。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总统特朗普周三在推特上发布的信息也使市场的降息预期升温。特朗普表示，美国的货币政策应该向欧洲“看齐”，他指出他们“正在进行大规模的货币操纵游戏，为了与美国竞争而向其金融系统大量注入资金。”</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者为全球各大央行可能普遍实行宽松货币政策的前景感到欢欣鼓舞。周二，现任国际货币基金组织(IMF)总裁克里斯蒂娜-拉加德(ChristineLagarde)被提名接替马里奥-德拉吉(MarioDraghi)担任欧洲央行行长。从拉加德过去的言论来看，她可能更倾向于倡导更宽松的货币政策，这将会继续提振全球市场的风险偏好。</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拉加德获得提名之前，美国总统特朗普提名圣路易斯联储银行执行副行长兼研究主任克里斯托弗-沃勒(ChristopherWaller)和欧洲重建与发展银行(EuropeanBankofReconstructionandDevelopment)美国执行董事朱迪-谢尔顿(JudyShelton)担任颇具影响力的美联储理事会理事职位。</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沃勒被视为是宽松货币政策的倡导者，而谢尔顿最近声称她认为“美联储应该立即降低利率”。</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市场策略师表示，对各大央行实行宽松货币政策的前景预期，推动了对风险资产的需求，并推动国债价格上涨、令国债收益率下降。</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周三，德国10年期国债收益率下降至-0.382%，再创历史新低。美债收益率跌幅扩大，10年期美债收益率降至1.957%，日内下跌2.42个基点;此前公布的美国6月ISM非制造业指数创2017年7月份以来新低。</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经济数据</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DPResearchInstitute周三发布的数据显示，有“小非农数据”之称的美国6月ADP就业人数新增10.2万，预期14万。值得注意的是，美国5月ADP就业人数仅增加2.7万，上一次比这还差的数据还要追溯至2010年，当时整个就业市场还处于衰退状态。</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ADP报告显示，6月制造业就业人数增加0.7万人，5月减少0.3万人;6月建筑业就业人数减少1.8万人，5月减少3.6万人。6月金融服务业就业人数增加0.7万人，5月增加1.3万人。</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DP就业数据公司副总裁指出，数据显示就业增速开始出现放缓迹象。虽然大型企业表现良好，但小企业在持续紧张的劳动力市场竞争时举步维艰。商品生产行业继续表现疲软。服务业方面，休闲行业和酒店业的疲软可能是消费者信心的反映。</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美国劳工部宣布，截至6月29日，美国当周首次申请失业救济人数为22.1万，预期22.3万，前值22.7万修正为22.9万。</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美国商务部周三公布的5月贸易帐数据显示，美国5月贸易逆差为555亿美元，创5个月来新高，预期532亿美元，4月份贸易逆差508亿美元修正为512亿美元。</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构对美国5月贸易帐数据解读称，贸易逆差扩大至5个月高位，可能是因为企业再次提前囤积存货导致进口增加所致，其中汽车及零件进口飙升至23亿美元，创纪录高位;如果考虑通胀因素，实际的贸易逆差还将扩大，料将拖累第二季度GDP表现。</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美国商务部周三公布的另一份数据表明：受运输设备需求疲弱拖累，美国5月份工厂订单环比下降0.7%;预估为下降0.6%。制造业受库存堆积、贸易紧张以及波音737Max飞机产量下降拖累。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其他市场</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原油期货价格攀升，部分挽回了昨日蒙受的巨大跌幅。</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8"/>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北京时间4日凌晨，美股周三收高，三大股指均创历史最高收盘纪录。疲软的经济数据公布后，市场下注美联储将在7月底的货币政策会议上降息。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美东时间7月3日13：00(北京时间7月4日01：00)，道指涨179.32点，或0.67%，报26966.00点;标普500指数涨22.81点，或0.77%，报2995.82点;纳指涨61.14点，或0.75%，报8170.23点。</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本周四是美国的独立日，美国金融市场休市。周三美国股市提前至美东时间13：00收盘。</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周三早间美国ADP机构报告称，美国6月ADP私营部门就业人数增加10.2万，增幅低于市场预期。这份疲软的经济数据公布后，市场认为美联储在7月底的货币政策会议上降息的可能性增大。</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在上个月的会议上，美联储宣称将“采取适当措施”维持现有的经济扩张，暗示有可能降息。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总统特朗普周三在推特上发布的信息也使市场的降息预期升温。特朗普表示，美国的货币政策应该向欧洲“看齐”，他指出他们“正在进行大规模的货币操纵游戏，为了与美国竞争而向其金融系统大量注入资金。”</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者为全球各大央行可能普遍实行宽松货币政策的前景感到欢欣鼓舞。周二，现任国际货币基金组织(IMF)总裁克里斯蒂娜-拉加德(ChristineLagarde)被提名接替马里奥-德拉吉(MarioDraghi)担任欧洲央行行长。从拉加德过去的言论来看，她可能更倾向于倡导更宽松的货币政策，这将会继续提振全球市场的风险偏好。</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拉加德获得提名之前，美国总统特朗普提名圣路易斯联储银行执行副行长兼研究主任克里斯托弗-沃勒(ChristopherWaller)和欧洲重建与发展银行(EuropeanBankofReconstructionandDevelopment)美国执行董事朱迪-谢尔顿(JudyShelton)担任颇具影响力的美联储理事会理事职位。</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沃勒被视为是宽松货币政策的倡导者，而谢尔顿最近声称她认为“美联储应该立即降低利率”。</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市场策略师表示，对各大央行实行宽松货币政策的前景预期，推动了对风险资产的需求，并推动国债价格上涨、令国债收益率下降。</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周三，德国10年期国债收益率下降至-0.382%，再创历史新低。美债收益率跌幅扩大，10年期美债收益率降至1.957%，日内下跌2.42个基点;此前公布的美国6月ISM非制造业指数创2017年7月份以来新低。</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经济数据</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DPResearchInstitute周三发布的数据显示，有“小非农数据”之称的美国6月ADP就业人数新增10.2万，预期14万。值得注意的是，美国5月ADP就业人数仅增加2.7万，上一次比这还差的数据还要追溯至2010年，当时整个就业市场还处于衰退状态。</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ADP报告显示，6月制造业就业人数增加0.7万人，5月减少0.3万人;6月建筑业就业人数减少1.8万人，5月减少3.6万人。6月金融服务业就业人数增加0.7万人，5月增加1.3万人。</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DP就业数据公司副总裁指出，数据显示就业增速开始出现放缓迹象。虽然大型企业表现良好，但小企业在持续紧张的劳动力市场竞争时举步维艰。商品生产行业继续表现疲软。服务业方面，休闲行业和酒店业的疲软可能是消费者信心的反映。</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美国劳工部宣布，截至6月29日，美国当周首次申请失业救济人数为22.1万，预期22.3万，前值22.7万修正为22.9万。</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美国商务部周三公布的5月贸易帐数据显示，美国5月贸易逆差为555亿美元，创5个月来新高，预期532亿美元，4月份贸易逆差508亿美元修正为512亿美元。</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构对美国5月贸易帐数据解读称，贸易逆差扩大至5个月高位，可能是因为企业再次提前囤积存货导致进口增加所致，其中汽车及零件进口飙升至23亿美元，创纪录高位;如果考虑通胀因素，实际的贸易逆差还将扩大，料将拖累第二季度GDP表现。</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美国商务部周三公布的另一份数据表明：受运输设备需求疲弱拖累，美国5月份工厂订单环比下降0.7%;预估为下降0.6%。制造业受库存堆积、贸易紧张以及波音737Max飞机产量下降拖累。</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其他市场</w:t>
      </w:r>
    </w:p>
    <w:p>
      <w:pPr>
        <w:pStyle w:val="23"/>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原油期货价格攀升，部分挽回了昨日蒙受的巨大跌幅。</w:t>
      </w: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spacing w:line="360" w:lineRule="auto"/>
        <w:ind w:firstLine="480" w:firstLineChars="200"/>
        <w:rPr>
          <w:rFonts w:hint="eastAsia" w:asciiTheme="minorEastAsia" w:hAnsiTheme="minorEastAsia" w:eastAsiaTheme="minorEastAsia" w:cstheme="minorEastAsia"/>
          <w:sz w:val="24"/>
          <w:szCs w:val="24"/>
        </w:rPr>
      </w:pPr>
      <w:bookmarkStart w:id="9" w:name="_Toc533771866"/>
      <w:r>
        <w:rPr>
          <w:rFonts w:hint="eastAsia" w:asciiTheme="minorEastAsia" w:hAnsiTheme="minorEastAsia" w:eastAsiaTheme="minorEastAsia" w:cstheme="minorEastAsia"/>
          <w:sz w:val="24"/>
          <w:szCs w:val="24"/>
        </w:rPr>
        <w:t>本周美国WTI原油原油价格在</w:t>
      </w:r>
      <w:r>
        <w:rPr>
          <w:rFonts w:hint="eastAsia" w:asciiTheme="minorEastAsia" w:hAnsiTheme="minorEastAsia" w:eastAsiaTheme="minorEastAsia" w:cstheme="minorEastAsia"/>
          <w:sz w:val="24"/>
          <w:szCs w:val="24"/>
          <w:lang w:val="en-US" w:eastAsia="zh-CN"/>
        </w:rPr>
        <w:t>59.43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57.34</w:t>
      </w:r>
      <w:r>
        <w:rPr>
          <w:rFonts w:hint="eastAsia" w:asciiTheme="minorEastAsia" w:hAnsiTheme="minorEastAsia" w:eastAsiaTheme="minorEastAsia" w:cstheme="minorEastAsia"/>
          <w:sz w:val="24"/>
          <w:szCs w:val="24"/>
        </w:rPr>
        <w:t>美元/桶。布伦特原油价格在</w:t>
      </w:r>
      <w:r>
        <w:rPr>
          <w:rFonts w:hint="eastAsia" w:asciiTheme="minorEastAsia" w:hAnsiTheme="minorEastAsia" w:eastAsiaTheme="minorEastAsia" w:cstheme="minorEastAsia"/>
          <w:sz w:val="24"/>
          <w:szCs w:val="24"/>
          <w:lang w:val="en-US" w:eastAsia="zh-CN"/>
        </w:rPr>
        <w:t>66.55</w:t>
      </w:r>
      <w:r>
        <w:rPr>
          <w:rFonts w:hint="eastAsia" w:asciiTheme="minorEastAsia" w:hAnsiTheme="minorEastAsia" w:eastAsiaTheme="minorEastAsia" w:cstheme="minorEastAsia"/>
          <w:sz w:val="24"/>
          <w:szCs w:val="24"/>
        </w:rPr>
        <w:t>- 6</w:t>
      </w:r>
      <w:r>
        <w:rPr>
          <w:rFonts w:hint="eastAsia" w:asciiTheme="minorEastAsia" w:hAnsiTheme="minorEastAsia" w:eastAsiaTheme="minorEastAsia" w:cstheme="minorEastAsia"/>
          <w:sz w:val="24"/>
          <w:szCs w:val="24"/>
          <w:lang w:val="en-US" w:eastAsia="zh-CN"/>
        </w:rPr>
        <w:t>3.82</w:t>
      </w:r>
      <w:r>
        <w:rPr>
          <w:rFonts w:hint="eastAsia" w:asciiTheme="minorEastAsia" w:hAnsiTheme="minorEastAsia" w:eastAsiaTheme="minorEastAsia" w:cstheme="minorEastAsia"/>
          <w:sz w:val="24"/>
          <w:szCs w:val="24"/>
        </w:rPr>
        <w:t>美元/桶震荡。周内国际油价格持续</w:t>
      </w:r>
      <w:r>
        <w:rPr>
          <w:rFonts w:hint="eastAsia" w:asciiTheme="minorEastAsia" w:hAnsiTheme="minorEastAsia" w:eastAsiaTheme="minorEastAsia" w:cstheme="minorEastAsia"/>
          <w:sz w:val="24"/>
          <w:szCs w:val="24"/>
          <w:lang w:eastAsia="zh-CN"/>
        </w:rPr>
        <w:t>走跌</w:t>
      </w:r>
      <w:r>
        <w:rPr>
          <w:rFonts w:hint="eastAsia" w:asciiTheme="minorEastAsia" w:hAnsiTheme="minorEastAsia" w:eastAsiaTheme="minorEastAsia" w:cstheme="minorEastAsia"/>
          <w:sz w:val="24"/>
          <w:szCs w:val="24"/>
        </w:rPr>
        <w:t>。美国原油库存继续下降为油价提供支撑，即使降幅并不及市场预期，同时美国石油活跃钻井数三周来首次录得下降进一步鼓舞了多头信心。美国WTI原油期货价格盘中最高触及57.44美元/桶，布伦特原油期货价格盘中最高触及64.01美元/桶。基本面利好因素：美国能源信息署(EIA)周三(7月3日)公布报告显示，截至6月28日当周，美国原油库存减少108.5万桶至4.685亿桶，市场预估为减少248.4万桶。上周美国东海岸原油储量升至2017年9月以来新高。美国汽油库存减少158.3万，连续3周录得下滑，市场预估为减少217.5万桶。同时上周美国东海岸汽油库存降至2012年以来新低;美国油服公司贝克休斯(Baker Hughes)周三(7月3日)公布数据显示，截至7月5日当周，美国石油活跃钻井数减少5座至788座，三周来首次录得下降。美国石油活跃钻井数6月减少7座，已经连续七个月下降且创2016年5月来最大单月降幅，5月减少5座。因美国油企开始减少新钻井的建造，从而将注意力转向盈利增长而非产量增长。同时这也是2016年5月以来最长的月线连降周期，当时曾连续九个月录得减少。OPEC和非OPEC产油国已经同意将减产协议延长9个月，将继续维持120万桶/日的减产规模。不过盛宝银行(Saxo Bank)大宗商品策略主管Ola Hansen称：“他们这么做是处于对需求表现的担忧。这不是基于强势的表现，而是基于疲软的表现做出的反应。”周六，美国总统特朗普做出让步，包括不征收新关税和放松对科技公司华为的限制，双方同意重启贸易谈判。CMC Markets首席市场策略师Michael McCarthy表示：“中美重启贸易谈判使得投资者关注经济增长，地区内的股票市场受到良好支撑，避险资产需求减少。”基本面利空因素：美国能源信息署(EIA)周三(7月3日)公布报告显示，截至6月28日当周，上周俄克拉荷马州库欣原油库存增加65.2万桶。美国精炼油库存增加140.8万桶，连续3周录得下滑后再度录得增长，市场预估为减少124.3万桶。此外，上周美国国内原油产量增加10万桶至1220万桶/日，连续3周录得下滑后再度录得增长。国际能源信息署(IEA)认为美国的经济制裁以及中东地区油轮遇袭只会给油市添加有限的不确定性，但预计明年除OPEC以外全球原油供应增幅将达到230万桶/日，这将远高于需求增幅的140万桶/日。同时，IEA指出中国等国的经济刺激政策应该会支撑需求，但必须关注“全球贸易关系紧张化问题”。石油输出国组织(OPEC)最新月报显示，将2019年全球原油需求增速下调7万桶/日至114万桶/日，并警告贸易问题，称可能对全球需求构成重大下行风险。同时，经合组织4月原油库存录得增长，可能引发市场对供应过剩加剧的担忧。分析师认为这份报告将为延长减产提供依据。由于美国加大对伊朗制裁力度，14个OPEC成员国5月原油产量环比下滑23.6万桶/日至2988万桶/日。其中伊朗原油产量降幅最大，环比减少22.7万桶/日。同时沙特继续大幅减产，抵消了伊拉克和安哥拉的产量增幅。另一方面，5月11个参与减产的OPEC成员国减产执行率为143%，低于外媒调查预期的150%。</w:t>
      </w:r>
    </w:p>
    <w:p>
      <w:pPr>
        <w:pStyle w:val="23"/>
        <w:spacing w:line="360" w:lineRule="auto"/>
        <w:ind w:firstLine="480" w:firstLineChars="200"/>
        <w:rPr>
          <w:rFonts w:hint="eastAsia" w:ascii="Times New Roman" w:hAnsi="Times New Roman" w:cs="Times New Roman"/>
          <w:kern w:val="2"/>
          <w:sz w:val="24"/>
          <w:szCs w:val="24"/>
        </w:rPr>
      </w:pPr>
      <w:r>
        <w:rPr>
          <w:rFonts w:hint="eastAsia" w:asciiTheme="minorEastAsia" w:hAnsiTheme="minorEastAsia" w:eastAsiaTheme="minorEastAsia" w:cstheme="minorEastAsia"/>
          <w:sz w:val="24"/>
          <w:szCs w:val="24"/>
        </w:rPr>
        <w:t>预测下周WTI油价将触及</w:t>
      </w:r>
      <w:r>
        <w:rPr>
          <w:rFonts w:hint="eastAsia" w:asciiTheme="minorEastAsia" w:hAnsiTheme="minorEastAsia" w:eastAsiaTheme="minorEastAsia" w:cstheme="minorEastAsia"/>
          <w:sz w:val="24"/>
          <w:szCs w:val="24"/>
          <w:lang w:val="en-US" w:eastAsia="zh-CN"/>
        </w:rPr>
        <w:t>55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美元/桶，布油在之后几个月触及6</w:t>
      </w:r>
      <w:r>
        <w:rPr>
          <w:rFonts w:hint="eastAsia" w:asciiTheme="minorEastAsia" w:hAnsiTheme="minorEastAsia" w:eastAsiaTheme="minorEastAsia" w:cstheme="minorEastAsia"/>
          <w:sz w:val="24"/>
          <w:szCs w:val="24"/>
          <w:lang w:val="en-US" w:eastAsia="zh-CN"/>
        </w:rPr>
        <w:t>0-65</w:t>
      </w:r>
      <w:r>
        <w:rPr>
          <w:rFonts w:hint="eastAsia" w:asciiTheme="minorEastAsia" w:hAnsiTheme="minorEastAsia" w:eastAsiaTheme="minorEastAsia" w:cstheme="minorEastAsia"/>
          <w:sz w:val="24"/>
          <w:szCs w:val="24"/>
        </w:rPr>
        <w:t>美元/桶。</w:t>
      </w: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9"/>
    </w:p>
    <w:p/>
    <w:tbl>
      <w:tblPr>
        <w:tblW w:w="7230" w:type="dxa"/>
        <w:tblInd w:w="0" w:type="dxa"/>
        <w:shd w:val="clear"/>
        <w:tblLayout w:type="fixed"/>
        <w:tblCellMar>
          <w:top w:w="0" w:type="dxa"/>
          <w:left w:w="0" w:type="dxa"/>
          <w:bottom w:w="0" w:type="dxa"/>
          <w:right w:w="0" w:type="dxa"/>
        </w:tblCellMar>
      </w:tblPr>
      <w:tblGrid>
        <w:gridCol w:w="1365"/>
        <w:gridCol w:w="2085"/>
        <w:gridCol w:w="1950"/>
        <w:gridCol w:w="1830"/>
      </w:tblGrid>
      <w:tr>
        <w:tblPrEx>
          <w:shd w:val="clear"/>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10" w:name="_Toc533771867"/>
            <w:r>
              <w:rPr>
                <w:rFonts w:hint="eastAsia" w:ascii="宋体" w:hAnsi="宋体" w:eastAsia="宋体" w:cs="宋体"/>
                <w:i w:val="0"/>
                <w:color w:val="000000"/>
                <w:kern w:val="0"/>
                <w:sz w:val="20"/>
                <w:szCs w:val="20"/>
                <w:u w:val="none"/>
                <w:bdr w:val="none" w:color="auto" w:sz="0" w:space="0"/>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鹿特丹(美元/吨)</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7月3日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626.00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195.03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783.75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7月2日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633.00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198.60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795.00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7月1日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616.50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194.25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799.00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6月27日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614.00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194.66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811.50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6月26日</w:t>
            </w:r>
          </w:p>
        </w:tc>
        <w:tc>
          <w:tcPr>
            <w:tcW w:w="2085"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610.00 </w:t>
            </w:r>
          </w:p>
        </w:tc>
        <w:tc>
          <w:tcPr>
            <w:tcW w:w="195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196.02 </w:t>
            </w:r>
          </w:p>
        </w:tc>
        <w:tc>
          <w:tcPr>
            <w:tcW w:w="1830" w:type="dxa"/>
            <w:tcBorders>
              <w:top w:val="single" w:color="000000" w:sz="4" w:space="0"/>
              <w:left w:val="single" w:color="000000" w:sz="4" w:space="0"/>
              <w:bottom w:val="single" w:color="000000" w:sz="4" w:space="0"/>
              <w:right w:val="single" w:color="000000" w:sz="4" w:space="0"/>
            </w:tcBorders>
            <w:shd w:val="clear" w:color="auto" w:fill="C7EDCC"/>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815.00 </w:t>
            </w:r>
          </w:p>
        </w:tc>
      </w:tr>
    </w:tbl>
    <w:p>
      <w:pPr>
        <w:ind w:firstLine="420"/>
        <w:rPr>
          <w:rFonts w:ascii="宋体" w:hAnsi="宋体"/>
          <w:color w:val="000000"/>
        </w:rPr>
      </w:pPr>
    </w:p>
    <w:p>
      <w:pPr>
        <w:ind w:firstLine="420"/>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10"/>
    </w:p>
    <w:p>
      <w:pPr>
        <w:pStyle w:val="3"/>
        <w:spacing w:before="120" w:after="120" w:line="240" w:lineRule="auto"/>
        <w:rPr>
          <w:rFonts w:ascii="宋体" w:hAnsi="宋体"/>
          <w:b/>
          <w:sz w:val="30"/>
          <w:szCs w:val="30"/>
          <w:highlight w:val="none"/>
        </w:rPr>
      </w:pPr>
      <w:bookmarkStart w:id="11" w:name="_Toc533771868"/>
      <w:r>
        <w:rPr>
          <w:rFonts w:hint="eastAsia" w:ascii="宋体" w:hAnsi="宋体"/>
          <w:b/>
          <w:sz w:val="30"/>
          <w:szCs w:val="30"/>
          <w:highlight w:val="none"/>
        </w:rPr>
        <w:t>3.1 国内炼厂装置运行情况</w:t>
      </w:r>
      <w:bookmarkEnd w:id="11"/>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起始时间 </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预计</w:t>
            </w:r>
            <w:r>
              <w:rPr>
                <w:rFonts w:hint="eastAsia" w:ascii="宋体" w:hAnsi="宋体" w:cs="宋体"/>
                <w:color w:val="FF0000"/>
                <w:kern w:val="0"/>
                <w:szCs w:val="21"/>
                <w:lang w:val="en-US" w:eastAsia="zh-CN"/>
              </w:rPr>
              <w:t>2019年6月份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ascii="宋体" w:hAnsi="宋体"/>
          <w:b/>
          <w:sz w:val="30"/>
          <w:szCs w:val="30"/>
          <w:highlight w:val="none"/>
        </w:rPr>
      </w:pPr>
      <w:bookmarkStart w:id="12" w:name="_Toc533771869"/>
      <w:r>
        <w:rPr>
          <w:rFonts w:hint="eastAsia" w:ascii="宋体" w:hAnsi="宋体"/>
          <w:b/>
          <w:sz w:val="30"/>
          <w:szCs w:val="30"/>
          <w:highlight w:val="none"/>
        </w:rPr>
        <w:t>3.2本周成品油市场行情</w:t>
      </w:r>
      <w:bookmarkEnd w:id="12"/>
      <w:bookmarkStart w:id="23" w:name="_GoBack"/>
      <w:bookmarkEnd w:id="23"/>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本周，国际原油期货呈冲高回落的走势，据测算第七个工作日参考原油变化率为4.79%。受此影响，国内成品油市场行情整体上行，各地主营单位汽柴油价格上调。与此同时，山东地炼成品油行情稳中上行，部分炼厂报价谨慎推涨，其主流成交保持100元/吨左右优惠。具体来看出货方面：周初，原油弱势利空油市，区内油市观望气氛浓厚。随后原油暴跌打压业者心态，各炼厂推涨势头戛然而止，下游买家多持币观望。临近周末，受外盘油价大涨提振，买卖双方操作积极性提升，市场交投气氛升温。</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后市前瞻：进入下周，国际原油期价还有继续上涨的空间，以WTI为例，主流运行区间在57-61(均值59)美元/桶之间。在消息面利好提振下，山东地炼成品油行情保持坚挺，买卖双方操作较为积极，市场出货氛围良好。综上所述，预计山东地炼汽柴油价格稳中上涨。</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华北地区主营汽柴油延续涨势，市场购销气氛平淡。分析来看，本周，国际原油宽幅震荡，但变化率依然正值运行，消息面仍有支撑。加之正值月初，主营方面暂无销售压力，挺价意愿强烈，故区内主营纷纷推涨报价。然下游此前多有备货，随着汽柴价格涨至高位，业者普遍消库观望为主，市场交投氛围平淡。后市来看，国际原油仍存上行可能，本轮零售价大概率上调，利好消息支撑下短期华北成品油市场或继续高位盘整，部分主营或将小幅推涨。</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华中地区消息面支撑减弱 区内汽柴价格涨后趋稳 具体分析如下，周初，国际油价推涨，变化率正向加深运行，消息面利好支撑明显，加上主营暂无销售压力，区内汽柴报价纷纷推涨，其中柴油因部分地区资源趋紧仍未缓解，价格涨幅较大。随后原油大幅下探，零售价预期上调幅度缩小，消息面支撑减弱，主营报价回稳盘整，个别单位根据自身情况涨跌不一，整体波动十分有限。下游观望气氛不减，入市采购十分谨慎，市场交投气氛偏淡。后市来看，国际原油或仍有推涨动力，本轮零售价上调几无悬念，消息面维持利好指引。不过目前价格已涨至高位，零售价上调幅度前期亦有所消化。故预计短期内华中地区成品油价格高位持坚，主营根据自身销售情况，灵活调整销售政策，下游按需采购为主，市场成交提量不易。</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华南地区成品油行情继续走高，市场购销气氛平淡。具体来看，原油期货震荡整理，零售价上调预期犹存，消息方面仍存支撑。与此同时，月初主营单位暂无销售压力，汽柴油价格顺势上推。由于此前补货充裕，加之汽柴价格连续攀升，业者抵触情绪升温，普遍场外消库为主，市场交投气氛平淡。后市来看，原油期货不乏震荡上涨可能，零售价将兑现上调。与此同时，业者消库之余按需购进为主，市场鲜有大单成交。预计下周华南地区汽柴油行情或继续上涨，但涨幅有限。</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华东地区成品油行情仍有上涨，市场交投气氛较为清淡。具体来看，国际油价涨后回跌，变化率维持正向区间运行，本轮零售价上调预期仍较强烈，消息面对市场仍有提振。此外，由于华东区内部分主营实际库存偏低，且随着外采资源价格上扬，外采难度亦有增加，部分单位甚至控量出货，故支撑区内主营汽柴行情进一步上涨，但由于前期价格推涨较快，且近期梅雨天气制约下游需求，本周汽柴价格涨势放缓，市场交投气氛较为清淡。后市而言，国际油价或维持震荡走势，零售价大概率或仍兑现上调，且区内资源偏紧态势或仍持续，故预计下周华东汽柴行情或仍维持高位区间震荡，不过下游需求难有好转，主营出货进度受阻，不排除部分单位实际出货优惠加大。</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西南地区汽柴行情维持涨势，市场成交气氛平平。分析来看：周内国际油价维持区间震荡，变化率正向区间波动，上调预期指向清晰。此外，部分地区主营单位柴油资源紧张，成交价格继续上推。从需求方面看，多地受降水影响，柴油需求疲软，而汽油需求虽有所提升，但对市场支撑力度有限。业者操作心态谨慎，消库之余按需采购为主，市场成交气氛清淡。进入下周，国际油价或维持震荡上行，本轮零售价上调为大概率事件，消息面利好仍有支撑，预计西南地区汽柴行情维持坚挺。但当前汽柴价格涨至高位，业者抵触情绪明显，多退市消库为主，市场成交难有提升。</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r>
        <w:rPr>
          <w:rFonts w:hint="default" w:ascii="Arial" w:hAnsi="Arial" w:cs="Arial"/>
          <w:sz w:val="21"/>
          <w:szCs w:val="21"/>
        </w:rPr>
        <w:t>西北地炼柴行情有所上行，汽油行情维持平稳。分析来看：周内国际油价震荡上行，虽然周二成品油零售价依然兑现下调，但新一轮变化率转为正向，上调预期显现，消息面对市场较有支撑，区内汽柴行情趋于坚挺。不过，调价兑现初期，业者观望情绪难消，补货心态谨慎，市场成交维持清淡。之后，国际油价大幅收涨，上调预期增强，市场心态得到改善。另外，柴油基本面尚可，销售公司推高柴价;而汽油需求虽有提升，但市场供应过剩压力不减，汽油价格仍维持低位。业者入市补货增多，柴油成交仍优于汽油。就后市而言，国际油价或震荡上行，变化率正向区间延伸，上调预期对市场仍有提振，预计短线西北地炼汽柴行情维持坚挺。随着业者陆续补货到位，市场成交或逐步转淡。</w:t>
      </w:r>
    </w:p>
    <w:p>
      <w:pPr>
        <w:pStyle w:val="23"/>
        <w:keepNext w:val="0"/>
        <w:keepLines w:val="0"/>
        <w:pageBreakBefore w:val="0"/>
        <w:widowControl/>
        <w:suppressLineNumbers w:val="0"/>
        <w:kinsoku/>
        <w:wordWrap w:val="0"/>
        <w:overflowPunct/>
        <w:topLinePunct w:val="0"/>
        <w:autoSpaceDE/>
        <w:autoSpaceDN/>
        <w:bidi w:val="0"/>
        <w:adjustRightInd/>
        <w:snapToGrid/>
        <w:spacing w:line="360" w:lineRule="auto"/>
        <w:ind w:firstLine="420" w:firstLineChars="200"/>
        <w:textAlignment w:val="auto"/>
        <w:rPr>
          <w:rFonts w:hint="default" w:ascii="Arial" w:hAnsi="Arial" w:cs="Arial"/>
          <w:sz w:val="21"/>
          <w:szCs w:val="21"/>
        </w:rPr>
      </w:pPr>
    </w:p>
    <w:p>
      <w:pPr>
        <w:pStyle w:val="3"/>
        <w:spacing w:before="120" w:after="120" w:line="240" w:lineRule="auto"/>
        <w:rPr>
          <w:rFonts w:ascii="宋体" w:hAnsi="宋体"/>
          <w:b/>
          <w:sz w:val="30"/>
          <w:szCs w:val="30"/>
        </w:rPr>
      </w:pPr>
      <w:r>
        <w:rPr>
          <w:rFonts w:hint="eastAsia" w:ascii="宋体" w:hAnsi="宋体" w:cs="宋体"/>
          <w:kern w:val="0"/>
          <w:szCs w:val="21"/>
        </w:rPr>
        <w:t>　</w:t>
      </w:r>
      <w:bookmarkStart w:id="13" w:name="_Toc533771870"/>
      <w:r>
        <w:rPr>
          <w:rFonts w:hint="eastAsia" w:ascii="宋体" w:hAnsi="宋体"/>
          <w:b/>
          <w:sz w:val="30"/>
          <w:szCs w:val="30"/>
        </w:rPr>
        <w:t>3.3 国内汽油价格周报</w:t>
      </w:r>
      <w:bookmarkEnd w:id="13"/>
    </w:p>
    <w:p>
      <w:pPr>
        <w:rPr>
          <w:rFonts w:hint="eastAsia"/>
        </w:rPr>
      </w:pPr>
      <w:r>
        <w:rPr>
          <w:rFonts w:hint="eastAsia"/>
        </w:rPr>
        <w:t>单位：元/吨</w:t>
      </w:r>
    </w:p>
    <w:tbl>
      <w:tblPr>
        <w:tblW w:w="9540" w:type="dxa"/>
        <w:tblInd w:w="0" w:type="dxa"/>
        <w:shd w:val="clear"/>
        <w:tblLayout w:type="fixed"/>
        <w:tblCellMar>
          <w:top w:w="0" w:type="dxa"/>
          <w:left w:w="0" w:type="dxa"/>
          <w:bottom w:w="0" w:type="dxa"/>
          <w:right w:w="0" w:type="dxa"/>
        </w:tblCellMar>
      </w:tblPr>
      <w:tblGrid>
        <w:gridCol w:w="825"/>
        <w:gridCol w:w="1080"/>
        <w:gridCol w:w="1005"/>
        <w:gridCol w:w="825"/>
        <w:gridCol w:w="1080"/>
        <w:gridCol w:w="1080"/>
        <w:gridCol w:w="1080"/>
        <w:gridCol w:w="1320"/>
        <w:gridCol w:w="1245"/>
      </w:tblGrid>
      <w:tr>
        <w:tblPrEx>
          <w:shd w:val="clear"/>
          <w:tblLayout w:type="fixed"/>
          <w:tblCellMar>
            <w:top w:w="0" w:type="dxa"/>
            <w:left w:w="0" w:type="dxa"/>
            <w:bottom w:w="0" w:type="dxa"/>
            <w:right w:w="0" w:type="dxa"/>
          </w:tblCellMar>
        </w:tblPrEx>
        <w:trPr>
          <w:trHeight w:val="495"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2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2019-7-4</w:t>
            </w:r>
          </w:p>
        </w:tc>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2019-6-27</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8" w:space="0"/>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24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c>
          <w:tcPr>
            <w:tcW w:w="124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70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6520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6340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6290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6330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6280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6240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6290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6290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6290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240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6280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6040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240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6280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6040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6380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6280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24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7300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7450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7400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7400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24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24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124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6010</w:t>
            </w:r>
          </w:p>
        </w:tc>
        <w:tc>
          <w:tcPr>
            <w:tcW w:w="1245"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6010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6310</w:t>
            </w:r>
          </w:p>
        </w:tc>
        <w:tc>
          <w:tcPr>
            <w:tcW w:w="124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6310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6130</w:t>
            </w:r>
          </w:p>
        </w:tc>
        <w:tc>
          <w:tcPr>
            <w:tcW w:w="124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6130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6330</w:t>
            </w:r>
          </w:p>
        </w:tc>
        <w:tc>
          <w:tcPr>
            <w:tcW w:w="12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6330</w:t>
            </w:r>
          </w:p>
        </w:tc>
      </w:tr>
      <w:tr>
        <w:tblPrEx>
          <w:tblLayout w:type="fixed"/>
          <w:tblCellMar>
            <w:top w:w="0" w:type="dxa"/>
            <w:left w:w="0" w:type="dxa"/>
            <w:bottom w:w="0" w:type="dxa"/>
            <w:right w:w="0" w:type="dxa"/>
          </w:tblCellMar>
        </w:tblPrEx>
        <w:trPr>
          <w:trHeight w:val="300" w:hRule="atLeast"/>
        </w:trPr>
        <w:tc>
          <w:tcPr>
            <w:tcW w:w="825" w:type="dxa"/>
            <w:tcBorders>
              <w:top w:val="nil"/>
              <w:left w:val="single" w:color="000000" w:sz="8" w:space="0"/>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nil"/>
              <w:left w:val="nil"/>
              <w:bottom w:val="single" w:color="333333" w:sz="8" w:space="0"/>
              <w:right w:val="single" w:color="333333" w:sz="8" w:space="0"/>
            </w:tcBorders>
            <w:shd w:val="clear"/>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bl>
    <w:p/>
    <w:p>
      <w:pPr>
        <w:widowControl/>
        <w:jc w:val="center"/>
        <w:rPr>
          <w:rFonts w:ascii="宋体" w:hAnsi="宋体" w:cs="宋体"/>
          <w:kern w:val="0"/>
          <w:szCs w:val="21"/>
        </w:rPr>
      </w:pPr>
    </w:p>
    <w:p>
      <w:pPr>
        <w:pStyle w:val="3"/>
        <w:spacing w:before="120" w:after="120" w:line="240" w:lineRule="auto"/>
        <w:rPr>
          <w:rFonts w:ascii="宋体" w:hAnsi="宋体"/>
          <w:b/>
          <w:sz w:val="30"/>
          <w:szCs w:val="30"/>
        </w:rPr>
      </w:pPr>
      <w:bookmarkStart w:id="14" w:name="_Toc533771871"/>
      <w:r>
        <w:rPr>
          <w:rFonts w:hint="eastAsia" w:ascii="宋体" w:hAnsi="宋体"/>
          <w:b/>
          <w:sz w:val="30"/>
          <w:szCs w:val="30"/>
        </w:rPr>
        <w:t>3.4国内柴油价格周报</w:t>
      </w:r>
      <w:bookmarkEnd w:id="14"/>
    </w:p>
    <w:p>
      <w:pPr>
        <w:widowControl/>
        <w:rPr>
          <w:rFonts w:hint="eastAsia" w:ascii="宋体" w:hAnsi="宋体" w:cs="宋体"/>
          <w:kern w:val="0"/>
          <w:sz w:val="20"/>
          <w:szCs w:val="20"/>
        </w:rPr>
      </w:pPr>
      <w:r>
        <w:rPr>
          <w:rFonts w:hint="eastAsia" w:ascii="宋体" w:hAnsi="宋体" w:cs="宋体"/>
          <w:kern w:val="0"/>
          <w:sz w:val="20"/>
          <w:szCs w:val="20"/>
        </w:rPr>
        <w:t>单位：元/吨</w:t>
      </w:r>
    </w:p>
    <w:tbl>
      <w:tblPr>
        <w:tblW w:w="9555" w:type="dxa"/>
        <w:tblInd w:w="0" w:type="dxa"/>
        <w:shd w:val="clear"/>
        <w:tblLayout w:type="fixed"/>
        <w:tblCellMar>
          <w:top w:w="0" w:type="dxa"/>
          <w:left w:w="0" w:type="dxa"/>
          <w:bottom w:w="0" w:type="dxa"/>
          <w:right w:w="0" w:type="dxa"/>
        </w:tblCellMar>
      </w:tblPr>
      <w:tblGrid>
        <w:gridCol w:w="780"/>
        <w:gridCol w:w="1080"/>
        <w:gridCol w:w="1080"/>
        <w:gridCol w:w="825"/>
        <w:gridCol w:w="795"/>
        <w:gridCol w:w="1080"/>
        <w:gridCol w:w="885"/>
        <w:gridCol w:w="1515"/>
        <w:gridCol w:w="1515"/>
      </w:tblGrid>
      <w:tr>
        <w:tblPrEx>
          <w:shd w:val="clear"/>
          <w:tblLayout w:type="fixed"/>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2019-7-4</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2019-6-27</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连云港市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舟山市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潮州市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海口市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6540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6490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德州市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6640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6390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210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260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6640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210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360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6640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6280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210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九江市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82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333333" w:sz="4" w:space="0"/>
              <w:left w:val="single" w:color="333333" w:sz="4" w:space="0"/>
              <w:bottom w:val="nil"/>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西北</w:t>
            </w:r>
          </w:p>
        </w:tc>
        <w:tc>
          <w:tcPr>
            <w:tcW w:w="1080" w:type="dxa"/>
            <w:tcBorders>
              <w:top w:val="single" w:color="333333" w:sz="4" w:space="0"/>
              <w:left w:val="single" w:color="333333" w:sz="4" w:space="0"/>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西安市</w:t>
            </w:r>
          </w:p>
        </w:tc>
        <w:tc>
          <w:tcPr>
            <w:tcW w:w="1080" w:type="dxa"/>
            <w:tcBorders>
              <w:top w:val="single" w:color="333333" w:sz="4" w:space="0"/>
              <w:left w:val="single" w:color="333333" w:sz="4" w:space="0"/>
              <w:bottom w:val="single" w:color="333333"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6330</w:t>
            </w:r>
          </w:p>
        </w:tc>
      </w:tr>
    </w:tbl>
    <w:p>
      <w:pPr>
        <w:widowControl/>
        <w:rPr>
          <w:rFonts w:ascii="宋体" w:hAnsi="宋体" w:cs="宋体"/>
          <w:kern w:val="0"/>
          <w:sz w:val="20"/>
          <w:szCs w:val="20"/>
        </w:rPr>
      </w:pPr>
    </w:p>
    <w:p>
      <w:pPr>
        <w:pStyle w:val="3"/>
        <w:spacing w:before="120" w:after="120" w:line="240" w:lineRule="auto"/>
        <w:rPr>
          <w:rFonts w:ascii="宋体" w:hAnsi="宋体"/>
          <w:b/>
          <w:sz w:val="30"/>
          <w:szCs w:val="30"/>
        </w:rPr>
      </w:pPr>
      <w:bookmarkStart w:id="15" w:name="_Toc533771872"/>
    </w:p>
    <w:p>
      <w:pPr>
        <w:pStyle w:val="3"/>
        <w:spacing w:before="120" w:after="120" w:line="240" w:lineRule="auto"/>
        <w:rPr>
          <w:rFonts w:ascii="宋体" w:hAnsi="宋体"/>
          <w:b/>
          <w:sz w:val="30"/>
          <w:szCs w:val="30"/>
        </w:rPr>
      </w:pPr>
      <w:r>
        <w:rPr>
          <w:rFonts w:hint="eastAsia" w:ascii="宋体" w:hAnsi="宋体"/>
          <w:b/>
          <w:sz w:val="30"/>
          <w:szCs w:val="30"/>
        </w:rPr>
        <w:t>3.5 山东地炼汽油出厂价格周报</w:t>
      </w:r>
      <w:bookmarkEnd w:id="15"/>
    </w:p>
    <w:p>
      <w:pPr>
        <w:widowControl/>
        <w:jc w:val="both"/>
        <w:rPr>
          <w:rFonts w:hint="eastAsia" w:ascii="宋体" w:hAnsi="宋体" w:cs="宋体"/>
          <w:kern w:val="0"/>
          <w:sz w:val="20"/>
          <w:szCs w:val="20"/>
        </w:rPr>
      </w:pPr>
      <w:r>
        <w:rPr>
          <w:rFonts w:hint="eastAsia" w:ascii="宋体" w:hAnsi="宋体" w:cs="宋体"/>
          <w:kern w:val="0"/>
          <w:sz w:val="20"/>
          <w:szCs w:val="20"/>
        </w:rPr>
        <w:t>单位：元/吨</w:t>
      </w:r>
    </w:p>
    <w:tbl>
      <w:tblPr>
        <w:tblW w:w="9285" w:type="dxa"/>
        <w:tblInd w:w="0" w:type="dxa"/>
        <w:shd w:val="clear"/>
        <w:tblLayout w:type="fixed"/>
        <w:tblCellMar>
          <w:top w:w="0" w:type="dxa"/>
          <w:left w:w="0" w:type="dxa"/>
          <w:bottom w:w="0" w:type="dxa"/>
          <w:right w:w="0" w:type="dxa"/>
        </w:tblCellMar>
      </w:tblPr>
      <w:tblGrid>
        <w:gridCol w:w="1065"/>
        <w:gridCol w:w="1080"/>
        <w:gridCol w:w="1080"/>
        <w:gridCol w:w="1080"/>
        <w:gridCol w:w="1080"/>
        <w:gridCol w:w="1080"/>
        <w:gridCol w:w="1410"/>
        <w:gridCol w:w="1410"/>
      </w:tblGrid>
      <w:tr>
        <w:tblPrEx>
          <w:shd w:val="clear"/>
          <w:tblLayout w:type="fixed"/>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2019-7-4</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2019-6-27</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6260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5912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5912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6062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6062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5750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73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6065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5992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6213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6148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72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6365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6293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6270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6420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6110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5980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6240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6250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5840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0 </w:t>
            </w:r>
          </w:p>
        </w:tc>
      </w:tr>
      <w:tr>
        <w:tblPrEx>
          <w:tblLayout w:type="fixed"/>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7300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6700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6220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6470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6520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jc w:val="center"/>
        <w:rPr>
          <w:rFonts w:hint="eastAsia" w:ascii="宋体" w:hAnsi="宋体" w:cs="宋体"/>
          <w:kern w:val="0"/>
          <w:sz w:val="20"/>
          <w:szCs w:val="20"/>
        </w:rPr>
      </w:pPr>
    </w:p>
    <w:p>
      <w:pPr>
        <w:pStyle w:val="3"/>
        <w:spacing w:before="120" w:after="120" w:line="240" w:lineRule="auto"/>
        <w:rPr>
          <w:rFonts w:ascii="宋体" w:hAnsi="宋体"/>
          <w:b/>
          <w:sz w:val="30"/>
          <w:szCs w:val="30"/>
        </w:rPr>
      </w:pPr>
      <w:bookmarkStart w:id="16" w:name="_Toc533771873"/>
      <w:r>
        <w:rPr>
          <w:rFonts w:hint="eastAsia" w:ascii="宋体" w:hAnsi="宋体"/>
          <w:b/>
          <w:sz w:val="30"/>
          <w:szCs w:val="30"/>
        </w:rPr>
        <w:t>3.6 山东地炼柴油出厂价格周报</w:t>
      </w:r>
      <w:bookmarkEnd w:id="16"/>
    </w:p>
    <w:p>
      <w:pPr>
        <w:widowControl/>
        <w:rPr>
          <w:rFonts w:hint="eastAsia" w:ascii="宋体" w:hAnsi="宋体" w:cs="宋体"/>
          <w:kern w:val="0"/>
          <w:sz w:val="20"/>
          <w:szCs w:val="20"/>
        </w:rPr>
      </w:pPr>
      <w:r>
        <w:rPr>
          <w:rFonts w:hint="eastAsia" w:ascii="宋体" w:hAnsi="宋体" w:cs="宋体"/>
          <w:kern w:val="0"/>
          <w:sz w:val="20"/>
          <w:szCs w:val="20"/>
        </w:rPr>
        <w:t>单位：元/吨</w:t>
      </w:r>
    </w:p>
    <w:tbl>
      <w:tblPr>
        <w:tblW w:w="9030" w:type="dxa"/>
        <w:tblInd w:w="0" w:type="dxa"/>
        <w:shd w:val="clear"/>
        <w:tblLayout w:type="fixed"/>
        <w:tblCellMar>
          <w:top w:w="0" w:type="dxa"/>
          <w:left w:w="0" w:type="dxa"/>
          <w:bottom w:w="0" w:type="dxa"/>
          <w:right w:w="0" w:type="dxa"/>
        </w:tblCellMar>
      </w:tblPr>
      <w:tblGrid>
        <w:gridCol w:w="675"/>
        <w:gridCol w:w="1875"/>
        <w:gridCol w:w="1080"/>
        <w:gridCol w:w="1080"/>
        <w:gridCol w:w="1080"/>
        <w:gridCol w:w="1080"/>
        <w:gridCol w:w="1080"/>
        <w:gridCol w:w="1080"/>
      </w:tblGrid>
      <w:tr>
        <w:tblPrEx>
          <w:shd w:val="clear"/>
          <w:tblLayout w:type="fixed"/>
          <w:tblCellMar>
            <w:top w:w="0" w:type="dxa"/>
            <w:left w:w="0" w:type="dxa"/>
            <w:bottom w:w="0" w:type="dxa"/>
            <w:right w:w="0"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2019-7-4</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2019-6-27</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5920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5970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6230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6130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6400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6350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6050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5970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6140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bdr w:val="none" w:color="auto" w:sz="0" w:space="0"/>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6650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6550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993366" w:sz="4" w:space="0"/>
              <w:left w:val="single" w:color="993366" w:sz="4" w:space="0"/>
              <w:bottom w:val="single" w:color="993366"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 xml:space="preserve">0 </w:t>
            </w:r>
          </w:p>
        </w:tc>
      </w:tr>
    </w:tbl>
    <w:p>
      <w:pPr>
        <w:widowControl/>
        <w:rPr>
          <w:rFonts w:hint="eastAsia" w:ascii="宋体" w:hAnsi="宋体" w:cs="宋体"/>
          <w:kern w:val="0"/>
          <w:sz w:val="18"/>
          <w:szCs w:val="18"/>
        </w:rPr>
      </w:pPr>
    </w:p>
    <w:p>
      <w:pPr>
        <w:pStyle w:val="2"/>
        <w:spacing w:before="120" w:after="0" w:line="240" w:lineRule="auto"/>
        <w:rPr>
          <w:b/>
        </w:rPr>
      </w:pPr>
      <w:bookmarkStart w:id="17" w:name="_Toc533771874"/>
      <w:r>
        <w:rPr>
          <w:rFonts w:hint="eastAsia"/>
          <w:b/>
        </w:rPr>
        <w:t>四、2017年10月份进出口统计数据</w:t>
      </w:r>
      <w:bookmarkEnd w:id="17"/>
    </w:p>
    <w:p>
      <w:pPr>
        <w:pStyle w:val="3"/>
        <w:spacing w:before="120" w:after="120" w:line="240" w:lineRule="auto"/>
        <w:rPr>
          <w:rFonts w:ascii="宋体" w:hAnsi="宋体"/>
          <w:b/>
          <w:sz w:val="30"/>
          <w:szCs w:val="30"/>
        </w:rPr>
      </w:pPr>
      <w:bookmarkStart w:id="18"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8"/>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9" w:name="_Toc533771876"/>
      <w:r>
        <w:rPr>
          <w:rFonts w:hint="eastAsia" w:ascii="宋体" w:hAnsi="宋体"/>
          <w:b/>
          <w:sz w:val="30"/>
          <w:szCs w:val="30"/>
        </w:rPr>
        <w:t>4.2 2017年10月份全国轻柴油进出口统计数据</w:t>
      </w:r>
      <w:bookmarkEnd w:id="19"/>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20" w:name="_Toc533771877"/>
      <w:r>
        <w:rPr>
          <w:rFonts w:hint="eastAsia" w:ascii="宋体" w:hAnsi="宋体"/>
          <w:b/>
          <w:sz w:val="30"/>
          <w:szCs w:val="30"/>
        </w:rPr>
        <w:t>4.3 2017年10月份全国原油进出口统计数据</w:t>
      </w:r>
      <w:bookmarkEnd w:id="20"/>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1" w:name="_Toc533771878"/>
      <w:r>
        <w:rPr>
          <w:rFonts w:hint="eastAsia" w:ascii="宋体" w:hAnsi="宋体"/>
          <w:b/>
          <w:sz w:val="30"/>
          <w:szCs w:val="30"/>
        </w:rPr>
        <w:t>4.4 2017年10月份全国航空煤油进出口统计数据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2" w:name="_Toc533771879"/>
      <w:r>
        <w:rPr>
          <w:rFonts w:hint="eastAsia" w:ascii="宋体" w:hAnsi="宋体"/>
          <w:b/>
          <w:sz w:val="30"/>
          <w:szCs w:val="30"/>
        </w:rPr>
        <w:t>4.5 2017年10月份全国其他煤油进出口统计数据</w:t>
      </w:r>
      <w:bookmarkEnd w:id="22"/>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3211A1D"/>
    <w:rsid w:val="034F6246"/>
    <w:rsid w:val="044E5434"/>
    <w:rsid w:val="048C7CAA"/>
    <w:rsid w:val="04BF7371"/>
    <w:rsid w:val="053B1A3D"/>
    <w:rsid w:val="067746D4"/>
    <w:rsid w:val="06B9287B"/>
    <w:rsid w:val="06F31CB3"/>
    <w:rsid w:val="076C6634"/>
    <w:rsid w:val="08573B5A"/>
    <w:rsid w:val="09371EEF"/>
    <w:rsid w:val="093F6B95"/>
    <w:rsid w:val="09F11ACB"/>
    <w:rsid w:val="0B421176"/>
    <w:rsid w:val="0C08318F"/>
    <w:rsid w:val="0C586B50"/>
    <w:rsid w:val="0D731CA1"/>
    <w:rsid w:val="0DD115AA"/>
    <w:rsid w:val="0E31785B"/>
    <w:rsid w:val="0EC1627E"/>
    <w:rsid w:val="0F034AA6"/>
    <w:rsid w:val="0F125E7D"/>
    <w:rsid w:val="0F26373F"/>
    <w:rsid w:val="0F7D42FE"/>
    <w:rsid w:val="135A728A"/>
    <w:rsid w:val="13E7373B"/>
    <w:rsid w:val="147759A4"/>
    <w:rsid w:val="15615E0F"/>
    <w:rsid w:val="15D83B2E"/>
    <w:rsid w:val="16734EEE"/>
    <w:rsid w:val="16E22B33"/>
    <w:rsid w:val="17194D7A"/>
    <w:rsid w:val="173C1948"/>
    <w:rsid w:val="17464B66"/>
    <w:rsid w:val="17652D76"/>
    <w:rsid w:val="19850C75"/>
    <w:rsid w:val="198F27F8"/>
    <w:rsid w:val="1A555BDB"/>
    <w:rsid w:val="1ACC4B7F"/>
    <w:rsid w:val="1B816F9A"/>
    <w:rsid w:val="1C01336C"/>
    <w:rsid w:val="1C1669BA"/>
    <w:rsid w:val="1C2230E8"/>
    <w:rsid w:val="1D2B7B9F"/>
    <w:rsid w:val="1D466011"/>
    <w:rsid w:val="1D547E28"/>
    <w:rsid w:val="1D980258"/>
    <w:rsid w:val="1E2278F4"/>
    <w:rsid w:val="1E6D6ABE"/>
    <w:rsid w:val="1F6B3A34"/>
    <w:rsid w:val="20261774"/>
    <w:rsid w:val="203A4D2E"/>
    <w:rsid w:val="21147D43"/>
    <w:rsid w:val="22944164"/>
    <w:rsid w:val="22D174A6"/>
    <w:rsid w:val="23B946BE"/>
    <w:rsid w:val="24322A62"/>
    <w:rsid w:val="24554136"/>
    <w:rsid w:val="24A21A55"/>
    <w:rsid w:val="27A7464B"/>
    <w:rsid w:val="28892109"/>
    <w:rsid w:val="28A325B7"/>
    <w:rsid w:val="29D84ABC"/>
    <w:rsid w:val="2A252C4C"/>
    <w:rsid w:val="2B0F004D"/>
    <w:rsid w:val="2B6638DE"/>
    <w:rsid w:val="2BFC6315"/>
    <w:rsid w:val="2CAD067B"/>
    <w:rsid w:val="2D4D17E5"/>
    <w:rsid w:val="2E4A7323"/>
    <w:rsid w:val="2EA56E95"/>
    <w:rsid w:val="2FD85581"/>
    <w:rsid w:val="30A00CB5"/>
    <w:rsid w:val="30FC61C2"/>
    <w:rsid w:val="31490B7D"/>
    <w:rsid w:val="31B05A1F"/>
    <w:rsid w:val="31FC35FB"/>
    <w:rsid w:val="32010D04"/>
    <w:rsid w:val="34173060"/>
    <w:rsid w:val="34474FF1"/>
    <w:rsid w:val="357D4C50"/>
    <w:rsid w:val="364A7C84"/>
    <w:rsid w:val="366B7A53"/>
    <w:rsid w:val="36F44E23"/>
    <w:rsid w:val="37785098"/>
    <w:rsid w:val="38E95212"/>
    <w:rsid w:val="39600E80"/>
    <w:rsid w:val="3A1A4CEB"/>
    <w:rsid w:val="3A481E25"/>
    <w:rsid w:val="3BD837A5"/>
    <w:rsid w:val="3CB004C5"/>
    <w:rsid w:val="3CB35047"/>
    <w:rsid w:val="3CB47F7E"/>
    <w:rsid w:val="3D8D1DDC"/>
    <w:rsid w:val="3E0F09D9"/>
    <w:rsid w:val="3E9953AC"/>
    <w:rsid w:val="3F837DDF"/>
    <w:rsid w:val="40171145"/>
    <w:rsid w:val="41696F7F"/>
    <w:rsid w:val="419D7C05"/>
    <w:rsid w:val="41F604FA"/>
    <w:rsid w:val="427133C0"/>
    <w:rsid w:val="4348259E"/>
    <w:rsid w:val="44615639"/>
    <w:rsid w:val="44944331"/>
    <w:rsid w:val="44B05905"/>
    <w:rsid w:val="459B774E"/>
    <w:rsid w:val="47C254B8"/>
    <w:rsid w:val="47DF082A"/>
    <w:rsid w:val="483A31DC"/>
    <w:rsid w:val="4898666C"/>
    <w:rsid w:val="4969605D"/>
    <w:rsid w:val="4A3546EB"/>
    <w:rsid w:val="4A56215E"/>
    <w:rsid w:val="4A5D4A40"/>
    <w:rsid w:val="4A943BC6"/>
    <w:rsid w:val="4BCC6CCE"/>
    <w:rsid w:val="4BF446B8"/>
    <w:rsid w:val="4C061338"/>
    <w:rsid w:val="4DCE6ED3"/>
    <w:rsid w:val="4E333BBB"/>
    <w:rsid w:val="4EC951FF"/>
    <w:rsid w:val="4ED04B02"/>
    <w:rsid w:val="51EE27E3"/>
    <w:rsid w:val="52515077"/>
    <w:rsid w:val="52D061DA"/>
    <w:rsid w:val="53434396"/>
    <w:rsid w:val="546C3F2D"/>
    <w:rsid w:val="549F75FE"/>
    <w:rsid w:val="556D2811"/>
    <w:rsid w:val="56C325A5"/>
    <w:rsid w:val="57B937A9"/>
    <w:rsid w:val="58E94F10"/>
    <w:rsid w:val="58FF06B6"/>
    <w:rsid w:val="59591BB8"/>
    <w:rsid w:val="59AD15AB"/>
    <w:rsid w:val="59E474BD"/>
    <w:rsid w:val="5AF86253"/>
    <w:rsid w:val="5B081862"/>
    <w:rsid w:val="5C9E10E9"/>
    <w:rsid w:val="5DC477E0"/>
    <w:rsid w:val="5DD05318"/>
    <w:rsid w:val="5F880842"/>
    <w:rsid w:val="5FFC4765"/>
    <w:rsid w:val="602C01A9"/>
    <w:rsid w:val="61BC217C"/>
    <w:rsid w:val="61F2327B"/>
    <w:rsid w:val="625E2011"/>
    <w:rsid w:val="6439179D"/>
    <w:rsid w:val="65480BBE"/>
    <w:rsid w:val="661A0E12"/>
    <w:rsid w:val="68382592"/>
    <w:rsid w:val="68A742AD"/>
    <w:rsid w:val="6A7A60F7"/>
    <w:rsid w:val="6BE972DB"/>
    <w:rsid w:val="6C0F2440"/>
    <w:rsid w:val="6C176418"/>
    <w:rsid w:val="6C392A9F"/>
    <w:rsid w:val="6CEF6EBD"/>
    <w:rsid w:val="6D206AE2"/>
    <w:rsid w:val="6DD23F1E"/>
    <w:rsid w:val="6E5D68D3"/>
    <w:rsid w:val="6E7934F3"/>
    <w:rsid w:val="6EAD6286"/>
    <w:rsid w:val="6EB24C59"/>
    <w:rsid w:val="709143C4"/>
    <w:rsid w:val="70930271"/>
    <w:rsid w:val="70DB5146"/>
    <w:rsid w:val="71990145"/>
    <w:rsid w:val="71E12038"/>
    <w:rsid w:val="72112B83"/>
    <w:rsid w:val="72910320"/>
    <w:rsid w:val="736D4BAC"/>
    <w:rsid w:val="74090510"/>
    <w:rsid w:val="752A3F7B"/>
    <w:rsid w:val="76936F16"/>
    <w:rsid w:val="76A64EB2"/>
    <w:rsid w:val="77B92312"/>
    <w:rsid w:val="7827423F"/>
    <w:rsid w:val="7850391E"/>
    <w:rsid w:val="78703EBE"/>
    <w:rsid w:val="79404911"/>
    <w:rsid w:val="7986601A"/>
    <w:rsid w:val="79AE14B2"/>
    <w:rsid w:val="7A680094"/>
    <w:rsid w:val="7A81102C"/>
    <w:rsid w:val="7BDE6C84"/>
    <w:rsid w:val="7CF41D8D"/>
    <w:rsid w:val="7D2D2CA0"/>
    <w:rsid w:val="7DD90B59"/>
    <w:rsid w:val="7E660C33"/>
    <w:rsid w:val="7E733B66"/>
    <w:rsid w:val="7EC52141"/>
    <w:rsid w:val="7ED12FEE"/>
    <w:rsid w:val="7F1648D6"/>
    <w:rsid w:val="7F23784E"/>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10</TotalTime>
  <ScaleCrop>false</ScaleCrop>
  <LinksUpToDate>false</LinksUpToDate>
  <CharactersWithSpaces>26786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2019-07-04T08:15:25Z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2052-11.1.0.8806</vt:lpwstr>
  </property>
</Properties>
</file>