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EE" w:rsidRDefault="0014013A" w:rsidP="00DA7BA3">
      <w:pPr>
        <w:spacing w:line="360" w:lineRule="auto"/>
        <w:outlineLvl w:val="0"/>
      </w:pPr>
      <w:r>
        <w:rPr>
          <w:noProof/>
        </w:rP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r w:rsidR="001709DB">
        <w:pict>
          <v:shapetype id="_x0000_t202" coordsize="21600,21600" o:spt="202" path="m,l,21600r21600,l21600,xe">
            <v:stroke joinstyle="miter"/>
            <v:path gradientshapeok="t" o:connecttype="rect"/>
          </v:shapetype>
          <v:shape id="文本框 2" o:spid="_x0000_s1026" type="#_x0000_t202" style="position:absolute;left:0;text-align:left;margin-left:36.75pt;margin-top:585pt;width:419.1pt;height:110.7pt;z-index:251657216;mso-position-horizontal-relative:text;mso-position-vertical-relative:text"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w:txbxContent>
                <w:p w:rsidR="00811520" w:rsidRDefault="00811520">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811520" w:rsidRDefault="00811520">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811520" w:rsidRDefault="00811520">
                  <w:pPr>
                    <w:jc w:val="left"/>
                  </w:pPr>
                </w:p>
              </w:txbxContent>
            </v:textbox>
          </v:shape>
        </w:pict>
      </w:r>
      <w:r w:rsidR="001709DB">
        <w:pict>
          <v:shape id="文本框 3" o:spid="_x0000_s1028" type="#_x0000_t202" style="position:absolute;left:0;text-align:left;margin-left:175.45pt;margin-top:490.7pt;width:126.6pt;height:54.1pt;z-index:251658240;mso-position-horizontal-relative:text;mso-position-vertical-relative:text"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w:txbxContent>
                <w:p w:rsidR="00811520" w:rsidRDefault="00811520">
                  <w:pPr>
                    <w:pStyle w:val="1"/>
                    <w:jc w:val="center"/>
                    <w:rPr>
                      <w:kern w:val="2"/>
                    </w:rPr>
                  </w:pPr>
                  <w:bookmarkStart w:id="0" w:name="_Toc485828984"/>
                  <w:bookmarkStart w:id="1" w:name="_Toc6486594"/>
                  <w:bookmarkStart w:id="2" w:name="_Toc6575092"/>
                  <w:bookmarkStart w:id="3" w:name="_Toc6581276"/>
                  <w:r>
                    <w:rPr>
                      <w:rFonts w:hint="eastAsia"/>
                      <w:kern w:val="2"/>
                    </w:rPr>
                    <w:t>2019.</w:t>
                  </w:r>
                  <w:bookmarkEnd w:id="0"/>
                  <w:r>
                    <w:rPr>
                      <w:rFonts w:hint="eastAsia"/>
                      <w:kern w:val="2"/>
                    </w:rPr>
                    <w:t>4.1</w:t>
                  </w:r>
                  <w:bookmarkEnd w:id="1"/>
                  <w:r>
                    <w:rPr>
                      <w:rFonts w:hint="eastAsia"/>
                      <w:kern w:val="2"/>
                    </w:rPr>
                    <w:t>9</w:t>
                  </w:r>
                  <w:bookmarkEnd w:id="2"/>
                  <w:bookmarkEnd w:id="3"/>
                </w:p>
                <w:p w:rsidR="00811520" w:rsidRDefault="00811520"/>
              </w:txbxContent>
            </v:textbox>
          </v:shape>
        </w:pict>
      </w:r>
      <w:r>
        <w:br w:type="page"/>
      </w:r>
      <w:bookmarkStart w:id="4" w:name="_Toc485828985"/>
      <w:r w:rsidR="001709DB" w:rsidRPr="001709DB">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w:txbxContent>
                <w:p w:rsidR="00811520" w:rsidRDefault="00811520">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914624" w:rsidRDefault="001709DB">
                  <w:pPr>
                    <w:pStyle w:val="10"/>
                    <w:rPr>
                      <w:rFonts w:asciiTheme="minorHAnsi" w:eastAsiaTheme="minorEastAsia" w:hAnsiTheme="minorHAnsi" w:cstheme="minorBidi"/>
                      <w:b w:val="0"/>
                      <w:bCs w:val="0"/>
                      <w:caps w:val="0"/>
                      <w:noProof/>
                      <w:color w:val="auto"/>
                      <w:sz w:val="21"/>
                      <w:szCs w:val="22"/>
                    </w:rPr>
                  </w:pPr>
                  <w:r w:rsidRPr="001709DB">
                    <w:rPr>
                      <w:sz w:val="20"/>
                    </w:rPr>
                    <w:fldChar w:fldCharType="begin"/>
                  </w:r>
                  <w:r w:rsidR="00811520">
                    <w:rPr>
                      <w:sz w:val="20"/>
                    </w:rPr>
                    <w:instrText xml:space="preserve"> TOC \o "1-3" \h \z \u </w:instrText>
                  </w:r>
                  <w:r w:rsidRPr="001709DB">
                    <w:rPr>
                      <w:sz w:val="20"/>
                    </w:rPr>
                    <w:fldChar w:fldCharType="separate"/>
                  </w:r>
                  <w:hyperlink w:anchor="_Toc6581277" w:history="1">
                    <w:r w:rsidR="00914624" w:rsidRPr="00A42196">
                      <w:rPr>
                        <w:rStyle w:val="ae"/>
                        <w:rFonts w:ascii="黑体" w:eastAsia="黑体" w:hint="eastAsia"/>
                        <w:noProof/>
                      </w:rPr>
                      <w:t>一、国际原油市场回顾</w:t>
                    </w:r>
                    <w:r w:rsidR="00914624">
                      <w:rPr>
                        <w:noProof/>
                        <w:webHidden/>
                      </w:rPr>
                      <w:tab/>
                    </w:r>
                    <w:r w:rsidR="00914624">
                      <w:rPr>
                        <w:noProof/>
                        <w:webHidden/>
                      </w:rPr>
                      <w:fldChar w:fldCharType="begin"/>
                    </w:r>
                    <w:r w:rsidR="00914624">
                      <w:rPr>
                        <w:noProof/>
                        <w:webHidden/>
                      </w:rPr>
                      <w:instrText xml:space="preserve"> PAGEREF _Toc6581277 \h </w:instrText>
                    </w:r>
                    <w:r w:rsidR="00914624">
                      <w:rPr>
                        <w:noProof/>
                        <w:webHidden/>
                      </w:rPr>
                    </w:r>
                    <w:r w:rsidR="00914624">
                      <w:rPr>
                        <w:noProof/>
                        <w:webHidden/>
                      </w:rPr>
                      <w:fldChar w:fldCharType="separate"/>
                    </w:r>
                    <w:r w:rsidR="00914624">
                      <w:rPr>
                        <w:noProof/>
                        <w:webHidden/>
                      </w:rPr>
                      <w:t>3</w:t>
                    </w:r>
                    <w:r w:rsidR="00914624">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78" w:history="1">
                    <w:r w:rsidRPr="00A42196">
                      <w:rPr>
                        <w:rStyle w:val="ae"/>
                        <w:rFonts w:ascii="黑体" w:eastAsia="黑体" w:cs="Arial" w:hint="eastAsia"/>
                        <w:bCs/>
                        <w:noProof/>
                        <w:kern w:val="0"/>
                      </w:rPr>
                      <w:t>（一）国际原油市场回顾</w:t>
                    </w:r>
                    <w:r>
                      <w:rPr>
                        <w:noProof/>
                        <w:webHidden/>
                      </w:rPr>
                      <w:tab/>
                    </w:r>
                    <w:r>
                      <w:rPr>
                        <w:noProof/>
                        <w:webHidden/>
                      </w:rPr>
                      <w:fldChar w:fldCharType="begin"/>
                    </w:r>
                    <w:r>
                      <w:rPr>
                        <w:noProof/>
                        <w:webHidden/>
                      </w:rPr>
                      <w:instrText xml:space="preserve"> PAGEREF _Toc6581278 \h </w:instrText>
                    </w:r>
                    <w:r>
                      <w:rPr>
                        <w:noProof/>
                        <w:webHidden/>
                      </w:rPr>
                    </w:r>
                    <w:r>
                      <w:rPr>
                        <w:noProof/>
                        <w:webHidden/>
                      </w:rPr>
                      <w:fldChar w:fldCharType="separate"/>
                    </w:r>
                    <w:r>
                      <w:rPr>
                        <w:noProof/>
                        <w:webHidden/>
                      </w:rPr>
                      <w:t>3</w:t>
                    </w:r>
                    <w:r>
                      <w:rPr>
                        <w:noProof/>
                        <w:webHidden/>
                      </w:rPr>
                      <w:fldChar w:fldCharType="end"/>
                    </w:r>
                  </w:hyperlink>
                </w:p>
                <w:p w:rsidR="00914624" w:rsidRDefault="00914624">
                  <w:pPr>
                    <w:pStyle w:val="21"/>
                    <w:tabs>
                      <w:tab w:val="left" w:pos="840"/>
                    </w:tabs>
                    <w:rPr>
                      <w:rFonts w:asciiTheme="minorHAnsi" w:eastAsiaTheme="minorEastAsia" w:hAnsiTheme="minorHAnsi" w:cstheme="minorBidi"/>
                      <w:b w:val="0"/>
                      <w:smallCaps w:val="0"/>
                      <w:noProof/>
                      <w:color w:val="auto"/>
                      <w:sz w:val="21"/>
                      <w:szCs w:val="22"/>
                    </w:rPr>
                  </w:pPr>
                  <w:hyperlink w:anchor="_Toc6581279" w:history="1">
                    <w:r w:rsidRPr="00A42196">
                      <w:rPr>
                        <w:rStyle w:val="ae"/>
                        <w:rFonts w:cs="Arial"/>
                        <w:noProof/>
                        <w:kern w:val="0"/>
                      </w:rPr>
                      <w:t>1.</w:t>
                    </w:r>
                    <w:r>
                      <w:rPr>
                        <w:rFonts w:asciiTheme="minorHAnsi" w:eastAsiaTheme="minorEastAsia" w:hAnsiTheme="minorHAnsi" w:cstheme="minorBidi"/>
                        <w:b w:val="0"/>
                        <w:smallCaps w:val="0"/>
                        <w:noProof/>
                        <w:color w:val="auto"/>
                        <w:sz w:val="21"/>
                        <w:szCs w:val="22"/>
                      </w:rPr>
                      <w:tab/>
                    </w:r>
                    <w:r w:rsidRPr="00A42196">
                      <w:rPr>
                        <w:rStyle w:val="ae"/>
                        <w:rFonts w:cs="Arial" w:hint="eastAsia"/>
                        <w:noProof/>
                        <w:kern w:val="0"/>
                      </w:rPr>
                      <w:t>国际原油收盘价涨跌情况（单位：美元</w:t>
                    </w:r>
                    <w:r w:rsidRPr="00A42196">
                      <w:rPr>
                        <w:rStyle w:val="ae"/>
                        <w:rFonts w:cs="Arial"/>
                        <w:noProof/>
                        <w:kern w:val="0"/>
                      </w:rPr>
                      <w:t>/</w:t>
                    </w:r>
                    <w:r w:rsidRPr="00A42196">
                      <w:rPr>
                        <w:rStyle w:val="ae"/>
                        <w:rFonts w:cs="Arial" w:hint="eastAsia"/>
                        <w:noProof/>
                        <w:kern w:val="0"/>
                      </w:rPr>
                      <w:t>桶）</w:t>
                    </w:r>
                    <w:r>
                      <w:rPr>
                        <w:noProof/>
                        <w:webHidden/>
                      </w:rPr>
                      <w:tab/>
                    </w:r>
                    <w:r>
                      <w:rPr>
                        <w:noProof/>
                        <w:webHidden/>
                      </w:rPr>
                      <w:fldChar w:fldCharType="begin"/>
                    </w:r>
                    <w:r>
                      <w:rPr>
                        <w:noProof/>
                        <w:webHidden/>
                      </w:rPr>
                      <w:instrText xml:space="preserve"> PAGEREF _Toc6581279 \h </w:instrText>
                    </w:r>
                    <w:r>
                      <w:rPr>
                        <w:noProof/>
                        <w:webHidden/>
                      </w:rPr>
                    </w:r>
                    <w:r>
                      <w:rPr>
                        <w:noProof/>
                        <w:webHidden/>
                      </w:rPr>
                      <w:fldChar w:fldCharType="separate"/>
                    </w:r>
                    <w:r>
                      <w:rPr>
                        <w:noProof/>
                        <w:webHidden/>
                      </w:rPr>
                      <w:t>3</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80" w:history="1">
                    <w:r w:rsidRPr="00A42196">
                      <w:rPr>
                        <w:rStyle w:val="ae"/>
                        <w:rFonts w:cs="Arial"/>
                        <w:noProof/>
                        <w:kern w:val="0"/>
                      </w:rPr>
                      <w:t>2.2019</w:t>
                    </w:r>
                    <w:r w:rsidRPr="00A42196">
                      <w:rPr>
                        <w:rStyle w:val="ae"/>
                        <w:rFonts w:cs="Arial" w:hint="eastAsia"/>
                        <w:noProof/>
                        <w:kern w:val="0"/>
                      </w:rPr>
                      <w:t>年国际原油价格走势图</w:t>
                    </w:r>
                    <w:r>
                      <w:rPr>
                        <w:noProof/>
                        <w:webHidden/>
                      </w:rPr>
                      <w:tab/>
                    </w:r>
                    <w:r>
                      <w:rPr>
                        <w:noProof/>
                        <w:webHidden/>
                      </w:rPr>
                      <w:fldChar w:fldCharType="begin"/>
                    </w:r>
                    <w:r>
                      <w:rPr>
                        <w:noProof/>
                        <w:webHidden/>
                      </w:rPr>
                      <w:instrText xml:space="preserve"> PAGEREF _Toc6581280 \h </w:instrText>
                    </w:r>
                    <w:r>
                      <w:rPr>
                        <w:noProof/>
                        <w:webHidden/>
                      </w:rPr>
                    </w:r>
                    <w:r>
                      <w:rPr>
                        <w:noProof/>
                        <w:webHidden/>
                      </w:rPr>
                      <w:fldChar w:fldCharType="separate"/>
                    </w:r>
                    <w:r>
                      <w:rPr>
                        <w:noProof/>
                        <w:webHidden/>
                      </w:rPr>
                      <w:t>3</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81" w:history="1">
                    <w:r w:rsidRPr="00A42196">
                      <w:rPr>
                        <w:rStyle w:val="ae"/>
                        <w:rFonts w:cs="Arial"/>
                        <w:bCs/>
                        <w:noProof/>
                        <w:kern w:val="0"/>
                      </w:rPr>
                      <w:t>(</w:t>
                    </w:r>
                    <w:r w:rsidRPr="00A42196">
                      <w:rPr>
                        <w:rStyle w:val="ae"/>
                        <w:rFonts w:cs="Arial" w:hint="eastAsia"/>
                        <w:bCs/>
                        <w:noProof/>
                        <w:kern w:val="0"/>
                      </w:rPr>
                      <w:t>二</w:t>
                    </w:r>
                    <w:r w:rsidRPr="00A42196">
                      <w:rPr>
                        <w:rStyle w:val="ae"/>
                        <w:rFonts w:cs="Arial"/>
                        <w:bCs/>
                        <w:noProof/>
                        <w:kern w:val="0"/>
                      </w:rPr>
                      <w:t>)</w:t>
                    </w:r>
                    <w:r w:rsidRPr="00A42196">
                      <w:rPr>
                        <w:rStyle w:val="ae"/>
                        <w:rFonts w:cs="Arial" w:hint="eastAsia"/>
                        <w:bCs/>
                        <w:noProof/>
                        <w:kern w:val="0"/>
                      </w:rPr>
                      <w:t>、近期影响国际原油市场的主要因素</w:t>
                    </w:r>
                    <w:r>
                      <w:rPr>
                        <w:noProof/>
                        <w:webHidden/>
                      </w:rPr>
                      <w:tab/>
                    </w:r>
                    <w:r>
                      <w:rPr>
                        <w:noProof/>
                        <w:webHidden/>
                      </w:rPr>
                      <w:fldChar w:fldCharType="begin"/>
                    </w:r>
                    <w:r>
                      <w:rPr>
                        <w:noProof/>
                        <w:webHidden/>
                      </w:rPr>
                      <w:instrText xml:space="preserve"> PAGEREF _Toc6581281 \h </w:instrText>
                    </w:r>
                    <w:r>
                      <w:rPr>
                        <w:noProof/>
                        <w:webHidden/>
                      </w:rPr>
                    </w:r>
                    <w:r>
                      <w:rPr>
                        <w:noProof/>
                        <w:webHidden/>
                      </w:rPr>
                      <w:fldChar w:fldCharType="separate"/>
                    </w:r>
                    <w:r>
                      <w:rPr>
                        <w:noProof/>
                        <w:webHidden/>
                      </w:rPr>
                      <w:t>4</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82" w:history="1">
                    <w:r w:rsidRPr="00A42196">
                      <w:rPr>
                        <w:rStyle w:val="ae"/>
                        <w:rFonts w:ascii="黑体" w:eastAsia="黑体"/>
                        <w:noProof/>
                      </w:rPr>
                      <w:t>1.</w:t>
                    </w:r>
                    <w:r w:rsidRPr="00A42196">
                      <w:rPr>
                        <w:rStyle w:val="ae"/>
                        <w:rFonts w:ascii="黑体" w:eastAsia="黑体" w:hint="eastAsia"/>
                        <w:noProof/>
                      </w:rPr>
                      <w:t>美国原油库存情况</w:t>
                    </w:r>
                    <w:r>
                      <w:rPr>
                        <w:noProof/>
                        <w:webHidden/>
                      </w:rPr>
                      <w:tab/>
                    </w:r>
                    <w:r>
                      <w:rPr>
                        <w:noProof/>
                        <w:webHidden/>
                      </w:rPr>
                      <w:fldChar w:fldCharType="begin"/>
                    </w:r>
                    <w:r>
                      <w:rPr>
                        <w:noProof/>
                        <w:webHidden/>
                      </w:rPr>
                      <w:instrText xml:space="preserve"> PAGEREF _Toc6581282 \h </w:instrText>
                    </w:r>
                    <w:r>
                      <w:rPr>
                        <w:noProof/>
                        <w:webHidden/>
                      </w:rPr>
                    </w:r>
                    <w:r>
                      <w:rPr>
                        <w:noProof/>
                        <w:webHidden/>
                      </w:rPr>
                      <w:fldChar w:fldCharType="separate"/>
                    </w:r>
                    <w:r>
                      <w:rPr>
                        <w:noProof/>
                        <w:webHidden/>
                      </w:rPr>
                      <w:t>4</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83" w:history="1">
                    <w:r w:rsidRPr="00A42196">
                      <w:rPr>
                        <w:rStyle w:val="ae"/>
                        <w:rFonts w:cs="Arial"/>
                        <w:bCs/>
                        <w:noProof/>
                        <w:kern w:val="0"/>
                      </w:rPr>
                      <w:t>(</w:t>
                    </w:r>
                    <w:r w:rsidRPr="00A42196">
                      <w:rPr>
                        <w:rStyle w:val="ae"/>
                        <w:rFonts w:cs="Arial" w:hint="eastAsia"/>
                        <w:bCs/>
                        <w:noProof/>
                        <w:kern w:val="0"/>
                      </w:rPr>
                      <w:t>三</w:t>
                    </w:r>
                    <w:r w:rsidRPr="00A42196">
                      <w:rPr>
                        <w:rStyle w:val="ae"/>
                        <w:rFonts w:cs="Arial"/>
                        <w:bCs/>
                        <w:noProof/>
                        <w:kern w:val="0"/>
                      </w:rPr>
                      <w:t>)</w:t>
                    </w:r>
                    <w:r w:rsidRPr="00A42196">
                      <w:rPr>
                        <w:rStyle w:val="ae"/>
                        <w:rFonts w:cs="Arial" w:hint="eastAsia"/>
                        <w:bCs/>
                        <w:noProof/>
                        <w:kern w:val="0"/>
                      </w:rPr>
                      <w:t>、</w:t>
                    </w:r>
                    <w:r w:rsidRPr="00A42196">
                      <w:rPr>
                        <w:rStyle w:val="ae"/>
                        <w:rFonts w:cs="Arial"/>
                        <w:bCs/>
                        <w:noProof/>
                        <w:kern w:val="0"/>
                      </w:rPr>
                      <w:t>2018</w:t>
                    </w:r>
                    <w:r w:rsidRPr="00A42196">
                      <w:rPr>
                        <w:rStyle w:val="ae"/>
                        <w:rFonts w:cs="Arial" w:hint="eastAsia"/>
                        <w:bCs/>
                        <w:noProof/>
                        <w:kern w:val="0"/>
                      </w:rPr>
                      <w:t>年</w:t>
                    </w:r>
                    <w:r w:rsidRPr="00A42196">
                      <w:rPr>
                        <w:rStyle w:val="ae"/>
                        <w:rFonts w:cs="Arial"/>
                        <w:bCs/>
                        <w:noProof/>
                        <w:kern w:val="0"/>
                      </w:rPr>
                      <w:t>11</w:t>
                    </w:r>
                    <w:r w:rsidRPr="00A42196">
                      <w:rPr>
                        <w:rStyle w:val="ae"/>
                        <w:rFonts w:cs="Arial" w:hint="eastAsia"/>
                        <w:bCs/>
                        <w:noProof/>
                        <w:kern w:val="0"/>
                      </w:rPr>
                      <w:t>月份全国原油进出口统计数据（产销国）</w:t>
                    </w:r>
                    <w:r>
                      <w:rPr>
                        <w:noProof/>
                        <w:webHidden/>
                      </w:rPr>
                      <w:tab/>
                    </w:r>
                    <w:r>
                      <w:rPr>
                        <w:noProof/>
                        <w:webHidden/>
                      </w:rPr>
                      <w:fldChar w:fldCharType="begin"/>
                    </w:r>
                    <w:r>
                      <w:rPr>
                        <w:noProof/>
                        <w:webHidden/>
                      </w:rPr>
                      <w:instrText xml:space="preserve"> PAGEREF _Toc6581283 \h </w:instrText>
                    </w:r>
                    <w:r>
                      <w:rPr>
                        <w:noProof/>
                        <w:webHidden/>
                      </w:rPr>
                    </w:r>
                    <w:r>
                      <w:rPr>
                        <w:noProof/>
                        <w:webHidden/>
                      </w:rPr>
                      <w:fldChar w:fldCharType="separate"/>
                    </w:r>
                    <w:r>
                      <w:rPr>
                        <w:noProof/>
                        <w:webHidden/>
                      </w:rPr>
                      <w:t>10</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84" w:history="1">
                    <w:r w:rsidRPr="00A42196">
                      <w:rPr>
                        <w:rStyle w:val="ae"/>
                        <w:rFonts w:cs="Arial"/>
                        <w:bCs/>
                        <w:noProof/>
                        <w:kern w:val="0"/>
                      </w:rPr>
                      <w:t>(</w:t>
                    </w:r>
                    <w:r w:rsidRPr="00A42196">
                      <w:rPr>
                        <w:rStyle w:val="ae"/>
                        <w:rFonts w:cs="Arial" w:hint="eastAsia"/>
                        <w:bCs/>
                        <w:noProof/>
                        <w:kern w:val="0"/>
                      </w:rPr>
                      <w:t>四</w:t>
                    </w:r>
                    <w:r w:rsidRPr="00A42196">
                      <w:rPr>
                        <w:rStyle w:val="ae"/>
                        <w:rFonts w:cs="Arial"/>
                        <w:bCs/>
                        <w:noProof/>
                        <w:kern w:val="0"/>
                      </w:rPr>
                      <w:t>)</w:t>
                    </w:r>
                    <w:r w:rsidRPr="00A42196">
                      <w:rPr>
                        <w:rStyle w:val="ae"/>
                        <w:rFonts w:cs="Arial" w:hint="eastAsia"/>
                        <w:bCs/>
                        <w:noProof/>
                        <w:kern w:val="0"/>
                      </w:rPr>
                      <w:t>、后市预测</w:t>
                    </w:r>
                    <w:r>
                      <w:rPr>
                        <w:noProof/>
                        <w:webHidden/>
                      </w:rPr>
                      <w:tab/>
                    </w:r>
                    <w:r>
                      <w:rPr>
                        <w:noProof/>
                        <w:webHidden/>
                      </w:rPr>
                      <w:fldChar w:fldCharType="begin"/>
                    </w:r>
                    <w:r>
                      <w:rPr>
                        <w:noProof/>
                        <w:webHidden/>
                      </w:rPr>
                      <w:instrText xml:space="preserve"> PAGEREF _Toc6581284 \h </w:instrText>
                    </w:r>
                    <w:r>
                      <w:rPr>
                        <w:noProof/>
                        <w:webHidden/>
                      </w:rPr>
                    </w:r>
                    <w:r>
                      <w:rPr>
                        <w:noProof/>
                        <w:webHidden/>
                      </w:rPr>
                      <w:fldChar w:fldCharType="separate"/>
                    </w:r>
                    <w:r>
                      <w:rPr>
                        <w:noProof/>
                        <w:webHidden/>
                      </w:rPr>
                      <w:t>16</w:t>
                    </w:r>
                    <w:r>
                      <w:rPr>
                        <w:noProof/>
                        <w:webHidden/>
                      </w:rPr>
                      <w:fldChar w:fldCharType="end"/>
                    </w:r>
                  </w:hyperlink>
                </w:p>
                <w:p w:rsidR="00914624" w:rsidRDefault="00914624">
                  <w:pPr>
                    <w:pStyle w:val="10"/>
                    <w:rPr>
                      <w:rFonts w:asciiTheme="minorHAnsi" w:eastAsiaTheme="minorEastAsia" w:hAnsiTheme="minorHAnsi" w:cstheme="minorBidi"/>
                      <w:b w:val="0"/>
                      <w:bCs w:val="0"/>
                      <w:caps w:val="0"/>
                      <w:noProof/>
                      <w:color w:val="auto"/>
                      <w:sz w:val="21"/>
                      <w:szCs w:val="22"/>
                    </w:rPr>
                  </w:pPr>
                  <w:hyperlink w:anchor="_Toc6581285" w:history="1">
                    <w:r w:rsidRPr="00A42196">
                      <w:rPr>
                        <w:rStyle w:val="ae"/>
                        <w:rFonts w:ascii="黑体" w:eastAsia="黑体" w:hint="eastAsia"/>
                        <w:noProof/>
                      </w:rPr>
                      <w:t>二、</w:t>
                    </w:r>
                    <w:r w:rsidRPr="00A42196">
                      <w:rPr>
                        <w:rStyle w:val="ae"/>
                        <w:rFonts w:ascii="黑体" w:eastAsia="黑体"/>
                        <w:noProof/>
                      </w:rPr>
                      <w:t xml:space="preserve"> </w:t>
                    </w:r>
                    <w:r w:rsidRPr="00A42196">
                      <w:rPr>
                        <w:rStyle w:val="ae"/>
                        <w:rFonts w:ascii="黑体" w:eastAsia="黑体" w:hint="eastAsia"/>
                        <w:noProof/>
                      </w:rPr>
                      <w:t>石脑油</w:t>
                    </w:r>
                    <w:r>
                      <w:rPr>
                        <w:noProof/>
                        <w:webHidden/>
                      </w:rPr>
                      <w:tab/>
                    </w:r>
                    <w:r>
                      <w:rPr>
                        <w:noProof/>
                        <w:webHidden/>
                      </w:rPr>
                      <w:fldChar w:fldCharType="begin"/>
                    </w:r>
                    <w:r>
                      <w:rPr>
                        <w:noProof/>
                        <w:webHidden/>
                      </w:rPr>
                      <w:instrText xml:space="preserve"> PAGEREF _Toc6581285 \h </w:instrText>
                    </w:r>
                    <w:r>
                      <w:rPr>
                        <w:noProof/>
                        <w:webHidden/>
                      </w:rPr>
                    </w:r>
                    <w:r>
                      <w:rPr>
                        <w:noProof/>
                        <w:webHidden/>
                      </w:rPr>
                      <w:fldChar w:fldCharType="separate"/>
                    </w:r>
                    <w:r>
                      <w:rPr>
                        <w:noProof/>
                        <w:webHidden/>
                      </w:rPr>
                      <w:t>19</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86" w:history="1">
                    <w:r w:rsidRPr="00A42196">
                      <w:rPr>
                        <w:rStyle w:val="ae"/>
                        <w:noProof/>
                      </w:rPr>
                      <w:t>2. 1</w:t>
                    </w:r>
                    <w:r w:rsidRPr="00A42196">
                      <w:rPr>
                        <w:rStyle w:val="ae"/>
                        <w:rFonts w:hint="eastAsia"/>
                        <w:noProof/>
                        <w:kern w:val="0"/>
                      </w:rPr>
                      <w:t>国际石脑油市场价格</w:t>
                    </w:r>
                    <w:r>
                      <w:rPr>
                        <w:noProof/>
                        <w:webHidden/>
                      </w:rPr>
                      <w:tab/>
                    </w:r>
                    <w:r>
                      <w:rPr>
                        <w:noProof/>
                        <w:webHidden/>
                      </w:rPr>
                      <w:fldChar w:fldCharType="begin"/>
                    </w:r>
                    <w:r>
                      <w:rPr>
                        <w:noProof/>
                        <w:webHidden/>
                      </w:rPr>
                      <w:instrText xml:space="preserve"> PAGEREF _Toc6581286 \h </w:instrText>
                    </w:r>
                    <w:r>
                      <w:rPr>
                        <w:noProof/>
                        <w:webHidden/>
                      </w:rPr>
                    </w:r>
                    <w:r>
                      <w:rPr>
                        <w:noProof/>
                        <w:webHidden/>
                      </w:rPr>
                      <w:fldChar w:fldCharType="separate"/>
                    </w:r>
                    <w:r>
                      <w:rPr>
                        <w:noProof/>
                        <w:webHidden/>
                      </w:rPr>
                      <w:t>19</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87" w:history="1">
                    <w:r w:rsidRPr="00A42196">
                      <w:rPr>
                        <w:rStyle w:val="ae"/>
                        <w:rFonts w:asciiTheme="minorEastAsia" w:hAnsiTheme="minorEastAsia"/>
                        <w:noProof/>
                      </w:rPr>
                      <w:t>2.2</w:t>
                    </w:r>
                    <w:r w:rsidRPr="00A42196">
                      <w:rPr>
                        <w:rStyle w:val="ae"/>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_Toc6581287 \h </w:instrText>
                    </w:r>
                    <w:r>
                      <w:rPr>
                        <w:noProof/>
                        <w:webHidden/>
                      </w:rPr>
                    </w:r>
                    <w:r>
                      <w:rPr>
                        <w:noProof/>
                        <w:webHidden/>
                      </w:rPr>
                      <w:fldChar w:fldCharType="separate"/>
                    </w:r>
                    <w:r>
                      <w:rPr>
                        <w:noProof/>
                        <w:webHidden/>
                      </w:rPr>
                      <w:t>20</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88" w:history="1">
                    <w:r w:rsidRPr="00A42196">
                      <w:rPr>
                        <w:rStyle w:val="ae"/>
                        <w:rFonts w:asciiTheme="minorEastAsia" w:hAnsiTheme="minorEastAsia"/>
                        <w:noProof/>
                      </w:rPr>
                      <w:t>2.3</w:t>
                    </w:r>
                    <w:r w:rsidRPr="00A42196">
                      <w:rPr>
                        <w:rStyle w:val="ae"/>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_Toc6581288 \h </w:instrText>
                    </w:r>
                    <w:r>
                      <w:rPr>
                        <w:noProof/>
                        <w:webHidden/>
                      </w:rPr>
                    </w:r>
                    <w:r>
                      <w:rPr>
                        <w:noProof/>
                        <w:webHidden/>
                      </w:rPr>
                      <w:fldChar w:fldCharType="separate"/>
                    </w:r>
                    <w:r>
                      <w:rPr>
                        <w:noProof/>
                        <w:webHidden/>
                      </w:rPr>
                      <w:t>20</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89" w:history="1">
                    <w:r w:rsidRPr="00A42196">
                      <w:rPr>
                        <w:rStyle w:val="ae"/>
                        <w:rFonts w:asciiTheme="minorEastAsia" w:hAnsiTheme="minorEastAsia"/>
                        <w:noProof/>
                      </w:rPr>
                      <w:t>2.4</w:t>
                    </w:r>
                    <w:r w:rsidRPr="00A42196">
                      <w:rPr>
                        <w:rStyle w:val="ae"/>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_Toc6581289 \h </w:instrText>
                    </w:r>
                    <w:r>
                      <w:rPr>
                        <w:noProof/>
                        <w:webHidden/>
                      </w:rPr>
                    </w:r>
                    <w:r>
                      <w:rPr>
                        <w:noProof/>
                        <w:webHidden/>
                      </w:rPr>
                      <w:fldChar w:fldCharType="separate"/>
                    </w:r>
                    <w:r>
                      <w:rPr>
                        <w:noProof/>
                        <w:webHidden/>
                      </w:rPr>
                      <w:t>21</w:t>
                    </w:r>
                    <w:r>
                      <w:rPr>
                        <w:noProof/>
                        <w:webHidden/>
                      </w:rPr>
                      <w:fldChar w:fldCharType="end"/>
                    </w:r>
                  </w:hyperlink>
                </w:p>
                <w:p w:rsidR="00914624" w:rsidRDefault="00914624">
                  <w:pPr>
                    <w:pStyle w:val="10"/>
                    <w:rPr>
                      <w:rFonts w:asciiTheme="minorHAnsi" w:eastAsiaTheme="minorEastAsia" w:hAnsiTheme="minorHAnsi" w:cstheme="minorBidi"/>
                      <w:b w:val="0"/>
                      <w:bCs w:val="0"/>
                      <w:caps w:val="0"/>
                      <w:noProof/>
                      <w:color w:val="auto"/>
                      <w:sz w:val="21"/>
                      <w:szCs w:val="22"/>
                    </w:rPr>
                  </w:pPr>
                  <w:hyperlink w:anchor="_Toc6581290" w:history="1">
                    <w:r w:rsidRPr="00A42196">
                      <w:rPr>
                        <w:rStyle w:val="ae"/>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_Toc6581290 \h </w:instrText>
                    </w:r>
                    <w:r>
                      <w:rPr>
                        <w:noProof/>
                        <w:webHidden/>
                      </w:rPr>
                    </w:r>
                    <w:r>
                      <w:rPr>
                        <w:noProof/>
                        <w:webHidden/>
                      </w:rPr>
                      <w:fldChar w:fldCharType="separate"/>
                    </w:r>
                    <w:r>
                      <w:rPr>
                        <w:noProof/>
                        <w:webHidden/>
                      </w:rPr>
                      <w:t>22</w:t>
                    </w:r>
                    <w:r>
                      <w:rPr>
                        <w:noProof/>
                        <w:webHidden/>
                      </w:rPr>
                      <w:fldChar w:fldCharType="end"/>
                    </w:r>
                  </w:hyperlink>
                </w:p>
                <w:p w:rsidR="00914624" w:rsidRDefault="00914624">
                  <w:pPr>
                    <w:pStyle w:val="21"/>
                    <w:rPr>
                      <w:rFonts w:asciiTheme="minorHAnsi" w:eastAsiaTheme="minorEastAsia" w:hAnsiTheme="minorHAnsi" w:cstheme="minorBidi"/>
                      <w:b w:val="0"/>
                      <w:smallCaps w:val="0"/>
                      <w:noProof/>
                      <w:color w:val="auto"/>
                      <w:sz w:val="21"/>
                      <w:szCs w:val="22"/>
                    </w:rPr>
                  </w:pPr>
                  <w:hyperlink w:anchor="_Toc6581291" w:history="1">
                    <w:r w:rsidRPr="00A42196">
                      <w:rPr>
                        <w:rStyle w:val="ae"/>
                        <w:rFonts w:asciiTheme="minorEastAsia" w:hAnsiTheme="minorEastAsia"/>
                        <w:noProof/>
                      </w:rPr>
                      <w:t>3</w:t>
                    </w:r>
                    <w:r w:rsidRPr="00A42196">
                      <w:rPr>
                        <w:rStyle w:val="ae"/>
                        <w:rFonts w:asciiTheme="minorEastAsia" w:hAnsiTheme="minorEastAsia" w:hint="eastAsia"/>
                        <w:noProof/>
                      </w:rPr>
                      <w:t>．</w:t>
                    </w:r>
                    <w:r w:rsidRPr="00A42196">
                      <w:rPr>
                        <w:rStyle w:val="ae"/>
                        <w:rFonts w:asciiTheme="minorEastAsia" w:hAnsiTheme="minorEastAsia"/>
                        <w:noProof/>
                      </w:rPr>
                      <w:t xml:space="preserve">1  </w:t>
                    </w:r>
                    <w:r w:rsidRPr="00A42196">
                      <w:rPr>
                        <w:rStyle w:val="ae"/>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_Toc6581291 \h </w:instrText>
                    </w:r>
                    <w:r>
                      <w:rPr>
                        <w:noProof/>
                        <w:webHidden/>
                      </w:rPr>
                    </w:r>
                    <w:r>
                      <w:rPr>
                        <w:noProof/>
                        <w:webHidden/>
                      </w:rPr>
                      <w:fldChar w:fldCharType="separate"/>
                    </w:r>
                    <w:r>
                      <w:rPr>
                        <w:noProof/>
                        <w:webHidden/>
                      </w:rPr>
                      <w:t>22</w:t>
                    </w:r>
                    <w:r>
                      <w:rPr>
                        <w:noProof/>
                        <w:webHidden/>
                      </w:rPr>
                      <w:fldChar w:fldCharType="end"/>
                    </w:r>
                  </w:hyperlink>
                </w:p>
                <w:p w:rsidR="00914624" w:rsidRDefault="00914624">
                  <w:pPr>
                    <w:pStyle w:val="10"/>
                    <w:rPr>
                      <w:rFonts w:asciiTheme="minorHAnsi" w:eastAsiaTheme="minorEastAsia" w:hAnsiTheme="minorHAnsi" w:cstheme="minorBidi"/>
                      <w:b w:val="0"/>
                      <w:bCs w:val="0"/>
                      <w:caps w:val="0"/>
                      <w:noProof/>
                      <w:color w:val="auto"/>
                      <w:sz w:val="21"/>
                      <w:szCs w:val="22"/>
                    </w:rPr>
                  </w:pPr>
                  <w:hyperlink w:anchor="_Toc6581292" w:history="1">
                    <w:r w:rsidRPr="00A42196">
                      <w:rPr>
                        <w:rStyle w:val="ae"/>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_Toc6581292 \h </w:instrText>
                    </w:r>
                    <w:r>
                      <w:rPr>
                        <w:noProof/>
                        <w:webHidden/>
                      </w:rPr>
                    </w:r>
                    <w:r>
                      <w:rPr>
                        <w:noProof/>
                        <w:webHidden/>
                      </w:rPr>
                      <w:fldChar w:fldCharType="separate"/>
                    </w:r>
                    <w:r>
                      <w:rPr>
                        <w:noProof/>
                        <w:webHidden/>
                      </w:rPr>
                      <w:t>25</w:t>
                    </w:r>
                    <w:r>
                      <w:rPr>
                        <w:noProof/>
                        <w:webHidden/>
                      </w:rPr>
                      <w:fldChar w:fldCharType="end"/>
                    </w:r>
                  </w:hyperlink>
                </w:p>
                <w:p w:rsidR="00914624" w:rsidRDefault="00914624">
                  <w:pPr>
                    <w:pStyle w:val="10"/>
                    <w:rPr>
                      <w:rFonts w:asciiTheme="minorHAnsi" w:eastAsiaTheme="minorEastAsia" w:hAnsiTheme="minorHAnsi" w:cstheme="minorBidi"/>
                      <w:b w:val="0"/>
                      <w:bCs w:val="0"/>
                      <w:caps w:val="0"/>
                      <w:noProof/>
                      <w:color w:val="auto"/>
                      <w:sz w:val="21"/>
                      <w:szCs w:val="22"/>
                    </w:rPr>
                  </w:pPr>
                  <w:hyperlink w:anchor="_Toc6581293" w:history="1">
                    <w:r w:rsidRPr="00A42196">
                      <w:rPr>
                        <w:rStyle w:val="ae"/>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_Toc6581293 \h </w:instrText>
                    </w:r>
                    <w:r>
                      <w:rPr>
                        <w:noProof/>
                        <w:webHidden/>
                      </w:rPr>
                    </w:r>
                    <w:r>
                      <w:rPr>
                        <w:noProof/>
                        <w:webHidden/>
                      </w:rPr>
                      <w:fldChar w:fldCharType="separate"/>
                    </w:r>
                    <w:r>
                      <w:rPr>
                        <w:noProof/>
                        <w:webHidden/>
                      </w:rPr>
                      <w:t>25</w:t>
                    </w:r>
                    <w:r>
                      <w:rPr>
                        <w:noProof/>
                        <w:webHidden/>
                      </w:rPr>
                      <w:fldChar w:fldCharType="end"/>
                    </w:r>
                  </w:hyperlink>
                </w:p>
                <w:p w:rsidR="00914624" w:rsidRDefault="00914624">
                  <w:pPr>
                    <w:pStyle w:val="10"/>
                    <w:rPr>
                      <w:rFonts w:asciiTheme="minorHAnsi" w:eastAsiaTheme="minorEastAsia" w:hAnsiTheme="minorHAnsi" w:cstheme="minorBidi"/>
                      <w:b w:val="0"/>
                      <w:bCs w:val="0"/>
                      <w:caps w:val="0"/>
                      <w:noProof/>
                      <w:color w:val="auto"/>
                      <w:sz w:val="21"/>
                      <w:szCs w:val="22"/>
                    </w:rPr>
                  </w:pPr>
                  <w:hyperlink w:anchor="_Toc6581294" w:history="1">
                    <w:r w:rsidRPr="00A42196">
                      <w:rPr>
                        <w:rStyle w:val="ae"/>
                        <w:rFonts w:ascii="黑体" w:hint="eastAsia"/>
                        <w:noProof/>
                      </w:rPr>
                      <w:t>六、</w:t>
                    </w:r>
                    <w:r w:rsidRPr="00A42196">
                      <w:rPr>
                        <w:rStyle w:val="ae"/>
                        <w:rFonts w:ascii="黑体"/>
                        <w:noProof/>
                      </w:rPr>
                      <w:t>D</w:t>
                    </w:r>
                    <w:r w:rsidRPr="00A42196">
                      <w:rPr>
                        <w:rStyle w:val="ae"/>
                        <w:rFonts w:ascii="黑体" w:hint="eastAsia"/>
                        <w:noProof/>
                      </w:rPr>
                      <w:t>系列特种溶剂油</w:t>
                    </w:r>
                    <w:r>
                      <w:rPr>
                        <w:noProof/>
                        <w:webHidden/>
                      </w:rPr>
                      <w:tab/>
                    </w:r>
                    <w:r>
                      <w:rPr>
                        <w:noProof/>
                        <w:webHidden/>
                      </w:rPr>
                      <w:fldChar w:fldCharType="begin"/>
                    </w:r>
                    <w:r>
                      <w:rPr>
                        <w:noProof/>
                        <w:webHidden/>
                      </w:rPr>
                      <w:instrText xml:space="preserve"> PAGEREF _Toc6581294 \h </w:instrText>
                    </w:r>
                    <w:r>
                      <w:rPr>
                        <w:noProof/>
                        <w:webHidden/>
                      </w:rPr>
                    </w:r>
                    <w:r>
                      <w:rPr>
                        <w:noProof/>
                        <w:webHidden/>
                      </w:rPr>
                      <w:fldChar w:fldCharType="separate"/>
                    </w:r>
                    <w:r>
                      <w:rPr>
                        <w:noProof/>
                        <w:webHidden/>
                      </w:rPr>
                      <w:t>28</w:t>
                    </w:r>
                    <w:r>
                      <w:rPr>
                        <w:noProof/>
                        <w:webHidden/>
                      </w:rPr>
                      <w:fldChar w:fldCharType="end"/>
                    </w:r>
                  </w:hyperlink>
                </w:p>
                <w:p w:rsidR="00914624" w:rsidRDefault="00914624">
                  <w:pPr>
                    <w:pStyle w:val="10"/>
                    <w:rPr>
                      <w:rFonts w:asciiTheme="minorHAnsi" w:eastAsiaTheme="minorEastAsia" w:hAnsiTheme="minorHAnsi" w:cstheme="minorBidi"/>
                      <w:b w:val="0"/>
                      <w:bCs w:val="0"/>
                      <w:caps w:val="0"/>
                      <w:noProof/>
                      <w:color w:val="auto"/>
                      <w:sz w:val="21"/>
                      <w:szCs w:val="22"/>
                    </w:rPr>
                  </w:pPr>
                  <w:hyperlink w:anchor="_Toc6581295" w:history="1">
                    <w:r w:rsidRPr="00A42196">
                      <w:rPr>
                        <w:rStyle w:val="ae"/>
                        <w:rFonts w:ascii="黑体" w:hAnsi="黑体" w:hint="eastAsia"/>
                        <w:noProof/>
                      </w:rPr>
                      <w:t>七、重芳烃溶剂油</w:t>
                    </w:r>
                    <w:r>
                      <w:rPr>
                        <w:noProof/>
                        <w:webHidden/>
                      </w:rPr>
                      <w:tab/>
                    </w:r>
                    <w:r>
                      <w:rPr>
                        <w:noProof/>
                        <w:webHidden/>
                      </w:rPr>
                      <w:fldChar w:fldCharType="begin"/>
                    </w:r>
                    <w:r>
                      <w:rPr>
                        <w:noProof/>
                        <w:webHidden/>
                      </w:rPr>
                      <w:instrText xml:space="preserve"> PAGEREF _Toc6581295 \h </w:instrText>
                    </w:r>
                    <w:r>
                      <w:rPr>
                        <w:noProof/>
                        <w:webHidden/>
                      </w:rPr>
                    </w:r>
                    <w:r>
                      <w:rPr>
                        <w:noProof/>
                        <w:webHidden/>
                      </w:rPr>
                      <w:fldChar w:fldCharType="separate"/>
                    </w:r>
                    <w:r>
                      <w:rPr>
                        <w:noProof/>
                        <w:webHidden/>
                      </w:rPr>
                      <w:t>29</w:t>
                    </w:r>
                    <w:r>
                      <w:rPr>
                        <w:noProof/>
                        <w:webHidden/>
                      </w:rPr>
                      <w:fldChar w:fldCharType="end"/>
                    </w:r>
                  </w:hyperlink>
                </w:p>
                <w:p w:rsidR="00914624" w:rsidRDefault="00914624">
                  <w:pPr>
                    <w:pStyle w:val="10"/>
                    <w:rPr>
                      <w:rFonts w:asciiTheme="minorHAnsi" w:eastAsiaTheme="minorEastAsia" w:hAnsiTheme="minorHAnsi" w:cstheme="minorBidi"/>
                      <w:b w:val="0"/>
                      <w:bCs w:val="0"/>
                      <w:caps w:val="0"/>
                      <w:noProof/>
                      <w:color w:val="auto"/>
                      <w:sz w:val="21"/>
                      <w:szCs w:val="22"/>
                    </w:rPr>
                  </w:pPr>
                  <w:hyperlink w:anchor="_Toc6581296" w:history="1">
                    <w:r w:rsidRPr="00A42196">
                      <w:rPr>
                        <w:rStyle w:val="ae"/>
                        <w:rFonts w:ascii="黑体" w:hAnsi="黑体" w:hint="eastAsia"/>
                        <w:noProof/>
                      </w:rPr>
                      <w:t>八、正己烷</w:t>
                    </w:r>
                    <w:r>
                      <w:rPr>
                        <w:noProof/>
                        <w:webHidden/>
                      </w:rPr>
                      <w:tab/>
                    </w:r>
                    <w:r>
                      <w:rPr>
                        <w:noProof/>
                        <w:webHidden/>
                      </w:rPr>
                      <w:fldChar w:fldCharType="begin"/>
                    </w:r>
                    <w:r>
                      <w:rPr>
                        <w:noProof/>
                        <w:webHidden/>
                      </w:rPr>
                      <w:instrText xml:space="preserve"> PAGEREF _Toc6581296 \h </w:instrText>
                    </w:r>
                    <w:r>
                      <w:rPr>
                        <w:noProof/>
                        <w:webHidden/>
                      </w:rPr>
                    </w:r>
                    <w:r>
                      <w:rPr>
                        <w:noProof/>
                        <w:webHidden/>
                      </w:rPr>
                      <w:fldChar w:fldCharType="separate"/>
                    </w:r>
                    <w:r>
                      <w:rPr>
                        <w:noProof/>
                        <w:webHidden/>
                      </w:rPr>
                      <w:t>31</w:t>
                    </w:r>
                    <w:r>
                      <w:rPr>
                        <w:noProof/>
                        <w:webHidden/>
                      </w:rPr>
                      <w:fldChar w:fldCharType="end"/>
                    </w:r>
                  </w:hyperlink>
                </w:p>
                <w:p w:rsidR="00914624" w:rsidRDefault="00914624">
                  <w:pPr>
                    <w:pStyle w:val="10"/>
                    <w:rPr>
                      <w:rFonts w:asciiTheme="minorHAnsi" w:eastAsiaTheme="minorEastAsia" w:hAnsiTheme="minorHAnsi" w:cstheme="minorBidi"/>
                      <w:b w:val="0"/>
                      <w:bCs w:val="0"/>
                      <w:caps w:val="0"/>
                      <w:noProof/>
                      <w:color w:val="auto"/>
                      <w:sz w:val="21"/>
                      <w:szCs w:val="22"/>
                    </w:rPr>
                  </w:pPr>
                  <w:hyperlink w:anchor="_Toc6581297" w:history="1">
                    <w:r w:rsidRPr="00A42196">
                      <w:rPr>
                        <w:rStyle w:val="ae"/>
                        <w:rFonts w:ascii="黑体" w:hAnsi="黑体" w:hint="eastAsia"/>
                        <w:noProof/>
                      </w:rPr>
                      <w:t>九、</w:t>
                    </w:r>
                    <w:r w:rsidRPr="00A42196">
                      <w:rPr>
                        <w:rStyle w:val="ae"/>
                        <w:rFonts w:ascii="黑体" w:hAnsi="黑体"/>
                        <w:noProof/>
                      </w:rPr>
                      <w:t>2018</w:t>
                    </w:r>
                    <w:r w:rsidRPr="00A42196">
                      <w:rPr>
                        <w:rStyle w:val="ae"/>
                        <w:rFonts w:ascii="黑体" w:hAnsi="黑体" w:hint="eastAsia"/>
                        <w:noProof/>
                      </w:rPr>
                      <w:t>年</w:t>
                    </w:r>
                    <w:r w:rsidRPr="00A42196">
                      <w:rPr>
                        <w:rStyle w:val="ae"/>
                        <w:rFonts w:ascii="黑体" w:hAnsi="黑体"/>
                        <w:noProof/>
                      </w:rPr>
                      <w:t>11</w:t>
                    </w:r>
                    <w:r w:rsidRPr="00A42196">
                      <w:rPr>
                        <w:rStyle w:val="ae"/>
                        <w:rFonts w:ascii="黑体" w:hAnsi="黑体" w:hint="eastAsia"/>
                        <w:noProof/>
                      </w:rPr>
                      <w:t>月中国溶剂油进出口数据统计</w:t>
                    </w:r>
                    <w:r>
                      <w:rPr>
                        <w:noProof/>
                        <w:webHidden/>
                      </w:rPr>
                      <w:tab/>
                    </w:r>
                    <w:r>
                      <w:rPr>
                        <w:noProof/>
                        <w:webHidden/>
                      </w:rPr>
                      <w:fldChar w:fldCharType="begin"/>
                    </w:r>
                    <w:r>
                      <w:rPr>
                        <w:noProof/>
                        <w:webHidden/>
                      </w:rPr>
                      <w:instrText xml:space="preserve"> PAGEREF _Toc6581297 \h </w:instrText>
                    </w:r>
                    <w:r>
                      <w:rPr>
                        <w:noProof/>
                        <w:webHidden/>
                      </w:rPr>
                    </w:r>
                    <w:r>
                      <w:rPr>
                        <w:noProof/>
                        <w:webHidden/>
                      </w:rPr>
                      <w:fldChar w:fldCharType="separate"/>
                    </w:r>
                    <w:r>
                      <w:rPr>
                        <w:noProof/>
                        <w:webHidden/>
                      </w:rPr>
                      <w:t>31</w:t>
                    </w:r>
                    <w:r>
                      <w:rPr>
                        <w:noProof/>
                        <w:webHidden/>
                      </w:rPr>
                      <w:fldChar w:fldCharType="end"/>
                    </w:r>
                  </w:hyperlink>
                </w:p>
                <w:p w:rsidR="00811520" w:rsidRDefault="001709DB">
                  <w:r>
                    <w:rPr>
                      <w:rFonts w:ascii="宋体" w:hAnsi="宋体"/>
                    </w:rPr>
                    <w:fldChar w:fldCharType="end"/>
                  </w:r>
                </w:p>
              </w:txbxContent>
            </v:textbox>
          </v:shape>
        </w:pict>
      </w:r>
      <w:r>
        <w:br w:type="page"/>
      </w:r>
      <w:bookmarkStart w:id="5" w:name="_Toc6555814"/>
      <w:bookmarkStart w:id="6" w:name="_Toc6575093"/>
      <w:bookmarkStart w:id="7" w:name="_Toc504051935"/>
      <w:bookmarkStart w:id="8" w:name="_Toc505350007"/>
      <w:bookmarkStart w:id="9" w:name="_Toc536797012"/>
      <w:bookmarkStart w:id="10" w:name="_Toc296600809"/>
      <w:bookmarkStart w:id="11" w:name="_Toc281568199"/>
      <w:bookmarkStart w:id="12" w:name="_Toc158203127"/>
      <w:bookmarkStart w:id="13" w:name="_Toc239847712"/>
      <w:bookmarkStart w:id="14" w:name="_Toc6581277"/>
      <w:bookmarkEnd w:id="4"/>
      <w:r w:rsidR="00906BEE" w:rsidRPr="00DA7BA3">
        <w:rPr>
          <w:rFonts w:ascii="黑体" w:eastAsia="黑体" w:hAnsi="宋体" w:hint="eastAsia"/>
          <w:b/>
          <w:sz w:val="28"/>
          <w:szCs w:val="28"/>
        </w:rPr>
        <w:lastRenderedPageBreak/>
        <w:t>一、国际原油市场回顾</w:t>
      </w:r>
      <w:bookmarkEnd w:id="5"/>
      <w:bookmarkEnd w:id="6"/>
      <w:bookmarkEnd w:id="14"/>
    </w:p>
    <w:p w:rsidR="00E9576F" w:rsidRPr="000F7D4E" w:rsidRDefault="00E9576F" w:rsidP="00DA7BA3">
      <w:pPr>
        <w:outlineLvl w:val="1"/>
      </w:pPr>
      <w:bookmarkStart w:id="15" w:name="_Toc6581278"/>
      <w:r w:rsidRPr="00E9576F">
        <w:rPr>
          <w:rFonts w:ascii="黑体" w:eastAsia="黑体" w:hAnsi="宋体" w:cs="Arial" w:hint="eastAsia"/>
          <w:b/>
          <w:bCs/>
          <w:kern w:val="0"/>
          <w:sz w:val="30"/>
          <w:szCs w:val="30"/>
        </w:rPr>
        <w:t>（一）</w:t>
      </w:r>
      <w:r>
        <w:rPr>
          <w:rFonts w:ascii="黑体" w:eastAsia="黑体" w:hAnsi="宋体" w:cs="Arial" w:hint="eastAsia"/>
          <w:b/>
          <w:bCs/>
          <w:kern w:val="0"/>
          <w:sz w:val="30"/>
          <w:szCs w:val="30"/>
        </w:rPr>
        <w:t>国际原油市场回顾</w:t>
      </w:r>
      <w:bookmarkEnd w:id="7"/>
      <w:bookmarkEnd w:id="15"/>
      <w:r w:rsidRPr="00E9576F">
        <w:rPr>
          <w:rFonts w:ascii="黑体" w:eastAsia="黑体" w:hAnsi="宋体" w:cs="Arial" w:hint="eastAsia"/>
          <w:b/>
          <w:bCs/>
          <w:kern w:val="0"/>
          <w:sz w:val="30"/>
          <w:szCs w:val="30"/>
        </w:rPr>
        <w:t> </w:t>
      </w:r>
    </w:p>
    <w:p w:rsidR="00E9576F" w:rsidRDefault="00E9576F" w:rsidP="00E9576F">
      <w:pPr>
        <w:widowControl/>
        <w:numPr>
          <w:ilvl w:val="0"/>
          <w:numId w:val="3"/>
        </w:numPr>
        <w:wordWrap w:val="0"/>
        <w:spacing w:after="90" w:line="288" w:lineRule="auto"/>
        <w:ind w:firstLine="238"/>
        <w:jc w:val="left"/>
        <w:outlineLvl w:val="1"/>
        <w:rPr>
          <w:rFonts w:ascii="宋体" w:hAnsi="宋体" w:cs="Arial"/>
          <w:b/>
          <w:kern w:val="0"/>
          <w:sz w:val="30"/>
          <w:szCs w:val="30"/>
        </w:rPr>
      </w:pPr>
      <w:bookmarkStart w:id="16" w:name="_Toc504051936"/>
      <w:bookmarkStart w:id="17" w:name="_Toc6555815"/>
      <w:bookmarkStart w:id="18" w:name="_Toc6575094"/>
      <w:bookmarkStart w:id="19" w:name="_Toc6581279"/>
      <w:r>
        <w:rPr>
          <w:rFonts w:ascii="宋体" w:hAnsi="宋体" w:cs="Arial" w:hint="eastAsia"/>
          <w:b/>
          <w:kern w:val="0"/>
          <w:sz w:val="30"/>
          <w:szCs w:val="30"/>
        </w:rPr>
        <w:t>国际原油收盘价涨跌情况（单位：美元/桶）</w:t>
      </w:r>
      <w:bookmarkEnd w:id="16"/>
      <w:bookmarkEnd w:id="17"/>
      <w:bookmarkEnd w:id="18"/>
      <w:bookmarkEnd w:id="19"/>
    </w:p>
    <w:tbl>
      <w:tblPr>
        <w:tblW w:w="5000" w:type="pct"/>
        <w:tblCellMar>
          <w:top w:w="15" w:type="dxa"/>
          <w:left w:w="15" w:type="dxa"/>
          <w:bottom w:w="15" w:type="dxa"/>
          <w:right w:w="15" w:type="dxa"/>
        </w:tblCellMar>
        <w:tblLook w:val="0000"/>
      </w:tblPr>
      <w:tblGrid>
        <w:gridCol w:w="1456"/>
        <w:gridCol w:w="800"/>
        <w:gridCol w:w="780"/>
        <w:gridCol w:w="6740"/>
      </w:tblGrid>
      <w:tr w:rsidR="00E9576F" w:rsidTr="00E96380">
        <w:trPr>
          <w:trHeight w:val="286"/>
        </w:trPr>
        <w:tc>
          <w:tcPr>
            <w:tcW w:w="745"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E9576F" w:rsidRDefault="00E9576F" w:rsidP="00811520">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日期</w:t>
            </w:r>
          </w:p>
        </w:tc>
        <w:tc>
          <w:tcPr>
            <w:tcW w:w="409"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E9576F" w:rsidRDefault="00E9576F" w:rsidP="00811520">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399"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E9576F" w:rsidRDefault="00E9576F" w:rsidP="00811520">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3447"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E9576F" w:rsidRDefault="00E9576F" w:rsidP="00811520">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E9576F" w:rsidTr="00E96380">
        <w:trPr>
          <w:trHeight w:val="600"/>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2019/4/17</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63.76</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71.62</w:t>
            </w:r>
          </w:p>
        </w:tc>
        <w:tc>
          <w:tcPr>
            <w:tcW w:w="3447" w:type="pct"/>
            <w:tcBorders>
              <w:top w:val="single" w:sz="4" w:space="0" w:color="000000"/>
              <w:left w:val="single" w:sz="4" w:space="0" w:color="000000"/>
              <w:bottom w:val="single" w:sz="4" w:space="0" w:color="000000"/>
              <w:right w:val="single" w:sz="4" w:space="0" w:color="000000"/>
            </w:tcBorders>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数据显示上周美国原油库存出现一个月来的首次下降，投资者仍权衡全球原油生产方面的不确定性因素，油价小幅下跌。</w:t>
            </w:r>
          </w:p>
        </w:tc>
      </w:tr>
      <w:tr w:rsidR="00E9576F" w:rsidTr="00E96380">
        <w:trPr>
          <w:trHeight w:val="540"/>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2019/4/16</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64.05</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71.72</w:t>
            </w:r>
          </w:p>
        </w:tc>
        <w:tc>
          <w:tcPr>
            <w:tcW w:w="3447" w:type="pct"/>
            <w:tcBorders>
              <w:top w:val="single" w:sz="4" w:space="0" w:color="000000"/>
              <w:left w:val="single" w:sz="4" w:space="0" w:color="000000"/>
              <w:bottom w:val="single" w:sz="4" w:space="0" w:color="000000"/>
              <w:right w:val="single" w:sz="4" w:space="0" w:color="000000"/>
            </w:tcBorders>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风险意愿改善为原油等风险资产提供支撑，同时委内瑞拉、伊朗及利比亚的原油供应面临下降风险，提振油价小幅上涨。</w:t>
            </w:r>
          </w:p>
        </w:tc>
      </w:tr>
      <w:tr w:rsidR="00E9576F" w:rsidTr="00E96380">
        <w:trPr>
          <w:trHeight w:val="570"/>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2019/4/15</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63.4</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71.18</w:t>
            </w:r>
          </w:p>
        </w:tc>
        <w:tc>
          <w:tcPr>
            <w:tcW w:w="3447" w:type="pct"/>
            <w:tcBorders>
              <w:top w:val="single" w:sz="4" w:space="0" w:color="000000"/>
              <w:left w:val="single" w:sz="4" w:space="0" w:color="000000"/>
              <w:bottom w:val="single" w:sz="4" w:space="0" w:color="000000"/>
              <w:right w:val="single" w:sz="4" w:space="0" w:color="000000"/>
            </w:tcBorders>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俄罗斯称该国与欧佩克可能决定提高产量，与产量处在记录高水平的美国争夺市场份额，油价小幅下跌。</w:t>
            </w:r>
          </w:p>
        </w:tc>
      </w:tr>
      <w:tr w:rsidR="00E9576F" w:rsidTr="00E96380">
        <w:trPr>
          <w:trHeight w:val="435"/>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2019/4/12</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63.89</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71.55</w:t>
            </w:r>
          </w:p>
        </w:tc>
        <w:tc>
          <w:tcPr>
            <w:tcW w:w="3447" w:type="pct"/>
            <w:tcBorders>
              <w:top w:val="single" w:sz="4" w:space="0" w:color="000000"/>
              <w:left w:val="single" w:sz="4" w:space="0" w:color="000000"/>
              <w:bottom w:val="single" w:sz="4" w:space="0" w:color="000000"/>
              <w:right w:val="single" w:sz="4" w:space="0" w:color="000000"/>
            </w:tcBorders>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中东局势紧绷可能加剧原油供应紧张状况，而中国乐观的经济数据安抚了对全球原油需求的担忧，油价小幅上涨。</w:t>
            </w:r>
          </w:p>
        </w:tc>
      </w:tr>
      <w:tr w:rsidR="00E9576F" w:rsidRPr="00695393" w:rsidTr="00E96380">
        <w:trPr>
          <w:trHeight w:val="555"/>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2019/4/11</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63.58</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70.83</w:t>
            </w:r>
          </w:p>
        </w:tc>
        <w:tc>
          <w:tcPr>
            <w:tcW w:w="3447" w:type="pct"/>
            <w:tcBorders>
              <w:top w:val="single" w:sz="4" w:space="0" w:color="000000"/>
              <w:left w:val="single" w:sz="4" w:space="0" w:color="000000"/>
              <w:bottom w:val="single" w:sz="4" w:space="0" w:color="000000"/>
              <w:right w:val="single" w:sz="4" w:space="0" w:color="000000"/>
            </w:tcBorders>
            <w:vAlign w:val="bottom"/>
          </w:tcPr>
          <w:p w:rsidR="00E9576F" w:rsidRDefault="00E9576F" w:rsidP="0081152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国际能源署发布月度报告称，全球经济增长放缓可能影响原油需求，油价适度回落。</w:t>
            </w:r>
          </w:p>
        </w:tc>
      </w:tr>
    </w:tbl>
    <w:p w:rsidR="00E96380" w:rsidRDefault="00E96380" w:rsidP="00E9576F">
      <w:pPr>
        <w:rPr>
          <w:rFonts w:ascii="宋体" w:hAnsi="宋体" w:cs="Arial"/>
          <w:kern w:val="0"/>
          <w:szCs w:val="21"/>
        </w:rPr>
      </w:pPr>
    </w:p>
    <w:p w:rsidR="00E9576F" w:rsidRDefault="00E9576F" w:rsidP="00E9576F">
      <w:pPr>
        <w:widowControl/>
        <w:wordWrap w:val="0"/>
        <w:spacing w:after="90" w:line="288" w:lineRule="auto"/>
        <w:ind w:firstLine="238"/>
        <w:jc w:val="left"/>
        <w:outlineLvl w:val="1"/>
        <w:rPr>
          <w:rFonts w:ascii="宋体" w:hAnsi="宋体" w:cs="Arial"/>
          <w:b/>
          <w:kern w:val="0"/>
          <w:sz w:val="30"/>
          <w:szCs w:val="30"/>
        </w:rPr>
      </w:pPr>
      <w:bookmarkStart w:id="20" w:name="_Toc504051937"/>
      <w:bookmarkStart w:id="21" w:name="_Toc6555816"/>
      <w:bookmarkStart w:id="22" w:name="_Toc6575095"/>
      <w:bookmarkStart w:id="23" w:name="_Toc6581280"/>
      <w:r>
        <w:rPr>
          <w:rFonts w:ascii="宋体" w:hAnsi="宋体" w:cs="Arial"/>
          <w:b/>
          <w:kern w:val="0"/>
          <w:sz w:val="30"/>
          <w:szCs w:val="30"/>
        </w:rPr>
        <w:t>2.201</w:t>
      </w:r>
      <w:r>
        <w:rPr>
          <w:rFonts w:ascii="宋体" w:hAnsi="宋体" w:cs="Arial" w:hint="eastAsia"/>
          <w:b/>
          <w:kern w:val="0"/>
          <w:sz w:val="30"/>
          <w:szCs w:val="30"/>
        </w:rPr>
        <w:t>9</w:t>
      </w:r>
      <w:r>
        <w:rPr>
          <w:rFonts w:ascii="宋体" w:hAnsi="宋体" w:cs="Arial"/>
          <w:b/>
          <w:kern w:val="0"/>
          <w:sz w:val="30"/>
          <w:szCs w:val="30"/>
        </w:rPr>
        <w:t>年</w:t>
      </w:r>
      <w:r>
        <w:rPr>
          <w:rFonts w:ascii="宋体" w:hAnsi="宋体" w:cs="Arial" w:hint="eastAsia"/>
          <w:b/>
          <w:kern w:val="0"/>
          <w:sz w:val="30"/>
          <w:szCs w:val="30"/>
        </w:rPr>
        <w:t>国际</w:t>
      </w:r>
      <w:r>
        <w:rPr>
          <w:rFonts w:ascii="宋体" w:hAnsi="宋体" w:cs="Arial"/>
          <w:b/>
          <w:kern w:val="0"/>
          <w:sz w:val="30"/>
          <w:szCs w:val="30"/>
        </w:rPr>
        <w:t>原油价格走势图</w:t>
      </w:r>
      <w:bookmarkEnd w:id="20"/>
      <w:bookmarkEnd w:id="21"/>
      <w:bookmarkEnd w:id="22"/>
      <w:bookmarkEnd w:id="23"/>
    </w:p>
    <w:p w:rsidR="00E9576F" w:rsidRPr="00E96380" w:rsidRDefault="00E9576F" w:rsidP="00E96380">
      <w:pPr>
        <w:widowControl/>
        <w:wordWrap w:val="0"/>
        <w:spacing w:after="90" w:line="288" w:lineRule="auto"/>
        <w:ind w:firstLine="238"/>
        <w:jc w:val="left"/>
        <w:outlineLvl w:val="1"/>
        <w:rPr>
          <w:rFonts w:ascii="宋体" w:hAnsi="宋体" w:cs="Arial"/>
          <w:b/>
          <w:kern w:val="0"/>
          <w:sz w:val="30"/>
          <w:szCs w:val="30"/>
        </w:rPr>
      </w:pPr>
      <w:r>
        <w:rPr>
          <w:rFonts w:ascii="宋体" w:hAnsi="宋体" w:cs="Arial"/>
          <w:b/>
          <w:noProof/>
          <w:kern w:val="0"/>
          <w:sz w:val="30"/>
          <w:szCs w:val="30"/>
        </w:rPr>
        <w:lastRenderedPageBreak/>
        <w:drawing>
          <wp:inline distT="0" distB="0" distL="0" distR="0">
            <wp:extent cx="5410200" cy="3495675"/>
            <wp:effectExtent l="0" t="0" r="0" b="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576F" w:rsidRPr="00DA7BA3" w:rsidRDefault="00E9576F" w:rsidP="00DA7BA3">
      <w:pPr>
        <w:outlineLvl w:val="1"/>
        <w:rPr>
          <w:rFonts w:ascii="宋体" w:hAnsi="宋体" w:cs="Arial"/>
          <w:b/>
          <w:bCs/>
          <w:kern w:val="0"/>
          <w:sz w:val="32"/>
          <w:szCs w:val="32"/>
        </w:rPr>
      </w:pPr>
      <w:bookmarkStart w:id="24" w:name="_Toc504051938"/>
      <w:bookmarkStart w:id="25" w:name="_Toc6555817"/>
      <w:bookmarkStart w:id="26" w:name="_Toc6575096"/>
      <w:bookmarkStart w:id="27" w:name="_Toc6581281"/>
      <w:r>
        <w:rPr>
          <w:rFonts w:ascii="宋体" w:hAnsi="宋体" w:cs="Arial" w:hint="eastAsia"/>
          <w:b/>
          <w:bCs/>
          <w:kern w:val="0"/>
          <w:sz w:val="32"/>
          <w:szCs w:val="32"/>
        </w:rPr>
        <w:t>(二)、</w:t>
      </w:r>
      <w:r>
        <w:rPr>
          <w:rFonts w:ascii="宋体" w:hAnsi="宋体" w:cs="Arial"/>
          <w:b/>
          <w:bCs/>
          <w:kern w:val="0"/>
          <w:sz w:val="32"/>
          <w:szCs w:val="32"/>
        </w:rPr>
        <w:t>近期影响国际原油市场的主要因素</w:t>
      </w:r>
      <w:bookmarkEnd w:id="24"/>
      <w:bookmarkEnd w:id="25"/>
      <w:bookmarkEnd w:id="26"/>
      <w:bookmarkEnd w:id="27"/>
    </w:p>
    <w:p w:rsidR="00E9576F" w:rsidRDefault="00E9576F" w:rsidP="00E9576F">
      <w:pPr>
        <w:ind w:firstLineChars="196" w:firstLine="551"/>
        <w:outlineLvl w:val="1"/>
        <w:rPr>
          <w:rFonts w:ascii="黑体" w:eastAsia="黑体" w:hAnsi="宋体"/>
          <w:b/>
          <w:color w:val="000000"/>
          <w:sz w:val="28"/>
          <w:szCs w:val="28"/>
        </w:rPr>
      </w:pPr>
      <w:bookmarkStart w:id="28" w:name="_Toc504051939"/>
      <w:bookmarkStart w:id="29" w:name="_Toc6555818"/>
      <w:bookmarkStart w:id="30" w:name="_Toc6575097"/>
      <w:bookmarkStart w:id="31" w:name="_Toc6581282"/>
      <w:r>
        <w:rPr>
          <w:rFonts w:ascii="黑体" w:eastAsia="黑体" w:hAnsi="宋体" w:hint="eastAsia"/>
          <w:b/>
          <w:color w:val="000000"/>
          <w:sz w:val="28"/>
          <w:szCs w:val="28"/>
        </w:rPr>
        <w:t>1.</w:t>
      </w:r>
      <w:r w:rsidRPr="00F62FC4">
        <w:rPr>
          <w:rFonts w:ascii="黑体" w:eastAsia="黑体" w:hAnsi="宋体" w:hint="eastAsia"/>
          <w:b/>
          <w:color w:val="000000"/>
          <w:sz w:val="28"/>
          <w:szCs w:val="28"/>
        </w:rPr>
        <w:t>美国原油库存情况</w:t>
      </w:r>
      <w:bookmarkStart w:id="32" w:name="_Toc504051940"/>
      <w:bookmarkEnd w:id="28"/>
      <w:bookmarkEnd w:id="29"/>
      <w:bookmarkEnd w:id="30"/>
      <w:bookmarkEnd w:id="31"/>
      <w:r>
        <w:rPr>
          <w:rFonts w:ascii="黑体" w:eastAsia="黑体" w:hAnsi="宋体" w:hint="eastAsia"/>
          <w:b/>
          <w:color w:val="000000"/>
          <w:sz w:val="28"/>
          <w:szCs w:val="28"/>
        </w:rPr>
        <w:t xml:space="preserve"> </w:t>
      </w:r>
    </w:p>
    <w:p w:rsidR="00E9576F" w:rsidRPr="000F7D4E" w:rsidRDefault="00E9576F" w:rsidP="000F7D4E">
      <w:pPr>
        <w:pStyle w:val="aa"/>
        <w:ind w:firstLineChars="200" w:firstLine="560"/>
        <w:rPr>
          <w:rFonts w:ascii="华文仿宋" w:eastAsia="华文仿宋" w:hAnsi="华文仿宋"/>
          <w:sz w:val="28"/>
          <w:szCs w:val="28"/>
        </w:rPr>
      </w:pPr>
      <w:r>
        <w:rPr>
          <w:rFonts w:ascii="华文仿宋" w:eastAsia="华文仿宋" w:hAnsi="华文仿宋" w:hint="eastAsia"/>
          <w:sz w:val="28"/>
          <w:szCs w:val="28"/>
        </w:rPr>
        <w:t>本周</w:t>
      </w:r>
      <w:r w:rsidRPr="007A67E5">
        <w:rPr>
          <w:rFonts w:ascii="华文仿宋" w:eastAsia="华文仿宋" w:hAnsi="华文仿宋"/>
          <w:sz w:val="28"/>
          <w:szCs w:val="28"/>
        </w:rPr>
        <w:t>美国能源信息署(EIA)周三公布的数据显示，美国上周原油库存増幅大幅高于市场预期，连续第三周增加，因进口量攀升，而当周汽油和馏分油库存则下降。数据显示，截至4月5日当周，美国商业原油库存增加702.9万桶，至4.56551亿桶，分析师预期为增加230万桶。美国原油交割地库欣库存减少113.3万桶。EIA数据亦显示，截至4月5日当周，美国汽油库存减少771万桶，降幅为2017年9月来最大，此前受访分析师预期为减少200万桶。当周，包括柴油和取暖油的馏分油库存下滑11.6万桶，市场预期下滑130万桶。美国4月12日当周API原油库存-310万桶，分析师预期 +170万桶，前值+409万桶。美国4月12日当周API库欣地区原油库存-160万桶，前值-128万桶。美国4月12日当周API汽</w:t>
      </w:r>
      <w:r w:rsidRPr="007A67E5">
        <w:rPr>
          <w:rFonts w:ascii="华文仿宋" w:eastAsia="华文仿宋" w:hAnsi="华文仿宋"/>
          <w:sz w:val="28"/>
          <w:szCs w:val="28"/>
        </w:rPr>
        <w:lastRenderedPageBreak/>
        <w:t>油库存-360万桶，前值-708万桶。美国4月12日当周API精炼油库存+230万桶，前值-240万桶。</w:t>
      </w:r>
    </w:p>
    <w:p w:rsidR="00E9576F" w:rsidRDefault="00E9576F" w:rsidP="00E9576F">
      <w:pPr>
        <w:pStyle w:val="aa"/>
        <w:ind w:firstLineChars="200" w:firstLine="562"/>
        <w:rPr>
          <w:rFonts w:ascii="黑体" w:eastAsia="黑体"/>
          <w:b/>
          <w:sz w:val="28"/>
          <w:szCs w:val="28"/>
        </w:rPr>
      </w:pPr>
      <w:r>
        <w:rPr>
          <w:rFonts w:ascii="黑体" w:eastAsia="黑体" w:hint="eastAsia"/>
          <w:b/>
          <w:sz w:val="28"/>
          <w:szCs w:val="28"/>
        </w:rPr>
        <w:t>2.美国经济形势</w:t>
      </w:r>
      <w:bookmarkEnd w:id="32"/>
    </w:p>
    <w:p w:rsidR="00E9576F" w:rsidRPr="00A8694B" w:rsidRDefault="00E9576F" w:rsidP="00E9576F">
      <w:pPr>
        <w:pStyle w:val="aa"/>
        <w:ind w:firstLineChars="200" w:firstLine="560"/>
        <w:rPr>
          <w:rFonts w:ascii="华文仿宋" w:eastAsia="华文仿宋" w:hAnsi="华文仿宋"/>
          <w:sz w:val="28"/>
          <w:szCs w:val="28"/>
        </w:rPr>
      </w:pPr>
      <w:r>
        <w:rPr>
          <w:rFonts w:ascii="华文仿宋" w:eastAsia="华文仿宋" w:hAnsi="华文仿宋" w:hint="eastAsia"/>
          <w:sz w:val="28"/>
          <w:szCs w:val="28"/>
        </w:rPr>
        <w:t>本</w:t>
      </w:r>
      <w:r w:rsidRPr="00887475">
        <w:rPr>
          <w:rFonts w:ascii="华文仿宋" w:eastAsia="华文仿宋" w:hAnsi="华文仿宋" w:hint="eastAsia"/>
          <w:sz w:val="28"/>
          <w:szCs w:val="28"/>
        </w:rPr>
        <w:t>周</w:t>
      </w:r>
      <w:r w:rsidRPr="00A8694B">
        <w:rPr>
          <w:rFonts w:ascii="华文仿宋" w:eastAsia="华文仿宋" w:hAnsi="华文仿宋" w:hint="eastAsia"/>
          <w:sz w:val="28"/>
          <w:szCs w:val="28"/>
        </w:rPr>
        <w:t>北京时间18日凌晨，美股周三小幅收跌。制药与医保板块下挫，抵消了强劲财报与经济数据的影响。美联储褐皮书认为美国经济继续温和适度增长，就业市场依然紧俏。</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美东时间4月17日16：00（北京时间4月18日04：00），道指跌3.12点，或0.01%，报26449.54点；标普500指数跌6.61点，或0.23%，报2900.45点；纳指跌4.15点，或0.05%，报7996.08点。</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制药与医疗保健板块表现疲软，其中道指成份股默沙东（MRK）收跌4.7%，辉瑞制药下跌2.6%，美国联合健康集团（UNH）下跌1.8%。</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标普500指数11大组成板块当中，医疗保健板块下跌1.9%。周二该板块下跌了2%，为1月3日以来的最大单日跌幅。</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BrynMawrTrust公司CIOErnieCecilia表示：“医疗保健板块是今年表现最差的板块之一。部分原因是政治上的。从监管角度来看，管理式医疗以及某些大型医药公司还存在疑问。”</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美联储在美东时间周三下午2点公布了经济景气状况褐皮书报告。报告认为，美国就业市场依然紧俏，企业难以找到熟练工人，且薪资温和增长。</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lastRenderedPageBreak/>
        <w:t>褐皮书显示，3月和4月初美国经济活动温和至适度增长。一些联储地区报告经济增长有所增强。</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美联储表示，自上次公布褐皮书报告以来，物价温和上涨，关税、货运成本和薪资上涨普遍被视为主要因素。褐皮书称，消费者支出喜忧参半，但指出普通零售商和汽车经销商的销售不振。</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美联储称，大多数地区熟练工人和非熟练工人的薪资都有适度增长。有三个地区报告薪资略有增长。</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多数地区的企业报告熟练工人短缺，主要是制造业和建筑业，但技术和专业岗位也存在这样的问题。褐皮书称，企业已通过提高奖金和福利待遇，以及适度加薪来应对劳动力市场紧俏。就业增长主要集中在高技能岗位上。</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在谈到制造业时，美联储表示，许多地区的受访企业报告，贸易相关的不确定性正对企业活动构成压力。</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与此同时，公司业绩是市场关注焦点。摩根士丹利（MS）、百事可乐（PEP）、雅培（ABT）及美国合众银行（U.S．Bancorp）等均在周三盘前公布了财报。拉斯维加斯金沙集团也将报告最新财报。周二贝莱德与美国银行均公布了强劲的财报。</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国际贸易关系方面，欧盟计划针对美国补贴波音公司采取报复性关税措施，打击120亿美元的美国商品，并发布了初步商品名单。</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lastRenderedPageBreak/>
        <w:t>欧盟委员会开始就一系列美国商品进行公开征询，其中包括游戏机、番茄酱等等。世界贸易组织将最终决定欧盟打击措施的范围，可能于今年年底或2020年初作出裁决。</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周三，欧盟在布鲁塞尔公布了此项计划，先前美国威胁对从直升机到奶酪的110亿美元欧洲商品加征进口关税，以反制空中客车获得的政府补贴。双方在世贸组织就飞机制造商获得扶持、进而导致市场扭曲已有长达14年的争议，而上述举措均源于此。</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经济数据面，美国商务部周三公布的2月贸易帐数据显示，美国2月份贸易逆差再度收窄至494亿美元，创8个月来新低，远低于预期的535亿美元，1月份贸易逆差为511亿美元。</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此外，美国2月出口环比增长1.1%，至2097亿美元；进口环比增长0.2%，至2591亿美元。具体来看，商用飞机出口额环比增长60%，至58亿美元，为出口最主要拉动因素，汽车与药品的出口额双双环比增长6亿美元；消费品（特别是手机和家用电器类商品）进口额增加，工业用品和服务进口额减少。</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美国2月对华贸易逆差收窄至301亿美元，触及两年来最低点：出口额增加16亿美元至92亿美元，环比增长21.6%，进口额减少15亿美元至393亿美元。</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海外经济数据面，中国国家统计局周三报告称2019年第一季度GDP同比增长6.4%，显示经济开局平稳。</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lastRenderedPageBreak/>
        <w:t>投资者还在密切关注美联储的最新动态。今天发表讲话的联储官员包括费城联储行长帕特里克-哈克（PatrickHarker）以及圣路易斯联储行长詹姆斯-布拉德（JamesBullard）等。</w:t>
      </w:r>
    </w:p>
    <w:p w:rsidR="00E9576F" w:rsidRPr="00A8694B" w:rsidRDefault="00E9576F" w:rsidP="00E9576F">
      <w:pPr>
        <w:pStyle w:val="aa"/>
        <w:ind w:firstLineChars="200" w:firstLine="561"/>
        <w:rPr>
          <w:rFonts w:ascii="华文仿宋" w:eastAsia="华文仿宋" w:hAnsi="华文仿宋"/>
          <w:sz w:val="28"/>
          <w:szCs w:val="28"/>
        </w:rPr>
      </w:pPr>
      <w:r w:rsidRPr="00A8694B">
        <w:rPr>
          <w:rFonts w:ascii="华文仿宋" w:eastAsia="华文仿宋" w:hAnsi="华文仿宋" w:hint="eastAsia"/>
          <w:b/>
          <w:bCs/>
          <w:sz w:val="28"/>
          <w:szCs w:val="28"/>
        </w:rPr>
        <w:t>其他市场表现</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纽约5月西德州中质原油（WTI）期货跌29美分，跌幅0.5%，收于63.76美元/桶。</w:t>
      </w:r>
    </w:p>
    <w:p w:rsidR="00E9576F" w:rsidRPr="00A8694B" w:rsidRDefault="00E9576F" w:rsidP="000F7D4E">
      <w:pPr>
        <w:pStyle w:val="aa"/>
        <w:ind w:firstLineChars="200" w:firstLine="560"/>
        <w:rPr>
          <w:rFonts w:ascii="华文仿宋" w:eastAsia="华文仿宋" w:hAnsi="华文仿宋"/>
          <w:sz w:val="28"/>
          <w:szCs w:val="28"/>
        </w:rPr>
      </w:pPr>
      <w:r w:rsidRPr="00A8694B">
        <w:rPr>
          <w:rFonts w:ascii="华文仿宋" w:eastAsia="华文仿宋" w:hAnsi="华文仿宋" w:hint="eastAsia"/>
          <w:sz w:val="28"/>
          <w:szCs w:val="28"/>
        </w:rPr>
        <w:t>伦敦洲际交易所6月交割的布伦特原油期货价格下跌10美分，跌幅0.1%，收于71.62美元/桶。</w:t>
      </w:r>
    </w:p>
    <w:p w:rsidR="00E9576F" w:rsidRDefault="00E9576F" w:rsidP="00E9576F">
      <w:pPr>
        <w:pStyle w:val="aa"/>
        <w:rPr>
          <w:rFonts w:cs="Arial"/>
          <w:b/>
          <w:bCs/>
          <w:sz w:val="32"/>
          <w:szCs w:val="32"/>
        </w:rPr>
      </w:pPr>
      <w:bookmarkStart w:id="33" w:name="_Toc504051941"/>
      <w:r>
        <w:rPr>
          <w:rFonts w:cs="Arial" w:hint="eastAsia"/>
          <w:b/>
          <w:bCs/>
          <w:sz w:val="32"/>
          <w:szCs w:val="32"/>
        </w:rPr>
        <w:t>3.世界经济形势</w:t>
      </w:r>
      <w:bookmarkEnd w:id="33"/>
    </w:p>
    <w:p w:rsidR="00E9576F" w:rsidRPr="00A8694B" w:rsidRDefault="00E9576F" w:rsidP="00E9576F">
      <w:pPr>
        <w:pStyle w:val="aa"/>
        <w:ind w:firstLineChars="200" w:firstLine="560"/>
        <w:rPr>
          <w:rFonts w:ascii="华文仿宋" w:eastAsia="华文仿宋" w:hAnsi="华文仿宋"/>
          <w:sz w:val="28"/>
          <w:szCs w:val="28"/>
        </w:rPr>
      </w:pPr>
      <w:bookmarkStart w:id="34" w:name="_Toc504051942"/>
      <w:r>
        <w:rPr>
          <w:rFonts w:ascii="华文仿宋" w:eastAsia="华文仿宋" w:hAnsi="华文仿宋" w:hint="eastAsia"/>
          <w:sz w:val="28"/>
          <w:szCs w:val="28"/>
        </w:rPr>
        <w:t>本周</w:t>
      </w:r>
      <w:r w:rsidRPr="00A8694B">
        <w:rPr>
          <w:rFonts w:ascii="华文仿宋" w:eastAsia="华文仿宋" w:hAnsi="华文仿宋"/>
          <w:sz w:val="28"/>
          <w:szCs w:val="28"/>
        </w:rPr>
        <w:t>4月15日报道 英媒称，国际货币基金组织（IMF）春季会议闭幕，与会财长和央行行长们在会议结束时持更加积极的态度，他们称未来几个月全球经济增长很可能“企稳”，由此将改善2020年经济增长前景。</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据英国《金融时报》网站4月13日报道，IMF本月9日下调了全球经济增长预测值，但会议闭幕公报反映出，与会部长们普遍认为IMF的预测有些过于悲观了。</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报道称，各国财长和央行行长们强调指出，贸易紧张态势、缺乏应对可能出现的经济下行的明确工具以及英国脱欧等潜在冲击因素对经济增长构成重大风险，但他们仍预计经济数据会改善。</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lastRenderedPageBreak/>
        <w:t>报道认为，金融市场对全球经济前景的看法则要积极得多，市场认为贸易紧张局势有所缓解，且英国脱欧出现乱局的可能性并不大，这种认知已开始在经济数据中得到反映。</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IMF总裁克里斯蒂娜·拉加德称，全球经济形势仍很“微妙”，但如果各国“采取正确行动”且“不添乱”的话，全球经济形势就会改善。</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欧洲央行行长马里奥·德拉吉称风险并未消失。但他强调，英国无序脱欧的风险已降低，中国采取的经济刺激措施似乎正在产生效果。他说，欧元区经济也表现出了“非凡的自我修复能力”，大量就业机会被创造出来，服务业发展强劲，收入及工资水平持续上升，这些情况不仅出现在欧元区核心国家，欧元区几乎所有地区都是如此。</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报道称，一些密切关注国际经济形势的观察人士表示，IMF对经济增长前景的看法过于悲观了。美国城堡投资集团全球固定收入研究部主管安杰尔·乌维德说：“当前的世界形势已不同于去年年底。人们对美中贸易冲突的担忧现已有所缓解，全球经济目前因货币政策180度大转弯而得到提振。现在看来，紧缩政策会从议事日程上消失很长一段时间。”</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美联储已改变此前制订的在今年进一步加息的计划，这促使市场认为，全球金融环境不会在今年进一步收紧。</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但美联储因美国总统特朗普施加巨大压力而放宽政策，这一情况在华盛顿召开的此次会议上引发了一种担忧，即人们会对各国央行失去信心，因为各国央行在作决定时并非依托于证据和数据，而是迫于政客压力。</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lastRenderedPageBreak/>
        <w:t>另据路透社4月13日报道，全球金融界官员13日表示，由于贸易紧张态势、政策不确定性以及金融环境突然收紧等因素，全球经济增长面临的风险导致经济出现“下行倾向”。</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报道称，官员们在IMF的指导性委员会发布的联合公报中称，在政策空间有限、债务规模处于历史高位以及金融脆弱性加剧的背景下，当前风险有所加大。</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IMF和世界银行于华盛顿召开春季会议，国际货币和金融委员会在会议期间发布了这一公报。本月9日，IMF在半年内第三次下调了全球经济增长预测值。</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据报道，国际货币和金融委员会呼吁世界各国央行制定货币政策，以确保通胀率维持在既定目标的水平上，并稳住物价上涨预期。该委员会说：“央行决策时需保持良好沟通并以数据为依托。”</w:t>
      </w:r>
    </w:p>
    <w:p w:rsidR="00E9576F" w:rsidRPr="00A8694B" w:rsidRDefault="00E9576F" w:rsidP="00E9576F">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该委员会表示，应推行灵活且有利于经济增长的财政政策，但也应注意债务的可持续性。该委员会还说，2020年经济增长预计将企稳。</w:t>
      </w:r>
    </w:p>
    <w:p w:rsidR="00E9576F" w:rsidRPr="000F7D4E" w:rsidRDefault="00E9576F" w:rsidP="000F7D4E">
      <w:pPr>
        <w:pStyle w:val="aa"/>
        <w:ind w:firstLineChars="200" w:firstLine="560"/>
        <w:rPr>
          <w:rFonts w:ascii="华文仿宋" w:eastAsia="华文仿宋" w:hAnsi="华文仿宋"/>
          <w:sz w:val="28"/>
          <w:szCs w:val="28"/>
        </w:rPr>
      </w:pPr>
      <w:r w:rsidRPr="00A8694B">
        <w:rPr>
          <w:rFonts w:ascii="华文仿宋" w:eastAsia="华文仿宋" w:hAnsi="华文仿宋"/>
          <w:sz w:val="28"/>
          <w:szCs w:val="28"/>
        </w:rPr>
        <w:t>报道称，欧洲央行行长德拉吉表示，在欧洲，许多影响经济增长的全球性因素似乎在减弱，由此可以维持今年下半年经济将复苏的预期。但他也警告说，英国无协议脱欧和全球贸易战等风险因素会削弱人们的信心。</w:t>
      </w:r>
    </w:p>
    <w:p w:rsidR="00E9576F" w:rsidRDefault="00E9576F" w:rsidP="00DA7BA3">
      <w:pPr>
        <w:outlineLvl w:val="1"/>
        <w:rPr>
          <w:rFonts w:ascii="宋体" w:hAnsi="宋体" w:cs="Arial"/>
          <w:b/>
          <w:bCs/>
          <w:kern w:val="0"/>
          <w:sz w:val="32"/>
          <w:szCs w:val="32"/>
        </w:rPr>
      </w:pPr>
      <w:bookmarkStart w:id="35" w:name="_Toc6555819"/>
      <w:bookmarkStart w:id="36" w:name="_Toc6575098"/>
      <w:bookmarkStart w:id="37" w:name="_Toc6581283"/>
      <w:r>
        <w:rPr>
          <w:rFonts w:ascii="宋体" w:hAnsi="宋体" w:cs="Arial" w:hint="eastAsia"/>
          <w:b/>
          <w:bCs/>
          <w:kern w:val="0"/>
          <w:sz w:val="32"/>
          <w:szCs w:val="32"/>
        </w:rPr>
        <w:t>(三)、2018年11月份全国原油进出口统计数据</w:t>
      </w:r>
      <w:bookmarkEnd w:id="34"/>
      <w:r>
        <w:rPr>
          <w:rFonts w:ascii="宋体" w:hAnsi="宋体" w:cs="Arial" w:hint="eastAsia"/>
          <w:b/>
          <w:bCs/>
          <w:kern w:val="0"/>
          <w:sz w:val="32"/>
          <w:szCs w:val="32"/>
        </w:rPr>
        <w:t>（产销国）</w:t>
      </w:r>
      <w:bookmarkEnd w:id="35"/>
      <w:bookmarkEnd w:id="36"/>
      <w:bookmarkEnd w:id="37"/>
    </w:p>
    <w:p w:rsidR="00E9576F" w:rsidRDefault="00E9576F" w:rsidP="00E9576F">
      <w:pPr>
        <w:jc w:val="right"/>
        <w:rPr>
          <w:rFonts w:ascii="宋体" w:hAnsi="宋体"/>
        </w:rPr>
      </w:pPr>
    </w:p>
    <w:p w:rsidR="00E9576F" w:rsidRDefault="00E9576F" w:rsidP="00E9576F">
      <w:pPr>
        <w:jc w:val="right"/>
        <w:rPr>
          <w:rFonts w:ascii="宋体" w:hAnsi="宋体"/>
        </w:rPr>
      </w:pPr>
    </w:p>
    <w:tbl>
      <w:tblPr>
        <w:tblW w:w="0" w:type="auto"/>
        <w:shd w:val="clear" w:color="auto" w:fill="FFFFFF"/>
        <w:tblLayout w:type="fixed"/>
        <w:tblCellMar>
          <w:left w:w="0" w:type="dxa"/>
          <w:right w:w="0" w:type="dxa"/>
        </w:tblCellMar>
        <w:tblLook w:val="0000"/>
      </w:tblPr>
      <w:tblGrid>
        <w:gridCol w:w="1167"/>
        <w:gridCol w:w="536"/>
        <w:gridCol w:w="343"/>
        <w:gridCol w:w="454"/>
        <w:gridCol w:w="1388"/>
        <w:gridCol w:w="1783"/>
        <w:gridCol w:w="1125"/>
        <w:gridCol w:w="1520"/>
      </w:tblGrid>
      <w:tr w:rsidR="00E9576F" w:rsidTr="00811520">
        <w:trPr>
          <w:trHeight w:val="270"/>
        </w:trPr>
        <w:tc>
          <w:tcPr>
            <w:tcW w:w="1167" w:type="dxa"/>
            <w:tcBorders>
              <w:top w:val="single" w:sz="4" w:space="0" w:color="333333"/>
              <w:left w:val="single" w:sz="4" w:space="0" w:color="333333"/>
              <w:bottom w:val="single" w:sz="4" w:space="0" w:color="333333"/>
              <w:right w:val="single" w:sz="4" w:space="0" w:color="333333"/>
            </w:tcBorders>
            <w:shd w:val="clear" w:color="auto" w:fill="00CC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产品</w:t>
            </w:r>
          </w:p>
        </w:tc>
        <w:tc>
          <w:tcPr>
            <w:tcW w:w="536" w:type="dxa"/>
            <w:tcBorders>
              <w:top w:val="single" w:sz="4" w:space="0" w:color="333333"/>
              <w:left w:val="nil"/>
              <w:bottom w:val="single" w:sz="4" w:space="0" w:color="333333"/>
              <w:right w:val="single" w:sz="4" w:space="0" w:color="333333"/>
            </w:tcBorders>
            <w:shd w:val="clear" w:color="auto" w:fill="00CC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年度</w:t>
            </w:r>
          </w:p>
        </w:tc>
        <w:tc>
          <w:tcPr>
            <w:tcW w:w="343" w:type="dxa"/>
            <w:tcBorders>
              <w:top w:val="single" w:sz="4" w:space="0" w:color="333333"/>
              <w:left w:val="nil"/>
              <w:bottom w:val="single" w:sz="4" w:space="0" w:color="333333"/>
              <w:right w:val="single" w:sz="4" w:space="0" w:color="333333"/>
            </w:tcBorders>
            <w:shd w:val="clear" w:color="auto" w:fill="00CC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月份</w:t>
            </w:r>
          </w:p>
        </w:tc>
        <w:tc>
          <w:tcPr>
            <w:tcW w:w="454" w:type="dxa"/>
            <w:tcBorders>
              <w:top w:val="single" w:sz="4" w:space="0" w:color="333333"/>
              <w:left w:val="nil"/>
              <w:bottom w:val="single" w:sz="4" w:space="0" w:color="333333"/>
              <w:right w:val="single" w:sz="4" w:space="0" w:color="333333"/>
            </w:tcBorders>
            <w:shd w:val="clear" w:color="auto" w:fill="00CC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333333"/>
                <w:kern w:val="0"/>
                <w:sz w:val="28"/>
                <w:szCs w:val="28"/>
              </w:rPr>
              <w:t>产销</w:t>
            </w:r>
            <w:r>
              <w:rPr>
                <w:rFonts w:ascii="华文仿宋" w:eastAsia="华文仿宋" w:hAnsi="华文仿宋" w:cs="Helvetica" w:hint="eastAsia"/>
                <w:b/>
                <w:bCs/>
                <w:color w:val="333333"/>
                <w:kern w:val="0"/>
                <w:sz w:val="28"/>
                <w:szCs w:val="28"/>
              </w:rPr>
              <w:lastRenderedPageBreak/>
              <w:t>国</w:t>
            </w:r>
          </w:p>
        </w:tc>
        <w:tc>
          <w:tcPr>
            <w:tcW w:w="1388" w:type="dxa"/>
            <w:tcBorders>
              <w:top w:val="single" w:sz="4" w:space="0" w:color="333333"/>
              <w:left w:val="nil"/>
              <w:bottom w:val="single" w:sz="4" w:space="0" w:color="333333"/>
              <w:right w:val="single" w:sz="4" w:space="0" w:color="333333"/>
            </w:tcBorders>
            <w:shd w:val="clear" w:color="auto" w:fill="00CC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lastRenderedPageBreak/>
              <w:t>进口数量/吨</w:t>
            </w:r>
          </w:p>
        </w:tc>
        <w:tc>
          <w:tcPr>
            <w:tcW w:w="1783" w:type="dxa"/>
            <w:tcBorders>
              <w:top w:val="single" w:sz="4" w:space="0" w:color="333333"/>
              <w:left w:val="nil"/>
              <w:bottom w:val="single" w:sz="4" w:space="0" w:color="333333"/>
              <w:right w:val="single" w:sz="4" w:space="0" w:color="333333"/>
            </w:tcBorders>
            <w:shd w:val="clear" w:color="auto" w:fill="00CC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进口金额/美元</w:t>
            </w:r>
          </w:p>
        </w:tc>
        <w:tc>
          <w:tcPr>
            <w:tcW w:w="1125" w:type="dxa"/>
            <w:tcBorders>
              <w:top w:val="single" w:sz="4" w:space="0" w:color="333333"/>
              <w:left w:val="nil"/>
              <w:bottom w:val="single" w:sz="4" w:space="0" w:color="333333"/>
              <w:right w:val="single" w:sz="4" w:space="0" w:color="333333"/>
            </w:tcBorders>
            <w:shd w:val="clear" w:color="auto" w:fill="00CC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出口数量/吨</w:t>
            </w:r>
          </w:p>
        </w:tc>
        <w:tc>
          <w:tcPr>
            <w:tcW w:w="1520" w:type="dxa"/>
            <w:tcBorders>
              <w:top w:val="single" w:sz="4" w:space="0" w:color="333333"/>
              <w:left w:val="nil"/>
              <w:bottom w:val="single" w:sz="4" w:space="0" w:color="333333"/>
              <w:right w:val="single" w:sz="4" w:space="0" w:color="333333"/>
            </w:tcBorders>
            <w:shd w:val="clear" w:color="auto" w:fill="00CC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出口金额/美元</w:t>
            </w:r>
          </w:p>
        </w:tc>
      </w:tr>
      <w:tr w:rsidR="00E9576F" w:rsidTr="00811520">
        <w:trPr>
          <w:trHeight w:val="270"/>
        </w:trPr>
        <w:tc>
          <w:tcPr>
            <w:tcW w:w="1167" w:type="dxa"/>
            <w:vMerge w:val="restart"/>
            <w:tcBorders>
              <w:top w:val="single" w:sz="4" w:space="0" w:color="333333"/>
              <w:left w:val="single" w:sz="4" w:space="0" w:color="333333"/>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lastRenderedPageBreak/>
              <w:t>石油原油(包括从沥青矿物提取的原油)</w:t>
            </w: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印度尼西亚</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40653.34</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25346064.00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沙特阿拉伯</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6559086.72</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3799894948.00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喀麦隆</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274520.10</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159589495.00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苏丹</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142372.63</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79205819.00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伊朗</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1597505.00</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912909959.00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泰国</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25362.03</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15565737.00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刚果</w:t>
            </w:r>
            <w:r>
              <w:rPr>
                <w:rFonts w:ascii="华文仿宋" w:eastAsia="华文仿宋" w:hAnsi="华文仿宋" w:cs="Helvetica" w:hint="eastAsia"/>
                <w:color w:val="333333"/>
                <w:kern w:val="0"/>
                <w:sz w:val="28"/>
                <w:szCs w:val="28"/>
              </w:rPr>
              <w:lastRenderedPageBreak/>
              <w:t>(布)</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911835.95</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488114205.00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南苏丹共和国</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248895.93</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113509343.00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科威特</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1873420.00</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1066267344.00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也门</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350540.93</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203670399.00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赤道几内亚</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225072.70</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129964020.00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挪威</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133437.19</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85050562.00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阿曼</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2776447.67</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1570404500.00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阿</w:t>
            </w:r>
            <w:r>
              <w:rPr>
                <w:rFonts w:ascii="华文仿宋" w:eastAsia="华文仿宋" w:hAnsi="华文仿宋" w:cs="Helvetica" w:hint="eastAsia"/>
                <w:color w:val="333333"/>
                <w:kern w:val="0"/>
                <w:sz w:val="28"/>
                <w:szCs w:val="28"/>
              </w:rPr>
              <w:lastRenderedPageBreak/>
              <w:t>尔及利亚</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268525.13</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164163889.00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利比亚</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885974.67</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523180489.00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马来西亚</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833188.20</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491653771.00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越南</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44414.44</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28043616.00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加蓬</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425818.46</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246914969.00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阿塞拜疆</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369626.55</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240045038.00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蒙古</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103478.90</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42882263.00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哈</w:t>
            </w:r>
            <w:r>
              <w:rPr>
                <w:rFonts w:ascii="华文仿宋" w:eastAsia="华文仿宋" w:hAnsi="华文仿宋" w:cs="Helvetica" w:hint="eastAsia"/>
                <w:color w:val="333333"/>
                <w:kern w:val="0"/>
                <w:sz w:val="28"/>
                <w:szCs w:val="28"/>
              </w:rPr>
              <w:lastRenderedPageBreak/>
              <w:t>萨克斯坦</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382055.19</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219528579.00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加纳</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395143.42</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247439810.00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俄罗斯联邦</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6548835.91</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3790140429.00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伊拉克</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4489405.62</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2460243791.00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阿联酋</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1683047.16</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989595428.00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埃及</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314221.95</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158188628.00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英国</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1010539.66</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602684272.00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卡</w:t>
            </w:r>
            <w:r>
              <w:rPr>
                <w:rFonts w:ascii="华文仿宋" w:eastAsia="华文仿宋" w:hAnsi="华文仿宋" w:cs="Helvetica" w:hint="eastAsia"/>
                <w:color w:val="333333"/>
                <w:kern w:val="0"/>
                <w:sz w:val="28"/>
                <w:szCs w:val="28"/>
              </w:rPr>
              <w:lastRenderedPageBreak/>
              <w:t>塔尔</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105875.29</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73199655.00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安哥拉</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3864267.16</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2157921285.00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尼日利亚</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138935.00</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80985584.00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厄瓜多尔</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198688.82</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109511633.00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委内瑞拉</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1139778.98</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529498771.00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墨西哥</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69175.22</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35411984.00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哥伦</w:t>
            </w:r>
            <w:r>
              <w:rPr>
                <w:rFonts w:ascii="华文仿宋" w:eastAsia="华文仿宋" w:hAnsi="华文仿宋" w:cs="Helvetica" w:hint="eastAsia"/>
                <w:color w:val="333333"/>
                <w:kern w:val="0"/>
                <w:sz w:val="28"/>
                <w:szCs w:val="28"/>
              </w:rPr>
              <w:lastRenderedPageBreak/>
              <w:t>比亚</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889238.87</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455402631.00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美国</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137908.22</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59015354.00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巴西</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2983655.73</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1586112356.00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澳大利亚</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190534.01</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112246681.00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加拿大</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240940.87</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103341004.00</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日本</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131987.46</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75223977.00</w:t>
            </w:r>
          </w:p>
        </w:tc>
      </w:tr>
      <w:tr w:rsidR="00E9576F" w:rsidTr="00811520">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新加坡</w:t>
            </w:r>
          </w:p>
        </w:tc>
        <w:tc>
          <w:tcPr>
            <w:tcW w:w="1388"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130508.98</w:t>
            </w:r>
          </w:p>
        </w:tc>
        <w:tc>
          <w:tcPr>
            <w:tcW w:w="1520" w:type="dxa"/>
            <w:tcBorders>
              <w:top w:val="single" w:sz="4" w:space="0" w:color="333333"/>
              <w:left w:val="nil"/>
              <w:bottom w:val="single" w:sz="4" w:space="0" w:color="333333"/>
              <w:right w:val="single" w:sz="4" w:space="0" w:color="333333"/>
            </w:tcBorders>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80170232.00</w:t>
            </w:r>
          </w:p>
        </w:tc>
      </w:tr>
      <w:tr w:rsidR="00E9576F" w:rsidTr="00811520">
        <w:trPr>
          <w:trHeight w:val="270"/>
        </w:trPr>
        <w:tc>
          <w:tcPr>
            <w:tcW w:w="2500" w:type="dxa"/>
            <w:gridSpan w:val="4"/>
            <w:tcBorders>
              <w:top w:val="single" w:sz="4" w:space="0" w:color="333333"/>
              <w:left w:val="single" w:sz="4" w:space="0" w:color="333333"/>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2018年11月合计</w:t>
            </w:r>
          </w:p>
        </w:tc>
        <w:tc>
          <w:tcPr>
            <w:tcW w:w="1388" w:type="dxa"/>
            <w:tcBorders>
              <w:top w:val="single" w:sz="4" w:space="0" w:color="333333"/>
              <w:left w:val="nil"/>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42872423.61</w:t>
            </w:r>
          </w:p>
        </w:tc>
        <w:tc>
          <w:tcPr>
            <w:tcW w:w="1783" w:type="dxa"/>
            <w:tcBorders>
              <w:top w:val="single" w:sz="4" w:space="0" w:color="333333"/>
              <w:left w:val="nil"/>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24156844305.00</w:t>
            </w:r>
          </w:p>
        </w:tc>
        <w:tc>
          <w:tcPr>
            <w:tcW w:w="1125" w:type="dxa"/>
            <w:tcBorders>
              <w:top w:val="single" w:sz="4" w:space="0" w:color="333333"/>
              <w:left w:val="nil"/>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262496.44</w:t>
            </w:r>
          </w:p>
        </w:tc>
        <w:tc>
          <w:tcPr>
            <w:tcW w:w="1520" w:type="dxa"/>
            <w:tcBorders>
              <w:top w:val="single" w:sz="4" w:space="0" w:color="333333"/>
              <w:left w:val="nil"/>
              <w:bottom w:val="single" w:sz="4" w:space="0" w:color="333333"/>
              <w:right w:val="single" w:sz="4" w:space="0" w:color="333333"/>
            </w:tcBorders>
            <w:shd w:val="clear" w:color="auto" w:fill="FFFFFF"/>
            <w:vAlign w:val="center"/>
          </w:tcPr>
          <w:p w:rsidR="00E9576F" w:rsidRDefault="00E9576F" w:rsidP="00811520">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155394209.00</w:t>
            </w:r>
          </w:p>
        </w:tc>
      </w:tr>
    </w:tbl>
    <w:p w:rsidR="00E9576F" w:rsidRDefault="00E9576F" w:rsidP="00DA7BA3">
      <w:pPr>
        <w:outlineLvl w:val="1"/>
        <w:rPr>
          <w:rFonts w:ascii="宋体" w:hAnsi="宋体" w:cs="Arial"/>
          <w:b/>
          <w:bCs/>
          <w:kern w:val="0"/>
          <w:sz w:val="32"/>
          <w:szCs w:val="32"/>
        </w:rPr>
      </w:pPr>
      <w:bookmarkStart w:id="38" w:name="_Toc6555820"/>
      <w:bookmarkStart w:id="39" w:name="_Toc6575099"/>
      <w:bookmarkStart w:id="40" w:name="_Toc6581284"/>
      <w:r>
        <w:rPr>
          <w:rFonts w:ascii="宋体" w:hAnsi="宋体" w:cs="Arial" w:hint="eastAsia"/>
          <w:b/>
          <w:bCs/>
          <w:kern w:val="0"/>
          <w:sz w:val="32"/>
          <w:szCs w:val="32"/>
        </w:rPr>
        <w:t>(四)、</w:t>
      </w:r>
      <w:bookmarkStart w:id="41" w:name="_Toc504051943"/>
      <w:r>
        <w:rPr>
          <w:rFonts w:ascii="宋体" w:hAnsi="宋体" w:cs="Arial" w:hint="eastAsia"/>
          <w:b/>
          <w:bCs/>
          <w:kern w:val="0"/>
          <w:sz w:val="32"/>
          <w:szCs w:val="32"/>
        </w:rPr>
        <w:t>后市预测</w:t>
      </w:r>
      <w:bookmarkEnd w:id="38"/>
      <w:bookmarkEnd w:id="39"/>
      <w:bookmarkEnd w:id="40"/>
      <w:bookmarkEnd w:id="41"/>
    </w:p>
    <w:p w:rsidR="00A07C14" w:rsidRPr="00DA7BA3" w:rsidRDefault="00E9576F" w:rsidP="00DA7BA3">
      <w:pPr>
        <w:pStyle w:val="aa"/>
        <w:rPr>
          <w:sz w:val="21"/>
          <w:szCs w:val="21"/>
        </w:rPr>
      </w:pPr>
      <w:r>
        <w:rPr>
          <w:szCs w:val="21"/>
        </w:rPr>
        <w:lastRenderedPageBreak/>
        <w:t xml:space="preserve">　</w:t>
      </w:r>
      <w:r>
        <w:rPr>
          <w:rFonts w:hint="eastAsia"/>
          <w:szCs w:val="21"/>
        </w:rPr>
        <w:t xml:space="preserve">   </w:t>
      </w:r>
      <w:r w:rsidRPr="00736BB6">
        <w:rPr>
          <w:rFonts w:ascii="华文仿宋" w:eastAsia="华文仿宋" w:hAnsi="华文仿宋"/>
          <w:sz w:val="28"/>
          <w:szCs w:val="28"/>
        </w:rPr>
        <w:t>本周美国WTI原油原油价格在6</w:t>
      </w:r>
      <w:r>
        <w:rPr>
          <w:rFonts w:ascii="华文仿宋" w:eastAsia="华文仿宋" w:hAnsi="华文仿宋" w:hint="eastAsia"/>
          <w:sz w:val="28"/>
          <w:szCs w:val="28"/>
        </w:rPr>
        <w:t>3.4</w:t>
      </w:r>
      <w:r w:rsidRPr="00736BB6">
        <w:rPr>
          <w:rFonts w:ascii="华文仿宋" w:eastAsia="华文仿宋" w:hAnsi="华文仿宋"/>
          <w:sz w:val="28"/>
          <w:szCs w:val="28"/>
        </w:rPr>
        <w:t>-6</w:t>
      </w:r>
      <w:r>
        <w:rPr>
          <w:rFonts w:ascii="华文仿宋" w:eastAsia="华文仿宋" w:hAnsi="华文仿宋" w:hint="eastAsia"/>
          <w:sz w:val="28"/>
          <w:szCs w:val="28"/>
        </w:rPr>
        <w:t>4.05</w:t>
      </w:r>
      <w:r w:rsidRPr="00736BB6">
        <w:rPr>
          <w:rFonts w:ascii="华文仿宋" w:eastAsia="华文仿宋" w:hAnsi="华文仿宋"/>
          <w:sz w:val="28"/>
          <w:szCs w:val="28"/>
        </w:rPr>
        <w:t>美元/桶。布伦特原油价格在</w:t>
      </w:r>
      <w:r>
        <w:rPr>
          <w:rFonts w:ascii="华文仿宋" w:eastAsia="华文仿宋" w:hAnsi="华文仿宋" w:hint="eastAsia"/>
          <w:sz w:val="28"/>
          <w:szCs w:val="28"/>
        </w:rPr>
        <w:t>71.18</w:t>
      </w:r>
      <w:r w:rsidRPr="00736BB6">
        <w:rPr>
          <w:rFonts w:ascii="华文仿宋" w:eastAsia="华文仿宋" w:hAnsi="华文仿宋"/>
          <w:sz w:val="28"/>
          <w:szCs w:val="28"/>
        </w:rPr>
        <w:t xml:space="preserve">- </w:t>
      </w:r>
      <w:r>
        <w:rPr>
          <w:rFonts w:ascii="华文仿宋" w:eastAsia="华文仿宋" w:hAnsi="华文仿宋" w:hint="eastAsia"/>
          <w:sz w:val="28"/>
          <w:szCs w:val="28"/>
        </w:rPr>
        <w:t>71.72</w:t>
      </w:r>
      <w:r w:rsidRPr="00736BB6">
        <w:rPr>
          <w:rFonts w:ascii="华文仿宋" w:eastAsia="华文仿宋" w:hAnsi="华文仿宋"/>
          <w:sz w:val="28"/>
          <w:szCs w:val="28"/>
        </w:rPr>
        <w:t>美元/桶震荡。周内国际油价格</w:t>
      </w:r>
      <w:r>
        <w:rPr>
          <w:rFonts w:ascii="华文仿宋" w:eastAsia="华文仿宋" w:hAnsi="华文仿宋" w:hint="eastAsia"/>
          <w:sz w:val="28"/>
          <w:szCs w:val="28"/>
        </w:rPr>
        <w:t>下调</w:t>
      </w:r>
      <w:r w:rsidRPr="00736BB6">
        <w:rPr>
          <w:rFonts w:ascii="华文仿宋" w:eastAsia="华文仿宋" w:hAnsi="华文仿宋"/>
          <w:sz w:val="28"/>
          <w:szCs w:val="28"/>
        </w:rPr>
        <w:t>。</w:t>
      </w:r>
      <w:r w:rsidRPr="007C00A0">
        <w:rPr>
          <w:rFonts w:ascii="华文仿宋" w:eastAsia="华文仿宋" w:hAnsi="华文仿宋"/>
          <w:sz w:val="28"/>
          <w:szCs w:val="28"/>
        </w:rPr>
        <w:t>美国WTI原油5月期货周三(4月17日)收跌0.29美元，或0.45%，报63.76美元/桶。布伦特原油6月期货周三收跌0.1美元，或0.14%，报71.62美元/桶。虽然日内公布的美国库存报告全面利好，但减产前景不明以及伊朗制裁不确定性重燃这令油价涨势受阻。美国WTI原油期货价格盘中最低触及63.66美元/桶，布伦特原油期货价格盘中最低触及71.45美元/桶。基本面利好因素：美国能源信息署(EIA)周三(4月17日)公布报告显示，截至4月12日当周，美国原油库存减少139.6万桶至4.552亿桶，市场预估为增加171.1万桶。更多数据显示，上周俄克拉荷马州库欣原油库存减少154.3万桶，创2018年7月13日当周(40周)以来最大降幅。美国精炼油库存减少36.2万桶，连续5周录得下滑，市场预估为减少84.6万桶。美国汽油库存减少117.4万桶，连续9周录得下滑，市场预估为减少213.3万桶。此外，上周美国国内原油产量减少10万桶至1210万桶/日。石油输出国组织(OPEC)周三(4月10日)发布月报显示，受美国制裁以及电力故障的影响，委内瑞拉3月原油产量已经降至长期新低，这令全球原油供应进一步下滑。3月委内瑞拉原油产量降至96万桶/日，较2月水平大降近50万桶/日。同时根据二手数据来源显示，3月OPEC原油产量进一步减少53.4万桶/日至3002.2万桶/日，依然是得益于沙特的大力减产。而外媒调查结果显示，11个参与减产的OPEC成员国合计减产执行率已经高达155%。特朗普近期宣布伊朗伊斯兰革命卫队为外国恐怖组织，这是华盛顿首次正式将另一个国家的军队列为恐怖组织。中东紧张局势加剧恐影响当地的原油供应，从而为油价提供支撑。此前相关信息显示，美国正考虑加强对伊朗制裁力度，这将进一步打压该国的原油出口。同时委内瑞拉一个遭受美国制裁的原油出口终端再次出</w:t>
      </w:r>
      <w:r w:rsidRPr="007C00A0">
        <w:rPr>
          <w:rFonts w:ascii="华文仿宋" w:eastAsia="华文仿宋" w:hAnsi="华文仿宋"/>
          <w:sz w:val="28"/>
          <w:szCs w:val="28"/>
        </w:rPr>
        <w:lastRenderedPageBreak/>
        <w:t>现运营中断的情况。伊朗和委内瑞拉原油产量下滑有助于加大OPEC减产行动带来的提振效果。基本面利空因素：美元指数自低位持续反弹，现回升至97关口略上方。日内稍早公布的美国2月贸易逆差意外降至8个月低点，有望拔高一季度美国经济增速预期。近期以来，美元指数在97关口陷入拉锯战中。据彭博报道，如果过去的汇率低波动期可以作为借鉴的话，那么外汇交易员应该准备好迎接美元可能出现的大动作。以史为鉴，美元指数有望迎来约10%的涨跌幅。美国油服公司贝克休斯(Baker Hughes)周五(4月12日)公布数据显示，截至4月12日当周，美国石油活跃钻井数再增2座至833座，连续两周录得增长。不过美国石油活跃钻井数在过去四个月内累计减少，因美国油企开始减少新钻井的建造，从而将注意力转向盈利增长而非产量增长。更多数据显示，截至4月12日当周美国石油和天然气活跃钻井总数减少3座至1022座。IEA月报指出，2018年下半年全球原油产量急升的状况已经得到扭转，因石油输出国组织(OPEC)主导的减产行动发挥作用，同时美国也对伊朗和委内瑞拉实施了严厉的经济制裁。尽管原油市场供需关系已经收紧，但IEA已经在月报中指出，需求面表现也是油市重归均衡进程中的“重要一环”，但现在受经济增长放缓影响面临许多不确定性影响。IEA同时在月报中表示：“进入2019年以来，分析师们对原油需求增长的预期分歧较大，我们依然认为年内原油需求增长将维持在140万桶/日，但确实不能排除全球经济状况可能带来的复杂影响。”虽然市场之前预期OPEC以及非OPEC产油国有可能在6月政策会议上宣布延长减产协议，但法利赫暗示5月技术会议上可能会做出决定，但不一定会延长减产。沙特和俄罗斯已经流露出结束减产行动迹象一定程度上限制了油价的上行空间。同时俄罗斯总统普京今日稍早发表讲话称，虽然该国已经做好准备继续与石油输出国组织(OPEC)进行合作，但不会支</w:t>
      </w:r>
      <w:r w:rsidRPr="007C00A0">
        <w:rPr>
          <w:rFonts w:ascii="华文仿宋" w:eastAsia="华文仿宋" w:hAnsi="华文仿宋"/>
          <w:sz w:val="28"/>
          <w:szCs w:val="28"/>
        </w:rPr>
        <w:lastRenderedPageBreak/>
        <w:t>持油价不受控制的走高，并暗示当前油价令莫斯科感到满意。分析师指出，今年以来，OPEC和非OPEC产油国联合实施的减产行动为油价带来有效支撑，但近期受到地缘政治风险加剧的影响，油价已经大幅攀升，这令俄罗斯开始质疑是否应该继续实施减产行动。</w:t>
      </w:r>
      <w:r w:rsidRPr="00736BB6">
        <w:rPr>
          <w:rFonts w:ascii="华文仿宋" w:eastAsia="华文仿宋" w:hAnsi="华文仿宋"/>
          <w:sz w:val="28"/>
          <w:szCs w:val="28"/>
        </w:rPr>
        <w:t>预测下周WTI油价将触及</w:t>
      </w:r>
      <w:r>
        <w:rPr>
          <w:rFonts w:ascii="华文仿宋" w:eastAsia="华文仿宋" w:hAnsi="华文仿宋" w:hint="eastAsia"/>
          <w:sz w:val="28"/>
          <w:szCs w:val="28"/>
        </w:rPr>
        <w:t>60</w:t>
      </w:r>
      <w:r w:rsidRPr="00736BB6">
        <w:rPr>
          <w:rFonts w:ascii="华文仿宋" w:eastAsia="华文仿宋" w:hAnsi="华文仿宋"/>
          <w:sz w:val="28"/>
          <w:szCs w:val="28"/>
        </w:rPr>
        <w:t>-</w:t>
      </w:r>
      <w:r>
        <w:rPr>
          <w:rFonts w:ascii="华文仿宋" w:eastAsia="华文仿宋" w:hAnsi="华文仿宋" w:hint="eastAsia"/>
          <w:sz w:val="28"/>
          <w:szCs w:val="28"/>
        </w:rPr>
        <w:t>66</w:t>
      </w:r>
      <w:r w:rsidRPr="00736BB6">
        <w:rPr>
          <w:rFonts w:ascii="华文仿宋" w:eastAsia="华文仿宋" w:hAnsi="华文仿宋"/>
          <w:sz w:val="28"/>
          <w:szCs w:val="28"/>
        </w:rPr>
        <w:t>美元/桶，布油在之后几个月触及</w:t>
      </w:r>
      <w:r>
        <w:rPr>
          <w:rFonts w:ascii="华文仿宋" w:eastAsia="华文仿宋" w:hAnsi="华文仿宋" w:hint="eastAsia"/>
          <w:sz w:val="28"/>
          <w:szCs w:val="28"/>
        </w:rPr>
        <w:t>70</w:t>
      </w:r>
      <w:r w:rsidRPr="00736BB6">
        <w:rPr>
          <w:rFonts w:ascii="华文仿宋" w:eastAsia="华文仿宋" w:hAnsi="华文仿宋"/>
          <w:sz w:val="28"/>
          <w:szCs w:val="28"/>
        </w:rPr>
        <w:t>-7</w:t>
      </w:r>
      <w:r>
        <w:rPr>
          <w:rFonts w:ascii="华文仿宋" w:eastAsia="华文仿宋" w:hAnsi="华文仿宋" w:hint="eastAsia"/>
          <w:sz w:val="28"/>
          <w:szCs w:val="28"/>
        </w:rPr>
        <w:t>4</w:t>
      </w:r>
      <w:r w:rsidRPr="00736BB6">
        <w:rPr>
          <w:rFonts w:ascii="华文仿宋" w:eastAsia="华文仿宋" w:hAnsi="华文仿宋"/>
          <w:sz w:val="28"/>
          <w:szCs w:val="28"/>
        </w:rPr>
        <w:t>美元/桶。</w:t>
      </w:r>
    </w:p>
    <w:p w:rsidR="00FD6021" w:rsidRDefault="0014013A" w:rsidP="00A07C14">
      <w:pPr>
        <w:spacing w:line="360" w:lineRule="auto"/>
        <w:outlineLvl w:val="0"/>
        <w:rPr>
          <w:rFonts w:ascii="黑体" w:eastAsia="黑体" w:hAnsi="宋体"/>
          <w:b/>
          <w:sz w:val="28"/>
          <w:szCs w:val="28"/>
        </w:rPr>
      </w:pPr>
      <w:bookmarkStart w:id="42" w:name="_Toc1736583"/>
      <w:bookmarkStart w:id="43" w:name="_Toc2934025"/>
      <w:bookmarkStart w:id="44" w:name="_Toc2934046"/>
      <w:bookmarkStart w:id="45" w:name="_Toc4160086"/>
      <w:bookmarkStart w:id="46" w:name="_Toc4768336"/>
      <w:bookmarkStart w:id="47" w:name="_Toc4768356"/>
      <w:bookmarkStart w:id="48" w:name="_Toc5281983"/>
      <w:bookmarkStart w:id="49" w:name="_Toc5976958"/>
      <w:bookmarkStart w:id="50" w:name="_Toc5976978"/>
      <w:bookmarkStart w:id="51" w:name="_Toc6486605"/>
      <w:bookmarkStart w:id="52" w:name="_Toc6486661"/>
      <w:bookmarkStart w:id="53" w:name="_Toc6555821"/>
      <w:bookmarkStart w:id="54" w:name="_Toc6575100"/>
      <w:bookmarkStart w:id="55" w:name="_Toc6581285"/>
      <w:r>
        <w:rPr>
          <w:rFonts w:ascii="黑体" w:eastAsia="黑体" w:hAnsi="宋体" w:hint="eastAsia"/>
          <w:b/>
          <w:sz w:val="28"/>
          <w:szCs w:val="28"/>
        </w:rPr>
        <w:t>二、 石脑油</w:t>
      </w:r>
      <w:bookmarkEnd w:id="8"/>
      <w:bookmarkEnd w:id="9"/>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FD6021" w:rsidRDefault="0014013A" w:rsidP="00A07C14">
      <w:pPr>
        <w:pStyle w:val="2"/>
        <w:spacing w:line="240" w:lineRule="auto"/>
        <w:rPr>
          <w:rFonts w:ascii="宋体" w:hAnsi="宋体" w:cs="Arial"/>
          <w:b w:val="0"/>
          <w:bCs w:val="0"/>
          <w:kern w:val="0"/>
          <w:szCs w:val="28"/>
        </w:rPr>
      </w:pPr>
      <w:bookmarkStart w:id="56" w:name="_Toc505350008"/>
      <w:bookmarkStart w:id="57" w:name="_Toc460250404"/>
      <w:bookmarkStart w:id="58" w:name="_Toc536797013"/>
      <w:bookmarkStart w:id="59" w:name="_Toc1736584"/>
      <w:bookmarkStart w:id="60" w:name="_Toc2934026"/>
      <w:bookmarkStart w:id="61" w:name="_Toc2934047"/>
      <w:bookmarkStart w:id="62" w:name="_Toc4160087"/>
      <w:bookmarkStart w:id="63" w:name="_Toc4768337"/>
      <w:bookmarkStart w:id="64" w:name="_Toc4768357"/>
      <w:bookmarkStart w:id="65" w:name="_Toc5281984"/>
      <w:bookmarkStart w:id="66" w:name="_Toc5976959"/>
      <w:bookmarkStart w:id="67" w:name="_Toc5976979"/>
      <w:bookmarkStart w:id="68" w:name="_Toc6486606"/>
      <w:bookmarkStart w:id="69" w:name="_Toc6486662"/>
      <w:bookmarkStart w:id="70" w:name="_Toc6555822"/>
      <w:bookmarkStart w:id="71" w:name="_Toc6575101"/>
      <w:bookmarkStart w:id="72" w:name="_Toc6581286"/>
      <w:r>
        <w:rPr>
          <w:rFonts w:hint="eastAsia"/>
        </w:rPr>
        <w:t>2. 1</w:t>
      </w:r>
      <w:r>
        <w:rPr>
          <w:rFonts w:hint="eastAsia"/>
          <w:kern w:val="0"/>
        </w:rPr>
        <w:t>国际石脑油市场价格</w:t>
      </w:r>
      <w:bookmarkEnd w:id="10"/>
      <w:bookmarkEnd w:id="1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D6021" w:rsidRDefault="0014013A">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FD6021" w:rsidRDefault="00FD6021">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783"/>
        <w:gridCol w:w="2099"/>
        <w:gridCol w:w="1579"/>
        <w:gridCol w:w="2131"/>
        <w:gridCol w:w="2364"/>
      </w:tblGrid>
      <w:tr w:rsidR="001D4DC7">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DD4D46" w:rsidP="00562868">
            <w:pPr>
              <w:pStyle w:val="aa"/>
              <w:spacing w:before="0" w:beforeAutospacing="0" w:after="0" w:afterAutospacing="0" w:line="390" w:lineRule="atLeast"/>
              <w:jc w:val="center"/>
              <w:rPr>
                <w:rFonts w:ascii="华文仿宋" w:eastAsia="华文仿宋" w:hAnsi="华文仿宋"/>
                <w:color w:val="000000"/>
                <w:sz w:val="28"/>
                <w:szCs w:val="28"/>
              </w:rPr>
            </w:pPr>
            <w:bookmarkStart w:id="73" w:name="_Toc281568202"/>
            <w:bookmarkStart w:id="74" w:name="_Toc239847715"/>
            <w:bookmarkStart w:id="75" w:name="_Toc296600812"/>
            <w:bookmarkStart w:id="76" w:name="_Toc460250405"/>
            <w:bookmarkStart w:id="77" w:name="_Toc505350009"/>
            <w:r>
              <w:rPr>
                <w:rFonts w:ascii="华文仿宋" w:eastAsia="华文仿宋" w:hAnsi="华文仿宋" w:hint="eastAsia"/>
                <w:color w:val="000000"/>
                <w:sz w:val="28"/>
                <w:szCs w:val="28"/>
              </w:rPr>
              <w:t>4</w:t>
            </w:r>
            <w:r w:rsidR="001D4DC7" w:rsidRPr="00D842E9">
              <w:rPr>
                <w:rFonts w:ascii="华文仿宋" w:eastAsia="华文仿宋" w:hAnsi="华文仿宋" w:hint="eastAsia"/>
                <w:color w:val="000000"/>
                <w:sz w:val="28"/>
                <w:szCs w:val="28"/>
              </w:rPr>
              <w:t>月</w:t>
            </w:r>
            <w:r w:rsidR="00CB77B6">
              <w:rPr>
                <w:rFonts w:ascii="华文仿宋" w:eastAsia="华文仿宋" w:hAnsi="华文仿宋" w:hint="eastAsia"/>
                <w:color w:val="000000"/>
                <w:sz w:val="28"/>
                <w:szCs w:val="28"/>
              </w:rPr>
              <w:t>1</w:t>
            </w:r>
            <w:r w:rsidR="00562868">
              <w:rPr>
                <w:rFonts w:ascii="华文仿宋" w:eastAsia="华文仿宋" w:hAnsi="华文仿宋" w:hint="eastAsia"/>
                <w:color w:val="000000"/>
                <w:sz w:val="28"/>
                <w:szCs w:val="28"/>
              </w:rPr>
              <w:t>8</w:t>
            </w:r>
            <w:r w:rsidR="001D4DC7" w:rsidRPr="00D842E9">
              <w:rPr>
                <w:rFonts w:ascii="华文仿宋" w:eastAsia="华文仿宋" w:hAnsi="华文仿宋" w:hint="eastAsia"/>
                <w:color w:val="000000"/>
                <w:sz w:val="28"/>
                <w:szCs w:val="28"/>
              </w:rPr>
              <w:t>日</w:t>
            </w:r>
          </w:p>
        </w:tc>
        <w:tc>
          <w:tcPr>
            <w:tcW w:w="209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低端价（美元/吨）</w:t>
            </w:r>
          </w:p>
        </w:tc>
        <w:tc>
          <w:tcPr>
            <w:tcW w:w="157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高端价（美元/吨）</w:t>
            </w:r>
          </w:p>
        </w:tc>
        <w:tc>
          <w:tcPr>
            <w:tcW w:w="213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均价涨跌幅</w:t>
            </w:r>
          </w:p>
        </w:tc>
        <w:tc>
          <w:tcPr>
            <w:tcW w:w="2364"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美分/加仑</w:t>
            </w:r>
          </w:p>
        </w:tc>
      </w:tr>
      <w:tr w:rsidR="00811520">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新加坡</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63.33美元/桶</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63.37美元/桶</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-0.10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150.786-150.881</w:t>
            </w:r>
          </w:p>
        </w:tc>
      </w:tr>
      <w:tr w:rsidR="00811520">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日本</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582.75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585.25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-0.50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154.167-154.828</w:t>
            </w:r>
          </w:p>
        </w:tc>
      </w:tr>
      <w:tr w:rsidR="00811520">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阿拉伯海湾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560.68</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563.18</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-0.50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148.328-148.989</w:t>
            </w:r>
          </w:p>
        </w:tc>
      </w:tr>
      <w:tr w:rsidR="00811520">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阿姆斯特丹、鹿特丹、安特卫普到岸价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564.75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565.25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1.50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151.003-151.136</w:t>
            </w:r>
          </w:p>
        </w:tc>
      </w:tr>
      <w:tr w:rsidR="00811520">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鹿特丹船货价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560.75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561.25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1.50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149.933-150.067</w:t>
            </w:r>
          </w:p>
        </w:tc>
      </w:tr>
      <w:tr w:rsidR="00811520">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地中海离岸</w:t>
            </w:r>
            <w:r w:rsidRPr="00CB77B6">
              <w:rPr>
                <w:rFonts w:ascii="华文仿宋" w:eastAsia="华文仿宋" w:hAnsi="华文仿宋" w:hint="eastAsia"/>
                <w:color w:val="000000"/>
                <w:sz w:val="28"/>
                <w:szCs w:val="28"/>
              </w:rPr>
              <w:lastRenderedPageBreak/>
              <w:t>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lastRenderedPageBreak/>
              <w:t>541.25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541.75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2.25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144.719-144.853</w:t>
            </w:r>
          </w:p>
        </w:tc>
      </w:tr>
      <w:tr w:rsidR="00811520">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lastRenderedPageBreak/>
              <w:t>热那亚到岸价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554.75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555.25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1.75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148.329-148.463</w:t>
            </w:r>
          </w:p>
        </w:tc>
      </w:tr>
      <w:tr w:rsidR="00811520">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美国墨西哥湾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559.00</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559.10</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1.79美分/加仑</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159.670-159.770</w:t>
            </w:r>
          </w:p>
        </w:tc>
      </w:tr>
      <w:tr w:rsidR="00811520">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加勒比海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811520" w:rsidRPr="00CB77B6" w:rsidRDefault="00811520">
            <w:pPr>
              <w:pStyle w:val="aa"/>
              <w:spacing w:before="0" w:beforeAutospacing="0" w:after="0" w:afterAutospacing="0" w:line="390" w:lineRule="atLeast"/>
              <w:jc w:val="center"/>
              <w:rPr>
                <w:rFonts w:ascii="华文仿宋" w:eastAsia="华文仿宋" w:hAnsi="华文仿宋"/>
                <w:color w:val="000000"/>
                <w:sz w:val="28"/>
                <w:szCs w:val="28"/>
              </w:rPr>
            </w:pPr>
            <w:r w:rsidRPr="00CB77B6">
              <w:rPr>
                <w:rFonts w:ascii="华文仿宋" w:eastAsia="华文仿宋" w:hAnsi="华文仿宋" w:hint="eastAsia"/>
                <w:color w:val="000000"/>
                <w:sz w:val="28"/>
                <w:szCs w:val="28"/>
              </w:rPr>
              <w:t> </w:t>
            </w:r>
          </w:p>
        </w:tc>
      </w:tr>
    </w:tbl>
    <w:p w:rsidR="00FD6021" w:rsidRDefault="00FD6021">
      <w:pPr>
        <w:rPr>
          <w:rFonts w:ascii="华文仿宋" w:eastAsia="华文仿宋" w:hAnsi="华文仿宋" w:cs="宋体"/>
          <w:kern w:val="0"/>
          <w:szCs w:val="28"/>
        </w:rPr>
      </w:pPr>
    </w:p>
    <w:p w:rsidR="00FD6021" w:rsidRPr="00B14D22" w:rsidRDefault="0014013A">
      <w:pPr>
        <w:pStyle w:val="2"/>
        <w:spacing w:line="240" w:lineRule="auto"/>
        <w:rPr>
          <w:rFonts w:asciiTheme="minorEastAsia" w:eastAsiaTheme="minorEastAsia" w:hAnsiTheme="minorEastAsia"/>
          <w:bCs w:val="0"/>
          <w:color w:val="000000" w:themeColor="text1"/>
          <w:szCs w:val="28"/>
        </w:rPr>
      </w:pPr>
      <w:bookmarkStart w:id="78" w:name="_Toc536797014"/>
      <w:bookmarkStart w:id="79" w:name="_Toc1736585"/>
      <w:bookmarkStart w:id="80" w:name="_Toc2934027"/>
      <w:bookmarkStart w:id="81" w:name="_Toc2934048"/>
      <w:bookmarkStart w:id="82" w:name="_Toc4160088"/>
      <w:bookmarkStart w:id="83" w:name="_Toc4768338"/>
      <w:bookmarkStart w:id="84" w:name="_Toc4768358"/>
      <w:bookmarkStart w:id="85" w:name="_Toc5281985"/>
      <w:bookmarkStart w:id="86" w:name="_Toc5976960"/>
      <w:bookmarkStart w:id="87" w:name="_Toc5976980"/>
      <w:bookmarkStart w:id="88" w:name="_Toc6486607"/>
      <w:bookmarkStart w:id="89" w:name="_Toc6486663"/>
      <w:bookmarkStart w:id="90" w:name="_Toc6555823"/>
      <w:bookmarkStart w:id="91" w:name="_Toc6575102"/>
      <w:bookmarkStart w:id="92" w:name="_Toc6581287"/>
      <w:r w:rsidRPr="00B14D22">
        <w:rPr>
          <w:rFonts w:asciiTheme="minorEastAsia" w:eastAsiaTheme="minorEastAsia" w:hAnsiTheme="minorEastAsia" w:hint="eastAsia"/>
          <w:bCs w:val="0"/>
          <w:color w:val="000000" w:themeColor="text1"/>
          <w:szCs w:val="28"/>
        </w:rPr>
        <w:t>2.2地炼石脑油市场</w:t>
      </w:r>
      <w:bookmarkEnd w:id="12"/>
      <w:bookmarkEnd w:id="1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A07C14" w:rsidRPr="00A07C14" w:rsidRDefault="00D70593" w:rsidP="003859C7">
      <w:pPr>
        <w:pStyle w:val="aa"/>
        <w:spacing w:before="0" w:beforeAutospacing="0" w:after="0" w:afterAutospacing="0" w:line="390" w:lineRule="atLeast"/>
        <w:rPr>
          <w:rFonts w:ascii="华文仿宋" w:eastAsia="华文仿宋" w:hAnsi="华文仿宋"/>
          <w:sz w:val="28"/>
          <w:szCs w:val="28"/>
        </w:rPr>
      </w:pPr>
      <w:r>
        <w:rPr>
          <w:rFonts w:ascii="华文仿宋" w:eastAsia="华文仿宋" w:hAnsi="华文仿宋" w:hint="eastAsia"/>
          <w:sz w:val="28"/>
          <w:szCs w:val="28"/>
        </w:rPr>
        <w:t xml:space="preserve">    </w:t>
      </w:r>
      <w:r w:rsidR="00356436" w:rsidRPr="006C37A4">
        <w:rPr>
          <w:rFonts w:ascii="华文仿宋" w:eastAsia="华文仿宋" w:hAnsi="华文仿宋" w:hint="eastAsia"/>
          <w:sz w:val="28"/>
          <w:szCs w:val="28"/>
        </w:rPr>
        <w:t>本周</w:t>
      </w:r>
      <w:r w:rsidRPr="00D70593">
        <w:rPr>
          <w:rFonts w:ascii="华文仿宋" w:eastAsia="华文仿宋" w:hAnsi="华文仿宋" w:hint="eastAsia"/>
          <w:sz w:val="28"/>
          <w:szCs w:val="28"/>
        </w:rPr>
        <w:t>石脑油：</w:t>
      </w:r>
      <w:r w:rsidR="003859C7" w:rsidRPr="003859C7">
        <w:rPr>
          <w:rFonts w:ascii="华文仿宋" w:eastAsia="华文仿宋" w:hAnsi="华文仿宋"/>
          <w:sz w:val="28"/>
          <w:szCs w:val="28"/>
        </w:rPr>
        <w:t>贝克休斯美国石油钻井数据进一步扩张，俄罗斯减产存续态度摇摆不定，这施压了市场参与信心盘中油价弱势下行，四月石脑油结算价即将转入上涨预期，然而当前市场需求不足制约石脑油交投，主力产区石脑油成交均线下降，玉皇加氢石脑油拟开售，进一步增加供应施压市场资源流通。增产传闻继续施压油市，美国页岩油产量攀升的顾虑也抑制多头情绪，美股财报季开局不利利空资本市场，避险情绪上升对大宗商品形成抑制，判断欧美原油期货价格将续跌。预测2019年4月中石化石脑油含税结算价跌0元至4080元/吨，预期明日开始将转为正向增长。国内地炼石脑油市场供过于求，直汽成交宽幅下修，短线价格中枢将进一步下移，因短期内无需求增长极出现。</w:t>
      </w:r>
    </w:p>
    <w:p w:rsidR="00FD6021" w:rsidRPr="00A07C14" w:rsidRDefault="0014013A" w:rsidP="00A07C14">
      <w:pPr>
        <w:outlineLvl w:val="1"/>
        <w:rPr>
          <w:rFonts w:asciiTheme="minorEastAsia" w:eastAsiaTheme="minorEastAsia" w:hAnsiTheme="minorEastAsia"/>
          <w:b/>
          <w:sz w:val="28"/>
          <w:szCs w:val="28"/>
        </w:rPr>
      </w:pPr>
      <w:bookmarkStart w:id="93" w:name="_Toc296600813"/>
      <w:bookmarkStart w:id="94" w:name="_Toc460250406"/>
      <w:bookmarkStart w:id="95" w:name="_Toc505350010"/>
      <w:bookmarkStart w:id="96" w:name="_Toc281568203"/>
      <w:bookmarkStart w:id="97" w:name="_Toc536797015"/>
      <w:bookmarkStart w:id="98" w:name="_Toc1736586"/>
      <w:bookmarkStart w:id="99" w:name="_Toc2934028"/>
      <w:bookmarkStart w:id="100" w:name="_Toc2934049"/>
      <w:bookmarkStart w:id="101" w:name="_Toc4160089"/>
      <w:bookmarkStart w:id="102" w:name="_Toc4768339"/>
      <w:bookmarkStart w:id="103" w:name="_Toc4768359"/>
      <w:bookmarkStart w:id="104" w:name="_Toc5281986"/>
      <w:bookmarkStart w:id="105" w:name="_Toc5976961"/>
      <w:bookmarkStart w:id="106" w:name="_Toc5976981"/>
      <w:bookmarkStart w:id="107" w:name="_Toc6486608"/>
      <w:bookmarkStart w:id="108" w:name="_Toc6486664"/>
      <w:bookmarkStart w:id="109" w:name="_Toc6555824"/>
      <w:bookmarkStart w:id="110" w:name="_Toc6575103"/>
      <w:bookmarkStart w:id="111" w:name="_Toc6581288"/>
      <w:r>
        <w:rPr>
          <w:rFonts w:asciiTheme="minorEastAsia" w:eastAsiaTheme="minorEastAsia" w:hAnsiTheme="minorEastAsia" w:hint="eastAsia"/>
          <w:b/>
          <w:sz w:val="28"/>
          <w:szCs w:val="28"/>
        </w:rPr>
        <w:t>2.3本周国内石脑油价格汇总</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FD6021" w:rsidRDefault="0014013A" w:rsidP="00A07C14">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FD6021" w:rsidRDefault="00FD6021" w:rsidP="00A07C14">
      <w:pPr>
        <w:tabs>
          <w:tab w:val="left" w:pos="810"/>
          <w:tab w:val="center" w:pos="4851"/>
        </w:tabs>
        <w:autoSpaceDE w:val="0"/>
        <w:autoSpaceDN w:val="0"/>
        <w:adjustRightInd w:val="0"/>
        <w:rPr>
          <w:rFonts w:ascii="宋体" w:hAnsi="宋体" w:cs="Arial"/>
          <w:kern w:val="0"/>
          <w:sz w:val="20"/>
          <w:szCs w:val="20"/>
        </w:rPr>
      </w:pPr>
    </w:p>
    <w:p w:rsidR="00FD6021" w:rsidRDefault="0014013A">
      <w:pPr>
        <w:rPr>
          <w:rFonts w:ascii="宋体" w:hAnsi="宋体" w:cs="Arial"/>
          <w:kern w:val="0"/>
          <w:sz w:val="20"/>
          <w:szCs w:val="20"/>
        </w:rPr>
      </w:pPr>
      <w:r>
        <w:rPr>
          <w:rFonts w:ascii="宋体" w:hAnsi="宋体" w:cs="Arial" w:hint="eastAsia"/>
          <w:kern w:val="0"/>
          <w:sz w:val="20"/>
          <w:szCs w:val="20"/>
        </w:rPr>
        <w:t xml:space="preserve"> 单位：元/吨</w:t>
      </w:r>
    </w:p>
    <w:tbl>
      <w:tblPr>
        <w:tblW w:w="5000" w:type="pct"/>
        <w:tblLook w:val="04A0"/>
      </w:tblPr>
      <w:tblGrid>
        <w:gridCol w:w="902"/>
        <w:gridCol w:w="1901"/>
        <w:gridCol w:w="1490"/>
        <w:gridCol w:w="1490"/>
        <w:gridCol w:w="903"/>
        <w:gridCol w:w="1638"/>
        <w:gridCol w:w="1638"/>
      </w:tblGrid>
      <w:tr w:rsidR="00914624" w:rsidRPr="00914624" w:rsidTr="00914624">
        <w:trPr>
          <w:trHeight w:val="285"/>
        </w:trPr>
        <w:tc>
          <w:tcPr>
            <w:tcW w:w="453"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地区</w:t>
            </w:r>
          </w:p>
        </w:tc>
        <w:tc>
          <w:tcPr>
            <w:tcW w:w="954"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生产厂家</w:t>
            </w:r>
          </w:p>
        </w:tc>
        <w:tc>
          <w:tcPr>
            <w:tcW w:w="748"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产品名称</w:t>
            </w:r>
          </w:p>
        </w:tc>
        <w:tc>
          <w:tcPr>
            <w:tcW w:w="748"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价格类型</w:t>
            </w:r>
          </w:p>
        </w:tc>
        <w:tc>
          <w:tcPr>
            <w:tcW w:w="453"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涨跌</w:t>
            </w:r>
          </w:p>
        </w:tc>
        <w:tc>
          <w:tcPr>
            <w:tcW w:w="822"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2019/4/19</w:t>
            </w:r>
          </w:p>
        </w:tc>
        <w:tc>
          <w:tcPr>
            <w:tcW w:w="822"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2019/4/12</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金城石化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恒源石化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6950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6950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东明石化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lastRenderedPageBreak/>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中海石化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弘润石化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华星石化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海科石化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广饶石化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鑫泰石化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5925</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5925</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利津石化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胜华石化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长城石化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安邦石化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日照源丰</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富海石化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京博石化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6204</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6204</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昌邑石化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6200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6200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垦利石化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5200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5200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寿光石化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5600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5600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神驰石化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6320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6320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汇丰石化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5730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5730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宝塔石化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滨化石化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31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高青宏远石化</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r w:rsidR="00914624" w:rsidRPr="00914624" w:rsidTr="00914624">
        <w:trPr>
          <w:trHeight w:val="285"/>
        </w:trPr>
        <w:tc>
          <w:tcPr>
            <w:tcW w:w="453"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54"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河口实业</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石脑油</w:t>
            </w:r>
          </w:p>
        </w:tc>
        <w:tc>
          <w:tcPr>
            <w:tcW w:w="748"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453"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18"/>
                <w:szCs w:val="18"/>
              </w:rPr>
            </w:pPr>
            <w:r w:rsidRPr="00914624">
              <w:rPr>
                <w:rFonts w:ascii="Simsun" w:hAnsi="Simsun" w:cs="宋体"/>
                <w:kern w:val="0"/>
                <w:sz w:val="18"/>
                <w:szCs w:val="18"/>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822"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r>
    </w:tbl>
    <w:p w:rsidR="00FD6021" w:rsidRDefault="0014013A">
      <w:pPr>
        <w:pStyle w:val="2"/>
        <w:spacing w:line="240" w:lineRule="auto"/>
        <w:jc w:val="left"/>
        <w:rPr>
          <w:rFonts w:asciiTheme="minorEastAsia" w:eastAsiaTheme="minorEastAsia" w:hAnsiTheme="minorEastAsia"/>
        </w:rPr>
      </w:pPr>
      <w:bookmarkStart w:id="112" w:name="_Toc296600814"/>
      <w:bookmarkStart w:id="113" w:name="_Toc281568204"/>
      <w:bookmarkStart w:id="114" w:name="_Toc460250407"/>
      <w:bookmarkStart w:id="115" w:name="_Toc505350011"/>
      <w:bookmarkStart w:id="116" w:name="_Toc536797016"/>
      <w:bookmarkStart w:id="117" w:name="_Toc1736587"/>
      <w:bookmarkStart w:id="118" w:name="_Toc2934029"/>
      <w:bookmarkStart w:id="119" w:name="_Toc2934050"/>
      <w:bookmarkStart w:id="120" w:name="_Toc4160090"/>
      <w:bookmarkStart w:id="121" w:name="_Toc4768340"/>
      <w:bookmarkStart w:id="122" w:name="_Toc4768360"/>
      <w:bookmarkStart w:id="123" w:name="_Toc5281987"/>
      <w:bookmarkStart w:id="124" w:name="_Toc5976962"/>
      <w:bookmarkStart w:id="125" w:name="_Toc5976982"/>
      <w:bookmarkStart w:id="126" w:name="_Toc6486609"/>
      <w:bookmarkStart w:id="127" w:name="_Toc6486665"/>
      <w:bookmarkStart w:id="128" w:name="_Toc6555825"/>
      <w:bookmarkStart w:id="129" w:name="_Toc6575104"/>
      <w:bookmarkStart w:id="130" w:name="_Toc158203132"/>
      <w:bookmarkStart w:id="131" w:name="_Toc239847719"/>
      <w:bookmarkStart w:id="132" w:name="_Toc6581289"/>
      <w:r>
        <w:rPr>
          <w:rFonts w:asciiTheme="minorEastAsia" w:eastAsiaTheme="minorEastAsia" w:hAnsiTheme="minorEastAsia" w:hint="eastAsia"/>
          <w:szCs w:val="28"/>
        </w:rPr>
        <w:t>2.4山东地炼石脑油价格走势图</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2"/>
    </w:p>
    <w:p w:rsidR="00FD6021" w:rsidRDefault="00A24892">
      <w:pPr>
        <w:widowControl/>
        <w:jc w:val="left"/>
        <w:rPr>
          <w:rFonts w:ascii="宋体" w:hAnsi="宋体" w:cs="宋体"/>
          <w:kern w:val="0"/>
          <w:sz w:val="24"/>
          <w:szCs w:val="24"/>
        </w:rPr>
      </w:pPr>
      <w:r w:rsidRPr="00A24892">
        <w:rPr>
          <w:rFonts w:ascii="宋体" w:hAnsi="宋体" w:cs="宋体"/>
          <w:noProof/>
          <w:kern w:val="0"/>
          <w:sz w:val="24"/>
          <w:szCs w:val="24"/>
        </w:rPr>
        <w:drawing>
          <wp:inline distT="0" distB="0" distL="0" distR="0">
            <wp:extent cx="5486400" cy="3463290"/>
            <wp:effectExtent l="19050" t="0" r="19050" b="38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6021" w:rsidRDefault="0014013A" w:rsidP="00A07C14">
      <w:pPr>
        <w:outlineLvl w:val="0"/>
        <w:rPr>
          <w:rFonts w:ascii="黑体" w:eastAsia="黑体"/>
          <w:b/>
          <w:sz w:val="28"/>
          <w:szCs w:val="28"/>
        </w:rPr>
      </w:pPr>
      <w:bookmarkStart w:id="133" w:name="_Toc237428455"/>
      <w:bookmarkStart w:id="134" w:name="_Toc296600816"/>
      <w:bookmarkStart w:id="135" w:name="_Toc505350012"/>
      <w:bookmarkStart w:id="136" w:name="_Toc281568206"/>
      <w:bookmarkStart w:id="137" w:name="_Toc460250408"/>
      <w:bookmarkStart w:id="138" w:name="_Toc536797017"/>
      <w:bookmarkStart w:id="139" w:name="_Toc1736588"/>
      <w:bookmarkStart w:id="140" w:name="_Toc2934030"/>
      <w:bookmarkStart w:id="141" w:name="_Toc2934051"/>
      <w:bookmarkStart w:id="142" w:name="_Toc4160091"/>
      <w:bookmarkStart w:id="143" w:name="_Toc4768341"/>
      <w:bookmarkStart w:id="144" w:name="_Toc4768361"/>
      <w:bookmarkStart w:id="145" w:name="_Toc5281988"/>
      <w:bookmarkStart w:id="146" w:name="_Toc5976963"/>
      <w:bookmarkStart w:id="147" w:name="_Toc5976983"/>
      <w:bookmarkStart w:id="148" w:name="_Toc6486610"/>
      <w:bookmarkStart w:id="149" w:name="_Toc6486666"/>
      <w:bookmarkStart w:id="150" w:name="_Toc6555826"/>
      <w:bookmarkStart w:id="151" w:name="_Toc6575105"/>
      <w:bookmarkStart w:id="152" w:name="_Toc6581290"/>
      <w:bookmarkEnd w:id="130"/>
      <w:bookmarkEnd w:id="131"/>
      <w:r>
        <w:rPr>
          <w:rFonts w:ascii="黑体" w:eastAsia="黑体" w:hint="eastAsia"/>
          <w:b/>
          <w:sz w:val="28"/>
          <w:szCs w:val="28"/>
        </w:rPr>
        <w:lastRenderedPageBreak/>
        <w:t>三、本周国内油品市场分析及预测</w:t>
      </w:r>
      <w:bookmarkStart w:id="153" w:name="_Toc281568207"/>
      <w:bookmarkStart w:id="154" w:name="_Toc460250409"/>
      <w:bookmarkStart w:id="155" w:name="_Toc296600817"/>
      <w:bookmarkStart w:id="156" w:name="_Toc237428456"/>
      <w:bookmarkStart w:id="157" w:name="_Toc17657190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FD6021" w:rsidRPr="004F0A77" w:rsidRDefault="0014013A" w:rsidP="004F0A77">
      <w:pPr>
        <w:pStyle w:val="2"/>
        <w:spacing w:line="240" w:lineRule="auto"/>
        <w:jc w:val="left"/>
        <w:rPr>
          <w:rFonts w:asciiTheme="minorEastAsia" w:eastAsiaTheme="minorEastAsia" w:hAnsiTheme="minorEastAsia"/>
          <w:szCs w:val="28"/>
        </w:rPr>
      </w:pPr>
      <w:bookmarkStart w:id="158" w:name="_Toc505350013"/>
      <w:bookmarkStart w:id="159" w:name="_Toc536797018"/>
      <w:bookmarkStart w:id="160" w:name="_Toc1736589"/>
      <w:bookmarkStart w:id="161" w:name="_Toc2934031"/>
      <w:bookmarkStart w:id="162" w:name="_Toc2934052"/>
      <w:bookmarkStart w:id="163" w:name="_Toc4160092"/>
      <w:bookmarkStart w:id="164" w:name="_Toc4768342"/>
      <w:bookmarkStart w:id="165" w:name="_Toc4768362"/>
      <w:bookmarkStart w:id="166" w:name="_Toc5281989"/>
      <w:bookmarkStart w:id="167" w:name="_Toc5976964"/>
      <w:bookmarkStart w:id="168" w:name="_Toc5976984"/>
      <w:bookmarkStart w:id="169" w:name="_Toc6486611"/>
      <w:bookmarkStart w:id="170" w:name="_Toc6486667"/>
      <w:bookmarkStart w:id="171" w:name="_Toc6555827"/>
      <w:bookmarkStart w:id="172" w:name="_Toc6575106"/>
      <w:bookmarkStart w:id="173" w:name="_Toc6581291"/>
      <w:r>
        <w:rPr>
          <w:rFonts w:asciiTheme="minorEastAsia" w:eastAsiaTheme="minorEastAsia" w:hAnsiTheme="minorEastAsia" w:hint="eastAsia"/>
          <w:szCs w:val="28"/>
        </w:rPr>
        <w:t>3．1  成品油市场动态</w:t>
      </w:r>
      <w:bookmarkEnd w:id="153"/>
      <w:bookmarkEnd w:id="154"/>
      <w:bookmarkEnd w:id="15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3859C7" w:rsidRDefault="003859C7" w:rsidP="003859C7">
      <w:pPr>
        <w:pStyle w:val="aa"/>
        <w:ind w:firstLineChars="200" w:firstLine="560"/>
        <w:rPr>
          <w:rFonts w:ascii="华文仿宋" w:eastAsia="华文仿宋" w:hAnsi="华文仿宋" w:cs="华文仿宋"/>
          <w:sz w:val="28"/>
          <w:szCs w:val="28"/>
        </w:rPr>
      </w:pPr>
      <w:bookmarkStart w:id="174" w:name="_Toc505350014"/>
      <w:bookmarkStart w:id="175" w:name="_Toc536797019"/>
      <w:bookmarkStart w:id="176" w:name="_Toc1736590"/>
      <w:bookmarkStart w:id="177" w:name="_Toc2934032"/>
      <w:bookmarkStart w:id="178" w:name="_Toc2934053"/>
      <w:bookmarkStart w:id="179" w:name="_Toc369858747"/>
      <w:bookmarkStart w:id="180" w:name="_Toc180485827"/>
      <w:bookmarkStart w:id="181" w:name="_Toc296600818"/>
      <w:bookmarkStart w:id="182" w:name="_Toc460250410"/>
      <w:bookmarkStart w:id="183" w:name="_Toc281568208"/>
      <w:bookmarkStart w:id="184" w:name="_Toc281568211"/>
      <w:bookmarkStart w:id="185" w:name="_Toc296600819"/>
      <w:bookmarkEnd w:id="156"/>
      <w:bookmarkEnd w:id="157"/>
      <w:r w:rsidRPr="003859C7">
        <w:rPr>
          <w:rFonts w:ascii="华文仿宋" w:eastAsia="华文仿宋" w:hAnsi="华文仿宋" w:cs="华文仿宋"/>
          <w:sz w:val="28"/>
          <w:szCs w:val="28"/>
        </w:rPr>
        <w:t>本周，国际原油期货保持震荡走势，据测算第四个工作日参考原油变化率为2.28%。受此影响，国内成品油市场购销氛围持淡，部分地区主营汽柴油价格下调。与此同时，山东地炼成品油行情弱势下行，各炼厂报价理性回调且成交保持100元/吨左右优惠。具体来看出货方面：由于近期原油走势无法给予市场有利推动，区内油市观望气氛较为浓厚，加上目前社会单位库存较高，终端用户及贸易商多消化前期库存，场内鲜有大单成交，因此地炼整体出货表现一般，库存普遍处于中位附近。后市前瞻：进入下周，技术指标来看，WTI阶段性见顶回落，但由于市场前景不明，下跌空间受到控制，主流运行区间在62-64(均值63)美元/桶之间。在无实质性利好刺激下，山东地区成品油行情疲态难改，买卖双方均保持理性操作，市场交投气氛平淡。综上所述，预计下周山东地炼汽柴油价格稳中个别涨跌不一。</w:t>
      </w:r>
    </w:p>
    <w:p w:rsidR="003859C7" w:rsidRDefault="003859C7" w:rsidP="003859C7">
      <w:pPr>
        <w:pStyle w:val="aa"/>
        <w:ind w:firstLineChars="200" w:firstLine="560"/>
        <w:rPr>
          <w:rFonts w:ascii="华文仿宋" w:eastAsia="华文仿宋" w:hAnsi="华文仿宋" w:cs="华文仿宋"/>
          <w:sz w:val="28"/>
          <w:szCs w:val="28"/>
        </w:rPr>
      </w:pPr>
      <w:r w:rsidRPr="003859C7">
        <w:rPr>
          <w:rFonts w:ascii="华文仿宋" w:eastAsia="华文仿宋" w:hAnsi="华文仿宋" w:cs="华文仿宋"/>
          <w:sz w:val="28"/>
          <w:szCs w:val="28"/>
        </w:rPr>
        <w:t>华北地区主营成品油行情止涨下挫，整体交投气氛寡淡。分析来看，周初成品油调价窗口兑现上调，但此利好已于上周消化，批发价格多已提前调涨到位。进入新一轮周期变化率正向运行，但国际原油走势震荡，整体来看消息面指引弱化。另据了解，当前主营客存量高企，受下游需求平淡制约，库存消耗进度缓慢，导致业者采购积极性低迷，区内主营汽柴油价格承压下滑，但市场反应依旧冷淡。截至本周四，柴油主流成交在6250-6450元/吨，较上周四重心跌50元/吨;92#汽油主流成交在6750-6900元/吨，较上周四重心跌50元/吨。后市而言，国际油价</w:t>
      </w:r>
      <w:r w:rsidRPr="003859C7">
        <w:rPr>
          <w:rFonts w:ascii="华文仿宋" w:eastAsia="华文仿宋" w:hAnsi="华文仿宋" w:cs="华文仿宋"/>
          <w:sz w:val="28"/>
          <w:szCs w:val="28"/>
        </w:rPr>
        <w:lastRenderedPageBreak/>
        <w:t>或小幅下行，消息面难寻有力支撑，且市场仍处消库阶段，故预计下周华北地区成品油行情或仍存回落空间。</w:t>
      </w:r>
    </w:p>
    <w:p w:rsidR="003859C7" w:rsidRDefault="003859C7" w:rsidP="003859C7">
      <w:pPr>
        <w:pStyle w:val="aa"/>
        <w:ind w:firstLineChars="200" w:firstLine="560"/>
        <w:rPr>
          <w:rFonts w:ascii="华文仿宋" w:eastAsia="华文仿宋" w:hAnsi="华文仿宋" w:cs="华文仿宋"/>
          <w:sz w:val="28"/>
          <w:szCs w:val="28"/>
        </w:rPr>
      </w:pPr>
      <w:r w:rsidRPr="003859C7">
        <w:rPr>
          <w:rFonts w:ascii="华文仿宋" w:eastAsia="华文仿宋" w:hAnsi="华文仿宋" w:cs="华文仿宋"/>
          <w:sz w:val="28"/>
          <w:szCs w:val="28"/>
        </w:rPr>
        <w:t>华南地区成品油行情窄幅波动，市场交投气氛偏淡。具体来看，原油期货区间震荡，变化率正向区间运行，本轮零售价上调概率犹存，但消息面对油市支撑有限。与此同时，山东地炼汽柴油价格连续下跌，主营单位外采成本降低，汽柴油价格窄幅波动，其中柴油市场相对坚挺。业者入市操作意向淡薄，市场交投气氛不甚理想。后市来看，原油期货不乏震荡下探可能，消息方面难寻有力支撑，且步入下旬，主营单位或加大优惠追赶销售任务为主。预计下周华南地区汽柴油行情稳中走低，市场交投气氛维持清淡。</w:t>
      </w:r>
    </w:p>
    <w:p w:rsidR="003859C7" w:rsidRDefault="003859C7" w:rsidP="003859C7">
      <w:pPr>
        <w:pStyle w:val="aa"/>
        <w:ind w:firstLineChars="200" w:firstLine="560"/>
        <w:rPr>
          <w:rFonts w:ascii="华文仿宋" w:eastAsia="华文仿宋" w:hAnsi="华文仿宋" w:cs="华文仿宋"/>
          <w:sz w:val="28"/>
          <w:szCs w:val="28"/>
        </w:rPr>
      </w:pPr>
      <w:r w:rsidRPr="003859C7">
        <w:rPr>
          <w:rFonts w:ascii="华文仿宋" w:eastAsia="华文仿宋" w:hAnsi="华文仿宋" w:cs="华文仿宋"/>
          <w:sz w:val="28"/>
          <w:szCs w:val="28"/>
        </w:rPr>
        <w:t>供需主导市场，主营汽柴处于弱势盘整阶段。具体分析如下，本周，国际原油走势震荡，零售价周初兑现上调，且新一轮变化率维持正向发展，消息面对油市有一定支撑。但地炼近期为降低库存，价格持续下探。主营外采成本回落，加上近期出货不佳，部分单位价格松动，或明稳暗跌，实盘增加成交优惠。下游则对后市信心不足，消化自身库存之余，以刚需小单采购为主，整体交投气氛一般。后市来看，国际原油或呈弱势震荡走势，但零售价仍存上调预期，消息面支撑减弱，加上周边地区价格的大幅回调或将带动华中主营价格回落。预计近期内区内主营汽柴价格仍有下探空间，特别是汽油行情或愈显疲软。</w:t>
      </w:r>
    </w:p>
    <w:p w:rsidR="003859C7" w:rsidRDefault="003859C7" w:rsidP="003859C7">
      <w:pPr>
        <w:pStyle w:val="aa"/>
        <w:ind w:firstLineChars="200" w:firstLine="560"/>
        <w:rPr>
          <w:rFonts w:ascii="华文仿宋" w:eastAsia="华文仿宋" w:hAnsi="华文仿宋" w:cs="华文仿宋"/>
          <w:sz w:val="28"/>
          <w:szCs w:val="28"/>
        </w:rPr>
      </w:pPr>
      <w:r w:rsidRPr="003859C7">
        <w:rPr>
          <w:rFonts w:ascii="华文仿宋" w:eastAsia="华文仿宋" w:hAnsi="华文仿宋" w:cs="华文仿宋"/>
          <w:sz w:val="28"/>
          <w:szCs w:val="28"/>
        </w:rPr>
        <w:t>华东地区成品油行情高位承压回落，市场购销气氛持淡。具体来看，尽管近期国际油价仍震荡上涨，且新一轮变化率仍处正向运行，但消息面提振不及前期。加之，华东主营汽柴价格此前多涨至高位水平，下游用户转而消耗库存，入市采购较为有限，主营本月销售进度普遍不佳，江苏主营汽柴价格率先回落，成交重</w:t>
      </w:r>
      <w:r w:rsidRPr="003859C7">
        <w:rPr>
          <w:rFonts w:ascii="华文仿宋" w:eastAsia="华文仿宋" w:hAnsi="华文仿宋" w:cs="华文仿宋"/>
          <w:sz w:val="28"/>
          <w:szCs w:val="28"/>
        </w:rPr>
        <w:lastRenderedPageBreak/>
        <w:t>心下滑幅度较大，浙江、上海地区主营汽柴报价坚挺，不过出货大单亦可商谈优惠，市场整体交投行情平平。后市而言，国际油价或仍维持区间震荡，本轮零售价上调概率较大，消息面或仍有一定支撑，不过考虑到主营或进一步追赶销售进度，预计下周华东汽柴行情或仍承压下滑，尤其部分价格偏高地区价格或跌幅较大，下游用户谨慎操作为主，市场难有明显好转。</w:t>
      </w:r>
    </w:p>
    <w:p w:rsidR="003859C7" w:rsidRDefault="003859C7" w:rsidP="003859C7">
      <w:pPr>
        <w:pStyle w:val="aa"/>
        <w:ind w:firstLineChars="200" w:firstLine="560"/>
        <w:rPr>
          <w:rFonts w:ascii="华文仿宋" w:eastAsia="华文仿宋" w:hAnsi="华文仿宋" w:cs="华文仿宋"/>
          <w:sz w:val="28"/>
          <w:szCs w:val="28"/>
        </w:rPr>
      </w:pPr>
      <w:r w:rsidRPr="003859C7">
        <w:rPr>
          <w:rFonts w:ascii="华文仿宋" w:eastAsia="华文仿宋" w:hAnsi="华文仿宋" w:cs="华文仿宋"/>
          <w:sz w:val="28"/>
          <w:szCs w:val="28"/>
        </w:rPr>
        <w:t>西北地炼汽柴行情涨后趋稳，市场成交气氛平平。分析来看：上周五成品油零售价上调兑现，区内汽柴行情跟涨，其中汽油涨50元/吨，柴油涨100元/吨。进入新一轮计价周期，变化率仍维持正向区间运行，零售价上调预期仍存，消息面略有支撑。但需求面提升有限，周内业者操作心态维持谨慎，消库之余按需适量补货为主，市场成交难见大单。进入下周，国际油价或仍维持震荡走势，但上调预期仍有支撑，预计西北地炼汽柴行情维持稳定。业者按需适量补货，市场成交波动不大。</w:t>
      </w:r>
    </w:p>
    <w:p w:rsidR="00AD6713" w:rsidRPr="003859C7" w:rsidRDefault="003859C7" w:rsidP="003859C7">
      <w:pPr>
        <w:pStyle w:val="aa"/>
        <w:ind w:firstLineChars="200" w:firstLine="560"/>
        <w:rPr>
          <w:rFonts w:ascii="华文仿宋" w:eastAsia="华文仿宋" w:hAnsi="华文仿宋" w:cs="华文仿宋"/>
          <w:sz w:val="28"/>
          <w:szCs w:val="28"/>
        </w:rPr>
      </w:pPr>
      <w:r w:rsidRPr="003859C7">
        <w:rPr>
          <w:rFonts w:ascii="华文仿宋" w:eastAsia="华文仿宋" w:hAnsi="华文仿宋" w:cs="华文仿宋"/>
          <w:sz w:val="28"/>
          <w:szCs w:val="28"/>
        </w:rPr>
        <w:t>西南地区汽柴行情震荡下行，市场成交氛围平淡。分析来看：上周五成品油零售价上调兑现，但主营多已提前消化部分涨幅，因此区内汽柴行情跟涨幅度有限。进入本轮计价周期，变化率仍正向区间开端，上调预期仍存。不过，主营单位价格涨至高位，业者抵触情绪明显，多退市消库存为主，市场成交稀少。进入中下旬主营单位出货压力较大，为促进下游成交，成交价格多有下调，且大单优惠幅度不断放宽。然需求面一般，业者前期库存消耗有限，入市补货仍显谨慎，主营出货提升有限。进入下周，国际油价或仍维持区间震荡，变化率正向区间窄幅波动，本轮零售价仍存上调可能。不过，主营单位仍积极追赶销售进度，因此预计近期西南地区汽柴行情将继续承压。业者逢低适量补货，市场成交提升不易。</w:t>
      </w:r>
    </w:p>
    <w:p w:rsidR="00FD6021" w:rsidRPr="00165F76" w:rsidRDefault="0014013A" w:rsidP="00A07C14">
      <w:pPr>
        <w:outlineLvl w:val="0"/>
        <w:rPr>
          <w:rFonts w:ascii="黑体" w:eastAsia="黑体"/>
          <w:b/>
          <w:sz w:val="28"/>
          <w:szCs w:val="28"/>
        </w:rPr>
      </w:pPr>
      <w:bookmarkStart w:id="186" w:name="_Toc6486612"/>
      <w:bookmarkStart w:id="187" w:name="_Toc6486668"/>
      <w:bookmarkStart w:id="188" w:name="_Toc6555828"/>
      <w:bookmarkStart w:id="189" w:name="_Toc6575107"/>
      <w:bookmarkStart w:id="190" w:name="_Toc6581292"/>
      <w:r w:rsidRPr="00165F76">
        <w:rPr>
          <w:rFonts w:ascii="黑体" w:eastAsia="黑体" w:hint="eastAsia"/>
          <w:b/>
          <w:sz w:val="28"/>
          <w:szCs w:val="28"/>
        </w:rPr>
        <w:lastRenderedPageBreak/>
        <w:t>四、国内溶剂油市场综述</w:t>
      </w:r>
      <w:bookmarkEnd w:id="174"/>
      <w:bookmarkEnd w:id="175"/>
      <w:bookmarkEnd w:id="176"/>
      <w:bookmarkEnd w:id="177"/>
      <w:bookmarkEnd w:id="178"/>
      <w:bookmarkEnd w:id="186"/>
      <w:bookmarkEnd w:id="187"/>
      <w:bookmarkEnd w:id="188"/>
      <w:bookmarkEnd w:id="189"/>
      <w:bookmarkEnd w:id="190"/>
    </w:p>
    <w:p w:rsidR="00147431" w:rsidRDefault="00165F76" w:rsidP="00147431">
      <w:pPr>
        <w:pStyle w:val="aa"/>
        <w:ind w:firstLineChars="200" w:firstLine="560"/>
        <w:rPr>
          <w:sz w:val="18"/>
          <w:szCs w:val="18"/>
        </w:rPr>
      </w:pPr>
      <w:bookmarkStart w:id="191" w:name="_Toc505350015"/>
      <w:bookmarkStart w:id="192" w:name="_Toc460250411"/>
      <w:bookmarkEnd w:id="179"/>
      <w:bookmarkEnd w:id="180"/>
      <w:bookmarkEnd w:id="181"/>
      <w:bookmarkEnd w:id="182"/>
      <w:bookmarkEnd w:id="183"/>
      <w:r w:rsidRPr="00165F76">
        <w:rPr>
          <w:rFonts w:ascii="华文仿宋" w:eastAsia="华文仿宋" w:hAnsi="华文仿宋" w:cs="华文仿宋"/>
          <w:sz w:val="28"/>
          <w:szCs w:val="28"/>
        </w:rPr>
        <w:t>本周</w:t>
      </w:r>
      <w:bookmarkStart w:id="193" w:name="_Toc6486613"/>
      <w:bookmarkStart w:id="194" w:name="_Toc6486669"/>
      <w:r w:rsidR="00147431" w:rsidRPr="00147431">
        <w:rPr>
          <w:rFonts w:ascii="华文仿宋" w:eastAsia="华文仿宋" w:hAnsi="华文仿宋" w:cs="华文仿宋"/>
          <w:sz w:val="28"/>
          <w:szCs w:val="28"/>
        </w:rPr>
        <w:t>截至4月18日，数据显示，两大集团国标6#溶剂油均价5430元/吨，国标120#溶剂油均价6150元/吨，国标200#溶剂油均价7775元/吨。山东地区国标6#溶剂油均价5160元/吨，国标120#溶剂油均价5100元 /吨，国标200#溶剂油5712跌12元/吨。非标120#溶剂油均价4850元/吨;非标200#溶剂油均价5050跌25元/吨。原油价格周三小幅下跌，因美国政府数据显示原油库存降幅小于周二公布的一份行业报告。目前地炼成品油炼厂开工偏高，燃油库存堆积走货不畅，原油下跌继续打压采购，长线操作不多，短线补仓为主。相应非标溶剂油等调油料走货缓慢，国五轻油最低成交可能在4600元上方，柴油料受到刚需支撑跌幅较缓，但初馏120以上资源也暂时落回5100元附近，厂家后市判断不甚乐观。国标溶剂油方面，200#零星下调，其余产品暂稳。受东营石油商贸大会影响，与会人员偏多，会议期间主流炼厂活性有限，盘位调整可能要延至新周。布兰特原油期货上涨0.35美元，收报每桶71.97美元，接近周三触及的五个月高点72.27美元。本周布兰特原油上涨0.6%，为连续第四周上涨;美国原油期货上涨0.24美元，收报每桶64.00美元，本周涨幅略低于0.2%，为连续第七周上涨。原油期货周四小幅走高，因石油输出国组织(OPEC)实际上的领导者沙特原油出口下滑，以及美国活跃钻机数下降和原油库存减少，支撑油价。成品油调价，本轮第4个工作日，估价71.439较基准价涨1.605或2.3%，暂预计4月26日24时成品油零限价上调110元/吨。原油小涨，但成品油仍以观望为主，柴油料商谈重心下移，买盘谨慎，预计本周溶剂油市场整体盘稳，市场暂时止跌。</w:t>
      </w:r>
    </w:p>
    <w:p w:rsidR="00FD6021" w:rsidRDefault="0014013A" w:rsidP="00147431">
      <w:pPr>
        <w:pStyle w:val="aa"/>
        <w:outlineLvl w:val="0"/>
        <w:rPr>
          <w:rFonts w:ascii="黑体"/>
          <w:b/>
          <w:bCs/>
          <w:sz w:val="28"/>
          <w:szCs w:val="28"/>
        </w:rPr>
      </w:pPr>
      <w:bookmarkStart w:id="195" w:name="_Toc6555829"/>
      <w:bookmarkStart w:id="196" w:name="_Toc6575108"/>
      <w:bookmarkStart w:id="197" w:name="_Toc6581293"/>
      <w:r>
        <w:rPr>
          <w:rFonts w:ascii="黑体" w:hint="eastAsia"/>
          <w:b/>
          <w:bCs/>
          <w:sz w:val="28"/>
          <w:szCs w:val="28"/>
        </w:rPr>
        <w:t>五、本周国内炼厂溶剂油产品价格对比</w:t>
      </w:r>
      <w:bookmarkEnd w:id="184"/>
      <w:bookmarkEnd w:id="185"/>
      <w:bookmarkEnd w:id="191"/>
      <w:bookmarkEnd w:id="192"/>
      <w:bookmarkEnd w:id="193"/>
      <w:bookmarkEnd w:id="194"/>
      <w:bookmarkEnd w:id="195"/>
      <w:bookmarkEnd w:id="196"/>
      <w:bookmarkEnd w:id="197"/>
    </w:p>
    <w:p w:rsidR="00FD6021" w:rsidRDefault="0014013A">
      <w:pPr>
        <w:rPr>
          <w:rFonts w:ascii="宋体" w:hAnsi="宋体"/>
          <w:sz w:val="20"/>
          <w:szCs w:val="20"/>
        </w:rPr>
      </w:pPr>
      <w:r>
        <w:rPr>
          <w:rFonts w:ascii="宋体" w:hAnsi="宋体" w:hint="eastAsia"/>
          <w:sz w:val="20"/>
          <w:szCs w:val="20"/>
        </w:rPr>
        <w:lastRenderedPageBreak/>
        <w:t>单位：元/吨</w:t>
      </w:r>
    </w:p>
    <w:tbl>
      <w:tblPr>
        <w:tblW w:w="5000" w:type="pct"/>
        <w:tblLook w:val="04A0"/>
      </w:tblPr>
      <w:tblGrid>
        <w:gridCol w:w="1096"/>
        <w:gridCol w:w="1968"/>
        <w:gridCol w:w="1096"/>
        <w:gridCol w:w="1096"/>
        <w:gridCol w:w="1096"/>
        <w:gridCol w:w="1096"/>
        <w:gridCol w:w="1257"/>
        <w:gridCol w:w="1257"/>
      </w:tblGrid>
      <w:tr w:rsidR="00914624" w:rsidRPr="00914624" w:rsidTr="00914624">
        <w:trPr>
          <w:trHeight w:val="240"/>
        </w:trPr>
        <w:tc>
          <w:tcPr>
            <w:tcW w:w="550" w:type="pct"/>
            <w:tcBorders>
              <w:top w:val="single" w:sz="4" w:space="0" w:color="auto"/>
              <w:left w:val="single" w:sz="4" w:space="0" w:color="auto"/>
              <w:bottom w:val="single" w:sz="4" w:space="0" w:color="auto"/>
              <w:right w:val="single" w:sz="4" w:space="0" w:color="auto"/>
            </w:tcBorders>
            <w:shd w:val="clear" w:color="000000" w:fill="00B0F0"/>
            <w:vAlign w:val="bottom"/>
            <w:hideMark/>
          </w:tcPr>
          <w:p w:rsidR="00914624" w:rsidRPr="00914624" w:rsidRDefault="00914624" w:rsidP="00914624">
            <w:pPr>
              <w:widowControl/>
              <w:jc w:val="center"/>
              <w:rPr>
                <w:rFonts w:ascii="宋体" w:hAnsi="宋体" w:cs="宋体"/>
                <w:kern w:val="0"/>
                <w:sz w:val="20"/>
                <w:szCs w:val="20"/>
              </w:rPr>
            </w:pPr>
            <w:bookmarkStart w:id="198" w:name="_Toc460250412"/>
            <w:bookmarkStart w:id="199" w:name="_Toc281568213"/>
            <w:bookmarkStart w:id="200" w:name="_Toc296600821"/>
            <w:bookmarkStart w:id="201" w:name="_Toc505350016"/>
            <w:bookmarkStart w:id="202" w:name="_Toc536797020"/>
            <w:bookmarkStart w:id="203" w:name="_Toc1736591"/>
            <w:bookmarkStart w:id="204" w:name="_Toc2934033"/>
            <w:bookmarkStart w:id="205" w:name="_Toc2934054"/>
            <w:bookmarkStart w:id="206" w:name="_Toc4160093"/>
            <w:bookmarkStart w:id="207" w:name="_Toc4768343"/>
            <w:bookmarkStart w:id="208" w:name="_Toc4768363"/>
            <w:bookmarkStart w:id="209" w:name="_Toc5281990"/>
            <w:bookmarkStart w:id="210" w:name="_Toc5976965"/>
            <w:bookmarkStart w:id="211" w:name="_Toc5976985"/>
            <w:bookmarkStart w:id="212" w:name="_Toc6486614"/>
            <w:bookmarkStart w:id="213" w:name="_Toc6486670"/>
            <w:bookmarkStart w:id="214" w:name="_Toc6555830"/>
            <w:bookmarkStart w:id="215" w:name="_Toc6575109"/>
            <w:r w:rsidRPr="00914624">
              <w:rPr>
                <w:rFonts w:ascii="宋体" w:hAnsi="宋体" w:cs="宋体" w:hint="eastAsia"/>
                <w:kern w:val="0"/>
                <w:sz w:val="20"/>
                <w:szCs w:val="20"/>
              </w:rPr>
              <w:t>地区</w:t>
            </w:r>
          </w:p>
        </w:tc>
        <w:tc>
          <w:tcPr>
            <w:tcW w:w="988" w:type="pct"/>
            <w:tcBorders>
              <w:top w:val="single" w:sz="4" w:space="0" w:color="auto"/>
              <w:left w:val="nil"/>
              <w:bottom w:val="single" w:sz="4" w:space="0" w:color="auto"/>
              <w:right w:val="single" w:sz="4" w:space="0" w:color="auto"/>
            </w:tcBorders>
            <w:shd w:val="clear" w:color="000000" w:fill="00B0F0"/>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生产厂家</w:t>
            </w:r>
          </w:p>
        </w:tc>
        <w:tc>
          <w:tcPr>
            <w:tcW w:w="550" w:type="pct"/>
            <w:tcBorders>
              <w:top w:val="single" w:sz="4" w:space="0" w:color="auto"/>
              <w:left w:val="nil"/>
              <w:bottom w:val="single" w:sz="4" w:space="0" w:color="auto"/>
              <w:right w:val="single" w:sz="4" w:space="0" w:color="auto"/>
            </w:tcBorders>
            <w:shd w:val="clear" w:color="000000" w:fill="00B0F0"/>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产品名称</w:t>
            </w:r>
          </w:p>
        </w:tc>
        <w:tc>
          <w:tcPr>
            <w:tcW w:w="550" w:type="pct"/>
            <w:tcBorders>
              <w:top w:val="single" w:sz="4" w:space="0" w:color="auto"/>
              <w:left w:val="nil"/>
              <w:bottom w:val="single" w:sz="4" w:space="0" w:color="auto"/>
              <w:right w:val="single" w:sz="4" w:space="0" w:color="auto"/>
            </w:tcBorders>
            <w:shd w:val="clear" w:color="000000" w:fill="00B0F0"/>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型号</w:t>
            </w:r>
          </w:p>
        </w:tc>
        <w:tc>
          <w:tcPr>
            <w:tcW w:w="550" w:type="pct"/>
            <w:tcBorders>
              <w:top w:val="single" w:sz="4" w:space="0" w:color="auto"/>
              <w:left w:val="nil"/>
              <w:bottom w:val="single" w:sz="4" w:space="0" w:color="auto"/>
              <w:right w:val="single" w:sz="4" w:space="0" w:color="auto"/>
            </w:tcBorders>
            <w:shd w:val="clear" w:color="000000" w:fill="00B0F0"/>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价格类型</w:t>
            </w:r>
          </w:p>
        </w:tc>
        <w:tc>
          <w:tcPr>
            <w:tcW w:w="550" w:type="pct"/>
            <w:tcBorders>
              <w:top w:val="single" w:sz="4" w:space="0" w:color="auto"/>
              <w:left w:val="nil"/>
              <w:bottom w:val="single" w:sz="4" w:space="0" w:color="auto"/>
              <w:right w:val="single" w:sz="4" w:space="0" w:color="auto"/>
            </w:tcBorders>
            <w:shd w:val="clear" w:color="000000" w:fill="00B0F0"/>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涨跌</w:t>
            </w:r>
          </w:p>
        </w:tc>
        <w:tc>
          <w:tcPr>
            <w:tcW w:w="631"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2019/4/19</w:t>
            </w:r>
          </w:p>
        </w:tc>
        <w:tc>
          <w:tcPr>
            <w:tcW w:w="631"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2019/4/12</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大庆精细化工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4800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4800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大庆精细化工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5350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5350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大庆精细化工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190#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5050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5150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锦州石化精细化工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锦州石化精细化工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锦州石化精细化工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大庆精细化工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大庆庆升</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大庆庆升</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大庆庆升</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大庆庆升</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乌鲁木齐石化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乌鲁木齐石化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7#</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乌鲁木齐石化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独山子石化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独山子石化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新疆康佳投资</w:t>
            </w:r>
            <w:r w:rsidRPr="00914624">
              <w:rPr>
                <w:rFonts w:ascii="Tahoma" w:hAnsi="Tahoma" w:cs="Tahoma"/>
                <w:color w:val="000000"/>
                <w:kern w:val="0"/>
                <w:sz w:val="18"/>
                <w:szCs w:val="18"/>
              </w:rPr>
              <w:t>(</w:t>
            </w:r>
            <w:r w:rsidRPr="00914624">
              <w:rPr>
                <w:rFonts w:ascii="宋体" w:hAnsi="宋体" w:cs="宋体" w:hint="eastAsia"/>
                <w:color w:val="000000"/>
                <w:kern w:val="0"/>
                <w:sz w:val="18"/>
                <w:szCs w:val="18"/>
              </w:rPr>
              <w:t>集团</w:t>
            </w:r>
            <w:r w:rsidRPr="00914624">
              <w:rPr>
                <w:rFonts w:ascii="Tahoma" w:hAnsi="Tahoma" w:cs="Tahoma"/>
                <w:color w:val="000000"/>
                <w:kern w:val="0"/>
                <w:sz w:val="18"/>
                <w:szCs w:val="18"/>
              </w:rPr>
              <w:t>)</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新疆康佳投资</w:t>
            </w:r>
            <w:r w:rsidRPr="00914624">
              <w:rPr>
                <w:rFonts w:ascii="Tahoma" w:hAnsi="Tahoma" w:cs="Tahoma"/>
                <w:color w:val="000000"/>
                <w:kern w:val="0"/>
                <w:sz w:val="18"/>
                <w:szCs w:val="18"/>
              </w:rPr>
              <w:t>(</w:t>
            </w:r>
            <w:r w:rsidRPr="00914624">
              <w:rPr>
                <w:rFonts w:ascii="Tahoma" w:hAnsi="Tahoma" w:cs="Tahoma"/>
                <w:color w:val="000000"/>
                <w:kern w:val="0"/>
                <w:sz w:val="18"/>
                <w:szCs w:val="18"/>
              </w:rPr>
              <w:t>集团</w:t>
            </w:r>
            <w:r w:rsidRPr="00914624">
              <w:rPr>
                <w:rFonts w:ascii="Tahoma" w:hAnsi="Tahoma" w:cs="Tahoma"/>
                <w:color w:val="000000"/>
                <w:kern w:val="0"/>
                <w:sz w:val="18"/>
                <w:szCs w:val="18"/>
              </w:rPr>
              <w:t>)</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7#</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吐哈油田</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吐哈油田</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吐哈油田</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190#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吐哈油田</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南充炼厂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石家庄炼厂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石家庄炼厂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石家庄炼厂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天津天泰实业</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r w:rsidRPr="00914624">
              <w:rPr>
                <w:rFonts w:ascii="Tahoma" w:hAnsi="Tahoma" w:cs="Tahoma"/>
                <w:kern w:val="0"/>
                <w:sz w:val="18"/>
                <w:szCs w:val="18"/>
              </w:rPr>
              <w:t>窄</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天津天泰实业</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天津天泰实业</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140#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淄博锐博化工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淄博锐博化工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260#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淄博锐博化工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淄博胜炼</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淄博胜炼</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淄博胜炼</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150#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lastRenderedPageBreak/>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和利时石化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r w:rsidRPr="00914624">
              <w:rPr>
                <w:rFonts w:ascii="Tahoma" w:hAnsi="Tahoma" w:cs="Tahoma"/>
                <w:kern w:val="0"/>
                <w:sz w:val="18"/>
                <w:szCs w:val="18"/>
              </w:rPr>
              <w:t>窄</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5000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5000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和利时石化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6000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6000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和利时石化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6000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6000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山东集兴化工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山东集兴化工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山东东营旺豪</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5700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5700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山东东营旺豪</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5700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5700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山东东营旺豪</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6100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山东东营旭辰化工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r w:rsidRPr="00914624">
              <w:rPr>
                <w:rFonts w:ascii="Tahoma" w:hAnsi="Tahoma" w:cs="Tahoma"/>
                <w:kern w:val="0"/>
                <w:sz w:val="18"/>
                <w:szCs w:val="18"/>
              </w:rPr>
              <w:t>窄</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山东东营旭辰化工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5000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5000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山东东营旭辰化工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5000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5000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山东东营旭辰化工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-200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5800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6000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胜利桩西</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胜利桩西</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胜利桩西</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淄博远达化工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5000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5000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淄博远达化工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4800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4800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淄博远达化工</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5000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5000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青岛石化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济南炼厂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东明石化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7150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7150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5600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5600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7500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7500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扬子石化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扬子石化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镇海炼化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镇海炼化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高桥石化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6300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6300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高桥石化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90#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清江石化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杭州炼厂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泰州石化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8050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8050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金陵烷基苯厂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扬州石化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广州石化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广州石化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广州赫尔普公司</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广州赫尔普公司</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南海志德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4400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4400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南海志德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4400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4400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南方石油</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南方石油</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茂名石化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lastRenderedPageBreak/>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茂名石化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九江石化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九江石化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茂名华粤</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茂名华粤</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260#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福建联合</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中原石化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中原石化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中原石化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洛阳石化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洛阳石化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长岭炼化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5260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5260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长岭炼化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5000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长岭炼化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巴陵石化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110#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巴陵石化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7200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7200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南阳石化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200#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武汉石化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6#</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5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武汉石化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溶剂油</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bl>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216" w:name="_Toc6581294"/>
      <w:r>
        <w:rPr>
          <w:rFonts w:ascii="黑体" w:hAnsi="宋体" w:hint="eastAsia"/>
          <w:sz w:val="28"/>
          <w:szCs w:val="28"/>
        </w:rPr>
        <w:t>六、D系列特种溶剂油</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5000" w:type="pct"/>
        <w:tblLook w:val="04A0"/>
      </w:tblPr>
      <w:tblGrid>
        <w:gridCol w:w="1096"/>
        <w:gridCol w:w="1968"/>
        <w:gridCol w:w="1096"/>
        <w:gridCol w:w="1096"/>
        <w:gridCol w:w="1096"/>
        <w:gridCol w:w="1096"/>
        <w:gridCol w:w="1257"/>
        <w:gridCol w:w="1257"/>
      </w:tblGrid>
      <w:tr w:rsidR="00914624" w:rsidRPr="00914624" w:rsidTr="00914624">
        <w:trPr>
          <w:trHeight w:val="285"/>
        </w:trPr>
        <w:tc>
          <w:tcPr>
            <w:tcW w:w="550"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bookmarkStart w:id="217" w:name="_Toc281568214"/>
            <w:bookmarkStart w:id="218" w:name="_Toc505350017"/>
            <w:bookmarkStart w:id="219" w:name="_Toc460250413"/>
            <w:bookmarkStart w:id="220" w:name="_Toc296600822"/>
            <w:bookmarkStart w:id="221" w:name="_Toc536797021"/>
            <w:bookmarkStart w:id="222" w:name="_Toc1736592"/>
            <w:bookmarkStart w:id="223" w:name="_Toc2934034"/>
            <w:bookmarkStart w:id="224" w:name="_Toc2934055"/>
            <w:bookmarkStart w:id="225" w:name="_Toc4160094"/>
            <w:bookmarkStart w:id="226" w:name="_Toc4768344"/>
            <w:bookmarkStart w:id="227" w:name="_Toc4768364"/>
            <w:bookmarkStart w:id="228" w:name="_Toc5281991"/>
            <w:bookmarkStart w:id="229" w:name="_Toc5976966"/>
            <w:bookmarkStart w:id="230" w:name="_Toc5976986"/>
            <w:bookmarkStart w:id="231" w:name="_Toc6486615"/>
            <w:bookmarkStart w:id="232" w:name="_Toc6486671"/>
            <w:bookmarkStart w:id="233" w:name="_Toc6555831"/>
            <w:bookmarkStart w:id="234" w:name="_Toc6575110"/>
            <w:r w:rsidRPr="00914624">
              <w:rPr>
                <w:rFonts w:ascii="宋体" w:hAnsi="宋体" w:cs="宋体" w:hint="eastAsia"/>
                <w:color w:val="000000"/>
                <w:kern w:val="0"/>
                <w:sz w:val="20"/>
                <w:szCs w:val="20"/>
              </w:rPr>
              <w:t>地区</w:t>
            </w:r>
          </w:p>
        </w:tc>
        <w:tc>
          <w:tcPr>
            <w:tcW w:w="988"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生产厂家</w:t>
            </w:r>
          </w:p>
        </w:tc>
        <w:tc>
          <w:tcPr>
            <w:tcW w:w="550"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产品名称</w:t>
            </w:r>
          </w:p>
        </w:tc>
        <w:tc>
          <w:tcPr>
            <w:tcW w:w="550"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型号</w:t>
            </w:r>
          </w:p>
        </w:tc>
        <w:tc>
          <w:tcPr>
            <w:tcW w:w="550"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价格类型</w:t>
            </w:r>
          </w:p>
        </w:tc>
        <w:tc>
          <w:tcPr>
            <w:tcW w:w="550"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涨跌</w:t>
            </w:r>
          </w:p>
        </w:tc>
        <w:tc>
          <w:tcPr>
            <w:tcW w:w="631"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2019/4/19</w:t>
            </w:r>
          </w:p>
        </w:tc>
        <w:tc>
          <w:tcPr>
            <w:tcW w:w="631"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2019/4/12</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6000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6000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D40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6700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6700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D75</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6850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6850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7800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7800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D90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7800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7800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D95</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7800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7800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D105</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6850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6850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6600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6600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D110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6600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6600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D120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6500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6500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上海高桥爱思开</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D40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上海高桥爱思开</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D30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上海高桥爱思开</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上海高桥爱思开</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上海高桥爱思开</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D130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lastRenderedPageBreak/>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清江石化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D30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6900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6900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清江石化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D40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6900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6900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清江石化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D60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7100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清江石化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7700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7700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清江石化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7000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7000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清江石化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D110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7200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7200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清江石化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D130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D30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D40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6100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D60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6100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6100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D90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D140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6300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6300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茂名实华</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D30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7650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7650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茂名实华</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D40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7100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茂名实华</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D65</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7100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茂名实华</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7100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7100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茂名实华</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7300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7300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抚顺石化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D40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抚顺石化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D60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抚顺石化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东北</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抚顺石化</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洛阳金达</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D40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洛阳金达</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D70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洛阳金达</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D80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洛阳金达</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D95</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550"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华中</w:t>
            </w:r>
          </w:p>
        </w:tc>
        <w:tc>
          <w:tcPr>
            <w:tcW w:w="988"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洛阳金达</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D系列</w:t>
            </w:r>
          </w:p>
        </w:tc>
        <w:tc>
          <w:tcPr>
            <w:tcW w:w="550" w:type="pct"/>
            <w:tcBorders>
              <w:top w:val="nil"/>
              <w:left w:val="nil"/>
              <w:bottom w:val="single" w:sz="4" w:space="0" w:color="auto"/>
              <w:right w:val="single" w:sz="4" w:space="0" w:color="auto"/>
            </w:tcBorders>
            <w:shd w:val="clear" w:color="auto" w:fill="auto"/>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D100</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550"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bl>
    <w:p w:rsidR="00FD6021" w:rsidRPr="00BF64AF"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黑体"/>
          <w:bCs w:val="0"/>
          <w:kern w:val="2"/>
          <w:sz w:val="28"/>
          <w:szCs w:val="28"/>
        </w:rPr>
      </w:pPr>
      <w:bookmarkStart w:id="235" w:name="_Toc6581295"/>
      <w:r w:rsidRPr="00BF64AF">
        <w:rPr>
          <w:rFonts w:ascii="黑体" w:hAnsi="黑体" w:hint="eastAsia"/>
          <w:bCs w:val="0"/>
          <w:kern w:val="2"/>
          <w:sz w:val="28"/>
          <w:szCs w:val="28"/>
        </w:rPr>
        <w:t>七、重芳烃溶剂油</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FD6021" w:rsidRDefault="0014013A">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660" w:type="dxa"/>
        <w:tblInd w:w="93" w:type="dxa"/>
        <w:tblLook w:val="04A0"/>
      </w:tblPr>
      <w:tblGrid>
        <w:gridCol w:w="1080"/>
        <w:gridCol w:w="1600"/>
        <w:gridCol w:w="1280"/>
        <w:gridCol w:w="1080"/>
        <w:gridCol w:w="1080"/>
        <w:gridCol w:w="1060"/>
        <w:gridCol w:w="1240"/>
        <w:gridCol w:w="1240"/>
      </w:tblGrid>
      <w:tr w:rsidR="00914624" w:rsidRPr="00914624" w:rsidTr="00914624">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bookmarkStart w:id="236" w:name="_Toc296600823"/>
            <w:bookmarkStart w:id="237" w:name="_Toc505350018"/>
            <w:bookmarkStart w:id="238" w:name="_Toc281568215"/>
            <w:bookmarkStart w:id="239" w:name="_Toc460250414"/>
            <w:bookmarkStart w:id="240" w:name="_Toc180485835"/>
            <w:bookmarkStart w:id="241" w:name="_Toc536797022"/>
            <w:bookmarkStart w:id="242" w:name="_Toc1736593"/>
            <w:bookmarkStart w:id="243" w:name="_Toc2934035"/>
            <w:bookmarkStart w:id="244" w:name="_Toc2934056"/>
            <w:bookmarkStart w:id="245" w:name="_Toc4160095"/>
            <w:bookmarkStart w:id="246" w:name="_Toc4768345"/>
            <w:bookmarkStart w:id="247" w:name="_Toc4768365"/>
            <w:bookmarkStart w:id="248" w:name="_Toc5281992"/>
            <w:bookmarkStart w:id="249" w:name="_Toc5976967"/>
            <w:bookmarkStart w:id="250" w:name="_Toc5976987"/>
            <w:bookmarkStart w:id="251" w:name="_Toc6486616"/>
            <w:bookmarkStart w:id="252" w:name="_Toc6486672"/>
            <w:bookmarkStart w:id="253" w:name="_Toc6555832"/>
            <w:bookmarkStart w:id="254" w:name="_Toc6575111"/>
            <w:r w:rsidRPr="00914624">
              <w:rPr>
                <w:rFonts w:ascii="宋体" w:hAnsi="宋体" w:cs="宋体" w:hint="eastAsia"/>
                <w:color w:val="000000"/>
                <w:kern w:val="0"/>
                <w:sz w:val="20"/>
                <w:szCs w:val="20"/>
              </w:rPr>
              <w:t>地区</w:t>
            </w:r>
          </w:p>
        </w:tc>
        <w:tc>
          <w:tcPr>
            <w:tcW w:w="1600" w:type="dxa"/>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生产厂家</w:t>
            </w:r>
          </w:p>
        </w:tc>
        <w:tc>
          <w:tcPr>
            <w:tcW w:w="1280" w:type="dxa"/>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产品名称</w:t>
            </w:r>
          </w:p>
        </w:tc>
        <w:tc>
          <w:tcPr>
            <w:tcW w:w="1080" w:type="dxa"/>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型号</w:t>
            </w:r>
          </w:p>
        </w:tc>
        <w:tc>
          <w:tcPr>
            <w:tcW w:w="1080" w:type="dxa"/>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价格类型</w:t>
            </w:r>
          </w:p>
        </w:tc>
        <w:tc>
          <w:tcPr>
            <w:tcW w:w="1060" w:type="dxa"/>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涨跌</w:t>
            </w:r>
          </w:p>
        </w:tc>
        <w:tc>
          <w:tcPr>
            <w:tcW w:w="1240" w:type="dxa"/>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2019/4/19</w:t>
            </w:r>
          </w:p>
        </w:tc>
        <w:tc>
          <w:tcPr>
            <w:tcW w:w="1240" w:type="dxa"/>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2019/4/12</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丹阳联东化工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混三甲苯</w:t>
            </w:r>
            <w:r w:rsidRPr="00914624">
              <w:rPr>
                <w:rFonts w:ascii="Tahoma" w:hAnsi="Tahoma" w:cs="Tahoma"/>
                <w:color w:val="000000"/>
                <w:kern w:val="0"/>
                <w:sz w:val="18"/>
                <w:szCs w:val="18"/>
              </w:rPr>
              <w:t>-1</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丹阳联东化工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混三甲苯</w:t>
            </w:r>
            <w:r w:rsidRPr="00914624">
              <w:rPr>
                <w:rFonts w:ascii="Tahoma" w:hAnsi="Tahoma" w:cs="Tahoma"/>
                <w:color w:val="000000"/>
                <w:kern w:val="0"/>
                <w:sz w:val="18"/>
                <w:szCs w:val="18"/>
              </w:rPr>
              <w:t>-3</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丹阳联东化工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混四甲苯</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云合化工厂</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云合化工厂</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S-1500#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云合化工厂</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S-1800#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云合化工厂</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S-2300#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lastRenderedPageBreak/>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常熟联邦</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800#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常熟联邦</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1000#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5600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5600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常熟联邦</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1500#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4700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4700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常熟联邦</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1800#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5400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5400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溧阳诚兴化工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溧阳诚兴化工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S1001#</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溧阳诚兴化工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S1500#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溧阳诚兴化工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S1501#</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溧阳诚兴化工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S1800A</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溧阳诚兴化工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S1800B</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江苏华伦化工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S100#A</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6700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6700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江苏华伦化工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S100#B</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6700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6700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江苏华伦化工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S100#C</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6700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6700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江苏华伦化工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S150#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6500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6500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江苏华伦化工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S180#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6500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6500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华东</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江苏华伦化工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S200#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燕化高新</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燕化高新</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S200#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淄博锐博化工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S100A</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5550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5550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淄博锐博化工</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S100B</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4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天津兴实化工有限公司</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5700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5700</w:t>
            </w:r>
          </w:p>
        </w:tc>
      </w:tr>
      <w:tr w:rsidR="00914624" w:rsidRPr="00914624" w:rsidTr="00914624">
        <w:trPr>
          <w:trHeight w:val="4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天津兴实化工有限公司</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S150#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5600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5600</w:t>
            </w:r>
          </w:p>
        </w:tc>
      </w:tr>
      <w:tr w:rsidR="00914624" w:rsidRPr="00914624" w:rsidTr="00914624">
        <w:trPr>
          <w:trHeight w:val="4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天津兴实化工有限公司</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S180#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5000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5000</w:t>
            </w:r>
          </w:p>
        </w:tc>
      </w:tr>
      <w:tr w:rsidR="00914624" w:rsidRPr="00914624" w:rsidTr="00914624">
        <w:trPr>
          <w:trHeight w:val="4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天津兴实化工有限公司</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S200#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北京西贝明国际</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混合芳烃</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北京西贝明国际</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130#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北京西贝明国际</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250#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北京西贝明国际</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加氢白</w:t>
            </w:r>
            <w:r w:rsidRPr="00914624">
              <w:rPr>
                <w:rFonts w:ascii="Tahoma" w:hAnsi="Tahoma" w:cs="Tahoma"/>
                <w:color w:val="000000"/>
                <w:kern w:val="0"/>
                <w:sz w:val="18"/>
                <w:szCs w:val="18"/>
              </w:rPr>
              <w:t>C9</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北京西贝明国际</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C9</w:t>
            </w:r>
            <w:r w:rsidRPr="00914624">
              <w:rPr>
                <w:rFonts w:ascii="Tahoma" w:hAnsi="Tahoma" w:cs="Tahoma"/>
                <w:color w:val="000000"/>
                <w:kern w:val="0"/>
                <w:sz w:val="18"/>
                <w:szCs w:val="18"/>
              </w:rPr>
              <w:t>馏分</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北京西贝明国际</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C5</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华中</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长岭炼化</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混合甲乙苯</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华中</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长岭炼化</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混合三甲苯</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华中</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color w:val="000000"/>
                <w:kern w:val="0"/>
                <w:sz w:val="18"/>
                <w:szCs w:val="18"/>
              </w:rPr>
            </w:pPr>
            <w:r w:rsidRPr="00914624">
              <w:rPr>
                <w:rFonts w:ascii="宋体" w:hAnsi="宋体" w:cs="宋体" w:hint="eastAsia"/>
                <w:color w:val="000000"/>
                <w:kern w:val="0"/>
                <w:sz w:val="18"/>
                <w:szCs w:val="18"/>
              </w:rPr>
              <w:t>洛阳宇晶</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S1000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华中</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洛阳宇晶</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S1500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辽阳化纤</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1000#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辽阳化纤</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1500#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辽阳化纤</w:t>
            </w:r>
          </w:p>
        </w:tc>
        <w:tc>
          <w:tcPr>
            <w:tcW w:w="12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100#</w:t>
            </w:r>
          </w:p>
        </w:tc>
        <w:tc>
          <w:tcPr>
            <w:tcW w:w="108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lastRenderedPageBreak/>
              <w:t>东北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盘锦和运实业</w:t>
            </w:r>
          </w:p>
        </w:tc>
        <w:tc>
          <w:tcPr>
            <w:tcW w:w="12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150#</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盘锦和运实业</w:t>
            </w:r>
          </w:p>
        </w:tc>
        <w:tc>
          <w:tcPr>
            <w:tcW w:w="12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东北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盘锦和运实业</w:t>
            </w:r>
          </w:p>
        </w:tc>
        <w:tc>
          <w:tcPr>
            <w:tcW w:w="12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宋体" w:hAnsi="宋体" w:cs="宋体"/>
                <w:color w:val="000000"/>
                <w:kern w:val="0"/>
                <w:sz w:val="18"/>
                <w:szCs w:val="18"/>
              </w:rPr>
            </w:pPr>
            <w:r w:rsidRPr="00914624">
              <w:rPr>
                <w:rFonts w:ascii="宋体" w:hAnsi="宋体" w:cs="宋体" w:hint="eastAsia"/>
                <w:color w:val="000000"/>
                <w:kern w:val="0"/>
                <w:sz w:val="18"/>
                <w:szCs w:val="18"/>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混合芳烃</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九江华庐</w:t>
            </w:r>
          </w:p>
        </w:tc>
        <w:tc>
          <w:tcPr>
            <w:tcW w:w="12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C9</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九江华庐</w:t>
            </w:r>
          </w:p>
        </w:tc>
        <w:tc>
          <w:tcPr>
            <w:tcW w:w="12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C10</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华南</w:t>
            </w:r>
          </w:p>
        </w:tc>
        <w:tc>
          <w:tcPr>
            <w:tcW w:w="160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中海油惠州</w:t>
            </w:r>
          </w:p>
        </w:tc>
        <w:tc>
          <w:tcPr>
            <w:tcW w:w="12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芳烃溶剂油</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color w:val="000000"/>
                <w:kern w:val="0"/>
                <w:sz w:val="18"/>
                <w:szCs w:val="18"/>
              </w:rPr>
            </w:pPr>
            <w:r w:rsidRPr="00914624">
              <w:rPr>
                <w:rFonts w:ascii="Tahoma" w:hAnsi="Tahoma" w:cs="Tahoma"/>
                <w:color w:val="000000"/>
                <w:kern w:val="0"/>
                <w:sz w:val="18"/>
                <w:szCs w:val="18"/>
              </w:rPr>
              <w:t>C9</w:t>
            </w:r>
          </w:p>
        </w:tc>
        <w:tc>
          <w:tcPr>
            <w:tcW w:w="1080" w:type="dxa"/>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left"/>
              <w:rPr>
                <w:rFonts w:ascii="Tahoma" w:hAnsi="Tahoma" w:cs="Tahoma"/>
                <w:color w:val="000000"/>
                <w:kern w:val="0"/>
                <w:sz w:val="18"/>
                <w:szCs w:val="18"/>
              </w:rPr>
            </w:pPr>
            <w:r w:rsidRPr="00914624">
              <w:rPr>
                <w:rFonts w:ascii="Tahoma" w:hAnsi="Tahoma" w:cs="Tahoma"/>
                <w:color w:val="000000"/>
                <w:kern w:val="0"/>
                <w:sz w:val="18"/>
                <w:szCs w:val="18"/>
              </w:rPr>
              <w:t>出厂价</w:t>
            </w:r>
          </w:p>
        </w:tc>
        <w:tc>
          <w:tcPr>
            <w:tcW w:w="1060" w:type="dxa"/>
            <w:tcBorders>
              <w:top w:val="nil"/>
              <w:left w:val="nil"/>
              <w:bottom w:val="single" w:sz="4" w:space="0" w:color="auto"/>
              <w:right w:val="single" w:sz="4" w:space="0" w:color="auto"/>
            </w:tcBorders>
            <w:shd w:val="clear" w:color="000000" w:fill="FFFFFF"/>
            <w:vAlign w:val="bottom"/>
            <w:hideMark/>
          </w:tcPr>
          <w:p w:rsidR="00914624" w:rsidRPr="00914624" w:rsidRDefault="00914624" w:rsidP="00914624">
            <w:pPr>
              <w:widowControl/>
              <w:jc w:val="center"/>
              <w:rPr>
                <w:rFonts w:ascii="宋体" w:hAnsi="宋体" w:cs="宋体"/>
                <w:color w:val="000000"/>
                <w:kern w:val="0"/>
                <w:sz w:val="20"/>
                <w:szCs w:val="20"/>
              </w:rPr>
            </w:pPr>
            <w:r w:rsidRPr="00914624">
              <w:rPr>
                <w:rFonts w:ascii="宋体" w:hAnsi="宋体" w:cs="宋体" w:hint="eastAsia"/>
                <w:color w:val="000000"/>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bl>
    <w:p w:rsidR="00FD6021" w:rsidRPr="00BF64AF"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黑体"/>
          <w:bCs w:val="0"/>
          <w:kern w:val="2"/>
          <w:sz w:val="28"/>
          <w:szCs w:val="28"/>
        </w:rPr>
      </w:pPr>
      <w:bookmarkStart w:id="255" w:name="_Toc6581296"/>
      <w:r w:rsidRPr="00BF64AF">
        <w:rPr>
          <w:rFonts w:ascii="黑体" w:hAnsi="黑体" w:hint="eastAsia"/>
          <w:bCs w:val="0"/>
          <w:kern w:val="2"/>
          <w:sz w:val="28"/>
          <w:szCs w:val="28"/>
        </w:rPr>
        <w:t>八、正己烷</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FD6021" w:rsidRDefault="0014013A" w:rsidP="00A0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5000" w:type="pct"/>
        <w:tblLook w:val="04A0"/>
      </w:tblPr>
      <w:tblGrid>
        <w:gridCol w:w="1329"/>
        <w:gridCol w:w="1598"/>
        <w:gridCol w:w="1329"/>
        <w:gridCol w:w="1329"/>
        <w:gridCol w:w="1329"/>
        <w:gridCol w:w="1524"/>
        <w:gridCol w:w="1524"/>
      </w:tblGrid>
      <w:tr w:rsidR="00914624" w:rsidRPr="00914624" w:rsidTr="00914624">
        <w:trPr>
          <w:trHeight w:val="285"/>
        </w:trPr>
        <w:tc>
          <w:tcPr>
            <w:tcW w:w="667"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bookmarkStart w:id="256" w:name="_Toc296600824"/>
            <w:bookmarkStart w:id="257" w:name="_Toc281568216"/>
            <w:bookmarkStart w:id="258" w:name="_Toc460250415"/>
            <w:bookmarkStart w:id="259" w:name="_Toc505350019"/>
            <w:bookmarkStart w:id="260" w:name="_Toc536797023"/>
            <w:bookmarkStart w:id="261" w:name="_Toc1736594"/>
            <w:bookmarkStart w:id="262" w:name="_Toc2934036"/>
            <w:bookmarkStart w:id="263" w:name="_Toc2934057"/>
            <w:bookmarkStart w:id="264" w:name="_Toc4160096"/>
            <w:bookmarkStart w:id="265" w:name="_Toc4768346"/>
            <w:bookmarkStart w:id="266" w:name="_Toc4768366"/>
            <w:bookmarkStart w:id="267" w:name="_Toc5281993"/>
            <w:bookmarkStart w:id="268" w:name="_Toc5976968"/>
            <w:bookmarkStart w:id="269" w:name="_Toc5976988"/>
            <w:bookmarkStart w:id="270" w:name="_Toc6486617"/>
            <w:bookmarkStart w:id="271" w:name="_Toc6486673"/>
            <w:bookmarkStart w:id="272" w:name="_Toc6555833"/>
            <w:bookmarkStart w:id="273" w:name="_Toc6575112"/>
            <w:r w:rsidRPr="00914624">
              <w:rPr>
                <w:rFonts w:ascii="宋体" w:hAnsi="宋体" w:cs="宋体" w:hint="eastAsia"/>
                <w:kern w:val="0"/>
                <w:sz w:val="20"/>
                <w:szCs w:val="20"/>
              </w:rPr>
              <w:t>地区</w:t>
            </w:r>
          </w:p>
        </w:tc>
        <w:tc>
          <w:tcPr>
            <w:tcW w:w="802"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生产厂家</w:t>
            </w:r>
          </w:p>
        </w:tc>
        <w:tc>
          <w:tcPr>
            <w:tcW w:w="667"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产品名称</w:t>
            </w:r>
          </w:p>
        </w:tc>
        <w:tc>
          <w:tcPr>
            <w:tcW w:w="667"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价格类型</w:t>
            </w:r>
          </w:p>
        </w:tc>
        <w:tc>
          <w:tcPr>
            <w:tcW w:w="667"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涨跌</w:t>
            </w:r>
          </w:p>
        </w:tc>
        <w:tc>
          <w:tcPr>
            <w:tcW w:w="765"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2019/4/19</w:t>
            </w:r>
          </w:p>
        </w:tc>
        <w:tc>
          <w:tcPr>
            <w:tcW w:w="765" w:type="pct"/>
            <w:tcBorders>
              <w:top w:val="single" w:sz="4" w:space="0" w:color="auto"/>
              <w:left w:val="nil"/>
              <w:bottom w:val="single" w:sz="4" w:space="0" w:color="auto"/>
              <w:right w:val="single" w:sz="4" w:space="0" w:color="auto"/>
            </w:tcBorders>
            <w:shd w:val="clear" w:color="000000" w:fill="99CCFF"/>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2019/4/12</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燕山石化</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华北</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燕山集联</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大连石化</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辽阳石化</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辽阳裕丰</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东北</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辽阳亿鑫</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华中</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岳阳金瀚</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6500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6500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华东</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扬子石化</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6600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6600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华南</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广州赫尔普</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7500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7500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兰州石化</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7100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7100</w:t>
            </w:r>
          </w:p>
        </w:tc>
      </w:tr>
      <w:tr w:rsidR="00914624" w:rsidRPr="00914624" w:rsidTr="00914624">
        <w:trPr>
          <w:trHeight w:val="285"/>
        </w:trPr>
        <w:tc>
          <w:tcPr>
            <w:tcW w:w="667" w:type="pct"/>
            <w:tcBorders>
              <w:top w:val="nil"/>
              <w:left w:val="single" w:sz="4" w:space="0" w:color="auto"/>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Tahoma" w:hAnsi="Tahoma" w:cs="Tahoma"/>
                <w:kern w:val="0"/>
                <w:sz w:val="18"/>
                <w:szCs w:val="18"/>
              </w:rPr>
            </w:pPr>
            <w:r w:rsidRPr="00914624">
              <w:rPr>
                <w:rFonts w:ascii="Tahoma" w:hAnsi="Tahoma" w:cs="Tahoma"/>
                <w:kern w:val="0"/>
                <w:sz w:val="18"/>
                <w:szCs w:val="18"/>
              </w:rPr>
              <w:t>西北</w:t>
            </w:r>
          </w:p>
        </w:tc>
        <w:tc>
          <w:tcPr>
            <w:tcW w:w="802" w:type="pct"/>
            <w:tcBorders>
              <w:top w:val="nil"/>
              <w:left w:val="nil"/>
              <w:bottom w:val="single" w:sz="4" w:space="0" w:color="auto"/>
              <w:right w:val="single" w:sz="4" w:space="0" w:color="auto"/>
            </w:tcBorders>
            <w:shd w:val="clear" w:color="000000" w:fill="FFFFFF"/>
            <w:vAlign w:val="center"/>
            <w:hideMark/>
          </w:tcPr>
          <w:p w:rsidR="00914624" w:rsidRPr="00914624" w:rsidRDefault="00914624" w:rsidP="00914624">
            <w:pPr>
              <w:widowControl/>
              <w:jc w:val="center"/>
              <w:rPr>
                <w:rFonts w:ascii="宋体" w:hAnsi="宋体" w:cs="宋体"/>
                <w:kern w:val="0"/>
                <w:sz w:val="18"/>
                <w:szCs w:val="18"/>
              </w:rPr>
            </w:pPr>
            <w:r w:rsidRPr="00914624">
              <w:rPr>
                <w:rFonts w:ascii="宋体" w:hAnsi="宋体" w:cs="宋体" w:hint="eastAsia"/>
                <w:kern w:val="0"/>
                <w:sz w:val="18"/>
                <w:szCs w:val="18"/>
              </w:rPr>
              <w:t>克拉玛依</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正己烷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出厂价</w:t>
            </w:r>
          </w:p>
        </w:tc>
        <w:tc>
          <w:tcPr>
            <w:tcW w:w="667" w:type="pct"/>
            <w:tcBorders>
              <w:top w:val="nil"/>
              <w:left w:val="nil"/>
              <w:bottom w:val="single" w:sz="4" w:space="0" w:color="auto"/>
              <w:right w:val="single" w:sz="4" w:space="0" w:color="auto"/>
            </w:tcBorders>
            <w:shd w:val="clear" w:color="auto" w:fill="auto"/>
            <w:vAlign w:val="bottom"/>
            <w:hideMark/>
          </w:tcPr>
          <w:p w:rsidR="00914624" w:rsidRPr="00914624" w:rsidRDefault="00914624" w:rsidP="00914624">
            <w:pPr>
              <w:widowControl/>
              <w:jc w:val="center"/>
              <w:rPr>
                <w:rFonts w:ascii="宋体" w:hAnsi="宋体" w:cs="宋体"/>
                <w:kern w:val="0"/>
                <w:sz w:val="20"/>
                <w:szCs w:val="20"/>
              </w:rPr>
            </w:pPr>
            <w:r w:rsidRPr="00914624">
              <w:rPr>
                <w:rFonts w:ascii="宋体" w:hAnsi="宋体" w:cs="宋体" w:hint="eastAsia"/>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kern w:val="0"/>
                <w:sz w:val="20"/>
                <w:szCs w:val="20"/>
              </w:rPr>
            </w:pPr>
            <w:r w:rsidRPr="00914624">
              <w:rPr>
                <w:rFonts w:ascii="Simsun" w:hAnsi="Simsun" w:cs="宋体"/>
                <w:kern w:val="0"/>
                <w:sz w:val="20"/>
                <w:szCs w:val="20"/>
              </w:rPr>
              <w:t>0</w:t>
            </w:r>
          </w:p>
        </w:tc>
        <w:tc>
          <w:tcPr>
            <w:tcW w:w="765" w:type="pct"/>
            <w:tcBorders>
              <w:top w:val="nil"/>
              <w:left w:val="nil"/>
              <w:bottom w:val="single" w:sz="4" w:space="0" w:color="auto"/>
              <w:right w:val="single" w:sz="4" w:space="0" w:color="auto"/>
            </w:tcBorders>
            <w:shd w:val="clear" w:color="000000" w:fill="FFFFFF"/>
            <w:noWrap/>
            <w:vAlign w:val="center"/>
            <w:hideMark/>
          </w:tcPr>
          <w:p w:rsidR="00914624" w:rsidRPr="00914624" w:rsidRDefault="00914624" w:rsidP="00914624">
            <w:pPr>
              <w:widowControl/>
              <w:jc w:val="center"/>
              <w:rPr>
                <w:rFonts w:ascii="Simsun" w:hAnsi="Simsun" w:cs="宋体"/>
                <w:color w:val="000000"/>
                <w:kern w:val="0"/>
                <w:sz w:val="20"/>
                <w:szCs w:val="20"/>
              </w:rPr>
            </w:pPr>
            <w:r w:rsidRPr="00914624">
              <w:rPr>
                <w:rFonts w:ascii="Simsun" w:hAnsi="Simsun" w:cs="宋体"/>
                <w:color w:val="000000"/>
                <w:kern w:val="0"/>
                <w:sz w:val="20"/>
                <w:szCs w:val="20"/>
              </w:rPr>
              <w:t>0</w:t>
            </w:r>
          </w:p>
        </w:tc>
      </w:tr>
    </w:tbl>
    <w:p w:rsidR="00FD6021" w:rsidRPr="00BF64AF" w:rsidRDefault="0014013A" w:rsidP="00A07C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黑体"/>
          <w:bCs w:val="0"/>
          <w:kern w:val="2"/>
          <w:sz w:val="28"/>
          <w:szCs w:val="28"/>
        </w:rPr>
      </w:pPr>
      <w:bookmarkStart w:id="274" w:name="_Toc6581297"/>
      <w:r w:rsidRPr="00BF64AF">
        <w:rPr>
          <w:rFonts w:ascii="黑体" w:hAnsi="黑体" w:hint="eastAsia"/>
          <w:bCs w:val="0"/>
          <w:kern w:val="2"/>
          <w:sz w:val="28"/>
          <w:szCs w:val="28"/>
        </w:rPr>
        <w:t>九、2018年11月中国溶剂油进出口数据统计</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2018年11月份中国溶剂油进出口统计数据（按产销国分）</w:t>
      </w:r>
    </w:p>
    <w:p w:rsidR="00FD6021" w:rsidRPr="006D0CAA"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tbl>
      <w:tblPr>
        <w:tblW w:w="9766" w:type="dxa"/>
        <w:tblInd w:w="-10" w:type="dxa"/>
        <w:tblLayout w:type="fixed"/>
        <w:tblCellMar>
          <w:left w:w="0" w:type="dxa"/>
          <w:right w:w="0" w:type="dxa"/>
        </w:tblCellMar>
        <w:tblLook w:val="04A0"/>
      </w:tblPr>
      <w:tblGrid>
        <w:gridCol w:w="1065"/>
        <w:gridCol w:w="1066"/>
        <w:gridCol w:w="1065"/>
        <w:gridCol w:w="1480"/>
        <w:gridCol w:w="1361"/>
        <w:gridCol w:w="1401"/>
        <w:gridCol w:w="1263"/>
        <w:gridCol w:w="1065"/>
      </w:tblGrid>
      <w:tr w:rsidR="00FD6021">
        <w:trPr>
          <w:trHeight w:val="270"/>
        </w:trPr>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产品</w:t>
            </w:r>
          </w:p>
        </w:tc>
        <w:tc>
          <w:tcPr>
            <w:tcW w:w="106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年度</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月度</w:t>
            </w:r>
          </w:p>
        </w:tc>
        <w:tc>
          <w:tcPr>
            <w:tcW w:w="148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产销国及地区</w:t>
            </w:r>
          </w:p>
        </w:tc>
        <w:tc>
          <w:tcPr>
            <w:tcW w:w="136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进口数量</w:t>
            </w:r>
          </w:p>
        </w:tc>
        <w:tc>
          <w:tcPr>
            <w:tcW w:w="140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进口金额</w:t>
            </w:r>
          </w:p>
        </w:tc>
        <w:tc>
          <w:tcPr>
            <w:tcW w:w="126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出口数量</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出口金额</w:t>
            </w:r>
          </w:p>
        </w:tc>
      </w:tr>
      <w:tr w:rsidR="00FD6021">
        <w:trPr>
          <w:trHeight w:val="27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橡胶溶剂油、油</w:t>
            </w:r>
            <w:r>
              <w:rPr>
                <w:rFonts w:ascii="华文仿宋" w:eastAsia="华文仿宋" w:hAnsi="华文仿宋" w:cs="华文仿宋" w:hint="eastAsia"/>
                <w:color w:val="000000"/>
                <w:kern w:val="0"/>
                <w:sz w:val="28"/>
                <w:szCs w:val="28"/>
              </w:rPr>
              <w:lastRenderedPageBreak/>
              <w:t>漆溶剂油、抽提溶剂油、不含有生物柴油</w:t>
            </w: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lastRenderedPageBreak/>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584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676,913</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525,861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389,957</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225,910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59,916</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24,848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17,038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1,564</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西班牙</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829</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以色列</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502</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柬埔寨</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13,051</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93,560</w:t>
            </w:r>
          </w:p>
        </w:tc>
      </w:tr>
      <w:tr w:rsidR="00FD6021">
        <w:trPr>
          <w:trHeight w:val="270"/>
        </w:trPr>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2018年11月</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1,598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1,921,774</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133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108,175</w:t>
            </w:r>
          </w:p>
        </w:tc>
      </w:tr>
    </w:tbl>
    <w:p w:rsidR="00FD6021" w:rsidRDefault="00FD6021" w:rsidP="00A07C14">
      <w:pPr>
        <w:widowControl/>
        <w:rPr>
          <w:rFonts w:ascii="华文仿宋" w:eastAsia="华文仿宋" w:hAnsi="华文仿宋"/>
          <w:sz w:val="28"/>
          <w:szCs w:val="28"/>
        </w:rPr>
      </w:pPr>
    </w:p>
    <w:sectPr w:rsidR="00FD6021" w:rsidSect="00FD6021">
      <w:headerReference w:type="default" r:id="rId12"/>
      <w:footerReference w:type="default" r:id="rId13"/>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48B" w:rsidRDefault="0096148B" w:rsidP="00FD6021">
      <w:r>
        <w:separator/>
      </w:r>
    </w:p>
  </w:endnote>
  <w:endnote w:type="continuationSeparator" w:id="1">
    <w:p w:rsidR="0096148B" w:rsidRDefault="0096148B" w:rsidP="00FD6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20" w:rsidRDefault="001709DB">
    <w:pPr>
      <w:pStyle w:val="a7"/>
      <w:jc w:val="center"/>
    </w:pPr>
    <w:r>
      <w:rPr>
        <w:b/>
        <w:bCs/>
        <w:sz w:val="24"/>
        <w:szCs w:val="24"/>
      </w:rPr>
      <w:fldChar w:fldCharType="begin"/>
    </w:r>
    <w:r w:rsidR="00811520">
      <w:rPr>
        <w:b/>
        <w:bCs/>
      </w:rPr>
      <w:instrText>PAGE</w:instrText>
    </w:r>
    <w:r>
      <w:rPr>
        <w:b/>
        <w:bCs/>
        <w:sz w:val="24"/>
        <w:szCs w:val="24"/>
      </w:rPr>
      <w:fldChar w:fldCharType="separate"/>
    </w:r>
    <w:r w:rsidR="00914624">
      <w:rPr>
        <w:b/>
        <w:bCs/>
        <w:noProof/>
      </w:rPr>
      <w:t>2</w:t>
    </w:r>
    <w:r>
      <w:rPr>
        <w:b/>
        <w:bCs/>
        <w:sz w:val="24"/>
        <w:szCs w:val="24"/>
      </w:rPr>
      <w:fldChar w:fldCharType="end"/>
    </w:r>
    <w:r w:rsidR="00811520">
      <w:rPr>
        <w:lang w:val="zh-CN"/>
      </w:rPr>
      <w:t xml:space="preserve"> / </w:t>
    </w:r>
    <w:r>
      <w:rPr>
        <w:b/>
        <w:bCs/>
        <w:sz w:val="24"/>
        <w:szCs w:val="24"/>
      </w:rPr>
      <w:fldChar w:fldCharType="begin"/>
    </w:r>
    <w:r w:rsidR="00811520">
      <w:rPr>
        <w:b/>
        <w:bCs/>
      </w:rPr>
      <w:instrText>NUMPAGES</w:instrText>
    </w:r>
    <w:r>
      <w:rPr>
        <w:b/>
        <w:bCs/>
        <w:sz w:val="24"/>
        <w:szCs w:val="24"/>
      </w:rPr>
      <w:fldChar w:fldCharType="separate"/>
    </w:r>
    <w:r w:rsidR="00914624">
      <w:rPr>
        <w:b/>
        <w:bCs/>
        <w:noProof/>
      </w:rPr>
      <w:t>32</w:t>
    </w:r>
    <w:r>
      <w:rPr>
        <w:b/>
        <w:bCs/>
        <w:sz w:val="24"/>
        <w:szCs w:val="24"/>
      </w:rPr>
      <w:fldChar w:fldCharType="end"/>
    </w:r>
  </w:p>
  <w:p w:rsidR="00811520" w:rsidRDefault="008115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48B" w:rsidRDefault="0096148B" w:rsidP="00FD6021">
      <w:r>
        <w:separator/>
      </w:r>
    </w:p>
  </w:footnote>
  <w:footnote w:type="continuationSeparator" w:id="1">
    <w:p w:rsidR="0096148B" w:rsidRDefault="0096148B" w:rsidP="00FD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20" w:rsidRDefault="00811520">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811520" w:rsidRDefault="00811520" w:rsidP="00B93322">
    <w:pPr>
      <w:pStyle w:val="a8"/>
      <w:pBdr>
        <w:bottom w:val="none" w:sz="0" w:space="0" w:color="auto"/>
      </w:pBdr>
      <w:tabs>
        <w:tab w:val="clear" w:pos="8306"/>
        <w:tab w:val="left" w:pos="4200"/>
        <w:tab w:val="left" w:pos="4620"/>
      </w:tabs>
      <w:jc w:val="left"/>
    </w:pPr>
    <w:r>
      <w:tab/>
    </w:r>
    <w:r>
      <w:tab/>
    </w:r>
    <w:r>
      <w:tab/>
    </w:r>
    <w:r>
      <w:tab/>
    </w:r>
  </w:p>
  <w:p w:rsidR="00811520" w:rsidRDefault="00811520">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num" w:pos="312"/>
        </w:tabs>
      </w:pPr>
    </w:lvl>
  </w:abstractNum>
  <w:abstractNum w:abstractNumId="1">
    <w:nsid w:val="2E66BECC"/>
    <w:multiLevelType w:val="singleLevel"/>
    <w:tmpl w:val="2E66BECC"/>
    <w:lvl w:ilvl="0">
      <w:start w:val="1"/>
      <w:numFmt w:val="decimal"/>
      <w:suff w:val="nothing"/>
      <w:lvlText w:val="%1、"/>
      <w:lvlJc w:val="left"/>
    </w:lvl>
  </w:abstractNum>
  <w:abstractNum w:abstractNumId="2">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10594"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3865"/>
    <w:rsid w:val="00004CFF"/>
    <w:rsid w:val="000071C7"/>
    <w:rsid w:val="00007808"/>
    <w:rsid w:val="000121DE"/>
    <w:rsid w:val="000130B9"/>
    <w:rsid w:val="00013FDF"/>
    <w:rsid w:val="00020192"/>
    <w:rsid w:val="0002044B"/>
    <w:rsid w:val="0003360D"/>
    <w:rsid w:val="00037E49"/>
    <w:rsid w:val="000425F6"/>
    <w:rsid w:val="000436BC"/>
    <w:rsid w:val="000516D9"/>
    <w:rsid w:val="00052A4E"/>
    <w:rsid w:val="00052AA9"/>
    <w:rsid w:val="0005567F"/>
    <w:rsid w:val="00057ECC"/>
    <w:rsid w:val="00060511"/>
    <w:rsid w:val="00061563"/>
    <w:rsid w:val="00062A8E"/>
    <w:rsid w:val="00063B35"/>
    <w:rsid w:val="00064D33"/>
    <w:rsid w:val="000654E9"/>
    <w:rsid w:val="000672ED"/>
    <w:rsid w:val="00075E08"/>
    <w:rsid w:val="000824CA"/>
    <w:rsid w:val="000828AD"/>
    <w:rsid w:val="00085917"/>
    <w:rsid w:val="00085ADA"/>
    <w:rsid w:val="000862A0"/>
    <w:rsid w:val="00087B10"/>
    <w:rsid w:val="00096A95"/>
    <w:rsid w:val="00097DEF"/>
    <w:rsid w:val="000A0D0E"/>
    <w:rsid w:val="000B1002"/>
    <w:rsid w:val="000B1594"/>
    <w:rsid w:val="000B2483"/>
    <w:rsid w:val="000B4670"/>
    <w:rsid w:val="000C4C8D"/>
    <w:rsid w:val="000D02E6"/>
    <w:rsid w:val="000D3112"/>
    <w:rsid w:val="000D3893"/>
    <w:rsid w:val="000D6DB7"/>
    <w:rsid w:val="000D7C1F"/>
    <w:rsid w:val="000E12DD"/>
    <w:rsid w:val="000E34FD"/>
    <w:rsid w:val="000E3ED3"/>
    <w:rsid w:val="000E4486"/>
    <w:rsid w:val="000F4930"/>
    <w:rsid w:val="000F6AFC"/>
    <w:rsid w:val="000F7D4E"/>
    <w:rsid w:val="00100B41"/>
    <w:rsid w:val="001028D9"/>
    <w:rsid w:val="00103D77"/>
    <w:rsid w:val="001045A7"/>
    <w:rsid w:val="00111DD8"/>
    <w:rsid w:val="00111F37"/>
    <w:rsid w:val="0011230E"/>
    <w:rsid w:val="00113D3C"/>
    <w:rsid w:val="00114C42"/>
    <w:rsid w:val="00114D13"/>
    <w:rsid w:val="0011778E"/>
    <w:rsid w:val="00123276"/>
    <w:rsid w:val="00130438"/>
    <w:rsid w:val="001316A0"/>
    <w:rsid w:val="001351B0"/>
    <w:rsid w:val="00137FFE"/>
    <w:rsid w:val="0014013A"/>
    <w:rsid w:val="00147431"/>
    <w:rsid w:val="001479D7"/>
    <w:rsid w:val="00147D86"/>
    <w:rsid w:val="00150B7B"/>
    <w:rsid w:val="001546FC"/>
    <w:rsid w:val="00165F76"/>
    <w:rsid w:val="00167025"/>
    <w:rsid w:val="001709DB"/>
    <w:rsid w:val="00174197"/>
    <w:rsid w:val="00183F2A"/>
    <w:rsid w:val="00185113"/>
    <w:rsid w:val="001909B4"/>
    <w:rsid w:val="00191D80"/>
    <w:rsid w:val="00194FF2"/>
    <w:rsid w:val="00195689"/>
    <w:rsid w:val="001A3318"/>
    <w:rsid w:val="001A3BEB"/>
    <w:rsid w:val="001A58F5"/>
    <w:rsid w:val="001B0F30"/>
    <w:rsid w:val="001B2E5D"/>
    <w:rsid w:val="001B32BE"/>
    <w:rsid w:val="001B7F7D"/>
    <w:rsid w:val="001C077C"/>
    <w:rsid w:val="001C20CD"/>
    <w:rsid w:val="001C2EBD"/>
    <w:rsid w:val="001C37E2"/>
    <w:rsid w:val="001C5CC6"/>
    <w:rsid w:val="001C6F15"/>
    <w:rsid w:val="001D1279"/>
    <w:rsid w:val="001D2FA8"/>
    <w:rsid w:val="001D35A4"/>
    <w:rsid w:val="001D3943"/>
    <w:rsid w:val="001D408B"/>
    <w:rsid w:val="001D48F1"/>
    <w:rsid w:val="001D4DC7"/>
    <w:rsid w:val="001E2FF2"/>
    <w:rsid w:val="001E7175"/>
    <w:rsid w:val="001F0235"/>
    <w:rsid w:val="001F24AD"/>
    <w:rsid w:val="001F325D"/>
    <w:rsid w:val="001F3557"/>
    <w:rsid w:val="001F4A29"/>
    <w:rsid w:val="00200758"/>
    <w:rsid w:val="002020F1"/>
    <w:rsid w:val="00210717"/>
    <w:rsid w:val="00212A13"/>
    <w:rsid w:val="00214955"/>
    <w:rsid w:val="0021517F"/>
    <w:rsid w:val="00216D04"/>
    <w:rsid w:val="00224DAB"/>
    <w:rsid w:val="00225CE6"/>
    <w:rsid w:val="00227F5A"/>
    <w:rsid w:val="00231BFF"/>
    <w:rsid w:val="00234D42"/>
    <w:rsid w:val="002366DE"/>
    <w:rsid w:val="00237B6C"/>
    <w:rsid w:val="00240DF6"/>
    <w:rsid w:val="002447EA"/>
    <w:rsid w:val="00244F15"/>
    <w:rsid w:val="002451B5"/>
    <w:rsid w:val="002477D4"/>
    <w:rsid w:val="002502CA"/>
    <w:rsid w:val="002517C0"/>
    <w:rsid w:val="00251F8B"/>
    <w:rsid w:val="00260BDE"/>
    <w:rsid w:val="002614B0"/>
    <w:rsid w:val="00261884"/>
    <w:rsid w:val="00262F32"/>
    <w:rsid w:val="002642C1"/>
    <w:rsid w:val="00274D99"/>
    <w:rsid w:val="00277D2C"/>
    <w:rsid w:val="002828E1"/>
    <w:rsid w:val="0028779B"/>
    <w:rsid w:val="00287A7F"/>
    <w:rsid w:val="00290A13"/>
    <w:rsid w:val="0029167F"/>
    <w:rsid w:val="0029698F"/>
    <w:rsid w:val="002A0B34"/>
    <w:rsid w:val="002A1698"/>
    <w:rsid w:val="002A4F6D"/>
    <w:rsid w:val="002B018D"/>
    <w:rsid w:val="002B3AF4"/>
    <w:rsid w:val="002B62D9"/>
    <w:rsid w:val="002C3203"/>
    <w:rsid w:val="002D0CDE"/>
    <w:rsid w:val="002D1062"/>
    <w:rsid w:val="002D12FA"/>
    <w:rsid w:val="002D67FA"/>
    <w:rsid w:val="002E1DC1"/>
    <w:rsid w:val="002E38DB"/>
    <w:rsid w:val="002F33D8"/>
    <w:rsid w:val="002F4F0E"/>
    <w:rsid w:val="002F5234"/>
    <w:rsid w:val="002F54D8"/>
    <w:rsid w:val="00307354"/>
    <w:rsid w:val="0031365E"/>
    <w:rsid w:val="0032110B"/>
    <w:rsid w:val="003240B9"/>
    <w:rsid w:val="00324F27"/>
    <w:rsid w:val="00327FC0"/>
    <w:rsid w:val="00334BA1"/>
    <w:rsid w:val="00335FD6"/>
    <w:rsid w:val="00341C36"/>
    <w:rsid w:val="00344452"/>
    <w:rsid w:val="003530D9"/>
    <w:rsid w:val="00355C68"/>
    <w:rsid w:val="00356436"/>
    <w:rsid w:val="003572B9"/>
    <w:rsid w:val="0035738C"/>
    <w:rsid w:val="0036061A"/>
    <w:rsid w:val="00361079"/>
    <w:rsid w:val="00365DE0"/>
    <w:rsid w:val="00370336"/>
    <w:rsid w:val="00370DF6"/>
    <w:rsid w:val="0037465B"/>
    <w:rsid w:val="0037670E"/>
    <w:rsid w:val="00377F89"/>
    <w:rsid w:val="00380D44"/>
    <w:rsid w:val="00381DF6"/>
    <w:rsid w:val="00384C31"/>
    <w:rsid w:val="003859C7"/>
    <w:rsid w:val="00387771"/>
    <w:rsid w:val="00391FCD"/>
    <w:rsid w:val="00394660"/>
    <w:rsid w:val="00394B51"/>
    <w:rsid w:val="00396825"/>
    <w:rsid w:val="00396ACE"/>
    <w:rsid w:val="00397D27"/>
    <w:rsid w:val="003A05B5"/>
    <w:rsid w:val="003A177D"/>
    <w:rsid w:val="003A236C"/>
    <w:rsid w:val="003A4492"/>
    <w:rsid w:val="003B2552"/>
    <w:rsid w:val="003B4A54"/>
    <w:rsid w:val="003C090A"/>
    <w:rsid w:val="003C393A"/>
    <w:rsid w:val="003D18AF"/>
    <w:rsid w:val="003D6166"/>
    <w:rsid w:val="003D632C"/>
    <w:rsid w:val="003E2A66"/>
    <w:rsid w:val="003E6C5C"/>
    <w:rsid w:val="003F0853"/>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25D79"/>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2A7"/>
    <w:rsid w:val="004B078A"/>
    <w:rsid w:val="004B2762"/>
    <w:rsid w:val="004B37AA"/>
    <w:rsid w:val="004B4629"/>
    <w:rsid w:val="004B5ABD"/>
    <w:rsid w:val="004B72B2"/>
    <w:rsid w:val="004C0320"/>
    <w:rsid w:val="004C1F94"/>
    <w:rsid w:val="004C2578"/>
    <w:rsid w:val="004C515D"/>
    <w:rsid w:val="004D1EB5"/>
    <w:rsid w:val="004D25B2"/>
    <w:rsid w:val="004D3C9D"/>
    <w:rsid w:val="004D6F1B"/>
    <w:rsid w:val="004E0083"/>
    <w:rsid w:val="004E0D9B"/>
    <w:rsid w:val="004E117F"/>
    <w:rsid w:val="004E2F19"/>
    <w:rsid w:val="004F0A77"/>
    <w:rsid w:val="004F1799"/>
    <w:rsid w:val="004F3817"/>
    <w:rsid w:val="004F3F3A"/>
    <w:rsid w:val="004F491D"/>
    <w:rsid w:val="004F57CD"/>
    <w:rsid w:val="004F7B37"/>
    <w:rsid w:val="0050120B"/>
    <w:rsid w:val="00501686"/>
    <w:rsid w:val="00501DD8"/>
    <w:rsid w:val="0050387D"/>
    <w:rsid w:val="00504E0E"/>
    <w:rsid w:val="00505881"/>
    <w:rsid w:val="00510901"/>
    <w:rsid w:val="0051359C"/>
    <w:rsid w:val="005153F9"/>
    <w:rsid w:val="00515CF7"/>
    <w:rsid w:val="00517918"/>
    <w:rsid w:val="00520AEF"/>
    <w:rsid w:val="0052375A"/>
    <w:rsid w:val="00524DE5"/>
    <w:rsid w:val="00527E80"/>
    <w:rsid w:val="00530810"/>
    <w:rsid w:val="0053224A"/>
    <w:rsid w:val="00533757"/>
    <w:rsid w:val="005351E4"/>
    <w:rsid w:val="00536E37"/>
    <w:rsid w:val="005429EE"/>
    <w:rsid w:val="00542C07"/>
    <w:rsid w:val="0054523B"/>
    <w:rsid w:val="00547632"/>
    <w:rsid w:val="00547B9C"/>
    <w:rsid w:val="005579EC"/>
    <w:rsid w:val="00562868"/>
    <w:rsid w:val="00565438"/>
    <w:rsid w:val="00565F85"/>
    <w:rsid w:val="005666EC"/>
    <w:rsid w:val="005670E7"/>
    <w:rsid w:val="005673DC"/>
    <w:rsid w:val="005734C8"/>
    <w:rsid w:val="00581114"/>
    <w:rsid w:val="00581F9C"/>
    <w:rsid w:val="00585C56"/>
    <w:rsid w:val="00586698"/>
    <w:rsid w:val="00587D98"/>
    <w:rsid w:val="00595E1A"/>
    <w:rsid w:val="0059652E"/>
    <w:rsid w:val="005965F5"/>
    <w:rsid w:val="00597091"/>
    <w:rsid w:val="00597232"/>
    <w:rsid w:val="005A244F"/>
    <w:rsid w:val="005A4B85"/>
    <w:rsid w:val="005B0F38"/>
    <w:rsid w:val="005B12A5"/>
    <w:rsid w:val="005B18CF"/>
    <w:rsid w:val="005B36D7"/>
    <w:rsid w:val="005B4843"/>
    <w:rsid w:val="005B5D5F"/>
    <w:rsid w:val="005B67FC"/>
    <w:rsid w:val="005C1130"/>
    <w:rsid w:val="005C1227"/>
    <w:rsid w:val="005C2613"/>
    <w:rsid w:val="005C5518"/>
    <w:rsid w:val="005C6091"/>
    <w:rsid w:val="005D1871"/>
    <w:rsid w:val="005D7C50"/>
    <w:rsid w:val="005E01E3"/>
    <w:rsid w:val="005E1F2A"/>
    <w:rsid w:val="005E2512"/>
    <w:rsid w:val="005E5619"/>
    <w:rsid w:val="00603412"/>
    <w:rsid w:val="00612F43"/>
    <w:rsid w:val="006145D2"/>
    <w:rsid w:val="00616239"/>
    <w:rsid w:val="00621CA5"/>
    <w:rsid w:val="00623E59"/>
    <w:rsid w:val="00627BE6"/>
    <w:rsid w:val="00630ED3"/>
    <w:rsid w:val="00632B23"/>
    <w:rsid w:val="0063461D"/>
    <w:rsid w:val="00640ACF"/>
    <w:rsid w:val="00650197"/>
    <w:rsid w:val="00650D2E"/>
    <w:rsid w:val="00660BE8"/>
    <w:rsid w:val="00660FA3"/>
    <w:rsid w:val="00661E23"/>
    <w:rsid w:val="0066660F"/>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37A4"/>
    <w:rsid w:val="006C745D"/>
    <w:rsid w:val="006C7D15"/>
    <w:rsid w:val="006D0372"/>
    <w:rsid w:val="006D0B7F"/>
    <w:rsid w:val="006D0C94"/>
    <w:rsid w:val="006D0CAA"/>
    <w:rsid w:val="006D23A3"/>
    <w:rsid w:val="006D6ABD"/>
    <w:rsid w:val="006E172C"/>
    <w:rsid w:val="006E195D"/>
    <w:rsid w:val="006E58D9"/>
    <w:rsid w:val="006E7999"/>
    <w:rsid w:val="006F2697"/>
    <w:rsid w:val="006F7170"/>
    <w:rsid w:val="00707732"/>
    <w:rsid w:val="00715AEB"/>
    <w:rsid w:val="00720A30"/>
    <w:rsid w:val="00721AE4"/>
    <w:rsid w:val="00723454"/>
    <w:rsid w:val="007271CA"/>
    <w:rsid w:val="00730BB5"/>
    <w:rsid w:val="007314A0"/>
    <w:rsid w:val="00731F5F"/>
    <w:rsid w:val="007326DF"/>
    <w:rsid w:val="00737AF5"/>
    <w:rsid w:val="00742A37"/>
    <w:rsid w:val="00744555"/>
    <w:rsid w:val="00753889"/>
    <w:rsid w:val="00754B00"/>
    <w:rsid w:val="0075685A"/>
    <w:rsid w:val="00763F6F"/>
    <w:rsid w:val="00765F8B"/>
    <w:rsid w:val="00767C71"/>
    <w:rsid w:val="00774217"/>
    <w:rsid w:val="007752FF"/>
    <w:rsid w:val="00776D2B"/>
    <w:rsid w:val="007812FC"/>
    <w:rsid w:val="007815C0"/>
    <w:rsid w:val="00782BC6"/>
    <w:rsid w:val="00783A4E"/>
    <w:rsid w:val="007849B1"/>
    <w:rsid w:val="00785313"/>
    <w:rsid w:val="00785EE7"/>
    <w:rsid w:val="007873C3"/>
    <w:rsid w:val="00791D07"/>
    <w:rsid w:val="00793DD7"/>
    <w:rsid w:val="00797A26"/>
    <w:rsid w:val="007A3B57"/>
    <w:rsid w:val="007A73BE"/>
    <w:rsid w:val="007A78BE"/>
    <w:rsid w:val="007B38A5"/>
    <w:rsid w:val="007B3E0D"/>
    <w:rsid w:val="007B4C66"/>
    <w:rsid w:val="007C001C"/>
    <w:rsid w:val="007C0E95"/>
    <w:rsid w:val="007C32F6"/>
    <w:rsid w:val="007C748B"/>
    <w:rsid w:val="007D28DE"/>
    <w:rsid w:val="007E012D"/>
    <w:rsid w:val="007E177D"/>
    <w:rsid w:val="007E52C7"/>
    <w:rsid w:val="007E6808"/>
    <w:rsid w:val="007E6FF7"/>
    <w:rsid w:val="007F0394"/>
    <w:rsid w:val="007F1029"/>
    <w:rsid w:val="007F4AE2"/>
    <w:rsid w:val="007F4B19"/>
    <w:rsid w:val="00806040"/>
    <w:rsid w:val="00811520"/>
    <w:rsid w:val="008156F9"/>
    <w:rsid w:val="008161B2"/>
    <w:rsid w:val="00823808"/>
    <w:rsid w:val="00825E46"/>
    <w:rsid w:val="00832565"/>
    <w:rsid w:val="008336D0"/>
    <w:rsid w:val="00835D26"/>
    <w:rsid w:val="00836111"/>
    <w:rsid w:val="00837F73"/>
    <w:rsid w:val="00837FE5"/>
    <w:rsid w:val="008400E1"/>
    <w:rsid w:val="00844D40"/>
    <w:rsid w:val="0085080D"/>
    <w:rsid w:val="00851423"/>
    <w:rsid w:val="00851E9E"/>
    <w:rsid w:val="008526E8"/>
    <w:rsid w:val="00853A64"/>
    <w:rsid w:val="00853E97"/>
    <w:rsid w:val="00860184"/>
    <w:rsid w:val="00863FA6"/>
    <w:rsid w:val="00867B6F"/>
    <w:rsid w:val="00871AD9"/>
    <w:rsid w:val="00880326"/>
    <w:rsid w:val="00881178"/>
    <w:rsid w:val="00881E5D"/>
    <w:rsid w:val="00884F2A"/>
    <w:rsid w:val="0088710F"/>
    <w:rsid w:val="00887728"/>
    <w:rsid w:val="00887BB7"/>
    <w:rsid w:val="00890FEA"/>
    <w:rsid w:val="00894685"/>
    <w:rsid w:val="00897839"/>
    <w:rsid w:val="008A0EA8"/>
    <w:rsid w:val="008A551C"/>
    <w:rsid w:val="008A71DE"/>
    <w:rsid w:val="008D3798"/>
    <w:rsid w:val="008D3C02"/>
    <w:rsid w:val="008D4C33"/>
    <w:rsid w:val="008D6398"/>
    <w:rsid w:val="008E2155"/>
    <w:rsid w:val="008E2C6F"/>
    <w:rsid w:val="008E6CAE"/>
    <w:rsid w:val="008F047D"/>
    <w:rsid w:val="008F309D"/>
    <w:rsid w:val="008F4D12"/>
    <w:rsid w:val="00906BEE"/>
    <w:rsid w:val="009136FA"/>
    <w:rsid w:val="00914624"/>
    <w:rsid w:val="00914B70"/>
    <w:rsid w:val="009166B6"/>
    <w:rsid w:val="00916884"/>
    <w:rsid w:val="00917A6A"/>
    <w:rsid w:val="00920F2D"/>
    <w:rsid w:val="00921A1B"/>
    <w:rsid w:val="00922FF4"/>
    <w:rsid w:val="009347F0"/>
    <w:rsid w:val="00935F33"/>
    <w:rsid w:val="0093638A"/>
    <w:rsid w:val="00936436"/>
    <w:rsid w:val="009378FF"/>
    <w:rsid w:val="00940506"/>
    <w:rsid w:val="00940754"/>
    <w:rsid w:val="00944A63"/>
    <w:rsid w:val="00945B4E"/>
    <w:rsid w:val="00947B06"/>
    <w:rsid w:val="00947B15"/>
    <w:rsid w:val="00950328"/>
    <w:rsid w:val="00952E08"/>
    <w:rsid w:val="0095496E"/>
    <w:rsid w:val="00954B41"/>
    <w:rsid w:val="00956005"/>
    <w:rsid w:val="00956999"/>
    <w:rsid w:val="0096148B"/>
    <w:rsid w:val="00964933"/>
    <w:rsid w:val="009717D1"/>
    <w:rsid w:val="00974DF6"/>
    <w:rsid w:val="00974FDE"/>
    <w:rsid w:val="00975441"/>
    <w:rsid w:val="00975BF1"/>
    <w:rsid w:val="00980E9A"/>
    <w:rsid w:val="00982FE1"/>
    <w:rsid w:val="00987DE6"/>
    <w:rsid w:val="00992AF4"/>
    <w:rsid w:val="00993180"/>
    <w:rsid w:val="00997B04"/>
    <w:rsid w:val="009A3031"/>
    <w:rsid w:val="009A6AB7"/>
    <w:rsid w:val="009B11C6"/>
    <w:rsid w:val="009B1709"/>
    <w:rsid w:val="009B6343"/>
    <w:rsid w:val="009C365B"/>
    <w:rsid w:val="009C5E0B"/>
    <w:rsid w:val="009D30D0"/>
    <w:rsid w:val="009D3DF0"/>
    <w:rsid w:val="009D4595"/>
    <w:rsid w:val="009D4EB3"/>
    <w:rsid w:val="009E4F67"/>
    <w:rsid w:val="009F05BF"/>
    <w:rsid w:val="009F1D70"/>
    <w:rsid w:val="009F3C76"/>
    <w:rsid w:val="009F5944"/>
    <w:rsid w:val="009F6EED"/>
    <w:rsid w:val="00A0021E"/>
    <w:rsid w:val="00A0658F"/>
    <w:rsid w:val="00A07C14"/>
    <w:rsid w:val="00A13F55"/>
    <w:rsid w:val="00A140B5"/>
    <w:rsid w:val="00A154A5"/>
    <w:rsid w:val="00A2031A"/>
    <w:rsid w:val="00A20C84"/>
    <w:rsid w:val="00A24892"/>
    <w:rsid w:val="00A248FE"/>
    <w:rsid w:val="00A25050"/>
    <w:rsid w:val="00A26CD6"/>
    <w:rsid w:val="00A31F3B"/>
    <w:rsid w:val="00A33138"/>
    <w:rsid w:val="00A36CBA"/>
    <w:rsid w:val="00A40391"/>
    <w:rsid w:val="00A42D38"/>
    <w:rsid w:val="00A43587"/>
    <w:rsid w:val="00A4389F"/>
    <w:rsid w:val="00A4409F"/>
    <w:rsid w:val="00A44808"/>
    <w:rsid w:val="00A504C2"/>
    <w:rsid w:val="00A5136B"/>
    <w:rsid w:val="00A51A65"/>
    <w:rsid w:val="00A53FC4"/>
    <w:rsid w:val="00A563EE"/>
    <w:rsid w:val="00A6075D"/>
    <w:rsid w:val="00A63181"/>
    <w:rsid w:val="00A66B7D"/>
    <w:rsid w:val="00A74C7D"/>
    <w:rsid w:val="00A773DA"/>
    <w:rsid w:val="00A77796"/>
    <w:rsid w:val="00A77E3A"/>
    <w:rsid w:val="00A81F35"/>
    <w:rsid w:val="00A8382F"/>
    <w:rsid w:val="00A8579A"/>
    <w:rsid w:val="00A85912"/>
    <w:rsid w:val="00A93708"/>
    <w:rsid w:val="00AA2A31"/>
    <w:rsid w:val="00AA4211"/>
    <w:rsid w:val="00AA5F39"/>
    <w:rsid w:val="00AB0E0A"/>
    <w:rsid w:val="00AB0F41"/>
    <w:rsid w:val="00AB2821"/>
    <w:rsid w:val="00AB4BB0"/>
    <w:rsid w:val="00AB4BD8"/>
    <w:rsid w:val="00AB5344"/>
    <w:rsid w:val="00AB65DD"/>
    <w:rsid w:val="00AC0BBE"/>
    <w:rsid w:val="00AC2EAE"/>
    <w:rsid w:val="00AC5E29"/>
    <w:rsid w:val="00AD1F63"/>
    <w:rsid w:val="00AD515B"/>
    <w:rsid w:val="00AD6713"/>
    <w:rsid w:val="00AE6B0A"/>
    <w:rsid w:val="00AF044A"/>
    <w:rsid w:val="00AF2497"/>
    <w:rsid w:val="00AF6EDC"/>
    <w:rsid w:val="00B002B8"/>
    <w:rsid w:val="00B049AB"/>
    <w:rsid w:val="00B079E9"/>
    <w:rsid w:val="00B14D22"/>
    <w:rsid w:val="00B16BEF"/>
    <w:rsid w:val="00B16FDE"/>
    <w:rsid w:val="00B1736E"/>
    <w:rsid w:val="00B2427E"/>
    <w:rsid w:val="00B26353"/>
    <w:rsid w:val="00B26CF4"/>
    <w:rsid w:val="00B32F59"/>
    <w:rsid w:val="00B330CE"/>
    <w:rsid w:val="00B34DB9"/>
    <w:rsid w:val="00B35DBD"/>
    <w:rsid w:val="00B3655C"/>
    <w:rsid w:val="00B36918"/>
    <w:rsid w:val="00B37BD5"/>
    <w:rsid w:val="00B4089B"/>
    <w:rsid w:val="00B41501"/>
    <w:rsid w:val="00B4225A"/>
    <w:rsid w:val="00B4252A"/>
    <w:rsid w:val="00B43FD3"/>
    <w:rsid w:val="00B46280"/>
    <w:rsid w:val="00B54753"/>
    <w:rsid w:val="00B56DAC"/>
    <w:rsid w:val="00B65C66"/>
    <w:rsid w:val="00B66525"/>
    <w:rsid w:val="00B7201D"/>
    <w:rsid w:val="00B72421"/>
    <w:rsid w:val="00B72D56"/>
    <w:rsid w:val="00B73385"/>
    <w:rsid w:val="00B7660A"/>
    <w:rsid w:val="00B80D78"/>
    <w:rsid w:val="00B80F1F"/>
    <w:rsid w:val="00B81D14"/>
    <w:rsid w:val="00B85715"/>
    <w:rsid w:val="00B86CFA"/>
    <w:rsid w:val="00B87EBA"/>
    <w:rsid w:val="00B9069D"/>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6912"/>
    <w:rsid w:val="00BD1EE5"/>
    <w:rsid w:val="00BD3E25"/>
    <w:rsid w:val="00BD4147"/>
    <w:rsid w:val="00BE0143"/>
    <w:rsid w:val="00BE088D"/>
    <w:rsid w:val="00BE60C2"/>
    <w:rsid w:val="00BF4005"/>
    <w:rsid w:val="00BF56EB"/>
    <w:rsid w:val="00BF5FDD"/>
    <w:rsid w:val="00BF64AF"/>
    <w:rsid w:val="00C010CC"/>
    <w:rsid w:val="00C04234"/>
    <w:rsid w:val="00C143F0"/>
    <w:rsid w:val="00C15280"/>
    <w:rsid w:val="00C16649"/>
    <w:rsid w:val="00C21042"/>
    <w:rsid w:val="00C22F47"/>
    <w:rsid w:val="00C24580"/>
    <w:rsid w:val="00C25298"/>
    <w:rsid w:val="00C263DA"/>
    <w:rsid w:val="00C30738"/>
    <w:rsid w:val="00C5471C"/>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B77B6"/>
    <w:rsid w:val="00CC3660"/>
    <w:rsid w:val="00CD06D5"/>
    <w:rsid w:val="00CD1794"/>
    <w:rsid w:val="00CD5F66"/>
    <w:rsid w:val="00CE2915"/>
    <w:rsid w:val="00CE2C5F"/>
    <w:rsid w:val="00CE48BB"/>
    <w:rsid w:val="00CF1CB7"/>
    <w:rsid w:val="00CF30C9"/>
    <w:rsid w:val="00CF7DD5"/>
    <w:rsid w:val="00D00BB2"/>
    <w:rsid w:val="00D013C8"/>
    <w:rsid w:val="00D03E8B"/>
    <w:rsid w:val="00D06BE0"/>
    <w:rsid w:val="00D07006"/>
    <w:rsid w:val="00D13DC7"/>
    <w:rsid w:val="00D167DD"/>
    <w:rsid w:val="00D16B1B"/>
    <w:rsid w:val="00D2082B"/>
    <w:rsid w:val="00D252F8"/>
    <w:rsid w:val="00D30499"/>
    <w:rsid w:val="00D340ED"/>
    <w:rsid w:val="00D414AB"/>
    <w:rsid w:val="00D445EC"/>
    <w:rsid w:val="00D56268"/>
    <w:rsid w:val="00D57F76"/>
    <w:rsid w:val="00D70593"/>
    <w:rsid w:val="00D766DC"/>
    <w:rsid w:val="00D84ADA"/>
    <w:rsid w:val="00D853F5"/>
    <w:rsid w:val="00D859DE"/>
    <w:rsid w:val="00D87D5F"/>
    <w:rsid w:val="00D919D9"/>
    <w:rsid w:val="00D9238E"/>
    <w:rsid w:val="00D9776A"/>
    <w:rsid w:val="00DA4501"/>
    <w:rsid w:val="00DA4F2B"/>
    <w:rsid w:val="00DA5FEE"/>
    <w:rsid w:val="00DA6C7F"/>
    <w:rsid w:val="00DA7BA3"/>
    <w:rsid w:val="00DB1006"/>
    <w:rsid w:val="00DB57C9"/>
    <w:rsid w:val="00DB5F48"/>
    <w:rsid w:val="00DB617D"/>
    <w:rsid w:val="00DB79D6"/>
    <w:rsid w:val="00DC59D6"/>
    <w:rsid w:val="00DC60AC"/>
    <w:rsid w:val="00DD364C"/>
    <w:rsid w:val="00DD4A91"/>
    <w:rsid w:val="00DD4D46"/>
    <w:rsid w:val="00DD4EB3"/>
    <w:rsid w:val="00DD7167"/>
    <w:rsid w:val="00DD7E7D"/>
    <w:rsid w:val="00DE139B"/>
    <w:rsid w:val="00DE34F1"/>
    <w:rsid w:val="00DE40FB"/>
    <w:rsid w:val="00DF65D2"/>
    <w:rsid w:val="00E0381A"/>
    <w:rsid w:val="00E05707"/>
    <w:rsid w:val="00E141C3"/>
    <w:rsid w:val="00E2087D"/>
    <w:rsid w:val="00E222B8"/>
    <w:rsid w:val="00E230E3"/>
    <w:rsid w:val="00E25E6A"/>
    <w:rsid w:val="00E30A09"/>
    <w:rsid w:val="00E30FC1"/>
    <w:rsid w:val="00E33D32"/>
    <w:rsid w:val="00E36209"/>
    <w:rsid w:val="00E4010A"/>
    <w:rsid w:val="00E508F5"/>
    <w:rsid w:val="00E54015"/>
    <w:rsid w:val="00E57AE9"/>
    <w:rsid w:val="00E6086B"/>
    <w:rsid w:val="00E6237C"/>
    <w:rsid w:val="00E70F83"/>
    <w:rsid w:val="00E71E4A"/>
    <w:rsid w:val="00E73393"/>
    <w:rsid w:val="00E74D23"/>
    <w:rsid w:val="00E74DFA"/>
    <w:rsid w:val="00E75CFD"/>
    <w:rsid w:val="00E77A87"/>
    <w:rsid w:val="00E8370B"/>
    <w:rsid w:val="00E83EC9"/>
    <w:rsid w:val="00E87184"/>
    <w:rsid w:val="00E87533"/>
    <w:rsid w:val="00E94089"/>
    <w:rsid w:val="00E944D7"/>
    <w:rsid w:val="00E94998"/>
    <w:rsid w:val="00E9576F"/>
    <w:rsid w:val="00E96380"/>
    <w:rsid w:val="00EA5E30"/>
    <w:rsid w:val="00EA7391"/>
    <w:rsid w:val="00EC014D"/>
    <w:rsid w:val="00EC02F1"/>
    <w:rsid w:val="00EE47B0"/>
    <w:rsid w:val="00EE7555"/>
    <w:rsid w:val="00EE78E5"/>
    <w:rsid w:val="00EF05B9"/>
    <w:rsid w:val="00EF434E"/>
    <w:rsid w:val="00EF59C3"/>
    <w:rsid w:val="00EF749C"/>
    <w:rsid w:val="00F0222D"/>
    <w:rsid w:val="00F036AB"/>
    <w:rsid w:val="00F051D9"/>
    <w:rsid w:val="00F07784"/>
    <w:rsid w:val="00F137E6"/>
    <w:rsid w:val="00F13BD1"/>
    <w:rsid w:val="00F13D15"/>
    <w:rsid w:val="00F14617"/>
    <w:rsid w:val="00F14661"/>
    <w:rsid w:val="00F14AB6"/>
    <w:rsid w:val="00F22426"/>
    <w:rsid w:val="00F2698F"/>
    <w:rsid w:val="00F27D6D"/>
    <w:rsid w:val="00F27FE7"/>
    <w:rsid w:val="00F4011D"/>
    <w:rsid w:val="00F4237A"/>
    <w:rsid w:val="00F42600"/>
    <w:rsid w:val="00F43FF4"/>
    <w:rsid w:val="00F53EB5"/>
    <w:rsid w:val="00F54A24"/>
    <w:rsid w:val="00F54FEA"/>
    <w:rsid w:val="00F553FB"/>
    <w:rsid w:val="00F611CA"/>
    <w:rsid w:val="00F61215"/>
    <w:rsid w:val="00F61D33"/>
    <w:rsid w:val="00F6247A"/>
    <w:rsid w:val="00F656E7"/>
    <w:rsid w:val="00F6621F"/>
    <w:rsid w:val="00F66767"/>
    <w:rsid w:val="00F67AE8"/>
    <w:rsid w:val="00F72F22"/>
    <w:rsid w:val="00F733F0"/>
    <w:rsid w:val="00F80C18"/>
    <w:rsid w:val="00F8269A"/>
    <w:rsid w:val="00F87D35"/>
    <w:rsid w:val="00F9529D"/>
    <w:rsid w:val="00F9678C"/>
    <w:rsid w:val="00FA0050"/>
    <w:rsid w:val="00FA0D01"/>
    <w:rsid w:val="00FC29B1"/>
    <w:rsid w:val="00FC7592"/>
    <w:rsid w:val="00FC770F"/>
    <w:rsid w:val="00FD2679"/>
    <w:rsid w:val="00FD2BBF"/>
    <w:rsid w:val="00FD40EB"/>
    <w:rsid w:val="00FD46B2"/>
    <w:rsid w:val="00FD47D5"/>
    <w:rsid w:val="00FD6021"/>
    <w:rsid w:val="00FD63AC"/>
    <w:rsid w:val="00FE1CDB"/>
    <w:rsid w:val="00FE2871"/>
    <w:rsid w:val="00FE2B19"/>
    <w:rsid w:val="00FE3BE9"/>
    <w:rsid w:val="00FE6042"/>
    <w:rsid w:val="00FE6C55"/>
    <w:rsid w:val="00FF269E"/>
    <w:rsid w:val="00FF3251"/>
    <w:rsid w:val="00FF3578"/>
    <w:rsid w:val="00FF4B1C"/>
    <w:rsid w:val="034215CC"/>
    <w:rsid w:val="034D1875"/>
    <w:rsid w:val="03A810DA"/>
    <w:rsid w:val="04793982"/>
    <w:rsid w:val="0914216F"/>
    <w:rsid w:val="09263EDE"/>
    <w:rsid w:val="099F699F"/>
    <w:rsid w:val="0BB90B94"/>
    <w:rsid w:val="0BF558B0"/>
    <w:rsid w:val="0C6F4F00"/>
    <w:rsid w:val="0CBA42B6"/>
    <w:rsid w:val="0CD07931"/>
    <w:rsid w:val="0E220EFD"/>
    <w:rsid w:val="0E300DF1"/>
    <w:rsid w:val="106000A3"/>
    <w:rsid w:val="106D2E5F"/>
    <w:rsid w:val="10C92BDE"/>
    <w:rsid w:val="11E06D1D"/>
    <w:rsid w:val="14BD6DE9"/>
    <w:rsid w:val="151B0610"/>
    <w:rsid w:val="153967D9"/>
    <w:rsid w:val="15A51265"/>
    <w:rsid w:val="1602563E"/>
    <w:rsid w:val="172042BD"/>
    <w:rsid w:val="17DF730A"/>
    <w:rsid w:val="182037F9"/>
    <w:rsid w:val="1871150E"/>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F3F3674"/>
    <w:rsid w:val="2F6F6534"/>
    <w:rsid w:val="2FB62CD5"/>
    <w:rsid w:val="3166404B"/>
    <w:rsid w:val="316E4BCF"/>
    <w:rsid w:val="32FB3069"/>
    <w:rsid w:val="332831C8"/>
    <w:rsid w:val="359C2633"/>
    <w:rsid w:val="35C82541"/>
    <w:rsid w:val="360A4426"/>
    <w:rsid w:val="37623BD0"/>
    <w:rsid w:val="378A2746"/>
    <w:rsid w:val="382035D9"/>
    <w:rsid w:val="390E2AE7"/>
    <w:rsid w:val="39B12B9E"/>
    <w:rsid w:val="3A2A6D06"/>
    <w:rsid w:val="3AAD4D2B"/>
    <w:rsid w:val="3BA17D0E"/>
    <w:rsid w:val="3C7F4653"/>
    <w:rsid w:val="3D5C793D"/>
    <w:rsid w:val="3DFD6225"/>
    <w:rsid w:val="3E0B15BA"/>
    <w:rsid w:val="3EC639AA"/>
    <w:rsid w:val="3FE24704"/>
    <w:rsid w:val="40C10AD3"/>
    <w:rsid w:val="427631AB"/>
    <w:rsid w:val="43A8211E"/>
    <w:rsid w:val="4464587F"/>
    <w:rsid w:val="45455C37"/>
    <w:rsid w:val="47C07043"/>
    <w:rsid w:val="4B3A5EC6"/>
    <w:rsid w:val="4D722D5E"/>
    <w:rsid w:val="4DEE463E"/>
    <w:rsid w:val="50A4483B"/>
    <w:rsid w:val="50D54E3C"/>
    <w:rsid w:val="51AF26D5"/>
    <w:rsid w:val="532F052B"/>
    <w:rsid w:val="53CB1533"/>
    <w:rsid w:val="54A90501"/>
    <w:rsid w:val="552402CA"/>
    <w:rsid w:val="55434855"/>
    <w:rsid w:val="55882EFC"/>
    <w:rsid w:val="56490C7C"/>
    <w:rsid w:val="58343EAC"/>
    <w:rsid w:val="58F33E0F"/>
    <w:rsid w:val="597E6C17"/>
    <w:rsid w:val="5B920EBC"/>
    <w:rsid w:val="5BFA6CAE"/>
    <w:rsid w:val="5D0D24D3"/>
    <w:rsid w:val="5D2B5A03"/>
    <w:rsid w:val="5D654113"/>
    <w:rsid w:val="5D676170"/>
    <w:rsid w:val="5DB45A4D"/>
    <w:rsid w:val="5E2A7A6D"/>
    <w:rsid w:val="5E3D22F6"/>
    <w:rsid w:val="5E9E5CF6"/>
    <w:rsid w:val="5F5A3274"/>
    <w:rsid w:val="5F5C54EB"/>
    <w:rsid w:val="5FB62CE4"/>
    <w:rsid w:val="5FDC66AB"/>
    <w:rsid w:val="60886E86"/>
    <w:rsid w:val="61426FC7"/>
    <w:rsid w:val="635A6060"/>
    <w:rsid w:val="64440A64"/>
    <w:rsid w:val="659D1EC8"/>
    <w:rsid w:val="65C42961"/>
    <w:rsid w:val="66AD6F06"/>
    <w:rsid w:val="67F355EF"/>
    <w:rsid w:val="68727AEB"/>
    <w:rsid w:val="68CB2404"/>
    <w:rsid w:val="6AE57802"/>
    <w:rsid w:val="6B353E8E"/>
    <w:rsid w:val="6B7A4196"/>
    <w:rsid w:val="6BC94628"/>
    <w:rsid w:val="6D082DCE"/>
    <w:rsid w:val="6DD964A3"/>
    <w:rsid w:val="6F514B5B"/>
    <w:rsid w:val="6FE46FB1"/>
    <w:rsid w:val="70071414"/>
    <w:rsid w:val="712C720C"/>
    <w:rsid w:val="74605603"/>
    <w:rsid w:val="74EA6BF5"/>
    <w:rsid w:val="75903C84"/>
    <w:rsid w:val="766E0138"/>
    <w:rsid w:val="76DA4E14"/>
    <w:rsid w:val="78C05101"/>
    <w:rsid w:val="79273F04"/>
    <w:rsid w:val="7A0850E0"/>
    <w:rsid w:val="7BAB2825"/>
    <w:rsid w:val="7C4A2B81"/>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21"/>
    <w:pPr>
      <w:widowControl w:val="0"/>
      <w:jc w:val="both"/>
    </w:pPr>
    <w:rPr>
      <w:kern w:val="2"/>
      <w:sz w:val="21"/>
      <w:szCs w:val="22"/>
    </w:rPr>
  </w:style>
  <w:style w:type="paragraph" w:styleId="1">
    <w:name w:val="heading 1"/>
    <w:basedOn w:val="a"/>
    <w:next w:val="a"/>
    <w:link w:val="1Char"/>
    <w:uiPriority w:val="9"/>
    <w:qFormat/>
    <w:rsid w:val="00FD6021"/>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FD6021"/>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FD6021"/>
    <w:pPr>
      <w:keepNext/>
      <w:keepLines/>
      <w:spacing w:before="260" w:after="260" w:line="416" w:lineRule="auto"/>
      <w:outlineLvl w:val="2"/>
    </w:pPr>
    <w:rPr>
      <w:bCs/>
      <w:sz w:val="24"/>
      <w:szCs w:val="32"/>
    </w:rPr>
  </w:style>
  <w:style w:type="paragraph" w:styleId="4">
    <w:name w:val="heading 4"/>
    <w:basedOn w:val="a"/>
    <w:next w:val="a"/>
    <w:qFormat/>
    <w:rsid w:val="00FD602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D6021"/>
    <w:rPr>
      <w:rFonts w:ascii="宋体"/>
      <w:sz w:val="18"/>
      <w:szCs w:val="18"/>
    </w:rPr>
  </w:style>
  <w:style w:type="paragraph" w:styleId="a4">
    <w:name w:val="Body Text Indent"/>
    <w:basedOn w:val="a"/>
    <w:qFormat/>
    <w:rsid w:val="00FD6021"/>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FD6021"/>
    <w:pPr>
      <w:ind w:leftChars="400" w:left="840"/>
    </w:pPr>
  </w:style>
  <w:style w:type="paragraph" w:styleId="a5">
    <w:name w:val="Date"/>
    <w:basedOn w:val="a"/>
    <w:next w:val="a"/>
    <w:qFormat/>
    <w:rsid w:val="00FD6021"/>
    <w:pPr>
      <w:ind w:leftChars="2500" w:left="100"/>
    </w:pPr>
    <w:rPr>
      <w:rFonts w:ascii="宋体"/>
      <w:kern w:val="0"/>
      <w:sz w:val="20"/>
      <w:szCs w:val="20"/>
      <w:lang w:val="zh-CN"/>
    </w:rPr>
  </w:style>
  <w:style w:type="paragraph" w:styleId="20">
    <w:name w:val="Body Text Indent 2"/>
    <w:basedOn w:val="a"/>
    <w:qFormat/>
    <w:rsid w:val="00FD6021"/>
    <w:pPr>
      <w:tabs>
        <w:tab w:val="left" w:pos="2520"/>
      </w:tabs>
      <w:ind w:firstLine="435"/>
    </w:pPr>
    <w:rPr>
      <w:szCs w:val="24"/>
    </w:rPr>
  </w:style>
  <w:style w:type="paragraph" w:styleId="a6">
    <w:name w:val="Balloon Text"/>
    <w:basedOn w:val="a"/>
    <w:link w:val="Char0"/>
    <w:uiPriority w:val="99"/>
    <w:unhideWhenUsed/>
    <w:qFormat/>
    <w:rsid w:val="00FD6021"/>
    <w:rPr>
      <w:kern w:val="0"/>
      <w:sz w:val="18"/>
      <w:szCs w:val="18"/>
    </w:rPr>
  </w:style>
  <w:style w:type="paragraph" w:styleId="a7">
    <w:name w:val="footer"/>
    <w:basedOn w:val="a"/>
    <w:link w:val="Char1"/>
    <w:uiPriority w:val="99"/>
    <w:unhideWhenUsed/>
    <w:qFormat/>
    <w:rsid w:val="00FD6021"/>
    <w:pPr>
      <w:tabs>
        <w:tab w:val="center" w:pos="4153"/>
        <w:tab w:val="right" w:pos="8306"/>
      </w:tabs>
      <w:snapToGrid w:val="0"/>
      <w:jc w:val="left"/>
    </w:pPr>
    <w:rPr>
      <w:kern w:val="0"/>
      <w:sz w:val="18"/>
      <w:szCs w:val="18"/>
    </w:rPr>
  </w:style>
  <w:style w:type="paragraph" w:styleId="a8">
    <w:name w:val="header"/>
    <w:basedOn w:val="a"/>
    <w:link w:val="Char2"/>
    <w:uiPriority w:val="99"/>
    <w:unhideWhenUsed/>
    <w:qFormat/>
    <w:rsid w:val="00FD6021"/>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FD6021"/>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FD6021"/>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rsid w:val="00FD6021"/>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FD6021"/>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FD6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FD6021"/>
    <w:pPr>
      <w:widowControl/>
      <w:spacing w:before="100" w:beforeAutospacing="1" w:after="100" w:afterAutospacing="1"/>
      <w:jc w:val="left"/>
    </w:pPr>
    <w:rPr>
      <w:rFonts w:ascii="宋体" w:hAnsi="宋体" w:cs="宋体"/>
      <w:kern w:val="0"/>
      <w:sz w:val="24"/>
      <w:szCs w:val="24"/>
    </w:rPr>
  </w:style>
  <w:style w:type="character" w:styleId="ab">
    <w:name w:val="Strong"/>
    <w:basedOn w:val="a0"/>
    <w:qFormat/>
    <w:rsid w:val="00FD6021"/>
    <w:rPr>
      <w:b/>
      <w:bCs/>
    </w:rPr>
  </w:style>
  <w:style w:type="character" w:styleId="ac">
    <w:name w:val="page number"/>
    <w:basedOn w:val="a0"/>
    <w:qFormat/>
    <w:rsid w:val="00FD6021"/>
  </w:style>
  <w:style w:type="character" w:styleId="ad">
    <w:name w:val="FollowedHyperlink"/>
    <w:uiPriority w:val="99"/>
    <w:qFormat/>
    <w:rsid w:val="00FD6021"/>
    <w:rPr>
      <w:color w:val="800080"/>
      <w:u w:val="single"/>
    </w:rPr>
  </w:style>
  <w:style w:type="character" w:styleId="ae">
    <w:name w:val="Hyperlink"/>
    <w:uiPriority w:val="99"/>
    <w:qFormat/>
    <w:rsid w:val="00FD6021"/>
    <w:rPr>
      <w:color w:val="0000FF"/>
      <w:u w:val="single"/>
    </w:rPr>
  </w:style>
  <w:style w:type="table" w:styleId="af">
    <w:name w:val="Table Grid"/>
    <w:basedOn w:val="a1"/>
    <w:uiPriority w:val="59"/>
    <w:qFormat/>
    <w:rsid w:val="00FD60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1"/>
    <w:qFormat/>
    <w:rsid w:val="00FD60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qFormat/>
    <w:rsid w:val="00FD6021"/>
    <w:rPr>
      <w:rFonts w:eastAsia="宋体"/>
      <w:b/>
      <w:bCs/>
      <w:kern w:val="2"/>
      <w:sz w:val="32"/>
      <w:szCs w:val="32"/>
      <w:lang w:val="en-US" w:eastAsia="zh-CN" w:bidi="ar-SA"/>
    </w:rPr>
  </w:style>
  <w:style w:type="character" w:customStyle="1" w:styleId="Char2">
    <w:name w:val="页眉 Char"/>
    <w:link w:val="a8"/>
    <w:uiPriority w:val="99"/>
    <w:qFormat/>
    <w:rsid w:val="00FD6021"/>
    <w:rPr>
      <w:sz w:val="18"/>
      <w:szCs w:val="18"/>
    </w:rPr>
  </w:style>
  <w:style w:type="character" w:customStyle="1" w:styleId="showtext">
    <w:name w:val="showtext"/>
    <w:basedOn w:val="a0"/>
    <w:qFormat/>
    <w:rsid w:val="00FD6021"/>
  </w:style>
  <w:style w:type="character" w:customStyle="1" w:styleId="2Char1">
    <w:name w:val="标题 2 Char1"/>
    <w:link w:val="2"/>
    <w:uiPriority w:val="9"/>
    <w:qFormat/>
    <w:rsid w:val="00FD6021"/>
    <w:rPr>
      <w:rFonts w:ascii="Cambria" w:hAnsi="Cambria"/>
      <w:b/>
      <w:bCs/>
      <w:kern w:val="2"/>
      <w:sz w:val="28"/>
      <w:szCs w:val="32"/>
    </w:rPr>
  </w:style>
  <w:style w:type="character" w:customStyle="1" w:styleId="WebCharChar2">
    <w:name w:val="普通 (Web) Char Char2"/>
    <w:qFormat/>
    <w:locked/>
    <w:rsid w:val="00FD6021"/>
    <w:rPr>
      <w:rFonts w:ascii="宋体" w:eastAsia="宋体" w:hAnsi="宋体" w:cs="宋体"/>
      <w:sz w:val="24"/>
      <w:szCs w:val="24"/>
      <w:lang w:val="en-US" w:eastAsia="zh-CN" w:bidi="ar-SA"/>
    </w:rPr>
  </w:style>
  <w:style w:type="character" w:customStyle="1" w:styleId="apple-converted-space">
    <w:name w:val="apple-converted-space"/>
    <w:basedOn w:val="a0"/>
    <w:qFormat/>
    <w:rsid w:val="00FD6021"/>
  </w:style>
  <w:style w:type="character" w:customStyle="1" w:styleId="1Char">
    <w:name w:val="标题 1 Char"/>
    <w:link w:val="1"/>
    <w:uiPriority w:val="9"/>
    <w:qFormat/>
    <w:rsid w:val="00FD6021"/>
    <w:rPr>
      <w:rFonts w:eastAsia="黑体"/>
      <w:b/>
      <w:bCs/>
      <w:kern w:val="44"/>
      <w:sz w:val="32"/>
      <w:szCs w:val="44"/>
    </w:rPr>
  </w:style>
  <w:style w:type="character" w:customStyle="1" w:styleId="Char1">
    <w:name w:val="页脚 Char"/>
    <w:link w:val="a7"/>
    <w:uiPriority w:val="99"/>
    <w:qFormat/>
    <w:rsid w:val="00FD6021"/>
    <w:rPr>
      <w:sz w:val="18"/>
      <w:szCs w:val="18"/>
    </w:rPr>
  </w:style>
  <w:style w:type="character" w:customStyle="1" w:styleId="f21">
    <w:name w:val="f21"/>
    <w:qFormat/>
    <w:rsid w:val="00FD6021"/>
    <w:rPr>
      <w:rFonts w:ascii="宋体" w:eastAsia="宋体" w:hAnsi="宋体" w:hint="eastAsia"/>
      <w:sz w:val="21"/>
      <w:szCs w:val="21"/>
    </w:rPr>
  </w:style>
  <w:style w:type="character" w:customStyle="1" w:styleId="Char0">
    <w:name w:val="批注框文本 Char"/>
    <w:link w:val="a6"/>
    <w:uiPriority w:val="99"/>
    <w:semiHidden/>
    <w:qFormat/>
    <w:rsid w:val="00FD6021"/>
    <w:rPr>
      <w:sz w:val="18"/>
      <w:szCs w:val="18"/>
    </w:rPr>
  </w:style>
  <w:style w:type="character" w:customStyle="1" w:styleId="style11">
    <w:name w:val="style11"/>
    <w:qFormat/>
    <w:rsid w:val="00FD6021"/>
    <w:rPr>
      <w:color w:val="999999"/>
      <w:sz w:val="18"/>
      <w:szCs w:val="18"/>
    </w:rPr>
  </w:style>
  <w:style w:type="character" w:customStyle="1" w:styleId="Char3">
    <w:name w:val="副标题 Char"/>
    <w:link w:val="a9"/>
    <w:uiPriority w:val="11"/>
    <w:qFormat/>
    <w:rsid w:val="00FD6021"/>
    <w:rPr>
      <w:rFonts w:ascii="Cambria" w:hAnsi="Cambria" w:cs="Times New Roman"/>
      <w:b/>
      <w:bCs/>
      <w:kern w:val="28"/>
      <w:sz w:val="32"/>
      <w:szCs w:val="32"/>
    </w:rPr>
  </w:style>
  <w:style w:type="character" w:customStyle="1" w:styleId="2Char">
    <w:name w:val="标题 2 Char"/>
    <w:qFormat/>
    <w:rsid w:val="00FD6021"/>
    <w:rPr>
      <w:rFonts w:ascii="Arial" w:eastAsia="黑体" w:hAnsi="Arial"/>
      <w:b/>
      <w:bCs/>
      <w:kern w:val="2"/>
      <w:sz w:val="32"/>
      <w:szCs w:val="32"/>
      <w:lang w:val="en-US" w:eastAsia="zh-CN" w:bidi="ar-SA"/>
    </w:rPr>
  </w:style>
  <w:style w:type="character" w:customStyle="1" w:styleId="style171">
    <w:name w:val="style171"/>
    <w:qFormat/>
    <w:rsid w:val="00FD6021"/>
    <w:rPr>
      <w:sz w:val="21"/>
      <w:szCs w:val="21"/>
    </w:rPr>
  </w:style>
  <w:style w:type="character" w:customStyle="1" w:styleId="WebCharChar">
    <w:name w:val="普通 (Web) Char Char"/>
    <w:qFormat/>
    <w:locked/>
    <w:rsid w:val="00FD6021"/>
    <w:rPr>
      <w:rFonts w:ascii="宋体" w:eastAsia="宋体" w:hAnsi="宋体" w:cs="宋体"/>
      <w:sz w:val="24"/>
      <w:szCs w:val="24"/>
      <w:lang w:val="en-US" w:eastAsia="zh-CN" w:bidi="ar-SA"/>
    </w:rPr>
  </w:style>
  <w:style w:type="character" w:customStyle="1" w:styleId="style61">
    <w:name w:val="style61"/>
    <w:qFormat/>
    <w:rsid w:val="00FD6021"/>
    <w:rPr>
      <w:b/>
      <w:bCs/>
      <w:color w:val="3399FF"/>
      <w:sz w:val="24"/>
      <w:szCs w:val="24"/>
    </w:rPr>
  </w:style>
  <w:style w:type="character" w:customStyle="1" w:styleId="f41">
    <w:name w:val="f41"/>
    <w:qFormat/>
    <w:rsid w:val="00FD6021"/>
    <w:rPr>
      <w:rFonts w:ascii="宋体" w:eastAsia="宋体" w:hAnsi="宋体" w:hint="eastAsia"/>
      <w:sz w:val="18"/>
      <w:szCs w:val="18"/>
    </w:rPr>
  </w:style>
  <w:style w:type="character" w:customStyle="1" w:styleId="3Char1">
    <w:name w:val="标题 3 Char1"/>
    <w:qFormat/>
    <w:rsid w:val="00FD6021"/>
    <w:rPr>
      <w:rFonts w:eastAsia="宋体"/>
      <w:b/>
      <w:bCs/>
      <w:kern w:val="2"/>
      <w:sz w:val="32"/>
      <w:szCs w:val="32"/>
      <w:lang w:val="en-US" w:eastAsia="zh-CN" w:bidi="ar-SA"/>
    </w:rPr>
  </w:style>
  <w:style w:type="character" w:customStyle="1" w:styleId="style161">
    <w:name w:val="style161"/>
    <w:qFormat/>
    <w:rsid w:val="00FD6021"/>
    <w:rPr>
      <w:sz w:val="24"/>
      <w:szCs w:val="24"/>
    </w:rPr>
  </w:style>
  <w:style w:type="character" w:customStyle="1" w:styleId="f31">
    <w:name w:val="f31"/>
    <w:qFormat/>
    <w:rsid w:val="00FD6021"/>
    <w:rPr>
      <w:rFonts w:ascii="ˎ̥" w:hAnsi="ˎ̥" w:hint="default"/>
      <w:color w:val="999999"/>
      <w:sz w:val="16"/>
      <w:szCs w:val="16"/>
    </w:rPr>
  </w:style>
  <w:style w:type="paragraph" w:customStyle="1" w:styleId="xl91">
    <w:name w:val="xl9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FD6021"/>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FD6021"/>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FD6021"/>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FD6021"/>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FD6021"/>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FD6021"/>
    <w:pPr>
      <w:adjustRightInd w:val="0"/>
      <w:spacing w:line="360" w:lineRule="atLeast"/>
      <w:jc w:val="left"/>
      <w:textAlignment w:val="baseline"/>
    </w:pPr>
    <w:rPr>
      <w:kern w:val="0"/>
      <w:sz w:val="24"/>
      <w:szCs w:val="20"/>
    </w:rPr>
  </w:style>
  <w:style w:type="paragraph" w:customStyle="1" w:styleId="xl39">
    <w:name w:val="xl3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FD6021"/>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FD6021"/>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FD6021"/>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FD6021"/>
    <w:pPr>
      <w:widowControl/>
      <w:spacing w:before="100" w:beforeAutospacing="1" w:after="100" w:afterAutospacing="1"/>
      <w:jc w:val="left"/>
    </w:pPr>
    <w:rPr>
      <w:kern w:val="0"/>
      <w:sz w:val="20"/>
      <w:szCs w:val="20"/>
    </w:rPr>
  </w:style>
  <w:style w:type="paragraph" w:customStyle="1" w:styleId="xl110">
    <w:name w:val="xl110"/>
    <w:basedOn w:val="a"/>
    <w:qFormat/>
    <w:rsid w:val="00FD6021"/>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FD6021"/>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FD6021"/>
    <w:pPr>
      <w:widowControl/>
      <w:spacing w:line="330" w:lineRule="atLeast"/>
      <w:jc w:val="left"/>
    </w:pPr>
    <w:rPr>
      <w:rFonts w:ascii="宋体" w:hAnsi="宋体" w:cs="宋体"/>
      <w:kern w:val="0"/>
      <w:szCs w:val="21"/>
    </w:rPr>
  </w:style>
  <w:style w:type="paragraph" w:customStyle="1" w:styleId="f0">
    <w:name w:val="f0"/>
    <w:basedOn w:val="a"/>
    <w:qFormat/>
    <w:rsid w:val="00FD6021"/>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FD6021"/>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FD6021"/>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FD6021"/>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FD6021"/>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FD6021"/>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FD6021"/>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FD6021"/>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FD6021"/>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FD6021"/>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FD6021"/>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FD6021"/>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FD6021"/>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FD6021"/>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FD6021"/>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FD6021"/>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FD6021"/>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FD6021"/>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FD6021"/>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FD6021"/>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FD6021"/>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FD6021"/>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FD6021"/>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FD6021"/>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FD6021"/>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FD6021"/>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FD6021"/>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FD6021"/>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FD6021"/>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FD6021"/>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FD6021"/>
    <w:pPr>
      <w:widowControl w:val="0"/>
      <w:autoSpaceDE w:val="0"/>
      <w:autoSpaceDN w:val="0"/>
      <w:adjustRightInd w:val="0"/>
    </w:pPr>
    <w:rPr>
      <w:rFonts w:ascii="微软雅黑" w:hAnsi="微软雅黑" w:cs="微软雅黑"/>
      <w:color w:val="000000"/>
      <w:sz w:val="24"/>
      <w:szCs w:val="24"/>
    </w:rPr>
  </w:style>
  <w:style w:type="character" w:customStyle="1" w:styleId="Char">
    <w:name w:val="文档结构图 Char"/>
    <w:basedOn w:val="a0"/>
    <w:link w:val="a3"/>
    <w:uiPriority w:val="99"/>
    <w:semiHidden/>
    <w:qFormat/>
    <w:rsid w:val="00FD6021"/>
    <w:rPr>
      <w:rFonts w:ascii="宋体"/>
      <w:kern w:val="2"/>
      <w:sz w:val="18"/>
      <w:szCs w:val="18"/>
    </w:rPr>
  </w:style>
  <w:style w:type="paragraph" w:styleId="af1">
    <w:name w:val="List Paragraph"/>
    <w:basedOn w:val="a"/>
    <w:uiPriority w:val="99"/>
    <w:qFormat/>
    <w:rsid w:val="00FD6021"/>
    <w:pPr>
      <w:ind w:firstLineChars="200" w:firstLine="420"/>
    </w:pPr>
  </w:style>
  <w:style w:type="character" w:customStyle="1" w:styleId="font41">
    <w:name w:val="font41"/>
    <w:basedOn w:val="a0"/>
    <w:qFormat/>
    <w:rsid w:val="00FD6021"/>
    <w:rPr>
      <w:rFonts w:ascii="MS Gothic" w:eastAsia="MS Gothic" w:hAnsi="MS Gothic" w:cs="MS Gothic"/>
      <w:color w:val="000000"/>
      <w:sz w:val="20"/>
      <w:szCs w:val="20"/>
      <w:u w:val="none"/>
    </w:rPr>
  </w:style>
  <w:style w:type="character" w:customStyle="1" w:styleId="font31">
    <w:name w:val="font31"/>
    <w:basedOn w:val="a0"/>
    <w:qFormat/>
    <w:rsid w:val="00FD6021"/>
    <w:rPr>
      <w:rFonts w:ascii="宋体" w:eastAsia="宋体" w:hAnsi="宋体" w:cs="宋体" w:hint="eastAsia"/>
      <w:color w:val="000000"/>
      <w:sz w:val="20"/>
      <w:szCs w:val="20"/>
      <w:u w:val="none"/>
    </w:rPr>
  </w:style>
  <w:style w:type="character" w:customStyle="1" w:styleId="Char4">
    <w:name w:val="普通(网站) Char"/>
    <w:link w:val="aa"/>
    <w:locked/>
    <w:rsid w:val="00975441"/>
    <w:rPr>
      <w:rFonts w:ascii="宋体" w:hAnsi="宋体" w:cs="宋体"/>
      <w:sz w:val="24"/>
      <w:szCs w:val="24"/>
    </w:rPr>
  </w:style>
  <w:style w:type="paragraph" w:customStyle="1" w:styleId="xl155">
    <w:name w:val="xl155"/>
    <w:basedOn w:val="a"/>
    <w:rsid w:val="009146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6">
    <w:name w:val="xl156"/>
    <w:basedOn w:val="a"/>
    <w:rsid w:val="00914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kern w:val="0"/>
      <w:sz w:val="20"/>
      <w:szCs w:val="20"/>
    </w:rPr>
  </w:style>
  <w:style w:type="paragraph" w:customStyle="1" w:styleId="xl157">
    <w:name w:val="xl157"/>
    <w:basedOn w:val="a"/>
    <w:rsid w:val="00914624"/>
    <w:pPr>
      <w:widowControl/>
      <w:spacing w:before="100" w:beforeAutospacing="1" w:after="100" w:afterAutospacing="1"/>
      <w:jc w:val="left"/>
    </w:pPr>
    <w:rPr>
      <w:rFonts w:ascii="宋体" w:hAnsi="宋体" w:cs="宋体"/>
      <w:kern w:val="0"/>
      <w:sz w:val="20"/>
      <w:szCs w:val="20"/>
    </w:rPr>
  </w:style>
  <w:style w:type="paragraph" w:customStyle="1" w:styleId="xl158">
    <w:name w:val="xl158"/>
    <w:basedOn w:val="a"/>
    <w:rsid w:val="00914624"/>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59">
    <w:name w:val="xl159"/>
    <w:basedOn w:val="a"/>
    <w:rsid w:val="00914624"/>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20"/>
      <w:szCs w:val="20"/>
    </w:rPr>
  </w:style>
  <w:style w:type="paragraph" w:customStyle="1" w:styleId="xl160">
    <w:name w:val="xl160"/>
    <w:basedOn w:val="a"/>
    <w:rsid w:val="00914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kern w:val="0"/>
      <w:sz w:val="18"/>
      <w:szCs w:val="18"/>
    </w:rPr>
  </w:style>
  <w:style w:type="paragraph" w:customStyle="1" w:styleId="xl161">
    <w:name w:val="xl161"/>
    <w:basedOn w:val="a"/>
    <w:rsid w:val="00914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162">
    <w:name w:val="xl162"/>
    <w:basedOn w:val="a"/>
    <w:rsid w:val="009146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kern w:val="0"/>
      <w:sz w:val="18"/>
      <w:szCs w:val="18"/>
    </w:rPr>
  </w:style>
  <w:style w:type="paragraph" w:customStyle="1" w:styleId="xl163">
    <w:name w:val="xl163"/>
    <w:basedOn w:val="a"/>
    <w:rsid w:val="00914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kern w:val="0"/>
      <w:sz w:val="18"/>
      <w:szCs w:val="18"/>
    </w:rPr>
  </w:style>
  <w:style w:type="paragraph" w:customStyle="1" w:styleId="xl164">
    <w:name w:val="xl164"/>
    <w:basedOn w:val="a"/>
    <w:rsid w:val="00914624"/>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宋体" w:hAnsi="宋体" w:cs="宋体"/>
      <w:kern w:val="0"/>
      <w:sz w:val="20"/>
      <w:szCs w:val="20"/>
    </w:rPr>
  </w:style>
  <w:style w:type="paragraph" w:customStyle="1" w:styleId="xl165">
    <w:name w:val="xl165"/>
    <w:basedOn w:val="a"/>
    <w:rsid w:val="00914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000000"/>
      <w:kern w:val="0"/>
      <w:sz w:val="20"/>
      <w:szCs w:val="20"/>
    </w:rPr>
  </w:style>
  <w:style w:type="paragraph" w:customStyle="1" w:styleId="xl166">
    <w:name w:val="xl166"/>
    <w:basedOn w:val="a"/>
    <w:rsid w:val="009146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kern w:val="0"/>
      <w:sz w:val="20"/>
      <w:szCs w:val="20"/>
    </w:rPr>
  </w:style>
</w:styles>
</file>

<file path=word/webSettings.xml><?xml version="1.0" encoding="utf-8"?>
<w:webSettings xmlns:r="http://schemas.openxmlformats.org/officeDocument/2006/relationships" xmlns:w="http://schemas.openxmlformats.org/wordprocessingml/2006/main">
  <w:divs>
    <w:div w:id="19744894">
      <w:bodyDiv w:val="1"/>
      <w:marLeft w:val="0"/>
      <w:marRight w:val="0"/>
      <w:marTop w:val="0"/>
      <w:marBottom w:val="0"/>
      <w:divBdr>
        <w:top w:val="none" w:sz="0" w:space="0" w:color="auto"/>
        <w:left w:val="none" w:sz="0" w:space="0" w:color="auto"/>
        <w:bottom w:val="none" w:sz="0" w:space="0" w:color="auto"/>
        <w:right w:val="none" w:sz="0" w:space="0" w:color="auto"/>
      </w:divBdr>
    </w:div>
    <w:div w:id="65423284">
      <w:bodyDiv w:val="1"/>
      <w:marLeft w:val="0"/>
      <w:marRight w:val="0"/>
      <w:marTop w:val="0"/>
      <w:marBottom w:val="0"/>
      <w:divBdr>
        <w:top w:val="none" w:sz="0" w:space="0" w:color="auto"/>
        <w:left w:val="none" w:sz="0" w:space="0" w:color="auto"/>
        <w:bottom w:val="none" w:sz="0" w:space="0" w:color="auto"/>
        <w:right w:val="none" w:sz="0" w:space="0" w:color="auto"/>
      </w:divBdr>
    </w:div>
    <w:div w:id="200439999">
      <w:bodyDiv w:val="1"/>
      <w:marLeft w:val="0"/>
      <w:marRight w:val="0"/>
      <w:marTop w:val="0"/>
      <w:marBottom w:val="0"/>
      <w:divBdr>
        <w:top w:val="none" w:sz="0" w:space="0" w:color="auto"/>
        <w:left w:val="none" w:sz="0" w:space="0" w:color="auto"/>
        <w:bottom w:val="none" w:sz="0" w:space="0" w:color="auto"/>
        <w:right w:val="none" w:sz="0" w:space="0" w:color="auto"/>
      </w:divBdr>
    </w:div>
    <w:div w:id="221336949">
      <w:bodyDiv w:val="1"/>
      <w:marLeft w:val="0"/>
      <w:marRight w:val="0"/>
      <w:marTop w:val="0"/>
      <w:marBottom w:val="0"/>
      <w:divBdr>
        <w:top w:val="none" w:sz="0" w:space="0" w:color="auto"/>
        <w:left w:val="none" w:sz="0" w:space="0" w:color="auto"/>
        <w:bottom w:val="none" w:sz="0" w:space="0" w:color="auto"/>
        <w:right w:val="none" w:sz="0" w:space="0" w:color="auto"/>
      </w:divBdr>
    </w:div>
    <w:div w:id="241523452">
      <w:bodyDiv w:val="1"/>
      <w:marLeft w:val="0"/>
      <w:marRight w:val="0"/>
      <w:marTop w:val="0"/>
      <w:marBottom w:val="0"/>
      <w:divBdr>
        <w:top w:val="none" w:sz="0" w:space="0" w:color="auto"/>
        <w:left w:val="none" w:sz="0" w:space="0" w:color="auto"/>
        <w:bottom w:val="none" w:sz="0" w:space="0" w:color="auto"/>
        <w:right w:val="none" w:sz="0" w:space="0" w:color="auto"/>
      </w:divBdr>
    </w:div>
    <w:div w:id="322660203">
      <w:bodyDiv w:val="1"/>
      <w:marLeft w:val="0"/>
      <w:marRight w:val="0"/>
      <w:marTop w:val="0"/>
      <w:marBottom w:val="0"/>
      <w:divBdr>
        <w:top w:val="none" w:sz="0" w:space="0" w:color="auto"/>
        <w:left w:val="none" w:sz="0" w:space="0" w:color="auto"/>
        <w:bottom w:val="none" w:sz="0" w:space="0" w:color="auto"/>
        <w:right w:val="none" w:sz="0" w:space="0" w:color="auto"/>
      </w:divBdr>
      <w:divsChild>
        <w:div w:id="1756516915">
          <w:marLeft w:val="0"/>
          <w:marRight w:val="0"/>
          <w:marTop w:val="0"/>
          <w:marBottom w:val="0"/>
          <w:divBdr>
            <w:top w:val="none" w:sz="0" w:space="0" w:color="auto"/>
            <w:left w:val="none" w:sz="0" w:space="0" w:color="auto"/>
            <w:bottom w:val="none" w:sz="0" w:space="0" w:color="auto"/>
            <w:right w:val="none" w:sz="0" w:space="0" w:color="auto"/>
          </w:divBdr>
        </w:div>
      </w:divsChild>
    </w:div>
    <w:div w:id="349063593">
      <w:bodyDiv w:val="1"/>
      <w:marLeft w:val="0"/>
      <w:marRight w:val="0"/>
      <w:marTop w:val="0"/>
      <w:marBottom w:val="0"/>
      <w:divBdr>
        <w:top w:val="none" w:sz="0" w:space="0" w:color="auto"/>
        <w:left w:val="none" w:sz="0" w:space="0" w:color="auto"/>
        <w:bottom w:val="none" w:sz="0" w:space="0" w:color="auto"/>
        <w:right w:val="none" w:sz="0" w:space="0" w:color="auto"/>
      </w:divBdr>
    </w:div>
    <w:div w:id="428235627">
      <w:bodyDiv w:val="1"/>
      <w:marLeft w:val="0"/>
      <w:marRight w:val="0"/>
      <w:marTop w:val="0"/>
      <w:marBottom w:val="0"/>
      <w:divBdr>
        <w:top w:val="none" w:sz="0" w:space="0" w:color="auto"/>
        <w:left w:val="none" w:sz="0" w:space="0" w:color="auto"/>
        <w:bottom w:val="none" w:sz="0" w:space="0" w:color="auto"/>
        <w:right w:val="none" w:sz="0" w:space="0" w:color="auto"/>
      </w:divBdr>
    </w:div>
    <w:div w:id="433668851">
      <w:bodyDiv w:val="1"/>
      <w:marLeft w:val="0"/>
      <w:marRight w:val="0"/>
      <w:marTop w:val="0"/>
      <w:marBottom w:val="0"/>
      <w:divBdr>
        <w:top w:val="none" w:sz="0" w:space="0" w:color="auto"/>
        <w:left w:val="none" w:sz="0" w:space="0" w:color="auto"/>
        <w:bottom w:val="none" w:sz="0" w:space="0" w:color="auto"/>
        <w:right w:val="none" w:sz="0" w:space="0" w:color="auto"/>
      </w:divBdr>
    </w:div>
    <w:div w:id="529879556">
      <w:bodyDiv w:val="1"/>
      <w:marLeft w:val="0"/>
      <w:marRight w:val="0"/>
      <w:marTop w:val="0"/>
      <w:marBottom w:val="0"/>
      <w:divBdr>
        <w:top w:val="none" w:sz="0" w:space="0" w:color="auto"/>
        <w:left w:val="none" w:sz="0" w:space="0" w:color="auto"/>
        <w:bottom w:val="none" w:sz="0" w:space="0" w:color="auto"/>
        <w:right w:val="none" w:sz="0" w:space="0" w:color="auto"/>
      </w:divBdr>
    </w:div>
    <w:div w:id="535849839">
      <w:bodyDiv w:val="1"/>
      <w:marLeft w:val="0"/>
      <w:marRight w:val="0"/>
      <w:marTop w:val="0"/>
      <w:marBottom w:val="0"/>
      <w:divBdr>
        <w:top w:val="none" w:sz="0" w:space="0" w:color="auto"/>
        <w:left w:val="none" w:sz="0" w:space="0" w:color="auto"/>
        <w:bottom w:val="none" w:sz="0" w:space="0" w:color="auto"/>
        <w:right w:val="none" w:sz="0" w:space="0" w:color="auto"/>
      </w:divBdr>
    </w:div>
    <w:div w:id="554463578">
      <w:bodyDiv w:val="1"/>
      <w:marLeft w:val="0"/>
      <w:marRight w:val="0"/>
      <w:marTop w:val="0"/>
      <w:marBottom w:val="0"/>
      <w:divBdr>
        <w:top w:val="none" w:sz="0" w:space="0" w:color="auto"/>
        <w:left w:val="none" w:sz="0" w:space="0" w:color="auto"/>
        <w:bottom w:val="none" w:sz="0" w:space="0" w:color="auto"/>
        <w:right w:val="none" w:sz="0" w:space="0" w:color="auto"/>
      </w:divBdr>
    </w:div>
    <w:div w:id="554850158">
      <w:bodyDiv w:val="1"/>
      <w:marLeft w:val="0"/>
      <w:marRight w:val="0"/>
      <w:marTop w:val="0"/>
      <w:marBottom w:val="0"/>
      <w:divBdr>
        <w:top w:val="none" w:sz="0" w:space="0" w:color="auto"/>
        <w:left w:val="none" w:sz="0" w:space="0" w:color="auto"/>
        <w:bottom w:val="none" w:sz="0" w:space="0" w:color="auto"/>
        <w:right w:val="none" w:sz="0" w:space="0" w:color="auto"/>
      </w:divBdr>
    </w:div>
    <w:div w:id="562444443">
      <w:bodyDiv w:val="1"/>
      <w:marLeft w:val="0"/>
      <w:marRight w:val="0"/>
      <w:marTop w:val="0"/>
      <w:marBottom w:val="0"/>
      <w:divBdr>
        <w:top w:val="none" w:sz="0" w:space="0" w:color="auto"/>
        <w:left w:val="none" w:sz="0" w:space="0" w:color="auto"/>
        <w:bottom w:val="none" w:sz="0" w:space="0" w:color="auto"/>
        <w:right w:val="none" w:sz="0" w:space="0" w:color="auto"/>
      </w:divBdr>
    </w:div>
    <w:div w:id="589582953">
      <w:bodyDiv w:val="1"/>
      <w:marLeft w:val="0"/>
      <w:marRight w:val="0"/>
      <w:marTop w:val="0"/>
      <w:marBottom w:val="0"/>
      <w:divBdr>
        <w:top w:val="none" w:sz="0" w:space="0" w:color="auto"/>
        <w:left w:val="none" w:sz="0" w:space="0" w:color="auto"/>
        <w:bottom w:val="none" w:sz="0" w:space="0" w:color="auto"/>
        <w:right w:val="none" w:sz="0" w:space="0" w:color="auto"/>
      </w:divBdr>
    </w:div>
    <w:div w:id="595015498">
      <w:bodyDiv w:val="1"/>
      <w:marLeft w:val="0"/>
      <w:marRight w:val="0"/>
      <w:marTop w:val="0"/>
      <w:marBottom w:val="0"/>
      <w:divBdr>
        <w:top w:val="none" w:sz="0" w:space="0" w:color="auto"/>
        <w:left w:val="none" w:sz="0" w:space="0" w:color="auto"/>
        <w:bottom w:val="none" w:sz="0" w:space="0" w:color="auto"/>
        <w:right w:val="none" w:sz="0" w:space="0" w:color="auto"/>
      </w:divBdr>
    </w:div>
    <w:div w:id="598417253">
      <w:bodyDiv w:val="1"/>
      <w:marLeft w:val="0"/>
      <w:marRight w:val="0"/>
      <w:marTop w:val="0"/>
      <w:marBottom w:val="0"/>
      <w:divBdr>
        <w:top w:val="none" w:sz="0" w:space="0" w:color="auto"/>
        <w:left w:val="none" w:sz="0" w:space="0" w:color="auto"/>
        <w:bottom w:val="none" w:sz="0" w:space="0" w:color="auto"/>
        <w:right w:val="none" w:sz="0" w:space="0" w:color="auto"/>
      </w:divBdr>
    </w:div>
    <w:div w:id="617638100">
      <w:bodyDiv w:val="1"/>
      <w:marLeft w:val="0"/>
      <w:marRight w:val="0"/>
      <w:marTop w:val="0"/>
      <w:marBottom w:val="0"/>
      <w:divBdr>
        <w:top w:val="none" w:sz="0" w:space="0" w:color="auto"/>
        <w:left w:val="none" w:sz="0" w:space="0" w:color="auto"/>
        <w:bottom w:val="none" w:sz="0" w:space="0" w:color="auto"/>
        <w:right w:val="none" w:sz="0" w:space="0" w:color="auto"/>
      </w:divBdr>
    </w:div>
    <w:div w:id="660080779">
      <w:bodyDiv w:val="1"/>
      <w:marLeft w:val="0"/>
      <w:marRight w:val="0"/>
      <w:marTop w:val="0"/>
      <w:marBottom w:val="0"/>
      <w:divBdr>
        <w:top w:val="none" w:sz="0" w:space="0" w:color="auto"/>
        <w:left w:val="none" w:sz="0" w:space="0" w:color="auto"/>
        <w:bottom w:val="none" w:sz="0" w:space="0" w:color="auto"/>
        <w:right w:val="none" w:sz="0" w:space="0" w:color="auto"/>
      </w:divBdr>
    </w:div>
    <w:div w:id="797378494">
      <w:bodyDiv w:val="1"/>
      <w:marLeft w:val="0"/>
      <w:marRight w:val="0"/>
      <w:marTop w:val="0"/>
      <w:marBottom w:val="0"/>
      <w:divBdr>
        <w:top w:val="none" w:sz="0" w:space="0" w:color="auto"/>
        <w:left w:val="none" w:sz="0" w:space="0" w:color="auto"/>
        <w:bottom w:val="none" w:sz="0" w:space="0" w:color="auto"/>
        <w:right w:val="none" w:sz="0" w:space="0" w:color="auto"/>
      </w:divBdr>
    </w:div>
    <w:div w:id="811100409">
      <w:bodyDiv w:val="1"/>
      <w:marLeft w:val="0"/>
      <w:marRight w:val="0"/>
      <w:marTop w:val="0"/>
      <w:marBottom w:val="0"/>
      <w:divBdr>
        <w:top w:val="none" w:sz="0" w:space="0" w:color="auto"/>
        <w:left w:val="none" w:sz="0" w:space="0" w:color="auto"/>
        <w:bottom w:val="none" w:sz="0" w:space="0" w:color="auto"/>
        <w:right w:val="none" w:sz="0" w:space="0" w:color="auto"/>
      </w:divBdr>
    </w:div>
    <w:div w:id="828250159">
      <w:bodyDiv w:val="1"/>
      <w:marLeft w:val="0"/>
      <w:marRight w:val="0"/>
      <w:marTop w:val="0"/>
      <w:marBottom w:val="0"/>
      <w:divBdr>
        <w:top w:val="none" w:sz="0" w:space="0" w:color="auto"/>
        <w:left w:val="none" w:sz="0" w:space="0" w:color="auto"/>
        <w:bottom w:val="none" w:sz="0" w:space="0" w:color="auto"/>
        <w:right w:val="none" w:sz="0" w:space="0" w:color="auto"/>
      </w:divBdr>
      <w:divsChild>
        <w:div w:id="86657611">
          <w:marLeft w:val="0"/>
          <w:marRight w:val="0"/>
          <w:marTop w:val="0"/>
          <w:marBottom w:val="0"/>
          <w:divBdr>
            <w:top w:val="none" w:sz="0" w:space="0" w:color="auto"/>
            <w:left w:val="none" w:sz="0" w:space="0" w:color="auto"/>
            <w:bottom w:val="none" w:sz="0" w:space="0" w:color="auto"/>
            <w:right w:val="none" w:sz="0" w:space="0" w:color="auto"/>
          </w:divBdr>
        </w:div>
      </w:divsChild>
    </w:div>
    <w:div w:id="842890262">
      <w:bodyDiv w:val="1"/>
      <w:marLeft w:val="0"/>
      <w:marRight w:val="0"/>
      <w:marTop w:val="0"/>
      <w:marBottom w:val="0"/>
      <w:divBdr>
        <w:top w:val="none" w:sz="0" w:space="0" w:color="auto"/>
        <w:left w:val="none" w:sz="0" w:space="0" w:color="auto"/>
        <w:bottom w:val="none" w:sz="0" w:space="0" w:color="auto"/>
        <w:right w:val="none" w:sz="0" w:space="0" w:color="auto"/>
      </w:divBdr>
    </w:div>
    <w:div w:id="843864434">
      <w:bodyDiv w:val="1"/>
      <w:marLeft w:val="0"/>
      <w:marRight w:val="0"/>
      <w:marTop w:val="0"/>
      <w:marBottom w:val="0"/>
      <w:divBdr>
        <w:top w:val="none" w:sz="0" w:space="0" w:color="auto"/>
        <w:left w:val="none" w:sz="0" w:space="0" w:color="auto"/>
        <w:bottom w:val="none" w:sz="0" w:space="0" w:color="auto"/>
        <w:right w:val="none" w:sz="0" w:space="0" w:color="auto"/>
      </w:divBdr>
    </w:div>
    <w:div w:id="912935972">
      <w:bodyDiv w:val="1"/>
      <w:marLeft w:val="0"/>
      <w:marRight w:val="0"/>
      <w:marTop w:val="0"/>
      <w:marBottom w:val="0"/>
      <w:divBdr>
        <w:top w:val="none" w:sz="0" w:space="0" w:color="auto"/>
        <w:left w:val="none" w:sz="0" w:space="0" w:color="auto"/>
        <w:bottom w:val="none" w:sz="0" w:space="0" w:color="auto"/>
        <w:right w:val="none" w:sz="0" w:space="0" w:color="auto"/>
      </w:divBdr>
    </w:div>
    <w:div w:id="1005404033">
      <w:bodyDiv w:val="1"/>
      <w:marLeft w:val="0"/>
      <w:marRight w:val="0"/>
      <w:marTop w:val="0"/>
      <w:marBottom w:val="0"/>
      <w:divBdr>
        <w:top w:val="none" w:sz="0" w:space="0" w:color="auto"/>
        <w:left w:val="none" w:sz="0" w:space="0" w:color="auto"/>
        <w:bottom w:val="none" w:sz="0" w:space="0" w:color="auto"/>
        <w:right w:val="none" w:sz="0" w:space="0" w:color="auto"/>
      </w:divBdr>
    </w:div>
    <w:div w:id="1011025670">
      <w:bodyDiv w:val="1"/>
      <w:marLeft w:val="0"/>
      <w:marRight w:val="0"/>
      <w:marTop w:val="0"/>
      <w:marBottom w:val="0"/>
      <w:divBdr>
        <w:top w:val="none" w:sz="0" w:space="0" w:color="auto"/>
        <w:left w:val="none" w:sz="0" w:space="0" w:color="auto"/>
        <w:bottom w:val="none" w:sz="0" w:space="0" w:color="auto"/>
        <w:right w:val="none" w:sz="0" w:space="0" w:color="auto"/>
      </w:divBdr>
    </w:div>
    <w:div w:id="1014067656">
      <w:bodyDiv w:val="1"/>
      <w:marLeft w:val="0"/>
      <w:marRight w:val="0"/>
      <w:marTop w:val="0"/>
      <w:marBottom w:val="0"/>
      <w:divBdr>
        <w:top w:val="none" w:sz="0" w:space="0" w:color="auto"/>
        <w:left w:val="none" w:sz="0" w:space="0" w:color="auto"/>
        <w:bottom w:val="none" w:sz="0" w:space="0" w:color="auto"/>
        <w:right w:val="none" w:sz="0" w:space="0" w:color="auto"/>
      </w:divBdr>
    </w:div>
    <w:div w:id="1146316150">
      <w:bodyDiv w:val="1"/>
      <w:marLeft w:val="0"/>
      <w:marRight w:val="0"/>
      <w:marTop w:val="0"/>
      <w:marBottom w:val="0"/>
      <w:divBdr>
        <w:top w:val="none" w:sz="0" w:space="0" w:color="auto"/>
        <w:left w:val="none" w:sz="0" w:space="0" w:color="auto"/>
        <w:bottom w:val="none" w:sz="0" w:space="0" w:color="auto"/>
        <w:right w:val="none" w:sz="0" w:space="0" w:color="auto"/>
      </w:divBdr>
    </w:div>
    <w:div w:id="1147744781">
      <w:bodyDiv w:val="1"/>
      <w:marLeft w:val="0"/>
      <w:marRight w:val="0"/>
      <w:marTop w:val="0"/>
      <w:marBottom w:val="0"/>
      <w:divBdr>
        <w:top w:val="none" w:sz="0" w:space="0" w:color="auto"/>
        <w:left w:val="none" w:sz="0" w:space="0" w:color="auto"/>
        <w:bottom w:val="none" w:sz="0" w:space="0" w:color="auto"/>
        <w:right w:val="none" w:sz="0" w:space="0" w:color="auto"/>
      </w:divBdr>
      <w:divsChild>
        <w:div w:id="550272187">
          <w:marLeft w:val="0"/>
          <w:marRight w:val="0"/>
          <w:marTop w:val="0"/>
          <w:marBottom w:val="0"/>
          <w:divBdr>
            <w:top w:val="none" w:sz="0" w:space="0" w:color="auto"/>
            <w:left w:val="none" w:sz="0" w:space="0" w:color="auto"/>
            <w:bottom w:val="none" w:sz="0" w:space="0" w:color="auto"/>
            <w:right w:val="none" w:sz="0" w:space="0" w:color="auto"/>
          </w:divBdr>
        </w:div>
      </w:divsChild>
    </w:div>
    <w:div w:id="1291863677">
      <w:bodyDiv w:val="1"/>
      <w:marLeft w:val="0"/>
      <w:marRight w:val="0"/>
      <w:marTop w:val="0"/>
      <w:marBottom w:val="0"/>
      <w:divBdr>
        <w:top w:val="none" w:sz="0" w:space="0" w:color="auto"/>
        <w:left w:val="none" w:sz="0" w:space="0" w:color="auto"/>
        <w:bottom w:val="none" w:sz="0" w:space="0" w:color="auto"/>
        <w:right w:val="none" w:sz="0" w:space="0" w:color="auto"/>
      </w:divBdr>
    </w:div>
    <w:div w:id="1308587149">
      <w:bodyDiv w:val="1"/>
      <w:marLeft w:val="0"/>
      <w:marRight w:val="0"/>
      <w:marTop w:val="0"/>
      <w:marBottom w:val="0"/>
      <w:divBdr>
        <w:top w:val="none" w:sz="0" w:space="0" w:color="auto"/>
        <w:left w:val="none" w:sz="0" w:space="0" w:color="auto"/>
        <w:bottom w:val="none" w:sz="0" w:space="0" w:color="auto"/>
        <w:right w:val="none" w:sz="0" w:space="0" w:color="auto"/>
      </w:divBdr>
    </w:div>
    <w:div w:id="1387996217">
      <w:bodyDiv w:val="1"/>
      <w:marLeft w:val="0"/>
      <w:marRight w:val="0"/>
      <w:marTop w:val="0"/>
      <w:marBottom w:val="0"/>
      <w:divBdr>
        <w:top w:val="none" w:sz="0" w:space="0" w:color="auto"/>
        <w:left w:val="none" w:sz="0" w:space="0" w:color="auto"/>
        <w:bottom w:val="none" w:sz="0" w:space="0" w:color="auto"/>
        <w:right w:val="none" w:sz="0" w:space="0" w:color="auto"/>
      </w:divBdr>
    </w:div>
    <w:div w:id="1396198952">
      <w:bodyDiv w:val="1"/>
      <w:marLeft w:val="0"/>
      <w:marRight w:val="0"/>
      <w:marTop w:val="0"/>
      <w:marBottom w:val="0"/>
      <w:divBdr>
        <w:top w:val="none" w:sz="0" w:space="0" w:color="auto"/>
        <w:left w:val="none" w:sz="0" w:space="0" w:color="auto"/>
        <w:bottom w:val="none" w:sz="0" w:space="0" w:color="auto"/>
        <w:right w:val="none" w:sz="0" w:space="0" w:color="auto"/>
      </w:divBdr>
    </w:div>
    <w:div w:id="1465348789">
      <w:bodyDiv w:val="1"/>
      <w:marLeft w:val="0"/>
      <w:marRight w:val="0"/>
      <w:marTop w:val="0"/>
      <w:marBottom w:val="0"/>
      <w:divBdr>
        <w:top w:val="none" w:sz="0" w:space="0" w:color="auto"/>
        <w:left w:val="none" w:sz="0" w:space="0" w:color="auto"/>
        <w:bottom w:val="none" w:sz="0" w:space="0" w:color="auto"/>
        <w:right w:val="none" w:sz="0" w:space="0" w:color="auto"/>
      </w:divBdr>
    </w:div>
    <w:div w:id="1650985675">
      <w:bodyDiv w:val="1"/>
      <w:marLeft w:val="0"/>
      <w:marRight w:val="0"/>
      <w:marTop w:val="0"/>
      <w:marBottom w:val="0"/>
      <w:divBdr>
        <w:top w:val="none" w:sz="0" w:space="0" w:color="auto"/>
        <w:left w:val="none" w:sz="0" w:space="0" w:color="auto"/>
        <w:bottom w:val="none" w:sz="0" w:space="0" w:color="auto"/>
        <w:right w:val="none" w:sz="0" w:space="0" w:color="auto"/>
      </w:divBdr>
    </w:div>
    <w:div w:id="1809932077">
      <w:bodyDiv w:val="1"/>
      <w:marLeft w:val="0"/>
      <w:marRight w:val="0"/>
      <w:marTop w:val="0"/>
      <w:marBottom w:val="0"/>
      <w:divBdr>
        <w:top w:val="none" w:sz="0" w:space="0" w:color="auto"/>
        <w:left w:val="none" w:sz="0" w:space="0" w:color="auto"/>
        <w:bottom w:val="none" w:sz="0" w:space="0" w:color="auto"/>
        <w:right w:val="none" w:sz="0" w:space="0" w:color="auto"/>
      </w:divBdr>
    </w:div>
    <w:div w:id="1836455780">
      <w:bodyDiv w:val="1"/>
      <w:marLeft w:val="0"/>
      <w:marRight w:val="0"/>
      <w:marTop w:val="0"/>
      <w:marBottom w:val="0"/>
      <w:divBdr>
        <w:top w:val="none" w:sz="0" w:space="0" w:color="auto"/>
        <w:left w:val="none" w:sz="0" w:space="0" w:color="auto"/>
        <w:bottom w:val="none" w:sz="0" w:space="0" w:color="auto"/>
        <w:right w:val="none" w:sz="0" w:space="0" w:color="auto"/>
      </w:divBdr>
    </w:div>
    <w:div w:id="1892299369">
      <w:bodyDiv w:val="1"/>
      <w:marLeft w:val="0"/>
      <w:marRight w:val="0"/>
      <w:marTop w:val="0"/>
      <w:marBottom w:val="0"/>
      <w:divBdr>
        <w:top w:val="none" w:sz="0" w:space="0" w:color="auto"/>
        <w:left w:val="none" w:sz="0" w:space="0" w:color="auto"/>
        <w:bottom w:val="none" w:sz="0" w:space="0" w:color="auto"/>
        <w:right w:val="none" w:sz="0" w:space="0" w:color="auto"/>
      </w:divBdr>
      <w:divsChild>
        <w:div w:id="239297943">
          <w:marLeft w:val="0"/>
          <w:marRight w:val="0"/>
          <w:marTop w:val="0"/>
          <w:marBottom w:val="0"/>
          <w:divBdr>
            <w:top w:val="none" w:sz="0" w:space="0" w:color="auto"/>
            <w:left w:val="none" w:sz="0" w:space="0" w:color="auto"/>
            <w:bottom w:val="none" w:sz="0" w:space="0" w:color="auto"/>
            <w:right w:val="none" w:sz="0" w:space="0" w:color="auto"/>
          </w:divBdr>
        </w:div>
      </w:divsChild>
    </w:div>
    <w:div w:id="2070839076">
      <w:bodyDiv w:val="1"/>
      <w:marLeft w:val="0"/>
      <w:marRight w:val="0"/>
      <w:marTop w:val="0"/>
      <w:marBottom w:val="0"/>
      <w:divBdr>
        <w:top w:val="none" w:sz="0" w:space="0" w:color="auto"/>
        <w:left w:val="none" w:sz="0" w:space="0" w:color="auto"/>
        <w:bottom w:val="none" w:sz="0" w:space="0" w:color="auto"/>
        <w:right w:val="none" w:sz="0" w:space="0" w:color="auto"/>
      </w:divBdr>
    </w:div>
    <w:div w:id="213281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USER-20170424GR\Desktop\&#22269;&#38469;&#21407;&#27833;&#20215;&#26684;&#21450;&#36208;&#21183;&#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8&#21608;&#20116;\&#26368;&#26032;&#28342;&#21058;&#27833;&#21608;&#25253;&#65306;&#23665;&#19996;&#22320;&#28860;&#30707;&#33041;&#27833;&#20215;&#26684;&#36208;&#21183;&#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宋体"/>
                <a:ea typeface="宋体"/>
                <a:cs typeface="宋体"/>
              </a:defRPr>
            </a:pPr>
            <a:r>
              <a:rPr lang="zh-CN" altLang="en-US"/>
              <a:t>世界原油期货走势图</a:t>
            </a:r>
          </a:p>
        </c:rich>
      </c:tx>
      <c:layout>
        <c:manualLayout>
          <c:xMode val="edge"/>
          <c:yMode val="edge"/>
          <c:x val="0.35253761413626111"/>
          <c:y val="6.8685160948886839E-2"/>
        </c:manualLayout>
      </c:layout>
    </c:title>
    <c:plotArea>
      <c:layout>
        <c:manualLayout>
          <c:layoutTarget val="inner"/>
          <c:xMode val="edge"/>
          <c:yMode val="edge"/>
          <c:x val="0.12997689549369709"/>
          <c:y val="0.13499424288585218"/>
          <c:w val="0.79055189529880265"/>
          <c:h val="0.76060367454068456"/>
        </c:manualLayout>
      </c:layout>
      <c:lineChart>
        <c:grouping val="standard"/>
        <c:ser>
          <c:idx val="0"/>
          <c:order val="0"/>
          <c:tx>
            <c:strRef>
              <c:f>'世界-走势图'!$B$1</c:f>
              <c:strCache>
                <c:ptCount val="1"/>
                <c:pt idx="0">
                  <c:v>WTI</c:v>
                </c:pt>
              </c:strCache>
            </c:strRef>
          </c:tx>
          <c:spPr>
            <a:ln w="25400" cap="rnd" cmpd="sng" algn="ctr">
              <a:solidFill>
                <a:srgbClr val="0000FF">
                  <a:alpha val="100000"/>
                </a:srgbClr>
              </a:solidFill>
              <a:prstDash val="solid"/>
              <a:round/>
            </a:ln>
          </c:spPr>
          <c:marker>
            <c:symbol val="none"/>
          </c:marker>
          <c:cat>
            <c:numRef>
              <c:f>'世界-走势图'!$A$2:$A$716</c:f>
              <c:numCache>
                <c:formatCode>yyyy/m/d;@</c:formatCode>
                <c:ptCount val="715"/>
                <c:pt idx="0">
                  <c:v>43572</c:v>
                </c:pt>
                <c:pt idx="1">
                  <c:v>43571</c:v>
                </c:pt>
                <c:pt idx="2">
                  <c:v>43570</c:v>
                </c:pt>
                <c:pt idx="3">
                  <c:v>43567</c:v>
                </c:pt>
                <c:pt idx="4">
                  <c:v>43566</c:v>
                </c:pt>
                <c:pt idx="5">
                  <c:v>43565</c:v>
                </c:pt>
                <c:pt idx="6">
                  <c:v>43564</c:v>
                </c:pt>
                <c:pt idx="7">
                  <c:v>43563</c:v>
                </c:pt>
                <c:pt idx="8">
                  <c:v>43560</c:v>
                </c:pt>
                <c:pt idx="9">
                  <c:v>43559</c:v>
                </c:pt>
                <c:pt idx="10">
                  <c:v>43558</c:v>
                </c:pt>
                <c:pt idx="11">
                  <c:v>43557</c:v>
                </c:pt>
                <c:pt idx="12">
                  <c:v>43556</c:v>
                </c:pt>
                <c:pt idx="13">
                  <c:v>43553</c:v>
                </c:pt>
                <c:pt idx="14">
                  <c:v>43552</c:v>
                </c:pt>
                <c:pt idx="15">
                  <c:v>43551</c:v>
                </c:pt>
                <c:pt idx="16">
                  <c:v>43550</c:v>
                </c:pt>
                <c:pt idx="17">
                  <c:v>43549</c:v>
                </c:pt>
                <c:pt idx="18">
                  <c:v>43546</c:v>
                </c:pt>
                <c:pt idx="19">
                  <c:v>43545</c:v>
                </c:pt>
                <c:pt idx="20">
                  <c:v>43544</c:v>
                </c:pt>
                <c:pt idx="21">
                  <c:v>43543</c:v>
                </c:pt>
                <c:pt idx="22">
                  <c:v>43542</c:v>
                </c:pt>
                <c:pt idx="23">
                  <c:v>43539</c:v>
                </c:pt>
                <c:pt idx="24">
                  <c:v>43538</c:v>
                </c:pt>
                <c:pt idx="25">
                  <c:v>43537</c:v>
                </c:pt>
                <c:pt idx="26">
                  <c:v>43536</c:v>
                </c:pt>
                <c:pt idx="27">
                  <c:v>43535</c:v>
                </c:pt>
                <c:pt idx="28">
                  <c:v>43532</c:v>
                </c:pt>
                <c:pt idx="29">
                  <c:v>43531</c:v>
                </c:pt>
                <c:pt idx="30">
                  <c:v>43530</c:v>
                </c:pt>
                <c:pt idx="31">
                  <c:v>43529</c:v>
                </c:pt>
                <c:pt idx="32">
                  <c:v>43528</c:v>
                </c:pt>
                <c:pt idx="33">
                  <c:v>43525</c:v>
                </c:pt>
                <c:pt idx="34">
                  <c:v>43524</c:v>
                </c:pt>
                <c:pt idx="35">
                  <c:v>43523</c:v>
                </c:pt>
                <c:pt idx="36">
                  <c:v>43522</c:v>
                </c:pt>
                <c:pt idx="37">
                  <c:v>43521</c:v>
                </c:pt>
                <c:pt idx="38">
                  <c:v>43518</c:v>
                </c:pt>
                <c:pt idx="39">
                  <c:v>43517</c:v>
                </c:pt>
                <c:pt idx="40">
                  <c:v>43516</c:v>
                </c:pt>
                <c:pt idx="41">
                  <c:v>43515</c:v>
                </c:pt>
                <c:pt idx="42">
                  <c:v>43514</c:v>
                </c:pt>
                <c:pt idx="43">
                  <c:v>43511</c:v>
                </c:pt>
                <c:pt idx="44">
                  <c:v>43510</c:v>
                </c:pt>
                <c:pt idx="45">
                  <c:v>43509</c:v>
                </c:pt>
                <c:pt idx="46">
                  <c:v>43508</c:v>
                </c:pt>
                <c:pt idx="47">
                  <c:v>43507</c:v>
                </c:pt>
                <c:pt idx="48">
                  <c:v>43504</c:v>
                </c:pt>
                <c:pt idx="49">
                  <c:v>43503</c:v>
                </c:pt>
                <c:pt idx="50">
                  <c:v>43502</c:v>
                </c:pt>
                <c:pt idx="51">
                  <c:v>43501</c:v>
                </c:pt>
                <c:pt idx="52">
                  <c:v>43500</c:v>
                </c:pt>
                <c:pt idx="53">
                  <c:v>43497</c:v>
                </c:pt>
                <c:pt idx="54">
                  <c:v>43496</c:v>
                </c:pt>
                <c:pt idx="55">
                  <c:v>43495</c:v>
                </c:pt>
                <c:pt idx="56">
                  <c:v>43494</c:v>
                </c:pt>
                <c:pt idx="57">
                  <c:v>43493</c:v>
                </c:pt>
                <c:pt idx="58">
                  <c:v>43490</c:v>
                </c:pt>
                <c:pt idx="59">
                  <c:v>43489</c:v>
                </c:pt>
                <c:pt idx="60">
                  <c:v>43488</c:v>
                </c:pt>
                <c:pt idx="61">
                  <c:v>43487</c:v>
                </c:pt>
                <c:pt idx="62">
                  <c:v>43486</c:v>
                </c:pt>
                <c:pt idx="63">
                  <c:v>43483</c:v>
                </c:pt>
                <c:pt idx="64">
                  <c:v>43482</c:v>
                </c:pt>
                <c:pt idx="65">
                  <c:v>43481</c:v>
                </c:pt>
                <c:pt idx="66">
                  <c:v>43480</c:v>
                </c:pt>
                <c:pt idx="67">
                  <c:v>43479</c:v>
                </c:pt>
                <c:pt idx="68">
                  <c:v>43476</c:v>
                </c:pt>
                <c:pt idx="69">
                  <c:v>43475</c:v>
                </c:pt>
                <c:pt idx="70">
                  <c:v>43474</c:v>
                </c:pt>
                <c:pt idx="71">
                  <c:v>43473</c:v>
                </c:pt>
                <c:pt idx="72">
                  <c:v>43472</c:v>
                </c:pt>
                <c:pt idx="73">
                  <c:v>43469</c:v>
                </c:pt>
                <c:pt idx="74">
                  <c:v>43468</c:v>
                </c:pt>
                <c:pt idx="75">
                  <c:v>43467</c:v>
                </c:pt>
                <c:pt idx="76">
                  <c:v>43466</c:v>
                </c:pt>
                <c:pt idx="77">
                  <c:v>43465</c:v>
                </c:pt>
                <c:pt idx="78">
                  <c:v>43462</c:v>
                </c:pt>
                <c:pt idx="79">
                  <c:v>43461</c:v>
                </c:pt>
                <c:pt idx="80">
                  <c:v>43460</c:v>
                </c:pt>
                <c:pt idx="81">
                  <c:v>43459</c:v>
                </c:pt>
                <c:pt idx="82">
                  <c:v>43458</c:v>
                </c:pt>
                <c:pt idx="83">
                  <c:v>43455</c:v>
                </c:pt>
                <c:pt idx="84">
                  <c:v>43454</c:v>
                </c:pt>
                <c:pt idx="85">
                  <c:v>43453</c:v>
                </c:pt>
                <c:pt idx="86">
                  <c:v>43452</c:v>
                </c:pt>
                <c:pt idx="87">
                  <c:v>43451</c:v>
                </c:pt>
                <c:pt idx="88">
                  <c:v>43448</c:v>
                </c:pt>
                <c:pt idx="89">
                  <c:v>43447</c:v>
                </c:pt>
                <c:pt idx="90">
                  <c:v>43446</c:v>
                </c:pt>
                <c:pt idx="91">
                  <c:v>43445</c:v>
                </c:pt>
                <c:pt idx="92">
                  <c:v>43444</c:v>
                </c:pt>
                <c:pt idx="93">
                  <c:v>43441</c:v>
                </c:pt>
                <c:pt idx="94">
                  <c:v>43440</c:v>
                </c:pt>
                <c:pt idx="95">
                  <c:v>43439</c:v>
                </c:pt>
                <c:pt idx="96">
                  <c:v>43438</c:v>
                </c:pt>
                <c:pt idx="97">
                  <c:v>43437</c:v>
                </c:pt>
                <c:pt idx="98">
                  <c:v>43434</c:v>
                </c:pt>
                <c:pt idx="99">
                  <c:v>43433</c:v>
                </c:pt>
                <c:pt idx="100">
                  <c:v>43432</c:v>
                </c:pt>
                <c:pt idx="101">
                  <c:v>43431</c:v>
                </c:pt>
                <c:pt idx="102">
                  <c:v>43430</c:v>
                </c:pt>
                <c:pt idx="103">
                  <c:v>43427</c:v>
                </c:pt>
                <c:pt idx="104">
                  <c:v>43426</c:v>
                </c:pt>
                <c:pt idx="105">
                  <c:v>43425</c:v>
                </c:pt>
                <c:pt idx="106">
                  <c:v>43424</c:v>
                </c:pt>
                <c:pt idx="107">
                  <c:v>43423</c:v>
                </c:pt>
                <c:pt idx="108">
                  <c:v>43420</c:v>
                </c:pt>
                <c:pt idx="109">
                  <c:v>43419</c:v>
                </c:pt>
                <c:pt idx="110">
                  <c:v>43418</c:v>
                </c:pt>
                <c:pt idx="111">
                  <c:v>43417</c:v>
                </c:pt>
                <c:pt idx="112">
                  <c:v>43416</c:v>
                </c:pt>
                <c:pt idx="113">
                  <c:v>43413</c:v>
                </c:pt>
                <c:pt idx="114">
                  <c:v>43412</c:v>
                </c:pt>
                <c:pt idx="115">
                  <c:v>43411</c:v>
                </c:pt>
                <c:pt idx="116">
                  <c:v>43410</c:v>
                </c:pt>
                <c:pt idx="117">
                  <c:v>43409</c:v>
                </c:pt>
                <c:pt idx="118">
                  <c:v>43406</c:v>
                </c:pt>
                <c:pt idx="119">
                  <c:v>43405</c:v>
                </c:pt>
                <c:pt idx="120">
                  <c:v>43404</c:v>
                </c:pt>
                <c:pt idx="121">
                  <c:v>43403</c:v>
                </c:pt>
                <c:pt idx="122">
                  <c:v>43402</c:v>
                </c:pt>
                <c:pt idx="123">
                  <c:v>43399</c:v>
                </c:pt>
                <c:pt idx="124">
                  <c:v>43398</c:v>
                </c:pt>
                <c:pt idx="125">
                  <c:v>43397</c:v>
                </c:pt>
                <c:pt idx="126">
                  <c:v>43396</c:v>
                </c:pt>
                <c:pt idx="127">
                  <c:v>43395</c:v>
                </c:pt>
                <c:pt idx="128">
                  <c:v>43392</c:v>
                </c:pt>
                <c:pt idx="129">
                  <c:v>43391</c:v>
                </c:pt>
                <c:pt idx="130">
                  <c:v>43390</c:v>
                </c:pt>
                <c:pt idx="131">
                  <c:v>43389</c:v>
                </c:pt>
                <c:pt idx="132">
                  <c:v>43388</c:v>
                </c:pt>
                <c:pt idx="133">
                  <c:v>43385</c:v>
                </c:pt>
                <c:pt idx="134">
                  <c:v>43384</c:v>
                </c:pt>
                <c:pt idx="135">
                  <c:v>43383</c:v>
                </c:pt>
                <c:pt idx="136">
                  <c:v>43382</c:v>
                </c:pt>
                <c:pt idx="137">
                  <c:v>43381</c:v>
                </c:pt>
                <c:pt idx="138">
                  <c:v>43378</c:v>
                </c:pt>
                <c:pt idx="139">
                  <c:v>43377</c:v>
                </c:pt>
                <c:pt idx="140">
                  <c:v>43376</c:v>
                </c:pt>
                <c:pt idx="141">
                  <c:v>43375</c:v>
                </c:pt>
                <c:pt idx="142">
                  <c:v>43374</c:v>
                </c:pt>
                <c:pt idx="143">
                  <c:v>43371</c:v>
                </c:pt>
                <c:pt idx="144">
                  <c:v>43370</c:v>
                </c:pt>
                <c:pt idx="145">
                  <c:v>43369</c:v>
                </c:pt>
                <c:pt idx="146">
                  <c:v>43368</c:v>
                </c:pt>
                <c:pt idx="147">
                  <c:v>43367</c:v>
                </c:pt>
                <c:pt idx="148">
                  <c:v>43364</c:v>
                </c:pt>
                <c:pt idx="149">
                  <c:v>43363</c:v>
                </c:pt>
                <c:pt idx="150">
                  <c:v>43362</c:v>
                </c:pt>
                <c:pt idx="151">
                  <c:v>43361</c:v>
                </c:pt>
                <c:pt idx="152">
                  <c:v>43360</c:v>
                </c:pt>
                <c:pt idx="153">
                  <c:v>43357</c:v>
                </c:pt>
                <c:pt idx="154">
                  <c:v>43356</c:v>
                </c:pt>
                <c:pt idx="155">
                  <c:v>43355</c:v>
                </c:pt>
                <c:pt idx="156">
                  <c:v>43354</c:v>
                </c:pt>
                <c:pt idx="157">
                  <c:v>43353</c:v>
                </c:pt>
                <c:pt idx="158">
                  <c:v>43350</c:v>
                </c:pt>
                <c:pt idx="159">
                  <c:v>43349</c:v>
                </c:pt>
                <c:pt idx="160">
                  <c:v>43348</c:v>
                </c:pt>
                <c:pt idx="161">
                  <c:v>43347</c:v>
                </c:pt>
                <c:pt idx="162">
                  <c:v>43346</c:v>
                </c:pt>
                <c:pt idx="163">
                  <c:v>43343</c:v>
                </c:pt>
                <c:pt idx="164">
                  <c:v>43342</c:v>
                </c:pt>
                <c:pt idx="165">
                  <c:v>43341</c:v>
                </c:pt>
                <c:pt idx="166">
                  <c:v>43340</c:v>
                </c:pt>
                <c:pt idx="167">
                  <c:v>43339</c:v>
                </c:pt>
                <c:pt idx="168">
                  <c:v>43336</c:v>
                </c:pt>
                <c:pt idx="169">
                  <c:v>43335</c:v>
                </c:pt>
                <c:pt idx="170">
                  <c:v>43334</c:v>
                </c:pt>
                <c:pt idx="171">
                  <c:v>43333</c:v>
                </c:pt>
                <c:pt idx="172">
                  <c:v>43332</c:v>
                </c:pt>
                <c:pt idx="173">
                  <c:v>43329</c:v>
                </c:pt>
                <c:pt idx="174">
                  <c:v>43328</c:v>
                </c:pt>
                <c:pt idx="175">
                  <c:v>43327</c:v>
                </c:pt>
                <c:pt idx="176">
                  <c:v>43326</c:v>
                </c:pt>
                <c:pt idx="177">
                  <c:v>43325</c:v>
                </c:pt>
                <c:pt idx="178">
                  <c:v>43322</c:v>
                </c:pt>
                <c:pt idx="179">
                  <c:v>43321</c:v>
                </c:pt>
                <c:pt idx="180">
                  <c:v>43320</c:v>
                </c:pt>
                <c:pt idx="181">
                  <c:v>43319</c:v>
                </c:pt>
                <c:pt idx="182">
                  <c:v>43318</c:v>
                </c:pt>
                <c:pt idx="183">
                  <c:v>43315</c:v>
                </c:pt>
                <c:pt idx="184">
                  <c:v>43314</c:v>
                </c:pt>
                <c:pt idx="185">
                  <c:v>43313</c:v>
                </c:pt>
                <c:pt idx="186">
                  <c:v>43312</c:v>
                </c:pt>
                <c:pt idx="187">
                  <c:v>43311</c:v>
                </c:pt>
                <c:pt idx="188">
                  <c:v>43308</c:v>
                </c:pt>
                <c:pt idx="189">
                  <c:v>43307</c:v>
                </c:pt>
                <c:pt idx="190">
                  <c:v>43306</c:v>
                </c:pt>
                <c:pt idx="191">
                  <c:v>43305</c:v>
                </c:pt>
                <c:pt idx="192">
                  <c:v>43304</c:v>
                </c:pt>
                <c:pt idx="193">
                  <c:v>43301</c:v>
                </c:pt>
                <c:pt idx="194">
                  <c:v>43300</c:v>
                </c:pt>
                <c:pt idx="195">
                  <c:v>43299</c:v>
                </c:pt>
                <c:pt idx="196">
                  <c:v>43298</c:v>
                </c:pt>
                <c:pt idx="197">
                  <c:v>43297</c:v>
                </c:pt>
                <c:pt idx="198">
                  <c:v>43294</c:v>
                </c:pt>
                <c:pt idx="199">
                  <c:v>43293</c:v>
                </c:pt>
                <c:pt idx="200">
                  <c:v>43292</c:v>
                </c:pt>
                <c:pt idx="201">
                  <c:v>43291</c:v>
                </c:pt>
                <c:pt idx="202">
                  <c:v>43290</c:v>
                </c:pt>
                <c:pt idx="203">
                  <c:v>43287</c:v>
                </c:pt>
                <c:pt idx="204">
                  <c:v>43286</c:v>
                </c:pt>
                <c:pt idx="205">
                  <c:v>43285</c:v>
                </c:pt>
                <c:pt idx="206">
                  <c:v>43284</c:v>
                </c:pt>
                <c:pt idx="207">
                  <c:v>43283</c:v>
                </c:pt>
                <c:pt idx="208">
                  <c:v>43280</c:v>
                </c:pt>
                <c:pt idx="209">
                  <c:v>43279</c:v>
                </c:pt>
                <c:pt idx="210">
                  <c:v>43278</c:v>
                </c:pt>
                <c:pt idx="211">
                  <c:v>43277</c:v>
                </c:pt>
                <c:pt idx="212">
                  <c:v>43276</c:v>
                </c:pt>
                <c:pt idx="213">
                  <c:v>43273</c:v>
                </c:pt>
                <c:pt idx="214">
                  <c:v>43272</c:v>
                </c:pt>
                <c:pt idx="215">
                  <c:v>43271</c:v>
                </c:pt>
                <c:pt idx="216">
                  <c:v>43270</c:v>
                </c:pt>
                <c:pt idx="217">
                  <c:v>43269</c:v>
                </c:pt>
                <c:pt idx="218">
                  <c:v>43266</c:v>
                </c:pt>
                <c:pt idx="219">
                  <c:v>43265</c:v>
                </c:pt>
                <c:pt idx="220">
                  <c:v>43264</c:v>
                </c:pt>
                <c:pt idx="221">
                  <c:v>43263</c:v>
                </c:pt>
                <c:pt idx="222">
                  <c:v>43262</c:v>
                </c:pt>
                <c:pt idx="223">
                  <c:v>43259</c:v>
                </c:pt>
                <c:pt idx="224">
                  <c:v>43258</c:v>
                </c:pt>
                <c:pt idx="225">
                  <c:v>43257</c:v>
                </c:pt>
                <c:pt idx="226">
                  <c:v>43256</c:v>
                </c:pt>
                <c:pt idx="227">
                  <c:v>43255</c:v>
                </c:pt>
                <c:pt idx="228">
                  <c:v>43252</c:v>
                </c:pt>
                <c:pt idx="229">
                  <c:v>43251</c:v>
                </c:pt>
                <c:pt idx="230">
                  <c:v>43250</c:v>
                </c:pt>
                <c:pt idx="231">
                  <c:v>43249</c:v>
                </c:pt>
                <c:pt idx="232">
                  <c:v>43248</c:v>
                </c:pt>
                <c:pt idx="233">
                  <c:v>43245</c:v>
                </c:pt>
                <c:pt idx="234">
                  <c:v>43244</c:v>
                </c:pt>
                <c:pt idx="235">
                  <c:v>43243</c:v>
                </c:pt>
                <c:pt idx="236">
                  <c:v>43242</c:v>
                </c:pt>
                <c:pt idx="237">
                  <c:v>43241</c:v>
                </c:pt>
                <c:pt idx="238">
                  <c:v>43238</c:v>
                </c:pt>
                <c:pt idx="239">
                  <c:v>43237</c:v>
                </c:pt>
                <c:pt idx="240">
                  <c:v>43236</c:v>
                </c:pt>
                <c:pt idx="241">
                  <c:v>43235</c:v>
                </c:pt>
                <c:pt idx="242">
                  <c:v>43234</c:v>
                </c:pt>
                <c:pt idx="243">
                  <c:v>43231</c:v>
                </c:pt>
                <c:pt idx="244">
                  <c:v>43230</c:v>
                </c:pt>
                <c:pt idx="245">
                  <c:v>43229</c:v>
                </c:pt>
                <c:pt idx="246">
                  <c:v>43228</c:v>
                </c:pt>
                <c:pt idx="247">
                  <c:v>43227</c:v>
                </c:pt>
                <c:pt idx="248">
                  <c:v>43224</c:v>
                </c:pt>
                <c:pt idx="249">
                  <c:v>43223</c:v>
                </c:pt>
                <c:pt idx="250">
                  <c:v>43222</c:v>
                </c:pt>
                <c:pt idx="251">
                  <c:v>43221</c:v>
                </c:pt>
                <c:pt idx="252">
                  <c:v>43220</c:v>
                </c:pt>
                <c:pt idx="253">
                  <c:v>43217</c:v>
                </c:pt>
                <c:pt idx="254">
                  <c:v>43216</c:v>
                </c:pt>
                <c:pt idx="255">
                  <c:v>43215</c:v>
                </c:pt>
                <c:pt idx="256">
                  <c:v>43214</c:v>
                </c:pt>
                <c:pt idx="257">
                  <c:v>43213</c:v>
                </c:pt>
                <c:pt idx="258">
                  <c:v>43210</c:v>
                </c:pt>
                <c:pt idx="259">
                  <c:v>43209</c:v>
                </c:pt>
                <c:pt idx="260">
                  <c:v>43208</c:v>
                </c:pt>
                <c:pt idx="261">
                  <c:v>43207</c:v>
                </c:pt>
                <c:pt idx="262">
                  <c:v>43206</c:v>
                </c:pt>
                <c:pt idx="263">
                  <c:v>43203</c:v>
                </c:pt>
                <c:pt idx="264">
                  <c:v>43202</c:v>
                </c:pt>
                <c:pt idx="265">
                  <c:v>43201</c:v>
                </c:pt>
                <c:pt idx="266">
                  <c:v>43200</c:v>
                </c:pt>
                <c:pt idx="267">
                  <c:v>43199</c:v>
                </c:pt>
                <c:pt idx="268">
                  <c:v>43196</c:v>
                </c:pt>
                <c:pt idx="269">
                  <c:v>43195</c:v>
                </c:pt>
                <c:pt idx="270">
                  <c:v>43194</c:v>
                </c:pt>
                <c:pt idx="271">
                  <c:v>43193</c:v>
                </c:pt>
                <c:pt idx="272">
                  <c:v>43192</c:v>
                </c:pt>
                <c:pt idx="273">
                  <c:v>43189</c:v>
                </c:pt>
                <c:pt idx="274">
                  <c:v>43188</c:v>
                </c:pt>
                <c:pt idx="275">
                  <c:v>43187</c:v>
                </c:pt>
                <c:pt idx="276">
                  <c:v>43186</c:v>
                </c:pt>
                <c:pt idx="277">
                  <c:v>43185</c:v>
                </c:pt>
                <c:pt idx="278">
                  <c:v>43182</c:v>
                </c:pt>
                <c:pt idx="279">
                  <c:v>43181</c:v>
                </c:pt>
                <c:pt idx="280">
                  <c:v>43180</c:v>
                </c:pt>
                <c:pt idx="281">
                  <c:v>43179</c:v>
                </c:pt>
                <c:pt idx="282">
                  <c:v>43178</c:v>
                </c:pt>
                <c:pt idx="283">
                  <c:v>43175</c:v>
                </c:pt>
                <c:pt idx="284">
                  <c:v>43174</c:v>
                </c:pt>
                <c:pt idx="285">
                  <c:v>43173</c:v>
                </c:pt>
                <c:pt idx="286">
                  <c:v>43172</c:v>
                </c:pt>
                <c:pt idx="287">
                  <c:v>43171</c:v>
                </c:pt>
                <c:pt idx="288">
                  <c:v>43168</c:v>
                </c:pt>
                <c:pt idx="289">
                  <c:v>43167</c:v>
                </c:pt>
                <c:pt idx="290">
                  <c:v>43166</c:v>
                </c:pt>
                <c:pt idx="291">
                  <c:v>43165</c:v>
                </c:pt>
                <c:pt idx="292">
                  <c:v>43164</c:v>
                </c:pt>
                <c:pt idx="293">
                  <c:v>43161</c:v>
                </c:pt>
                <c:pt idx="294">
                  <c:v>43160</c:v>
                </c:pt>
                <c:pt idx="295">
                  <c:v>43159</c:v>
                </c:pt>
                <c:pt idx="296">
                  <c:v>43158</c:v>
                </c:pt>
                <c:pt idx="297">
                  <c:v>43157</c:v>
                </c:pt>
                <c:pt idx="298">
                  <c:v>43154</c:v>
                </c:pt>
                <c:pt idx="299">
                  <c:v>43153</c:v>
                </c:pt>
                <c:pt idx="300">
                  <c:v>43152</c:v>
                </c:pt>
                <c:pt idx="301">
                  <c:v>43143</c:v>
                </c:pt>
                <c:pt idx="302">
                  <c:v>43140</c:v>
                </c:pt>
                <c:pt idx="303">
                  <c:v>43139</c:v>
                </c:pt>
                <c:pt idx="304">
                  <c:v>43138</c:v>
                </c:pt>
                <c:pt idx="305">
                  <c:v>43137</c:v>
                </c:pt>
                <c:pt idx="306">
                  <c:v>43136</c:v>
                </c:pt>
                <c:pt idx="307">
                  <c:v>43133</c:v>
                </c:pt>
                <c:pt idx="308">
                  <c:v>43132</c:v>
                </c:pt>
                <c:pt idx="309">
                  <c:v>43131</c:v>
                </c:pt>
                <c:pt idx="310">
                  <c:v>43130</c:v>
                </c:pt>
                <c:pt idx="311">
                  <c:v>43129</c:v>
                </c:pt>
                <c:pt idx="312">
                  <c:v>43126</c:v>
                </c:pt>
                <c:pt idx="313">
                  <c:v>43125</c:v>
                </c:pt>
                <c:pt idx="314">
                  <c:v>43124</c:v>
                </c:pt>
                <c:pt idx="315">
                  <c:v>43123</c:v>
                </c:pt>
                <c:pt idx="316">
                  <c:v>43122</c:v>
                </c:pt>
                <c:pt idx="317">
                  <c:v>43119</c:v>
                </c:pt>
                <c:pt idx="318">
                  <c:v>43118</c:v>
                </c:pt>
                <c:pt idx="319">
                  <c:v>43117</c:v>
                </c:pt>
                <c:pt idx="320">
                  <c:v>43116</c:v>
                </c:pt>
                <c:pt idx="321">
                  <c:v>43115</c:v>
                </c:pt>
                <c:pt idx="322">
                  <c:v>43112</c:v>
                </c:pt>
                <c:pt idx="323">
                  <c:v>43111</c:v>
                </c:pt>
                <c:pt idx="324">
                  <c:v>43110</c:v>
                </c:pt>
                <c:pt idx="325">
                  <c:v>43109</c:v>
                </c:pt>
                <c:pt idx="326">
                  <c:v>43108</c:v>
                </c:pt>
                <c:pt idx="327">
                  <c:v>43105</c:v>
                </c:pt>
                <c:pt idx="328">
                  <c:v>43104</c:v>
                </c:pt>
                <c:pt idx="329">
                  <c:v>43103</c:v>
                </c:pt>
                <c:pt idx="330">
                  <c:v>43102</c:v>
                </c:pt>
                <c:pt idx="331">
                  <c:v>43101</c:v>
                </c:pt>
                <c:pt idx="332">
                  <c:v>43098</c:v>
                </c:pt>
                <c:pt idx="333">
                  <c:v>43097</c:v>
                </c:pt>
                <c:pt idx="334">
                  <c:v>43096</c:v>
                </c:pt>
                <c:pt idx="335">
                  <c:v>43095</c:v>
                </c:pt>
                <c:pt idx="336">
                  <c:v>43094</c:v>
                </c:pt>
                <c:pt idx="337">
                  <c:v>43091</c:v>
                </c:pt>
                <c:pt idx="338">
                  <c:v>43090</c:v>
                </c:pt>
                <c:pt idx="339">
                  <c:v>43089</c:v>
                </c:pt>
                <c:pt idx="340">
                  <c:v>43088</c:v>
                </c:pt>
                <c:pt idx="341">
                  <c:v>43087</c:v>
                </c:pt>
                <c:pt idx="342">
                  <c:v>43084</c:v>
                </c:pt>
                <c:pt idx="343">
                  <c:v>43083</c:v>
                </c:pt>
                <c:pt idx="344">
                  <c:v>43082</c:v>
                </c:pt>
                <c:pt idx="345">
                  <c:v>43081</c:v>
                </c:pt>
                <c:pt idx="346">
                  <c:v>43080</c:v>
                </c:pt>
                <c:pt idx="347">
                  <c:v>43077</c:v>
                </c:pt>
                <c:pt idx="348">
                  <c:v>43076</c:v>
                </c:pt>
                <c:pt idx="349">
                  <c:v>43075</c:v>
                </c:pt>
                <c:pt idx="350">
                  <c:v>43074</c:v>
                </c:pt>
                <c:pt idx="351">
                  <c:v>43073</c:v>
                </c:pt>
                <c:pt idx="352">
                  <c:v>43070</c:v>
                </c:pt>
                <c:pt idx="353">
                  <c:v>43069</c:v>
                </c:pt>
                <c:pt idx="354">
                  <c:v>43068</c:v>
                </c:pt>
                <c:pt idx="355">
                  <c:v>43067</c:v>
                </c:pt>
                <c:pt idx="356">
                  <c:v>43066</c:v>
                </c:pt>
                <c:pt idx="357">
                  <c:v>43063</c:v>
                </c:pt>
                <c:pt idx="358">
                  <c:v>43062</c:v>
                </c:pt>
                <c:pt idx="359">
                  <c:v>43061</c:v>
                </c:pt>
                <c:pt idx="360">
                  <c:v>43060</c:v>
                </c:pt>
                <c:pt idx="361">
                  <c:v>43059</c:v>
                </c:pt>
                <c:pt idx="362">
                  <c:v>43056</c:v>
                </c:pt>
                <c:pt idx="363">
                  <c:v>43055</c:v>
                </c:pt>
                <c:pt idx="364">
                  <c:v>43054</c:v>
                </c:pt>
                <c:pt idx="365">
                  <c:v>43053</c:v>
                </c:pt>
                <c:pt idx="366">
                  <c:v>43052</c:v>
                </c:pt>
                <c:pt idx="367">
                  <c:v>43049</c:v>
                </c:pt>
                <c:pt idx="368">
                  <c:v>43048</c:v>
                </c:pt>
                <c:pt idx="369">
                  <c:v>43047</c:v>
                </c:pt>
                <c:pt idx="370">
                  <c:v>43046</c:v>
                </c:pt>
                <c:pt idx="371">
                  <c:v>43045</c:v>
                </c:pt>
                <c:pt idx="372">
                  <c:v>43042</c:v>
                </c:pt>
                <c:pt idx="373">
                  <c:v>43041</c:v>
                </c:pt>
                <c:pt idx="374">
                  <c:v>43040</c:v>
                </c:pt>
                <c:pt idx="375">
                  <c:v>43039</c:v>
                </c:pt>
                <c:pt idx="376">
                  <c:v>43038</c:v>
                </c:pt>
                <c:pt idx="377">
                  <c:v>43035</c:v>
                </c:pt>
                <c:pt idx="378">
                  <c:v>43034</c:v>
                </c:pt>
                <c:pt idx="379">
                  <c:v>43033</c:v>
                </c:pt>
                <c:pt idx="380">
                  <c:v>43032</c:v>
                </c:pt>
                <c:pt idx="381">
                  <c:v>43031</c:v>
                </c:pt>
                <c:pt idx="382">
                  <c:v>43028</c:v>
                </c:pt>
                <c:pt idx="383">
                  <c:v>43027</c:v>
                </c:pt>
                <c:pt idx="384">
                  <c:v>43026</c:v>
                </c:pt>
                <c:pt idx="385">
                  <c:v>43025</c:v>
                </c:pt>
                <c:pt idx="386">
                  <c:v>43024</c:v>
                </c:pt>
                <c:pt idx="387">
                  <c:v>43021</c:v>
                </c:pt>
                <c:pt idx="388">
                  <c:v>43020</c:v>
                </c:pt>
                <c:pt idx="389">
                  <c:v>43019</c:v>
                </c:pt>
                <c:pt idx="390">
                  <c:v>43018</c:v>
                </c:pt>
                <c:pt idx="391">
                  <c:v>43017</c:v>
                </c:pt>
                <c:pt idx="392">
                  <c:v>43014</c:v>
                </c:pt>
                <c:pt idx="393">
                  <c:v>43007</c:v>
                </c:pt>
                <c:pt idx="394">
                  <c:v>43006</c:v>
                </c:pt>
                <c:pt idx="395">
                  <c:v>43005</c:v>
                </c:pt>
                <c:pt idx="396">
                  <c:v>43004</c:v>
                </c:pt>
                <c:pt idx="397">
                  <c:v>43003</c:v>
                </c:pt>
                <c:pt idx="398">
                  <c:v>43000</c:v>
                </c:pt>
                <c:pt idx="399">
                  <c:v>42999</c:v>
                </c:pt>
                <c:pt idx="400">
                  <c:v>42998</c:v>
                </c:pt>
                <c:pt idx="401">
                  <c:v>42997</c:v>
                </c:pt>
                <c:pt idx="402">
                  <c:v>42996</c:v>
                </c:pt>
                <c:pt idx="403">
                  <c:v>42993</c:v>
                </c:pt>
                <c:pt idx="404">
                  <c:v>42992</c:v>
                </c:pt>
                <c:pt idx="405">
                  <c:v>42991</c:v>
                </c:pt>
                <c:pt idx="406">
                  <c:v>42990</c:v>
                </c:pt>
                <c:pt idx="407">
                  <c:v>42989</c:v>
                </c:pt>
                <c:pt idx="408">
                  <c:v>42986</c:v>
                </c:pt>
                <c:pt idx="409">
                  <c:v>42985</c:v>
                </c:pt>
                <c:pt idx="410">
                  <c:v>42984</c:v>
                </c:pt>
                <c:pt idx="411">
                  <c:v>42983</c:v>
                </c:pt>
                <c:pt idx="412">
                  <c:v>42982</c:v>
                </c:pt>
                <c:pt idx="413">
                  <c:v>42979</c:v>
                </c:pt>
                <c:pt idx="414">
                  <c:v>42978</c:v>
                </c:pt>
                <c:pt idx="415">
                  <c:v>42977</c:v>
                </c:pt>
                <c:pt idx="416">
                  <c:v>42976</c:v>
                </c:pt>
                <c:pt idx="417">
                  <c:v>42975</c:v>
                </c:pt>
                <c:pt idx="418">
                  <c:v>42972</c:v>
                </c:pt>
                <c:pt idx="419">
                  <c:v>42971</c:v>
                </c:pt>
                <c:pt idx="420">
                  <c:v>42970</c:v>
                </c:pt>
                <c:pt idx="421">
                  <c:v>42969</c:v>
                </c:pt>
                <c:pt idx="422">
                  <c:v>42968</c:v>
                </c:pt>
                <c:pt idx="423">
                  <c:v>42965</c:v>
                </c:pt>
                <c:pt idx="424">
                  <c:v>42964</c:v>
                </c:pt>
                <c:pt idx="425">
                  <c:v>42963</c:v>
                </c:pt>
                <c:pt idx="426">
                  <c:v>42962</c:v>
                </c:pt>
                <c:pt idx="427">
                  <c:v>42961</c:v>
                </c:pt>
                <c:pt idx="428">
                  <c:v>42958</c:v>
                </c:pt>
                <c:pt idx="429">
                  <c:v>42957</c:v>
                </c:pt>
                <c:pt idx="430">
                  <c:v>42956</c:v>
                </c:pt>
                <c:pt idx="431">
                  <c:v>42955</c:v>
                </c:pt>
                <c:pt idx="432">
                  <c:v>42954</c:v>
                </c:pt>
                <c:pt idx="433">
                  <c:v>42951</c:v>
                </c:pt>
                <c:pt idx="434">
                  <c:v>42950</c:v>
                </c:pt>
                <c:pt idx="435">
                  <c:v>42949</c:v>
                </c:pt>
                <c:pt idx="436">
                  <c:v>42948</c:v>
                </c:pt>
                <c:pt idx="437">
                  <c:v>42947</c:v>
                </c:pt>
                <c:pt idx="438">
                  <c:v>42944</c:v>
                </c:pt>
                <c:pt idx="439">
                  <c:v>42943</c:v>
                </c:pt>
                <c:pt idx="440">
                  <c:v>42942</c:v>
                </c:pt>
                <c:pt idx="441">
                  <c:v>42941</c:v>
                </c:pt>
                <c:pt idx="442">
                  <c:v>42940</c:v>
                </c:pt>
                <c:pt idx="443">
                  <c:v>42937</c:v>
                </c:pt>
                <c:pt idx="444">
                  <c:v>42936</c:v>
                </c:pt>
                <c:pt idx="445">
                  <c:v>42935</c:v>
                </c:pt>
                <c:pt idx="446">
                  <c:v>42934</c:v>
                </c:pt>
                <c:pt idx="447">
                  <c:v>42933</c:v>
                </c:pt>
                <c:pt idx="448">
                  <c:v>42930</c:v>
                </c:pt>
                <c:pt idx="449">
                  <c:v>42929</c:v>
                </c:pt>
                <c:pt idx="450">
                  <c:v>42928</c:v>
                </c:pt>
                <c:pt idx="451">
                  <c:v>42927</c:v>
                </c:pt>
                <c:pt idx="452">
                  <c:v>42926</c:v>
                </c:pt>
                <c:pt idx="453">
                  <c:v>42923</c:v>
                </c:pt>
                <c:pt idx="454">
                  <c:v>42922</c:v>
                </c:pt>
                <c:pt idx="455">
                  <c:v>42921</c:v>
                </c:pt>
                <c:pt idx="456">
                  <c:v>42920</c:v>
                </c:pt>
                <c:pt idx="457">
                  <c:v>42919</c:v>
                </c:pt>
                <c:pt idx="458">
                  <c:v>42916</c:v>
                </c:pt>
                <c:pt idx="459">
                  <c:v>42915</c:v>
                </c:pt>
                <c:pt idx="460">
                  <c:v>42914</c:v>
                </c:pt>
                <c:pt idx="461">
                  <c:v>42913</c:v>
                </c:pt>
                <c:pt idx="462">
                  <c:v>42912</c:v>
                </c:pt>
                <c:pt idx="463">
                  <c:v>42909</c:v>
                </c:pt>
                <c:pt idx="464">
                  <c:v>42908</c:v>
                </c:pt>
                <c:pt idx="465">
                  <c:v>42907</c:v>
                </c:pt>
                <c:pt idx="466">
                  <c:v>42906</c:v>
                </c:pt>
                <c:pt idx="467">
                  <c:v>42905</c:v>
                </c:pt>
                <c:pt idx="468">
                  <c:v>42902</c:v>
                </c:pt>
                <c:pt idx="469">
                  <c:v>42901</c:v>
                </c:pt>
                <c:pt idx="470">
                  <c:v>42900</c:v>
                </c:pt>
                <c:pt idx="471">
                  <c:v>42899</c:v>
                </c:pt>
                <c:pt idx="472">
                  <c:v>42898</c:v>
                </c:pt>
                <c:pt idx="473">
                  <c:v>42895</c:v>
                </c:pt>
                <c:pt idx="474">
                  <c:v>42894</c:v>
                </c:pt>
                <c:pt idx="475">
                  <c:v>42893</c:v>
                </c:pt>
                <c:pt idx="476">
                  <c:v>42892</c:v>
                </c:pt>
                <c:pt idx="477">
                  <c:v>42891</c:v>
                </c:pt>
                <c:pt idx="478">
                  <c:v>42888</c:v>
                </c:pt>
                <c:pt idx="479">
                  <c:v>42887</c:v>
                </c:pt>
                <c:pt idx="480">
                  <c:v>42886</c:v>
                </c:pt>
                <c:pt idx="481">
                  <c:v>42885</c:v>
                </c:pt>
                <c:pt idx="482">
                  <c:v>42884</c:v>
                </c:pt>
                <c:pt idx="483">
                  <c:v>42881</c:v>
                </c:pt>
                <c:pt idx="484">
                  <c:v>42880</c:v>
                </c:pt>
                <c:pt idx="485">
                  <c:v>42879</c:v>
                </c:pt>
                <c:pt idx="486">
                  <c:v>42878</c:v>
                </c:pt>
                <c:pt idx="487">
                  <c:v>42877</c:v>
                </c:pt>
                <c:pt idx="488">
                  <c:v>42874</c:v>
                </c:pt>
                <c:pt idx="489">
                  <c:v>42873</c:v>
                </c:pt>
                <c:pt idx="490">
                  <c:v>42872</c:v>
                </c:pt>
                <c:pt idx="491">
                  <c:v>42871</c:v>
                </c:pt>
                <c:pt idx="492">
                  <c:v>42870</c:v>
                </c:pt>
                <c:pt idx="493">
                  <c:v>42867</c:v>
                </c:pt>
                <c:pt idx="494">
                  <c:v>42866</c:v>
                </c:pt>
                <c:pt idx="495">
                  <c:v>42865</c:v>
                </c:pt>
                <c:pt idx="496">
                  <c:v>42864</c:v>
                </c:pt>
                <c:pt idx="497">
                  <c:v>42863</c:v>
                </c:pt>
                <c:pt idx="498">
                  <c:v>42860</c:v>
                </c:pt>
                <c:pt idx="499">
                  <c:v>42859</c:v>
                </c:pt>
                <c:pt idx="500">
                  <c:v>42858</c:v>
                </c:pt>
                <c:pt idx="501">
                  <c:v>42857</c:v>
                </c:pt>
                <c:pt idx="502">
                  <c:v>42856</c:v>
                </c:pt>
                <c:pt idx="503">
                  <c:v>42853</c:v>
                </c:pt>
                <c:pt idx="504">
                  <c:v>42852</c:v>
                </c:pt>
                <c:pt idx="505">
                  <c:v>42851</c:v>
                </c:pt>
                <c:pt idx="506">
                  <c:v>42850</c:v>
                </c:pt>
                <c:pt idx="507">
                  <c:v>42849</c:v>
                </c:pt>
                <c:pt idx="508">
                  <c:v>42846</c:v>
                </c:pt>
                <c:pt idx="509">
                  <c:v>42845</c:v>
                </c:pt>
                <c:pt idx="510">
                  <c:v>42844</c:v>
                </c:pt>
                <c:pt idx="511">
                  <c:v>42843</c:v>
                </c:pt>
                <c:pt idx="512">
                  <c:v>42842</c:v>
                </c:pt>
                <c:pt idx="513">
                  <c:v>42838</c:v>
                </c:pt>
                <c:pt idx="514">
                  <c:v>42837</c:v>
                </c:pt>
                <c:pt idx="515">
                  <c:v>42836</c:v>
                </c:pt>
                <c:pt idx="516">
                  <c:v>42835</c:v>
                </c:pt>
                <c:pt idx="517">
                  <c:v>42832</c:v>
                </c:pt>
                <c:pt idx="518">
                  <c:v>42831</c:v>
                </c:pt>
                <c:pt idx="519">
                  <c:v>42830</c:v>
                </c:pt>
                <c:pt idx="520">
                  <c:v>42829</c:v>
                </c:pt>
                <c:pt idx="521">
                  <c:v>42828</c:v>
                </c:pt>
                <c:pt idx="522">
                  <c:v>42825</c:v>
                </c:pt>
                <c:pt idx="523">
                  <c:v>42824</c:v>
                </c:pt>
                <c:pt idx="524">
                  <c:v>42823</c:v>
                </c:pt>
                <c:pt idx="525">
                  <c:v>42822</c:v>
                </c:pt>
                <c:pt idx="526">
                  <c:v>42821</c:v>
                </c:pt>
                <c:pt idx="527">
                  <c:v>42818</c:v>
                </c:pt>
                <c:pt idx="528">
                  <c:v>42817</c:v>
                </c:pt>
                <c:pt idx="529">
                  <c:v>42816</c:v>
                </c:pt>
                <c:pt idx="530">
                  <c:v>42815</c:v>
                </c:pt>
                <c:pt idx="531">
                  <c:v>42814</c:v>
                </c:pt>
                <c:pt idx="532">
                  <c:v>42811</c:v>
                </c:pt>
                <c:pt idx="533">
                  <c:v>42810</c:v>
                </c:pt>
                <c:pt idx="534">
                  <c:v>42809</c:v>
                </c:pt>
                <c:pt idx="535">
                  <c:v>42808</c:v>
                </c:pt>
                <c:pt idx="536">
                  <c:v>42807</c:v>
                </c:pt>
                <c:pt idx="537">
                  <c:v>42804</c:v>
                </c:pt>
                <c:pt idx="538">
                  <c:v>42803</c:v>
                </c:pt>
                <c:pt idx="539">
                  <c:v>42802</c:v>
                </c:pt>
                <c:pt idx="540">
                  <c:v>42801</c:v>
                </c:pt>
                <c:pt idx="541">
                  <c:v>42800</c:v>
                </c:pt>
                <c:pt idx="542">
                  <c:v>42797</c:v>
                </c:pt>
                <c:pt idx="543">
                  <c:v>42796</c:v>
                </c:pt>
                <c:pt idx="544">
                  <c:v>42795</c:v>
                </c:pt>
                <c:pt idx="545">
                  <c:v>42794</c:v>
                </c:pt>
                <c:pt idx="546">
                  <c:v>42793</c:v>
                </c:pt>
                <c:pt idx="547">
                  <c:v>42790</c:v>
                </c:pt>
                <c:pt idx="548">
                  <c:v>42789</c:v>
                </c:pt>
                <c:pt idx="549">
                  <c:v>42788</c:v>
                </c:pt>
                <c:pt idx="550">
                  <c:v>42787</c:v>
                </c:pt>
                <c:pt idx="551">
                  <c:v>42786</c:v>
                </c:pt>
                <c:pt idx="552">
                  <c:v>42783</c:v>
                </c:pt>
                <c:pt idx="553">
                  <c:v>42782</c:v>
                </c:pt>
                <c:pt idx="554">
                  <c:v>42781</c:v>
                </c:pt>
                <c:pt idx="555">
                  <c:v>42780</c:v>
                </c:pt>
                <c:pt idx="556">
                  <c:v>42779</c:v>
                </c:pt>
                <c:pt idx="557">
                  <c:v>42776</c:v>
                </c:pt>
                <c:pt idx="558">
                  <c:v>42775</c:v>
                </c:pt>
                <c:pt idx="559">
                  <c:v>42774</c:v>
                </c:pt>
                <c:pt idx="560">
                  <c:v>42773</c:v>
                </c:pt>
                <c:pt idx="561">
                  <c:v>42772</c:v>
                </c:pt>
                <c:pt idx="562">
                  <c:v>42769</c:v>
                </c:pt>
                <c:pt idx="563">
                  <c:v>42768</c:v>
                </c:pt>
                <c:pt idx="564">
                  <c:v>42767</c:v>
                </c:pt>
                <c:pt idx="565">
                  <c:v>42766</c:v>
                </c:pt>
                <c:pt idx="566">
                  <c:v>42765</c:v>
                </c:pt>
                <c:pt idx="567">
                  <c:v>42762</c:v>
                </c:pt>
                <c:pt idx="568">
                  <c:v>42761</c:v>
                </c:pt>
                <c:pt idx="569">
                  <c:v>42760</c:v>
                </c:pt>
                <c:pt idx="570">
                  <c:v>42759</c:v>
                </c:pt>
                <c:pt idx="571">
                  <c:v>42758</c:v>
                </c:pt>
                <c:pt idx="572">
                  <c:v>42755</c:v>
                </c:pt>
                <c:pt idx="573">
                  <c:v>42754</c:v>
                </c:pt>
                <c:pt idx="574">
                  <c:v>42753</c:v>
                </c:pt>
                <c:pt idx="575">
                  <c:v>42752</c:v>
                </c:pt>
                <c:pt idx="576">
                  <c:v>42751</c:v>
                </c:pt>
                <c:pt idx="577">
                  <c:v>42748</c:v>
                </c:pt>
                <c:pt idx="578">
                  <c:v>42747</c:v>
                </c:pt>
                <c:pt idx="579">
                  <c:v>42746</c:v>
                </c:pt>
                <c:pt idx="580">
                  <c:v>42745</c:v>
                </c:pt>
                <c:pt idx="581">
                  <c:v>42744</c:v>
                </c:pt>
                <c:pt idx="582">
                  <c:v>42741</c:v>
                </c:pt>
                <c:pt idx="583">
                  <c:v>42740</c:v>
                </c:pt>
                <c:pt idx="584">
                  <c:v>42739</c:v>
                </c:pt>
                <c:pt idx="585">
                  <c:v>42738</c:v>
                </c:pt>
                <c:pt idx="586">
                  <c:v>42734</c:v>
                </c:pt>
                <c:pt idx="587">
                  <c:v>42733</c:v>
                </c:pt>
                <c:pt idx="588">
                  <c:v>42732</c:v>
                </c:pt>
                <c:pt idx="589">
                  <c:v>42731</c:v>
                </c:pt>
                <c:pt idx="590">
                  <c:v>42727</c:v>
                </c:pt>
                <c:pt idx="591">
                  <c:v>42726</c:v>
                </c:pt>
                <c:pt idx="592">
                  <c:v>42725</c:v>
                </c:pt>
                <c:pt idx="593">
                  <c:v>42724</c:v>
                </c:pt>
                <c:pt idx="594">
                  <c:v>42723</c:v>
                </c:pt>
                <c:pt idx="595">
                  <c:v>42720</c:v>
                </c:pt>
                <c:pt idx="596">
                  <c:v>42719</c:v>
                </c:pt>
                <c:pt idx="597">
                  <c:v>42718</c:v>
                </c:pt>
                <c:pt idx="598">
                  <c:v>42717</c:v>
                </c:pt>
                <c:pt idx="599">
                  <c:v>42716</c:v>
                </c:pt>
                <c:pt idx="600">
                  <c:v>42713</c:v>
                </c:pt>
                <c:pt idx="601">
                  <c:v>42712</c:v>
                </c:pt>
                <c:pt idx="602">
                  <c:v>42711</c:v>
                </c:pt>
                <c:pt idx="603">
                  <c:v>42710</c:v>
                </c:pt>
                <c:pt idx="604">
                  <c:v>42709</c:v>
                </c:pt>
                <c:pt idx="605">
                  <c:v>42706</c:v>
                </c:pt>
                <c:pt idx="606">
                  <c:v>42705</c:v>
                </c:pt>
                <c:pt idx="607">
                  <c:v>42704</c:v>
                </c:pt>
                <c:pt idx="608">
                  <c:v>42703</c:v>
                </c:pt>
                <c:pt idx="609">
                  <c:v>42702</c:v>
                </c:pt>
                <c:pt idx="610">
                  <c:v>42699</c:v>
                </c:pt>
                <c:pt idx="611">
                  <c:v>42698</c:v>
                </c:pt>
                <c:pt idx="612">
                  <c:v>42697</c:v>
                </c:pt>
                <c:pt idx="613">
                  <c:v>42696</c:v>
                </c:pt>
                <c:pt idx="614">
                  <c:v>42695</c:v>
                </c:pt>
                <c:pt idx="615">
                  <c:v>42692</c:v>
                </c:pt>
                <c:pt idx="616">
                  <c:v>42691</c:v>
                </c:pt>
                <c:pt idx="617">
                  <c:v>42690</c:v>
                </c:pt>
                <c:pt idx="618">
                  <c:v>42689</c:v>
                </c:pt>
                <c:pt idx="619">
                  <c:v>42688</c:v>
                </c:pt>
                <c:pt idx="620">
                  <c:v>42685</c:v>
                </c:pt>
                <c:pt idx="621">
                  <c:v>42684</c:v>
                </c:pt>
                <c:pt idx="622">
                  <c:v>42683</c:v>
                </c:pt>
                <c:pt idx="623">
                  <c:v>42682</c:v>
                </c:pt>
                <c:pt idx="624">
                  <c:v>42681</c:v>
                </c:pt>
                <c:pt idx="625">
                  <c:v>42678</c:v>
                </c:pt>
                <c:pt idx="626">
                  <c:v>42677</c:v>
                </c:pt>
                <c:pt idx="627">
                  <c:v>42676</c:v>
                </c:pt>
                <c:pt idx="628">
                  <c:v>42675</c:v>
                </c:pt>
                <c:pt idx="629">
                  <c:v>42674</c:v>
                </c:pt>
                <c:pt idx="630">
                  <c:v>42671</c:v>
                </c:pt>
                <c:pt idx="631">
                  <c:v>42670</c:v>
                </c:pt>
                <c:pt idx="632">
                  <c:v>42669</c:v>
                </c:pt>
                <c:pt idx="633">
                  <c:v>42668</c:v>
                </c:pt>
                <c:pt idx="634">
                  <c:v>42667</c:v>
                </c:pt>
                <c:pt idx="635">
                  <c:v>42664</c:v>
                </c:pt>
                <c:pt idx="636">
                  <c:v>42663</c:v>
                </c:pt>
                <c:pt idx="637">
                  <c:v>42662</c:v>
                </c:pt>
                <c:pt idx="638">
                  <c:v>42661</c:v>
                </c:pt>
                <c:pt idx="639">
                  <c:v>42660</c:v>
                </c:pt>
                <c:pt idx="640">
                  <c:v>42657</c:v>
                </c:pt>
                <c:pt idx="641">
                  <c:v>42656</c:v>
                </c:pt>
                <c:pt idx="642">
                  <c:v>42655</c:v>
                </c:pt>
                <c:pt idx="643">
                  <c:v>42654</c:v>
                </c:pt>
                <c:pt idx="644">
                  <c:v>42653</c:v>
                </c:pt>
                <c:pt idx="645">
                  <c:v>42650</c:v>
                </c:pt>
                <c:pt idx="646">
                  <c:v>42649</c:v>
                </c:pt>
                <c:pt idx="647">
                  <c:v>42648</c:v>
                </c:pt>
                <c:pt idx="648">
                  <c:v>42647</c:v>
                </c:pt>
                <c:pt idx="649">
                  <c:v>42646</c:v>
                </c:pt>
                <c:pt idx="650">
                  <c:v>42643</c:v>
                </c:pt>
                <c:pt idx="651">
                  <c:v>42642</c:v>
                </c:pt>
                <c:pt idx="652">
                  <c:v>42641</c:v>
                </c:pt>
                <c:pt idx="653">
                  <c:v>42640</c:v>
                </c:pt>
                <c:pt idx="654">
                  <c:v>42639</c:v>
                </c:pt>
                <c:pt idx="655">
                  <c:v>42636</c:v>
                </c:pt>
                <c:pt idx="656">
                  <c:v>42635</c:v>
                </c:pt>
                <c:pt idx="657">
                  <c:v>42634</c:v>
                </c:pt>
                <c:pt idx="658">
                  <c:v>42633</c:v>
                </c:pt>
                <c:pt idx="659">
                  <c:v>42632</c:v>
                </c:pt>
                <c:pt idx="660">
                  <c:v>42629</c:v>
                </c:pt>
                <c:pt idx="661">
                  <c:v>42628</c:v>
                </c:pt>
                <c:pt idx="662">
                  <c:v>42627</c:v>
                </c:pt>
                <c:pt idx="663">
                  <c:v>42626</c:v>
                </c:pt>
                <c:pt idx="664">
                  <c:v>42625</c:v>
                </c:pt>
                <c:pt idx="665">
                  <c:v>42622</c:v>
                </c:pt>
                <c:pt idx="666">
                  <c:v>42621</c:v>
                </c:pt>
                <c:pt idx="667">
                  <c:v>42620</c:v>
                </c:pt>
                <c:pt idx="668">
                  <c:v>42619</c:v>
                </c:pt>
                <c:pt idx="669">
                  <c:v>42618</c:v>
                </c:pt>
                <c:pt idx="670">
                  <c:v>42615</c:v>
                </c:pt>
                <c:pt idx="671">
                  <c:v>42614</c:v>
                </c:pt>
                <c:pt idx="672">
                  <c:v>42613</c:v>
                </c:pt>
                <c:pt idx="673">
                  <c:v>42612</c:v>
                </c:pt>
                <c:pt idx="674">
                  <c:v>42611</c:v>
                </c:pt>
                <c:pt idx="675">
                  <c:v>42608</c:v>
                </c:pt>
                <c:pt idx="676">
                  <c:v>42607</c:v>
                </c:pt>
                <c:pt idx="677">
                  <c:v>42606</c:v>
                </c:pt>
                <c:pt idx="678">
                  <c:v>42605</c:v>
                </c:pt>
                <c:pt idx="679">
                  <c:v>42604</c:v>
                </c:pt>
                <c:pt idx="680">
                  <c:v>42601</c:v>
                </c:pt>
                <c:pt idx="681">
                  <c:v>42600</c:v>
                </c:pt>
                <c:pt idx="682">
                  <c:v>42599</c:v>
                </c:pt>
                <c:pt idx="683">
                  <c:v>42598</c:v>
                </c:pt>
                <c:pt idx="684">
                  <c:v>42597</c:v>
                </c:pt>
                <c:pt idx="685">
                  <c:v>42594</c:v>
                </c:pt>
                <c:pt idx="686">
                  <c:v>42593</c:v>
                </c:pt>
                <c:pt idx="687">
                  <c:v>42592</c:v>
                </c:pt>
                <c:pt idx="688">
                  <c:v>42591</c:v>
                </c:pt>
                <c:pt idx="689">
                  <c:v>42590</c:v>
                </c:pt>
                <c:pt idx="690">
                  <c:v>42587</c:v>
                </c:pt>
                <c:pt idx="691">
                  <c:v>42586</c:v>
                </c:pt>
                <c:pt idx="692">
                  <c:v>42585</c:v>
                </c:pt>
                <c:pt idx="693">
                  <c:v>42584</c:v>
                </c:pt>
                <c:pt idx="694">
                  <c:v>42583</c:v>
                </c:pt>
                <c:pt idx="695">
                  <c:v>42580</c:v>
                </c:pt>
                <c:pt idx="696">
                  <c:v>42579</c:v>
                </c:pt>
                <c:pt idx="697">
                  <c:v>42578</c:v>
                </c:pt>
                <c:pt idx="698">
                  <c:v>42577</c:v>
                </c:pt>
                <c:pt idx="699">
                  <c:v>42576</c:v>
                </c:pt>
                <c:pt idx="700">
                  <c:v>42573</c:v>
                </c:pt>
                <c:pt idx="701">
                  <c:v>42572</c:v>
                </c:pt>
                <c:pt idx="702">
                  <c:v>42571</c:v>
                </c:pt>
                <c:pt idx="703">
                  <c:v>42570</c:v>
                </c:pt>
                <c:pt idx="704">
                  <c:v>42569</c:v>
                </c:pt>
                <c:pt idx="705">
                  <c:v>42566</c:v>
                </c:pt>
                <c:pt idx="706">
                  <c:v>42565</c:v>
                </c:pt>
                <c:pt idx="707">
                  <c:v>42564</c:v>
                </c:pt>
                <c:pt idx="708">
                  <c:v>42563</c:v>
                </c:pt>
                <c:pt idx="709">
                  <c:v>42562</c:v>
                </c:pt>
                <c:pt idx="710">
                  <c:v>42559</c:v>
                </c:pt>
                <c:pt idx="711">
                  <c:v>42558</c:v>
                </c:pt>
                <c:pt idx="712">
                  <c:v>42557</c:v>
                </c:pt>
                <c:pt idx="713">
                  <c:v>42556</c:v>
                </c:pt>
                <c:pt idx="714">
                  <c:v>42555</c:v>
                </c:pt>
              </c:numCache>
            </c:numRef>
          </c:cat>
          <c:val>
            <c:numRef>
              <c:f>'世界-走势图'!$B$2:$B$716</c:f>
              <c:numCache>
                <c:formatCode>General</c:formatCode>
                <c:ptCount val="715"/>
                <c:pt idx="0">
                  <c:v>63.760000000000012</c:v>
                </c:pt>
                <c:pt idx="1">
                  <c:v>64.05</c:v>
                </c:pt>
                <c:pt idx="2">
                  <c:v>63.4</c:v>
                </c:pt>
                <c:pt idx="3">
                  <c:v>63.89</c:v>
                </c:pt>
                <c:pt idx="4">
                  <c:v>63.58</c:v>
                </c:pt>
                <c:pt idx="5">
                  <c:v>64.61</c:v>
                </c:pt>
                <c:pt idx="6">
                  <c:v>63.98</c:v>
                </c:pt>
                <c:pt idx="7">
                  <c:v>64.400000000000006</c:v>
                </c:pt>
                <c:pt idx="8">
                  <c:v>63.08</c:v>
                </c:pt>
                <c:pt idx="9">
                  <c:v>62.1</c:v>
                </c:pt>
                <c:pt idx="10">
                  <c:v>62.46</c:v>
                </c:pt>
                <c:pt idx="11">
                  <c:v>62.58</c:v>
                </c:pt>
                <c:pt idx="12">
                  <c:v>61.59</c:v>
                </c:pt>
                <c:pt idx="13">
                  <c:v>60.14</c:v>
                </c:pt>
                <c:pt idx="14">
                  <c:v>59.3</c:v>
                </c:pt>
                <c:pt idx="15">
                  <c:v>59.41</c:v>
                </c:pt>
                <c:pt idx="16">
                  <c:v>59.94</c:v>
                </c:pt>
                <c:pt idx="17">
                  <c:v>58.82</c:v>
                </c:pt>
                <c:pt idx="18">
                  <c:v>59.04</c:v>
                </c:pt>
                <c:pt idx="19">
                  <c:v>59.98</c:v>
                </c:pt>
                <c:pt idx="20">
                  <c:v>59.83</c:v>
                </c:pt>
                <c:pt idx="21">
                  <c:v>59.03</c:v>
                </c:pt>
                <c:pt idx="22">
                  <c:v>59.09</c:v>
                </c:pt>
                <c:pt idx="23">
                  <c:v>58.52</c:v>
                </c:pt>
                <c:pt idx="24">
                  <c:v>58.61</c:v>
                </c:pt>
                <c:pt idx="25">
                  <c:v>58.260000000000012</c:v>
                </c:pt>
                <c:pt idx="26">
                  <c:v>56.87</c:v>
                </c:pt>
                <c:pt idx="27">
                  <c:v>56.790000000000013</c:v>
                </c:pt>
                <c:pt idx="28">
                  <c:v>56.07</c:v>
                </c:pt>
                <c:pt idx="29">
                  <c:v>56.660000000000011</c:v>
                </c:pt>
                <c:pt idx="30">
                  <c:v>56.220000000000013</c:v>
                </c:pt>
                <c:pt idx="31">
                  <c:v>56.56</c:v>
                </c:pt>
                <c:pt idx="32">
                  <c:v>56.59</c:v>
                </c:pt>
                <c:pt idx="33">
                  <c:v>55.8</c:v>
                </c:pt>
                <c:pt idx="34">
                  <c:v>57.220000000000013</c:v>
                </c:pt>
                <c:pt idx="35">
                  <c:v>56.94</c:v>
                </c:pt>
                <c:pt idx="36">
                  <c:v>55.5</c:v>
                </c:pt>
                <c:pt idx="37">
                  <c:v>55.48</c:v>
                </c:pt>
                <c:pt idx="38">
                  <c:v>57.260000000000012</c:v>
                </c:pt>
                <c:pt idx="39">
                  <c:v>56.96</c:v>
                </c:pt>
                <c:pt idx="40">
                  <c:v>56.92</c:v>
                </c:pt>
                <c:pt idx="41">
                  <c:v>56.09</c:v>
                </c:pt>
                <c:pt idx="43">
                  <c:v>55.59</c:v>
                </c:pt>
                <c:pt idx="44">
                  <c:v>54.41</c:v>
                </c:pt>
                <c:pt idx="45">
                  <c:v>53.9</c:v>
                </c:pt>
                <c:pt idx="46">
                  <c:v>53.1</c:v>
                </c:pt>
                <c:pt idx="47">
                  <c:v>52.41</c:v>
                </c:pt>
                <c:pt idx="48">
                  <c:v>52.720000000000013</c:v>
                </c:pt>
                <c:pt idx="49">
                  <c:v>52.64</c:v>
                </c:pt>
                <c:pt idx="50">
                  <c:v>54.01</c:v>
                </c:pt>
                <c:pt idx="51">
                  <c:v>53.660000000000011</c:v>
                </c:pt>
                <c:pt idx="52">
                  <c:v>54.56</c:v>
                </c:pt>
                <c:pt idx="53">
                  <c:v>55.260000000000012</c:v>
                </c:pt>
                <c:pt idx="54">
                  <c:v>53.790000000000013</c:v>
                </c:pt>
                <c:pt idx="55">
                  <c:v>54.230000000000011</c:v>
                </c:pt>
                <c:pt idx="56">
                  <c:v>53.31</c:v>
                </c:pt>
                <c:pt idx="57">
                  <c:v>51.99</c:v>
                </c:pt>
                <c:pt idx="58">
                  <c:v>53.690000000000012</c:v>
                </c:pt>
                <c:pt idx="59">
                  <c:v>53.13</c:v>
                </c:pt>
                <c:pt idx="60">
                  <c:v>52.620000000000012</c:v>
                </c:pt>
                <c:pt idx="61">
                  <c:v>52.57</c:v>
                </c:pt>
                <c:pt idx="63">
                  <c:v>53.8</c:v>
                </c:pt>
                <c:pt idx="64">
                  <c:v>52.07</c:v>
                </c:pt>
                <c:pt idx="65">
                  <c:v>52.31</c:v>
                </c:pt>
                <c:pt idx="66">
                  <c:v>52.11</c:v>
                </c:pt>
                <c:pt idx="67">
                  <c:v>50.51</c:v>
                </c:pt>
                <c:pt idx="68">
                  <c:v>51.59</c:v>
                </c:pt>
                <c:pt idx="69">
                  <c:v>52.59</c:v>
                </c:pt>
                <c:pt idx="70">
                  <c:v>52.36</c:v>
                </c:pt>
                <c:pt idx="71">
                  <c:v>49.78</c:v>
                </c:pt>
                <c:pt idx="72">
                  <c:v>48.52</c:v>
                </c:pt>
                <c:pt idx="73">
                  <c:v>47.96</c:v>
                </c:pt>
                <c:pt idx="74">
                  <c:v>47.09</c:v>
                </c:pt>
                <c:pt idx="75">
                  <c:v>46.54</c:v>
                </c:pt>
                <c:pt idx="78">
                  <c:v>45.33</c:v>
                </c:pt>
                <c:pt idx="79">
                  <c:v>44.61</c:v>
                </c:pt>
                <c:pt idx="80">
                  <c:v>46.220000000000013</c:v>
                </c:pt>
                <c:pt idx="82">
                  <c:v>42.53</c:v>
                </c:pt>
                <c:pt idx="83">
                  <c:v>45.59</c:v>
                </c:pt>
                <c:pt idx="84">
                  <c:v>45.88</c:v>
                </c:pt>
                <c:pt idx="85">
                  <c:v>47.2</c:v>
                </c:pt>
                <c:pt idx="86">
                  <c:v>46.24</c:v>
                </c:pt>
                <c:pt idx="87">
                  <c:v>49.88</c:v>
                </c:pt>
                <c:pt idx="88">
                  <c:v>51.2</c:v>
                </c:pt>
                <c:pt idx="89">
                  <c:v>52.58</c:v>
                </c:pt>
                <c:pt idx="90">
                  <c:v>51.15</c:v>
                </c:pt>
                <c:pt idx="91">
                  <c:v>51.65</c:v>
                </c:pt>
                <c:pt idx="92">
                  <c:v>51</c:v>
                </c:pt>
                <c:pt idx="93">
                  <c:v>52.61</c:v>
                </c:pt>
                <c:pt idx="94">
                  <c:v>51.49</c:v>
                </c:pt>
                <c:pt idx="95">
                  <c:v>52.89</c:v>
                </c:pt>
                <c:pt idx="96">
                  <c:v>53.25</c:v>
                </c:pt>
                <c:pt idx="97">
                  <c:v>52.95</c:v>
                </c:pt>
                <c:pt idx="98">
                  <c:v>50.93</c:v>
                </c:pt>
                <c:pt idx="99">
                  <c:v>51.45</c:v>
                </c:pt>
                <c:pt idx="100">
                  <c:v>50.290000000000013</c:v>
                </c:pt>
                <c:pt idx="101">
                  <c:v>51.56</c:v>
                </c:pt>
                <c:pt idx="102">
                  <c:v>51.63</c:v>
                </c:pt>
                <c:pt idx="103">
                  <c:v>50.42</c:v>
                </c:pt>
                <c:pt idx="105">
                  <c:v>54.63</c:v>
                </c:pt>
                <c:pt idx="106">
                  <c:v>53.43</c:v>
                </c:pt>
                <c:pt idx="107">
                  <c:v>56.760000000000012</c:v>
                </c:pt>
                <c:pt idx="108">
                  <c:v>56.46</c:v>
                </c:pt>
                <c:pt idx="109">
                  <c:v>56.46</c:v>
                </c:pt>
                <c:pt idx="110">
                  <c:v>56.25</c:v>
                </c:pt>
                <c:pt idx="111">
                  <c:v>55.690000000000012</c:v>
                </c:pt>
                <c:pt idx="112">
                  <c:v>59.93</c:v>
                </c:pt>
                <c:pt idx="113">
                  <c:v>60.190000000000012</c:v>
                </c:pt>
                <c:pt idx="114">
                  <c:v>60.67</c:v>
                </c:pt>
                <c:pt idx="115">
                  <c:v>61.67</c:v>
                </c:pt>
                <c:pt idx="116">
                  <c:v>62.21</c:v>
                </c:pt>
                <c:pt idx="117">
                  <c:v>63.1</c:v>
                </c:pt>
                <c:pt idx="118">
                  <c:v>63.14</c:v>
                </c:pt>
                <c:pt idx="119">
                  <c:v>63.690000000000012</c:v>
                </c:pt>
                <c:pt idx="120">
                  <c:v>65.31</c:v>
                </c:pt>
                <c:pt idx="121">
                  <c:v>66.179999999999978</c:v>
                </c:pt>
                <c:pt idx="122">
                  <c:v>67.040000000000006</c:v>
                </c:pt>
                <c:pt idx="123">
                  <c:v>67.59</c:v>
                </c:pt>
                <c:pt idx="124">
                  <c:v>67.33</c:v>
                </c:pt>
                <c:pt idx="125">
                  <c:v>66.819999999999993</c:v>
                </c:pt>
                <c:pt idx="126">
                  <c:v>66.430000000000007</c:v>
                </c:pt>
                <c:pt idx="127">
                  <c:v>69.169999999999987</c:v>
                </c:pt>
                <c:pt idx="128">
                  <c:v>69.11999999999999</c:v>
                </c:pt>
                <c:pt idx="129">
                  <c:v>68.649999999999991</c:v>
                </c:pt>
                <c:pt idx="130">
                  <c:v>69.75</c:v>
                </c:pt>
                <c:pt idx="131">
                  <c:v>71.92</c:v>
                </c:pt>
                <c:pt idx="132">
                  <c:v>71.78</c:v>
                </c:pt>
                <c:pt idx="133">
                  <c:v>71.34</c:v>
                </c:pt>
                <c:pt idx="134">
                  <c:v>70.97</c:v>
                </c:pt>
                <c:pt idx="135">
                  <c:v>73.169999999999987</c:v>
                </c:pt>
                <c:pt idx="136">
                  <c:v>74.959999999999994</c:v>
                </c:pt>
                <c:pt idx="137">
                  <c:v>74.290000000000006</c:v>
                </c:pt>
                <c:pt idx="138">
                  <c:v>74.34</c:v>
                </c:pt>
                <c:pt idx="139">
                  <c:v>74.33</c:v>
                </c:pt>
                <c:pt idx="140">
                  <c:v>76.410000000000025</c:v>
                </c:pt>
                <c:pt idx="141">
                  <c:v>75.23</c:v>
                </c:pt>
                <c:pt idx="142">
                  <c:v>75.3</c:v>
                </c:pt>
                <c:pt idx="143">
                  <c:v>73.25</c:v>
                </c:pt>
                <c:pt idx="144">
                  <c:v>72.11999999999999</c:v>
                </c:pt>
                <c:pt idx="145">
                  <c:v>71.569999999999993</c:v>
                </c:pt>
                <c:pt idx="146">
                  <c:v>72.28</c:v>
                </c:pt>
                <c:pt idx="147">
                  <c:v>72.08</c:v>
                </c:pt>
                <c:pt idx="148">
                  <c:v>70.78</c:v>
                </c:pt>
                <c:pt idx="149">
                  <c:v>70.8</c:v>
                </c:pt>
                <c:pt idx="150">
                  <c:v>71.11999999999999</c:v>
                </c:pt>
                <c:pt idx="151">
                  <c:v>69.849999999999994</c:v>
                </c:pt>
                <c:pt idx="152">
                  <c:v>68.910000000000025</c:v>
                </c:pt>
                <c:pt idx="153">
                  <c:v>68.989999999999995</c:v>
                </c:pt>
                <c:pt idx="154">
                  <c:v>68.59</c:v>
                </c:pt>
                <c:pt idx="155">
                  <c:v>70.36999999999999</c:v>
                </c:pt>
                <c:pt idx="156">
                  <c:v>69.25</c:v>
                </c:pt>
                <c:pt idx="157">
                  <c:v>67.540000000000006</c:v>
                </c:pt>
                <c:pt idx="158">
                  <c:v>67.75</c:v>
                </c:pt>
                <c:pt idx="159">
                  <c:v>67.77</c:v>
                </c:pt>
                <c:pt idx="160">
                  <c:v>68.72</c:v>
                </c:pt>
                <c:pt idx="161">
                  <c:v>69.86999999999999</c:v>
                </c:pt>
                <c:pt idx="163">
                  <c:v>69.8</c:v>
                </c:pt>
                <c:pt idx="164">
                  <c:v>70.25</c:v>
                </c:pt>
                <c:pt idx="165">
                  <c:v>69.510000000000005</c:v>
                </c:pt>
                <c:pt idx="166">
                  <c:v>68.53</c:v>
                </c:pt>
                <c:pt idx="167">
                  <c:v>68.86999999999999</c:v>
                </c:pt>
                <c:pt idx="168">
                  <c:v>68.72</c:v>
                </c:pt>
                <c:pt idx="169">
                  <c:v>67.83</c:v>
                </c:pt>
                <c:pt idx="170">
                  <c:v>67.86</c:v>
                </c:pt>
                <c:pt idx="171">
                  <c:v>67.349999999999994</c:v>
                </c:pt>
                <c:pt idx="172">
                  <c:v>66.430000000000007</c:v>
                </c:pt>
                <c:pt idx="173">
                  <c:v>65.910000000000025</c:v>
                </c:pt>
                <c:pt idx="174">
                  <c:v>65.459999999999994</c:v>
                </c:pt>
                <c:pt idx="175">
                  <c:v>65.010000000000005</c:v>
                </c:pt>
                <c:pt idx="176">
                  <c:v>67.040000000000006</c:v>
                </c:pt>
                <c:pt idx="177">
                  <c:v>67.2</c:v>
                </c:pt>
                <c:pt idx="178">
                  <c:v>67.63</c:v>
                </c:pt>
                <c:pt idx="179">
                  <c:v>66.81</c:v>
                </c:pt>
                <c:pt idx="180">
                  <c:v>66.940000000000026</c:v>
                </c:pt>
                <c:pt idx="181">
                  <c:v>69.169999999999987</c:v>
                </c:pt>
                <c:pt idx="182">
                  <c:v>69.010000000000005</c:v>
                </c:pt>
                <c:pt idx="183">
                  <c:v>68.489999999999995</c:v>
                </c:pt>
                <c:pt idx="184">
                  <c:v>68.959999999999994</c:v>
                </c:pt>
                <c:pt idx="185">
                  <c:v>67.66</c:v>
                </c:pt>
                <c:pt idx="186">
                  <c:v>68.760000000000005</c:v>
                </c:pt>
                <c:pt idx="187">
                  <c:v>70.13</c:v>
                </c:pt>
                <c:pt idx="188">
                  <c:v>68.69</c:v>
                </c:pt>
                <c:pt idx="189">
                  <c:v>69.61</c:v>
                </c:pt>
                <c:pt idx="190">
                  <c:v>69.3</c:v>
                </c:pt>
                <c:pt idx="191">
                  <c:v>68.52</c:v>
                </c:pt>
                <c:pt idx="192">
                  <c:v>67.89</c:v>
                </c:pt>
                <c:pt idx="193">
                  <c:v>70.459999999999994</c:v>
                </c:pt>
                <c:pt idx="194">
                  <c:v>69.459999999999994</c:v>
                </c:pt>
                <c:pt idx="195">
                  <c:v>68.760000000000005</c:v>
                </c:pt>
                <c:pt idx="196">
                  <c:v>68.08</c:v>
                </c:pt>
                <c:pt idx="197">
                  <c:v>68.06</c:v>
                </c:pt>
                <c:pt idx="198">
                  <c:v>71.010000000000005</c:v>
                </c:pt>
                <c:pt idx="199">
                  <c:v>70.33</c:v>
                </c:pt>
                <c:pt idx="200">
                  <c:v>70.38</c:v>
                </c:pt>
                <c:pt idx="201">
                  <c:v>74.11</c:v>
                </c:pt>
                <c:pt idx="202">
                  <c:v>73.849999999999994</c:v>
                </c:pt>
                <c:pt idx="203">
                  <c:v>73.8</c:v>
                </c:pt>
                <c:pt idx="204">
                  <c:v>72.940000000000026</c:v>
                </c:pt>
                <c:pt idx="206">
                  <c:v>73.22</c:v>
                </c:pt>
                <c:pt idx="207">
                  <c:v>73.940000000000026</c:v>
                </c:pt>
                <c:pt idx="208">
                  <c:v>74.149999999999991</c:v>
                </c:pt>
                <c:pt idx="209">
                  <c:v>73.45</c:v>
                </c:pt>
                <c:pt idx="210">
                  <c:v>72.760000000000005</c:v>
                </c:pt>
                <c:pt idx="211">
                  <c:v>70.53</c:v>
                </c:pt>
                <c:pt idx="212">
                  <c:v>68.08</c:v>
                </c:pt>
                <c:pt idx="213">
                  <c:v>68.58</c:v>
                </c:pt>
                <c:pt idx="214">
                  <c:v>65.540000000000006</c:v>
                </c:pt>
                <c:pt idx="215">
                  <c:v>66.22</c:v>
                </c:pt>
                <c:pt idx="216">
                  <c:v>65.069999999999993</c:v>
                </c:pt>
                <c:pt idx="217">
                  <c:v>65.849999999999994</c:v>
                </c:pt>
                <c:pt idx="218">
                  <c:v>65.06</c:v>
                </c:pt>
                <c:pt idx="219">
                  <c:v>66.89</c:v>
                </c:pt>
                <c:pt idx="220">
                  <c:v>66.64</c:v>
                </c:pt>
                <c:pt idx="221">
                  <c:v>66.36</c:v>
                </c:pt>
                <c:pt idx="222">
                  <c:v>66.099999999999994</c:v>
                </c:pt>
                <c:pt idx="223">
                  <c:v>65.739999999999995</c:v>
                </c:pt>
                <c:pt idx="224">
                  <c:v>65.95</c:v>
                </c:pt>
                <c:pt idx="225">
                  <c:v>64.73</c:v>
                </c:pt>
                <c:pt idx="226">
                  <c:v>65.52</c:v>
                </c:pt>
                <c:pt idx="227">
                  <c:v>64.75</c:v>
                </c:pt>
                <c:pt idx="228">
                  <c:v>65.81</c:v>
                </c:pt>
                <c:pt idx="229">
                  <c:v>67.040000000000006</c:v>
                </c:pt>
                <c:pt idx="230">
                  <c:v>68.209999999999994</c:v>
                </c:pt>
                <c:pt idx="231">
                  <c:v>66.73</c:v>
                </c:pt>
                <c:pt idx="233">
                  <c:v>67.88</c:v>
                </c:pt>
                <c:pt idx="234">
                  <c:v>70.709999999999994</c:v>
                </c:pt>
                <c:pt idx="235">
                  <c:v>71.84</c:v>
                </c:pt>
                <c:pt idx="236">
                  <c:v>72.13</c:v>
                </c:pt>
                <c:pt idx="237">
                  <c:v>72.239999999999995</c:v>
                </c:pt>
                <c:pt idx="238">
                  <c:v>71.28</c:v>
                </c:pt>
                <c:pt idx="239">
                  <c:v>71.489999999999995</c:v>
                </c:pt>
                <c:pt idx="240">
                  <c:v>71.489999999999995</c:v>
                </c:pt>
                <c:pt idx="241">
                  <c:v>71.31</c:v>
                </c:pt>
                <c:pt idx="242">
                  <c:v>70.959999999999994</c:v>
                </c:pt>
                <c:pt idx="243">
                  <c:v>70.7</c:v>
                </c:pt>
                <c:pt idx="244">
                  <c:v>71.36</c:v>
                </c:pt>
                <c:pt idx="245">
                  <c:v>71.14</c:v>
                </c:pt>
                <c:pt idx="246">
                  <c:v>69.06</c:v>
                </c:pt>
                <c:pt idx="247">
                  <c:v>70.73</c:v>
                </c:pt>
                <c:pt idx="248">
                  <c:v>69.72</c:v>
                </c:pt>
                <c:pt idx="249">
                  <c:v>68.430000000000007</c:v>
                </c:pt>
                <c:pt idx="250">
                  <c:v>67.930000000000007</c:v>
                </c:pt>
                <c:pt idx="251">
                  <c:v>67.25</c:v>
                </c:pt>
                <c:pt idx="252">
                  <c:v>68.569999999999993</c:v>
                </c:pt>
                <c:pt idx="253">
                  <c:v>68.099999999999994</c:v>
                </c:pt>
                <c:pt idx="254">
                  <c:v>68.19</c:v>
                </c:pt>
                <c:pt idx="255">
                  <c:v>68.05</c:v>
                </c:pt>
                <c:pt idx="256">
                  <c:v>67.7</c:v>
                </c:pt>
                <c:pt idx="257">
                  <c:v>68.64</c:v>
                </c:pt>
                <c:pt idx="258">
                  <c:v>68.38</c:v>
                </c:pt>
                <c:pt idx="259">
                  <c:v>68.290000000000006</c:v>
                </c:pt>
                <c:pt idx="260">
                  <c:v>68.47</c:v>
                </c:pt>
                <c:pt idx="261">
                  <c:v>66.52</c:v>
                </c:pt>
                <c:pt idx="262">
                  <c:v>66.22</c:v>
                </c:pt>
                <c:pt idx="263">
                  <c:v>67.39</c:v>
                </c:pt>
                <c:pt idx="264">
                  <c:v>67.069999999999993</c:v>
                </c:pt>
                <c:pt idx="265">
                  <c:v>66.819999999999993</c:v>
                </c:pt>
                <c:pt idx="266">
                  <c:v>65.510000000000005</c:v>
                </c:pt>
                <c:pt idx="267">
                  <c:v>63.42</c:v>
                </c:pt>
                <c:pt idx="268">
                  <c:v>62.06</c:v>
                </c:pt>
                <c:pt idx="269">
                  <c:v>63.54</c:v>
                </c:pt>
                <c:pt idx="270">
                  <c:v>63.37</c:v>
                </c:pt>
                <c:pt idx="271">
                  <c:v>63.51</c:v>
                </c:pt>
                <c:pt idx="272">
                  <c:v>63.01</c:v>
                </c:pt>
                <c:pt idx="274">
                  <c:v>64.940000000000026</c:v>
                </c:pt>
                <c:pt idx="275">
                  <c:v>64.38</c:v>
                </c:pt>
                <c:pt idx="276">
                  <c:v>65.25</c:v>
                </c:pt>
                <c:pt idx="277">
                  <c:v>65.55</c:v>
                </c:pt>
                <c:pt idx="278">
                  <c:v>65.88</c:v>
                </c:pt>
                <c:pt idx="279">
                  <c:v>64.3</c:v>
                </c:pt>
                <c:pt idx="280">
                  <c:v>65.169999999999987</c:v>
                </c:pt>
                <c:pt idx="281">
                  <c:v>63.4</c:v>
                </c:pt>
                <c:pt idx="282">
                  <c:v>62.06</c:v>
                </c:pt>
                <c:pt idx="283">
                  <c:v>62.34</c:v>
                </c:pt>
                <c:pt idx="284">
                  <c:v>61.190000000000012</c:v>
                </c:pt>
                <c:pt idx="285">
                  <c:v>60.96</c:v>
                </c:pt>
                <c:pt idx="286">
                  <c:v>60.71</c:v>
                </c:pt>
                <c:pt idx="287">
                  <c:v>61.36</c:v>
                </c:pt>
                <c:pt idx="288">
                  <c:v>62.04</c:v>
                </c:pt>
                <c:pt idx="289">
                  <c:v>60.120000000000012</c:v>
                </c:pt>
                <c:pt idx="290">
                  <c:v>61.15</c:v>
                </c:pt>
                <c:pt idx="291">
                  <c:v>62.6</c:v>
                </c:pt>
                <c:pt idx="292">
                  <c:v>62.57</c:v>
                </c:pt>
                <c:pt idx="293">
                  <c:v>61.25</c:v>
                </c:pt>
                <c:pt idx="294">
                  <c:v>60.99</c:v>
                </c:pt>
                <c:pt idx="295">
                  <c:v>61.64</c:v>
                </c:pt>
                <c:pt idx="296">
                  <c:v>63.01</c:v>
                </c:pt>
                <c:pt idx="297">
                  <c:v>63.91</c:v>
                </c:pt>
                <c:pt idx="298">
                  <c:v>63.55</c:v>
                </c:pt>
                <c:pt idx="299">
                  <c:v>62.77</c:v>
                </c:pt>
                <c:pt idx="300">
                  <c:v>61.68</c:v>
                </c:pt>
                <c:pt idx="301">
                  <c:v>59.290000000000013</c:v>
                </c:pt>
                <c:pt idx="302">
                  <c:v>59.2</c:v>
                </c:pt>
                <c:pt idx="303">
                  <c:v>61.45</c:v>
                </c:pt>
                <c:pt idx="304">
                  <c:v>61.790000000000013</c:v>
                </c:pt>
                <c:pt idx="305">
                  <c:v>63.39</c:v>
                </c:pt>
                <c:pt idx="306">
                  <c:v>64.149999999999991</c:v>
                </c:pt>
                <c:pt idx="307">
                  <c:v>64.45</c:v>
                </c:pt>
                <c:pt idx="308">
                  <c:v>65.8</c:v>
                </c:pt>
                <c:pt idx="309">
                  <c:v>64.73</c:v>
                </c:pt>
                <c:pt idx="310">
                  <c:v>64.5</c:v>
                </c:pt>
                <c:pt idx="311">
                  <c:v>65.56</c:v>
                </c:pt>
                <c:pt idx="312">
                  <c:v>66.14</c:v>
                </c:pt>
                <c:pt idx="313">
                  <c:v>65.510000000000005</c:v>
                </c:pt>
                <c:pt idx="314">
                  <c:v>65.61</c:v>
                </c:pt>
                <c:pt idx="315">
                  <c:v>64.47</c:v>
                </c:pt>
                <c:pt idx="316">
                  <c:v>63.49</c:v>
                </c:pt>
                <c:pt idx="317">
                  <c:v>63.37</c:v>
                </c:pt>
                <c:pt idx="318">
                  <c:v>63.95</c:v>
                </c:pt>
                <c:pt idx="319">
                  <c:v>63.97</c:v>
                </c:pt>
                <c:pt idx="320">
                  <c:v>63.730000000000011</c:v>
                </c:pt>
                <c:pt idx="322">
                  <c:v>64.3</c:v>
                </c:pt>
                <c:pt idx="323">
                  <c:v>63.8</c:v>
                </c:pt>
                <c:pt idx="324">
                  <c:v>63.57</c:v>
                </c:pt>
                <c:pt idx="325">
                  <c:v>62.96</c:v>
                </c:pt>
                <c:pt idx="326">
                  <c:v>61.730000000000011</c:v>
                </c:pt>
                <c:pt idx="327">
                  <c:v>61.44</c:v>
                </c:pt>
                <c:pt idx="328">
                  <c:v>62.01</c:v>
                </c:pt>
                <c:pt idx="329">
                  <c:v>61.63</c:v>
                </c:pt>
                <c:pt idx="330">
                  <c:v>60.37</c:v>
                </c:pt>
                <c:pt idx="332">
                  <c:v>60.42</c:v>
                </c:pt>
                <c:pt idx="333">
                  <c:v>59.84</c:v>
                </c:pt>
                <c:pt idx="334">
                  <c:v>59.64</c:v>
                </c:pt>
                <c:pt idx="335">
                  <c:v>59.97</c:v>
                </c:pt>
                <c:pt idx="337">
                  <c:v>58.47</c:v>
                </c:pt>
                <c:pt idx="338">
                  <c:v>58.36</c:v>
                </c:pt>
                <c:pt idx="339">
                  <c:v>58.09</c:v>
                </c:pt>
                <c:pt idx="340">
                  <c:v>57.46</c:v>
                </c:pt>
                <c:pt idx="341">
                  <c:v>57.160000000000011</c:v>
                </c:pt>
                <c:pt idx="342">
                  <c:v>57.3</c:v>
                </c:pt>
                <c:pt idx="343">
                  <c:v>57.04</c:v>
                </c:pt>
                <c:pt idx="344">
                  <c:v>56.6</c:v>
                </c:pt>
                <c:pt idx="345">
                  <c:v>57.14</c:v>
                </c:pt>
                <c:pt idx="346">
                  <c:v>57.99</c:v>
                </c:pt>
                <c:pt idx="347">
                  <c:v>57.36</c:v>
                </c:pt>
                <c:pt idx="348">
                  <c:v>56.690000000000012</c:v>
                </c:pt>
                <c:pt idx="349">
                  <c:v>55.96</c:v>
                </c:pt>
                <c:pt idx="350">
                  <c:v>57.620000000000012</c:v>
                </c:pt>
                <c:pt idx="351">
                  <c:v>57.47</c:v>
                </c:pt>
                <c:pt idx="352">
                  <c:v>58.36</c:v>
                </c:pt>
                <c:pt idx="353">
                  <c:v>57.4</c:v>
                </c:pt>
                <c:pt idx="354">
                  <c:v>57.3</c:v>
                </c:pt>
                <c:pt idx="355">
                  <c:v>57.99</c:v>
                </c:pt>
                <c:pt idx="356">
                  <c:v>58.11</c:v>
                </c:pt>
                <c:pt idx="357">
                  <c:v>58.95</c:v>
                </c:pt>
                <c:pt idx="359">
                  <c:v>58.02</c:v>
                </c:pt>
                <c:pt idx="360">
                  <c:v>56.83</c:v>
                </c:pt>
                <c:pt idx="361">
                  <c:v>56.09</c:v>
                </c:pt>
                <c:pt idx="362">
                  <c:v>56.55</c:v>
                </c:pt>
                <c:pt idx="363">
                  <c:v>55.14</c:v>
                </c:pt>
                <c:pt idx="364">
                  <c:v>55.33</c:v>
                </c:pt>
                <c:pt idx="365">
                  <c:v>55.7</c:v>
                </c:pt>
                <c:pt idx="366">
                  <c:v>56.760000000000012</c:v>
                </c:pt>
                <c:pt idx="367">
                  <c:v>56.74</c:v>
                </c:pt>
                <c:pt idx="368">
                  <c:v>57.17</c:v>
                </c:pt>
                <c:pt idx="369">
                  <c:v>56.81</c:v>
                </c:pt>
                <c:pt idx="370">
                  <c:v>57.2</c:v>
                </c:pt>
                <c:pt idx="371">
                  <c:v>57.35</c:v>
                </c:pt>
                <c:pt idx="372">
                  <c:v>55.64</c:v>
                </c:pt>
                <c:pt idx="373">
                  <c:v>54.54</c:v>
                </c:pt>
                <c:pt idx="374">
                  <c:v>54.3</c:v>
                </c:pt>
                <c:pt idx="375">
                  <c:v>54.38</c:v>
                </c:pt>
                <c:pt idx="376">
                  <c:v>54.15</c:v>
                </c:pt>
                <c:pt idx="377">
                  <c:v>53.9</c:v>
                </c:pt>
                <c:pt idx="378">
                  <c:v>52.64</c:v>
                </c:pt>
                <c:pt idx="379">
                  <c:v>52.18</c:v>
                </c:pt>
                <c:pt idx="380">
                  <c:v>52.47</c:v>
                </c:pt>
                <c:pt idx="381">
                  <c:v>51.9</c:v>
                </c:pt>
                <c:pt idx="382">
                  <c:v>51.47</c:v>
                </c:pt>
                <c:pt idx="383">
                  <c:v>51.290000000000013</c:v>
                </c:pt>
                <c:pt idx="384">
                  <c:v>52.04</c:v>
                </c:pt>
                <c:pt idx="385">
                  <c:v>51.88</c:v>
                </c:pt>
                <c:pt idx="386">
                  <c:v>51.87</c:v>
                </c:pt>
                <c:pt idx="387">
                  <c:v>51.45</c:v>
                </c:pt>
                <c:pt idx="388">
                  <c:v>50.6</c:v>
                </c:pt>
                <c:pt idx="389">
                  <c:v>51.3</c:v>
                </c:pt>
                <c:pt idx="390">
                  <c:v>50.92</c:v>
                </c:pt>
                <c:pt idx="391">
                  <c:v>49.58</c:v>
                </c:pt>
                <c:pt idx="392">
                  <c:v>49.290000000000013</c:v>
                </c:pt>
                <c:pt idx="393">
                  <c:v>51.67</c:v>
                </c:pt>
                <c:pt idx="394">
                  <c:v>51.56</c:v>
                </c:pt>
                <c:pt idx="395">
                  <c:v>52.14</c:v>
                </c:pt>
                <c:pt idx="396">
                  <c:v>51.88</c:v>
                </c:pt>
                <c:pt idx="397">
                  <c:v>52.220000000000013</c:v>
                </c:pt>
                <c:pt idx="398">
                  <c:v>50.660000000000011</c:v>
                </c:pt>
                <c:pt idx="399">
                  <c:v>50.55</c:v>
                </c:pt>
                <c:pt idx="400">
                  <c:v>50.41</c:v>
                </c:pt>
                <c:pt idx="401">
                  <c:v>49.48</c:v>
                </c:pt>
                <c:pt idx="402">
                  <c:v>49.91</c:v>
                </c:pt>
                <c:pt idx="403">
                  <c:v>49.89</c:v>
                </c:pt>
                <c:pt idx="404">
                  <c:v>49.89</c:v>
                </c:pt>
                <c:pt idx="405">
                  <c:v>49.3</c:v>
                </c:pt>
                <c:pt idx="406">
                  <c:v>48.230000000000011</c:v>
                </c:pt>
                <c:pt idx="407">
                  <c:v>48.07</c:v>
                </c:pt>
                <c:pt idx="408">
                  <c:v>47.48</c:v>
                </c:pt>
                <c:pt idx="409">
                  <c:v>49.09</c:v>
                </c:pt>
                <c:pt idx="410">
                  <c:v>49.160000000000011</c:v>
                </c:pt>
                <c:pt idx="411">
                  <c:v>48.660000000000011</c:v>
                </c:pt>
                <c:pt idx="413">
                  <c:v>47.290000000000013</c:v>
                </c:pt>
                <c:pt idx="414">
                  <c:v>47.230000000000011</c:v>
                </c:pt>
                <c:pt idx="415">
                  <c:v>45.96</c:v>
                </c:pt>
                <c:pt idx="416">
                  <c:v>46.44</c:v>
                </c:pt>
                <c:pt idx="417">
                  <c:v>46.57</c:v>
                </c:pt>
                <c:pt idx="418">
                  <c:v>47.87</c:v>
                </c:pt>
                <c:pt idx="419">
                  <c:v>47.43</c:v>
                </c:pt>
                <c:pt idx="420">
                  <c:v>48.41</c:v>
                </c:pt>
                <c:pt idx="421">
                  <c:v>47.64</c:v>
                </c:pt>
                <c:pt idx="422">
                  <c:v>47.37</c:v>
                </c:pt>
                <c:pt idx="423">
                  <c:v>48.51</c:v>
                </c:pt>
                <c:pt idx="424">
                  <c:v>47.09</c:v>
                </c:pt>
                <c:pt idx="425">
                  <c:v>46.78</c:v>
                </c:pt>
                <c:pt idx="426">
                  <c:v>47.55</c:v>
                </c:pt>
                <c:pt idx="427">
                  <c:v>47.59</c:v>
                </c:pt>
                <c:pt idx="428">
                  <c:v>48.82</c:v>
                </c:pt>
                <c:pt idx="429">
                  <c:v>48.59</c:v>
                </c:pt>
                <c:pt idx="430">
                  <c:v>49.56</c:v>
                </c:pt>
                <c:pt idx="431">
                  <c:v>49.17</c:v>
                </c:pt>
                <c:pt idx="432">
                  <c:v>49.39</c:v>
                </c:pt>
                <c:pt idx="433">
                  <c:v>49.58</c:v>
                </c:pt>
                <c:pt idx="434">
                  <c:v>49.3</c:v>
                </c:pt>
                <c:pt idx="435">
                  <c:v>49.59</c:v>
                </c:pt>
                <c:pt idx="436">
                  <c:v>49.160000000000011</c:v>
                </c:pt>
                <c:pt idx="437">
                  <c:v>50.17</c:v>
                </c:pt>
                <c:pt idx="438">
                  <c:v>49.71</c:v>
                </c:pt>
                <c:pt idx="439">
                  <c:v>49.04</c:v>
                </c:pt>
                <c:pt idx="440">
                  <c:v>48.75</c:v>
                </c:pt>
                <c:pt idx="441">
                  <c:v>47.89</c:v>
                </c:pt>
                <c:pt idx="442">
                  <c:v>46.34</c:v>
                </c:pt>
                <c:pt idx="443">
                  <c:v>45.77</c:v>
                </c:pt>
                <c:pt idx="444">
                  <c:v>46.790000000000013</c:v>
                </c:pt>
                <c:pt idx="445">
                  <c:v>47.120000000000012</c:v>
                </c:pt>
                <c:pt idx="446">
                  <c:v>46.4</c:v>
                </c:pt>
                <c:pt idx="447">
                  <c:v>46.02</c:v>
                </c:pt>
                <c:pt idx="448">
                  <c:v>46.54</c:v>
                </c:pt>
                <c:pt idx="449">
                  <c:v>46.08</c:v>
                </c:pt>
                <c:pt idx="450">
                  <c:v>45.49</c:v>
                </c:pt>
                <c:pt idx="451">
                  <c:v>45.04</c:v>
                </c:pt>
                <c:pt idx="452">
                  <c:v>44.4</c:v>
                </c:pt>
                <c:pt idx="453">
                  <c:v>44.230000000000011</c:v>
                </c:pt>
                <c:pt idx="454">
                  <c:v>45.52</c:v>
                </c:pt>
                <c:pt idx="455">
                  <c:v>45.13</c:v>
                </c:pt>
                <c:pt idx="456">
                  <c:v>47.08</c:v>
                </c:pt>
                <c:pt idx="457">
                  <c:v>47.07</c:v>
                </c:pt>
                <c:pt idx="458">
                  <c:v>46.04</c:v>
                </c:pt>
                <c:pt idx="459">
                  <c:v>44.93</c:v>
                </c:pt>
                <c:pt idx="460">
                  <c:v>44.74</c:v>
                </c:pt>
                <c:pt idx="461">
                  <c:v>44.24</c:v>
                </c:pt>
                <c:pt idx="462">
                  <c:v>43.38</c:v>
                </c:pt>
                <c:pt idx="463">
                  <c:v>43.01</c:v>
                </c:pt>
                <c:pt idx="464">
                  <c:v>42.74</c:v>
                </c:pt>
                <c:pt idx="465">
                  <c:v>42.53</c:v>
                </c:pt>
                <c:pt idx="466">
                  <c:v>43.230000000000011</c:v>
                </c:pt>
                <c:pt idx="467">
                  <c:v>44.2</c:v>
                </c:pt>
                <c:pt idx="468">
                  <c:v>44.74</c:v>
                </c:pt>
                <c:pt idx="469">
                  <c:v>44.46</c:v>
                </c:pt>
                <c:pt idx="470">
                  <c:v>44.730000000000011</c:v>
                </c:pt>
                <c:pt idx="471">
                  <c:v>46.46</c:v>
                </c:pt>
                <c:pt idx="472">
                  <c:v>46.08</c:v>
                </c:pt>
                <c:pt idx="473">
                  <c:v>45.83</c:v>
                </c:pt>
                <c:pt idx="474">
                  <c:v>45.64</c:v>
                </c:pt>
                <c:pt idx="475">
                  <c:v>45.720000000000013</c:v>
                </c:pt>
                <c:pt idx="476">
                  <c:v>48.190000000000012</c:v>
                </c:pt>
                <c:pt idx="477">
                  <c:v>47.4</c:v>
                </c:pt>
                <c:pt idx="478">
                  <c:v>47.660000000000011</c:v>
                </c:pt>
                <c:pt idx="479">
                  <c:v>48.36</c:v>
                </c:pt>
                <c:pt idx="480">
                  <c:v>48.32</c:v>
                </c:pt>
                <c:pt idx="481">
                  <c:v>49.660000000000011</c:v>
                </c:pt>
                <c:pt idx="483">
                  <c:v>49.8</c:v>
                </c:pt>
                <c:pt idx="484">
                  <c:v>48.9</c:v>
                </c:pt>
                <c:pt idx="485">
                  <c:v>51.36</c:v>
                </c:pt>
                <c:pt idx="486">
                  <c:v>51.47</c:v>
                </c:pt>
                <c:pt idx="487">
                  <c:v>50.730000000000011</c:v>
                </c:pt>
                <c:pt idx="488">
                  <c:v>50.33</c:v>
                </c:pt>
                <c:pt idx="489">
                  <c:v>49.35</c:v>
                </c:pt>
                <c:pt idx="490">
                  <c:v>49.07</c:v>
                </c:pt>
                <c:pt idx="491">
                  <c:v>48.660000000000011</c:v>
                </c:pt>
                <c:pt idx="492">
                  <c:v>48.85</c:v>
                </c:pt>
                <c:pt idx="493">
                  <c:v>47.84</c:v>
                </c:pt>
                <c:pt idx="494">
                  <c:v>47.83</c:v>
                </c:pt>
                <c:pt idx="495">
                  <c:v>47.33</c:v>
                </c:pt>
                <c:pt idx="496">
                  <c:v>45.88</c:v>
                </c:pt>
                <c:pt idx="497">
                  <c:v>46.43</c:v>
                </c:pt>
                <c:pt idx="498">
                  <c:v>46.220000000000013</c:v>
                </c:pt>
                <c:pt idx="499">
                  <c:v>45.52</c:v>
                </c:pt>
                <c:pt idx="500">
                  <c:v>47.82</c:v>
                </c:pt>
                <c:pt idx="501">
                  <c:v>47.660000000000011</c:v>
                </c:pt>
                <c:pt idx="502">
                  <c:v>48.84</c:v>
                </c:pt>
                <c:pt idx="503">
                  <c:v>49.33</c:v>
                </c:pt>
                <c:pt idx="504">
                  <c:v>48.97</c:v>
                </c:pt>
                <c:pt idx="505">
                  <c:v>49.620000000000012</c:v>
                </c:pt>
                <c:pt idx="506">
                  <c:v>49.56</c:v>
                </c:pt>
                <c:pt idx="507">
                  <c:v>49.230000000000011</c:v>
                </c:pt>
                <c:pt idx="508">
                  <c:v>49.620000000000012</c:v>
                </c:pt>
                <c:pt idx="509">
                  <c:v>50.27</c:v>
                </c:pt>
                <c:pt idx="510">
                  <c:v>50.44</c:v>
                </c:pt>
                <c:pt idx="511">
                  <c:v>52.41</c:v>
                </c:pt>
                <c:pt idx="512">
                  <c:v>52.65</c:v>
                </c:pt>
                <c:pt idx="513">
                  <c:v>53.18</c:v>
                </c:pt>
                <c:pt idx="514">
                  <c:v>53.11</c:v>
                </c:pt>
                <c:pt idx="515">
                  <c:v>53.4</c:v>
                </c:pt>
                <c:pt idx="516">
                  <c:v>53.08</c:v>
                </c:pt>
                <c:pt idx="517">
                  <c:v>52.24</c:v>
                </c:pt>
                <c:pt idx="518">
                  <c:v>51.7</c:v>
                </c:pt>
                <c:pt idx="519">
                  <c:v>51.15</c:v>
                </c:pt>
                <c:pt idx="520">
                  <c:v>51.03</c:v>
                </c:pt>
                <c:pt idx="521">
                  <c:v>50.24</c:v>
                </c:pt>
                <c:pt idx="522">
                  <c:v>50.6</c:v>
                </c:pt>
                <c:pt idx="523">
                  <c:v>50.35</c:v>
                </c:pt>
                <c:pt idx="524">
                  <c:v>49.51</c:v>
                </c:pt>
                <c:pt idx="525">
                  <c:v>48.37</c:v>
                </c:pt>
                <c:pt idx="526">
                  <c:v>47.730000000000011</c:v>
                </c:pt>
                <c:pt idx="527">
                  <c:v>47.97</c:v>
                </c:pt>
                <c:pt idx="528">
                  <c:v>47.7</c:v>
                </c:pt>
                <c:pt idx="529">
                  <c:v>48.04</c:v>
                </c:pt>
                <c:pt idx="530">
                  <c:v>47.34</c:v>
                </c:pt>
                <c:pt idx="531">
                  <c:v>48.220000000000013</c:v>
                </c:pt>
                <c:pt idx="532">
                  <c:v>48.78</c:v>
                </c:pt>
                <c:pt idx="533">
                  <c:v>48.75</c:v>
                </c:pt>
                <c:pt idx="534">
                  <c:v>48.86</c:v>
                </c:pt>
                <c:pt idx="535">
                  <c:v>47.720000000000013</c:v>
                </c:pt>
                <c:pt idx="536">
                  <c:v>48.4</c:v>
                </c:pt>
                <c:pt idx="537">
                  <c:v>48.49</c:v>
                </c:pt>
                <c:pt idx="538">
                  <c:v>49.28</c:v>
                </c:pt>
                <c:pt idx="539">
                  <c:v>50.28</c:v>
                </c:pt>
                <c:pt idx="540">
                  <c:v>53.14</c:v>
                </c:pt>
                <c:pt idx="541">
                  <c:v>53.2</c:v>
                </c:pt>
                <c:pt idx="542">
                  <c:v>53.33</c:v>
                </c:pt>
                <c:pt idx="543">
                  <c:v>52.61</c:v>
                </c:pt>
                <c:pt idx="544">
                  <c:v>53.83</c:v>
                </c:pt>
                <c:pt idx="545">
                  <c:v>54.01</c:v>
                </c:pt>
                <c:pt idx="546">
                  <c:v>54.05</c:v>
                </c:pt>
                <c:pt idx="547">
                  <c:v>53.99</c:v>
                </c:pt>
                <c:pt idx="548">
                  <c:v>54.45</c:v>
                </c:pt>
                <c:pt idx="549">
                  <c:v>53.59</c:v>
                </c:pt>
                <c:pt idx="550">
                  <c:v>54.06</c:v>
                </c:pt>
                <c:pt idx="552">
                  <c:v>53.4</c:v>
                </c:pt>
                <c:pt idx="553">
                  <c:v>53.36</c:v>
                </c:pt>
                <c:pt idx="554">
                  <c:v>53.11</c:v>
                </c:pt>
                <c:pt idx="555">
                  <c:v>53.2</c:v>
                </c:pt>
                <c:pt idx="556">
                  <c:v>52.93</c:v>
                </c:pt>
                <c:pt idx="557">
                  <c:v>53.86</c:v>
                </c:pt>
                <c:pt idx="558">
                  <c:v>53</c:v>
                </c:pt>
                <c:pt idx="559">
                  <c:v>52.34</c:v>
                </c:pt>
                <c:pt idx="560">
                  <c:v>52.17</c:v>
                </c:pt>
                <c:pt idx="561">
                  <c:v>53.01</c:v>
                </c:pt>
                <c:pt idx="562">
                  <c:v>53.83</c:v>
                </c:pt>
                <c:pt idx="563">
                  <c:v>53.54</c:v>
                </c:pt>
                <c:pt idx="564">
                  <c:v>53.88</c:v>
                </c:pt>
                <c:pt idx="565">
                  <c:v>52.81</c:v>
                </c:pt>
                <c:pt idx="566">
                  <c:v>52.63</c:v>
                </c:pt>
                <c:pt idx="567">
                  <c:v>53.17</c:v>
                </c:pt>
                <c:pt idx="568">
                  <c:v>53.78</c:v>
                </c:pt>
                <c:pt idx="569">
                  <c:v>52.75</c:v>
                </c:pt>
                <c:pt idx="570">
                  <c:v>53.18</c:v>
                </c:pt>
                <c:pt idx="571">
                  <c:v>52.75</c:v>
                </c:pt>
                <c:pt idx="572">
                  <c:v>52.42</c:v>
                </c:pt>
                <c:pt idx="573">
                  <c:v>51.37</c:v>
                </c:pt>
                <c:pt idx="574">
                  <c:v>51.08</c:v>
                </c:pt>
                <c:pt idx="575">
                  <c:v>52.48</c:v>
                </c:pt>
                <c:pt idx="577">
                  <c:v>52.37</c:v>
                </c:pt>
                <c:pt idx="578">
                  <c:v>53.01</c:v>
                </c:pt>
                <c:pt idx="579">
                  <c:v>52.25</c:v>
                </c:pt>
                <c:pt idx="580">
                  <c:v>50.82</c:v>
                </c:pt>
                <c:pt idx="581">
                  <c:v>51.96</c:v>
                </c:pt>
                <c:pt idx="582">
                  <c:v>53.99</c:v>
                </c:pt>
                <c:pt idx="583">
                  <c:v>53.760000000000012</c:v>
                </c:pt>
                <c:pt idx="584">
                  <c:v>53.260000000000012</c:v>
                </c:pt>
                <c:pt idx="585">
                  <c:v>52.33</c:v>
                </c:pt>
                <c:pt idx="586">
                  <c:v>53.720000000000013</c:v>
                </c:pt>
                <c:pt idx="587">
                  <c:v>53.77</c:v>
                </c:pt>
                <c:pt idx="588">
                  <c:v>54.06</c:v>
                </c:pt>
                <c:pt idx="589">
                  <c:v>53.9</c:v>
                </c:pt>
                <c:pt idx="590">
                  <c:v>53.02</c:v>
                </c:pt>
                <c:pt idx="591">
                  <c:v>52.95</c:v>
                </c:pt>
                <c:pt idx="592">
                  <c:v>52.49</c:v>
                </c:pt>
                <c:pt idx="593">
                  <c:v>52.230000000000011</c:v>
                </c:pt>
                <c:pt idx="594">
                  <c:v>52.120000000000012</c:v>
                </c:pt>
                <c:pt idx="595">
                  <c:v>51.9</c:v>
                </c:pt>
                <c:pt idx="596">
                  <c:v>50.9</c:v>
                </c:pt>
                <c:pt idx="597">
                  <c:v>51.04</c:v>
                </c:pt>
                <c:pt idx="598">
                  <c:v>52.98</c:v>
                </c:pt>
                <c:pt idx="599">
                  <c:v>52.83</c:v>
                </c:pt>
                <c:pt idx="600">
                  <c:v>51.5</c:v>
                </c:pt>
                <c:pt idx="601">
                  <c:v>50.84</c:v>
                </c:pt>
                <c:pt idx="602">
                  <c:v>49.77</c:v>
                </c:pt>
                <c:pt idx="603">
                  <c:v>50.93</c:v>
                </c:pt>
                <c:pt idx="604">
                  <c:v>51.790000000000013</c:v>
                </c:pt>
                <c:pt idx="605">
                  <c:v>51.68</c:v>
                </c:pt>
                <c:pt idx="606">
                  <c:v>51.06</c:v>
                </c:pt>
                <c:pt idx="607">
                  <c:v>49.44</c:v>
                </c:pt>
                <c:pt idx="608">
                  <c:v>45.230000000000011</c:v>
                </c:pt>
                <c:pt idx="609">
                  <c:v>47.08</c:v>
                </c:pt>
                <c:pt idx="610">
                  <c:v>46.06</c:v>
                </c:pt>
                <c:pt idx="612">
                  <c:v>47.96</c:v>
                </c:pt>
                <c:pt idx="613">
                  <c:v>48.03</c:v>
                </c:pt>
                <c:pt idx="614">
                  <c:v>47.49</c:v>
                </c:pt>
                <c:pt idx="615">
                  <c:v>45.690000000000012</c:v>
                </c:pt>
                <c:pt idx="616">
                  <c:v>45.42</c:v>
                </c:pt>
                <c:pt idx="617">
                  <c:v>45.57</c:v>
                </c:pt>
                <c:pt idx="618">
                  <c:v>45.81</c:v>
                </c:pt>
                <c:pt idx="619">
                  <c:v>43.32</c:v>
                </c:pt>
                <c:pt idx="620">
                  <c:v>43.41</c:v>
                </c:pt>
                <c:pt idx="621">
                  <c:v>44.660000000000011</c:v>
                </c:pt>
                <c:pt idx="622">
                  <c:v>45.27</c:v>
                </c:pt>
                <c:pt idx="623">
                  <c:v>44.98</c:v>
                </c:pt>
                <c:pt idx="624">
                  <c:v>44.89</c:v>
                </c:pt>
                <c:pt idx="625">
                  <c:v>44.07</c:v>
                </c:pt>
                <c:pt idx="626">
                  <c:v>44.660000000000011</c:v>
                </c:pt>
                <c:pt idx="627">
                  <c:v>45.34</c:v>
                </c:pt>
                <c:pt idx="628">
                  <c:v>46.67</c:v>
                </c:pt>
                <c:pt idx="629">
                  <c:v>46.86</c:v>
                </c:pt>
                <c:pt idx="630">
                  <c:v>48.7</c:v>
                </c:pt>
                <c:pt idx="631">
                  <c:v>49.720000000000013</c:v>
                </c:pt>
                <c:pt idx="632">
                  <c:v>49.18</c:v>
                </c:pt>
                <c:pt idx="633">
                  <c:v>49.96</c:v>
                </c:pt>
                <c:pt idx="634">
                  <c:v>50.52</c:v>
                </c:pt>
                <c:pt idx="635">
                  <c:v>50.85</c:v>
                </c:pt>
                <c:pt idx="636">
                  <c:v>50.43</c:v>
                </c:pt>
                <c:pt idx="637">
                  <c:v>51.6</c:v>
                </c:pt>
                <c:pt idx="638">
                  <c:v>50.290000000000013</c:v>
                </c:pt>
                <c:pt idx="639">
                  <c:v>49.94</c:v>
                </c:pt>
                <c:pt idx="640">
                  <c:v>50.35</c:v>
                </c:pt>
                <c:pt idx="641">
                  <c:v>50.44</c:v>
                </c:pt>
                <c:pt idx="642">
                  <c:v>50.18</c:v>
                </c:pt>
                <c:pt idx="643">
                  <c:v>50.790000000000013</c:v>
                </c:pt>
                <c:pt idx="644">
                  <c:v>51.35</c:v>
                </c:pt>
                <c:pt idx="645">
                  <c:v>49.81</c:v>
                </c:pt>
                <c:pt idx="646">
                  <c:v>50.44</c:v>
                </c:pt>
                <c:pt idx="647">
                  <c:v>49.83</c:v>
                </c:pt>
                <c:pt idx="648">
                  <c:v>48.690000000000012</c:v>
                </c:pt>
                <c:pt idx="649">
                  <c:v>48.81</c:v>
                </c:pt>
                <c:pt idx="650">
                  <c:v>48.24</c:v>
                </c:pt>
                <c:pt idx="651">
                  <c:v>47.83</c:v>
                </c:pt>
                <c:pt idx="652">
                  <c:v>47.05</c:v>
                </c:pt>
                <c:pt idx="653">
                  <c:v>44.67</c:v>
                </c:pt>
                <c:pt idx="654">
                  <c:v>45.93</c:v>
                </c:pt>
                <c:pt idx="655">
                  <c:v>44.48</c:v>
                </c:pt>
                <c:pt idx="656">
                  <c:v>46.32</c:v>
                </c:pt>
                <c:pt idx="657">
                  <c:v>45.34</c:v>
                </c:pt>
                <c:pt idx="658">
                  <c:v>43.44</c:v>
                </c:pt>
                <c:pt idx="659">
                  <c:v>43.3</c:v>
                </c:pt>
                <c:pt idx="660">
                  <c:v>43.03</c:v>
                </c:pt>
                <c:pt idx="661">
                  <c:v>43.91</c:v>
                </c:pt>
                <c:pt idx="662">
                  <c:v>43.58</c:v>
                </c:pt>
                <c:pt idx="663">
                  <c:v>44.9</c:v>
                </c:pt>
                <c:pt idx="664">
                  <c:v>46.290000000000013</c:v>
                </c:pt>
                <c:pt idx="665">
                  <c:v>45.88</c:v>
                </c:pt>
                <c:pt idx="666">
                  <c:v>47.620000000000012</c:v>
                </c:pt>
                <c:pt idx="667">
                  <c:v>45.5</c:v>
                </c:pt>
                <c:pt idx="668">
                  <c:v>44.83</c:v>
                </c:pt>
                <c:pt idx="670">
                  <c:v>44.44</c:v>
                </c:pt>
                <c:pt idx="671">
                  <c:v>43.160000000000011</c:v>
                </c:pt>
                <c:pt idx="672">
                  <c:v>44.7</c:v>
                </c:pt>
                <c:pt idx="673">
                  <c:v>46.35</c:v>
                </c:pt>
                <c:pt idx="674">
                  <c:v>46.98</c:v>
                </c:pt>
                <c:pt idx="675">
                  <c:v>47.64</c:v>
                </c:pt>
                <c:pt idx="676">
                  <c:v>47.33</c:v>
                </c:pt>
                <c:pt idx="677">
                  <c:v>46.77</c:v>
                </c:pt>
                <c:pt idx="678">
                  <c:v>48.1</c:v>
                </c:pt>
                <c:pt idx="679">
                  <c:v>47.05</c:v>
                </c:pt>
                <c:pt idx="680">
                  <c:v>48.52</c:v>
                </c:pt>
                <c:pt idx="681">
                  <c:v>48.220000000000013</c:v>
                </c:pt>
                <c:pt idx="682">
                  <c:v>46.790000000000013</c:v>
                </c:pt>
                <c:pt idx="683">
                  <c:v>46.58</c:v>
                </c:pt>
                <c:pt idx="684">
                  <c:v>45.74</c:v>
                </c:pt>
                <c:pt idx="685">
                  <c:v>44.49</c:v>
                </c:pt>
                <c:pt idx="686">
                  <c:v>43.49</c:v>
                </c:pt>
                <c:pt idx="687">
                  <c:v>41.71</c:v>
                </c:pt>
                <c:pt idx="688">
                  <c:v>42.77</c:v>
                </c:pt>
                <c:pt idx="689">
                  <c:v>43.02</c:v>
                </c:pt>
                <c:pt idx="690">
                  <c:v>41.8</c:v>
                </c:pt>
                <c:pt idx="691">
                  <c:v>41.93</c:v>
                </c:pt>
                <c:pt idx="692">
                  <c:v>40.83</c:v>
                </c:pt>
                <c:pt idx="693">
                  <c:v>39.51</c:v>
                </c:pt>
                <c:pt idx="694">
                  <c:v>40.06</c:v>
                </c:pt>
                <c:pt idx="695">
                  <c:v>41.6</c:v>
                </c:pt>
                <c:pt idx="696">
                  <c:v>41.14</c:v>
                </c:pt>
                <c:pt idx="697">
                  <c:v>41.92</c:v>
                </c:pt>
                <c:pt idx="698">
                  <c:v>42.92</c:v>
                </c:pt>
                <c:pt idx="699">
                  <c:v>43.13</c:v>
                </c:pt>
                <c:pt idx="700">
                  <c:v>44.190000000000012</c:v>
                </c:pt>
                <c:pt idx="701">
                  <c:v>44.75</c:v>
                </c:pt>
                <c:pt idx="702">
                  <c:v>44.94</c:v>
                </c:pt>
                <c:pt idx="703">
                  <c:v>44.65</c:v>
                </c:pt>
                <c:pt idx="704">
                  <c:v>45.24</c:v>
                </c:pt>
                <c:pt idx="705">
                  <c:v>45.95</c:v>
                </c:pt>
                <c:pt idx="706">
                  <c:v>45.68</c:v>
                </c:pt>
                <c:pt idx="707">
                  <c:v>44.75</c:v>
                </c:pt>
                <c:pt idx="708">
                  <c:v>46.8</c:v>
                </c:pt>
                <c:pt idx="709">
                  <c:v>44.760000000000012</c:v>
                </c:pt>
                <c:pt idx="710">
                  <c:v>45.41</c:v>
                </c:pt>
                <c:pt idx="711">
                  <c:v>45.14</c:v>
                </c:pt>
                <c:pt idx="712">
                  <c:v>47.43</c:v>
                </c:pt>
                <c:pt idx="713">
                  <c:v>46.6</c:v>
                </c:pt>
                <c:pt idx="714">
                  <c:v>48.760000000000012</c:v>
                </c:pt>
              </c:numCache>
            </c:numRef>
          </c:val>
        </c:ser>
        <c:ser>
          <c:idx val="1"/>
          <c:order val="1"/>
          <c:tx>
            <c:strRef>
              <c:f>'世界-走势图'!$B$1:$C$1</c:f>
              <c:strCache>
                <c:ptCount val="1"/>
                <c:pt idx="0">
                  <c:v>WTI 布伦特</c:v>
                </c:pt>
              </c:strCache>
            </c:strRef>
          </c:tx>
          <c:spPr>
            <a:ln w="25400" cap="rnd" cmpd="sng" algn="ctr">
              <a:solidFill>
                <a:srgbClr val="FF0000">
                  <a:alpha val="100000"/>
                </a:srgbClr>
              </a:solidFill>
              <a:prstDash val="solid"/>
              <a:round/>
            </a:ln>
          </c:spPr>
          <c:marker>
            <c:symbol val="none"/>
          </c:marker>
          <c:cat>
            <c:numRef>
              <c:f>'世界-走势图'!$A$2:$A$716</c:f>
              <c:numCache>
                <c:formatCode>yyyy/m/d;@</c:formatCode>
                <c:ptCount val="715"/>
                <c:pt idx="0">
                  <c:v>43572</c:v>
                </c:pt>
                <c:pt idx="1">
                  <c:v>43571</c:v>
                </c:pt>
                <c:pt idx="2">
                  <c:v>43570</c:v>
                </c:pt>
                <c:pt idx="3">
                  <c:v>43567</c:v>
                </c:pt>
                <c:pt idx="4">
                  <c:v>43566</c:v>
                </c:pt>
                <c:pt idx="5">
                  <c:v>43565</c:v>
                </c:pt>
                <c:pt idx="6">
                  <c:v>43564</c:v>
                </c:pt>
                <c:pt idx="7">
                  <c:v>43563</c:v>
                </c:pt>
                <c:pt idx="8">
                  <c:v>43560</c:v>
                </c:pt>
                <c:pt idx="9">
                  <c:v>43559</c:v>
                </c:pt>
                <c:pt idx="10">
                  <c:v>43558</c:v>
                </c:pt>
                <c:pt idx="11">
                  <c:v>43557</c:v>
                </c:pt>
                <c:pt idx="12">
                  <c:v>43556</c:v>
                </c:pt>
                <c:pt idx="13">
                  <c:v>43553</c:v>
                </c:pt>
                <c:pt idx="14">
                  <c:v>43552</c:v>
                </c:pt>
                <c:pt idx="15">
                  <c:v>43551</c:v>
                </c:pt>
                <c:pt idx="16">
                  <c:v>43550</c:v>
                </c:pt>
                <c:pt idx="17">
                  <c:v>43549</c:v>
                </c:pt>
                <c:pt idx="18">
                  <c:v>43546</c:v>
                </c:pt>
                <c:pt idx="19">
                  <c:v>43545</c:v>
                </c:pt>
                <c:pt idx="20">
                  <c:v>43544</c:v>
                </c:pt>
                <c:pt idx="21">
                  <c:v>43543</c:v>
                </c:pt>
                <c:pt idx="22">
                  <c:v>43542</c:v>
                </c:pt>
                <c:pt idx="23">
                  <c:v>43539</c:v>
                </c:pt>
                <c:pt idx="24">
                  <c:v>43538</c:v>
                </c:pt>
                <c:pt idx="25">
                  <c:v>43537</c:v>
                </c:pt>
                <c:pt idx="26">
                  <c:v>43536</c:v>
                </c:pt>
                <c:pt idx="27">
                  <c:v>43535</c:v>
                </c:pt>
                <c:pt idx="28">
                  <c:v>43532</c:v>
                </c:pt>
                <c:pt idx="29">
                  <c:v>43531</c:v>
                </c:pt>
                <c:pt idx="30">
                  <c:v>43530</c:v>
                </c:pt>
                <c:pt idx="31">
                  <c:v>43529</c:v>
                </c:pt>
                <c:pt idx="32">
                  <c:v>43528</c:v>
                </c:pt>
                <c:pt idx="33">
                  <c:v>43525</c:v>
                </c:pt>
                <c:pt idx="34">
                  <c:v>43524</c:v>
                </c:pt>
                <c:pt idx="35">
                  <c:v>43523</c:v>
                </c:pt>
                <c:pt idx="36">
                  <c:v>43522</c:v>
                </c:pt>
                <c:pt idx="37">
                  <c:v>43521</c:v>
                </c:pt>
                <c:pt idx="38">
                  <c:v>43518</c:v>
                </c:pt>
                <c:pt idx="39">
                  <c:v>43517</c:v>
                </c:pt>
                <c:pt idx="40">
                  <c:v>43516</c:v>
                </c:pt>
                <c:pt idx="41">
                  <c:v>43515</c:v>
                </c:pt>
                <c:pt idx="42">
                  <c:v>43514</c:v>
                </c:pt>
                <c:pt idx="43">
                  <c:v>43511</c:v>
                </c:pt>
                <c:pt idx="44">
                  <c:v>43510</c:v>
                </c:pt>
                <c:pt idx="45">
                  <c:v>43509</c:v>
                </c:pt>
                <c:pt idx="46">
                  <c:v>43508</c:v>
                </c:pt>
                <c:pt idx="47">
                  <c:v>43507</c:v>
                </c:pt>
                <c:pt idx="48">
                  <c:v>43504</c:v>
                </c:pt>
                <c:pt idx="49">
                  <c:v>43503</c:v>
                </c:pt>
                <c:pt idx="50">
                  <c:v>43502</c:v>
                </c:pt>
                <c:pt idx="51">
                  <c:v>43501</c:v>
                </c:pt>
                <c:pt idx="52">
                  <c:v>43500</c:v>
                </c:pt>
                <c:pt idx="53">
                  <c:v>43497</c:v>
                </c:pt>
                <c:pt idx="54">
                  <c:v>43496</c:v>
                </c:pt>
                <c:pt idx="55">
                  <c:v>43495</c:v>
                </c:pt>
                <c:pt idx="56">
                  <c:v>43494</c:v>
                </c:pt>
                <c:pt idx="57">
                  <c:v>43493</c:v>
                </c:pt>
                <c:pt idx="58">
                  <c:v>43490</c:v>
                </c:pt>
                <c:pt idx="59">
                  <c:v>43489</c:v>
                </c:pt>
                <c:pt idx="60">
                  <c:v>43488</c:v>
                </c:pt>
                <c:pt idx="61">
                  <c:v>43487</c:v>
                </c:pt>
                <c:pt idx="62">
                  <c:v>43486</c:v>
                </c:pt>
                <c:pt idx="63">
                  <c:v>43483</c:v>
                </c:pt>
                <c:pt idx="64">
                  <c:v>43482</c:v>
                </c:pt>
                <c:pt idx="65">
                  <c:v>43481</c:v>
                </c:pt>
                <c:pt idx="66">
                  <c:v>43480</c:v>
                </c:pt>
                <c:pt idx="67">
                  <c:v>43479</c:v>
                </c:pt>
                <c:pt idx="68">
                  <c:v>43476</c:v>
                </c:pt>
                <c:pt idx="69">
                  <c:v>43475</c:v>
                </c:pt>
                <c:pt idx="70">
                  <c:v>43474</c:v>
                </c:pt>
                <c:pt idx="71">
                  <c:v>43473</c:v>
                </c:pt>
                <c:pt idx="72">
                  <c:v>43472</c:v>
                </c:pt>
                <c:pt idx="73">
                  <c:v>43469</c:v>
                </c:pt>
                <c:pt idx="74">
                  <c:v>43468</c:v>
                </c:pt>
                <c:pt idx="75">
                  <c:v>43467</c:v>
                </c:pt>
                <c:pt idx="76">
                  <c:v>43466</c:v>
                </c:pt>
                <c:pt idx="77">
                  <c:v>43465</c:v>
                </c:pt>
                <c:pt idx="78">
                  <c:v>43462</c:v>
                </c:pt>
                <c:pt idx="79">
                  <c:v>43461</c:v>
                </c:pt>
                <c:pt idx="80">
                  <c:v>43460</c:v>
                </c:pt>
                <c:pt idx="81">
                  <c:v>43459</c:v>
                </c:pt>
                <c:pt idx="82">
                  <c:v>43458</c:v>
                </c:pt>
                <c:pt idx="83">
                  <c:v>43455</c:v>
                </c:pt>
                <c:pt idx="84">
                  <c:v>43454</c:v>
                </c:pt>
                <c:pt idx="85">
                  <c:v>43453</c:v>
                </c:pt>
                <c:pt idx="86">
                  <c:v>43452</c:v>
                </c:pt>
                <c:pt idx="87">
                  <c:v>43451</c:v>
                </c:pt>
                <c:pt idx="88">
                  <c:v>43448</c:v>
                </c:pt>
                <c:pt idx="89">
                  <c:v>43447</c:v>
                </c:pt>
                <c:pt idx="90">
                  <c:v>43446</c:v>
                </c:pt>
                <c:pt idx="91">
                  <c:v>43445</c:v>
                </c:pt>
                <c:pt idx="92">
                  <c:v>43444</c:v>
                </c:pt>
                <c:pt idx="93">
                  <c:v>43441</c:v>
                </c:pt>
                <c:pt idx="94">
                  <c:v>43440</c:v>
                </c:pt>
                <c:pt idx="95">
                  <c:v>43439</c:v>
                </c:pt>
                <c:pt idx="96">
                  <c:v>43438</c:v>
                </c:pt>
                <c:pt idx="97">
                  <c:v>43437</c:v>
                </c:pt>
                <c:pt idx="98">
                  <c:v>43434</c:v>
                </c:pt>
                <c:pt idx="99">
                  <c:v>43433</c:v>
                </c:pt>
                <c:pt idx="100">
                  <c:v>43432</c:v>
                </c:pt>
                <c:pt idx="101">
                  <c:v>43431</c:v>
                </c:pt>
                <c:pt idx="102">
                  <c:v>43430</c:v>
                </c:pt>
                <c:pt idx="103">
                  <c:v>43427</c:v>
                </c:pt>
                <c:pt idx="104">
                  <c:v>43426</c:v>
                </c:pt>
                <c:pt idx="105">
                  <c:v>43425</c:v>
                </c:pt>
                <c:pt idx="106">
                  <c:v>43424</c:v>
                </c:pt>
                <c:pt idx="107">
                  <c:v>43423</c:v>
                </c:pt>
                <c:pt idx="108">
                  <c:v>43420</c:v>
                </c:pt>
                <c:pt idx="109">
                  <c:v>43419</c:v>
                </c:pt>
                <c:pt idx="110">
                  <c:v>43418</c:v>
                </c:pt>
                <c:pt idx="111">
                  <c:v>43417</c:v>
                </c:pt>
                <c:pt idx="112">
                  <c:v>43416</c:v>
                </c:pt>
                <c:pt idx="113">
                  <c:v>43413</c:v>
                </c:pt>
                <c:pt idx="114">
                  <c:v>43412</c:v>
                </c:pt>
                <c:pt idx="115">
                  <c:v>43411</c:v>
                </c:pt>
                <c:pt idx="116">
                  <c:v>43410</c:v>
                </c:pt>
                <c:pt idx="117">
                  <c:v>43409</c:v>
                </c:pt>
                <c:pt idx="118">
                  <c:v>43406</c:v>
                </c:pt>
                <c:pt idx="119">
                  <c:v>43405</c:v>
                </c:pt>
                <c:pt idx="120">
                  <c:v>43404</c:v>
                </c:pt>
                <c:pt idx="121">
                  <c:v>43403</c:v>
                </c:pt>
                <c:pt idx="122">
                  <c:v>43402</c:v>
                </c:pt>
                <c:pt idx="123">
                  <c:v>43399</c:v>
                </c:pt>
                <c:pt idx="124">
                  <c:v>43398</c:v>
                </c:pt>
                <c:pt idx="125">
                  <c:v>43397</c:v>
                </c:pt>
                <c:pt idx="126">
                  <c:v>43396</c:v>
                </c:pt>
                <c:pt idx="127">
                  <c:v>43395</c:v>
                </c:pt>
                <c:pt idx="128">
                  <c:v>43392</c:v>
                </c:pt>
                <c:pt idx="129">
                  <c:v>43391</c:v>
                </c:pt>
                <c:pt idx="130">
                  <c:v>43390</c:v>
                </c:pt>
                <c:pt idx="131">
                  <c:v>43389</c:v>
                </c:pt>
                <c:pt idx="132">
                  <c:v>43388</c:v>
                </c:pt>
                <c:pt idx="133">
                  <c:v>43385</c:v>
                </c:pt>
                <c:pt idx="134">
                  <c:v>43384</c:v>
                </c:pt>
                <c:pt idx="135">
                  <c:v>43383</c:v>
                </c:pt>
                <c:pt idx="136">
                  <c:v>43382</c:v>
                </c:pt>
                <c:pt idx="137">
                  <c:v>43381</c:v>
                </c:pt>
                <c:pt idx="138">
                  <c:v>43378</c:v>
                </c:pt>
                <c:pt idx="139">
                  <c:v>43377</c:v>
                </c:pt>
                <c:pt idx="140">
                  <c:v>43376</c:v>
                </c:pt>
                <c:pt idx="141">
                  <c:v>43375</c:v>
                </c:pt>
                <c:pt idx="142">
                  <c:v>43374</c:v>
                </c:pt>
                <c:pt idx="143">
                  <c:v>43371</c:v>
                </c:pt>
                <c:pt idx="144">
                  <c:v>43370</c:v>
                </c:pt>
                <c:pt idx="145">
                  <c:v>43369</c:v>
                </c:pt>
                <c:pt idx="146">
                  <c:v>43368</c:v>
                </c:pt>
                <c:pt idx="147">
                  <c:v>43367</c:v>
                </c:pt>
                <c:pt idx="148">
                  <c:v>43364</c:v>
                </c:pt>
                <c:pt idx="149">
                  <c:v>43363</c:v>
                </c:pt>
                <c:pt idx="150">
                  <c:v>43362</c:v>
                </c:pt>
                <c:pt idx="151">
                  <c:v>43361</c:v>
                </c:pt>
                <c:pt idx="152">
                  <c:v>43360</c:v>
                </c:pt>
                <c:pt idx="153">
                  <c:v>43357</c:v>
                </c:pt>
                <c:pt idx="154">
                  <c:v>43356</c:v>
                </c:pt>
                <c:pt idx="155">
                  <c:v>43355</c:v>
                </c:pt>
                <c:pt idx="156">
                  <c:v>43354</c:v>
                </c:pt>
                <c:pt idx="157">
                  <c:v>43353</c:v>
                </c:pt>
                <c:pt idx="158">
                  <c:v>43350</c:v>
                </c:pt>
                <c:pt idx="159">
                  <c:v>43349</c:v>
                </c:pt>
                <c:pt idx="160">
                  <c:v>43348</c:v>
                </c:pt>
                <c:pt idx="161">
                  <c:v>43347</c:v>
                </c:pt>
                <c:pt idx="162">
                  <c:v>43346</c:v>
                </c:pt>
                <c:pt idx="163">
                  <c:v>43343</c:v>
                </c:pt>
                <c:pt idx="164">
                  <c:v>43342</c:v>
                </c:pt>
                <c:pt idx="165">
                  <c:v>43341</c:v>
                </c:pt>
                <c:pt idx="166">
                  <c:v>43340</c:v>
                </c:pt>
                <c:pt idx="167">
                  <c:v>43339</c:v>
                </c:pt>
                <c:pt idx="168">
                  <c:v>43336</c:v>
                </c:pt>
                <c:pt idx="169">
                  <c:v>43335</c:v>
                </c:pt>
                <c:pt idx="170">
                  <c:v>43334</c:v>
                </c:pt>
                <c:pt idx="171">
                  <c:v>43333</c:v>
                </c:pt>
                <c:pt idx="172">
                  <c:v>43332</c:v>
                </c:pt>
                <c:pt idx="173">
                  <c:v>43329</c:v>
                </c:pt>
                <c:pt idx="174">
                  <c:v>43328</c:v>
                </c:pt>
                <c:pt idx="175">
                  <c:v>43327</c:v>
                </c:pt>
                <c:pt idx="176">
                  <c:v>43326</c:v>
                </c:pt>
                <c:pt idx="177">
                  <c:v>43325</c:v>
                </c:pt>
                <c:pt idx="178">
                  <c:v>43322</c:v>
                </c:pt>
                <c:pt idx="179">
                  <c:v>43321</c:v>
                </c:pt>
                <c:pt idx="180">
                  <c:v>43320</c:v>
                </c:pt>
                <c:pt idx="181">
                  <c:v>43319</c:v>
                </c:pt>
                <c:pt idx="182">
                  <c:v>43318</c:v>
                </c:pt>
                <c:pt idx="183">
                  <c:v>43315</c:v>
                </c:pt>
                <c:pt idx="184">
                  <c:v>43314</c:v>
                </c:pt>
                <c:pt idx="185">
                  <c:v>43313</c:v>
                </c:pt>
                <c:pt idx="186">
                  <c:v>43312</c:v>
                </c:pt>
                <c:pt idx="187">
                  <c:v>43311</c:v>
                </c:pt>
                <c:pt idx="188">
                  <c:v>43308</c:v>
                </c:pt>
                <c:pt idx="189">
                  <c:v>43307</c:v>
                </c:pt>
                <c:pt idx="190">
                  <c:v>43306</c:v>
                </c:pt>
                <c:pt idx="191">
                  <c:v>43305</c:v>
                </c:pt>
                <c:pt idx="192">
                  <c:v>43304</c:v>
                </c:pt>
                <c:pt idx="193">
                  <c:v>43301</c:v>
                </c:pt>
                <c:pt idx="194">
                  <c:v>43300</c:v>
                </c:pt>
                <c:pt idx="195">
                  <c:v>43299</c:v>
                </c:pt>
                <c:pt idx="196">
                  <c:v>43298</c:v>
                </c:pt>
                <c:pt idx="197">
                  <c:v>43297</c:v>
                </c:pt>
                <c:pt idx="198">
                  <c:v>43294</c:v>
                </c:pt>
                <c:pt idx="199">
                  <c:v>43293</c:v>
                </c:pt>
                <c:pt idx="200">
                  <c:v>43292</c:v>
                </c:pt>
                <c:pt idx="201">
                  <c:v>43291</c:v>
                </c:pt>
                <c:pt idx="202">
                  <c:v>43290</c:v>
                </c:pt>
                <c:pt idx="203">
                  <c:v>43287</c:v>
                </c:pt>
                <c:pt idx="204">
                  <c:v>43286</c:v>
                </c:pt>
                <c:pt idx="205">
                  <c:v>43285</c:v>
                </c:pt>
                <c:pt idx="206">
                  <c:v>43284</c:v>
                </c:pt>
                <c:pt idx="207">
                  <c:v>43283</c:v>
                </c:pt>
                <c:pt idx="208">
                  <c:v>43280</c:v>
                </c:pt>
                <c:pt idx="209">
                  <c:v>43279</c:v>
                </c:pt>
                <c:pt idx="210">
                  <c:v>43278</c:v>
                </c:pt>
                <c:pt idx="211">
                  <c:v>43277</c:v>
                </c:pt>
                <c:pt idx="212">
                  <c:v>43276</c:v>
                </c:pt>
                <c:pt idx="213">
                  <c:v>43273</c:v>
                </c:pt>
                <c:pt idx="214">
                  <c:v>43272</c:v>
                </c:pt>
                <c:pt idx="215">
                  <c:v>43271</c:v>
                </c:pt>
                <c:pt idx="216">
                  <c:v>43270</c:v>
                </c:pt>
                <c:pt idx="217">
                  <c:v>43269</c:v>
                </c:pt>
                <c:pt idx="218">
                  <c:v>43266</c:v>
                </c:pt>
                <c:pt idx="219">
                  <c:v>43265</c:v>
                </c:pt>
                <c:pt idx="220">
                  <c:v>43264</c:v>
                </c:pt>
                <c:pt idx="221">
                  <c:v>43263</c:v>
                </c:pt>
                <c:pt idx="222">
                  <c:v>43262</c:v>
                </c:pt>
                <c:pt idx="223">
                  <c:v>43259</c:v>
                </c:pt>
                <c:pt idx="224">
                  <c:v>43258</c:v>
                </c:pt>
                <c:pt idx="225">
                  <c:v>43257</c:v>
                </c:pt>
                <c:pt idx="226">
                  <c:v>43256</c:v>
                </c:pt>
                <c:pt idx="227">
                  <c:v>43255</c:v>
                </c:pt>
                <c:pt idx="228">
                  <c:v>43252</c:v>
                </c:pt>
                <c:pt idx="229">
                  <c:v>43251</c:v>
                </c:pt>
                <c:pt idx="230">
                  <c:v>43250</c:v>
                </c:pt>
                <c:pt idx="231">
                  <c:v>43249</c:v>
                </c:pt>
                <c:pt idx="232">
                  <c:v>43248</c:v>
                </c:pt>
                <c:pt idx="233">
                  <c:v>43245</c:v>
                </c:pt>
                <c:pt idx="234">
                  <c:v>43244</c:v>
                </c:pt>
                <c:pt idx="235">
                  <c:v>43243</c:v>
                </c:pt>
                <c:pt idx="236">
                  <c:v>43242</c:v>
                </c:pt>
                <c:pt idx="237">
                  <c:v>43241</c:v>
                </c:pt>
                <c:pt idx="238">
                  <c:v>43238</c:v>
                </c:pt>
                <c:pt idx="239">
                  <c:v>43237</c:v>
                </c:pt>
                <c:pt idx="240">
                  <c:v>43236</c:v>
                </c:pt>
                <c:pt idx="241">
                  <c:v>43235</c:v>
                </c:pt>
                <c:pt idx="242">
                  <c:v>43234</c:v>
                </c:pt>
                <c:pt idx="243">
                  <c:v>43231</c:v>
                </c:pt>
                <c:pt idx="244">
                  <c:v>43230</c:v>
                </c:pt>
                <c:pt idx="245">
                  <c:v>43229</c:v>
                </c:pt>
                <c:pt idx="246">
                  <c:v>43228</c:v>
                </c:pt>
                <c:pt idx="247">
                  <c:v>43227</c:v>
                </c:pt>
                <c:pt idx="248">
                  <c:v>43224</c:v>
                </c:pt>
                <c:pt idx="249">
                  <c:v>43223</c:v>
                </c:pt>
                <c:pt idx="250">
                  <c:v>43222</c:v>
                </c:pt>
                <c:pt idx="251">
                  <c:v>43221</c:v>
                </c:pt>
                <c:pt idx="252">
                  <c:v>43220</c:v>
                </c:pt>
                <c:pt idx="253">
                  <c:v>43217</c:v>
                </c:pt>
                <c:pt idx="254">
                  <c:v>43216</c:v>
                </c:pt>
                <c:pt idx="255">
                  <c:v>43215</c:v>
                </c:pt>
                <c:pt idx="256">
                  <c:v>43214</c:v>
                </c:pt>
                <c:pt idx="257">
                  <c:v>43213</c:v>
                </c:pt>
                <c:pt idx="258">
                  <c:v>43210</c:v>
                </c:pt>
                <c:pt idx="259">
                  <c:v>43209</c:v>
                </c:pt>
                <c:pt idx="260">
                  <c:v>43208</c:v>
                </c:pt>
                <c:pt idx="261">
                  <c:v>43207</c:v>
                </c:pt>
                <c:pt idx="262">
                  <c:v>43206</c:v>
                </c:pt>
                <c:pt idx="263">
                  <c:v>43203</c:v>
                </c:pt>
                <c:pt idx="264">
                  <c:v>43202</c:v>
                </c:pt>
                <c:pt idx="265">
                  <c:v>43201</c:v>
                </c:pt>
                <c:pt idx="266">
                  <c:v>43200</c:v>
                </c:pt>
                <c:pt idx="267">
                  <c:v>43199</c:v>
                </c:pt>
                <c:pt idx="268">
                  <c:v>43196</c:v>
                </c:pt>
                <c:pt idx="269">
                  <c:v>43195</c:v>
                </c:pt>
                <c:pt idx="270">
                  <c:v>43194</c:v>
                </c:pt>
                <c:pt idx="271">
                  <c:v>43193</c:v>
                </c:pt>
                <c:pt idx="272">
                  <c:v>43192</c:v>
                </c:pt>
                <c:pt idx="273">
                  <c:v>43189</c:v>
                </c:pt>
                <c:pt idx="274">
                  <c:v>43188</c:v>
                </c:pt>
                <c:pt idx="275">
                  <c:v>43187</c:v>
                </c:pt>
                <c:pt idx="276">
                  <c:v>43186</c:v>
                </c:pt>
                <c:pt idx="277">
                  <c:v>43185</c:v>
                </c:pt>
                <c:pt idx="278">
                  <c:v>43182</c:v>
                </c:pt>
                <c:pt idx="279">
                  <c:v>43181</c:v>
                </c:pt>
                <c:pt idx="280">
                  <c:v>43180</c:v>
                </c:pt>
                <c:pt idx="281">
                  <c:v>43179</c:v>
                </c:pt>
                <c:pt idx="282">
                  <c:v>43178</c:v>
                </c:pt>
                <c:pt idx="283">
                  <c:v>43175</c:v>
                </c:pt>
                <c:pt idx="284">
                  <c:v>43174</c:v>
                </c:pt>
                <c:pt idx="285">
                  <c:v>43173</c:v>
                </c:pt>
                <c:pt idx="286">
                  <c:v>43172</c:v>
                </c:pt>
                <c:pt idx="287">
                  <c:v>43171</c:v>
                </c:pt>
                <c:pt idx="288">
                  <c:v>43168</c:v>
                </c:pt>
                <c:pt idx="289">
                  <c:v>43167</c:v>
                </c:pt>
                <c:pt idx="290">
                  <c:v>43166</c:v>
                </c:pt>
                <c:pt idx="291">
                  <c:v>43165</c:v>
                </c:pt>
                <c:pt idx="292">
                  <c:v>43164</c:v>
                </c:pt>
                <c:pt idx="293">
                  <c:v>43161</c:v>
                </c:pt>
                <c:pt idx="294">
                  <c:v>43160</c:v>
                </c:pt>
                <c:pt idx="295">
                  <c:v>43159</c:v>
                </c:pt>
                <c:pt idx="296">
                  <c:v>43158</c:v>
                </c:pt>
                <c:pt idx="297">
                  <c:v>43157</c:v>
                </c:pt>
                <c:pt idx="298">
                  <c:v>43154</c:v>
                </c:pt>
                <c:pt idx="299">
                  <c:v>43153</c:v>
                </c:pt>
                <c:pt idx="300">
                  <c:v>43152</c:v>
                </c:pt>
                <c:pt idx="301">
                  <c:v>43143</c:v>
                </c:pt>
                <c:pt idx="302">
                  <c:v>43140</c:v>
                </c:pt>
                <c:pt idx="303">
                  <c:v>43139</c:v>
                </c:pt>
                <c:pt idx="304">
                  <c:v>43138</c:v>
                </c:pt>
                <c:pt idx="305">
                  <c:v>43137</c:v>
                </c:pt>
                <c:pt idx="306">
                  <c:v>43136</c:v>
                </c:pt>
                <c:pt idx="307">
                  <c:v>43133</c:v>
                </c:pt>
                <c:pt idx="308">
                  <c:v>43132</c:v>
                </c:pt>
                <c:pt idx="309">
                  <c:v>43131</c:v>
                </c:pt>
                <c:pt idx="310">
                  <c:v>43130</c:v>
                </c:pt>
                <c:pt idx="311">
                  <c:v>43129</c:v>
                </c:pt>
                <c:pt idx="312">
                  <c:v>43126</c:v>
                </c:pt>
                <c:pt idx="313">
                  <c:v>43125</c:v>
                </c:pt>
                <c:pt idx="314">
                  <c:v>43124</c:v>
                </c:pt>
                <c:pt idx="315">
                  <c:v>43123</c:v>
                </c:pt>
                <c:pt idx="316">
                  <c:v>43122</c:v>
                </c:pt>
                <c:pt idx="317">
                  <c:v>43119</c:v>
                </c:pt>
                <c:pt idx="318">
                  <c:v>43118</c:v>
                </c:pt>
                <c:pt idx="319">
                  <c:v>43117</c:v>
                </c:pt>
                <c:pt idx="320">
                  <c:v>43116</c:v>
                </c:pt>
                <c:pt idx="321">
                  <c:v>43115</c:v>
                </c:pt>
                <c:pt idx="322">
                  <c:v>43112</c:v>
                </c:pt>
                <c:pt idx="323">
                  <c:v>43111</c:v>
                </c:pt>
                <c:pt idx="324">
                  <c:v>43110</c:v>
                </c:pt>
                <c:pt idx="325">
                  <c:v>43109</c:v>
                </c:pt>
                <c:pt idx="326">
                  <c:v>43108</c:v>
                </c:pt>
                <c:pt idx="327">
                  <c:v>43105</c:v>
                </c:pt>
                <c:pt idx="328">
                  <c:v>43104</c:v>
                </c:pt>
                <c:pt idx="329">
                  <c:v>43103</c:v>
                </c:pt>
                <c:pt idx="330">
                  <c:v>43102</c:v>
                </c:pt>
                <c:pt idx="331">
                  <c:v>43101</c:v>
                </c:pt>
                <c:pt idx="332">
                  <c:v>43098</c:v>
                </c:pt>
                <c:pt idx="333">
                  <c:v>43097</c:v>
                </c:pt>
                <c:pt idx="334">
                  <c:v>43096</c:v>
                </c:pt>
                <c:pt idx="335">
                  <c:v>43095</c:v>
                </c:pt>
                <c:pt idx="336">
                  <c:v>43094</c:v>
                </c:pt>
                <c:pt idx="337">
                  <c:v>43091</c:v>
                </c:pt>
                <c:pt idx="338">
                  <c:v>43090</c:v>
                </c:pt>
                <c:pt idx="339">
                  <c:v>43089</c:v>
                </c:pt>
                <c:pt idx="340">
                  <c:v>43088</c:v>
                </c:pt>
                <c:pt idx="341">
                  <c:v>43087</c:v>
                </c:pt>
                <c:pt idx="342">
                  <c:v>43084</c:v>
                </c:pt>
                <c:pt idx="343">
                  <c:v>43083</c:v>
                </c:pt>
                <c:pt idx="344">
                  <c:v>43082</c:v>
                </c:pt>
                <c:pt idx="345">
                  <c:v>43081</c:v>
                </c:pt>
                <c:pt idx="346">
                  <c:v>43080</c:v>
                </c:pt>
                <c:pt idx="347">
                  <c:v>43077</c:v>
                </c:pt>
                <c:pt idx="348">
                  <c:v>43076</c:v>
                </c:pt>
                <c:pt idx="349">
                  <c:v>43075</c:v>
                </c:pt>
                <c:pt idx="350">
                  <c:v>43074</c:v>
                </c:pt>
                <c:pt idx="351">
                  <c:v>43073</c:v>
                </c:pt>
                <c:pt idx="352">
                  <c:v>43070</c:v>
                </c:pt>
                <c:pt idx="353">
                  <c:v>43069</c:v>
                </c:pt>
                <c:pt idx="354">
                  <c:v>43068</c:v>
                </c:pt>
                <c:pt idx="355">
                  <c:v>43067</c:v>
                </c:pt>
                <c:pt idx="356">
                  <c:v>43066</c:v>
                </c:pt>
                <c:pt idx="357">
                  <c:v>43063</c:v>
                </c:pt>
                <c:pt idx="358">
                  <c:v>43062</c:v>
                </c:pt>
                <c:pt idx="359">
                  <c:v>43061</c:v>
                </c:pt>
                <c:pt idx="360">
                  <c:v>43060</c:v>
                </c:pt>
                <c:pt idx="361">
                  <c:v>43059</c:v>
                </c:pt>
                <c:pt idx="362">
                  <c:v>43056</c:v>
                </c:pt>
                <c:pt idx="363">
                  <c:v>43055</c:v>
                </c:pt>
                <c:pt idx="364">
                  <c:v>43054</c:v>
                </c:pt>
                <c:pt idx="365">
                  <c:v>43053</c:v>
                </c:pt>
                <c:pt idx="366">
                  <c:v>43052</c:v>
                </c:pt>
                <c:pt idx="367">
                  <c:v>43049</c:v>
                </c:pt>
                <c:pt idx="368">
                  <c:v>43048</c:v>
                </c:pt>
                <c:pt idx="369">
                  <c:v>43047</c:v>
                </c:pt>
                <c:pt idx="370">
                  <c:v>43046</c:v>
                </c:pt>
                <c:pt idx="371">
                  <c:v>43045</c:v>
                </c:pt>
                <c:pt idx="372">
                  <c:v>43042</c:v>
                </c:pt>
                <c:pt idx="373">
                  <c:v>43041</c:v>
                </c:pt>
                <c:pt idx="374">
                  <c:v>43040</c:v>
                </c:pt>
                <c:pt idx="375">
                  <c:v>43039</c:v>
                </c:pt>
                <c:pt idx="376">
                  <c:v>43038</c:v>
                </c:pt>
                <c:pt idx="377">
                  <c:v>43035</c:v>
                </c:pt>
                <c:pt idx="378">
                  <c:v>43034</c:v>
                </c:pt>
                <c:pt idx="379">
                  <c:v>43033</c:v>
                </c:pt>
                <c:pt idx="380">
                  <c:v>43032</c:v>
                </c:pt>
                <c:pt idx="381">
                  <c:v>43031</c:v>
                </c:pt>
                <c:pt idx="382">
                  <c:v>43028</c:v>
                </c:pt>
                <c:pt idx="383">
                  <c:v>43027</c:v>
                </c:pt>
                <c:pt idx="384">
                  <c:v>43026</c:v>
                </c:pt>
                <c:pt idx="385">
                  <c:v>43025</c:v>
                </c:pt>
                <c:pt idx="386">
                  <c:v>43024</c:v>
                </c:pt>
                <c:pt idx="387">
                  <c:v>43021</c:v>
                </c:pt>
                <c:pt idx="388">
                  <c:v>43020</c:v>
                </c:pt>
                <c:pt idx="389">
                  <c:v>43019</c:v>
                </c:pt>
                <c:pt idx="390">
                  <c:v>43018</c:v>
                </c:pt>
                <c:pt idx="391">
                  <c:v>43017</c:v>
                </c:pt>
                <c:pt idx="392">
                  <c:v>43014</c:v>
                </c:pt>
                <c:pt idx="393">
                  <c:v>43007</c:v>
                </c:pt>
                <c:pt idx="394">
                  <c:v>43006</c:v>
                </c:pt>
                <c:pt idx="395">
                  <c:v>43005</c:v>
                </c:pt>
                <c:pt idx="396">
                  <c:v>43004</c:v>
                </c:pt>
                <c:pt idx="397">
                  <c:v>43003</c:v>
                </c:pt>
                <c:pt idx="398">
                  <c:v>43000</c:v>
                </c:pt>
                <c:pt idx="399">
                  <c:v>42999</c:v>
                </c:pt>
                <c:pt idx="400">
                  <c:v>42998</c:v>
                </c:pt>
                <c:pt idx="401">
                  <c:v>42997</c:v>
                </c:pt>
                <c:pt idx="402">
                  <c:v>42996</c:v>
                </c:pt>
                <c:pt idx="403">
                  <c:v>42993</c:v>
                </c:pt>
                <c:pt idx="404">
                  <c:v>42992</c:v>
                </c:pt>
                <c:pt idx="405">
                  <c:v>42991</c:v>
                </c:pt>
                <c:pt idx="406">
                  <c:v>42990</c:v>
                </c:pt>
                <c:pt idx="407">
                  <c:v>42989</c:v>
                </c:pt>
                <c:pt idx="408">
                  <c:v>42986</c:v>
                </c:pt>
                <c:pt idx="409">
                  <c:v>42985</c:v>
                </c:pt>
                <c:pt idx="410">
                  <c:v>42984</c:v>
                </c:pt>
                <c:pt idx="411">
                  <c:v>42983</c:v>
                </c:pt>
                <c:pt idx="412">
                  <c:v>42982</c:v>
                </c:pt>
                <c:pt idx="413">
                  <c:v>42979</c:v>
                </c:pt>
                <c:pt idx="414">
                  <c:v>42978</c:v>
                </c:pt>
                <c:pt idx="415">
                  <c:v>42977</c:v>
                </c:pt>
                <c:pt idx="416">
                  <c:v>42976</c:v>
                </c:pt>
                <c:pt idx="417">
                  <c:v>42975</c:v>
                </c:pt>
                <c:pt idx="418">
                  <c:v>42972</c:v>
                </c:pt>
                <c:pt idx="419">
                  <c:v>42971</c:v>
                </c:pt>
                <c:pt idx="420">
                  <c:v>42970</c:v>
                </c:pt>
                <c:pt idx="421">
                  <c:v>42969</c:v>
                </c:pt>
                <c:pt idx="422">
                  <c:v>42968</c:v>
                </c:pt>
                <c:pt idx="423">
                  <c:v>42965</c:v>
                </c:pt>
                <c:pt idx="424">
                  <c:v>42964</c:v>
                </c:pt>
                <c:pt idx="425">
                  <c:v>42963</c:v>
                </c:pt>
                <c:pt idx="426">
                  <c:v>42962</c:v>
                </c:pt>
                <c:pt idx="427">
                  <c:v>42961</c:v>
                </c:pt>
                <c:pt idx="428">
                  <c:v>42958</c:v>
                </c:pt>
                <c:pt idx="429">
                  <c:v>42957</c:v>
                </c:pt>
                <c:pt idx="430">
                  <c:v>42956</c:v>
                </c:pt>
                <c:pt idx="431">
                  <c:v>42955</c:v>
                </c:pt>
                <c:pt idx="432">
                  <c:v>42954</c:v>
                </c:pt>
                <c:pt idx="433">
                  <c:v>42951</c:v>
                </c:pt>
                <c:pt idx="434">
                  <c:v>42950</c:v>
                </c:pt>
                <c:pt idx="435">
                  <c:v>42949</c:v>
                </c:pt>
                <c:pt idx="436">
                  <c:v>42948</c:v>
                </c:pt>
                <c:pt idx="437">
                  <c:v>42947</c:v>
                </c:pt>
                <c:pt idx="438">
                  <c:v>42944</c:v>
                </c:pt>
                <c:pt idx="439">
                  <c:v>42943</c:v>
                </c:pt>
                <c:pt idx="440">
                  <c:v>42942</c:v>
                </c:pt>
                <c:pt idx="441">
                  <c:v>42941</c:v>
                </c:pt>
                <c:pt idx="442">
                  <c:v>42940</c:v>
                </c:pt>
                <c:pt idx="443">
                  <c:v>42937</c:v>
                </c:pt>
                <c:pt idx="444">
                  <c:v>42936</c:v>
                </c:pt>
                <c:pt idx="445">
                  <c:v>42935</c:v>
                </c:pt>
                <c:pt idx="446">
                  <c:v>42934</c:v>
                </c:pt>
                <c:pt idx="447">
                  <c:v>42933</c:v>
                </c:pt>
                <c:pt idx="448">
                  <c:v>42930</c:v>
                </c:pt>
                <c:pt idx="449">
                  <c:v>42929</c:v>
                </c:pt>
                <c:pt idx="450">
                  <c:v>42928</c:v>
                </c:pt>
                <c:pt idx="451">
                  <c:v>42927</c:v>
                </c:pt>
                <c:pt idx="452">
                  <c:v>42926</c:v>
                </c:pt>
                <c:pt idx="453">
                  <c:v>42923</c:v>
                </c:pt>
                <c:pt idx="454">
                  <c:v>42922</c:v>
                </c:pt>
                <c:pt idx="455">
                  <c:v>42921</c:v>
                </c:pt>
                <c:pt idx="456">
                  <c:v>42920</c:v>
                </c:pt>
                <c:pt idx="457">
                  <c:v>42919</c:v>
                </c:pt>
                <c:pt idx="458">
                  <c:v>42916</c:v>
                </c:pt>
                <c:pt idx="459">
                  <c:v>42915</c:v>
                </c:pt>
                <c:pt idx="460">
                  <c:v>42914</c:v>
                </c:pt>
                <c:pt idx="461">
                  <c:v>42913</c:v>
                </c:pt>
                <c:pt idx="462">
                  <c:v>42912</c:v>
                </c:pt>
                <c:pt idx="463">
                  <c:v>42909</c:v>
                </c:pt>
                <c:pt idx="464">
                  <c:v>42908</c:v>
                </c:pt>
                <c:pt idx="465">
                  <c:v>42907</c:v>
                </c:pt>
                <c:pt idx="466">
                  <c:v>42906</c:v>
                </c:pt>
                <c:pt idx="467">
                  <c:v>42905</c:v>
                </c:pt>
                <c:pt idx="468">
                  <c:v>42902</c:v>
                </c:pt>
                <c:pt idx="469">
                  <c:v>42901</c:v>
                </c:pt>
                <c:pt idx="470">
                  <c:v>42900</c:v>
                </c:pt>
                <c:pt idx="471">
                  <c:v>42899</c:v>
                </c:pt>
                <c:pt idx="472">
                  <c:v>42898</c:v>
                </c:pt>
                <c:pt idx="473">
                  <c:v>42895</c:v>
                </c:pt>
                <c:pt idx="474">
                  <c:v>42894</c:v>
                </c:pt>
                <c:pt idx="475">
                  <c:v>42893</c:v>
                </c:pt>
                <c:pt idx="476">
                  <c:v>42892</c:v>
                </c:pt>
                <c:pt idx="477">
                  <c:v>42891</c:v>
                </c:pt>
                <c:pt idx="478">
                  <c:v>42888</c:v>
                </c:pt>
                <c:pt idx="479">
                  <c:v>42887</c:v>
                </c:pt>
                <c:pt idx="480">
                  <c:v>42886</c:v>
                </c:pt>
                <c:pt idx="481">
                  <c:v>42885</c:v>
                </c:pt>
                <c:pt idx="482">
                  <c:v>42884</c:v>
                </c:pt>
                <c:pt idx="483">
                  <c:v>42881</c:v>
                </c:pt>
                <c:pt idx="484">
                  <c:v>42880</c:v>
                </c:pt>
                <c:pt idx="485">
                  <c:v>42879</c:v>
                </c:pt>
                <c:pt idx="486">
                  <c:v>42878</c:v>
                </c:pt>
                <c:pt idx="487">
                  <c:v>42877</c:v>
                </c:pt>
                <c:pt idx="488">
                  <c:v>42874</c:v>
                </c:pt>
                <c:pt idx="489">
                  <c:v>42873</c:v>
                </c:pt>
                <c:pt idx="490">
                  <c:v>42872</c:v>
                </c:pt>
                <c:pt idx="491">
                  <c:v>42871</c:v>
                </c:pt>
                <c:pt idx="492">
                  <c:v>42870</c:v>
                </c:pt>
                <c:pt idx="493">
                  <c:v>42867</c:v>
                </c:pt>
                <c:pt idx="494">
                  <c:v>42866</c:v>
                </c:pt>
                <c:pt idx="495">
                  <c:v>42865</c:v>
                </c:pt>
                <c:pt idx="496">
                  <c:v>42864</c:v>
                </c:pt>
                <c:pt idx="497">
                  <c:v>42863</c:v>
                </c:pt>
                <c:pt idx="498">
                  <c:v>42860</c:v>
                </c:pt>
                <c:pt idx="499">
                  <c:v>42859</c:v>
                </c:pt>
                <c:pt idx="500">
                  <c:v>42858</c:v>
                </c:pt>
                <c:pt idx="501">
                  <c:v>42857</c:v>
                </c:pt>
                <c:pt idx="502">
                  <c:v>42856</c:v>
                </c:pt>
                <c:pt idx="503">
                  <c:v>42853</c:v>
                </c:pt>
                <c:pt idx="504">
                  <c:v>42852</c:v>
                </c:pt>
                <c:pt idx="505">
                  <c:v>42851</c:v>
                </c:pt>
                <c:pt idx="506">
                  <c:v>42850</c:v>
                </c:pt>
                <c:pt idx="507">
                  <c:v>42849</c:v>
                </c:pt>
                <c:pt idx="508">
                  <c:v>42846</c:v>
                </c:pt>
                <c:pt idx="509">
                  <c:v>42845</c:v>
                </c:pt>
                <c:pt idx="510">
                  <c:v>42844</c:v>
                </c:pt>
                <c:pt idx="511">
                  <c:v>42843</c:v>
                </c:pt>
                <c:pt idx="512">
                  <c:v>42842</c:v>
                </c:pt>
                <c:pt idx="513">
                  <c:v>42838</c:v>
                </c:pt>
                <c:pt idx="514">
                  <c:v>42837</c:v>
                </c:pt>
                <c:pt idx="515">
                  <c:v>42836</c:v>
                </c:pt>
                <c:pt idx="516">
                  <c:v>42835</c:v>
                </c:pt>
                <c:pt idx="517">
                  <c:v>42832</c:v>
                </c:pt>
                <c:pt idx="518">
                  <c:v>42831</c:v>
                </c:pt>
                <c:pt idx="519">
                  <c:v>42830</c:v>
                </c:pt>
                <c:pt idx="520">
                  <c:v>42829</c:v>
                </c:pt>
                <c:pt idx="521">
                  <c:v>42828</c:v>
                </c:pt>
                <c:pt idx="522">
                  <c:v>42825</c:v>
                </c:pt>
                <c:pt idx="523">
                  <c:v>42824</c:v>
                </c:pt>
                <c:pt idx="524">
                  <c:v>42823</c:v>
                </c:pt>
                <c:pt idx="525">
                  <c:v>42822</c:v>
                </c:pt>
                <c:pt idx="526">
                  <c:v>42821</c:v>
                </c:pt>
                <c:pt idx="527">
                  <c:v>42818</c:v>
                </c:pt>
                <c:pt idx="528">
                  <c:v>42817</c:v>
                </c:pt>
                <c:pt idx="529">
                  <c:v>42816</c:v>
                </c:pt>
                <c:pt idx="530">
                  <c:v>42815</c:v>
                </c:pt>
                <c:pt idx="531">
                  <c:v>42814</c:v>
                </c:pt>
                <c:pt idx="532">
                  <c:v>42811</c:v>
                </c:pt>
                <c:pt idx="533">
                  <c:v>42810</c:v>
                </c:pt>
                <c:pt idx="534">
                  <c:v>42809</c:v>
                </c:pt>
                <c:pt idx="535">
                  <c:v>42808</c:v>
                </c:pt>
                <c:pt idx="536">
                  <c:v>42807</c:v>
                </c:pt>
                <c:pt idx="537">
                  <c:v>42804</c:v>
                </c:pt>
                <c:pt idx="538">
                  <c:v>42803</c:v>
                </c:pt>
                <c:pt idx="539">
                  <c:v>42802</c:v>
                </c:pt>
                <c:pt idx="540">
                  <c:v>42801</c:v>
                </c:pt>
                <c:pt idx="541">
                  <c:v>42800</c:v>
                </c:pt>
                <c:pt idx="542">
                  <c:v>42797</c:v>
                </c:pt>
                <c:pt idx="543">
                  <c:v>42796</c:v>
                </c:pt>
                <c:pt idx="544">
                  <c:v>42795</c:v>
                </c:pt>
                <c:pt idx="545">
                  <c:v>42794</c:v>
                </c:pt>
                <c:pt idx="546">
                  <c:v>42793</c:v>
                </c:pt>
                <c:pt idx="547">
                  <c:v>42790</c:v>
                </c:pt>
                <c:pt idx="548">
                  <c:v>42789</c:v>
                </c:pt>
                <c:pt idx="549">
                  <c:v>42788</c:v>
                </c:pt>
                <c:pt idx="550">
                  <c:v>42787</c:v>
                </c:pt>
                <c:pt idx="551">
                  <c:v>42786</c:v>
                </c:pt>
                <c:pt idx="552">
                  <c:v>42783</c:v>
                </c:pt>
                <c:pt idx="553">
                  <c:v>42782</c:v>
                </c:pt>
                <c:pt idx="554">
                  <c:v>42781</c:v>
                </c:pt>
                <c:pt idx="555">
                  <c:v>42780</c:v>
                </c:pt>
                <c:pt idx="556">
                  <c:v>42779</c:v>
                </c:pt>
                <c:pt idx="557">
                  <c:v>42776</c:v>
                </c:pt>
                <c:pt idx="558">
                  <c:v>42775</c:v>
                </c:pt>
                <c:pt idx="559">
                  <c:v>42774</c:v>
                </c:pt>
                <c:pt idx="560">
                  <c:v>42773</c:v>
                </c:pt>
                <c:pt idx="561">
                  <c:v>42772</c:v>
                </c:pt>
                <c:pt idx="562">
                  <c:v>42769</c:v>
                </c:pt>
                <c:pt idx="563">
                  <c:v>42768</c:v>
                </c:pt>
                <c:pt idx="564">
                  <c:v>42767</c:v>
                </c:pt>
                <c:pt idx="565">
                  <c:v>42766</c:v>
                </c:pt>
                <c:pt idx="566">
                  <c:v>42765</c:v>
                </c:pt>
                <c:pt idx="567">
                  <c:v>42762</c:v>
                </c:pt>
                <c:pt idx="568">
                  <c:v>42761</c:v>
                </c:pt>
                <c:pt idx="569">
                  <c:v>42760</c:v>
                </c:pt>
                <c:pt idx="570">
                  <c:v>42759</c:v>
                </c:pt>
                <c:pt idx="571">
                  <c:v>42758</c:v>
                </c:pt>
                <c:pt idx="572">
                  <c:v>42755</c:v>
                </c:pt>
                <c:pt idx="573">
                  <c:v>42754</c:v>
                </c:pt>
                <c:pt idx="574">
                  <c:v>42753</c:v>
                </c:pt>
                <c:pt idx="575">
                  <c:v>42752</c:v>
                </c:pt>
                <c:pt idx="576">
                  <c:v>42751</c:v>
                </c:pt>
                <c:pt idx="577">
                  <c:v>42748</c:v>
                </c:pt>
                <c:pt idx="578">
                  <c:v>42747</c:v>
                </c:pt>
                <c:pt idx="579">
                  <c:v>42746</c:v>
                </c:pt>
                <c:pt idx="580">
                  <c:v>42745</c:v>
                </c:pt>
                <c:pt idx="581">
                  <c:v>42744</c:v>
                </c:pt>
                <c:pt idx="582">
                  <c:v>42741</c:v>
                </c:pt>
                <c:pt idx="583">
                  <c:v>42740</c:v>
                </c:pt>
                <c:pt idx="584">
                  <c:v>42739</c:v>
                </c:pt>
                <c:pt idx="585">
                  <c:v>42738</c:v>
                </c:pt>
                <c:pt idx="586">
                  <c:v>42734</c:v>
                </c:pt>
                <c:pt idx="587">
                  <c:v>42733</c:v>
                </c:pt>
                <c:pt idx="588">
                  <c:v>42732</c:v>
                </c:pt>
                <c:pt idx="589">
                  <c:v>42731</c:v>
                </c:pt>
                <c:pt idx="590">
                  <c:v>42727</c:v>
                </c:pt>
                <c:pt idx="591">
                  <c:v>42726</c:v>
                </c:pt>
                <c:pt idx="592">
                  <c:v>42725</c:v>
                </c:pt>
                <c:pt idx="593">
                  <c:v>42724</c:v>
                </c:pt>
                <c:pt idx="594">
                  <c:v>42723</c:v>
                </c:pt>
                <c:pt idx="595">
                  <c:v>42720</c:v>
                </c:pt>
                <c:pt idx="596">
                  <c:v>42719</c:v>
                </c:pt>
                <c:pt idx="597">
                  <c:v>42718</c:v>
                </c:pt>
                <c:pt idx="598">
                  <c:v>42717</c:v>
                </c:pt>
                <c:pt idx="599">
                  <c:v>42716</c:v>
                </c:pt>
                <c:pt idx="600">
                  <c:v>42713</c:v>
                </c:pt>
                <c:pt idx="601">
                  <c:v>42712</c:v>
                </c:pt>
                <c:pt idx="602">
                  <c:v>42711</c:v>
                </c:pt>
                <c:pt idx="603">
                  <c:v>42710</c:v>
                </c:pt>
                <c:pt idx="604">
                  <c:v>42709</c:v>
                </c:pt>
                <c:pt idx="605">
                  <c:v>42706</c:v>
                </c:pt>
                <c:pt idx="606">
                  <c:v>42705</c:v>
                </c:pt>
                <c:pt idx="607">
                  <c:v>42704</c:v>
                </c:pt>
                <c:pt idx="608">
                  <c:v>42703</c:v>
                </c:pt>
                <c:pt idx="609">
                  <c:v>42702</c:v>
                </c:pt>
                <c:pt idx="610">
                  <c:v>42699</c:v>
                </c:pt>
                <c:pt idx="611">
                  <c:v>42698</c:v>
                </c:pt>
                <c:pt idx="612">
                  <c:v>42697</c:v>
                </c:pt>
                <c:pt idx="613">
                  <c:v>42696</c:v>
                </c:pt>
                <c:pt idx="614">
                  <c:v>42695</c:v>
                </c:pt>
                <c:pt idx="615">
                  <c:v>42692</c:v>
                </c:pt>
                <c:pt idx="616">
                  <c:v>42691</c:v>
                </c:pt>
                <c:pt idx="617">
                  <c:v>42690</c:v>
                </c:pt>
                <c:pt idx="618">
                  <c:v>42689</c:v>
                </c:pt>
                <c:pt idx="619">
                  <c:v>42688</c:v>
                </c:pt>
                <c:pt idx="620">
                  <c:v>42685</c:v>
                </c:pt>
                <c:pt idx="621">
                  <c:v>42684</c:v>
                </c:pt>
                <c:pt idx="622">
                  <c:v>42683</c:v>
                </c:pt>
                <c:pt idx="623">
                  <c:v>42682</c:v>
                </c:pt>
                <c:pt idx="624">
                  <c:v>42681</c:v>
                </c:pt>
                <c:pt idx="625">
                  <c:v>42678</c:v>
                </c:pt>
                <c:pt idx="626">
                  <c:v>42677</c:v>
                </c:pt>
                <c:pt idx="627">
                  <c:v>42676</c:v>
                </c:pt>
                <c:pt idx="628">
                  <c:v>42675</c:v>
                </c:pt>
                <c:pt idx="629">
                  <c:v>42674</c:v>
                </c:pt>
                <c:pt idx="630">
                  <c:v>42671</c:v>
                </c:pt>
                <c:pt idx="631">
                  <c:v>42670</c:v>
                </c:pt>
                <c:pt idx="632">
                  <c:v>42669</c:v>
                </c:pt>
                <c:pt idx="633">
                  <c:v>42668</c:v>
                </c:pt>
                <c:pt idx="634">
                  <c:v>42667</c:v>
                </c:pt>
                <c:pt idx="635">
                  <c:v>42664</c:v>
                </c:pt>
                <c:pt idx="636">
                  <c:v>42663</c:v>
                </c:pt>
                <c:pt idx="637">
                  <c:v>42662</c:v>
                </c:pt>
                <c:pt idx="638">
                  <c:v>42661</c:v>
                </c:pt>
                <c:pt idx="639">
                  <c:v>42660</c:v>
                </c:pt>
                <c:pt idx="640">
                  <c:v>42657</c:v>
                </c:pt>
                <c:pt idx="641">
                  <c:v>42656</c:v>
                </c:pt>
                <c:pt idx="642">
                  <c:v>42655</c:v>
                </c:pt>
                <c:pt idx="643">
                  <c:v>42654</c:v>
                </c:pt>
                <c:pt idx="644">
                  <c:v>42653</c:v>
                </c:pt>
                <c:pt idx="645">
                  <c:v>42650</c:v>
                </c:pt>
                <c:pt idx="646">
                  <c:v>42649</c:v>
                </c:pt>
                <c:pt idx="647">
                  <c:v>42648</c:v>
                </c:pt>
                <c:pt idx="648">
                  <c:v>42647</c:v>
                </c:pt>
                <c:pt idx="649">
                  <c:v>42646</c:v>
                </c:pt>
                <c:pt idx="650">
                  <c:v>42643</c:v>
                </c:pt>
                <c:pt idx="651">
                  <c:v>42642</c:v>
                </c:pt>
                <c:pt idx="652">
                  <c:v>42641</c:v>
                </c:pt>
                <c:pt idx="653">
                  <c:v>42640</c:v>
                </c:pt>
                <c:pt idx="654">
                  <c:v>42639</c:v>
                </c:pt>
                <c:pt idx="655">
                  <c:v>42636</c:v>
                </c:pt>
                <c:pt idx="656">
                  <c:v>42635</c:v>
                </c:pt>
                <c:pt idx="657">
                  <c:v>42634</c:v>
                </c:pt>
                <c:pt idx="658">
                  <c:v>42633</c:v>
                </c:pt>
                <c:pt idx="659">
                  <c:v>42632</c:v>
                </c:pt>
                <c:pt idx="660">
                  <c:v>42629</c:v>
                </c:pt>
                <c:pt idx="661">
                  <c:v>42628</c:v>
                </c:pt>
                <c:pt idx="662">
                  <c:v>42627</c:v>
                </c:pt>
                <c:pt idx="663">
                  <c:v>42626</c:v>
                </c:pt>
                <c:pt idx="664">
                  <c:v>42625</c:v>
                </c:pt>
                <c:pt idx="665">
                  <c:v>42622</c:v>
                </c:pt>
                <c:pt idx="666">
                  <c:v>42621</c:v>
                </c:pt>
                <c:pt idx="667">
                  <c:v>42620</c:v>
                </c:pt>
                <c:pt idx="668">
                  <c:v>42619</c:v>
                </c:pt>
                <c:pt idx="669">
                  <c:v>42618</c:v>
                </c:pt>
                <c:pt idx="670">
                  <c:v>42615</c:v>
                </c:pt>
                <c:pt idx="671">
                  <c:v>42614</c:v>
                </c:pt>
                <c:pt idx="672">
                  <c:v>42613</c:v>
                </c:pt>
                <c:pt idx="673">
                  <c:v>42612</c:v>
                </c:pt>
                <c:pt idx="674">
                  <c:v>42611</c:v>
                </c:pt>
                <c:pt idx="675">
                  <c:v>42608</c:v>
                </c:pt>
                <c:pt idx="676">
                  <c:v>42607</c:v>
                </c:pt>
                <c:pt idx="677">
                  <c:v>42606</c:v>
                </c:pt>
                <c:pt idx="678">
                  <c:v>42605</c:v>
                </c:pt>
                <c:pt idx="679">
                  <c:v>42604</c:v>
                </c:pt>
                <c:pt idx="680">
                  <c:v>42601</c:v>
                </c:pt>
                <c:pt idx="681">
                  <c:v>42600</c:v>
                </c:pt>
                <c:pt idx="682">
                  <c:v>42599</c:v>
                </c:pt>
                <c:pt idx="683">
                  <c:v>42598</c:v>
                </c:pt>
                <c:pt idx="684">
                  <c:v>42597</c:v>
                </c:pt>
                <c:pt idx="685">
                  <c:v>42594</c:v>
                </c:pt>
                <c:pt idx="686">
                  <c:v>42593</c:v>
                </c:pt>
                <c:pt idx="687">
                  <c:v>42592</c:v>
                </c:pt>
                <c:pt idx="688">
                  <c:v>42591</c:v>
                </c:pt>
                <c:pt idx="689">
                  <c:v>42590</c:v>
                </c:pt>
                <c:pt idx="690">
                  <c:v>42587</c:v>
                </c:pt>
                <c:pt idx="691">
                  <c:v>42586</c:v>
                </c:pt>
                <c:pt idx="692">
                  <c:v>42585</c:v>
                </c:pt>
                <c:pt idx="693">
                  <c:v>42584</c:v>
                </c:pt>
                <c:pt idx="694">
                  <c:v>42583</c:v>
                </c:pt>
                <c:pt idx="695">
                  <c:v>42580</c:v>
                </c:pt>
                <c:pt idx="696">
                  <c:v>42579</c:v>
                </c:pt>
                <c:pt idx="697">
                  <c:v>42578</c:v>
                </c:pt>
                <c:pt idx="698">
                  <c:v>42577</c:v>
                </c:pt>
                <c:pt idx="699">
                  <c:v>42576</c:v>
                </c:pt>
                <c:pt idx="700">
                  <c:v>42573</c:v>
                </c:pt>
                <c:pt idx="701">
                  <c:v>42572</c:v>
                </c:pt>
                <c:pt idx="702">
                  <c:v>42571</c:v>
                </c:pt>
                <c:pt idx="703">
                  <c:v>42570</c:v>
                </c:pt>
                <c:pt idx="704">
                  <c:v>42569</c:v>
                </c:pt>
                <c:pt idx="705">
                  <c:v>42566</c:v>
                </c:pt>
                <c:pt idx="706">
                  <c:v>42565</c:v>
                </c:pt>
                <c:pt idx="707">
                  <c:v>42564</c:v>
                </c:pt>
                <c:pt idx="708">
                  <c:v>42563</c:v>
                </c:pt>
                <c:pt idx="709">
                  <c:v>42562</c:v>
                </c:pt>
                <c:pt idx="710">
                  <c:v>42559</c:v>
                </c:pt>
                <c:pt idx="711">
                  <c:v>42558</c:v>
                </c:pt>
                <c:pt idx="712">
                  <c:v>42557</c:v>
                </c:pt>
                <c:pt idx="713">
                  <c:v>42556</c:v>
                </c:pt>
                <c:pt idx="714">
                  <c:v>42555</c:v>
                </c:pt>
              </c:numCache>
            </c:numRef>
          </c:cat>
          <c:val>
            <c:numRef>
              <c:f>'世界-走势图'!$C$2:$C$716</c:f>
              <c:numCache>
                <c:formatCode>General</c:formatCode>
                <c:ptCount val="715"/>
                <c:pt idx="0">
                  <c:v>71.61999999999999</c:v>
                </c:pt>
                <c:pt idx="1">
                  <c:v>71.72</c:v>
                </c:pt>
                <c:pt idx="2">
                  <c:v>71.179999999999978</c:v>
                </c:pt>
                <c:pt idx="3">
                  <c:v>71.55</c:v>
                </c:pt>
                <c:pt idx="4">
                  <c:v>70.83</c:v>
                </c:pt>
                <c:pt idx="5">
                  <c:v>71.73</c:v>
                </c:pt>
                <c:pt idx="6">
                  <c:v>70.61</c:v>
                </c:pt>
                <c:pt idx="7">
                  <c:v>71.099999999999994</c:v>
                </c:pt>
                <c:pt idx="8">
                  <c:v>70.34</c:v>
                </c:pt>
                <c:pt idx="9">
                  <c:v>69.400000000000006</c:v>
                </c:pt>
                <c:pt idx="10">
                  <c:v>69.31</c:v>
                </c:pt>
                <c:pt idx="11">
                  <c:v>69.36999999999999</c:v>
                </c:pt>
                <c:pt idx="12">
                  <c:v>69.010000000000005</c:v>
                </c:pt>
                <c:pt idx="13">
                  <c:v>68.39</c:v>
                </c:pt>
                <c:pt idx="14">
                  <c:v>67.819999999999993</c:v>
                </c:pt>
                <c:pt idx="15">
                  <c:v>67.83</c:v>
                </c:pt>
                <c:pt idx="16">
                  <c:v>67.97</c:v>
                </c:pt>
                <c:pt idx="17">
                  <c:v>67.209999999999994</c:v>
                </c:pt>
                <c:pt idx="18">
                  <c:v>67.03</c:v>
                </c:pt>
                <c:pt idx="19">
                  <c:v>59.98</c:v>
                </c:pt>
                <c:pt idx="20">
                  <c:v>68.5</c:v>
                </c:pt>
                <c:pt idx="21">
                  <c:v>67.61</c:v>
                </c:pt>
                <c:pt idx="22">
                  <c:v>67.540000000000006</c:v>
                </c:pt>
                <c:pt idx="23">
                  <c:v>67.16</c:v>
                </c:pt>
                <c:pt idx="24">
                  <c:v>67.23</c:v>
                </c:pt>
                <c:pt idx="25">
                  <c:v>67.55</c:v>
                </c:pt>
                <c:pt idx="26">
                  <c:v>66.669999999999987</c:v>
                </c:pt>
                <c:pt idx="27">
                  <c:v>66.58</c:v>
                </c:pt>
                <c:pt idx="28">
                  <c:v>65.739999999999995</c:v>
                </c:pt>
                <c:pt idx="29">
                  <c:v>66.3</c:v>
                </c:pt>
                <c:pt idx="30">
                  <c:v>65.989999999999995</c:v>
                </c:pt>
                <c:pt idx="31">
                  <c:v>65.86</c:v>
                </c:pt>
                <c:pt idx="32">
                  <c:v>65.669999999999987</c:v>
                </c:pt>
                <c:pt idx="33">
                  <c:v>65.069999999999993</c:v>
                </c:pt>
                <c:pt idx="34">
                  <c:v>66.03</c:v>
                </c:pt>
                <c:pt idx="35">
                  <c:v>66.39</c:v>
                </c:pt>
                <c:pt idx="36">
                  <c:v>65.209999999999994</c:v>
                </c:pt>
                <c:pt idx="37">
                  <c:v>64.760000000000005</c:v>
                </c:pt>
                <c:pt idx="38">
                  <c:v>67.11999999999999</c:v>
                </c:pt>
                <c:pt idx="39">
                  <c:v>67.069999999999993</c:v>
                </c:pt>
                <c:pt idx="40">
                  <c:v>67.08</c:v>
                </c:pt>
                <c:pt idx="41">
                  <c:v>66.45</c:v>
                </c:pt>
                <c:pt idx="42">
                  <c:v>66.5</c:v>
                </c:pt>
                <c:pt idx="43">
                  <c:v>66.25</c:v>
                </c:pt>
                <c:pt idx="44">
                  <c:v>64.569999999999993</c:v>
                </c:pt>
                <c:pt idx="45">
                  <c:v>63.61</c:v>
                </c:pt>
                <c:pt idx="46">
                  <c:v>62.42</c:v>
                </c:pt>
                <c:pt idx="47">
                  <c:v>61.51</c:v>
                </c:pt>
                <c:pt idx="48">
                  <c:v>62.1</c:v>
                </c:pt>
                <c:pt idx="49">
                  <c:v>61.63</c:v>
                </c:pt>
                <c:pt idx="50">
                  <c:v>62.690000000000012</c:v>
                </c:pt>
                <c:pt idx="51">
                  <c:v>61.98</c:v>
                </c:pt>
                <c:pt idx="52">
                  <c:v>62.51</c:v>
                </c:pt>
                <c:pt idx="53">
                  <c:v>62.75</c:v>
                </c:pt>
                <c:pt idx="54">
                  <c:v>61.89</c:v>
                </c:pt>
                <c:pt idx="55">
                  <c:v>61.65</c:v>
                </c:pt>
                <c:pt idx="56">
                  <c:v>61.32</c:v>
                </c:pt>
                <c:pt idx="57">
                  <c:v>59.93</c:v>
                </c:pt>
                <c:pt idx="58">
                  <c:v>61.64</c:v>
                </c:pt>
                <c:pt idx="59">
                  <c:v>61.09</c:v>
                </c:pt>
                <c:pt idx="60">
                  <c:v>61.14</c:v>
                </c:pt>
                <c:pt idx="61">
                  <c:v>61.5</c:v>
                </c:pt>
                <c:pt idx="62">
                  <c:v>62.74</c:v>
                </c:pt>
                <c:pt idx="63">
                  <c:v>62.720000000000013</c:v>
                </c:pt>
                <c:pt idx="64">
                  <c:v>61.18</c:v>
                </c:pt>
                <c:pt idx="65">
                  <c:v>61.32</c:v>
                </c:pt>
                <c:pt idx="66">
                  <c:v>60.64</c:v>
                </c:pt>
                <c:pt idx="67">
                  <c:v>58.99</c:v>
                </c:pt>
                <c:pt idx="68">
                  <c:v>60.48</c:v>
                </c:pt>
                <c:pt idx="69">
                  <c:v>61.68</c:v>
                </c:pt>
                <c:pt idx="70">
                  <c:v>61.44</c:v>
                </c:pt>
                <c:pt idx="71">
                  <c:v>58.720000000000013</c:v>
                </c:pt>
                <c:pt idx="72">
                  <c:v>57.33</c:v>
                </c:pt>
                <c:pt idx="73">
                  <c:v>57.06</c:v>
                </c:pt>
                <c:pt idx="74">
                  <c:v>55.95</c:v>
                </c:pt>
                <c:pt idx="75">
                  <c:v>54.91</c:v>
                </c:pt>
                <c:pt idx="78">
                  <c:v>52.2</c:v>
                </c:pt>
                <c:pt idx="79">
                  <c:v>52.160000000000011</c:v>
                </c:pt>
                <c:pt idx="80">
                  <c:v>54.47</c:v>
                </c:pt>
                <c:pt idx="82">
                  <c:v>50.47</c:v>
                </c:pt>
                <c:pt idx="83">
                  <c:v>53.82</c:v>
                </c:pt>
                <c:pt idx="84">
                  <c:v>54.35</c:v>
                </c:pt>
                <c:pt idx="85">
                  <c:v>57.24</c:v>
                </c:pt>
                <c:pt idx="86">
                  <c:v>56.260000000000012</c:v>
                </c:pt>
                <c:pt idx="87">
                  <c:v>59.61</c:v>
                </c:pt>
                <c:pt idx="88">
                  <c:v>60.28</c:v>
                </c:pt>
                <c:pt idx="89">
                  <c:v>61.45</c:v>
                </c:pt>
                <c:pt idx="90">
                  <c:v>60.15</c:v>
                </c:pt>
                <c:pt idx="91">
                  <c:v>60.2</c:v>
                </c:pt>
                <c:pt idx="92">
                  <c:v>59.97</c:v>
                </c:pt>
                <c:pt idx="93">
                  <c:v>61.67</c:v>
                </c:pt>
                <c:pt idx="94">
                  <c:v>60.06</c:v>
                </c:pt>
                <c:pt idx="95">
                  <c:v>61.56</c:v>
                </c:pt>
                <c:pt idx="96">
                  <c:v>62.08</c:v>
                </c:pt>
                <c:pt idx="97">
                  <c:v>61.690000000000012</c:v>
                </c:pt>
                <c:pt idx="98">
                  <c:v>58.71</c:v>
                </c:pt>
                <c:pt idx="99">
                  <c:v>59.51</c:v>
                </c:pt>
                <c:pt idx="100">
                  <c:v>58.760000000000012</c:v>
                </c:pt>
                <c:pt idx="101">
                  <c:v>60.21</c:v>
                </c:pt>
                <c:pt idx="102">
                  <c:v>60.48</c:v>
                </c:pt>
                <c:pt idx="103">
                  <c:v>58.8</c:v>
                </c:pt>
                <c:pt idx="104">
                  <c:v>62.6</c:v>
                </c:pt>
                <c:pt idx="105">
                  <c:v>63.48</c:v>
                </c:pt>
                <c:pt idx="106">
                  <c:v>62.53</c:v>
                </c:pt>
                <c:pt idx="107">
                  <c:v>66.790000000000006</c:v>
                </c:pt>
                <c:pt idx="108">
                  <c:v>66.760000000000005</c:v>
                </c:pt>
                <c:pt idx="109">
                  <c:v>66.61999999999999</c:v>
                </c:pt>
                <c:pt idx="110">
                  <c:v>66.11999999999999</c:v>
                </c:pt>
                <c:pt idx="111">
                  <c:v>65.47</c:v>
                </c:pt>
                <c:pt idx="112">
                  <c:v>70.11999999999999</c:v>
                </c:pt>
                <c:pt idx="113">
                  <c:v>70.179999999999978</c:v>
                </c:pt>
                <c:pt idx="114">
                  <c:v>70.649999999999991</c:v>
                </c:pt>
                <c:pt idx="115">
                  <c:v>72.069999999999993</c:v>
                </c:pt>
                <c:pt idx="116">
                  <c:v>72.13</c:v>
                </c:pt>
                <c:pt idx="117">
                  <c:v>73.169999999999987</c:v>
                </c:pt>
                <c:pt idx="118">
                  <c:v>72.83</c:v>
                </c:pt>
                <c:pt idx="119">
                  <c:v>72.89</c:v>
                </c:pt>
                <c:pt idx="120">
                  <c:v>75.47</c:v>
                </c:pt>
                <c:pt idx="121">
                  <c:v>75.910000000000025</c:v>
                </c:pt>
                <c:pt idx="122">
                  <c:v>77.34</c:v>
                </c:pt>
                <c:pt idx="123">
                  <c:v>77.61999999999999</c:v>
                </c:pt>
                <c:pt idx="124">
                  <c:v>76.89</c:v>
                </c:pt>
                <c:pt idx="125">
                  <c:v>76.169999999999987</c:v>
                </c:pt>
                <c:pt idx="126">
                  <c:v>76.440000000000026</c:v>
                </c:pt>
                <c:pt idx="127">
                  <c:v>79.83</c:v>
                </c:pt>
                <c:pt idx="128">
                  <c:v>79.78</c:v>
                </c:pt>
                <c:pt idx="129">
                  <c:v>79.290000000000006</c:v>
                </c:pt>
                <c:pt idx="130">
                  <c:v>80.05</c:v>
                </c:pt>
                <c:pt idx="131">
                  <c:v>81.410000000000025</c:v>
                </c:pt>
                <c:pt idx="132">
                  <c:v>80.78</c:v>
                </c:pt>
                <c:pt idx="133">
                  <c:v>80.430000000000007</c:v>
                </c:pt>
                <c:pt idx="134">
                  <c:v>80.260000000000005</c:v>
                </c:pt>
                <c:pt idx="135">
                  <c:v>83.09</c:v>
                </c:pt>
                <c:pt idx="136">
                  <c:v>85</c:v>
                </c:pt>
                <c:pt idx="137">
                  <c:v>83.910000000000025</c:v>
                </c:pt>
                <c:pt idx="138">
                  <c:v>84.16</c:v>
                </c:pt>
                <c:pt idx="139">
                  <c:v>84.58</c:v>
                </c:pt>
                <c:pt idx="140">
                  <c:v>86.29</c:v>
                </c:pt>
                <c:pt idx="141">
                  <c:v>84.8</c:v>
                </c:pt>
                <c:pt idx="142">
                  <c:v>84.98</c:v>
                </c:pt>
                <c:pt idx="143">
                  <c:v>82.72</c:v>
                </c:pt>
                <c:pt idx="144">
                  <c:v>81.72</c:v>
                </c:pt>
                <c:pt idx="145">
                  <c:v>81.34</c:v>
                </c:pt>
                <c:pt idx="146">
                  <c:v>81.86999999999999</c:v>
                </c:pt>
                <c:pt idx="147">
                  <c:v>81.2</c:v>
                </c:pt>
                <c:pt idx="148">
                  <c:v>78.8</c:v>
                </c:pt>
                <c:pt idx="149">
                  <c:v>78.7</c:v>
                </c:pt>
                <c:pt idx="150">
                  <c:v>79.400000000000006</c:v>
                </c:pt>
                <c:pt idx="151">
                  <c:v>79.03</c:v>
                </c:pt>
                <c:pt idx="152">
                  <c:v>78.05</c:v>
                </c:pt>
                <c:pt idx="153">
                  <c:v>78.09</c:v>
                </c:pt>
                <c:pt idx="154">
                  <c:v>78.179999999999978</c:v>
                </c:pt>
                <c:pt idx="155">
                  <c:v>79.739999999999995</c:v>
                </c:pt>
                <c:pt idx="156">
                  <c:v>79.06</c:v>
                </c:pt>
                <c:pt idx="157">
                  <c:v>77.36999999999999</c:v>
                </c:pt>
                <c:pt idx="158">
                  <c:v>76.83</c:v>
                </c:pt>
                <c:pt idx="159">
                  <c:v>76.5</c:v>
                </c:pt>
                <c:pt idx="160">
                  <c:v>77.27</c:v>
                </c:pt>
                <c:pt idx="161">
                  <c:v>78.169999999999987</c:v>
                </c:pt>
                <c:pt idx="162">
                  <c:v>78.149999999999991</c:v>
                </c:pt>
                <c:pt idx="163">
                  <c:v>77.42</c:v>
                </c:pt>
                <c:pt idx="164">
                  <c:v>77.77</c:v>
                </c:pt>
                <c:pt idx="165">
                  <c:v>77.14</c:v>
                </c:pt>
                <c:pt idx="166">
                  <c:v>75.95</c:v>
                </c:pt>
                <c:pt idx="167">
                  <c:v>76.209999999999994</c:v>
                </c:pt>
                <c:pt idx="168">
                  <c:v>75.819999999999993</c:v>
                </c:pt>
                <c:pt idx="169">
                  <c:v>74.73</c:v>
                </c:pt>
                <c:pt idx="170">
                  <c:v>74.78</c:v>
                </c:pt>
                <c:pt idx="171">
                  <c:v>72.63</c:v>
                </c:pt>
                <c:pt idx="172">
                  <c:v>72.209999999999994</c:v>
                </c:pt>
                <c:pt idx="173">
                  <c:v>71.83</c:v>
                </c:pt>
                <c:pt idx="174">
                  <c:v>71.430000000000007</c:v>
                </c:pt>
                <c:pt idx="175">
                  <c:v>70.760000000000005</c:v>
                </c:pt>
                <c:pt idx="176">
                  <c:v>72.459999999999994</c:v>
                </c:pt>
                <c:pt idx="177">
                  <c:v>72.61</c:v>
                </c:pt>
                <c:pt idx="178">
                  <c:v>72.81</c:v>
                </c:pt>
                <c:pt idx="179">
                  <c:v>72.069999999999993</c:v>
                </c:pt>
                <c:pt idx="180">
                  <c:v>72.28</c:v>
                </c:pt>
                <c:pt idx="181">
                  <c:v>74.649999999999991</c:v>
                </c:pt>
                <c:pt idx="182">
                  <c:v>73.75</c:v>
                </c:pt>
                <c:pt idx="183">
                  <c:v>73.209999999999994</c:v>
                </c:pt>
                <c:pt idx="184">
                  <c:v>73.45</c:v>
                </c:pt>
                <c:pt idx="185">
                  <c:v>72.39</c:v>
                </c:pt>
                <c:pt idx="186">
                  <c:v>74.25</c:v>
                </c:pt>
                <c:pt idx="187">
                  <c:v>74.97</c:v>
                </c:pt>
                <c:pt idx="188">
                  <c:v>74.290000000000006</c:v>
                </c:pt>
                <c:pt idx="189">
                  <c:v>74.540000000000006</c:v>
                </c:pt>
                <c:pt idx="190">
                  <c:v>73.930000000000007</c:v>
                </c:pt>
                <c:pt idx="191">
                  <c:v>73.440000000000026</c:v>
                </c:pt>
                <c:pt idx="192">
                  <c:v>73.06</c:v>
                </c:pt>
                <c:pt idx="193">
                  <c:v>73.069999999999993</c:v>
                </c:pt>
                <c:pt idx="194">
                  <c:v>72.58</c:v>
                </c:pt>
                <c:pt idx="195">
                  <c:v>72.900000000000006</c:v>
                </c:pt>
                <c:pt idx="196">
                  <c:v>72.16</c:v>
                </c:pt>
                <c:pt idx="197">
                  <c:v>71.84</c:v>
                </c:pt>
                <c:pt idx="198">
                  <c:v>75.33</c:v>
                </c:pt>
                <c:pt idx="199">
                  <c:v>74.45</c:v>
                </c:pt>
                <c:pt idx="200">
                  <c:v>73.400000000000006</c:v>
                </c:pt>
                <c:pt idx="201">
                  <c:v>78.86</c:v>
                </c:pt>
                <c:pt idx="202">
                  <c:v>78.069999999999993</c:v>
                </c:pt>
                <c:pt idx="203">
                  <c:v>77.11</c:v>
                </c:pt>
                <c:pt idx="204">
                  <c:v>77.39</c:v>
                </c:pt>
                <c:pt idx="205">
                  <c:v>78.239999999999995</c:v>
                </c:pt>
                <c:pt idx="206">
                  <c:v>77.45</c:v>
                </c:pt>
                <c:pt idx="207">
                  <c:v>77.3</c:v>
                </c:pt>
                <c:pt idx="208">
                  <c:v>79.440000000000026</c:v>
                </c:pt>
                <c:pt idx="209">
                  <c:v>77.849999999999994</c:v>
                </c:pt>
                <c:pt idx="210">
                  <c:v>77.61999999999999</c:v>
                </c:pt>
                <c:pt idx="211">
                  <c:v>76.31</c:v>
                </c:pt>
                <c:pt idx="212">
                  <c:v>74.73</c:v>
                </c:pt>
                <c:pt idx="213">
                  <c:v>75.55</c:v>
                </c:pt>
                <c:pt idx="214">
                  <c:v>73.05</c:v>
                </c:pt>
                <c:pt idx="215">
                  <c:v>74.739999999999995</c:v>
                </c:pt>
                <c:pt idx="216">
                  <c:v>75.08</c:v>
                </c:pt>
                <c:pt idx="217">
                  <c:v>75.34</c:v>
                </c:pt>
                <c:pt idx="218">
                  <c:v>73.440000000000026</c:v>
                </c:pt>
                <c:pt idx="219">
                  <c:v>75.940000000000026</c:v>
                </c:pt>
                <c:pt idx="220">
                  <c:v>76.739999999999995</c:v>
                </c:pt>
                <c:pt idx="221">
                  <c:v>75.88</c:v>
                </c:pt>
                <c:pt idx="222">
                  <c:v>76.459999999999994</c:v>
                </c:pt>
                <c:pt idx="223">
                  <c:v>76.459999999999994</c:v>
                </c:pt>
                <c:pt idx="224">
                  <c:v>77.319999999999993</c:v>
                </c:pt>
                <c:pt idx="225">
                  <c:v>75.36</c:v>
                </c:pt>
                <c:pt idx="226">
                  <c:v>75.38</c:v>
                </c:pt>
                <c:pt idx="227">
                  <c:v>75.290000000000006</c:v>
                </c:pt>
                <c:pt idx="228">
                  <c:v>76.790000000000006</c:v>
                </c:pt>
                <c:pt idx="229">
                  <c:v>77.59</c:v>
                </c:pt>
                <c:pt idx="230">
                  <c:v>77.5</c:v>
                </c:pt>
                <c:pt idx="231">
                  <c:v>75.39</c:v>
                </c:pt>
                <c:pt idx="232">
                  <c:v>75.3</c:v>
                </c:pt>
                <c:pt idx="233">
                  <c:v>76.440000000000026</c:v>
                </c:pt>
                <c:pt idx="234">
                  <c:v>78.790000000000006</c:v>
                </c:pt>
                <c:pt idx="235">
                  <c:v>79.8</c:v>
                </c:pt>
                <c:pt idx="236">
                  <c:v>79.569999999999993</c:v>
                </c:pt>
                <c:pt idx="237">
                  <c:v>79.22</c:v>
                </c:pt>
                <c:pt idx="238">
                  <c:v>78.510000000000005</c:v>
                </c:pt>
                <c:pt idx="239">
                  <c:v>79.3</c:v>
                </c:pt>
                <c:pt idx="240">
                  <c:v>79.28</c:v>
                </c:pt>
                <c:pt idx="241">
                  <c:v>78.430000000000007</c:v>
                </c:pt>
                <c:pt idx="242">
                  <c:v>78.23</c:v>
                </c:pt>
                <c:pt idx="243">
                  <c:v>77.11999999999999</c:v>
                </c:pt>
                <c:pt idx="244">
                  <c:v>77.47</c:v>
                </c:pt>
                <c:pt idx="245">
                  <c:v>77.209999999999994</c:v>
                </c:pt>
                <c:pt idx="246">
                  <c:v>74.849999999999994</c:v>
                </c:pt>
                <c:pt idx="247">
                  <c:v>76.169999999999987</c:v>
                </c:pt>
                <c:pt idx="248">
                  <c:v>74.86999999999999</c:v>
                </c:pt>
                <c:pt idx="249">
                  <c:v>73.61999999999999</c:v>
                </c:pt>
                <c:pt idx="250">
                  <c:v>73.36</c:v>
                </c:pt>
                <c:pt idx="251">
                  <c:v>73.13</c:v>
                </c:pt>
                <c:pt idx="252">
                  <c:v>75.169999999999987</c:v>
                </c:pt>
                <c:pt idx="253">
                  <c:v>74.64</c:v>
                </c:pt>
                <c:pt idx="254">
                  <c:v>74.739999999999995</c:v>
                </c:pt>
                <c:pt idx="255">
                  <c:v>74</c:v>
                </c:pt>
                <c:pt idx="256">
                  <c:v>73.86</c:v>
                </c:pt>
                <c:pt idx="257">
                  <c:v>74.709999999999994</c:v>
                </c:pt>
                <c:pt idx="258">
                  <c:v>74.06</c:v>
                </c:pt>
                <c:pt idx="259">
                  <c:v>73.78</c:v>
                </c:pt>
                <c:pt idx="260">
                  <c:v>73.48</c:v>
                </c:pt>
                <c:pt idx="261">
                  <c:v>71.58</c:v>
                </c:pt>
                <c:pt idx="262">
                  <c:v>71.42</c:v>
                </c:pt>
                <c:pt idx="263">
                  <c:v>72.58</c:v>
                </c:pt>
                <c:pt idx="264">
                  <c:v>72.02</c:v>
                </c:pt>
                <c:pt idx="265">
                  <c:v>72.06</c:v>
                </c:pt>
                <c:pt idx="266">
                  <c:v>71.040000000000006</c:v>
                </c:pt>
                <c:pt idx="267">
                  <c:v>68.649999999999991</c:v>
                </c:pt>
                <c:pt idx="268">
                  <c:v>67.11</c:v>
                </c:pt>
                <c:pt idx="269">
                  <c:v>68.33</c:v>
                </c:pt>
                <c:pt idx="270">
                  <c:v>68.02</c:v>
                </c:pt>
                <c:pt idx="271">
                  <c:v>68.11999999999999</c:v>
                </c:pt>
                <c:pt idx="272">
                  <c:v>67.64</c:v>
                </c:pt>
                <c:pt idx="274">
                  <c:v>70.27</c:v>
                </c:pt>
                <c:pt idx="275">
                  <c:v>69.53</c:v>
                </c:pt>
                <c:pt idx="276">
                  <c:v>70.11</c:v>
                </c:pt>
                <c:pt idx="277">
                  <c:v>70.11999999999999</c:v>
                </c:pt>
                <c:pt idx="278">
                  <c:v>70.45</c:v>
                </c:pt>
                <c:pt idx="279">
                  <c:v>68.910000000000025</c:v>
                </c:pt>
                <c:pt idx="280">
                  <c:v>69.47</c:v>
                </c:pt>
                <c:pt idx="281">
                  <c:v>67.42</c:v>
                </c:pt>
                <c:pt idx="282">
                  <c:v>66.05</c:v>
                </c:pt>
                <c:pt idx="283">
                  <c:v>66.209999999999994</c:v>
                </c:pt>
                <c:pt idx="284">
                  <c:v>65.11999999999999</c:v>
                </c:pt>
                <c:pt idx="285">
                  <c:v>64.89</c:v>
                </c:pt>
                <c:pt idx="286">
                  <c:v>64.64</c:v>
                </c:pt>
                <c:pt idx="287">
                  <c:v>64.95</c:v>
                </c:pt>
                <c:pt idx="288">
                  <c:v>65.489999999999995</c:v>
                </c:pt>
                <c:pt idx="289">
                  <c:v>63.61</c:v>
                </c:pt>
                <c:pt idx="290">
                  <c:v>64.34</c:v>
                </c:pt>
                <c:pt idx="291">
                  <c:v>65.790000000000006</c:v>
                </c:pt>
                <c:pt idx="292">
                  <c:v>65.540000000000006</c:v>
                </c:pt>
                <c:pt idx="293">
                  <c:v>64.36999999999999</c:v>
                </c:pt>
                <c:pt idx="294">
                  <c:v>63.83</c:v>
                </c:pt>
                <c:pt idx="295">
                  <c:v>65.78</c:v>
                </c:pt>
                <c:pt idx="296">
                  <c:v>66.63</c:v>
                </c:pt>
                <c:pt idx="297">
                  <c:v>67.5</c:v>
                </c:pt>
                <c:pt idx="298">
                  <c:v>67.31</c:v>
                </c:pt>
                <c:pt idx="299">
                  <c:v>66.39</c:v>
                </c:pt>
                <c:pt idx="300">
                  <c:v>65.42</c:v>
                </c:pt>
                <c:pt idx="301">
                  <c:v>62.59</c:v>
                </c:pt>
                <c:pt idx="302">
                  <c:v>62.790000000000013</c:v>
                </c:pt>
                <c:pt idx="303">
                  <c:v>64.81</c:v>
                </c:pt>
                <c:pt idx="304">
                  <c:v>65.510000000000005</c:v>
                </c:pt>
                <c:pt idx="305">
                  <c:v>66.86</c:v>
                </c:pt>
                <c:pt idx="306">
                  <c:v>67.61999999999999</c:v>
                </c:pt>
                <c:pt idx="307">
                  <c:v>68.58</c:v>
                </c:pt>
                <c:pt idx="308">
                  <c:v>69.649999999999991</c:v>
                </c:pt>
                <c:pt idx="309">
                  <c:v>69.05</c:v>
                </c:pt>
                <c:pt idx="310">
                  <c:v>69.02</c:v>
                </c:pt>
                <c:pt idx="311">
                  <c:v>69.459999999999994</c:v>
                </c:pt>
                <c:pt idx="312">
                  <c:v>70.52</c:v>
                </c:pt>
                <c:pt idx="313">
                  <c:v>70.42</c:v>
                </c:pt>
                <c:pt idx="314">
                  <c:v>70.53</c:v>
                </c:pt>
                <c:pt idx="315">
                  <c:v>69.959999999999994</c:v>
                </c:pt>
                <c:pt idx="316">
                  <c:v>69.03</c:v>
                </c:pt>
                <c:pt idx="317">
                  <c:v>68.61</c:v>
                </c:pt>
                <c:pt idx="318">
                  <c:v>69.31</c:v>
                </c:pt>
                <c:pt idx="319">
                  <c:v>69.38</c:v>
                </c:pt>
                <c:pt idx="320">
                  <c:v>69.149999999999991</c:v>
                </c:pt>
                <c:pt idx="321">
                  <c:v>70.260000000000005</c:v>
                </c:pt>
                <c:pt idx="322">
                  <c:v>69.86999999999999</c:v>
                </c:pt>
                <c:pt idx="323">
                  <c:v>69.260000000000005</c:v>
                </c:pt>
                <c:pt idx="324">
                  <c:v>69.2</c:v>
                </c:pt>
                <c:pt idx="325">
                  <c:v>68.819999999999993</c:v>
                </c:pt>
                <c:pt idx="326">
                  <c:v>67.78</c:v>
                </c:pt>
                <c:pt idx="327">
                  <c:v>67.61999999999999</c:v>
                </c:pt>
                <c:pt idx="328">
                  <c:v>68.069999999999993</c:v>
                </c:pt>
                <c:pt idx="329">
                  <c:v>67.84</c:v>
                </c:pt>
                <c:pt idx="330">
                  <c:v>66.569999999999993</c:v>
                </c:pt>
                <c:pt idx="332">
                  <c:v>66.86999999999999</c:v>
                </c:pt>
                <c:pt idx="333">
                  <c:v>66.72</c:v>
                </c:pt>
                <c:pt idx="334">
                  <c:v>66.440000000000026</c:v>
                </c:pt>
                <c:pt idx="335">
                  <c:v>67.02</c:v>
                </c:pt>
                <c:pt idx="337">
                  <c:v>65.25</c:v>
                </c:pt>
                <c:pt idx="338">
                  <c:v>64.900000000000006</c:v>
                </c:pt>
                <c:pt idx="339">
                  <c:v>64.56</c:v>
                </c:pt>
                <c:pt idx="340">
                  <c:v>63.8</c:v>
                </c:pt>
                <c:pt idx="341">
                  <c:v>63.41</c:v>
                </c:pt>
                <c:pt idx="342">
                  <c:v>63.230000000000011</c:v>
                </c:pt>
                <c:pt idx="343">
                  <c:v>63.31</c:v>
                </c:pt>
                <c:pt idx="344">
                  <c:v>62.44</c:v>
                </c:pt>
                <c:pt idx="345">
                  <c:v>63.34</c:v>
                </c:pt>
                <c:pt idx="346">
                  <c:v>64.69</c:v>
                </c:pt>
                <c:pt idx="347">
                  <c:v>63.4</c:v>
                </c:pt>
                <c:pt idx="348">
                  <c:v>62.2</c:v>
                </c:pt>
                <c:pt idx="349">
                  <c:v>61.220000000000013</c:v>
                </c:pt>
                <c:pt idx="350">
                  <c:v>62.86</c:v>
                </c:pt>
                <c:pt idx="351">
                  <c:v>62.45</c:v>
                </c:pt>
                <c:pt idx="352">
                  <c:v>63.730000000000011</c:v>
                </c:pt>
                <c:pt idx="353">
                  <c:v>63.57</c:v>
                </c:pt>
                <c:pt idx="354">
                  <c:v>63.11</c:v>
                </c:pt>
                <c:pt idx="355">
                  <c:v>63.61</c:v>
                </c:pt>
                <c:pt idx="356">
                  <c:v>63.84</c:v>
                </c:pt>
                <c:pt idx="357">
                  <c:v>63.86</c:v>
                </c:pt>
                <c:pt idx="358">
                  <c:v>63.55</c:v>
                </c:pt>
                <c:pt idx="359">
                  <c:v>63.32</c:v>
                </c:pt>
                <c:pt idx="360">
                  <c:v>62.57</c:v>
                </c:pt>
                <c:pt idx="361">
                  <c:v>62.220000000000013</c:v>
                </c:pt>
                <c:pt idx="362">
                  <c:v>62.720000000000013</c:v>
                </c:pt>
                <c:pt idx="363">
                  <c:v>61.36</c:v>
                </c:pt>
                <c:pt idx="364">
                  <c:v>61.87</c:v>
                </c:pt>
                <c:pt idx="365">
                  <c:v>62.21</c:v>
                </c:pt>
                <c:pt idx="366">
                  <c:v>63.160000000000011</c:v>
                </c:pt>
                <c:pt idx="367">
                  <c:v>63.52</c:v>
                </c:pt>
                <c:pt idx="368">
                  <c:v>63.93</c:v>
                </c:pt>
                <c:pt idx="369">
                  <c:v>63.49</c:v>
                </c:pt>
                <c:pt idx="370">
                  <c:v>63.690000000000012</c:v>
                </c:pt>
                <c:pt idx="371">
                  <c:v>64.27</c:v>
                </c:pt>
                <c:pt idx="372">
                  <c:v>62.07</c:v>
                </c:pt>
                <c:pt idx="373">
                  <c:v>60.620000000000012</c:v>
                </c:pt>
                <c:pt idx="374">
                  <c:v>60.49</c:v>
                </c:pt>
                <c:pt idx="375">
                  <c:v>61.37</c:v>
                </c:pt>
                <c:pt idx="376">
                  <c:v>60.9</c:v>
                </c:pt>
                <c:pt idx="377">
                  <c:v>60.44</c:v>
                </c:pt>
                <c:pt idx="378">
                  <c:v>59.3</c:v>
                </c:pt>
                <c:pt idx="379">
                  <c:v>58.44</c:v>
                </c:pt>
                <c:pt idx="380">
                  <c:v>58.33</c:v>
                </c:pt>
                <c:pt idx="381">
                  <c:v>57.37</c:v>
                </c:pt>
                <c:pt idx="382">
                  <c:v>57.75</c:v>
                </c:pt>
                <c:pt idx="383">
                  <c:v>57.230000000000011</c:v>
                </c:pt>
                <c:pt idx="384">
                  <c:v>58.15</c:v>
                </c:pt>
                <c:pt idx="385">
                  <c:v>57.88</c:v>
                </c:pt>
                <c:pt idx="386">
                  <c:v>57.82</c:v>
                </c:pt>
                <c:pt idx="387">
                  <c:v>57.17</c:v>
                </c:pt>
                <c:pt idx="388">
                  <c:v>56.25</c:v>
                </c:pt>
                <c:pt idx="389">
                  <c:v>56.94</c:v>
                </c:pt>
                <c:pt idx="390">
                  <c:v>56.61</c:v>
                </c:pt>
                <c:pt idx="391">
                  <c:v>55.790000000000013</c:v>
                </c:pt>
                <c:pt idx="392">
                  <c:v>55.620000000000012</c:v>
                </c:pt>
                <c:pt idx="393">
                  <c:v>57.54</c:v>
                </c:pt>
                <c:pt idx="394">
                  <c:v>57.49</c:v>
                </c:pt>
                <c:pt idx="395">
                  <c:v>57.9</c:v>
                </c:pt>
                <c:pt idx="396">
                  <c:v>58.44</c:v>
                </c:pt>
                <c:pt idx="397">
                  <c:v>59.02</c:v>
                </c:pt>
                <c:pt idx="398">
                  <c:v>56.86</c:v>
                </c:pt>
                <c:pt idx="399">
                  <c:v>56.43</c:v>
                </c:pt>
                <c:pt idx="400">
                  <c:v>56.290000000000013</c:v>
                </c:pt>
                <c:pt idx="401">
                  <c:v>55.14</c:v>
                </c:pt>
                <c:pt idx="402">
                  <c:v>55.48</c:v>
                </c:pt>
                <c:pt idx="403">
                  <c:v>55.620000000000012</c:v>
                </c:pt>
                <c:pt idx="404">
                  <c:v>55.47</c:v>
                </c:pt>
                <c:pt idx="405">
                  <c:v>55.160000000000011</c:v>
                </c:pt>
                <c:pt idx="406">
                  <c:v>54.27</c:v>
                </c:pt>
                <c:pt idx="407">
                  <c:v>53.84</c:v>
                </c:pt>
                <c:pt idx="408">
                  <c:v>53.78</c:v>
                </c:pt>
                <c:pt idx="409">
                  <c:v>54.49</c:v>
                </c:pt>
                <c:pt idx="410">
                  <c:v>54.2</c:v>
                </c:pt>
                <c:pt idx="411">
                  <c:v>53.38</c:v>
                </c:pt>
                <c:pt idx="412">
                  <c:v>52.34</c:v>
                </c:pt>
                <c:pt idx="413">
                  <c:v>52.75</c:v>
                </c:pt>
                <c:pt idx="414">
                  <c:v>52.38</c:v>
                </c:pt>
                <c:pt idx="415">
                  <c:v>50.86</c:v>
                </c:pt>
                <c:pt idx="416">
                  <c:v>52</c:v>
                </c:pt>
                <c:pt idx="417">
                  <c:v>51.89</c:v>
                </c:pt>
                <c:pt idx="418">
                  <c:v>52.41</c:v>
                </c:pt>
                <c:pt idx="419">
                  <c:v>52.04</c:v>
                </c:pt>
                <c:pt idx="420">
                  <c:v>52.57</c:v>
                </c:pt>
                <c:pt idx="421">
                  <c:v>51.87</c:v>
                </c:pt>
                <c:pt idx="422">
                  <c:v>51.660000000000011</c:v>
                </c:pt>
                <c:pt idx="423">
                  <c:v>52.720000000000013</c:v>
                </c:pt>
                <c:pt idx="424">
                  <c:v>51.03</c:v>
                </c:pt>
                <c:pt idx="425">
                  <c:v>50.27</c:v>
                </c:pt>
                <c:pt idx="426">
                  <c:v>50.8</c:v>
                </c:pt>
                <c:pt idx="427">
                  <c:v>50.730000000000011</c:v>
                </c:pt>
                <c:pt idx="428">
                  <c:v>52.1</c:v>
                </c:pt>
                <c:pt idx="429">
                  <c:v>51.9</c:v>
                </c:pt>
                <c:pt idx="430">
                  <c:v>52.7</c:v>
                </c:pt>
                <c:pt idx="431">
                  <c:v>52.14</c:v>
                </c:pt>
                <c:pt idx="432">
                  <c:v>52.37</c:v>
                </c:pt>
                <c:pt idx="433">
                  <c:v>52.42</c:v>
                </c:pt>
                <c:pt idx="434">
                  <c:v>52.01</c:v>
                </c:pt>
                <c:pt idx="435">
                  <c:v>52.36</c:v>
                </c:pt>
                <c:pt idx="436">
                  <c:v>51.78</c:v>
                </c:pt>
                <c:pt idx="437">
                  <c:v>52.65</c:v>
                </c:pt>
                <c:pt idx="438">
                  <c:v>52.52</c:v>
                </c:pt>
                <c:pt idx="439">
                  <c:v>51.49</c:v>
                </c:pt>
                <c:pt idx="440">
                  <c:v>50.97</c:v>
                </c:pt>
                <c:pt idx="441">
                  <c:v>50.2</c:v>
                </c:pt>
                <c:pt idx="442">
                  <c:v>48.6</c:v>
                </c:pt>
                <c:pt idx="443">
                  <c:v>48.06</c:v>
                </c:pt>
                <c:pt idx="444">
                  <c:v>49.3</c:v>
                </c:pt>
                <c:pt idx="445">
                  <c:v>49.7</c:v>
                </c:pt>
                <c:pt idx="446">
                  <c:v>48.84</c:v>
                </c:pt>
                <c:pt idx="447">
                  <c:v>48.42</c:v>
                </c:pt>
                <c:pt idx="448">
                  <c:v>48.91</c:v>
                </c:pt>
                <c:pt idx="449">
                  <c:v>48.42</c:v>
                </c:pt>
                <c:pt idx="450">
                  <c:v>47.74</c:v>
                </c:pt>
                <c:pt idx="451">
                  <c:v>47.52</c:v>
                </c:pt>
                <c:pt idx="452">
                  <c:v>46.88</c:v>
                </c:pt>
                <c:pt idx="453">
                  <c:v>46.71</c:v>
                </c:pt>
                <c:pt idx="454">
                  <c:v>48.11</c:v>
                </c:pt>
                <c:pt idx="455">
                  <c:v>47.790000000000013</c:v>
                </c:pt>
                <c:pt idx="456">
                  <c:v>49.68</c:v>
                </c:pt>
                <c:pt idx="457">
                  <c:v>49.68</c:v>
                </c:pt>
                <c:pt idx="458">
                  <c:v>47.92</c:v>
                </c:pt>
                <c:pt idx="459">
                  <c:v>47.42</c:v>
                </c:pt>
                <c:pt idx="460">
                  <c:v>47.31</c:v>
                </c:pt>
                <c:pt idx="461">
                  <c:v>46.65</c:v>
                </c:pt>
                <c:pt idx="462">
                  <c:v>45.83</c:v>
                </c:pt>
                <c:pt idx="463">
                  <c:v>45.54</c:v>
                </c:pt>
                <c:pt idx="464">
                  <c:v>45.220000000000013</c:v>
                </c:pt>
                <c:pt idx="465">
                  <c:v>44.82</c:v>
                </c:pt>
                <c:pt idx="466">
                  <c:v>46.06</c:v>
                </c:pt>
                <c:pt idx="467">
                  <c:v>46.91</c:v>
                </c:pt>
                <c:pt idx="468">
                  <c:v>47.37</c:v>
                </c:pt>
                <c:pt idx="469">
                  <c:v>46.92</c:v>
                </c:pt>
                <c:pt idx="470">
                  <c:v>47</c:v>
                </c:pt>
                <c:pt idx="471">
                  <c:v>48.720000000000013</c:v>
                </c:pt>
                <c:pt idx="472">
                  <c:v>48.290000000000013</c:v>
                </c:pt>
                <c:pt idx="473">
                  <c:v>48.15</c:v>
                </c:pt>
                <c:pt idx="474">
                  <c:v>47.86</c:v>
                </c:pt>
                <c:pt idx="475">
                  <c:v>48.06</c:v>
                </c:pt>
                <c:pt idx="476">
                  <c:v>50.120000000000012</c:v>
                </c:pt>
                <c:pt idx="477">
                  <c:v>49.47</c:v>
                </c:pt>
                <c:pt idx="478">
                  <c:v>49.95</c:v>
                </c:pt>
                <c:pt idx="479">
                  <c:v>50.63</c:v>
                </c:pt>
                <c:pt idx="480">
                  <c:v>50.31</c:v>
                </c:pt>
                <c:pt idx="481">
                  <c:v>51.84</c:v>
                </c:pt>
                <c:pt idx="482">
                  <c:v>52.290000000000013</c:v>
                </c:pt>
                <c:pt idx="483">
                  <c:v>52.15</c:v>
                </c:pt>
                <c:pt idx="484">
                  <c:v>51.46</c:v>
                </c:pt>
                <c:pt idx="485">
                  <c:v>53.96</c:v>
                </c:pt>
                <c:pt idx="486">
                  <c:v>54.15</c:v>
                </c:pt>
                <c:pt idx="487">
                  <c:v>53.87</c:v>
                </c:pt>
                <c:pt idx="488">
                  <c:v>53.61</c:v>
                </c:pt>
                <c:pt idx="489">
                  <c:v>52.51</c:v>
                </c:pt>
                <c:pt idx="490">
                  <c:v>52.21</c:v>
                </c:pt>
                <c:pt idx="491">
                  <c:v>51.65</c:v>
                </c:pt>
                <c:pt idx="492">
                  <c:v>51.82</c:v>
                </c:pt>
                <c:pt idx="493">
                  <c:v>50.84</c:v>
                </c:pt>
                <c:pt idx="494">
                  <c:v>50.77</c:v>
                </c:pt>
                <c:pt idx="495">
                  <c:v>50.220000000000013</c:v>
                </c:pt>
                <c:pt idx="496">
                  <c:v>48.730000000000011</c:v>
                </c:pt>
                <c:pt idx="497">
                  <c:v>49.34</c:v>
                </c:pt>
                <c:pt idx="498">
                  <c:v>49.1</c:v>
                </c:pt>
                <c:pt idx="499">
                  <c:v>48.38</c:v>
                </c:pt>
                <c:pt idx="500">
                  <c:v>50.790000000000013</c:v>
                </c:pt>
                <c:pt idx="501">
                  <c:v>50.46</c:v>
                </c:pt>
                <c:pt idx="502">
                  <c:v>51.52</c:v>
                </c:pt>
                <c:pt idx="503">
                  <c:v>51.730000000000011</c:v>
                </c:pt>
                <c:pt idx="504">
                  <c:v>51.44</c:v>
                </c:pt>
                <c:pt idx="505">
                  <c:v>51.82</c:v>
                </c:pt>
                <c:pt idx="506">
                  <c:v>52.1</c:v>
                </c:pt>
                <c:pt idx="507">
                  <c:v>51.6</c:v>
                </c:pt>
                <c:pt idx="508">
                  <c:v>51.96</c:v>
                </c:pt>
                <c:pt idx="509">
                  <c:v>52.99</c:v>
                </c:pt>
                <c:pt idx="510">
                  <c:v>52.93</c:v>
                </c:pt>
                <c:pt idx="511">
                  <c:v>54.89</c:v>
                </c:pt>
                <c:pt idx="512">
                  <c:v>55.36</c:v>
                </c:pt>
                <c:pt idx="513">
                  <c:v>55.89</c:v>
                </c:pt>
                <c:pt idx="514">
                  <c:v>55.86</c:v>
                </c:pt>
                <c:pt idx="515">
                  <c:v>56.230000000000011</c:v>
                </c:pt>
                <c:pt idx="516">
                  <c:v>55.98</c:v>
                </c:pt>
                <c:pt idx="517">
                  <c:v>55.24</c:v>
                </c:pt>
                <c:pt idx="518">
                  <c:v>54.89</c:v>
                </c:pt>
                <c:pt idx="519">
                  <c:v>54.36</c:v>
                </c:pt>
                <c:pt idx="520">
                  <c:v>54.17</c:v>
                </c:pt>
                <c:pt idx="521">
                  <c:v>53.120000000000012</c:v>
                </c:pt>
                <c:pt idx="522">
                  <c:v>52.83</c:v>
                </c:pt>
                <c:pt idx="523">
                  <c:v>52.96</c:v>
                </c:pt>
                <c:pt idx="524">
                  <c:v>52.42</c:v>
                </c:pt>
                <c:pt idx="525">
                  <c:v>51.33</c:v>
                </c:pt>
                <c:pt idx="526">
                  <c:v>50.75</c:v>
                </c:pt>
                <c:pt idx="527">
                  <c:v>50.8</c:v>
                </c:pt>
                <c:pt idx="528">
                  <c:v>50.56</c:v>
                </c:pt>
                <c:pt idx="529">
                  <c:v>50.64</c:v>
                </c:pt>
                <c:pt idx="530">
                  <c:v>50.96</c:v>
                </c:pt>
                <c:pt idx="531">
                  <c:v>51.620000000000012</c:v>
                </c:pt>
                <c:pt idx="532">
                  <c:v>51.760000000000012</c:v>
                </c:pt>
                <c:pt idx="533">
                  <c:v>51.74</c:v>
                </c:pt>
                <c:pt idx="534">
                  <c:v>51.81</c:v>
                </c:pt>
                <c:pt idx="535">
                  <c:v>50.9</c:v>
                </c:pt>
                <c:pt idx="536">
                  <c:v>51.35</c:v>
                </c:pt>
                <c:pt idx="537">
                  <c:v>51.37</c:v>
                </c:pt>
                <c:pt idx="538">
                  <c:v>52.190000000000012</c:v>
                </c:pt>
                <c:pt idx="539">
                  <c:v>53.11</c:v>
                </c:pt>
                <c:pt idx="540">
                  <c:v>55.92</c:v>
                </c:pt>
                <c:pt idx="541">
                  <c:v>56.01</c:v>
                </c:pt>
                <c:pt idx="542">
                  <c:v>55.9</c:v>
                </c:pt>
                <c:pt idx="543">
                  <c:v>55.08</c:v>
                </c:pt>
                <c:pt idx="544">
                  <c:v>56.36</c:v>
                </c:pt>
                <c:pt idx="545">
                  <c:v>55.59</c:v>
                </c:pt>
                <c:pt idx="546">
                  <c:v>55.93</c:v>
                </c:pt>
                <c:pt idx="547">
                  <c:v>55.99</c:v>
                </c:pt>
                <c:pt idx="548">
                  <c:v>56.58</c:v>
                </c:pt>
                <c:pt idx="549">
                  <c:v>55.84</c:v>
                </c:pt>
                <c:pt idx="550">
                  <c:v>56.660000000000011</c:v>
                </c:pt>
                <c:pt idx="551">
                  <c:v>56.18</c:v>
                </c:pt>
                <c:pt idx="552">
                  <c:v>55.81</c:v>
                </c:pt>
                <c:pt idx="553">
                  <c:v>55.65</c:v>
                </c:pt>
                <c:pt idx="554">
                  <c:v>55.75</c:v>
                </c:pt>
                <c:pt idx="555">
                  <c:v>55.97</c:v>
                </c:pt>
                <c:pt idx="556">
                  <c:v>55.59</c:v>
                </c:pt>
                <c:pt idx="557">
                  <c:v>56.7</c:v>
                </c:pt>
                <c:pt idx="558">
                  <c:v>55.63</c:v>
                </c:pt>
                <c:pt idx="559">
                  <c:v>55.120000000000012</c:v>
                </c:pt>
                <c:pt idx="560">
                  <c:v>55.05</c:v>
                </c:pt>
                <c:pt idx="561">
                  <c:v>55.720000000000013</c:v>
                </c:pt>
                <c:pt idx="562">
                  <c:v>56.81</c:v>
                </c:pt>
                <c:pt idx="563">
                  <c:v>56.56</c:v>
                </c:pt>
                <c:pt idx="564">
                  <c:v>56.8</c:v>
                </c:pt>
                <c:pt idx="565">
                  <c:v>55.7</c:v>
                </c:pt>
                <c:pt idx="566">
                  <c:v>55.230000000000011</c:v>
                </c:pt>
                <c:pt idx="567">
                  <c:v>55.52</c:v>
                </c:pt>
                <c:pt idx="568">
                  <c:v>56.24</c:v>
                </c:pt>
                <c:pt idx="569">
                  <c:v>55.08</c:v>
                </c:pt>
                <c:pt idx="570">
                  <c:v>55.44</c:v>
                </c:pt>
                <c:pt idx="571">
                  <c:v>55.230000000000011</c:v>
                </c:pt>
                <c:pt idx="572">
                  <c:v>55.49</c:v>
                </c:pt>
                <c:pt idx="573">
                  <c:v>54.160000000000011</c:v>
                </c:pt>
                <c:pt idx="574">
                  <c:v>53.92</c:v>
                </c:pt>
                <c:pt idx="575">
                  <c:v>55.47</c:v>
                </c:pt>
                <c:pt idx="576">
                  <c:v>53.9</c:v>
                </c:pt>
                <c:pt idx="577">
                  <c:v>55.45</c:v>
                </c:pt>
                <c:pt idx="578">
                  <c:v>56.01</c:v>
                </c:pt>
                <c:pt idx="579">
                  <c:v>55.1</c:v>
                </c:pt>
                <c:pt idx="580">
                  <c:v>53.64</c:v>
                </c:pt>
                <c:pt idx="581">
                  <c:v>54.94</c:v>
                </c:pt>
                <c:pt idx="582">
                  <c:v>57.1</c:v>
                </c:pt>
                <c:pt idx="583">
                  <c:v>56.89</c:v>
                </c:pt>
                <c:pt idx="584">
                  <c:v>56.46</c:v>
                </c:pt>
                <c:pt idx="585">
                  <c:v>55.47</c:v>
                </c:pt>
                <c:pt idx="586">
                  <c:v>56.82</c:v>
                </c:pt>
                <c:pt idx="587">
                  <c:v>56.14</c:v>
                </c:pt>
                <c:pt idx="588">
                  <c:v>56.220000000000013</c:v>
                </c:pt>
                <c:pt idx="589">
                  <c:v>56.09</c:v>
                </c:pt>
                <c:pt idx="590">
                  <c:v>55.160000000000011</c:v>
                </c:pt>
                <c:pt idx="591">
                  <c:v>55.05</c:v>
                </c:pt>
                <c:pt idx="592">
                  <c:v>54.46</c:v>
                </c:pt>
                <c:pt idx="593">
                  <c:v>55.35</c:v>
                </c:pt>
                <c:pt idx="594">
                  <c:v>54.92</c:v>
                </c:pt>
                <c:pt idx="595">
                  <c:v>55.21</c:v>
                </c:pt>
                <c:pt idx="596">
                  <c:v>54.02</c:v>
                </c:pt>
                <c:pt idx="597">
                  <c:v>53.9</c:v>
                </c:pt>
                <c:pt idx="598">
                  <c:v>55.720000000000013</c:v>
                </c:pt>
                <c:pt idx="599">
                  <c:v>55.690000000000012</c:v>
                </c:pt>
                <c:pt idx="600">
                  <c:v>54.33</c:v>
                </c:pt>
                <c:pt idx="601">
                  <c:v>53.89</c:v>
                </c:pt>
                <c:pt idx="602">
                  <c:v>53</c:v>
                </c:pt>
                <c:pt idx="603">
                  <c:v>53.93</c:v>
                </c:pt>
                <c:pt idx="604">
                  <c:v>54.94</c:v>
                </c:pt>
                <c:pt idx="605">
                  <c:v>54.46</c:v>
                </c:pt>
                <c:pt idx="606">
                  <c:v>53.94</c:v>
                </c:pt>
                <c:pt idx="607">
                  <c:v>50.47</c:v>
                </c:pt>
                <c:pt idx="608">
                  <c:v>46.38</c:v>
                </c:pt>
                <c:pt idx="609">
                  <c:v>48.24</c:v>
                </c:pt>
                <c:pt idx="610">
                  <c:v>47.24</c:v>
                </c:pt>
                <c:pt idx="611">
                  <c:v>49</c:v>
                </c:pt>
                <c:pt idx="612">
                  <c:v>48.95</c:v>
                </c:pt>
                <c:pt idx="613">
                  <c:v>49.120000000000012</c:v>
                </c:pt>
                <c:pt idx="614">
                  <c:v>48.9</c:v>
                </c:pt>
                <c:pt idx="615">
                  <c:v>46.86</c:v>
                </c:pt>
                <c:pt idx="616">
                  <c:v>46.49</c:v>
                </c:pt>
                <c:pt idx="617">
                  <c:v>46.63</c:v>
                </c:pt>
                <c:pt idx="618">
                  <c:v>46.95</c:v>
                </c:pt>
                <c:pt idx="619">
                  <c:v>44.43</c:v>
                </c:pt>
                <c:pt idx="620">
                  <c:v>44.75</c:v>
                </c:pt>
                <c:pt idx="621">
                  <c:v>45.84</c:v>
                </c:pt>
                <c:pt idx="622">
                  <c:v>46.36</c:v>
                </c:pt>
                <c:pt idx="623">
                  <c:v>46.04</c:v>
                </c:pt>
                <c:pt idx="624">
                  <c:v>46.15</c:v>
                </c:pt>
                <c:pt idx="625">
                  <c:v>45.58</c:v>
                </c:pt>
                <c:pt idx="626">
                  <c:v>46.35</c:v>
                </c:pt>
                <c:pt idx="627">
                  <c:v>46.86</c:v>
                </c:pt>
                <c:pt idx="628">
                  <c:v>48.14</c:v>
                </c:pt>
                <c:pt idx="629">
                  <c:v>48.3</c:v>
                </c:pt>
                <c:pt idx="630">
                  <c:v>49.71</c:v>
                </c:pt>
                <c:pt idx="631">
                  <c:v>50.47</c:v>
                </c:pt>
                <c:pt idx="632">
                  <c:v>49.98</c:v>
                </c:pt>
                <c:pt idx="633">
                  <c:v>50.790000000000013</c:v>
                </c:pt>
                <c:pt idx="634">
                  <c:v>51.46</c:v>
                </c:pt>
                <c:pt idx="635">
                  <c:v>51.78</c:v>
                </c:pt>
                <c:pt idx="636">
                  <c:v>51.38</c:v>
                </c:pt>
                <c:pt idx="637">
                  <c:v>52.67</c:v>
                </c:pt>
                <c:pt idx="638">
                  <c:v>51.68</c:v>
                </c:pt>
                <c:pt idx="639">
                  <c:v>51.52</c:v>
                </c:pt>
                <c:pt idx="640">
                  <c:v>51.95</c:v>
                </c:pt>
                <c:pt idx="641">
                  <c:v>52.03</c:v>
                </c:pt>
                <c:pt idx="642">
                  <c:v>51.81</c:v>
                </c:pt>
                <c:pt idx="643">
                  <c:v>52.41</c:v>
                </c:pt>
                <c:pt idx="644">
                  <c:v>53.14</c:v>
                </c:pt>
                <c:pt idx="645">
                  <c:v>51.93</c:v>
                </c:pt>
                <c:pt idx="646">
                  <c:v>52.51</c:v>
                </c:pt>
                <c:pt idx="647">
                  <c:v>51.86</c:v>
                </c:pt>
                <c:pt idx="648">
                  <c:v>50.87</c:v>
                </c:pt>
                <c:pt idx="649">
                  <c:v>50.89</c:v>
                </c:pt>
                <c:pt idx="650">
                  <c:v>49.06</c:v>
                </c:pt>
                <c:pt idx="651">
                  <c:v>49.24</c:v>
                </c:pt>
                <c:pt idx="652">
                  <c:v>48.690000000000012</c:v>
                </c:pt>
                <c:pt idx="653">
                  <c:v>45.97</c:v>
                </c:pt>
                <c:pt idx="654">
                  <c:v>47.35</c:v>
                </c:pt>
                <c:pt idx="655">
                  <c:v>45.89</c:v>
                </c:pt>
                <c:pt idx="656">
                  <c:v>47.65</c:v>
                </c:pt>
                <c:pt idx="657">
                  <c:v>46.83</c:v>
                </c:pt>
                <c:pt idx="658">
                  <c:v>45.88</c:v>
                </c:pt>
                <c:pt idx="659">
                  <c:v>45.95</c:v>
                </c:pt>
                <c:pt idx="660">
                  <c:v>45.77</c:v>
                </c:pt>
                <c:pt idx="661">
                  <c:v>46.59</c:v>
                </c:pt>
                <c:pt idx="662">
                  <c:v>45.85</c:v>
                </c:pt>
                <c:pt idx="663">
                  <c:v>47.1</c:v>
                </c:pt>
                <c:pt idx="664">
                  <c:v>48.32</c:v>
                </c:pt>
                <c:pt idx="665">
                  <c:v>48.01</c:v>
                </c:pt>
                <c:pt idx="666">
                  <c:v>49.99</c:v>
                </c:pt>
                <c:pt idx="667">
                  <c:v>47.98</c:v>
                </c:pt>
                <c:pt idx="668">
                  <c:v>47.260000000000012</c:v>
                </c:pt>
                <c:pt idx="669">
                  <c:v>47.63</c:v>
                </c:pt>
                <c:pt idx="670">
                  <c:v>46.83</c:v>
                </c:pt>
                <c:pt idx="671">
                  <c:v>45.45</c:v>
                </c:pt>
                <c:pt idx="672">
                  <c:v>47.04</c:v>
                </c:pt>
                <c:pt idx="673">
                  <c:v>48.37</c:v>
                </c:pt>
                <c:pt idx="674">
                  <c:v>49.260000000000012</c:v>
                </c:pt>
                <c:pt idx="675">
                  <c:v>49.92</c:v>
                </c:pt>
                <c:pt idx="676">
                  <c:v>49.67</c:v>
                </c:pt>
                <c:pt idx="677">
                  <c:v>49.05</c:v>
                </c:pt>
                <c:pt idx="678">
                  <c:v>49.96</c:v>
                </c:pt>
                <c:pt idx="679">
                  <c:v>49.160000000000011</c:v>
                </c:pt>
                <c:pt idx="680">
                  <c:v>50.88</c:v>
                </c:pt>
                <c:pt idx="681">
                  <c:v>50.89</c:v>
                </c:pt>
                <c:pt idx="682">
                  <c:v>49.85</c:v>
                </c:pt>
                <c:pt idx="683">
                  <c:v>49.230000000000011</c:v>
                </c:pt>
                <c:pt idx="684">
                  <c:v>48.35</c:v>
                </c:pt>
                <c:pt idx="685">
                  <c:v>46.97</c:v>
                </c:pt>
                <c:pt idx="686">
                  <c:v>43.49</c:v>
                </c:pt>
                <c:pt idx="687">
                  <c:v>44.05</c:v>
                </c:pt>
                <c:pt idx="688">
                  <c:v>44.98</c:v>
                </c:pt>
                <c:pt idx="689">
                  <c:v>45.39</c:v>
                </c:pt>
                <c:pt idx="690">
                  <c:v>44.27</c:v>
                </c:pt>
                <c:pt idx="691">
                  <c:v>44.290000000000013</c:v>
                </c:pt>
                <c:pt idx="692">
                  <c:v>43.1</c:v>
                </c:pt>
                <c:pt idx="693">
                  <c:v>41.8</c:v>
                </c:pt>
                <c:pt idx="694">
                  <c:v>42.14</c:v>
                </c:pt>
                <c:pt idx="695">
                  <c:v>42.46</c:v>
                </c:pt>
                <c:pt idx="696">
                  <c:v>42.7</c:v>
                </c:pt>
                <c:pt idx="697">
                  <c:v>43.47</c:v>
                </c:pt>
                <c:pt idx="698">
                  <c:v>44.87</c:v>
                </c:pt>
                <c:pt idx="699">
                  <c:v>44.720000000000013</c:v>
                </c:pt>
                <c:pt idx="700">
                  <c:v>45.690000000000012</c:v>
                </c:pt>
                <c:pt idx="701">
                  <c:v>46.2</c:v>
                </c:pt>
                <c:pt idx="702">
                  <c:v>47.17</c:v>
                </c:pt>
                <c:pt idx="703">
                  <c:v>46.660000000000011</c:v>
                </c:pt>
                <c:pt idx="704">
                  <c:v>46.96</c:v>
                </c:pt>
                <c:pt idx="705">
                  <c:v>47.61</c:v>
                </c:pt>
                <c:pt idx="706">
                  <c:v>47.37</c:v>
                </c:pt>
                <c:pt idx="707">
                  <c:v>46.260000000000012</c:v>
                </c:pt>
                <c:pt idx="708">
                  <c:v>48.47</c:v>
                </c:pt>
                <c:pt idx="709">
                  <c:v>46.25</c:v>
                </c:pt>
                <c:pt idx="710">
                  <c:v>46.760000000000012</c:v>
                </c:pt>
                <c:pt idx="711">
                  <c:v>46.4</c:v>
                </c:pt>
                <c:pt idx="712">
                  <c:v>48.8</c:v>
                </c:pt>
                <c:pt idx="713">
                  <c:v>47.96</c:v>
                </c:pt>
                <c:pt idx="714">
                  <c:v>50.04</c:v>
                </c:pt>
              </c:numCache>
            </c:numRef>
          </c:val>
        </c:ser>
        <c:ser>
          <c:idx val="2"/>
          <c:order val="2"/>
          <c:tx>
            <c:strRef>
              <c:f>'世界-走势图'!$D$1</c:f>
              <c:strCache>
                <c:ptCount val="1"/>
                <c:pt idx="0">
                  <c:v>迪拜</c:v>
                </c:pt>
              </c:strCache>
            </c:strRef>
          </c:tx>
          <c:marker>
            <c:symbol val="none"/>
          </c:marker>
          <c:cat>
            <c:numRef>
              <c:f>'世界-走势图'!$A$69:$A$716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'世界-走势图'!$D$107:$D$716</c:f>
            </c:numRef>
          </c:val>
        </c:ser>
        <c:ser>
          <c:idx val="3"/>
          <c:order val="3"/>
          <c:tx>
            <c:strRef>
              <c:f>'世界-走势图'!$E$1</c:f>
              <c:strCache>
                <c:ptCount val="1"/>
                <c:pt idx="0">
                  <c:v>阿曼</c:v>
                </c:pt>
              </c:strCache>
            </c:strRef>
          </c:tx>
          <c:marker>
            <c:symbol val="none"/>
          </c:marker>
          <c:cat>
            <c:numRef>
              <c:f>'世界-走势图'!$A$69:$A$716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'世界-走势图'!$E$107:$E$716</c:f>
            </c:numRef>
          </c:val>
        </c:ser>
        <c:ser>
          <c:idx val="4"/>
          <c:order val="4"/>
          <c:tx>
            <c:strRef>
              <c:f>'世界-走势图'!$F$1</c:f>
              <c:strCache>
                <c:ptCount val="1"/>
                <c:pt idx="0">
                  <c:v>米纳斯</c:v>
                </c:pt>
              </c:strCache>
            </c:strRef>
          </c:tx>
          <c:marker>
            <c:symbol val="none"/>
          </c:marker>
          <c:cat>
            <c:numRef>
              <c:f>'世界-走势图'!$A$69:$A$716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'世界-走势图'!$F$107:$F$716</c:f>
            </c:numRef>
          </c:val>
        </c:ser>
        <c:ser>
          <c:idx val="5"/>
          <c:order val="5"/>
          <c:tx>
            <c:strRef>
              <c:f>'世界-走势图'!$G$1</c:f>
              <c:strCache>
                <c:ptCount val="1"/>
                <c:pt idx="0">
                  <c:v>塔皮斯</c:v>
                </c:pt>
              </c:strCache>
            </c:strRef>
          </c:tx>
          <c:marker>
            <c:symbol val="none"/>
          </c:marker>
          <c:cat>
            <c:numRef>
              <c:f>'世界-走势图'!$A$69:$A$716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'世界-走势图'!$G$107:$G$716</c:f>
            </c:numRef>
          </c:val>
        </c:ser>
        <c:marker val="1"/>
        <c:axId val="125398400"/>
        <c:axId val="125416576"/>
      </c:lineChart>
      <c:dateAx>
        <c:axId val="125398400"/>
        <c:scaling>
          <c:orientation val="minMax"/>
          <c:max val="43572"/>
          <c:min val="43207"/>
        </c:scaling>
        <c:axPos val="b"/>
        <c:numFmt formatCode="yy/m/d;@" sourceLinked="0"/>
        <c:majorTickMark val="in"/>
        <c:tickLblPos val="nextTo"/>
        <c:spPr>
          <a:ln w="3175" cap="flat" cmpd="sng" algn="ctr">
            <a:solidFill>
              <a:srgbClr val="000000">
                <a:alpha val="100000"/>
              </a:srgbClr>
            </a:solidFill>
            <a:prstDash val="solid"/>
            <a:round/>
          </a:ln>
        </c:spPr>
        <c:txPr>
          <a:bodyPr rot="0" vert="horz"/>
          <a:lstStyle/>
          <a:p>
            <a:pPr>
              <a:defRPr sz="800" b="0" i="0" u="none" strike="noStrike" baseline="0">
                <a:solidFill>
                  <a:srgbClr val="000000"/>
                </a:solidFill>
                <a:latin typeface="Arial"/>
                <a:ea typeface="Arial"/>
                <a:cs typeface="Arial"/>
              </a:defRPr>
            </a:pPr>
            <a:endParaRPr lang="zh-CN"/>
          </a:p>
        </c:txPr>
        <c:crossAx val="125416576"/>
        <c:crossesAt val="20"/>
        <c:auto val="1"/>
        <c:lblOffset val="100"/>
        <c:baseTimeUnit val="days"/>
        <c:majorUnit val="2"/>
        <c:majorTimeUnit val="months"/>
        <c:minorUnit val="1"/>
        <c:minorTimeUnit val="days"/>
      </c:dateAx>
      <c:valAx>
        <c:axId val="125416576"/>
        <c:scaling>
          <c:orientation val="minMax"/>
          <c:max val="90"/>
          <c:min val="40"/>
        </c:scaling>
        <c:axPos val="l"/>
        <c:title>
          <c:tx>
            <c:rich>
              <a:bodyPr rot="0" vert="horz"/>
              <a:lstStyle/>
              <a:p>
                <a:pPr algn="ctr">
                  <a:defRPr sz="1100" b="0" i="0" u="none" strike="noStrike" baseline="0">
                    <a:solidFill>
                      <a:srgbClr val="000000"/>
                    </a:solidFill>
                    <a:latin typeface="宋体"/>
                    <a:ea typeface="宋体"/>
                    <a:cs typeface="宋体"/>
                  </a:defRPr>
                </a:pPr>
                <a:r>
                  <a:rPr lang="zh-CN" altLang="en-US" sz="975" b="0" i="0" strike="noStrike">
                    <a:solidFill>
                      <a:srgbClr val="000000"/>
                    </a:solidFill>
                    <a:latin typeface="宋体"/>
                    <a:ea typeface="宋体"/>
                  </a:rPr>
                  <a:t>美元</a:t>
                </a:r>
                <a:r>
                  <a:rPr lang="en-US" altLang="zh-CN" sz="975" b="0" i="0" strike="noStrike">
                    <a:solidFill>
                      <a:srgbClr val="000000"/>
                    </a:solidFill>
                    <a:latin typeface="宋体"/>
                    <a:ea typeface="宋体"/>
                  </a:rPr>
                  <a:t>/</a:t>
                </a:r>
                <a:r>
                  <a:rPr lang="zh-CN" altLang="en-US" sz="975" b="0" i="0" strike="noStrike">
                    <a:solidFill>
                      <a:srgbClr val="000000"/>
                    </a:solidFill>
                    <a:latin typeface="宋体"/>
                    <a:ea typeface="宋体"/>
                  </a:rPr>
                  <a:t>桶</a:t>
                </a:r>
              </a:p>
            </c:rich>
          </c:tx>
          <c:layout>
            <c:manualLayout>
              <c:xMode val="edge"/>
              <c:yMode val="edge"/>
              <c:x val="0.71025766145429003"/>
              <c:y val="0.16424896479220796"/>
            </c:manualLayout>
          </c:layout>
        </c:title>
        <c:numFmt formatCode="0_ " sourceLinked="0"/>
        <c:majorTickMark val="in"/>
        <c:tickLblPos val="nextTo"/>
        <c:spPr>
          <a:ln w="3175" cap="flat" cmpd="sng" algn="ctr">
            <a:solidFill>
              <a:srgbClr val="000000">
                <a:alpha val="100000"/>
              </a:srgbClr>
            </a:solidFill>
            <a:prstDash val="solid"/>
            <a:round/>
          </a:ln>
        </c:spPr>
        <c:txPr>
          <a:bodyPr rot="0" vert="horz"/>
          <a:lstStyle/>
          <a:p>
            <a:pPr>
              <a:defRPr sz="975" b="0" i="0" u="none" strike="noStrike" baseline="0">
                <a:solidFill>
                  <a:srgbClr val="000000"/>
                </a:solidFill>
                <a:latin typeface="Arial"/>
                <a:ea typeface="Arial"/>
                <a:cs typeface="Arial"/>
              </a:defRPr>
            </a:pPr>
            <a:endParaRPr lang="zh-CN"/>
          </a:p>
        </c:txPr>
        <c:crossAx val="125398400"/>
        <c:crossesAt val="42481"/>
        <c:crossBetween val="between"/>
        <c:majorUnit val="10"/>
        <c:minorUnit val="10"/>
      </c:valAx>
      <c:spPr>
        <a:noFill/>
        <a:ln w="25400">
          <a:noFill/>
        </a:ln>
      </c:spPr>
    </c:plotArea>
    <c:legend>
      <c:legendPos val="r"/>
      <c:layout>
        <c:manualLayout>
          <c:xMode val="edge"/>
          <c:yMode val="edge"/>
          <c:x val="0.16173154412036544"/>
          <c:y val="0.15473377816873721"/>
          <c:w val="0.17681656870355966"/>
          <c:h val="0.14232959299706074"/>
        </c:manualLayout>
      </c:layout>
      <c:spPr>
        <a:solidFill>
          <a:srgbClr val="FFFFFF">
            <a:alpha val="100000"/>
          </a:srgbClr>
        </a:solidFill>
        <a:ln w="3175">
          <a:noFill/>
        </a:ln>
      </c:spPr>
      <c:txPr>
        <a:bodyPr/>
        <a:lstStyle/>
        <a:p>
          <a:pPr>
            <a:defRPr sz="900" b="1" i="0" u="none" strike="noStrike" baseline="0">
              <a:solidFill>
                <a:srgbClr val="000000"/>
              </a:solidFill>
              <a:latin typeface="宋体"/>
              <a:ea typeface="宋体"/>
              <a:cs typeface="宋体"/>
            </a:defRPr>
          </a:pPr>
          <a:endParaRPr lang="zh-CN"/>
        </a:p>
      </c:txPr>
    </c:legend>
    <c:plotVisOnly val="1"/>
    <c:dispBlanksAs val="gap"/>
  </c:chart>
  <c:spPr>
    <a:solidFill>
      <a:srgbClr val="FFFFFF">
        <a:alpha val="100000"/>
      </a:srgbClr>
    </a:solidFill>
    <a:ln w="3175" cap="flat" cmpd="sng" algn="ctr">
      <a:noFill/>
      <a:prstDash val="solid"/>
      <a:round/>
    </a:ln>
  </c:spPr>
  <c:txPr>
    <a:bodyPr/>
    <a:lstStyle/>
    <a:p>
      <a:pPr>
        <a:defRPr sz="850"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800" b="0" i="0" u="none" strike="noStrike" baseline="0">
                <a:solidFill>
                  <a:srgbClr val="000000"/>
                </a:solidFill>
                <a:latin typeface="黑体"/>
                <a:ea typeface="黑体"/>
                <a:cs typeface="黑体"/>
              </a:defRPr>
            </a:pPr>
            <a:r>
              <a:rPr lang="zh-CN" altLang="en-US"/>
              <a:t>山东地炼石脑油价格走势图</a:t>
            </a:r>
          </a:p>
        </c:rich>
      </c:tx>
      <c:layout>
        <c:manualLayout>
          <c:xMode val="edge"/>
          <c:yMode val="edge"/>
          <c:x val="0.29146449717041301"/>
          <c:y val="3.306009117281395E-2"/>
        </c:manualLayout>
      </c:layout>
    </c:title>
    <c:plotArea>
      <c:layout>
        <c:manualLayout>
          <c:layoutTarget val="inner"/>
          <c:xMode val="edge"/>
          <c:yMode val="edge"/>
          <c:x val="8.1198294608225183E-2"/>
          <c:y val="0.10155325321176972"/>
          <c:w val="0.87483862221670095"/>
          <c:h val="0.67085039370078892"/>
        </c:manualLayout>
      </c:layout>
      <c:lineChart>
        <c:grouping val="standard"/>
        <c:ser>
          <c:idx val="8"/>
          <c:order val="0"/>
          <c:tx>
            <c:strRef>
              <c:f>'溶剂油周报-石脑油价格走势图表'!$D$282</c:f>
              <c:strCache>
                <c:ptCount val="1"/>
                <c:pt idx="0">
                  <c:v>鑫泰石化</c:v>
                </c:pt>
              </c:strCache>
            </c:strRef>
          </c:tx>
          <c:cat>
            <c:numRef>
              <c:f>'溶剂油周报-石脑油价格走势图表'!$A$283:$C$361</c:f>
              <c:numCache>
                <c:formatCode>yyyy/m/d</c:formatCode>
                <c:ptCount val="79"/>
                <c:pt idx="0">
                  <c:v>42993</c:v>
                </c:pt>
                <c:pt idx="1">
                  <c:v>43000</c:v>
                </c:pt>
                <c:pt idx="2">
                  <c:v>43007</c:v>
                </c:pt>
                <c:pt idx="3">
                  <c:v>43021</c:v>
                </c:pt>
                <c:pt idx="4">
                  <c:v>43028</c:v>
                </c:pt>
                <c:pt idx="5">
                  <c:v>43035</c:v>
                </c:pt>
                <c:pt idx="6">
                  <c:v>43042</c:v>
                </c:pt>
                <c:pt idx="7">
                  <c:v>43049</c:v>
                </c:pt>
                <c:pt idx="8">
                  <c:v>43056</c:v>
                </c:pt>
                <c:pt idx="9">
                  <c:v>43063</c:v>
                </c:pt>
                <c:pt idx="10">
                  <c:v>43069</c:v>
                </c:pt>
                <c:pt idx="11">
                  <c:v>43077</c:v>
                </c:pt>
                <c:pt idx="12">
                  <c:v>43084</c:v>
                </c:pt>
                <c:pt idx="13">
                  <c:v>43091</c:v>
                </c:pt>
                <c:pt idx="14">
                  <c:v>43098</c:v>
                </c:pt>
                <c:pt idx="15">
                  <c:v>43105</c:v>
                </c:pt>
                <c:pt idx="16">
                  <c:v>43112</c:v>
                </c:pt>
                <c:pt idx="17">
                  <c:v>43119</c:v>
                </c:pt>
                <c:pt idx="18">
                  <c:v>43126</c:v>
                </c:pt>
                <c:pt idx="19">
                  <c:v>43133</c:v>
                </c:pt>
                <c:pt idx="20">
                  <c:v>43140</c:v>
                </c:pt>
                <c:pt idx="21">
                  <c:v>43161</c:v>
                </c:pt>
                <c:pt idx="22">
                  <c:v>43168</c:v>
                </c:pt>
                <c:pt idx="23">
                  <c:v>43175</c:v>
                </c:pt>
                <c:pt idx="24">
                  <c:v>43182</c:v>
                </c:pt>
                <c:pt idx="25">
                  <c:v>43189</c:v>
                </c:pt>
                <c:pt idx="26">
                  <c:v>43198</c:v>
                </c:pt>
                <c:pt idx="27">
                  <c:v>43203</c:v>
                </c:pt>
                <c:pt idx="28">
                  <c:v>43210</c:v>
                </c:pt>
                <c:pt idx="29">
                  <c:v>43217</c:v>
                </c:pt>
                <c:pt idx="30">
                  <c:v>43224</c:v>
                </c:pt>
                <c:pt idx="31">
                  <c:v>43231</c:v>
                </c:pt>
                <c:pt idx="32">
                  <c:v>43238</c:v>
                </c:pt>
                <c:pt idx="33">
                  <c:v>43245</c:v>
                </c:pt>
                <c:pt idx="34">
                  <c:v>43252</c:v>
                </c:pt>
                <c:pt idx="35">
                  <c:v>43259</c:v>
                </c:pt>
                <c:pt idx="36">
                  <c:v>43266</c:v>
                </c:pt>
                <c:pt idx="37">
                  <c:v>43273</c:v>
                </c:pt>
                <c:pt idx="38">
                  <c:v>43280</c:v>
                </c:pt>
                <c:pt idx="39">
                  <c:v>43287</c:v>
                </c:pt>
                <c:pt idx="40">
                  <c:v>43294</c:v>
                </c:pt>
                <c:pt idx="41">
                  <c:v>43301</c:v>
                </c:pt>
                <c:pt idx="42">
                  <c:v>43308</c:v>
                </c:pt>
                <c:pt idx="43">
                  <c:v>43315</c:v>
                </c:pt>
                <c:pt idx="44">
                  <c:v>43322</c:v>
                </c:pt>
                <c:pt idx="45">
                  <c:v>43329</c:v>
                </c:pt>
                <c:pt idx="46">
                  <c:v>43336</c:v>
                </c:pt>
                <c:pt idx="47">
                  <c:v>43343</c:v>
                </c:pt>
                <c:pt idx="48">
                  <c:v>43350</c:v>
                </c:pt>
                <c:pt idx="49">
                  <c:v>43357</c:v>
                </c:pt>
                <c:pt idx="50">
                  <c:v>43364</c:v>
                </c:pt>
                <c:pt idx="51">
                  <c:v>43371</c:v>
                </c:pt>
                <c:pt idx="52">
                  <c:v>43385</c:v>
                </c:pt>
                <c:pt idx="53">
                  <c:v>43392</c:v>
                </c:pt>
                <c:pt idx="54">
                  <c:v>43399</c:v>
                </c:pt>
                <c:pt idx="55">
                  <c:v>43406</c:v>
                </c:pt>
                <c:pt idx="56">
                  <c:v>43413</c:v>
                </c:pt>
                <c:pt idx="57">
                  <c:v>43420</c:v>
                </c:pt>
                <c:pt idx="58">
                  <c:v>43427</c:v>
                </c:pt>
                <c:pt idx="59">
                  <c:v>43434</c:v>
                </c:pt>
                <c:pt idx="60">
                  <c:v>43441</c:v>
                </c:pt>
                <c:pt idx="61">
                  <c:v>43448</c:v>
                </c:pt>
                <c:pt idx="62">
                  <c:v>43455</c:v>
                </c:pt>
                <c:pt idx="63">
                  <c:v>43462</c:v>
                </c:pt>
                <c:pt idx="64">
                  <c:v>43469</c:v>
                </c:pt>
                <c:pt idx="65">
                  <c:v>43476</c:v>
                </c:pt>
                <c:pt idx="66">
                  <c:v>43483</c:v>
                </c:pt>
                <c:pt idx="67">
                  <c:v>43490</c:v>
                </c:pt>
                <c:pt idx="68">
                  <c:v>43497</c:v>
                </c:pt>
                <c:pt idx="69">
                  <c:v>43511</c:v>
                </c:pt>
                <c:pt idx="70">
                  <c:v>43518</c:v>
                </c:pt>
                <c:pt idx="71">
                  <c:v>43525</c:v>
                </c:pt>
                <c:pt idx="72">
                  <c:v>43532</c:v>
                </c:pt>
                <c:pt idx="73">
                  <c:v>43539</c:v>
                </c:pt>
                <c:pt idx="74">
                  <c:v>43546</c:v>
                </c:pt>
                <c:pt idx="75">
                  <c:v>43552</c:v>
                </c:pt>
                <c:pt idx="76">
                  <c:v>43559</c:v>
                </c:pt>
                <c:pt idx="77">
                  <c:v>43566</c:v>
                </c:pt>
                <c:pt idx="78">
                  <c:v>43573</c:v>
                </c:pt>
              </c:numCache>
            </c:numRef>
          </c:cat>
          <c:val>
            <c:numRef>
              <c:f>'溶剂油周报-石脑油价格走势图表'!$D$283:$D$361</c:f>
              <c:numCache>
                <c:formatCode>General</c:formatCode>
                <c:ptCount val="79"/>
                <c:pt idx="0">
                  <c:v>5000</c:v>
                </c:pt>
                <c:pt idx="1">
                  <c:v>5000</c:v>
                </c:pt>
                <c:pt idx="2">
                  <c:v>5000</c:v>
                </c:pt>
                <c:pt idx="3">
                  <c:v>5000</c:v>
                </c:pt>
                <c:pt idx="4">
                  <c:v>5000</c:v>
                </c:pt>
                <c:pt idx="5">
                  <c:v>5000</c:v>
                </c:pt>
                <c:pt idx="6">
                  <c:v>5000</c:v>
                </c:pt>
                <c:pt idx="7">
                  <c:v>5000</c:v>
                </c:pt>
                <c:pt idx="8">
                  <c:v>5000</c:v>
                </c:pt>
                <c:pt idx="9">
                  <c:v>5000</c:v>
                </c:pt>
                <c:pt idx="10">
                  <c:v>5000</c:v>
                </c:pt>
                <c:pt idx="11">
                  <c:v>6150</c:v>
                </c:pt>
                <c:pt idx="12">
                  <c:v>6100</c:v>
                </c:pt>
                <c:pt idx="13">
                  <c:v>5950</c:v>
                </c:pt>
                <c:pt idx="14">
                  <c:v>6100</c:v>
                </c:pt>
                <c:pt idx="15">
                  <c:v>6150</c:v>
                </c:pt>
                <c:pt idx="16">
                  <c:v>6300</c:v>
                </c:pt>
                <c:pt idx="17">
                  <c:v>6300</c:v>
                </c:pt>
                <c:pt idx="18">
                  <c:v>6300</c:v>
                </c:pt>
                <c:pt idx="19">
                  <c:v>6250</c:v>
                </c:pt>
                <c:pt idx="20">
                  <c:v>6150</c:v>
                </c:pt>
                <c:pt idx="21">
                  <c:v>6300</c:v>
                </c:pt>
                <c:pt idx="22">
                  <c:v>6150</c:v>
                </c:pt>
                <c:pt idx="23">
                  <c:v>6150</c:v>
                </c:pt>
                <c:pt idx="24">
                  <c:v>6150</c:v>
                </c:pt>
                <c:pt idx="25">
                  <c:v>6150</c:v>
                </c:pt>
                <c:pt idx="26">
                  <c:v>6150</c:v>
                </c:pt>
                <c:pt idx="27">
                  <c:v>6350</c:v>
                </c:pt>
                <c:pt idx="28">
                  <c:v>6250</c:v>
                </c:pt>
                <c:pt idx="29">
                  <c:v>6250</c:v>
                </c:pt>
                <c:pt idx="30">
                  <c:v>6300</c:v>
                </c:pt>
                <c:pt idx="31">
                  <c:v>6350</c:v>
                </c:pt>
                <c:pt idx="32">
                  <c:v>6600</c:v>
                </c:pt>
                <c:pt idx="33">
                  <c:v>6650</c:v>
                </c:pt>
                <c:pt idx="34">
                  <c:v>6650</c:v>
                </c:pt>
                <c:pt idx="35">
                  <c:v>6450</c:v>
                </c:pt>
                <c:pt idx="36">
                  <c:v>6450</c:v>
                </c:pt>
                <c:pt idx="37">
                  <c:v>6450</c:v>
                </c:pt>
                <c:pt idx="38">
                  <c:v>6400</c:v>
                </c:pt>
                <c:pt idx="39">
                  <c:v>6400</c:v>
                </c:pt>
                <c:pt idx="40">
                  <c:v>6650</c:v>
                </c:pt>
                <c:pt idx="41">
                  <c:v>6600</c:v>
                </c:pt>
                <c:pt idx="42">
                  <c:v>6600</c:v>
                </c:pt>
                <c:pt idx="43">
                  <c:v>6800</c:v>
                </c:pt>
                <c:pt idx="44">
                  <c:v>6800</c:v>
                </c:pt>
                <c:pt idx="45">
                  <c:v>7200</c:v>
                </c:pt>
                <c:pt idx="46">
                  <c:v>7200</c:v>
                </c:pt>
                <c:pt idx="47">
                  <c:v>7200</c:v>
                </c:pt>
                <c:pt idx="48">
                  <c:v>7650</c:v>
                </c:pt>
                <c:pt idx="49">
                  <c:v>7950</c:v>
                </c:pt>
                <c:pt idx="50">
                  <c:v>7700</c:v>
                </c:pt>
                <c:pt idx="51">
                  <c:v>7750</c:v>
                </c:pt>
                <c:pt idx="52">
                  <c:v>7900</c:v>
                </c:pt>
                <c:pt idx="53">
                  <c:v>0</c:v>
                </c:pt>
                <c:pt idx="54">
                  <c:v>7850</c:v>
                </c:pt>
                <c:pt idx="55">
                  <c:v>7500</c:v>
                </c:pt>
                <c:pt idx="56">
                  <c:v>7300</c:v>
                </c:pt>
                <c:pt idx="57">
                  <c:v>7300</c:v>
                </c:pt>
                <c:pt idx="58">
                  <c:v>6700</c:v>
                </c:pt>
                <c:pt idx="59">
                  <c:v>6300</c:v>
                </c:pt>
                <c:pt idx="60">
                  <c:v>6500</c:v>
                </c:pt>
                <c:pt idx="61">
                  <c:v>6550</c:v>
                </c:pt>
                <c:pt idx="62">
                  <c:v>6200</c:v>
                </c:pt>
                <c:pt idx="63">
                  <c:v>5800</c:v>
                </c:pt>
                <c:pt idx="64">
                  <c:v>5800</c:v>
                </c:pt>
                <c:pt idx="65">
                  <c:v>6500</c:v>
                </c:pt>
                <c:pt idx="66">
                  <c:v>6500</c:v>
                </c:pt>
                <c:pt idx="67">
                  <c:v>6500</c:v>
                </c:pt>
                <c:pt idx="68">
                  <c:v>5925</c:v>
                </c:pt>
                <c:pt idx="69">
                  <c:v>5925</c:v>
                </c:pt>
                <c:pt idx="70">
                  <c:v>5925</c:v>
                </c:pt>
                <c:pt idx="71">
                  <c:v>5925</c:v>
                </c:pt>
                <c:pt idx="72">
                  <c:v>5925</c:v>
                </c:pt>
                <c:pt idx="73">
                  <c:v>5925</c:v>
                </c:pt>
                <c:pt idx="74">
                  <c:v>5925</c:v>
                </c:pt>
                <c:pt idx="75">
                  <c:v>5925</c:v>
                </c:pt>
                <c:pt idx="76">
                  <c:v>5925</c:v>
                </c:pt>
                <c:pt idx="77">
                  <c:v>5925</c:v>
                </c:pt>
                <c:pt idx="78">
                  <c:v>5925</c:v>
                </c:pt>
              </c:numCache>
            </c:numRef>
          </c:val>
        </c:ser>
        <c:ser>
          <c:idx val="10"/>
          <c:order val="1"/>
          <c:tx>
            <c:strRef>
              <c:f>'溶剂油周报-石脑油价格走势图表'!$E$282</c:f>
              <c:strCache>
                <c:ptCount val="1"/>
                <c:pt idx="0">
                  <c:v>利津石化</c:v>
                </c:pt>
              </c:strCache>
            </c:strRef>
          </c:tx>
          <c:spPr>
            <a:ln w="38100" cap="rnd" cmpd="sng" algn="ctr">
              <a:solidFill>
                <a:srgbClr val="00B050"/>
              </a:solidFill>
              <a:prstDash val="solid"/>
              <a:round/>
            </a:ln>
          </c:spPr>
          <c:marker>
            <c:symbol val="none"/>
          </c:marker>
          <c:cat>
            <c:numRef>
              <c:f>'溶剂油周报-石脑油价格走势图表'!$A$283:$C$361</c:f>
              <c:numCache>
                <c:formatCode>yyyy/m/d</c:formatCode>
                <c:ptCount val="79"/>
                <c:pt idx="0">
                  <c:v>42993</c:v>
                </c:pt>
                <c:pt idx="1">
                  <c:v>43000</c:v>
                </c:pt>
                <c:pt idx="2">
                  <c:v>43007</c:v>
                </c:pt>
                <c:pt idx="3">
                  <c:v>43021</c:v>
                </c:pt>
                <c:pt idx="4">
                  <c:v>43028</c:v>
                </c:pt>
                <c:pt idx="5">
                  <c:v>43035</c:v>
                </c:pt>
                <c:pt idx="6">
                  <c:v>43042</c:v>
                </c:pt>
                <c:pt idx="7">
                  <c:v>43049</c:v>
                </c:pt>
                <c:pt idx="8">
                  <c:v>43056</c:v>
                </c:pt>
                <c:pt idx="9">
                  <c:v>43063</c:v>
                </c:pt>
                <c:pt idx="10">
                  <c:v>43069</c:v>
                </c:pt>
                <c:pt idx="11">
                  <c:v>43077</c:v>
                </c:pt>
                <c:pt idx="12">
                  <c:v>43084</c:v>
                </c:pt>
                <c:pt idx="13">
                  <c:v>43091</c:v>
                </c:pt>
                <c:pt idx="14">
                  <c:v>43098</c:v>
                </c:pt>
                <c:pt idx="15">
                  <c:v>43105</c:v>
                </c:pt>
                <c:pt idx="16">
                  <c:v>43112</c:v>
                </c:pt>
                <c:pt idx="17">
                  <c:v>43119</c:v>
                </c:pt>
                <c:pt idx="18">
                  <c:v>43126</c:v>
                </c:pt>
                <c:pt idx="19">
                  <c:v>43133</c:v>
                </c:pt>
                <c:pt idx="20">
                  <c:v>43140</c:v>
                </c:pt>
                <c:pt idx="21">
                  <c:v>43161</c:v>
                </c:pt>
                <c:pt idx="22">
                  <c:v>43168</c:v>
                </c:pt>
                <c:pt idx="23">
                  <c:v>43175</c:v>
                </c:pt>
                <c:pt idx="24">
                  <c:v>43182</c:v>
                </c:pt>
                <c:pt idx="25">
                  <c:v>43189</c:v>
                </c:pt>
                <c:pt idx="26">
                  <c:v>43198</c:v>
                </c:pt>
                <c:pt idx="27">
                  <c:v>43203</c:v>
                </c:pt>
                <c:pt idx="28">
                  <c:v>43210</c:v>
                </c:pt>
                <c:pt idx="29">
                  <c:v>43217</c:v>
                </c:pt>
                <c:pt idx="30">
                  <c:v>43224</c:v>
                </c:pt>
                <c:pt idx="31">
                  <c:v>43231</c:v>
                </c:pt>
                <c:pt idx="32">
                  <c:v>43238</c:v>
                </c:pt>
                <c:pt idx="33">
                  <c:v>43245</c:v>
                </c:pt>
                <c:pt idx="34">
                  <c:v>43252</c:v>
                </c:pt>
                <c:pt idx="35">
                  <c:v>43259</c:v>
                </c:pt>
                <c:pt idx="36">
                  <c:v>43266</c:v>
                </c:pt>
                <c:pt idx="37">
                  <c:v>43273</c:v>
                </c:pt>
                <c:pt idx="38">
                  <c:v>43280</c:v>
                </c:pt>
                <c:pt idx="39">
                  <c:v>43287</c:v>
                </c:pt>
                <c:pt idx="40">
                  <c:v>43294</c:v>
                </c:pt>
                <c:pt idx="41">
                  <c:v>43301</c:v>
                </c:pt>
                <c:pt idx="42">
                  <c:v>43308</c:v>
                </c:pt>
                <c:pt idx="43">
                  <c:v>43315</c:v>
                </c:pt>
                <c:pt idx="44">
                  <c:v>43322</c:v>
                </c:pt>
                <c:pt idx="45">
                  <c:v>43329</c:v>
                </c:pt>
                <c:pt idx="46">
                  <c:v>43336</c:v>
                </c:pt>
                <c:pt idx="47">
                  <c:v>43343</c:v>
                </c:pt>
                <c:pt idx="48">
                  <c:v>43350</c:v>
                </c:pt>
                <c:pt idx="49">
                  <c:v>43357</c:v>
                </c:pt>
                <c:pt idx="50">
                  <c:v>43364</c:v>
                </c:pt>
                <c:pt idx="51">
                  <c:v>43371</c:v>
                </c:pt>
                <c:pt idx="52">
                  <c:v>43385</c:v>
                </c:pt>
                <c:pt idx="53">
                  <c:v>43392</c:v>
                </c:pt>
                <c:pt idx="54">
                  <c:v>43399</c:v>
                </c:pt>
                <c:pt idx="55">
                  <c:v>43406</c:v>
                </c:pt>
                <c:pt idx="56">
                  <c:v>43413</c:v>
                </c:pt>
                <c:pt idx="57">
                  <c:v>43420</c:v>
                </c:pt>
                <c:pt idx="58">
                  <c:v>43427</c:v>
                </c:pt>
                <c:pt idx="59">
                  <c:v>43434</c:v>
                </c:pt>
                <c:pt idx="60">
                  <c:v>43441</c:v>
                </c:pt>
                <c:pt idx="61">
                  <c:v>43448</c:v>
                </c:pt>
                <c:pt idx="62">
                  <c:v>43455</c:v>
                </c:pt>
                <c:pt idx="63">
                  <c:v>43462</c:v>
                </c:pt>
                <c:pt idx="64">
                  <c:v>43469</c:v>
                </c:pt>
                <c:pt idx="65">
                  <c:v>43476</c:v>
                </c:pt>
                <c:pt idx="66">
                  <c:v>43483</c:v>
                </c:pt>
                <c:pt idx="67">
                  <c:v>43490</c:v>
                </c:pt>
                <c:pt idx="68">
                  <c:v>43497</c:v>
                </c:pt>
                <c:pt idx="69">
                  <c:v>43511</c:v>
                </c:pt>
                <c:pt idx="70">
                  <c:v>43518</c:v>
                </c:pt>
                <c:pt idx="71">
                  <c:v>43525</c:v>
                </c:pt>
                <c:pt idx="72">
                  <c:v>43532</c:v>
                </c:pt>
                <c:pt idx="73">
                  <c:v>43539</c:v>
                </c:pt>
                <c:pt idx="74">
                  <c:v>43546</c:v>
                </c:pt>
                <c:pt idx="75">
                  <c:v>43552</c:v>
                </c:pt>
                <c:pt idx="76">
                  <c:v>43559</c:v>
                </c:pt>
                <c:pt idx="77">
                  <c:v>43566</c:v>
                </c:pt>
                <c:pt idx="78">
                  <c:v>43573</c:v>
                </c:pt>
              </c:numCache>
            </c:numRef>
          </c:cat>
          <c:val>
            <c:numRef>
              <c:f>'溶剂油周报-石脑油价格走势图表'!$E$283:$E$361</c:f>
              <c:numCache>
                <c:formatCode>General</c:formatCode>
                <c:ptCount val="7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numCache>
            </c:numRef>
          </c:val>
        </c:ser>
        <c:ser>
          <c:idx val="1"/>
          <c:order val="2"/>
          <c:tx>
            <c:strRef>
              <c:f>'溶剂油周报-石脑油价格走势图表'!$F$282</c:f>
              <c:strCache>
                <c:ptCount val="1"/>
                <c:pt idx="0">
                  <c:v>安邦石化</c:v>
                </c:pt>
              </c:strCache>
            </c:strRef>
          </c:tx>
          <c:spPr>
            <a:ln w="38100">
              <a:solidFill>
                <a:srgbClr val="FF00FF"/>
              </a:solidFill>
              <a:prstDash val="solid"/>
            </a:ln>
          </c:spPr>
          <c:marker>
            <c:symbol val="none"/>
          </c:marker>
          <c:cat>
            <c:numRef>
              <c:f>'溶剂油周报-石脑油价格走势图表'!$A$283:$C$361</c:f>
              <c:numCache>
                <c:formatCode>yyyy/m/d</c:formatCode>
                <c:ptCount val="79"/>
                <c:pt idx="0">
                  <c:v>42993</c:v>
                </c:pt>
                <c:pt idx="1">
                  <c:v>43000</c:v>
                </c:pt>
                <c:pt idx="2">
                  <c:v>43007</c:v>
                </c:pt>
                <c:pt idx="3">
                  <c:v>43021</c:v>
                </c:pt>
                <c:pt idx="4">
                  <c:v>43028</c:v>
                </c:pt>
                <c:pt idx="5">
                  <c:v>43035</c:v>
                </c:pt>
                <c:pt idx="6">
                  <c:v>43042</c:v>
                </c:pt>
                <c:pt idx="7">
                  <c:v>43049</c:v>
                </c:pt>
                <c:pt idx="8">
                  <c:v>43056</c:v>
                </c:pt>
                <c:pt idx="9">
                  <c:v>43063</c:v>
                </c:pt>
                <c:pt idx="10">
                  <c:v>43069</c:v>
                </c:pt>
                <c:pt idx="11">
                  <c:v>43077</c:v>
                </c:pt>
                <c:pt idx="12">
                  <c:v>43084</c:v>
                </c:pt>
                <c:pt idx="13">
                  <c:v>43091</c:v>
                </c:pt>
                <c:pt idx="14">
                  <c:v>43098</c:v>
                </c:pt>
                <c:pt idx="15">
                  <c:v>43105</c:v>
                </c:pt>
                <c:pt idx="16">
                  <c:v>43112</c:v>
                </c:pt>
                <c:pt idx="17">
                  <c:v>43119</c:v>
                </c:pt>
                <c:pt idx="18">
                  <c:v>43126</c:v>
                </c:pt>
                <c:pt idx="19">
                  <c:v>43133</c:v>
                </c:pt>
                <c:pt idx="20">
                  <c:v>43140</c:v>
                </c:pt>
                <c:pt idx="21">
                  <c:v>43161</c:v>
                </c:pt>
                <c:pt idx="22">
                  <c:v>43168</c:v>
                </c:pt>
                <c:pt idx="23">
                  <c:v>43175</c:v>
                </c:pt>
                <c:pt idx="24">
                  <c:v>43182</c:v>
                </c:pt>
                <c:pt idx="25">
                  <c:v>43189</c:v>
                </c:pt>
                <c:pt idx="26">
                  <c:v>43198</c:v>
                </c:pt>
                <c:pt idx="27">
                  <c:v>43203</c:v>
                </c:pt>
                <c:pt idx="28">
                  <c:v>43210</c:v>
                </c:pt>
                <c:pt idx="29">
                  <c:v>43217</c:v>
                </c:pt>
                <c:pt idx="30">
                  <c:v>43224</c:v>
                </c:pt>
                <c:pt idx="31">
                  <c:v>43231</c:v>
                </c:pt>
                <c:pt idx="32">
                  <c:v>43238</c:v>
                </c:pt>
                <c:pt idx="33">
                  <c:v>43245</c:v>
                </c:pt>
                <c:pt idx="34">
                  <c:v>43252</c:v>
                </c:pt>
                <c:pt idx="35">
                  <c:v>43259</c:v>
                </c:pt>
                <c:pt idx="36">
                  <c:v>43266</c:v>
                </c:pt>
                <c:pt idx="37">
                  <c:v>43273</c:v>
                </c:pt>
                <c:pt idx="38">
                  <c:v>43280</c:v>
                </c:pt>
                <c:pt idx="39">
                  <c:v>43287</c:v>
                </c:pt>
                <c:pt idx="40">
                  <c:v>43294</c:v>
                </c:pt>
                <c:pt idx="41">
                  <c:v>43301</c:v>
                </c:pt>
                <c:pt idx="42">
                  <c:v>43308</c:v>
                </c:pt>
                <c:pt idx="43">
                  <c:v>43315</c:v>
                </c:pt>
                <c:pt idx="44">
                  <c:v>43322</c:v>
                </c:pt>
                <c:pt idx="45">
                  <c:v>43329</c:v>
                </c:pt>
                <c:pt idx="46">
                  <c:v>43336</c:v>
                </c:pt>
                <c:pt idx="47">
                  <c:v>43343</c:v>
                </c:pt>
                <c:pt idx="48">
                  <c:v>43350</c:v>
                </c:pt>
                <c:pt idx="49">
                  <c:v>43357</c:v>
                </c:pt>
                <c:pt idx="50">
                  <c:v>43364</c:v>
                </c:pt>
                <c:pt idx="51">
                  <c:v>43371</c:v>
                </c:pt>
                <c:pt idx="52">
                  <c:v>43385</c:v>
                </c:pt>
                <c:pt idx="53">
                  <c:v>43392</c:v>
                </c:pt>
                <c:pt idx="54">
                  <c:v>43399</c:v>
                </c:pt>
                <c:pt idx="55">
                  <c:v>43406</c:v>
                </c:pt>
                <c:pt idx="56">
                  <c:v>43413</c:v>
                </c:pt>
                <c:pt idx="57">
                  <c:v>43420</c:v>
                </c:pt>
                <c:pt idx="58">
                  <c:v>43427</c:v>
                </c:pt>
                <c:pt idx="59">
                  <c:v>43434</c:v>
                </c:pt>
                <c:pt idx="60">
                  <c:v>43441</c:v>
                </c:pt>
                <c:pt idx="61">
                  <c:v>43448</c:v>
                </c:pt>
                <c:pt idx="62">
                  <c:v>43455</c:v>
                </c:pt>
                <c:pt idx="63">
                  <c:v>43462</c:v>
                </c:pt>
                <c:pt idx="64">
                  <c:v>43469</c:v>
                </c:pt>
                <c:pt idx="65">
                  <c:v>43476</c:v>
                </c:pt>
                <c:pt idx="66">
                  <c:v>43483</c:v>
                </c:pt>
                <c:pt idx="67">
                  <c:v>43490</c:v>
                </c:pt>
                <c:pt idx="68">
                  <c:v>43497</c:v>
                </c:pt>
                <c:pt idx="69">
                  <c:v>43511</c:v>
                </c:pt>
                <c:pt idx="70">
                  <c:v>43518</c:v>
                </c:pt>
                <c:pt idx="71">
                  <c:v>43525</c:v>
                </c:pt>
                <c:pt idx="72">
                  <c:v>43532</c:v>
                </c:pt>
                <c:pt idx="73">
                  <c:v>43539</c:v>
                </c:pt>
                <c:pt idx="74">
                  <c:v>43546</c:v>
                </c:pt>
                <c:pt idx="75">
                  <c:v>43552</c:v>
                </c:pt>
                <c:pt idx="76">
                  <c:v>43559</c:v>
                </c:pt>
                <c:pt idx="77">
                  <c:v>43566</c:v>
                </c:pt>
                <c:pt idx="78">
                  <c:v>43573</c:v>
                </c:pt>
              </c:numCache>
            </c:numRef>
          </c:cat>
          <c:val>
            <c:numRef>
              <c:f>'溶剂油周报-石脑油价格走势图表'!$F$283:$F$361</c:f>
              <c:numCache>
                <c:formatCode>General</c:formatCode>
                <c:ptCount val="79"/>
                <c:pt idx="0">
                  <c:v>4900</c:v>
                </c:pt>
                <c:pt idx="1">
                  <c:v>4980</c:v>
                </c:pt>
                <c:pt idx="2">
                  <c:v>5050</c:v>
                </c:pt>
                <c:pt idx="3">
                  <c:v>5160</c:v>
                </c:pt>
                <c:pt idx="4">
                  <c:v>5240</c:v>
                </c:pt>
                <c:pt idx="5">
                  <c:v>5300</c:v>
                </c:pt>
                <c:pt idx="6">
                  <c:v>5530</c:v>
                </c:pt>
                <c:pt idx="7">
                  <c:v>6200</c:v>
                </c:pt>
                <c:pt idx="8">
                  <c:v>6050</c:v>
                </c:pt>
                <c:pt idx="9">
                  <c:v>6150</c:v>
                </c:pt>
                <c:pt idx="10">
                  <c:v>6180</c:v>
                </c:pt>
                <c:pt idx="11">
                  <c:v>6180</c:v>
                </c:pt>
                <c:pt idx="12">
                  <c:v>5900</c:v>
                </c:pt>
                <c:pt idx="13">
                  <c:v>5830</c:v>
                </c:pt>
                <c:pt idx="14">
                  <c:v>6000</c:v>
                </c:pt>
                <c:pt idx="15">
                  <c:v>5960</c:v>
                </c:pt>
                <c:pt idx="16">
                  <c:v>6400</c:v>
                </c:pt>
                <c:pt idx="17">
                  <c:v>6250</c:v>
                </c:pt>
                <c:pt idx="18">
                  <c:v>6200</c:v>
                </c:pt>
                <c:pt idx="19">
                  <c:v>5990</c:v>
                </c:pt>
                <c:pt idx="20">
                  <c:v>5840</c:v>
                </c:pt>
                <c:pt idx="21">
                  <c:v>5950</c:v>
                </c:pt>
                <c:pt idx="22">
                  <c:v>5950</c:v>
                </c:pt>
                <c:pt idx="23">
                  <c:v>5900</c:v>
                </c:pt>
                <c:pt idx="24">
                  <c:v>5920</c:v>
                </c:pt>
                <c:pt idx="25">
                  <c:v>6000</c:v>
                </c:pt>
                <c:pt idx="26">
                  <c:v>6080</c:v>
                </c:pt>
                <c:pt idx="27">
                  <c:v>6130</c:v>
                </c:pt>
                <c:pt idx="28">
                  <c:v>6150</c:v>
                </c:pt>
                <c:pt idx="29">
                  <c:v>6250</c:v>
                </c:pt>
                <c:pt idx="30">
                  <c:v>6150</c:v>
                </c:pt>
                <c:pt idx="31">
                  <c:v>6450</c:v>
                </c:pt>
                <c:pt idx="32">
                  <c:v>6600</c:v>
                </c:pt>
                <c:pt idx="33">
                  <c:v>6650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7600</c:v>
                </c:pt>
                <c:pt idx="48">
                  <c:v>7500</c:v>
                </c:pt>
                <c:pt idx="49">
                  <c:v>7730</c:v>
                </c:pt>
                <c:pt idx="50">
                  <c:v>7630</c:v>
                </c:pt>
                <c:pt idx="51">
                  <c:v>7580</c:v>
                </c:pt>
                <c:pt idx="52">
                  <c:v>7500</c:v>
                </c:pt>
                <c:pt idx="53">
                  <c:v>7500</c:v>
                </c:pt>
                <c:pt idx="54">
                  <c:v>7450</c:v>
                </c:pt>
                <c:pt idx="55">
                  <c:v>7500</c:v>
                </c:pt>
                <c:pt idx="56">
                  <c:v>7500</c:v>
                </c:pt>
                <c:pt idx="57">
                  <c:v>6350</c:v>
                </c:pt>
                <c:pt idx="58">
                  <c:v>6150</c:v>
                </c:pt>
                <c:pt idx="59">
                  <c:v>6150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numCache>
            </c:numRef>
          </c:val>
        </c:ser>
        <c:ser>
          <c:idx val="5"/>
          <c:order val="3"/>
          <c:tx>
            <c:strRef>
              <c:f>'溶剂油周报-石脑油价格走势图表'!$G$282</c:f>
              <c:strCache>
                <c:ptCount val="1"/>
                <c:pt idx="0">
                  <c:v>富海石化</c:v>
                </c:pt>
              </c:strCache>
            </c:strRef>
          </c:tx>
          <c:spPr>
            <a:ln w="38100">
              <a:solidFill>
                <a:srgbClr val="800000"/>
              </a:solidFill>
              <a:prstDash val="solid"/>
            </a:ln>
          </c:spPr>
          <c:marker>
            <c:symbol val="none"/>
          </c:marker>
          <c:cat>
            <c:numRef>
              <c:f>'溶剂油周报-石脑油价格走势图表'!$A$283:$C$361</c:f>
              <c:numCache>
                <c:formatCode>yyyy/m/d</c:formatCode>
                <c:ptCount val="79"/>
                <c:pt idx="0">
                  <c:v>42993</c:v>
                </c:pt>
                <c:pt idx="1">
                  <c:v>43000</c:v>
                </c:pt>
                <c:pt idx="2">
                  <c:v>43007</c:v>
                </c:pt>
                <c:pt idx="3">
                  <c:v>43021</c:v>
                </c:pt>
                <c:pt idx="4">
                  <c:v>43028</c:v>
                </c:pt>
                <c:pt idx="5">
                  <c:v>43035</c:v>
                </c:pt>
                <c:pt idx="6">
                  <c:v>43042</c:v>
                </c:pt>
                <c:pt idx="7">
                  <c:v>43049</c:v>
                </c:pt>
                <c:pt idx="8">
                  <c:v>43056</c:v>
                </c:pt>
                <c:pt idx="9">
                  <c:v>43063</c:v>
                </c:pt>
                <c:pt idx="10">
                  <c:v>43069</c:v>
                </c:pt>
                <c:pt idx="11">
                  <c:v>43077</c:v>
                </c:pt>
                <c:pt idx="12">
                  <c:v>43084</c:v>
                </c:pt>
                <c:pt idx="13">
                  <c:v>43091</c:v>
                </c:pt>
                <c:pt idx="14">
                  <c:v>43098</c:v>
                </c:pt>
                <c:pt idx="15">
                  <c:v>43105</c:v>
                </c:pt>
                <c:pt idx="16">
                  <c:v>43112</c:v>
                </c:pt>
                <c:pt idx="17">
                  <c:v>43119</c:v>
                </c:pt>
                <c:pt idx="18">
                  <c:v>43126</c:v>
                </c:pt>
                <c:pt idx="19">
                  <c:v>43133</c:v>
                </c:pt>
                <c:pt idx="20">
                  <c:v>43140</c:v>
                </c:pt>
                <c:pt idx="21">
                  <c:v>43161</c:v>
                </c:pt>
                <c:pt idx="22">
                  <c:v>43168</c:v>
                </c:pt>
                <c:pt idx="23">
                  <c:v>43175</c:v>
                </c:pt>
                <c:pt idx="24">
                  <c:v>43182</c:v>
                </c:pt>
                <c:pt idx="25">
                  <c:v>43189</c:v>
                </c:pt>
                <c:pt idx="26">
                  <c:v>43198</c:v>
                </c:pt>
                <c:pt idx="27">
                  <c:v>43203</c:v>
                </c:pt>
                <c:pt idx="28">
                  <c:v>43210</c:v>
                </c:pt>
                <c:pt idx="29">
                  <c:v>43217</c:v>
                </c:pt>
                <c:pt idx="30">
                  <c:v>43224</c:v>
                </c:pt>
                <c:pt idx="31">
                  <c:v>43231</c:v>
                </c:pt>
                <c:pt idx="32">
                  <c:v>43238</c:v>
                </c:pt>
                <c:pt idx="33">
                  <c:v>43245</c:v>
                </c:pt>
                <c:pt idx="34">
                  <c:v>43252</c:v>
                </c:pt>
                <c:pt idx="35">
                  <c:v>43259</c:v>
                </c:pt>
                <c:pt idx="36">
                  <c:v>43266</c:v>
                </c:pt>
                <c:pt idx="37">
                  <c:v>43273</c:v>
                </c:pt>
                <c:pt idx="38">
                  <c:v>43280</c:v>
                </c:pt>
                <c:pt idx="39">
                  <c:v>43287</c:v>
                </c:pt>
                <c:pt idx="40">
                  <c:v>43294</c:v>
                </c:pt>
                <c:pt idx="41">
                  <c:v>43301</c:v>
                </c:pt>
                <c:pt idx="42">
                  <c:v>43308</c:v>
                </c:pt>
                <c:pt idx="43">
                  <c:v>43315</c:v>
                </c:pt>
                <c:pt idx="44">
                  <c:v>43322</c:v>
                </c:pt>
                <c:pt idx="45">
                  <c:v>43329</c:v>
                </c:pt>
                <c:pt idx="46">
                  <c:v>43336</c:v>
                </c:pt>
                <c:pt idx="47">
                  <c:v>43343</c:v>
                </c:pt>
                <c:pt idx="48">
                  <c:v>43350</c:v>
                </c:pt>
                <c:pt idx="49">
                  <c:v>43357</c:v>
                </c:pt>
                <c:pt idx="50">
                  <c:v>43364</c:v>
                </c:pt>
                <c:pt idx="51">
                  <c:v>43371</c:v>
                </c:pt>
                <c:pt idx="52">
                  <c:v>43385</c:v>
                </c:pt>
                <c:pt idx="53">
                  <c:v>43392</c:v>
                </c:pt>
                <c:pt idx="54">
                  <c:v>43399</c:v>
                </c:pt>
                <c:pt idx="55">
                  <c:v>43406</c:v>
                </c:pt>
                <c:pt idx="56">
                  <c:v>43413</c:v>
                </c:pt>
                <c:pt idx="57">
                  <c:v>43420</c:v>
                </c:pt>
                <c:pt idx="58">
                  <c:v>43427</c:v>
                </c:pt>
                <c:pt idx="59">
                  <c:v>43434</c:v>
                </c:pt>
                <c:pt idx="60">
                  <c:v>43441</c:v>
                </c:pt>
                <c:pt idx="61">
                  <c:v>43448</c:v>
                </c:pt>
                <c:pt idx="62">
                  <c:v>43455</c:v>
                </c:pt>
                <c:pt idx="63">
                  <c:v>43462</c:v>
                </c:pt>
                <c:pt idx="64">
                  <c:v>43469</c:v>
                </c:pt>
                <c:pt idx="65">
                  <c:v>43476</c:v>
                </c:pt>
                <c:pt idx="66">
                  <c:v>43483</c:v>
                </c:pt>
                <c:pt idx="67">
                  <c:v>43490</c:v>
                </c:pt>
                <c:pt idx="68">
                  <c:v>43497</c:v>
                </c:pt>
                <c:pt idx="69">
                  <c:v>43511</c:v>
                </c:pt>
                <c:pt idx="70">
                  <c:v>43518</c:v>
                </c:pt>
                <c:pt idx="71">
                  <c:v>43525</c:v>
                </c:pt>
                <c:pt idx="72">
                  <c:v>43532</c:v>
                </c:pt>
                <c:pt idx="73">
                  <c:v>43539</c:v>
                </c:pt>
                <c:pt idx="74">
                  <c:v>43546</c:v>
                </c:pt>
                <c:pt idx="75">
                  <c:v>43552</c:v>
                </c:pt>
                <c:pt idx="76">
                  <c:v>43559</c:v>
                </c:pt>
                <c:pt idx="77">
                  <c:v>43566</c:v>
                </c:pt>
                <c:pt idx="78">
                  <c:v>43573</c:v>
                </c:pt>
              </c:numCache>
            </c:numRef>
          </c:cat>
          <c:val>
            <c:numRef>
              <c:f>'溶剂油周报-石脑油价格走势图表'!$G$283:$G$361</c:f>
              <c:numCache>
                <c:formatCode>General</c:formatCode>
                <c:ptCount val="79"/>
                <c:pt idx="0">
                  <c:v>4310</c:v>
                </c:pt>
                <c:pt idx="1">
                  <c:v>4400</c:v>
                </c:pt>
                <c:pt idx="2">
                  <c:v>4550</c:v>
                </c:pt>
                <c:pt idx="3">
                  <c:v>4520</c:v>
                </c:pt>
                <c:pt idx="4">
                  <c:v>4480</c:v>
                </c:pt>
                <c:pt idx="5">
                  <c:v>4480</c:v>
                </c:pt>
                <c:pt idx="6">
                  <c:v>4690</c:v>
                </c:pt>
                <c:pt idx="7">
                  <c:v>5750</c:v>
                </c:pt>
                <c:pt idx="8">
                  <c:v>5420</c:v>
                </c:pt>
                <c:pt idx="9">
                  <c:v>5400</c:v>
                </c:pt>
                <c:pt idx="10">
                  <c:v>5430</c:v>
                </c:pt>
                <c:pt idx="11">
                  <c:v>5430</c:v>
                </c:pt>
                <c:pt idx="12">
                  <c:v>5210</c:v>
                </c:pt>
                <c:pt idx="13">
                  <c:v>5090</c:v>
                </c:pt>
                <c:pt idx="14">
                  <c:v>5190</c:v>
                </c:pt>
                <c:pt idx="15">
                  <c:v>5210</c:v>
                </c:pt>
                <c:pt idx="16">
                  <c:v>5210</c:v>
                </c:pt>
                <c:pt idx="17">
                  <c:v>5670</c:v>
                </c:pt>
                <c:pt idx="18">
                  <c:v>5500</c:v>
                </c:pt>
                <c:pt idx="19">
                  <c:v>5200</c:v>
                </c:pt>
                <c:pt idx="20">
                  <c:v>5200</c:v>
                </c:pt>
                <c:pt idx="21">
                  <c:v>5290</c:v>
                </c:pt>
                <c:pt idx="22">
                  <c:v>5310</c:v>
                </c:pt>
                <c:pt idx="23">
                  <c:v>5210</c:v>
                </c:pt>
                <c:pt idx="24">
                  <c:v>5080</c:v>
                </c:pt>
                <c:pt idx="25">
                  <c:v>4800</c:v>
                </c:pt>
                <c:pt idx="26">
                  <c:v>4800</c:v>
                </c:pt>
                <c:pt idx="27">
                  <c:v>4800</c:v>
                </c:pt>
                <c:pt idx="28">
                  <c:v>4860</c:v>
                </c:pt>
                <c:pt idx="29">
                  <c:v>4840</c:v>
                </c:pt>
                <c:pt idx="30">
                  <c:v>4760</c:v>
                </c:pt>
                <c:pt idx="31">
                  <c:v>4920</c:v>
                </c:pt>
                <c:pt idx="32">
                  <c:v>5100</c:v>
                </c:pt>
                <c:pt idx="33">
                  <c:v>5110</c:v>
                </c:pt>
                <c:pt idx="34">
                  <c:v>4890</c:v>
                </c:pt>
                <c:pt idx="35">
                  <c:v>4730</c:v>
                </c:pt>
                <c:pt idx="36">
                  <c:v>4760</c:v>
                </c:pt>
                <c:pt idx="37">
                  <c:v>4760</c:v>
                </c:pt>
                <c:pt idx="38">
                  <c:v>4760</c:v>
                </c:pt>
                <c:pt idx="39">
                  <c:v>4780</c:v>
                </c:pt>
                <c:pt idx="40">
                  <c:v>4830</c:v>
                </c:pt>
                <c:pt idx="41">
                  <c:v>5010</c:v>
                </c:pt>
                <c:pt idx="42">
                  <c:v>5010</c:v>
                </c:pt>
                <c:pt idx="43">
                  <c:v>5010</c:v>
                </c:pt>
                <c:pt idx="44">
                  <c:v>5010</c:v>
                </c:pt>
                <c:pt idx="45">
                  <c:v>5010</c:v>
                </c:pt>
                <c:pt idx="46">
                  <c:v>5010</c:v>
                </c:pt>
                <c:pt idx="47">
                  <c:v>5470</c:v>
                </c:pt>
                <c:pt idx="48">
                  <c:v>5550</c:v>
                </c:pt>
                <c:pt idx="49">
                  <c:v>5700</c:v>
                </c:pt>
                <c:pt idx="50">
                  <c:v>5620</c:v>
                </c:pt>
                <c:pt idx="51">
                  <c:v>5620</c:v>
                </c:pt>
                <c:pt idx="52">
                  <c:v>5750</c:v>
                </c:pt>
                <c:pt idx="53">
                  <c:v>5600</c:v>
                </c:pt>
                <c:pt idx="54">
                  <c:v>5570</c:v>
                </c:pt>
                <c:pt idx="55">
                  <c:v>5570</c:v>
                </c:pt>
                <c:pt idx="56">
                  <c:v>5270</c:v>
                </c:pt>
                <c:pt idx="57">
                  <c:v>4960</c:v>
                </c:pt>
                <c:pt idx="58">
                  <c:v>4960</c:v>
                </c:pt>
                <c:pt idx="59">
                  <c:v>4370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numCache>
            </c:numRef>
          </c:val>
        </c:ser>
        <c:ser>
          <c:idx val="6"/>
          <c:order val="4"/>
          <c:tx>
            <c:strRef>
              <c:f>'溶剂油周报-石脑油价格走势图表'!$H$282</c:f>
              <c:strCache>
                <c:ptCount val="1"/>
                <c:pt idx="0">
                  <c:v>寿光石化</c:v>
                </c:pt>
              </c:strCache>
            </c:strRef>
          </c:tx>
          <c:spPr>
            <a:ln w="38100">
              <a:solidFill>
                <a:srgbClr val="0000FF"/>
              </a:solidFill>
              <a:prstDash val="solid"/>
            </a:ln>
          </c:spPr>
          <c:marker>
            <c:symbol val="none"/>
          </c:marker>
          <c:cat>
            <c:numRef>
              <c:f>'溶剂油周报-石脑油价格走势图表'!$A$283:$C$361</c:f>
              <c:numCache>
                <c:formatCode>yyyy/m/d</c:formatCode>
                <c:ptCount val="79"/>
                <c:pt idx="0">
                  <c:v>42993</c:v>
                </c:pt>
                <c:pt idx="1">
                  <c:v>43000</c:v>
                </c:pt>
                <c:pt idx="2">
                  <c:v>43007</c:v>
                </c:pt>
                <c:pt idx="3">
                  <c:v>43021</c:v>
                </c:pt>
                <c:pt idx="4">
                  <c:v>43028</c:v>
                </c:pt>
                <c:pt idx="5">
                  <c:v>43035</c:v>
                </c:pt>
                <c:pt idx="6">
                  <c:v>43042</c:v>
                </c:pt>
                <c:pt idx="7">
                  <c:v>43049</c:v>
                </c:pt>
                <c:pt idx="8">
                  <c:v>43056</c:v>
                </c:pt>
                <c:pt idx="9">
                  <c:v>43063</c:v>
                </c:pt>
                <c:pt idx="10">
                  <c:v>43069</c:v>
                </c:pt>
                <c:pt idx="11">
                  <c:v>43077</c:v>
                </c:pt>
                <c:pt idx="12">
                  <c:v>43084</c:v>
                </c:pt>
                <c:pt idx="13">
                  <c:v>43091</c:v>
                </c:pt>
                <c:pt idx="14">
                  <c:v>43098</c:v>
                </c:pt>
                <c:pt idx="15">
                  <c:v>43105</c:v>
                </c:pt>
                <c:pt idx="16">
                  <c:v>43112</c:v>
                </c:pt>
                <c:pt idx="17">
                  <c:v>43119</c:v>
                </c:pt>
                <c:pt idx="18">
                  <c:v>43126</c:v>
                </c:pt>
                <c:pt idx="19">
                  <c:v>43133</c:v>
                </c:pt>
                <c:pt idx="20">
                  <c:v>43140</c:v>
                </c:pt>
                <c:pt idx="21">
                  <c:v>43161</c:v>
                </c:pt>
                <c:pt idx="22">
                  <c:v>43168</c:v>
                </c:pt>
                <c:pt idx="23">
                  <c:v>43175</c:v>
                </c:pt>
                <c:pt idx="24">
                  <c:v>43182</c:v>
                </c:pt>
                <c:pt idx="25">
                  <c:v>43189</c:v>
                </c:pt>
                <c:pt idx="26">
                  <c:v>43198</c:v>
                </c:pt>
                <c:pt idx="27">
                  <c:v>43203</c:v>
                </c:pt>
                <c:pt idx="28">
                  <c:v>43210</c:v>
                </c:pt>
                <c:pt idx="29">
                  <c:v>43217</c:v>
                </c:pt>
                <c:pt idx="30">
                  <c:v>43224</c:v>
                </c:pt>
                <c:pt idx="31">
                  <c:v>43231</c:v>
                </c:pt>
                <c:pt idx="32">
                  <c:v>43238</c:v>
                </c:pt>
                <c:pt idx="33">
                  <c:v>43245</c:v>
                </c:pt>
                <c:pt idx="34">
                  <c:v>43252</c:v>
                </c:pt>
                <c:pt idx="35">
                  <c:v>43259</c:v>
                </c:pt>
                <c:pt idx="36">
                  <c:v>43266</c:v>
                </c:pt>
                <c:pt idx="37">
                  <c:v>43273</c:v>
                </c:pt>
                <c:pt idx="38">
                  <c:v>43280</c:v>
                </c:pt>
                <c:pt idx="39">
                  <c:v>43287</c:v>
                </c:pt>
                <c:pt idx="40">
                  <c:v>43294</c:v>
                </c:pt>
                <c:pt idx="41">
                  <c:v>43301</c:v>
                </c:pt>
                <c:pt idx="42">
                  <c:v>43308</c:v>
                </c:pt>
                <c:pt idx="43">
                  <c:v>43315</c:v>
                </c:pt>
                <c:pt idx="44">
                  <c:v>43322</c:v>
                </c:pt>
                <c:pt idx="45">
                  <c:v>43329</c:v>
                </c:pt>
                <c:pt idx="46">
                  <c:v>43336</c:v>
                </c:pt>
                <c:pt idx="47">
                  <c:v>43343</c:v>
                </c:pt>
                <c:pt idx="48">
                  <c:v>43350</c:v>
                </c:pt>
                <c:pt idx="49">
                  <c:v>43357</c:v>
                </c:pt>
                <c:pt idx="50">
                  <c:v>43364</c:v>
                </c:pt>
                <c:pt idx="51">
                  <c:v>43371</c:v>
                </c:pt>
                <c:pt idx="52">
                  <c:v>43385</c:v>
                </c:pt>
                <c:pt idx="53">
                  <c:v>43392</c:v>
                </c:pt>
                <c:pt idx="54">
                  <c:v>43399</c:v>
                </c:pt>
                <c:pt idx="55">
                  <c:v>43406</c:v>
                </c:pt>
                <c:pt idx="56">
                  <c:v>43413</c:v>
                </c:pt>
                <c:pt idx="57">
                  <c:v>43420</c:v>
                </c:pt>
                <c:pt idx="58">
                  <c:v>43427</c:v>
                </c:pt>
                <c:pt idx="59">
                  <c:v>43434</c:v>
                </c:pt>
                <c:pt idx="60">
                  <c:v>43441</c:v>
                </c:pt>
                <c:pt idx="61">
                  <c:v>43448</c:v>
                </c:pt>
                <c:pt idx="62">
                  <c:v>43455</c:v>
                </c:pt>
                <c:pt idx="63">
                  <c:v>43462</c:v>
                </c:pt>
                <c:pt idx="64">
                  <c:v>43469</c:v>
                </c:pt>
                <c:pt idx="65">
                  <c:v>43476</c:v>
                </c:pt>
                <c:pt idx="66">
                  <c:v>43483</c:v>
                </c:pt>
                <c:pt idx="67">
                  <c:v>43490</c:v>
                </c:pt>
                <c:pt idx="68">
                  <c:v>43497</c:v>
                </c:pt>
                <c:pt idx="69">
                  <c:v>43511</c:v>
                </c:pt>
                <c:pt idx="70">
                  <c:v>43518</c:v>
                </c:pt>
                <c:pt idx="71">
                  <c:v>43525</c:v>
                </c:pt>
                <c:pt idx="72">
                  <c:v>43532</c:v>
                </c:pt>
                <c:pt idx="73">
                  <c:v>43539</c:v>
                </c:pt>
                <c:pt idx="74">
                  <c:v>43546</c:v>
                </c:pt>
                <c:pt idx="75">
                  <c:v>43552</c:v>
                </c:pt>
                <c:pt idx="76">
                  <c:v>43559</c:v>
                </c:pt>
                <c:pt idx="77">
                  <c:v>43566</c:v>
                </c:pt>
                <c:pt idx="78">
                  <c:v>43573</c:v>
                </c:pt>
              </c:numCache>
            </c:numRef>
          </c:cat>
          <c:val>
            <c:numRef>
              <c:f>'溶剂油周报-石脑油价格走势图表'!$H$283:$H$361</c:f>
              <c:numCache>
                <c:formatCode>General</c:formatCode>
                <c:ptCount val="7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4500</c:v>
                </c:pt>
                <c:pt idx="61">
                  <c:v>4500</c:v>
                </c:pt>
                <c:pt idx="62">
                  <c:v>4500</c:v>
                </c:pt>
                <c:pt idx="63">
                  <c:v>4500</c:v>
                </c:pt>
                <c:pt idx="64">
                  <c:v>4500</c:v>
                </c:pt>
                <c:pt idx="65">
                  <c:v>5600</c:v>
                </c:pt>
                <c:pt idx="66">
                  <c:v>5600</c:v>
                </c:pt>
                <c:pt idx="67">
                  <c:v>5600</c:v>
                </c:pt>
                <c:pt idx="68">
                  <c:v>5600</c:v>
                </c:pt>
                <c:pt idx="69">
                  <c:v>5600</c:v>
                </c:pt>
                <c:pt idx="70">
                  <c:v>5600</c:v>
                </c:pt>
                <c:pt idx="71">
                  <c:v>5600</c:v>
                </c:pt>
                <c:pt idx="72">
                  <c:v>5600</c:v>
                </c:pt>
                <c:pt idx="73">
                  <c:v>5600</c:v>
                </c:pt>
                <c:pt idx="74">
                  <c:v>5600</c:v>
                </c:pt>
                <c:pt idx="75">
                  <c:v>5600</c:v>
                </c:pt>
                <c:pt idx="76">
                  <c:v>5600</c:v>
                </c:pt>
                <c:pt idx="77">
                  <c:v>5600</c:v>
                </c:pt>
                <c:pt idx="78">
                  <c:v>5600</c:v>
                </c:pt>
              </c:numCache>
            </c:numRef>
          </c:val>
        </c:ser>
        <c:marker val="1"/>
        <c:axId val="127615360"/>
        <c:axId val="127617280"/>
      </c:lineChart>
      <c:dateAx>
        <c:axId val="127615360"/>
        <c:scaling>
          <c:orientation val="minMax"/>
          <c:max val="43573"/>
          <c:min val="43208"/>
        </c:scaling>
        <c:axPos val="b"/>
        <c:title>
          <c:tx>
            <c:rich>
              <a:bodyPr/>
              <a:lstStyle/>
              <a:p>
                <a:pPr>
                  <a:defRPr sz="1100" b="0" i="0" u="none" strike="noStrike" baseline="0">
                    <a:solidFill>
                      <a:srgbClr val="000000"/>
                    </a:solidFill>
                    <a:latin typeface="宋体"/>
                    <a:ea typeface="宋体"/>
                    <a:cs typeface="宋体"/>
                  </a:defRPr>
                </a:pPr>
                <a:r>
                  <a:rPr lang="zh-CN" altLang="en-US" sz="1000" b="0" i="0" strike="noStrike">
                    <a:solidFill>
                      <a:srgbClr val="000000"/>
                    </a:solidFill>
                    <a:latin typeface="宋体"/>
                    <a:ea typeface="宋体"/>
                  </a:rPr>
                  <a:t>元</a:t>
                </a:r>
                <a:r>
                  <a:rPr lang="en-US" altLang="zh-CN" sz="1000" b="0" i="0" strike="noStrike">
                    <a:solidFill>
                      <a:srgbClr val="000000"/>
                    </a:solidFill>
                    <a:latin typeface="宋体"/>
                    <a:ea typeface="宋体"/>
                  </a:rPr>
                  <a:t>/</a:t>
                </a:r>
                <a:r>
                  <a:rPr lang="zh-CN" altLang="en-US" sz="1000" b="0" i="0" strike="noStrike">
                    <a:solidFill>
                      <a:srgbClr val="000000"/>
                    </a:solidFill>
                    <a:latin typeface="宋体"/>
                    <a:ea typeface="宋体"/>
                  </a:rPr>
                  <a:t>吨</a:t>
                </a:r>
              </a:p>
            </c:rich>
          </c:tx>
          <c:layout>
            <c:manualLayout>
              <c:xMode val="edge"/>
              <c:yMode val="edge"/>
              <c:x val="0.79064186744099019"/>
              <c:y val="0.11226274347285566"/>
            </c:manualLayout>
          </c:layout>
        </c:title>
        <c:numFmt formatCode="yyyy/m/d;@" sourceLinked="0"/>
        <c:majorTickMark val="in"/>
        <c:tickLblPos val="nextTo"/>
        <c:spPr>
          <a:ln w="3175" cap="flat" cmpd="sng" algn="ctr">
            <a:solidFill>
              <a:srgbClr val="000000">
                <a:alpha val="100000"/>
              </a:srgbClr>
            </a:solidFill>
            <a:prstDash val="solid"/>
            <a:round/>
          </a:ln>
        </c:spPr>
        <c:txPr>
          <a:bodyPr rot="-5400000" vert="horz"/>
          <a:lstStyle/>
          <a:p>
            <a:pPr>
              <a:defRPr sz="1000" b="0" i="0" u="none" strike="noStrike" baseline="0">
                <a:solidFill>
                  <a:srgbClr val="000000"/>
                </a:solidFill>
                <a:latin typeface="宋体"/>
                <a:ea typeface="宋体"/>
                <a:cs typeface="宋体"/>
              </a:defRPr>
            </a:pPr>
            <a:endParaRPr lang="zh-CN"/>
          </a:p>
        </c:txPr>
        <c:crossAx val="127617280"/>
        <c:crossesAt val="2000"/>
        <c:auto val="1"/>
        <c:lblOffset val="100"/>
        <c:baseTimeUnit val="days"/>
        <c:majorUnit val="1"/>
        <c:majorTimeUnit val="months"/>
        <c:minorUnit val="1"/>
        <c:minorTimeUnit val="months"/>
      </c:dateAx>
      <c:valAx>
        <c:axId val="127617280"/>
        <c:scaling>
          <c:orientation val="minMax"/>
          <c:max val="8500"/>
          <c:min val="2000"/>
        </c:scaling>
        <c:axPos val="l"/>
        <c:numFmt formatCode="General" sourceLinked="1"/>
        <c:majorTickMark val="in"/>
        <c:tickLblPos val="nextTo"/>
        <c:spPr>
          <a:ln w="3175" cap="flat" cmpd="sng" algn="ctr">
            <a:solidFill>
              <a:srgbClr val="000000">
                <a:alpha val="100000"/>
              </a:srgbClr>
            </a:solidFill>
            <a:prstDash val="solid"/>
            <a:round/>
          </a:ln>
        </c:spPr>
        <c:txPr>
          <a:bodyPr rot="0" vert="horz"/>
          <a:lstStyle/>
          <a:p>
            <a:pPr>
              <a:defRPr sz="1000" b="0" i="0" u="none" strike="noStrike" baseline="0">
                <a:solidFill>
                  <a:srgbClr val="000000"/>
                </a:solidFill>
                <a:latin typeface="宋体"/>
                <a:ea typeface="宋体"/>
                <a:cs typeface="宋体"/>
              </a:defRPr>
            </a:pPr>
            <a:endParaRPr lang="zh-CN"/>
          </a:p>
        </c:txPr>
        <c:crossAx val="127615360"/>
        <c:crossesAt val="42241"/>
        <c:crossBetween val="between"/>
        <c:majorUnit val="500"/>
        <c:minorUnit val="100"/>
      </c:valAx>
    </c:plotArea>
    <c:legend>
      <c:legendPos val="r"/>
      <c:layout>
        <c:manualLayout>
          <c:xMode val="edge"/>
          <c:yMode val="edge"/>
          <c:x val="5.0858468272861244E-2"/>
          <c:y val="0.9388693987508987"/>
          <c:w val="0.9206128303729475"/>
          <c:h val="6.1130601249101413E-2"/>
        </c:manualLayout>
      </c:layout>
      <c:spPr>
        <a:solidFill>
          <a:srgbClr val="FFFFFF">
            <a:alpha val="100000"/>
          </a:srgbClr>
        </a:solidFill>
        <a:ln w="3175">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chemeClr val="bg1"/>
    </a:solidFill>
    <a:ln w="9525">
      <a:solidFill>
        <a:sysClr val="windowText" lastClr="000000">
          <a:alpha val="59000"/>
        </a:sysClr>
      </a:solid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0.53017</cdr:x>
      <cdr:y>0.586</cdr:y>
    </cdr:from>
    <cdr:to>
      <cdr:x>0.53678</cdr:x>
      <cdr:y>0.60493</cdr:y>
    </cdr:to>
    <cdr:sp macro="" textlink="">
      <cdr:nvSpPr>
        <cdr:cNvPr id="2" name="矩形 1"/>
        <cdr:cNvSpPr/>
      </cdr:nvSpPr>
      <cdr:spPr>
        <a:xfrm xmlns:a="http://schemas.openxmlformats.org/drawingml/2006/main">
          <a:off x="3234835" y="3063721"/>
          <a:ext cx="48403" cy="128602"/>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dr:relSizeAnchor xmlns:cdr="http://schemas.openxmlformats.org/drawingml/2006/chartDrawing">
    <cdr:from>
      <cdr:x>0.53313</cdr:x>
      <cdr:y>0.57857</cdr:y>
    </cdr:from>
    <cdr:to>
      <cdr:x>0.53899</cdr:x>
      <cdr:y>0.59825</cdr:y>
    </cdr:to>
    <cdr:sp macro="" textlink="">
      <cdr:nvSpPr>
        <cdr:cNvPr id="3" name="矩形 2"/>
        <cdr:cNvSpPr/>
      </cdr:nvSpPr>
      <cdr:spPr>
        <a:xfrm xmlns:a="http://schemas.openxmlformats.org/drawingml/2006/main">
          <a:off x="3254616" y="3015409"/>
          <a:ext cx="45374" cy="129923"/>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1B755-34C7-4A6B-B010-24D22F37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32</Pages>
  <Words>2849</Words>
  <Characters>16242</Characters>
  <Application>Microsoft Office Word</Application>
  <DocSecurity>0</DocSecurity>
  <Lines>135</Lines>
  <Paragraphs>38</Paragraphs>
  <ScaleCrop>false</ScaleCrop>
  <Company>china</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92</cp:revision>
  <dcterms:created xsi:type="dcterms:W3CDTF">2018-08-31T06:57:00Z</dcterms:created>
  <dcterms:modified xsi:type="dcterms:W3CDTF">2019-04-19T07:47:00Z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